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2000B" w14:textId="0F69BDB7" w:rsidR="00DD533E" w:rsidRDefault="00DA7478">
      <w:pPr>
        <w:rPr>
          <w:b/>
          <w:sz w:val="36"/>
          <w:szCs w:val="36"/>
          <w:u w:val="single"/>
        </w:rPr>
      </w:pPr>
      <w:r>
        <w:rPr>
          <w:b/>
          <w:sz w:val="36"/>
          <w:szCs w:val="36"/>
          <w:u w:val="single"/>
        </w:rPr>
        <w:t>Q</w:t>
      </w:r>
      <w:r w:rsidR="001D0B6C" w:rsidRPr="00DD533E">
        <w:rPr>
          <w:b/>
          <w:sz w:val="36"/>
          <w:szCs w:val="36"/>
          <w:u w:val="single"/>
        </w:rPr>
        <w:t>uestions for Easements  and Freehold covenants</w:t>
      </w:r>
    </w:p>
    <w:p w14:paraId="47F8ADB1" w14:textId="77777777" w:rsidR="00DD533E" w:rsidRDefault="00EA797D" w:rsidP="00EA797D">
      <w:pPr>
        <w:pStyle w:val="ListParagraph"/>
        <w:numPr>
          <w:ilvl w:val="0"/>
          <w:numId w:val="1"/>
        </w:numPr>
        <w:rPr>
          <w:sz w:val="28"/>
          <w:szCs w:val="28"/>
        </w:rPr>
      </w:pPr>
      <w:r w:rsidRPr="00EA797D">
        <w:rPr>
          <w:sz w:val="28"/>
          <w:szCs w:val="28"/>
        </w:rPr>
        <w:t xml:space="preserve">If the right claimed does not satisfy the requirements in </w:t>
      </w:r>
      <w:r w:rsidRPr="00EA797D">
        <w:rPr>
          <w:i/>
          <w:sz w:val="28"/>
          <w:szCs w:val="28"/>
        </w:rPr>
        <w:t xml:space="preserve">Re Ellenborough Park, </w:t>
      </w:r>
      <w:r w:rsidRPr="00EA797D">
        <w:rPr>
          <w:sz w:val="28"/>
          <w:szCs w:val="28"/>
        </w:rPr>
        <w:t>is it capable of being an easement?</w:t>
      </w:r>
    </w:p>
    <w:p w14:paraId="2A2C3758" w14:textId="77777777" w:rsidR="00EA797D" w:rsidRPr="00F904B7" w:rsidRDefault="00F904B7" w:rsidP="00EA797D">
      <w:pPr>
        <w:pStyle w:val="ListParagraph"/>
        <w:ind w:left="644"/>
        <w:rPr>
          <w:i/>
          <w:sz w:val="28"/>
          <w:szCs w:val="28"/>
        </w:rPr>
      </w:pPr>
      <w:r>
        <w:rPr>
          <w:i/>
          <w:sz w:val="28"/>
          <w:szCs w:val="28"/>
        </w:rPr>
        <w:t>No.  Even if the right claimed satisfies the requirements of Re Ellenborough Park, the easement must have also been created in a recognised way.</w:t>
      </w:r>
    </w:p>
    <w:p w14:paraId="7D53EEDA" w14:textId="77777777" w:rsidR="001D0B6C" w:rsidRDefault="001D0B6C" w:rsidP="001D0B6C">
      <w:pPr>
        <w:pStyle w:val="ListParagraph"/>
        <w:numPr>
          <w:ilvl w:val="0"/>
          <w:numId w:val="1"/>
        </w:numPr>
        <w:rPr>
          <w:sz w:val="28"/>
          <w:szCs w:val="28"/>
        </w:rPr>
      </w:pPr>
      <w:r w:rsidRPr="00DD533E">
        <w:rPr>
          <w:sz w:val="28"/>
          <w:szCs w:val="28"/>
        </w:rPr>
        <w:t xml:space="preserve">Is it best to claim an easement by prescription through the common law, the lost modern grant, or under </w:t>
      </w:r>
      <w:r w:rsidRPr="00DD533E">
        <w:rPr>
          <w:b/>
          <w:sz w:val="28"/>
          <w:szCs w:val="28"/>
        </w:rPr>
        <w:t>PA 1832</w:t>
      </w:r>
      <w:r w:rsidRPr="00DD533E">
        <w:rPr>
          <w:sz w:val="28"/>
          <w:szCs w:val="28"/>
        </w:rPr>
        <w:t>?</w:t>
      </w:r>
    </w:p>
    <w:p w14:paraId="17FF10C4" w14:textId="77777777" w:rsidR="00F904B7" w:rsidRPr="00F904B7" w:rsidRDefault="00F904B7" w:rsidP="00F904B7">
      <w:pPr>
        <w:pStyle w:val="ListParagraph"/>
        <w:ind w:left="644"/>
        <w:rPr>
          <w:i/>
          <w:sz w:val="28"/>
          <w:szCs w:val="28"/>
        </w:rPr>
      </w:pPr>
      <w:r>
        <w:rPr>
          <w:i/>
          <w:sz w:val="28"/>
          <w:szCs w:val="28"/>
        </w:rPr>
        <w:t xml:space="preserve">The lost modern grant.  The presumption of use since 1189 is easily rebuttable when using the common law, and </w:t>
      </w:r>
      <w:r>
        <w:rPr>
          <w:b/>
          <w:i/>
          <w:sz w:val="28"/>
          <w:szCs w:val="28"/>
        </w:rPr>
        <w:t xml:space="preserve">PA 1832 </w:t>
      </w:r>
      <w:r>
        <w:rPr>
          <w:i/>
          <w:sz w:val="28"/>
          <w:szCs w:val="28"/>
        </w:rPr>
        <w:t>requires use of the right up to the date of the court action.  The lost modern grant is less strict in terms of conditions.</w:t>
      </w:r>
    </w:p>
    <w:p w14:paraId="2F32F483" w14:textId="77777777" w:rsidR="00DD533E" w:rsidRPr="00DD533E" w:rsidRDefault="00DD533E" w:rsidP="00DD533E">
      <w:pPr>
        <w:pStyle w:val="ListParagraph"/>
        <w:rPr>
          <w:sz w:val="28"/>
          <w:szCs w:val="28"/>
        </w:rPr>
      </w:pPr>
    </w:p>
    <w:p w14:paraId="50DB201A" w14:textId="77777777" w:rsidR="00DD533E" w:rsidRDefault="001D0B6C" w:rsidP="00DD533E">
      <w:pPr>
        <w:pStyle w:val="ListParagraph"/>
        <w:numPr>
          <w:ilvl w:val="0"/>
          <w:numId w:val="1"/>
        </w:numPr>
        <w:rPr>
          <w:sz w:val="28"/>
          <w:szCs w:val="28"/>
        </w:rPr>
      </w:pPr>
      <w:r w:rsidRPr="00DD533E">
        <w:rPr>
          <w:sz w:val="28"/>
          <w:szCs w:val="28"/>
        </w:rPr>
        <w:t>Is an easement acquired by prescription legal or equitable?</w:t>
      </w:r>
    </w:p>
    <w:p w14:paraId="016B6F79" w14:textId="77777777" w:rsidR="00F904B7" w:rsidRPr="00F904B7" w:rsidRDefault="00F904B7" w:rsidP="00F904B7">
      <w:pPr>
        <w:pStyle w:val="ListParagraph"/>
        <w:ind w:left="644"/>
        <w:rPr>
          <w:i/>
          <w:sz w:val="28"/>
          <w:szCs w:val="28"/>
        </w:rPr>
      </w:pPr>
      <w:r>
        <w:rPr>
          <w:i/>
          <w:sz w:val="28"/>
          <w:szCs w:val="28"/>
        </w:rPr>
        <w:t xml:space="preserve">It is legal because it is presumed that the right </w:t>
      </w:r>
      <w:r w:rsidR="00D046D8">
        <w:rPr>
          <w:i/>
          <w:sz w:val="28"/>
          <w:szCs w:val="28"/>
        </w:rPr>
        <w:t>was granted by deed sometime in the past.</w:t>
      </w:r>
    </w:p>
    <w:p w14:paraId="11A02943" w14:textId="77777777" w:rsidR="00DD533E" w:rsidRPr="00DD533E" w:rsidRDefault="00DD533E" w:rsidP="00DD533E">
      <w:pPr>
        <w:rPr>
          <w:sz w:val="28"/>
          <w:szCs w:val="28"/>
        </w:rPr>
      </w:pPr>
    </w:p>
    <w:p w14:paraId="485B9A93" w14:textId="77777777" w:rsidR="00DD533E" w:rsidRDefault="001D0B6C" w:rsidP="00DD533E">
      <w:pPr>
        <w:pStyle w:val="ListParagraph"/>
        <w:numPr>
          <w:ilvl w:val="0"/>
          <w:numId w:val="1"/>
        </w:numPr>
        <w:rPr>
          <w:sz w:val="28"/>
          <w:szCs w:val="28"/>
        </w:rPr>
      </w:pPr>
      <w:r w:rsidRPr="00DD533E">
        <w:rPr>
          <w:sz w:val="28"/>
          <w:szCs w:val="28"/>
        </w:rPr>
        <w:t>Why is it important that the burden of a restrictive covenant runs with the land?</w:t>
      </w:r>
    </w:p>
    <w:p w14:paraId="7D45D752" w14:textId="77777777" w:rsidR="00D046D8" w:rsidRPr="00D046D8" w:rsidRDefault="00D046D8" w:rsidP="00D046D8">
      <w:pPr>
        <w:pStyle w:val="ListParagraph"/>
        <w:ind w:left="644"/>
        <w:rPr>
          <w:i/>
          <w:sz w:val="28"/>
          <w:szCs w:val="28"/>
        </w:rPr>
      </w:pPr>
      <w:r>
        <w:rPr>
          <w:i/>
          <w:sz w:val="28"/>
          <w:szCs w:val="28"/>
        </w:rPr>
        <w:t>If a restriction was not enforceable against a subsequent purchaser of the burdened land, the covenant would be worthless.  Only restrictive covenants are recognised as being capable of binding a third party because it is unacceptable to burden a party who was not party to the covenant with positive obligations.</w:t>
      </w:r>
    </w:p>
    <w:p w14:paraId="7B626C1B" w14:textId="77777777" w:rsidR="00DD533E" w:rsidRPr="00DD533E" w:rsidRDefault="00DD533E" w:rsidP="00DD533E">
      <w:pPr>
        <w:pStyle w:val="ListParagraph"/>
        <w:rPr>
          <w:sz w:val="28"/>
          <w:szCs w:val="28"/>
        </w:rPr>
      </w:pPr>
    </w:p>
    <w:p w14:paraId="09DA49D0" w14:textId="77777777" w:rsidR="00DD533E" w:rsidRPr="00DD533E" w:rsidRDefault="00DD533E" w:rsidP="00DD533E">
      <w:pPr>
        <w:pStyle w:val="ListParagraph"/>
        <w:rPr>
          <w:sz w:val="28"/>
          <w:szCs w:val="28"/>
        </w:rPr>
      </w:pPr>
    </w:p>
    <w:p w14:paraId="164E69BC" w14:textId="77777777" w:rsidR="001D0B6C" w:rsidRDefault="001D0B6C" w:rsidP="001D0B6C">
      <w:pPr>
        <w:pStyle w:val="ListParagraph"/>
        <w:numPr>
          <w:ilvl w:val="0"/>
          <w:numId w:val="1"/>
        </w:numPr>
        <w:rPr>
          <w:sz w:val="28"/>
          <w:szCs w:val="28"/>
        </w:rPr>
      </w:pPr>
      <w:r w:rsidRPr="00DD533E">
        <w:rPr>
          <w:sz w:val="28"/>
          <w:szCs w:val="28"/>
        </w:rPr>
        <w:t>Why does the burden of a positive covenant not run with the land?</w:t>
      </w:r>
    </w:p>
    <w:p w14:paraId="593B1B7A" w14:textId="77777777" w:rsidR="00D046D8" w:rsidRPr="00D046D8" w:rsidRDefault="00D046D8" w:rsidP="00D046D8">
      <w:pPr>
        <w:pStyle w:val="ListParagraph"/>
        <w:ind w:left="644"/>
        <w:rPr>
          <w:i/>
          <w:sz w:val="28"/>
          <w:szCs w:val="28"/>
        </w:rPr>
      </w:pPr>
      <w:r>
        <w:rPr>
          <w:i/>
          <w:sz w:val="28"/>
          <w:szCs w:val="28"/>
        </w:rPr>
        <w:t>This is because it would be unfair for a person to promise to carry out a positive obligation on behalf of his successors in title.</w:t>
      </w:r>
    </w:p>
    <w:p w14:paraId="4B99EA6A" w14:textId="77777777" w:rsidR="00DD533E" w:rsidRDefault="00DD533E" w:rsidP="00DD533E">
      <w:pPr>
        <w:pStyle w:val="ListParagraph"/>
        <w:rPr>
          <w:sz w:val="28"/>
          <w:szCs w:val="28"/>
        </w:rPr>
      </w:pPr>
    </w:p>
    <w:p w14:paraId="6AC2CF34" w14:textId="77777777" w:rsidR="00DD533E" w:rsidRPr="00DD533E" w:rsidRDefault="00DD533E" w:rsidP="00DD533E">
      <w:pPr>
        <w:pStyle w:val="ListParagraph"/>
        <w:rPr>
          <w:sz w:val="28"/>
          <w:szCs w:val="28"/>
        </w:rPr>
      </w:pPr>
    </w:p>
    <w:p w14:paraId="4E93F0E8" w14:textId="77777777" w:rsidR="00DD533E" w:rsidRDefault="001D0B6C" w:rsidP="00DD533E">
      <w:pPr>
        <w:pStyle w:val="ListParagraph"/>
        <w:numPr>
          <w:ilvl w:val="0"/>
          <w:numId w:val="1"/>
        </w:numPr>
        <w:rPr>
          <w:sz w:val="28"/>
          <w:szCs w:val="28"/>
        </w:rPr>
      </w:pPr>
      <w:r w:rsidRPr="00DD533E">
        <w:rPr>
          <w:sz w:val="28"/>
          <w:szCs w:val="28"/>
        </w:rPr>
        <w:t>Is a restrictive covenant a legal or equitable interest?</w:t>
      </w:r>
    </w:p>
    <w:p w14:paraId="1C8DC728" w14:textId="77777777" w:rsidR="00D046D8" w:rsidRPr="00D046D8" w:rsidRDefault="00D046D8" w:rsidP="00D046D8">
      <w:pPr>
        <w:pStyle w:val="ListParagraph"/>
        <w:ind w:left="644"/>
        <w:rPr>
          <w:i/>
          <w:sz w:val="28"/>
          <w:szCs w:val="28"/>
        </w:rPr>
      </w:pPr>
      <w:r>
        <w:rPr>
          <w:i/>
          <w:sz w:val="28"/>
          <w:szCs w:val="28"/>
        </w:rPr>
        <w:t xml:space="preserve">It is an equitable interest because it is not capable of being a legal interest under </w:t>
      </w:r>
      <w:r>
        <w:rPr>
          <w:b/>
          <w:i/>
          <w:sz w:val="28"/>
          <w:szCs w:val="28"/>
        </w:rPr>
        <w:t>s1 LPA 1925</w:t>
      </w:r>
      <w:r>
        <w:rPr>
          <w:i/>
          <w:sz w:val="28"/>
          <w:szCs w:val="28"/>
        </w:rPr>
        <w:t>, and its enforcement against a successor in title to the covenanto</w:t>
      </w:r>
      <w:r w:rsidR="00D52BB2">
        <w:rPr>
          <w:i/>
          <w:sz w:val="28"/>
          <w:szCs w:val="28"/>
        </w:rPr>
        <w:t>r is enforceable in equity only.</w:t>
      </w:r>
    </w:p>
    <w:p w14:paraId="061DF8F7" w14:textId="77777777" w:rsidR="00DD533E" w:rsidRPr="00DD533E" w:rsidRDefault="00DD533E" w:rsidP="00DD533E">
      <w:pPr>
        <w:pStyle w:val="ListParagraph"/>
        <w:rPr>
          <w:sz w:val="28"/>
          <w:szCs w:val="28"/>
        </w:rPr>
      </w:pPr>
    </w:p>
    <w:p w14:paraId="46E4CE62" w14:textId="77777777" w:rsidR="00DD533E" w:rsidRPr="00DD533E" w:rsidRDefault="00DD533E" w:rsidP="00DD533E">
      <w:pPr>
        <w:pStyle w:val="ListParagraph"/>
        <w:rPr>
          <w:sz w:val="28"/>
          <w:szCs w:val="28"/>
        </w:rPr>
      </w:pPr>
    </w:p>
    <w:p w14:paraId="52CE5759" w14:textId="77777777" w:rsidR="001D0B6C" w:rsidRPr="0050790B" w:rsidRDefault="001D0B6C" w:rsidP="001D0B6C">
      <w:pPr>
        <w:pStyle w:val="ListParagraph"/>
        <w:numPr>
          <w:ilvl w:val="0"/>
          <w:numId w:val="1"/>
        </w:numPr>
        <w:rPr>
          <w:sz w:val="24"/>
          <w:szCs w:val="24"/>
        </w:rPr>
      </w:pPr>
      <w:r w:rsidRPr="0050790B">
        <w:rPr>
          <w:sz w:val="24"/>
          <w:szCs w:val="24"/>
        </w:rPr>
        <w:t>Why is it important for the benefited land to be identified?</w:t>
      </w:r>
    </w:p>
    <w:p w14:paraId="50F9D1B0" w14:textId="77777777" w:rsidR="00D52BB2" w:rsidRPr="0050790B" w:rsidRDefault="00D52BB2" w:rsidP="00D52BB2">
      <w:pPr>
        <w:pStyle w:val="ListParagraph"/>
        <w:ind w:left="644"/>
        <w:rPr>
          <w:i/>
          <w:sz w:val="24"/>
          <w:szCs w:val="24"/>
        </w:rPr>
      </w:pPr>
      <w:r w:rsidRPr="0050790B">
        <w:rPr>
          <w:i/>
          <w:sz w:val="24"/>
          <w:szCs w:val="24"/>
        </w:rPr>
        <w:t>So that the person able to sue on the benefit of the covenant can be identified; so that the owner of the burdened land knows who to ask for discharge of a covenant; and so the owner of the burdened land knows who has the capacity to sue him for breach of covenant.</w:t>
      </w:r>
    </w:p>
    <w:p w14:paraId="1AEE3D68" w14:textId="77777777" w:rsidR="00DD533E" w:rsidRPr="00DD533E" w:rsidRDefault="00DD533E" w:rsidP="00DD533E">
      <w:pPr>
        <w:rPr>
          <w:sz w:val="28"/>
          <w:szCs w:val="28"/>
        </w:rPr>
      </w:pPr>
    </w:p>
    <w:p w14:paraId="40B68AE9" w14:textId="77777777" w:rsidR="001D0B6C" w:rsidRPr="00DD533E" w:rsidRDefault="001D0B6C" w:rsidP="001D0B6C">
      <w:pPr>
        <w:pStyle w:val="ListParagraph"/>
        <w:numPr>
          <w:ilvl w:val="0"/>
          <w:numId w:val="1"/>
        </w:numPr>
        <w:rPr>
          <w:sz w:val="28"/>
          <w:szCs w:val="28"/>
        </w:rPr>
      </w:pPr>
      <w:r w:rsidRPr="00DD533E">
        <w:rPr>
          <w:sz w:val="28"/>
          <w:szCs w:val="28"/>
        </w:rPr>
        <w:t>John bought that part of Fred’s land called The Orchard.  He covenanted not to keep chickens.  John has sold the house to Peter, who, in turn, has sold it to Jemima.  Fred wants to know if he can enforce the covenants against Jemima, who is keeping chickens.  When advising Fred, which of the following do you need to look at?</w:t>
      </w:r>
    </w:p>
    <w:p w14:paraId="35FBD51A" w14:textId="77777777" w:rsidR="001D0B6C" w:rsidRPr="00DD533E" w:rsidRDefault="001D0B6C" w:rsidP="001D0B6C">
      <w:pPr>
        <w:pStyle w:val="ListParagraph"/>
        <w:rPr>
          <w:sz w:val="28"/>
          <w:szCs w:val="28"/>
        </w:rPr>
      </w:pPr>
    </w:p>
    <w:p w14:paraId="192B12BA" w14:textId="77777777" w:rsidR="00DD533E" w:rsidRPr="00DD533E" w:rsidRDefault="001D0B6C" w:rsidP="00DD533E">
      <w:pPr>
        <w:pStyle w:val="ListParagraph"/>
        <w:numPr>
          <w:ilvl w:val="0"/>
          <w:numId w:val="2"/>
        </w:numPr>
        <w:rPr>
          <w:sz w:val="28"/>
          <w:szCs w:val="28"/>
        </w:rPr>
      </w:pPr>
      <w:r w:rsidRPr="00DD533E">
        <w:rPr>
          <w:sz w:val="28"/>
          <w:szCs w:val="28"/>
        </w:rPr>
        <w:t>The rules relating to the running of the benefit at common law.</w:t>
      </w:r>
    </w:p>
    <w:p w14:paraId="247A199A" w14:textId="77777777" w:rsidR="001D0B6C" w:rsidRPr="00DD533E" w:rsidRDefault="001D0B6C" w:rsidP="001D0B6C">
      <w:pPr>
        <w:pStyle w:val="ListParagraph"/>
        <w:numPr>
          <w:ilvl w:val="0"/>
          <w:numId w:val="2"/>
        </w:numPr>
        <w:rPr>
          <w:sz w:val="28"/>
          <w:szCs w:val="28"/>
        </w:rPr>
      </w:pPr>
      <w:r w:rsidRPr="00DD533E">
        <w:rPr>
          <w:sz w:val="28"/>
          <w:szCs w:val="28"/>
        </w:rPr>
        <w:t>The rules relating to the running of the benefit in equity.</w:t>
      </w:r>
    </w:p>
    <w:p w14:paraId="7B34ECFA" w14:textId="77777777" w:rsidR="001D0B6C" w:rsidRPr="00DD533E" w:rsidRDefault="001D0B6C" w:rsidP="001D0B6C">
      <w:pPr>
        <w:pStyle w:val="ListParagraph"/>
        <w:numPr>
          <w:ilvl w:val="0"/>
          <w:numId w:val="2"/>
        </w:numPr>
        <w:rPr>
          <w:sz w:val="28"/>
          <w:szCs w:val="28"/>
        </w:rPr>
      </w:pPr>
      <w:r w:rsidRPr="00DD533E">
        <w:rPr>
          <w:sz w:val="28"/>
          <w:szCs w:val="28"/>
        </w:rPr>
        <w:t>The rules relating to the running of the burden at common law.</w:t>
      </w:r>
    </w:p>
    <w:p w14:paraId="38743053" w14:textId="77777777" w:rsidR="001D0B6C" w:rsidRDefault="001D0B6C" w:rsidP="001D0B6C">
      <w:pPr>
        <w:pStyle w:val="ListParagraph"/>
        <w:numPr>
          <w:ilvl w:val="0"/>
          <w:numId w:val="2"/>
        </w:numPr>
        <w:rPr>
          <w:sz w:val="28"/>
          <w:szCs w:val="28"/>
        </w:rPr>
      </w:pPr>
      <w:r w:rsidRPr="00DD533E">
        <w:rPr>
          <w:sz w:val="28"/>
          <w:szCs w:val="28"/>
        </w:rPr>
        <w:t>The rules relating to the running of the burden in equity.</w:t>
      </w:r>
    </w:p>
    <w:p w14:paraId="5C6EC395" w14:textId="77777777" w:rsidR="00D52BB2" w:rsidRPr="00D52BB2" w:rsidRDefault="00D52BB2" w:rsidP="00D52BB2">
      <w:pPr>
        <w:ind w:left="720"/>
        <w:rPr>
          <w:i/>
          <w:sz w:val="24"/>
          <w:szCs w:val="24"/>
        </w:rPr>
      </w:pPr>
      <w:r w:rsidRPr="00D52BB2">
        <w:rPr>
          <w:i/>
          <w:sz w:val="24"/>
          <w:szCs w:val="24"/>
        </w:rPr>
        <w:t xml:space="preserve">D – you do not need to look at the rules relating to the running of the benefit either at common law or in equity because the benefited land has not been sold.  Fred, as covenantee, is till entitled to sue on the covenant.  Only the burdened land has been sold so you need to look at the rules relating to the running of the burden only.  These will be the rules relating to the running of the burden in equity because the burden of a covenant, both positive and negative, does not run at common law and none of the exceptions apply. </w:t>
      </w:r>
    </w:p>
    <w:p w14:paraId="20520665" w14:textId="77777777" w:rsidR="00DD533E" w:rsidRPr="00DD533E" w:rsidRDefault="00DD533E" w:rsidP="00DD533E">
      <w:pPr>
        <w:pStyle w:val="ListParagraph"/>
        <w:ind w:left="1080"/>
        <w:rPr>
          <w:sz w:val="28"/>
          <w:szCs w:val="28"/>
        </w:rPr>
      </w:pPr>
    </w:p>
    <w:p w14:paraId="05CC0D50" w14:textId="77777777" w:rsidR="001D0B6C" w:rsidRDefault="001D0B6C" w:rsidP="001D0B6C">
      <w:pPr>
        <w:pStyle w:val="ListParagraph"/>
        <w:numPr>
          <w:ilvl w:val="0"/>
          <w:numId w:val="1"/>
        </w:numPr>
        <w:rPr>
          <w:sz w:val="28"/>
          <w:szCs w:val="28"/>
        </w:rPr>
      </w:pPr>
      <w:r w:rsidRPr="00DD533E">
        <w:rPr>
          <w:sz w:val="28"/>
          <w:szCs w:val="28"/>
        </w:rPr>
        <w:t>Mr Brown owns The Farm, which is subject to a restrictive covenant made by his predecessors in title that it should not be used as commercial premises.  The Farm is now surrounded by out-of-town commercial development, and a large supermarket has been built in the immediate vicinity.  Mr Brown wishes to turn The Farm into a small industrial estate.  Advise him how he should go about doing this.</w:t>
      </w:r>
    </w:p>
    <w:p w14:paraId="00276785" w14:textId="77777777" w:rsidR="00D52BB2" w:rsidRPr="00D52BB2" w:rsidRDefault="00D52BB2" w:rsidP="00D52BB2">
      <w:pPr>
        <w:pStyle w:val="ListParagraph"/>
        <w:ind w:left="644"/>
        <w:rPr>
          <w:i/>
          <w:sz w:val="28"/>
          <w:szCs w:val="28"/>
        </w:rPr>
      </w:pPr>
      <w:r>
        <w:rPr>
          <w:i/>
          <w:sz w:val="28"/>
          <w:szCs w:val="28"/>
        </w:rPr>
        <w:t xml:space="preserve">Subject to any planning permission requirements, Mr Brown should ask for discharge of the restrictive covenant under </w:t>
      </w:r>
      <w:r>
        <w:rPr>
          <w:b/>
          <w:i/>
          <w:sz w:val="28"/>
          <w:szCs w:val="28"/>
        </w:rPr>
        <w:t xml:space="preserve">s84 LPA 1925 </w:t>
      </w:r>
      <w:r>
        <w:rPr>
          <w:i/>
          <w:sz w:val="28"/>
          <w:szCs w:val="28"/>
        </w:rPr>
        <w:t>on the basis that the restriction is obsolete in light of the changes in the character of the neighbourhood.</w:t>
      </w:r>
    </w:p>
    <w:sectPr w:rsidR="00D52BB2" w:rsidRPr="00D52B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9369FA"/>
    <w:multiLevelType w:val="hybridMultilevel"/>
    <w:tmpl w:val="936AE1D6"/>
    <w:lvl w:ilvl="0" w:tplc="9C363D0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CD2743D"/>
    <w:multiLevelType w:val="hybridMultilevel"/>
    <w:tmpl w:val="6D1420F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B6C"/>
    <w:rsid w:val="000629CC"/>
    <w:rsid w:val="00082871"/>
    <w:rsid w:val="00160D89"/>
    <w:rsid w:val="00175556"/>
    <w:rsid w:val="001D0B6C"/>
    <w:rsid w:val="00212968"/>
    <w:rsid w:val="002B2EA0"/>
    <w:rsid w:val="002F38A9"/>
    <w:rsid w:val="0034537B"/>
    <w:rsid w:val="003E7E5D"/>
    <w:rsid w:val="00441CD0"/>
    <w:rsid w:val="004E3562"/>
    <w:rsid w:val="0050790B"/>
    <w:rsid w:val="00511A75"/>
    <w:rsid w:val="006031BA"/>
    <w:rsid w:val="006F4844"/>
    <w:rsid w:val="00713C90"/>
    <w:rsid w:val="00747609"/>
    <w:rsid w:val="00752F6B"/>
    <w:rsid w:val="00850312"/>
    <w:rsid w:val="00A26D5C"/>
    <w:rsid w:val="00A61D40"/>
    <w:rsid w:val="00A85C39"/>
    <w:rsid w:val="00B163C3"/>
    <w:rsid w:val="00B252C4"/>
    <w:rsid w:val="00B8717E"/>
    <w:rsid w:val="00BB24D0"/>
    <w:rsid w:val="00BC5879"/>
    <w:rsid w:val="00CA2EC2"/>
    <w:rsid w:val="00CA4956"/>
    <w:rsid w:val="00CB25AC"/>
    <w:rsid w:val="00CD5622"/>
    <w:rsid w:val="00D046D8"/>
    <w:rsid w:val="00D52BB2"/>
    <w:rsid w:val="00DA7478"/>
    <w:rsid w:val="00DD533E"/>
    <w:rsid w:val="00DF1CA9"/>
    <w:rsid w:val="00EA797D"/>
    <w:rsid w:val="00F90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A212D"/>
  <w15:chartTrackingRefBased/>
  <w15:docId w15:val="{D329E785-3F4C-4FC7-A081-6CC5C30C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B6C"/>
    <w:pPr>
      <w:ind w:left="720"/>
      <w:contextualSpacing/>
    </w:pPr>
  </w:style>
  <w:style w:type="paragraph" w:styleId="BalloonText">
    <w:name w:val="Balloon Text"/>
    <w:basedOn w:val="Normal"/>
    <w:link w:val="BalloonTextChar"/>
    <w:uiPriority w:val="99"/>
    <w:semiHidden/>
    <w:unhideWhenUsed/>
    <w:rsid w:val="00F904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4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 (IMH)</dc:creator>
  <cp:keywords/>
  <dc:description/>
  <cp:lastModifiedBy>Louise Holmes</cp:lastModifiedBy>
  <cp:revision>2</cp:revision>
  <cp:lastPrinted>2020-03-09T09:42:00Z</cp:lastPrinted>
  <dcterms:created xsi:type="dcterms:W3CDTF">2021-03-17T15:03:00Z</dcterms:created>
  <dcterms:modified xsi:type="dcterms:W3CDTF">2021-03-17T15:03:00Z</dcterms:modified>
</cp:coreProperties>
</file>