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D4C5E" w14:textId="77777777" w:rsidR="00D5726D" w:rsidRPr="00AF65B4" w:rsidRDefault="00D5726D" w:rsidP="00D5726D">
      <w:pPr>
        <w:jc w:val="center"/>
        <w:rPr>
          <w:rFonts w:asciiTheme="majorHAnsi" w:hAnsiTheme="majorHAnsi" w:cstheme="majorHAnsi"/>
          <w:sz w:val="28"/>
          <w:szCs w:val="28"/>
        </w:rPr>
      </w:pPr>
      <w:r w:rsidRPr="00AF65B4">
        <w:rPr>
          <w:rFonts w:asciiTheme="majorHAnsi" w:hAnsiTheme="majorHAnsi" w:cstheme="majorHAnsi"/>
          <w:sz w:val="28"/>
          <w:szCs w:val="28"/>
        </w:rPr>
        <w:t>Jayden Thoirs</w:t>
      </w:r>
    </w:p>
    <w:p w14:paraId="7B67AB61" w14:textId="77777777" w:rsidR="00D5726D" w:rsidRPr="00AF65B4" w:rsidRDefault="00D5726D" w:rsidP="00D5726D">
      <w:pPr>
        <w:jc w:val="center"/>
        <w:rPr>
          <w:rFonts w:asciiTheme="majorHAnsi" w:hAnsiTheme="majorHAnsi" w:cstheme="majorHAnsi"/>
          <w:sz w:val="28"/>
          <w:szCs w:val="28"/>
        </w:rPr>
      </w:pPr>
      <w:r w:rsidRPr="00AF65B4">
        <w:rPr>
          <w:rFonts w:asciiTheme="majorHAnsi" w:hAnsiTheme="majorHAnsi" w:cstheme="majorHAnsi"/>
          <w:sz w:val="28"/>
          <w:szCs w:val="28"/>
        </w:rPr>
        <w:t>University Number – 2222952</w:t>
      </w:r>
    </w:p>
    <w:p w14:paraId="5326A465" w14:textId="77777777" w:rsidR="00D5726D" w:rsidRDefault="00D5726D" w:rsidP="00D5726D">
      <w:pPr>
        <w:jc w:val="center"/>
        <w:rPr>
          <w:rFonts w:asciiTheme="majorHAnsi" w:hAnsiTheme="majorHAnsi" w:cstheme="majorHAnsi"/>
          <w:sz w:val="28"/>
          <w:szCs w:val="28"/>
        </w:rPr>
      </w:pPr>
      <w:r w:rsidRPr="00AF65B4">
        <w:rPr>
          <w:rFonts w:asciiTheme="majorHAnsi" w:hAnsiTheme="majorHAnsi" w:cstheme="majorHAnsi"/>
          <w:sz w:val="28"/>
          <w:szCs w:val="28"/>
        </w:rPr>
        <w:t>Cohort 04/22</w:t>
      </w:r>
    </w:p>
    <w:p w14:paraId="65001C6A" w14:textId="4801C45F" w:rsidR="00D5726D" w:rsidRDefault="00D5726D" w:rsidP="00D5726D">
      <w:pPr>
        <w:jc w:val="center"/>
        <w:rPr>
          <w:rFonts w:asciiTheme="majorHAnsi" w:hAnsiTheme="majorHAnsi" w:cstheme="majorHAnsi"/>
          <w:sz w:val="28"/>
          <w:szCs w:val="28"/>
        </w:rPr>
      </w:pPr>
      <w:r>
        <w:rPr>
          <w:rFonts w:asciiTheme="majorHAnsi" w:hAnsiTheme="majorHAnsi" w:cstheme="majorHAnsi"/>
          <w:sz w:val="28"/>
          <w:szCs w:val="28"/>
        </w:rPr>
        <w:t>Year 2 Assignment 1.</w:t>
      </w:r>
    </w:p>
    <w:p w14:paraId="0CA82C3B" w14:textId="77777777" w:rsidR="00D5726D" w:rsidRPr="00D5726D" w:rsidRDefault="00D5726D" w:rsidP="00D5726D">
      <w:pPr>
        <w:jc w:val="center"/>
        <w:rPr>
          <w:rFonts w:asciiTheme="majorHAnsi" w:hAnsiTheme="majorHAnsi" w:cstheme="majorHAnsi"/>
          <w:sz w:val="28"/>
          <w:szCs w:val="28"/>
        </w:rPr>
      </w:pPr>
    </w:p>
    <w:p w14:paraId="08AEA2A5" w14:textId="77777777" w:rsidR="00D5726D" w:rsidRDefault="00D5726D" w:rsidP="00D5726D">
      <w:pPr>
        <w:pStyle w:val="NormalWeb"/>
        <w:spacing w:before="0" w:beforeAutospacing="0" w:after="0" w:afterAutospacing="0"/>
        <w:rPr>
          <w:b/>
          <w:bCs/>
        </w:rPr>
      </w:pPr>
      <w:r w:rsidRPr="00D5726D">
        <w:rPr>
          <w:b/>
          <w:bCs/>
        </w:rPr>
        <w:t>Essay one:</w:t>
      </w:r>
    </w:p>
    <w:p w14:paraId="58FE4F75" w14:textId="2F3B1558" w:rsidR="00D5726D" w:rsidRPr="00D5726D" w:rsidRDefault="00D5726D" w:rsidP="00D5726D">
      <w:pPr>
        <w:pStyle w:val="NormalWeb"/>
        <w:spacing w:before="0" w:beforeAutospacing="0" w:after="0" w:afterAutospacing="0"/>
        <w:rPr>
          <w:b/>
          <w:bCs/>
        </w:rPr>
      </w:pPr>
      <w:r w:rsidRPr="00D5726D">
        <w:rPr>
          <w:b/>
          <w:bCs/>
        </w:rPr>
        <w:t xml:space="preserve"> Assess the impact that cultural diversity has had on policing practice (e.g. neighbourhood policing) and professional policies and standards (e.g. PACE, Code of Ethics). Support your answer with relevant evidence drawn from academic sources. </w:t>
      </w:r>
    </w:p>
    <w:p w14:paraId="613ABBCA" w14:textId="4D588BF7" w:rsidR="00D5726D" w:rsidRPr="00D5726D" w:rsidRDefault="00D5726D" w:rsidP="00D5726D">
      <w:pPr>
        <w:pStyle w:val="NormalWeb"/>
        <w:spacing w:before="0" w:beforeAutospacing="0" w:after="0" w:afterAutospacing="0"/>
        <w:rPr>
          <w:rFonts w:asciiTheme="minorHAnsi" w:hAnsiTheme="minorHAnsi" w:cstheme="minorHAnsi"/>
          <w:b/>
          <w:bCs/>
          <w:color w:val="000000"/>
        </w:rPr>
      </w:pPr>
      <w:r w:rsidRPr="00D5726D">
        <w:rPr>
          <w:b/>
          <w:bCs/>
        </w:rPr>
        <w:t>Word limit: 1000 words.</w:t>
      </w:r>
    </w:p>
    <w:p w14:paraId="5E77DBBE" w14:textId="77777777" w:rsidR="00D5726D" w:rsidRDefault="00D5726D" w:rsidP="00D5726D">
      <w:pPr>
        <w:pStyle w:val="NormalWeb"/>
        <w:spacing w:before="0" w:beforeAutospacing="0" w:after="0" w:afterAutospacing="0"/>
        <w:rPr>
          <w:rFonts w:asciiTheme="minorHAnsi" w:hAnsiTheme="minorHAnsi" w:cstheme="minorHAnsi"/>
          <w:color w:val="000000"/>
        </w:rPr>
      </w:pPr>
    </w:p>
    <w:p w14:paraId="72833C26" w14:textId="092811AC" w:rsidR="00D5726D" w:rsidRDefault="00D5726D" w:rsidP="00D5726D">
      <w:pPr>
        <w:pStyle w:val="NormalWeb"/>
        <w:spacing w:before="0" w:beforeAutospacing="0" w:after="0" w:afterAutospacing="0"/>
        <w:rPr>
          <w:rFonts w:asciiTheme="minorHAnsi" w:hAnsiTheme="minorHAnsi" w:cstheme="minorHAnsi"/>
          <w:color w:val="000000"/>
        </w:rPr>
      </w:pPr>
      <w:r w:rsidRPr="00D1670E">
        <w:rPr>
          <w:rFonts w:asciiTheme="minorHAnsi" w:hAnsiTheme="minorHAnsi" w:cstheme="minorHAnsi"/>
          <w:color w:val="000000"/>
        </w:rPr>
        <w:t>This essay aims to assess the influence of cultural diversity on the implementation of policing practices and the development of professional policies and standards. It will review the concern of ethnic and racial disparity surrounding “stop and search” a</w:t>
      </w:r>
      <w:r>
        <w:rPr>
          <w:rFonts w:asciiTheme="minorHAnsi" w:hAnsiTheme="minorHAnsi" w:cstheme="minorHAnsi"/>
          <w:color w:val="000000"/>
        </w:rPr>
        <w:t xml:space="preserve">nd </w:t>
      </w:r>
      <w:r w:rsidRPr="00D1670E">
        <w:rPr>
          <w:rFonts w:asciiTheme="minorHAnsi" w:hAnsiTheme="minorHAnsi" w:cstheme="minorHAnsi"/>
          <w:color w:val="000000"/>
        </w:rPr>
        <w:t>the murder of Steven Lawrence.</w:t>
      </w:r>
    </w:p>
    <w:p w14:paraId="2FA76DAD" w14:textId="77777777" w:rsidR="00D5726D" w:rsidRPr="0077217F" w:rsidRDefault="00D5726D" w:rsidP="00D5726D">
      <w:pPr>
        <w:pStyle w:val="NormalWeb"/>
        <w:spacing w:before="0" w:beforeAutospacing="0" w:after="0" w:afterAutospacing="0"/>
        <w:rPr>
          <w:rFonts w:asciiTheme="minorHAnsi" w:hAnsiTheme="minorHAnsi" w:cstheme="minorHAnsi"/>
        </w:rPr>
      </w:pPr>
    </w:p>
    <w:p w14:paraId="452740AB" w14:textId="7B252762" w:rsidR="00D5726D" w:rsidRPr="00D1670E" w:rsidRDefault="00D5726D" w:rsidP="00D5726D">
      <w:pPr>
        <w:pStyle w:val="NormalWeb"/>
        <w:spacing w:before="0" w:beforeAutospacing="0" w:after="0" w:afterAutospacing="0"/>
        <w:rPr>
          <w:rFonts w:asciiTheme="minorHAnsi" w:hAnsiTheme="minorHAnsi" w:cstheme="minorHAnsi"/>
        </w:rPr>
      </w:pPr>
      <w:r w:rsidRPr="00D1670E">
        <w:rPr>
          <w:rFonts w:asciiTheme="minorHAnsi" w:hAnsiTheme="minorHAnsi" w:cstheme="minorHAnsi"/>
          <w:color w:val="000000"/>
        </w:rPr>
        <w:t>During the Brixton Riots 1981, operation ‘Swamp 81’ recorded that 943 people were ‘stop and searched’ which led to 118 arrests, with more than half of th</w:t>
      </w:r>
      <w:r>
        <w:rPr>
          <w:rFonts w:asciiTheme="minorHAnsi" w:hAnsiTheme="minorHAnsi" w:cstheme="minorHAnsi"/>
          <w:color w:val="000000"/>
        </w:rPr>
        <w:t xml:space="preserve">ose arrested being </w:t>
      </w:r>
      <w:r w:rsidRPr="00D1670E">
        <w:rPr>
          <w:rFonts w:asciiTheme="minorHAnsi" w:hAnsiTheme="minorHAnsi" w:cstheme="minorHAnsi"/>
          <w:color w:val="000000"/>
        </w:rPr>
        <w:t xml:space="preserve">of black </w:t>
      </w:r>
      <w:r>
        <w:rPr>
          <w:rFonts w:asciiTheme="minorHAnsi" w:hAnsiTheme="minorHAnsi" w:cstheme="minorHAnsi"/>
          <w:color w:val="000000"/>
        </w:rPr>
        <w:t>origin</w:t>
      </w:r>
      <w:r w:rsidRPr="00D1670E">
        <w:rPr>
          <w:rFonts w:asciiTheme="minorHAnsi" w:hAnsiTheme="minorHAnsi" w:cstheme="minorHAnsi"/>
          <w:color w:val="000000"/>
        </w:rPr>
        <w:t xml:space="preserve"> </w:t>
      </w:r>
      <w:sdt>
        <w:sdtPr>
          <w:rPr>
            <w:rFonts w:asciiTheme="minorHAnsi" w:hAnsiTheme="minorHAnsi" w:cstheme="minorHAnsi"/>
            <w:color w:val="000000"/>
          </w:rPr>
          <w:id w:val="245350"/>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Bow02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(Bowling &amp; Phillips, 2002)</w:t>
          </w:r>
          <w:r>
            <w:rPr>
              <w:rFonts w:asciiTheme="minorHAnsi" w:hAnsiTheme="minorHAnsi" w:cstheme="minorHAnsi"/>
              <w:color w:val="000000"/>
            </w:rPr>
            <w:fldChar w:fldCharType="end"/>
          </w:r>
        </w:sdtContent>
      </w:sdt>
      <w:r w:rsidRPr="00D1670E">
        <w:rPr>
          <w:rFonts w:asciiTheme="minorHAnsi" w:hAnsiTheme="minorHAnsi" w:cstheme="minorHAnsi"/>
          <w:color w:val="000000"/>
        </w:rPr>
        <w:t xml:space="preserve">. Due to this, the Scarman Report </w:t>
      </w:r>
      <w:sdt>
        <w:sdtPr>
          <w:rPr>
            <w:rFonts w:asciiTheme="minorHAnsi" w:hAnsiTheme="minorHAnsi" w:cstheme="minorHAnsi"/>
            <w:color w:val="000000"/>
          </w:rPr>
          <w:id w:val="-1481996215"/>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Bri81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(Scarman, 1981)</w:t>
          </w:r>
          <w:r>
            <w:rPr>
              <w:rFonts w:asciiTheme="minorHAnsi" w:hAnsiTheme="minorHAnsi" w:cstheme="minorHAnsi"/>
              <w:color w:val="000000"/>
            </w:rPr>
            <w:fldChar w:fldCharType="end"/>
          </w:r>
        </w:sdtContent>
      </w:sdt>
      <w:r w:rsidRPr="00D1670E">
        <w:rPr>
          <w:rFonts w:asciiTheme="minorHAnsi" w:hAnsiTheme="minorHAnsi" w:cstheme="minorHAnsi"/>
          <w:color w:val="000000"/>
        </w:rPr>
        <w:t xml:space="preserve"> was produced to review the policing approach towards stop search during this time with conclusions being drawn that there was  an element of institutionalised racism within the Metropolitan </w:t>
      </w:r>
      <w:r>
        <w:rPr>
          <w:rFonts w:asciiTheme="minorHAnsi" w:hAnsiTheme="minorHAnsi" w:cstheme="minorHAnsi"/>
          <w:color w:val="000000"/>
        </w:rPr>
        <w:t>P</w:t>
      </w:r>
      <w:r w:rsidRPr="00D1670E">
        <w:rPr>
          <w:rFonts w:asciiTheme="minorHAnsi" w:hAnsiTheme="minorHAnsi" w:cstheme="minorHAnsi"/>
          <w:color w:val="000000"/>
        </w:rPr>
        <w:t xml:space="preserve">olice </w:t>
      </w:r>
      <w:r>
        <w:rPr>
          <w:rFonts w:asciiTheme="minorHAnsi" w:hAnsiTheme="minorHAnsi" w:cstheme="minorHAnsi"/>
          <w:color w:val="000000"/>
        </w:rPr>
        <w:t>S</w:t>
      </w:r>
      <w:r w:rsidRPr="00D1670E">
        <w:rPr>
          <w:rFonts w:asciiTheme="minorHAnsi" w:hAnsiTheme="minorHAnsi" w:cstheme="minorHAnsi"/>
          <w:color w:val="000000"/>
        </w:rPr>
        <w:t>ervice. The impact of this report was the written notion that policing practices needed to change to prevent prejudicial behaviour towards individuals of ethnic minorities. </w:t>
      </w:r>
    </w:p>
    <w:p w14:paraId="0DE8AA27" w14:textId="77777777" w:rsidR="00D5726D" w:rsidRPr="00D1670E" w:rsidRDefault="00D5726D" w:rsidP="00D5726D">
      <w:pPr>
        <w:rPr>
          <w:rFonts w:eastAsia="Times New Roman" w:cstheme="minorHAnsi"/>
        </w:rPr>
      </w:pPr>
    </w:p>
    <w:p w14:paraId="31D45F54" w14:textId="4C9C0EA7" w:rsidR="00D5726D" w:rsidRPr="00D1670E" w:rsidRDefault="00D5726D" w:rsidP="00D5726D">
      <w:pPr>
        <w:pStyle w:val="NormalWeb"/>
        <w:spacing w:before="0" w:beforeAutospacing="0" w:after="0" w:afterAutospacing="0"/>
        <w:rPr>
          <w:rFonts w:asciiTheme="minorHAnsi" w:hAnsiTheme="minorHAnsi" w:cstheme="minorHAnsi"/>
        </w:rPr>
      </w:pPr>
      <w:r w:rsidRPr="00D1670E">
        <w:rPr>
          <w:rFonts w:asciiTheme="minorHAnsi" w:hAnsiTheme="minorHAnsi" w:cstheme="minorHAnsi"/>
          <w:color w:val="000000"/>
        </w:rPr>
        <w:t xml:space="preserve">Prior to 1984, stop searches were difficult to regulate which may have contributed to rising public tension. This was due to national legislation during this time stating that the police could only stop and search for firearms and drugs </w:t>
      </w:r>
      <w:sdt>
        <w:sdtPr>
          <w:rPr>
            <w:rFonts w:asciiTheme="minorHAnsi" w:hAnsiTheme="minorHAnsi" w:cstheme="minorHAnsi"/>
            <w:color w:val="000000"/>
          </w:rPr>
          <w:id w:val="-1184436507"/>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Wil83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(Willis, 1983)</w:t>
          </w:r>
          <w:r>
            <w:rPr>
              <w:rFonts w:asciiTheme="minorHAnsi" w:hAnsiTheme="minorHAnsi" w:cstheme="minorHAnsi"/>
              <w:color w:val="000000"/>
            </w:rPr>
            <w:fldChar w:fldCharType="end"/>
          </w:r>
        </w:sdtContent>
      </w:sdt>
      <w:r w:rsidRPr="00D1670E">
        <w:rPr>
          <w:rFonts w:asciiTheme="minorHAnsi" w:hAnsiTheme="minorHAnsi" w:cstheme="minorHAnsi"/>
          <w:color w:val="000000"/>
        </w:rPr>
        <w:t>, with inconsistent variations in local legislation based in given areas. The Royal Commission on Criminal Procedure 1981 responded to the growing tension by recommending a UK wide</w:t>
      </w:r>
      <w:r>
        <w:rPr>
          <w:rFonts w:asciiTheme="minorHAnsi" w:hAnsiTheme="minorHAnsi" w:cstheme="minorHAnsi"/>
          <w:color w:val="000000"/>
        </w:rPr>
        <w:t xml:space="preserve"> </w:t>
      </w:r>
      <w:r w:rsidRPr="00D1670E">
        <w:rPr>
          <w:rFonts w:asciiTheme="minorHAnsi" w:hAnsiTheme="minorHAnsi" w:cstheme="minorHAnsi"/>
          <w:color w:val="000000"/>
        </w:rPr>
        <w:t>power</w:t>
      </w:r>
      <w:r>
        <w:rPr>
          <w:rFonts w:asciiTheme="minorHAnsi" w:hAnsiTheme="minorHAnsi" w:cstheme="minorHAnsi"/>
          <w:color w:val="000000"/>
        </w:rPr>
        <w:t>,</w:t>
      </w:r>
      <w:r w:rsidRPr="00D1670E">
        <w:rPr>
          <w:rFonts w:asciiTheme="minorHAnsi" w:hAnsiTheme="minorHAnsi" w:cstheme="minorHAnsi"/>
          <w:color w:val="000000"/>
        </w:rPr>
        <w:t xml:space="preserve"> that would give police officers power to search for stolen or prohibited articles. Subsequently the Police and Criminal Evidence Act 1984 and the police codes of practice were introduced to regulate and prevent unlawful discrimination.</w:t>
      </w:r>
    </w:p>
    <w:p w14:paraId="3B59E618" w14:textId="77777777" w:rsidR="00D5726D" w:rsidRPr="00D1670E" w:rsidRDefault="00D5726D" w:rsidP="00D5726D">
      <w:pPr>
        <w:rPr>
          <w:rFonts w:eastAsia="Times New Roman" w:cstheme="minorHAnsi"/>
        </w:rPr>
      </w:pPr>
    </w:p>
    <w:p w14:paraId="02DCF2A0" w14:textId="4AA66613" w:rsidR="00D5726D" w:rsidRDefault="00D5726D" w:rsidP="00D5726D">
      <w:pPr>
        <w:pStyle w:val="NormalWeb"/>
        <w:spacing w:before="0" w:beforeAutospacing="0" w:after="0" w:afterAutospacing="0"/>
        <w:rPr>
          <w:rFonts w:asciiTheme="minorHAnsi" w:hAnsiTheme="minorHAnsi" w:cstheme="minorHAnsi"/>
          <w:color w:val="000000"/>
        </w:rPr>
      </w:pPr>
      <w:r w:rsidRPr="00D1670E">
        <w:rPr>
          <w:rFonts w:asciiTheme="minorHAnsi" w:hAnsiTheme="minorHAnsi" w:cstheme="minorHAnsi"/>
          <w:color w:val="000000"/>
        </w:rPr>
        <w:t>Code A of the police codes of practice state, “Powers to stop and search must be used fairly, responsibly, with respect for people being searched and without lawful discrimination”. Code A introduced measures which took the form of administrative controls and various safeguards. The concept of reasonable suspicion</w:t>
      </w:r>
      <w:r>
        <w:rPr>
          <w:rFonts w:asciiTheme="minorHAnsi" w:hAnsiTheme="minorHAnsi" w:cstheme="minorHAnsi"/>
          <w:color w:val="000000"/>
        </w:rPr>
        <w:t xml:space="preserve"> </w:t>
      </w:r>
      <w:r w:rsidRPr="00D1670E">
        <w:rPr>
          <w:rFonts w:asciiTheme="minorHAnsi" w:hAnsiTheme="minorHAnsi" w:cstheme="minorHAnsi"/>
          <w:color w:val="000000"/>
        </w:rPr>
        <w:t xml:space="preserve">must be founded on objective and individual grounds, without any bias towards specific groups </w:t>
      </w:r>
      <w:sdt>
        <w:sdtPr>
          <w:rPr>
            <w:rFonts w:asciiTheme="minorHAnsi" w:hAnsiTheme="minorHAnsi" w:cstheme="minorHAnsi"/>
            <w:color w:val="000000"/>
          </w:rPr>
          <w:id w:val="-1999332701"/>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Bla00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(Bland, Miller, &amp; Quinton, 2000)</w:t>
          </w:r>
          <w:r>
            <w:rPr>
              <w:rFonts w:asciiTheme="minorHAnsi" w:hAnsiTheme="minorHAnsi" w:cstheme="minorHAnsi"/>
              <w:color w:val="000000"/>
            </w:rPr>
            <w:fldChar w:fldCharType="end"/>
          </w:r>
        </w:sdtContent>
      </w:sdt>
      <w:r>
        <w:rPr>
          <w:rFonts w:asciiTheme="minorHAnsi" w:hAnsiTheme="minorHAnsi" w:cstheme="minorHAnsi"/>
          <w:color w:val="000000"/>
        </w:rPr>
        <w:t xml:space="preserve">. </w:t>
      </w:r>
      <w:r w:rsidRPr="00D1670E">
        <w:rPr>
          <w:rFonts w:asciiTheme="minorHAnsi" w:hAnsiTheme="minorHAnsi" w:cstheme="minorHAnsi"/>
          <w:color w:val="000000"/>
        </w:rPr>
        <w:t>The impact of this could be argued that it helps prevent officers from using stop and search as an intimidation tactic to the public unjustly.</w:t>
      </w:r>
      <w:r>
        <w:rPr>
          <w:rFonts w:asciiTheme="minorHAnsi" w:hAnsiTheme="minorHAnsi" w:cstheme="minorHAnsi"/>
        </w:rPr>
        <w:t xml:space="preserve"> </w:t>
      </w:r>
      <w:r w:rsidRPr="00D1670E">
        <w:rPr>
          <w:rFonts w:asciiTheme="minorHAnsi" w:hAnsiTheme="minorHAnsi" w:cstheme="minorHAnsi"/>
          <w:color w:val="000000"/>
        </w:rPr>
        <w:t>Code A pushes the importance of the monitoring search records to ensure officers are held accountable for their decision making. Evidence shows that the changes helpe</w:t>
      </w:r>
      <w:r>
        <w:rPr>
          <w:rFonts w:asciiTheme="minorHAnsi" w:hAnsiTheme="minorHAnsi" w:cstheme="minorHAnsi"/>
          <w:color w:val="000000"/>
        </w:rPr>
        <w:t>d</w:t>
      </w:r>
      <w:r w:rsidRPr="00D1670E">
        <w:rPr>
          <w:rFonts w:asciiTheme="minorHAnsi" w:hAnsiTheme="minorHAnsi" w:cstheme="minorHAnsi"/>
          <w:color w:val="000000"/>
        </w:rPr>
        <w:t xml:space="preserve"> reduc</w:t>
      </w:r>
      <w:r>
        <w:rPr>
          <w:rFonts w:asciiTheme="minorHAnsi" w:hAnsiTheme="minorHAnsi" w:cstheme="minorHAnsi"/>
          <w:color w:val="000000"/>
        </w:rPr>
        <w:t>e</w:t>
      </w:r>
      <w:r w:rsidRPr="00D1670E">
        <w:rPr>
          <w:rFonts w:asciiTheme="minorHAnsi" w:hAnsiTheme="minorHAnsi" w:cstheme="minorHAnsi"/>
          <w:color w:val="000000"/>
        </w:rPr>
        <w:t xml:space="preserve"> the rates of disproportionate search numbers towards ethnic minorities </w:t>
      </w:r>
      <w:sdt>
        <w:sdtPr>
          <w:rPr>
            <w:rFonts w:asciiTheme="minorHAnsi" w:hAnsiTheme="minorHAnsi" w:cstheme="minorHAnsi"/>
            <w:color w:val="000000"/>
          </w:rPr>
          <w:id w:val="1727341717"/>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Mil10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(Miller, 2010)</w:t>
          </w:r>
          <w:r>
            <w:rPr>
              <w:rFonts w:asciiTheme="minorHAnsi" w:hAnsiTheme="minorHAnsi" w:cstheme="minorHAnsi"/>
              <w:color w:val="000000"/>
            </w:rPr>
            <w:fldChar w:fldCharType="end"/>
          </w:r>
        </w:sdtContent>
      </w:sdt>
      <w:r w:rsidRPr="00D1670E">
        <w:rPr>
          <w:rFonts w:asciiTheme="minorHAnsi" w:hAnsiTheme="minorHAnsi" w:cstheme="minorHAnsi"/>
          <w:color w:val="000000"/>
        </w:rPr>
        <w:t xml:space="preserve">. </w:t>
      </w:r>
      <w:r>
        <w:rPr>
          <w:rFonts w:asciiTheme="minorHAnsi" w:hAnsiTheme="minorHAnsi" w:cstheme="minorHAnsi"/>
          <w:color w:val="000000"/>
        </w:rPr>
        <w:t>However,</w:t>
      </w:r>
      <w:r>
        <w:t xml:space="preserve"> an HMIC inspection found 27% of search records did not contain adequate grounds to justify a search</w:t>
      </w:r>
      <w:sdt>
        <w:sdtPr>
          <w:rPr>
            <w:b/>
            <w:bCs/>
          </w:rPr>
          <w:id w:val="773915275"/>
          <w:citation/>
        </w:sdtPr>
        <w:sdtContent>
          <w:r>
            <w:rPr>
              <w:b/>
              <w:bCs/>
            </w:rPr>
            <w:fldChar w:fldCharType="begin"/>
          </w:r>
          <w:r>
            <w:rPr>
              <w:b/>
              <w:bCs/>
            </w:rPr>
            <w:instrText xml:space="preserve"> CITATION Bro97 \l 2057 </w:instrText>
          </w:r>
          <w:r>
            <w:rPr>
              <w:b/>
              <w:bCs/>
            </w:rPr>
            <w:fldChar w:fldCharType="separate"/>
          </w:r>
          <w:r w:rsidR="00FE7DB5">
            <w:rPr>
              <w:b/>
              <w:bCs/>
              <w:noProof/>
            </w:rPr>
            <w:t xml:space="preserve"> </w:t>
          </w:r>
          <w:r w:rsidR="00FE7DB5">
            <w:rPr>
              <w:noProof/>
            </w:rPr>
            <w:t>(Brown, 1997)</w:t>
          </w:r>
          <w:r>
            <w:rPr>
              <w:b/>
              <w:bCs/>
            </w:rPr>
            <w:fldChar w:fldCharType="end"/>
          </w:r>
        </w:sdtContent>
      </w:sdt>
      <w:r>
        <w:rPr>
          <w:b/>
          <w:bCs/>
        </w:rPr>
        <w:t xml:space="preserve"> </w:t>
      </w:r>
      <w:sdt>
        <w:sdtPr>
          <w:rPr>
            <w:b/>
            <w:bCs/>
          </w:rPr>
          <w:id w:val="-711269499"/>
          <w:citation/>
        </w:sdtPr>
        <w:sdtContent>
          <w:r>
            <w:rPr>
              <w:b/>
              <w:bCs/>
            </w:rPr>
            <w:fldChar w:fldCharType="begin"/>
          </w:r>
          <w:r>
            <w:rPr>
              <w:b/>
              <w:bCs/>
            </w:rPr>
            <w:instrText xml:space="preserve"> CITATION Qui11 \l 2057 </w:instrText>
          </w:r>
          <w:r>
            <w:rPr>
              <w:b/>
              <w:bCs/>
            </w:rPr>
            <w:fldChar w:fldCharType="separate"/>
          </w:r>
          <w:r w:rsidR="00FE7DB5">
            <w:rPr>
              <w:noProof/>
            </w:rPr>
            <w:t>(Quinton, The formation of suspicions: Police stop and search practices in England and Wales, 2011)</w:t>
          </w:r>
          <w:r>
            <w:rPr>
              <w:b/>
              <w:bCs/>
            </w:rPr>
            <w:fldChar w:fldCharType="end"/>
          </w:r>
        </w:sdtContent>
      </w:sdt>
      <w:r>
        <w:rPr>
          <w:b/>
          <w:bCs/>
        </w:rPr>
        <w:t xml:space="preserve"> </w:t>
      </w:r>
      <w:sdt>
        <w:sdtPr>
          <w:rPr>
            <w:b/>
            <w:bCs/>
          </w:rPr>
          <w:id w:val="-608051319"/>
          <w:citation/>
        </w:sdtPr>
        <w:sdtContent>
          <w:r>
            <w:rPr>
              <w:b/>
              <w:bCs/>
            </w:rPr>
            <w:fldChar w:fldCharType="begin"/>
          </w:r>
          <w:r>
            <w:rPr>
              <w:b/>
              <w:bCs/>
            </w:rPr>
            <w:instrText xml:space="preserve"> CITATION Qui00 \l 2057 </w:instrText>
          </w:r>
          <w:r>
            <w:rPr>
              <w:b/>
              <w:bCs/>
            </w:rPr>
            <w:fldChar w:fldCharType="separate"/>
          </w:r>
          <w:r w:rsidR="00FE7DB5">
            <w:rPr>
              <w:noProof/>
            </w:rPr>
            <w:t>(Quinton , Bland , &amp; Miller , The impact of stops and searches on crime and the community, 2000)</w:t>
          </w:r>
          <w:r>
            <w:rPr>
              <w:b/>
              <w:bCs/>
            </w:rPr>
            <w:fldChar w:fldCharType="end"/>
          </w:r>
        </w:sdtContent>
      </w:sdt>
      <w:sdt>
        <w:sdtPr>
          <w:id w:val="-416011455"/>
          <w:citation/>
        </w:sdtPr>
        <w:sdtContent>
          <w:r>
            <w:fldChar w:fldCharType="begin"/>
          </w:r>
          <w:r>
            <w:instrText xml:space="preserve"> CITATION Her13 \l 2057 </w:instrText>
          </w:r>
          <w:r>
            <w:fldChar w:fldCharType="separate"/>
          </w:r>
          <w:r w:rsidR="00FE7DB5">
            <w:rPr>
              <w:noProof/>
            </w:rPr>
            <w:t xml:space="preserve"> (Her Majesty's Inspectorate of Constabulary , 2013)</w:t>
          </w:r>
          <w:r>
            <w:fldChar w:fldCharType="end"/>
          </w:r>
        </w:sdtContent>
      </w:sdt>
      <w:r>
        <w:t>.</w:t>
      </w:r>
    </w:p>
    <w:p w14:paraId="715497AC" w14:textId="77777777" w:rsidR="00D5726D" w:rsidRPr="0077217F" w:rsidRDefault="00D5726D" w:rsidP="00D5726D">
      <w:pPr>
        <w:pStyle w:val="NormalWeb"/>
        <w:spacing w:before="0" w:beforeAutospacing="0" w:after="0" w:afterAutospacing="0"/>
        <w:rPr>
          <w:rFonts w:asciiTheme="minorHAnsi" w:hAnsiTheme="minorHAnsi" w:cstheme="minorHAnsi"/>
        </w:rPr>
      </w:pPr>
      <w:r w:rsidRPr="00D1670E">
        <w:rPr>
          <w:rFonts w:asciiTheme="minorHAnsi" w:hAnsiTheme="minorHAnsi" w:cstheme="minorHAnsi"/>
          <w:color w:val="000000"/>
        </w:rPr>
        <w:lastRenderedPageBreak/>
        <w:t>Code A aims to decrease the officer’s personal factors that may arise when establishing if there is enough grounds for reasonable suspicion</w:t>
      </w:r>
      <w:r>
        <w:rPr>
          <w:rFonts w:asciiTheme="minorHAnsi" w:hAnsiTheme="minorHAnsi" w:cstheme="minorHAnsi"/>
          <w:color w:val="000000"/>
        </w:rPr>
        <w:t>, thus proving a positive impact of cultural diversity on policing practice, however evidence suggests it has not been entirely successful.</w:t>
      </w:r>
    </w:p>
    <w:p w14:paraId="554BA07D" w14:textId="77777777" w:rsidR="00D5726D" w:rsidRPr="0058408D" w:rsidRDefault="00D5726D" w:rsidP="00D5726D">
      <w:pPr>
        <w:pStyle w:val="NormalWeb"/>
        <w:spacing w:before="0" w:beforeAutospacing="0" w:after="0" w:afterAutospacing="0"/>
        <w:rPr>
          <w:rFonts w:asciiTheme="minorHAnsi" w:hAnsiTheme="minorHAnsi" w:cstheme="minorHAnsi"/>
        </w:rPr>
      </w:pPr>
    </w:p>
    <w:p w14:paraId="5158C7AE" w14:textId="77777777" w:rsidR="00D5726D" w:rsidRPr="00D1670E" w:rsidRDefault="00D5726D" w:rsidP="00D5726D">
      <w:pPr>
        <w:pStyle w:val="NormalWeb"/>
        <w:spacing w:before="0" w:beforeAutospacing="0" w:after="0" w:afterAutospacing="0"/>
        <w:rPr>
          <w:rFonts w:asciiTheme="minorHAnsi" w:hAnsiTheme="minorHAnsi" w:cstheme="minorHAnsi"/>
        </w:rPr>
      </w:pPr>
      <w:r w:rsidRPr="00D1670E">
        <w:rPr>
          <w:rFonts w:asciiTheme="minorHAnsi" w:hAnsiTheme="minorHAnsi" w:cstheme="minorHAnsi"/>
          <w:color w:val="000000"/>
        </w:rPr>
        <w:t xml:space="preserve">Officers are now obligated to provide the individual who has been detained with a comprehensive account of the encounter. This account encompasses the rationale behind the search, the specific item, or items that the officers are seeking, the ultimate outcome of the search, as well as the name and affiliation of the officer responsible for conducting the search. Additionally, the record includes personal details, </w:t>
      </w:r>
      <w:r>
        <w:rPr>
          <w:rFonts w:asciiTheme="minorHAnsi" w:hAnsiTheme="minorHAnsi" w:cstheme="minorHAnsi"/>
          <w:color w:val="000000"/>
        </w:rPr>
        <w:t>including their</w:t>
      </w:r>
      <w:r w:rsidRPr="00D1670E">
        <w:rPr>
          <w:rFonts w:asciiTheme="minorHAnsi" w:hAnsiTheme="minorHAnsi" w:cstheme="minorHAnsi"/>
          <w:color w:val="000000"/>
        </w:rPr>
        <w:t xml:space="preserve"> ethnic background and a physical description of the searched person. It is anticipated that by informing the public about the necessity of documenting these encounters, officers will exercise greater caution and thoughtfulness when deciding to initiate a s</w:t>
      </w:r>
      <w:r>
        <w:rPr>
          <w:rFonts w:asciiTheme="minorHAnsi" w:hAnsiTheme="minorHAnsi" w:cstheme="minorHAnsi"/>
          <w:color w:val="000000"/>
        </w:rPr>
        <w:t>earch</w:t>
      </w:r>
      <w:r w:rsidRPr="00D1670E">
        <w:rPr>
          <w:rFonts w:asciiTheme="minorHAnsi" w:hAnsiTheme="minorHAnsi" w:cstheme="minorHAnsi"/>
          <w:color w:val="000000"/>
        </w:rPr>
        <w:t xml:space="preserve">, thereby discouraging arbitrary stops. </w:t>
      </w:r>
      <w:r>
        <w:rPr>
          <w:rFonts w:asciiTheme="minorHAnsi" w:hAnsiTheme="minorHAnsi" w:cstheme="minorHAnsi"/>
          <w:color w:val="000000"/>
        </w:rPr>
        <w:t>P</w:t>
      </w:r>
      <w:r w:rsidRPr="00D1670E">
        <w:rPr>
          <w:rFonts w:asciiTheme="minorHAnsi" w:hAnsiTheme="minorHAnsi" w:cstheme="minorHAnsi"/>
          <w:color w:val="000000"/>
        </w:rPr>
        <w:t>roviding a written record of the incident</w:t>
      </w:r>
      <w:r>
        <w:rPr>
          <w:rFonts w:asciiTheme="minorHAnsi" w:hAnsiTheme="minorHAnsi" w:cstheme="minorHAnsi"/>
          <w:color w:val="000000"/>
        </w:rPr>
        <w:t xml:space="preserve">, </w:t>
      </w:r>
      <w:r w:rsidRPr="00D1670E">
        <w:rPr>
          <w:rFonts w:asciiTheme="minorHAnsi" w:hAnsiTheme="minorHAnsi" w:cstheme="minorHAnsi"/>
          <w:color w:val="000000"/>
        </w:rPr>
        <w:t xml:space="preserve">it is believed that transparency will be </w:t>
      </w:r>
      <w:r>
        <w:rPr>
          <w:rFonts w:asciiTheme="minorHAnsi" w:hAnsiTheme="minorHAnsi" w:cstheme="minorHAnsi"/>
          <w:color w:val="000000"/>
        </w:rPr>
        <w:t>achieved</w:t>
      </w:r>
      <w:r w:rsidRPr="00D1670E">
        <w:rPr>
          <w:rFonts w:asciiTheme="minorHAnsi" w:hAnsiTheme="minorHAnsi" w:cstheme="minorHAnsi"/>
          <w:color w:val="000000"/>
        </w:rPr>
        <w:t xml:space="preserve">, ultimately </w:t>
      </w:r>
      <w:r>
        <w:rPr>
          <w:rFonts w:asciiTheme="minorHAnsi" w:hAnsiTheme="minorHAnsi" w:cstheme="minorHAnsi"/>
          <w:color w:val="000000"/>
        </w:rPr>
        <w:t>impacting</w:t>
      </w:r>
      <w:r w:rsidRPr="00D1670E">
        <w:rPr>
          <w:rFonts w:asciiTheme="minorHAnsi" w:hAnsiTheme="minorHAnsi" w:cstheme="minorHAnsi"/>
          <w:color w:val="000000"/>
        </w:rPr>
        <w:t xml:space="preserve"> t</w:t>
      </w:r>
      <w:r>
        <w:rPr>
          <w:rFonts w:asciiTheme="minorHAnsi" w:hAnsiTheme="minorHAnsi" w:cstheme="minorHAnsi"/>
          <w:color w:val="000000"/>
        </w:rPr>
        <w:t>he</w:t>
      </w:r>
      <w:r w:rsidRPr="00D1670E">
        <w:rPr>
          <w:rFonts w:asciiTheme="minorHAnsi" w:hAnsiTheme="minorHAnsi" w:cstheme="minorHAnsi"/>
          <w:color w:val="000000"/>
        </w:rPr>
        <w:t xml:space="preserve"> establishment </w:t>
      </w:r>
      <w:r>
        <w:rPr>
          <w:rFonts w:asciiTheme="minorHAnsi" w:hAnsiTheme="minorHAnsi" w:cstheme="minorHAnsi"/>
          <w:color w:val="000000"/>
        </w:rPr>
        <w:t>by growing the</w:t>
      </w:r>
      <w:r w:rsidRPr="00D1670E">
        <w:rPr>
          <w:rFonts w:asciiTheme="minorHAnsi" w:hAnsiTheme="minorHAnsi" w:cstheme="minorHAnsi"/>
          <w:color w:val="000000"/>
        </w:rPr>
        <w:t xml:space="preserve"> trust and confidence in law enforcement among the public.</w:t>
      </w:r>
    </w:p>
    <w:p w14:paraId="55F14A1B" w14:textId="77777777" w:rsidR="00D5726D" w:rsidRPr="0058408D" w:rsidRDefault="00D5726D" w:rsidP="00D5726D">
      <w:pPr>
        <w:rPr>
          <w:rFonts w:eastAsia="Times New Roman" w:cstheme="minorHAnsi"/>
        </w:rPr>
      </w:pPr>
    </w:p>
    <w:p w14:paraId="24B4DD3B" w14:textId="0FDC976E" w:rsidR="00D5726D" w:rsidRDefault="00D5726D" w:rsidP="00D5726D">
      <w:pPr>
        <w:pStyle w:val="NormalWeb"/>
        <w:spacing w:before="0" w:beforeAutospacing="0" w:after="0" w:afterAutospacing="0"/>
        <w:rPr>
          <w:rFonts w:asciiTheme="minorHAnsi" w:hAnsiTheme="minorHAnsi" w:cstheme="minorHAnsi"/>
        </w:rPr>
      </w:pPr>
      <w:r w:rsidRPr="0058408D">
        <w:rPr>
          <w:rFonts w:asciiTheme="minorHAnsi" w:hAnsiTheme="minorHAnsi" w:cstheme="minorHAnsi"/>
        </w:rPr>
        <w:t xml:space="preserve">The idea of inconsistent policing practice towards those of ethnic minority background was again brought into focus following an unsuccessful police investigation into the murder of Steven Lawrence in 1997 </w:t>
      </w:r>
      <w:sdt>
        <w:sdtPr>
          <w:rPr>
            <w:rFonts w:asciiTheme="minorHAnsi" w:hAnsiTheme="minorHAnsi" w:cstheme="minorHAnsi"/>
          </w:rPr>
          <w:id w:val="627506506"/>
          <w:citation/>
        </w:sdtPr>
        <w:sdtContent>
          <w:r>
            <w:rPr>
              <w:rFonts w:asciiTheme="minorHAnsi" w:hAnsiTheme="minorHAnsi" w:cstheme="minorHAnsi"/>
            </w:rPr>
            <w:fldChar w:fldCharType="begin"/>
          </w:r>
          <w:r>
            <w:rPr>
              <w:rFonts w:asciiTheme="minorHAnsi" w:hAnsiTheme="minorHAnsi" w:cstheme="minorHAnsi"/>
            </w:rPr>
            <w:instrText xml:space="preserve"> CITATION Cat99 \l 2057 </w:instrText>
          </w:r>
          <w:r>
            <w:rPr>
              <w:rFonts w:asciiTheme="minorHAnsi" w:hAnsiTheme="minorHAnsi" w:cstheme="minorHAnsi"/>
            </w:rPr>
            <w:fldChar w:fldCharType="separate"/>
          </w:r>
          <w:r w:rsidR="00FE7DB5" w:rsidRPr="00FE7DB5">
            <w:rPr>
              <w:rFonts w:asciiTheme="minorHAnsi" w:hAnsiTheme="minorHAnsi" w:cstheme="minorHAnsi"/>
              <w:noProof/>
            </w:rPr>
            <w:t>(Cathcart, 1999)</w:t>
          </w:r>
          <w:r>
            <w:rPr>
              <w:rFonts w:asciiTheme="minorHAnsi" w:hAnsiTheme="minorHAnsi" w:cstheme="minorHAnsi"/>
            </w:rPr>
            <w:fldChar w:fldCharType="end"/>
          </w:r>
        </w:sdtContent>
      </w:sdt>
      <w:r w:rsidRPr="0058408D">
        <w:rPr>
          <w:rFonts w:asciiTheme="minorHAnsi" w:hAnsiTheme="minorHAnsi" w:cstheme="minorHAnsi"/>
        </w:rPr>
        <w:t xml:space="preserve">. The ‘Lawrence Inquiry’ identified that the murder investigation was severely compromised by institutionalised racism, professional ineptitude, and lack of effective management from highly ranked police officers </w:t>
      </w:r>
      <w:sdt>
        <w:sdtPr>
          <w:rPr>
            <w:rFonts w:asciiTheme="minorHAnsi" w:hAnsiTheme="minorHAnsi" w:cstheme="minorHAnsi"/>
          </w:rPr>
          <w:id w:val="-51233932"/>
          <w:citation/>
        </w:sdtPr>
        <w:sdtContent>
          <w:r>
            <w:rPr>
              <w:rFonts w:asciiTheme="minorHAnsi" w:hAnsiTheme="minorHAnsi" w:cstheme="minorHAnsi"/>
            </w:rPr>
            <w:fldChar w:fldCharType="begin"/>
          </w:r>
          <w:r>
            <w:rPr>
              <w:rFonts w:asciiTheme="minorHAnsi" w:hAnsiTheme="minorHAnsi" w:cstheme="minorHAnsi"/>
            </w:rPr>
            <w:instrText xml:space="preserve"> CITATION Sir99 \l 2057 </w:instrText>
          </w:r>
          <w:r>
            <w:rPr>
              <w:rFonts w:asciiTheme="minorHAnsi" w:hAnsiTheme="minorHAnsi" w:cstheme="minorHAnsi"/>
            </w:rPr>
            <w:fldChar w:fldCharType="separate"/>
          </w:r>
          <w:r w:rsidR="00FE7DB5" w:rsidRPr="00FE7DB5">
            <w:rPr>
              <w:rFonts w:asciiTheme="minorHAnsi" w:hAnsiTheme="minorHAnsi" w:cstheme="minorHAnsi"/>
              <w:noProof/>
            </w:rPr>
            <w:t>(Macpherson, 1999)</w:t>
          </w:r>
          <w:r>
            <w:rPr>
              <w:rFonts w:asciiTheme="minorHAnsi" w:hAnsiTheme="minorHAnsi" w:cstheme="minorHAnsi"/>
            </w:rPr>
            <w:fldChar w:fldCharType="end"/>
          </w:r>
        </w:sdtContent>
      </w:sdt>
      <w:r w:rsidRPr="0058408D">
        <w:rPr>
          <w:rFonts w:asciiTheme="minorHAnsi" w:hAnsiTheme="minorHAnsi" w:cstheme="minorHAnsi"/>
        </w:rPr>
        <w:t xml:space="preserve">. The impact of the inquiry on professional policies and standards can be identified by the changes the UK government responded with following its publication. They made changes to the Race Relations Act 1971, which included a responsibility to promote race equality in all public authorities. An example of how this was implemented can be seen in the ‘Dismantling Barriers’ report published by the Home Office. It established the responsibility for Chief Constables to encourage and emphasise the importance of support networks such as ‘Black Police Association’ </w:t>
      </w:r>
      <w:sdt>
        <w:sdtPr>
          <w:rPr>
            <w:rFonts w:asciiTheme="minorHAnsi" w:hAnsiTheme="minorHAnsi" w:cstheme="minorHAnsi"/>
          </w:rPr>
          <w:id w:val="515039100"/>
          <w:citation/>
        </w:sdtPr>
        <w:sdtContent>
          <w:r>
            <w:rPr>
              <w:rFonts w:asciiTheme="minorHAnsi" w:hAnsiTheme="minorHAnsi" w:cstheme="minorHAnsi"/>
            </w:rPr>
            <w:fldChar w:fldCharType="begin"/>
          </w:r>
          <w:r>
            <w:rPr>
              <w:rFonts w:asciiTheme="minorHAnsi" w:hAnsiTheme="minorHAnsi" w:cstheme="minorHAnsi"/>
            </w:rPr>
            <w:instrText xml:space="preserve"> CITATION Hol04 \l 2057 </w:instrText>
          </w:r>
          <w:r>
            <w:rPr>
              <w:rFonts w:asciiTheme="minorHAnsi" w:hAnsiTheme="minorHAnsi" w:cstheme="minorHAnsi"/>
            </w:rPr>
            <w:fldChar w:fldCharType="separate"/>
          </w:r>
          <w:r w:rsidR="00FE7DB5" w:rsidRPr="00FE7DB5">
            <w:rPr>
              <w:rFonts w:asciiTheme="minorHAnsi" w:hAnsiTheme="minorHAnsi" w:cstheme="minorHAnsi"/>
              <w:noProof/>
            </w:rPr>
            <w:t>(Holdaway &amp; O'Neil, 2004)</w:t>
          </w:r>
          <w:r>
            <w:rPr>
              <w:rFonts w:asciiTheme="minorHAnsi" w:hAnsiTheme="minorHAnsi" w:cstheme="minorHAnsi"/>
            </w:rPr>
            <w:fldChar w:fldCharType="end"/>
          </w:r>
        </w:sdtContent>
      </w:sdt>
      <w:r w:rsidRPr="0058408D">
        <w:rPr>
          <w:rFonts w:asciiTheme="minorHAnsi" w:hAnsiTheme="minorHAnsi" w:cstheme="minorHAnsi"/>
        </w:rPr>
        <w:t>. The report further supported the need for change within the professional policies of the police by identifying recruitment, retention and progression of ethnic minority police officers and other police staff as a priority. </w:t>
      </w:r>
    </w:p>
    <w:p w14:paraId="4997D7BB" w14:textId="77777777" w:rsidR="00D5726D" w:rsidRPr="0058408D" w:rsidRDefault="00D5726D" w:rsidP="00D5726D">
      <w:pPr>
        <w:pStyle w:val="NormalWeb"/>
        <w:spacing w:before="0" w:beforeAutospacing="0" w:after="0" w:afterAutospacing="0"/>
        <w:rPr>
          <w:rFonts w:asciiTheme="minorHAnsi" w:hAnsiTheme="minorHAnsi" w:cstheme="minorHAnsi"/>
        </w:rPr>
      </w:pPr>
    </w:p>
    <w:p w14:paraId="613BFCB8" w14:textId="265DACA0" w:rsidR="00D5726D" w:rsidRDefault="00D5726D" w:rsidP="00D5726D">
      <w:pPr>
        <w:pStyle w:val="NormalWeb"/>
        <w:spacing w:before="0" w:beforeAutospacing="0" w:after="0" w:afterAutospacing="0"/>
        <w:rPr>
          <w:rFonts w:asciiTheme="minorHAnsi" w:hAnsiTheme="minorHAnsi" w:cstheme="minorHAnsi"/>
          <w:color w:val="000000"/>
        </w:rPr>
      </w:pPr>
      <w:r>
        <w:rPr>
          <w:rFonts w:asciiTheme="minorHAnsi" w:hAnsiTheme="minorHAnsi" w:cstheme="minorHAnsi"/>
          <w:color w:val="000000"/>
        </w:rPr>
        <w:t>Furthermore</w:t>
      </w:r>
      <w:r w:rsidRPr="00D1670E">
        <w:rPr>
          <w:rFonts w:asciiTheme="minorHAnsi" w:hAnsiTheme="minorHAnsi" w:cstheme="minorHAnsi"/>
          <w:color w:val="000000"/>
        </w:rPr>
        <w:t>, there were criticisms from the Equality and Human Rights Commission</w:t>
      </w:r>
      <w:r>
        <w:rPr>
          <w:rFonts w:asciiTheme="minorHAnsi" w:hAnsiTheme="minorHAnsi" w:cstheme="minorHAnsi"/>
          <w:color w:val="000000"/>
        </w:rPr>
        <w:t xml:space="preserve">. A </w:t>
      </w:r>
      <w:r w:rsidRPr="00D1670E">
        <w:rPr>
          <w:rFonts w:asciiTheme="minorHAnsi" w:hAnsiTheme="minorHAnsi" w:cstheme="minorHAnsi"/>
          <w:color w:val="000000"/>
        </w:rPr>
        <w:t xml:space="preserve">report </w:t>
      </w:r>
      <w:r>
        <w:rPr>
          <w:rFonts w:asciiTheme="minorHAnsi" w:hAnsiTheme="minorHAnsi" w:cstheme="minorHAnsi"/>
          <w:color w:val="000000"/>
        </w:rPr>
        <w:t>was released,</w:t>
      </w:r>
      <w:r w:rsidRPr="00D1670E">
        <w:rPr>
          <w:rFonts w:asciiTheme="minorHAnsi" w:hAnsiTheme="minorHAnsi" w:cstheme="minorHAnsi"/>
          <w:color w:val="000000"/>
        </w:rPr>
        <w:t xml:space="preserve"> comment</w:t>
      </w:r>
      <w:r>
        <w:rPr>
          <w:rFonts w:asciiTheme="minorHAnsi" w:hAnsiTheme="minorHAnsi" w:cstheme="minorHAnsi"/>
          <w:color w:val="000000"/>
        </w:rPr>
        <w:t>ing on</w:t>
      </w:r>
      <w:r w:rsidRPr="00D1670E">
        <w:rPr>
          <w:rFonts w:asciiTheme="minorHAnsi" w:hAnsiTheme="minorHAnsi" w:cstheme="minorHAnsi"/>
          <w:color w:val="000000"/>
        </w:rPr>
        <w:t xml:space="preserve"> the negative aspects surrounding the police’s use of stop and search </w:t>
      </w:r>
      <w:sdt>
        <w:sdtPr>
          <w:rPr>
            <w:rFonts w:asciiTheme="minorHAnsi" w:hAnsiTheme="minorHAnsi" w:cstheme="minorHAnsi"/>
            <w:color w:val="000000"/>
          </w:rPr>
          <w:id w:val="-1730833514"/>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EHR10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(EHRC, 2010)</w:t>
          </w:r>
          <w:r>
            <w:rPr>
              <w:rFonts w:asciiTheme="minorHAnsi" w:hAnsiTheme="minorHAnsi" w:cstheme="minorHAnsi"/>
              <w:color w:val="000000"/>
            </w:rPr>
            <w:fldChar w:fldCharType="end"/>
          </w:r>
        </w:sdtContent>
      </w:sdt>
      <w:r>
        <w:rPr>
          <w:rFonts w:asciiTheme="minorHAnsi" w:hAnsiTheme="minorHAnsi" w:cstheme="minorHAnsi"/>
          <w:color w:val="000000"/>
        </w:rPr>
        <w:t>;</w:t>
      </w:r>
      <w:r w:rsidRPr="00D1670E">
        <w:rPr>
          <w:rFonts w:asciiTheme="minorHAnsi" w:hAnsiTheme="minorHAnsi" w:cstheme="minorHAnsi"/>
          <w:color w:val="000000"/>
        </w:rPr>
        <w:t xml:space="preserve"> five police forces </w:t>
      </w:r>
      <w:r>
        <w:rPr>
          <w:rFonts w:asciiTheme="minorHAnsi" w:hAnsiTheme="minorHAnsi" w:cstheme="minorHAnsi"/>
          <w:color w:val="000000"/>
        </w:rPr>
        <w:t>were in</w:t>
      </w:r>
      <w:r w:rsidRPr="00D1670E">
        <w:rPr>
          <w:rFonts w:asciiTheme="minorHAnsi" w:hAnsiTheme="minorHAnsi" w:cstheme="minorHAnsi"/>
          <w:color w:val="000000"/>
        </w:rPr>
        <w:t xml:space="preserve"> need of developmental training. </w:t>
      </w:r>
      <w:r>
        <w:rPr>
          <w:rFonts w:asciiTheme="minorHAnsi" w:hAnsiTheme="minorHAnsi" w:cstheme="minorHAnsi"/>
          <w:color w:val="000000"/>
        </w:rPr>
        <w:t>EHRC</w:t>
      </w:r>
      <w:r w:rsidRPr="00D1670E">
        <w:rPr>
          <w:rFonts w:asciiTheme="minorHAnsi" w:hAnsiTheme="minorHAnsi" w:cstheme="minorHAnsi"/>
          <w:color w:val="000000"/>
        </w:rPr>
        <w:t xml:space="preserve"> assisted directly with </w:t>
      </w:r>
      <w:r>
        <w:rPr>
          <w:rFonts w:asciiTheme="minorHAnsi" w:hAnsiTheme="minorHAnsi" w:cstheme="minorHAnsi"/>
          <w:color w:val="000000"/>
        </w:rPr>
        <w:t>those identified, measures included:</w:t>
      </w:r>
      <w:r w:rsidRPr="00D1670E">
        <w:rPr>
          <w:rFonts w:asciiTheme="minorHAnsi" w:hAnsiTheme="minorHAnsi" w:cstheme="minorHAnsi"/>
          <w:color w:val="000000"/>
        </w:rPr>
        <w:t xml:space="preserve"> ensuring intelligence led grounds to search</w:t>
      </w:r>
      <w:r>
        <w:rPr>
          <w:rFonts w:asciiTheme="minorHAnsi" w:hAnsiTheme="minorHAnsi" w:cstheme="minorHAnsi"/>
          <w:color w:val="000000"/>
        </w:rPr>
        <w:t xml:space="preserve"> and</w:t>
      </w:r>
      <w:r w:rsidRPr="00D1670E">
        <w:rPr>
          <w:rFonts w:asciiTheme="minorHAnsi" w:hAnsiTheme="minorHAnsi" w:cstheme="minorHAnsi"/>
          <w:color w:val="000000"/>
        </w:rPr>
        <w:t xml:space="preserve"> removing searches as markers for performance. </w:t>
      </w:r>
      <w:r>
        <w:rPr>
          <w:rFonts w:asciiTheme="minorHAnsi" w:hAnsiTheme="minorHAnsi" w:cstheme="minorHAnsi"/>
          <w:color w:val="000000"/>
        </w:rPr>
        <w:t>A positive impact of these changes could be seen as t</w:t>
      </w:r>
      <w:r w:rsidRPr="00D1670E">
        <w:rPr>
          <w:rFonts w:asciiTheme="minorHAnsi" w:hAnsiTheme="minorHAnsi" w:cstheme="minorHAnsi"/>
          <w:color w:val="000000"/>
        </w:rPr>
        <w:t>he amount of stop and searches in these areas considerably decreased but the</w:t>
      </w:r>
      <w:r>
        <w:rPr>
          <w:rFonts w:asciiTheme="minorHAnsi" w:hAnsiTheme="minorHAnsi" w:cstheme="minorHAnsi"/>
        </w:rPr>
        <w:t xml:space="preserve"> </w:t>
      </w:r>
      <w:r w:rsidRPr="00D1670E">
        <w:rPr>
          <w:rFonts w:asciiTheme="minorHAnsi" w:hAnsiTheme="minorHAnsi" w:cstheme="minorHAnsi"/>
          <w:color w:val="000000"/>
        </w:rPr>
        <w:t>arrest rates improving.</w:t>
      </w:r>
    </w:p>
    <w:p w14:paraId="555B0C3D" w14:textId="0584B1D3" w:rsidR="00D5726D" w:rsidRPr="00D1670E" w:rsidRDefault="00D5726D" w:rsidP="00D5726D">
      <w:pPr>
        <w:pStyle w:val="NormalWeb"/>
        <w:spacing w:before="0" w:beforeAutospacing="0" w:after="0" w:afterAutospacing="0"/>
        <w:rPr>
          <w:rFonts w:asciiTheme="minorHAnsi" w:hAnsiTheme="minorHAnsi" w:cstheme="minorHAnsi"/>
        </w:rPr>
      </w:pPr>
      <w:r w:rsidRPr="00D1670E">
        <w:rPr>
          <w:rFonts w:asciiTheme="minorHAnsi" w:hAnsiTheme="minorHAnsi" w:cstheme="minorHAnsi"/>
          <w:color w:val="000000"/>
        </w:rPr>
        <w:t xml:space="preserve">However, the results did reveal a slight disparity towards black individuals. Since PACE stop and search recording began, searches needing sufficient grounds significantly increased from roughly 100 thousand in 1986 </w:t>
      </w:r>
      <w:sdt>
        <w:sdtPr>
          <w:rPr>
            <w:rFonts w:asciiTheme="minorHAnsi" w:hAnsiTheme="minorHAnsi" w:cstheme="minorHAnsi"/>
            <w:color w:val="000000"/>
          </w:rPr>
          <w:id w:val="34799926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Shi15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(Shiner &amp; Delsol, 2015)</w:t>
          </w:r>
          <w:r>
            <w:rPr>
              <w:rFonts w:asciiTheme="minorHAnsi" w:hAnsiTheme="minorHAnsi" w:cstheme="minorHAnsi"/>
              <w:color w:val="000000"/>
            </w:rPr>
            <w:fldChar w:fldCharType="end"/>
          </w:r>
        </w:sdtContent>
      </w:sdt>
      <w:r w:rsidRPr="00D1670E">
        <w:rPr>
          <w:rFonts w:asciiTheme="minorHAnsi" w:hAnsiTheme="minorHAnsi" w:cstheme="minorHAnsi"/>
          <w:color w:val="000000"/>
        </w:rPr>
        <w:t xml:space="preserve"> to roughly 1.23 million from 2010-2011. Then taking a dive to roughly 280 thousand from 2017-2018 </w:t>
      </w:r>
      <w:sdt>
        <w:sdtPr>
          <w:rPr>
            <w:rFonts w:asciiTheme="minorHAnsi" w:hAnsiTheme="minorHAnsi" w:cstheme="minorHAnsi"/>
            <w:color w:val="000000"/>
          </w:rPr>
          <w:id w:val="-1891876135"/>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Hom19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(Home Office , 2019)</w:t>
          </w:r>
          <w:r>
            <w:rPr>
              <w:rFonts w:asciiTheme="minorHAnsi" w:hAnsiTheme="minorHAnsi" w:cstheme="minorHAnsi"/>
              <w:color w:val="000000"/>
            </w:rPr>
            <w:fldChar w:fldCharType="end"/>
          </w:r>
        </w:sdtContent>
      </w:sdt>
      <w:r w:rsidRPr="00D1670E">
        <w:rPr>
          <w:rFonts w:asciiTheme="minorHAnsi" w:hAnsiTheme="minorHAnsi" w:cstheme="minorHAnsi"/>
          <w:color w:val="000000"/>
        </w:rPr>
        <w:t xml:space="preserve">. Home Office statistics from 2018-2019 in England and Wales reveal that individuals that identify as black were nine times more likely to get stop and searched than those who identified as being white. While individuals that identified as being Asian or having “mixed” ethnic backgrounds are three times more likely to get stop and searched </w:t>
      </w:r>
      <w:sdt>
        <w:sdtPr>
          <w:rPr>
            <w:rFonts w:asciiTheme="minorHAnsi" w:hAnsiTheme="minorHAnsi" w:cstheme="minorHAnsi"/>
            <w:color w:val="000000"/>
          </w:rPr>
          <w:id w:val="-1639801057"/>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Hom19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(Home Office , 2019)</w:t>
          </w:r>
          <w:r>
            <w:rPr>
              <w:rFonts w:asciiTheme="minorHAnsi" w:hAnsiTheme="minorHAnsi" w:cstheme="minorHAnsi"/>
              <w:color w:val="000000"/>
            </w:rPr>
            <w:fldChar w:fldCharType="end"/>
          </w:r>
        </w:sdtContent>
      </w:sdt>
      <w:r w:rsidRPr="00D1670E">
        <w:rPr>
          <w:rFonts w:asciiTheme="minorHAnsi" w:hAnsiTheme="minorHAnsi" w:cstheme="minorHAnsi"/>
          <w:color w:val="000000"/>
        </w:rPr>
        <w:t>.</w:t>
      </w:r>
    </w:p>
    <w:p w14:paraId="20F1617F" w14:textId="77777777" w:rsidR="00D5726D" w:rsidRPr="00D1670E" w:rsidRDefault="00D5726D" w:rsidP="00D5726D">
      <w:pPr>
        <w:rPr>
          <w:rFonts w:eastAsia="Times New Roman" w:cstheme="minorHAnsi"/>
        </w:rPr>
      </w:pPr>
    </w:p>
    <w:p w14:paraId="6735F6BD" w14:textId="77777777" w:rsidR="00D5726D" w:rsidRDefault="00D5726D" w:rsidP="00D5726D">
      <w:r>
        <w:rPr>
          <w:rFonts w:cstheme="minorHAnsi"/>
          <w:color w:val="000000"/>
        </w:rPr>
        <w:t>Conclusively</w:t>
      </w:r>
      <w:r w:rsidRPr="00D1670E">
        <w:rPr>
          <w:rFonts w:cstheme="minorHAnsi"/>
          <w:color w:val="000000"/>
        </w:rPr>
        <w:t xml:space="preserve">, research into stop and search has shown that cultural diversity has played a </w:t>
      </w:r>
      <w:r>
        <w:rPr>
          <w:rFonts w:cstheme="minorHAnsi"/>
          <w:color w:val="000000"/>
        </w:rPr>
        <w:t xml:space="preserve">considerable </w:t>
      </w:r>
      <w:r w:rsidRPr="00D1670E">
        <w:rPr>
          <w:rFonts w:cstheme="minorHAnsi"/>
          <w:color w:val="000000"/>
        </w:rPr>
        <w:t>part in developing outdated legislation and policing policies to eradicate any personal biases that officers may have towards ethnic minorities and promote equality and diversity as a whole. However, there are still traces of suspected institutional racism within UK police forces as even in recent incidents, officers d</w:t>
      </w:r>
      <w:r>
        <w:rPr>
          <w:rFonts w:cstheme="minorHAnsi"/>
          <w:color w:val="000000"/>
        </w:rPr>
        <w:t>id</w:t>
      </w:r>
      <w:r w:rsidRPr="00D1670E">
        <w:rPr>
          <w:rFonts w:cstheme="minorHAnsi"/>
          <w:color w:val="000000"/>
        </w:rPr>
        <w:t xml:space="preserve"> not apply adequate grounds for reasonable suspicion before a </w:t>
      </w:r>
      <w:r w:rsidRPr="00D1670E">
        <w:rPr>
          <w:rFonts w:cstheme="minorHAnsi"/>
          <w:color w:val="000000"/>
        </w:rPr>
        <w:lastRenderedPageBreak/>
        <w:t>search</w:t>
      </w:r>
      <w:r>
        <w:t>. Clearly more changes need to be implemented to achieve total equality amongst the varied diverse groups in the UK.</w:t>
      </w:r>
    </w:p>
    <w:p w14:paraId="1C4793F1" w14:textId="77777777" w:rsidR="00D5726D" w:rsidRDefault="00D5726D" w:rsidP="00D5726D"/>
    <w:p w14:paraId="010351E2" w14:textId="77777777" w:rsidR="00D5726D" w:rsidRDefault="00D5726D" w:rsidP="00D5726D">
      <w:r>
        <w:t>Word Count – 1094</w:t>
      </w:r>
    </w:p>
    <w:p w14:paraId="7036DFC4" w14:textId="3F4524B4" w:rsidR="00D5726D" w:rsidRDefault="00D5726D"/>
    <w:p w14:paraId="7B52D87D" w14:textId="77777777" w:rsidR="00D5726D" w:rsidRDefault="00D5726D"/>
    <w:p w14:paraId="52806DE1" w14:textId="77777777" w:rsidR="00D5726D" w:rsidRDefault="00D5726D"/>
    <w:p w14:paraId="514C45A2" w14:textId="77777777" w:rsidR="00D5726D" w:rsidRDefault="00D5726D"/>
    <w:p w14:paraId="18990C17" w14:textId="77777777" w:rsidR="00D5726D" w:rsidRDefault="00D5726D"/>
    <w:p w14:paraId="16F920C7" w14:textId="77777777" w:rsidR="00D5726D" w:rsidRDefault="00D5726D"/>
    <w:p w14:paraId="22E1E238" w14:textId="77777777" w:rsidR="00D5726D" w:rsidRDefault="00D5726D"/>
    <w:p w14:paraId="5AC9FC0F" w14:textId="77777777" w:rsidR="00D5726D" w:rsidRDefault="00D5726D"/>
    <w:p w14:paraId="1CA16EE1" w14:textId="77777777" w:rsidR="00D5726D" w:rsidRDefault="00D5726D"/>
    <w:p w14:paraId="1CE2A8F6" w14:textId="77777777" w:rsidR="00D5726D" w:rsidRDefault="00D5726D"/>
    <w:p w14:paraId="78F89A5E" w14:textId="77777777" w:rsidR="00D5726D" w:rsidRDefault="00D5726D"/>
    <w:p w14:paraId="61DC301A" w14:textId="77777777" w:rsidR="00D5726D" w:rsidRDefault="00D5726D"/>
    <w:p w14:paraId="23F53CE1" w14:textId="77777777" w:rsidR="00D5726D" w:rsidRDefault="00D5726D"/>
    <w:p w14:paraId="35865161" w14:textId="77777777" w:rsidR="00D5726D" w:rsidRDefault="00D5726D"/>
    <w:p w14:paraId="24701B82" w14:textId="77777777" w:rsidR="00D5726D" w:rsidRDefault="00D5726D"/>
    <w:p w14:paraId="445E1482" w14:textId="77777777" w:rsidR="00D5726D" w:rsidRDefault="00D5726D"/>
    <w:p w14:paraId="4FCC0155" w14:textId="77777777" w:rsidR="00D5726D" w:rsidRDefault="00D5726D"/>
    <w:p w14:paraId="42BE6A39" w14:textId="77777777" w:rsidR="00D5726D" w:rsidRDefault="00D5726D"/>
    <w:p w14:paraId="3003E039" w14:textId="77777777" w:rsidR="00D5726D" w:rsidRDefault="00D5726D"/>
    <w:p w14:paraId="4C86536A" w14:textId="77777777" w:rsidR="00D5726D" w:rsidRDefault="00D5726D"/>
    <w:p w14:paraId="644DB4BB" w14:textId="77777777" w:rsidR="00D5726D" w:rsidRDefault="00D5726D"/>
    <w:p w14:paraId="75379245" w14:textId="77777777" w:rsidR="00D5726D" w:rsidRDefault="00D5726D"/>
    <w:p w14:paraId="6737E231" w14:textId="77777777" w:rsidR="00D5726D" w:rsidRDefault="00D5726D"/>
    <w:p w14:paraId="5C6D1963" w14:textId="77777777" w:rsidR="00D5726D" w:rsidRDefault="00D5726D"/>
    <w:p w14:paraId="6B655CB4" w14:textId="77777777" w:rsidR="00D5726D" w:rsidRDefault="00D5726D"/>
    <w:p w14:paraId="2F2C777D" w14:textId="77777777" w:rsidR="00D5726D" w:rsidRDefault="00D5726D"/>
    <w:p w14:paraId="703B1625" w14:textId="77777777" w:rsidR="00D5726D" w:rsidRPr="00D5726D" w:rsidRDefault="00D5726D">
      <w:pPr>
        <w:rPr>
          <w:b/>
          <w:bCs/>
        </w:rPr>
      </w:pPr>
    </w:p>
    <w:p w14:paraId="78ECFFB5" w14:textId="77777777" w:rsidR="00D5726D" w:rsidRPr="00D5726D" w:rsidRDefault="00D5726D">
      <w:pPr>
        <w:rPr>
          <w:b/>
          <w:bCs/>
        </w:rPr>
      </w:pPr>
      <w:r w:rsidRPr="00D5726D">
        <w:rPr>
          <w:b/>
          <w:bCs/>
        </w:rPr>
        <w:lastRenderedPageBreak/>
        <w:t xml:space="preserve">Essay two: </w:t>
      </w:r>
    </w:p>
    <w:p w14:paraId="0D43B9DD" w14:textId="28C7DB78" w:rsidR="00D5726D" w:rsidRPr="00D5726D" w:rsidRDefault="00D5726D" w:rsidP="00D5726D">
      <w:pPr>
        <w:rPr>
          <w:b/>
          <w:bCs/>
        </w:rPr>
      </w:pPr>
      <w:r w:rsidRPr="00D5726D">
        <w:rPr>
          <w:b/>
          <w:bCs/>
        </w:rPr>
        <w:t>Examine the various socio-economic and psychological characteristics which can make people vulnerable to exploitation by criminal gangs. Your answer must be based on academic research. Word limit: 1000 words.</w:t>
      </w:r>
    </w:p>
    <w:p w14:paraId="38A1B7FF" w14:textId="77777777" w:rsidR="00D5726D" w:rsidRDefault="00D5726D" w:rsidP="00D5726D"/>
    <w:p w14:paraId="20BE91BB" w14:textId="7A3E070F" w:rsidR="00D5726D" w:rsidRPr="00BF0533" w:rsidRDefault="00D5726D" w:rsidP="00D5726D">
      <w:r w:rsidRPr="00BF0533">
        <w:t xml:space="preserve">This essay aims to explore the diverse socio-economic and psychological attributes that render individuals susceptible to exploitation by criminal organisations. </w:t>
      </w:r>
    </w:p>
    <w:p w14:paraId="49E97F96" w14:textId="541510E8" w:rsidR="00D5726D" w:rsidRPr="00BF0533" w:rsidRDefault="00D5726D" w:rsidP="00D5726D">
      <w:r w:rsidRPr="00BF0533">
        <w:t xml:space="preserve">County lines, a term used to describe criminal organisations and gangs that utilise dedicated cell phone lines or other forms of "deal lines", to transport illegal substances into various regions within the United Kingdom. These gangs often resort to tactics such as coercion, intimidation, and physical violence. Additionally, they exploit children and vulnerable individuals to facilitate the transportation and storage of narcotics or the proceeds from their illicit activities </w:t>
      </w:r>
      <w:sdt>
        <w:sdtPr>
          <w:id w:val="-1341616130"/>
          <w:citation/>
        </w:sdtPr>
        <w:sdtContent>
          <w:r w:rsidRPr="00BF0533">
            <w:fldChar w:fldCharType="begin"/>
          </w:r>
          <w:r w:rsidRPr="00BF0533">
            <w:instrText xml:space="preserve"> CITATION Nat20 \l 2057 </w:instrText>
          </w:r>
          <w:r w:rsidRPr="00BF0533">
            <w:fldChar w:fldCharType="separate"/>
          </w:r>
          <w:r w:rsidR="00FE7DB5">
            <w:rPr>
              <w:noProof/>
            </w:rPr>
            <w:t>(National Crime Agency, 2020)</w:t>
          </w:r>
          <w:r w:rsidRPr="00BF0533">
            <w:fldChar w:fldCharType="end"/>
          </w:r>
        </w:sdtContent>
      </w:sdt>
      <w:r w:rsidRPr="00BF0533">
        <w:t>.</w:t>
      </w:r>
    </w:p>
    <w:p w14:paraId="1DD0705E" w14:textId="77777777" w:rsidR="00D5726D" w:rsidRPr="00BF0533" w:rsidRDefault="00D5726D" w:rsidP="00D5726D">
      <w:r w:rsidRPr="00BF0533">
        <w:t xml:space="preserve">There are many reasons why county line gangs may choose to target vulnerable or young people in particular in their activities. </w:t>
      </w:r>
    </w:p>
    <w:p w14:paraId="60737594" w14:textId="3F8C7BC9" w:rsidR="00D5726D" w:rsidRPr="00BF0533" w:rsidRDefault="00D5726D" w:rsidP="00D5726D">
      <w:pPr>
        <w:rPr>
          <w:b/>
          <w:bCs/>
        </w:rPr>
      </w:pPr>
      <w:r w:rsidRPr="00BF0533">
        <w:t xml:space="preserve">The Oxford English Dictionary defines vulnerability in a person as someone in need of special care, support, or protection because of age, disability, or risk of abuse or neglect </w:t>
      </w:r>
      <w:sdt>
        <w:sdtPr>
          <w:id w:val="1913189383"/>
          <w:citation/>
        </w:sdtPr>
        <w:sdtContent>
          <w:r w:rsidRPr="00BF0533">
            <w:fldChar w:fldCharType="begin"/>
          </w:r>
          <w:r w:rsidRPr="00BF0533">
            <w:instrText xml:space="preserve"> CITATION Oxf23 \l 2057 </w:instrText>
          </w:r>
          <w:r w:rsidRPr="00BF0533">
            <w:fldChar w:fldCharType="separate"/>
          </w:r>
          <w:r w:rsidR="00FE7DB5">
            <w:rPr>
              <w:noProof/>
            </w:rPr>
            <w:t>(Oxford University Press, 2023)</w:t>
          </w:r>
          <w:r w:rsidRPr="00BF0533">
            <w:fldChar w:fldCharType="end"/>
          </w:r>
        </w:sdtContent>
      </w:sdt>
      <w:r w:rsidRPr="00BF0533">
        <w:t xml:space="preserve">. Based on research and informal discussions with professional bodies, several vulnerable groups are being taken advantage of. These groups include individuals who could be dependent on drugs as well as adults with specific welfare requirements. Other vulnerable groups include children whose parents or caregivers suffer from mental health problems, and individuals who are reliant on alcohol or drugs </w:t>
      </w:r>
      <w:sdt>
        <w:sdtPr>
          <w:rPr>
            <w:rFonts w:cstheme="minorHAnsi"/>
            <w:shd w:val="clear" w:color="auto" w:fill="FFFFFF"/>
          </w:rPr>
          <w:id w:val="1479186926"/>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Coo12 \l 2057 </w:instrText>
          </w:r>
          <w:r w:rsidRPr="00BF0533">
            <w:rPr>
              <w:rFonts w:cstheme="minorHAnsi"/>
              <w:shd w:val="clear" w:color="auto" w:fill="FFFFFF"/>
            </w:rPr>
            <w:fldChar w:fldCharType="separate"/>
          </w:r>
          <w:r w:rsidR="00FE7DB5" w:rsidRPr="00FE7DB5">
            <w:rPr>
              <w:rFonts w:cstheme="minorHAnsi"/>
              <w:noProof/>
              <w:shd w:val="clear" w:color="auto" w:fill="FFFFFF"/>
            </w:rPr>
            <w:t>(Coomber R. a., 2012)</w:t>
          </w:r>
          <w:r w:rsidRPr="00BF0533">
            <w:rPr>
              <w:rFonts w:cstheme="minorHAnsi"/>
              <w:shd w:val="clear" w:color="auto" w:fill="FFFFFF"/>
            </w:rPr>
            <w:fldChar w:fldCharType="end"/>
          </w:r>
        </w:sdtContent>
      </w:sdt>
      <w:r w:rsidRPr="00BF0533">
        <w:rPr>
          <w:rFonts w:cstheme="minorHAnsi"/>
          <w:shd w:val="clear" w:color="auto" w:fill="FFFFFF"/>
        </w:rPr>
        <w:t>.</w:t>
      </w:r>
    </w:p>
    <w:p w14:paraId="487287C8" w14:textId="2B0E6877" w:rsidR="00D5726D" w:rsidRPr="00BF0533" w:rsidRDefault="00D5726D" w:rsidP="00D5726D">
      <w:pPr>
        <w:rPr>
          <w:rFonts w:cstheme="minorHAnsi"/>
          <w:shd w:val="clear" w:color="auto" w:fill="FFFFFF"/>
        </w:rPr>
      </w:pPr>
      <w:r w:rsidRPr="00BF0533">
        <w:rPr>
          <w:rFonts w:cstheme="minorHAnsi"/>
          <w:shd w:val="clear" w:color="auto" w:fill="FFFFFF"/>
        </w:rPr>
        <w:t xml:space="preserve">According to The Home Office, individuals who have experienced neglect, physical and/or sexual abuse in the past are more susceptible to exploitation. Furthermore, those who lack a secure and stable home environment, either presently or in the past, are also at a higher risk. </w:t>
      </w:r>
      <w:r w:rsidRPr="00BF0533">
        <w:t xml:space="preserve">In dire circumstances, vulnerable people are even placed in unregistered and unregulated settings </w:t>
      </w:r>
      <w:sdt>
        <w:sdtPr>
          <w:id w:val="783081260"/>
          <w:citation/>
        </w:sdtPr>
        <w:sdtContent>
          <w:r w:rsidRPr="00BF0533">
            <w:fldChar w:fldCharType="begin"/>
          </w:r>
          <w:r w:rsidRPr="00BF0533">
            <w:instrText xml:space="preserve"> CITATION Cal20 \l 2057 </w:instrText>
          </w:r>
          <w:r w:rsidRPr="00BF0533">
            <w:fldChar w:fldCharType="separate"/>
          </w:r>
          <w:r w:rsidR="00FE7DB5">
            <w:rPr>
              <w:noProof/>
            </w:rPr>
            <w:t>(Caluori, 2020)</w:t>
          </w:r>
          <w:r w:rsidRPr="00BF0533">
            <w:fldChar w:fldCharType="end"/>
          </w:r>
        </w:sdtContent>
      </w:sdt>
      <w:r w:rsidRPr="00BF0533">
        <w:t xml:space="preserve">. </w:t>
      </w:r>
      <w:r w:rsidRPr="00BF0533">
        <w:rPr>
          <w:rFonts w:cstheme="minorHAnsi"/>
          <w:shd w:val="clear" w:color="auto" w:fill="FFFFFF"/>
        </w:rPr>
        <w:t>This could indicate why County Lines gangs typically target people who are in/or have been in the care system and have experienced a lack of stable home environment during childhood. Social isolation or difficulties in social interactions, economic vulnerability, or insecure housing situations, physical or learning disabilities and substance abuse problems are additional factors that contribute to an individual's vulnerability to exploitation</w:t>
      </w:r>
      <w:r w:rsidRPr="00BF0533">
        <w:t xml:space="preserve"> </w:t>
      </w:r>
      <w:sdt>
        <w:sdtPr>
          <w:rPr>
            <w:rFonts w:cstheme="minorHAnsi"/>
            <w:shd w:val="clear" w:color="auto" w:fill="FFFFFF"/>
          </w:rPr>
          <w:id w:val="692807954"/>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Hom17 \l 2057 </w:instrText>
          </w:r>
          <w:r w:rsidRPr="00BF0533">
            <w:rPr>
              <w:rFonts w:cstheme="minorHAnsi"/>
              <w:shd w:val="clear" w:color="auto" w:fill="FFFFFF"/>
            </w:rPr>
            <w:fldChar w:fldCharType="separate"/>
          </w:r>
          <w:r w:rsidR="00FE7DB5" w:rsidRPr="00FE7DB5">
            <w:rPr>
              <w:rFonts w:cstheme="minorHAnsi"/>
              <w:noProof/>
              <w:shd w:val="clear" w:color="auto" w:fill="FFFFFF"/>
            </w:rPr>
            <w:t>(Home Office., 2017.)</w:t>
          </w:r>
          <w:r w:rsidRPr="00BF0533">
            <w:rPr>
              <w:rFonts w:cstheme="minorHAnsi"/>
              <w:shd w:val="clear" w:color="auto" w:fill="FFFFFF"/>
            </w:rPr>
            <w:fldChar w:fldCharType="end"/>
          </w:r>
        </w:sdtContent>
      </w:sdt>
      <w:r w:rsidRPr="00BF0533">
        <w:rPr>
          <w:rFonts w:cstheme="minorHAnsi"/>
          <w:shd w:val="clear" w:color="auto" w:fill="FFFFFF"/>
        </w:rPr>
        <w:t>. These are factors that County Lines can visually observe or come to learn through personal conversations with victims, that make them susceptible to becoming involved in crime.</w:t>
      </w:r>
    </w:p>
    <w:p w14:paraId="6CCFD567" w14:textId="0E91518E" w:rsidR="00D5726D" w:rsidRPr="00BF0533" w:rsidRDefault="00D5726D" w:rsidP="00D5726D">
      <w:pPr>
        <w:rPr>
          <w:b/>
          <w:bCs/>
        </w:rPr>
      </w:pPr>
      <w:r w:rsidRPr="00BF0533">
        <w:rPr>
          <w:rFonts w:cstheme="minorHAnsi"/>
          <w:shd w:val="clear" w:color="auto" w:fill="FFFFFF"/>
        </w:rPr>
        <w:t>Children and young people may also be exploited due to the perception that they are viewed as expendable commodities and provide a cheap, readily recruited workforce capable of bearing the risk of prosecution associated with street-level sales</w:t>
      </w:r>
      <w:r w:rsidRPr="00BF0533">
        <w:rPr>
          <w:rFonts w:ascii="Open Sans" w:hAnsi="Open Sans" w:cs="Open Sans"/>
          <w:shd w:val="clear" w:color="auto" w:fill="FFFFFF"/>
        </w:rPr>
        <w:t xml:space="preserve"> </w:t>
      </w:r>
      <w:sdt>
        <w:sdtPr>
          <w:rPr>
            <w:rFonts w:cstheme="minorHAnsi"/>
            <w:shd w:val="clear" w:color="auto" w:fill="FFFFFF"/>
          </w:rPr>
          <w:id w:val="557135504"/>
          <w:citation/>
        </w:sdtPr>
        <w:sdtContent>
          <w:r w:rsidRPr="00BF0533">
            <w:rPr>
              <w:rFonts w:cstheme="minorHAnsi"/>
              <w:shd w:val="clear" w:color="auto" w:fill="FFFFFF"/>
            </w:rPr>
            <w:fldChar w:fldCharType="begin"/>
          </w:r>
          <w:r w:rsidRPr="00BF0533">
            <w:rPr>
              <w:rFonts w:cstheme="minorHAnsi"/>
              <w:shd w:val="clear" w:color="auto" w:fill="FFFFFF"/>
            </w:rPr>
            <w:instrText xml:space="preserve">CITATION Coo18 \t  \l 2057 </w:instrText>
          </w:r>
          <w:r w:rsidRPr="00BF0533">
            <w:rPr>
              <w:rFonts w:cstheme="minorHAnsi"/>
              <w:shd w:val="clear" w:color="auto" w:fill="FFFFFF"/>
            </w:rPr>
            <w:fldChar w:fldCharType="separate"/>
          </w:r>
          <w:r w:rsidR="00FE7DB5" w:rsidRPr="00FE7DB5">
            <w:rPr>
              <w:rFonts w:cstheme="minorHAnsi"/>
              <w:noProof/>
              <w:shd w:val="clear" w:color="auto" w:fill="FFFFFF"/>
            </w:rPr>
            <w:t>(Coomber R. a., 2018)</w:t>
          </w:r>
          <w:r w:rsidRPr="00BF0533">
            <w:rPr>
              <w:rFonts w:cstheme="minorHAnsi"/>
              <w:shd w:val="clear" w:color="auto" w:fill="FFFFFF"/>
            </w:rPr>
            <w:fldChar w:fldCharType="end"/>
          </w:r>
        </w:sdtContent>
      </w:sdt>
      <w:r w:rsidRPr="00BF0533">
        <w:rPr>
          <w:rFonts w:cstheme="minorHAnsi"/>
          <w:shd w:val="clear" w:color="auto" w:fill="FFFFFF"/>
        </w:rPr>
        <w:t xml:space="preserve">. According to police intelligence, boys between the ages of 14 and 17 are the most common youth targets of county line gangs </w:t>
      </w:r>
      <w:sdt>
        <w:sdtPr>
          <w:rPr>
            <w:rFonts w:cstheme="minorHAnsi"/>
            <w:shd w:val="clear" w:color="auto" w:fill="FFFFFF"/>
          </w:rPr>
          <w:id w:val="-798382070"/>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Nat16 \l 2057 </w:instrText>
          </w:r>
          <w:r w:rsidRPr="00BF0533">
            <w:rPr>
              <w:rFonts w:cstheme="minorHAnsi"/>
              <w:shd w:val="clear" w:color="auto" w:fill="FFFFFF"/>
            </w:rPr>
            <w:fldChar w:fldCharType="separate"/>
          </w:r>
          <w:r w:rsidR="00FE7DB5" w:rsidRPr="00FE7DB5">
            <w:rPr>
              <w:rFonts w:cstheme="minorHAnsi"/>
              <w:noProof/>
              <w:shd w:val="clear" w:color="auto" w:fill="FFFFFF"/>
            </w:rPr>
            <w:t>(National Crime Agency, 2016)</w:t>
          </w:r>
          <w:r w:rsidRPr="00BF0533">
            <w:rPr>
              <w:rFonts w:cstheme="minorHAnsi"/>
              <w:shd w:val="clear" w:color="auto" w:fill="FFFFFF"/>
            </w:rPr>
            <w:fldChar w:fldCharType="end"/>
          </w:r>
        </w:sdtContent>
      </w:sdt>
      <w:r w:rsidRPr="00BF0533">
        <w:rPr>
          <w:rFonts w:cstheme="minorHAnsi"/>
          <w:shd w:val="clear" w:color="auto" w:fill="FFFFFF"/>
        </w:rPr>
        <w:t>. While </w:t>
      </w:r>
      <w:sdt>
        <w:sdtPr>
          <w:rPr>
            <w:rFonts w:cstheme="minorHAnsi"/>
            <w:shd w:val="clear" w:color="auto" w:fill="FFFFFF"/>
          </w:rPr>
          <w:id w:val="581564418"/>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Rei17 \l 2057 </w:instrText>
          </w:r>
          <w:r w:rsidRPr="00BF0533">
            <w:rPr>
              <w:rFonts w:cstheme="minorHAnsi"/>
              <w:shd w:val="clear" w:color="auto" w:fill="FFFFFF"/>
            </w:rPr>
            <w:fldChar w:fldCharType="separate"/>
          </w:r>
          <w:r w:rsidR="00FE7DB5" w:rsidRPr="00FE7DB5">
            <w:rPr>
              <w:rFonts w:cstheme="minorHAnsi"/>
              <w:noProof/>
              <w:shd w:val="clear" w:color="auto" w:fill="FFFFFF"/>
            </w:rPr>
            <w:t>(Reid, 2017)</w:t>
          </w:r>
          <w:r w:rsidRPr="00BF0533">
            <w:rPr>
              <w:rFonts w:cstheme="minorHAnsi"/>
              <w:shd w:val="clear" w:color="auto" w:fill="FFFFFF"/>
            </w:rPr>
            <w:fldChar w:fldCharType="end"/>
          </w:r>
        </w:sdtContent>
      </w:sdt>
      <w:r w:rsidRPr="00BF0533">
        <w:rPr>
          <w:rFonts w:cstheme="minorHAnsi"/>
          <w:shd w:val="clear" w:color="auto" w:fill="FFFFFF"/>
        </w:rPr>
        <w:t xml:space="preserve"> has discovered that individuals who have encountered a variety of adverse childhood experiences (ACEs) are more susceptible to becoming victims of human trafficking. It is evident why county lines gangs will target young people who are still at school, more specifically those who have had experience of being bullied and may have developed a deep desperation for social interaction and a friend. Children like this can often spend a lot of time alone and are easily spotted by recruiters; this makes them easily recruited when they are approached by a seemingly friendly face. Contrastingly, recruiters would not overlook those who </w:t>
      </w:r>
      <w:r w:rsidRPr="00BF0533">
        <w:rPr>
          <w:rFonts w:cstheme="minorHAnsi"/>
          <w:shd w:val="clear" w:color="auto" w:fill="FFFFFF"/>
        </w:rPr>
        <w:lastRenderedPageBreak/>
        <w:t xml:space="preserve">may be on the other side of the social scale. The grooming nature of county lines gangs may entice young individuals with financial incentives, the newest technology, and designer clothing for those who have the popularity in the school environment. The process of recruiting children is often ambiguous. Nevertheless, social media platforms have emerged as a means to establish initial communication with victims </w:t>
      </w:r>
      <w:sdt>
        <w:sdtPr>
          <w:rPr>
            <w:rFonts w:cstheme="minorHAnsi"/>
            <w:shd w:val="clear" w:color="auto" w:fill="FFFFFF"/>
          </w:rPr>
          <w:id w:val="357251747"/>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Nat161 \l 2057 </w:instrText>
          </w:r>
          <w:r w:rsidRPr="00BF0533">
            <w:rPr>
              <w:rFonts w:cstheme="minorHAnsi"/>
              <w:shd w:val="clear" w:color="auto" w:fill="FFFFFF"/>
            </w:rPr>
            <w:fldChar w:fldCharType="separate"/>
          </w:r>
          <w:r w:rsidR="00FE7DB5" w:rsidRPr="00FE7DB5">
            <w:rPr>
              <w:rFonts w:cstheme="minorHAnsi"/>
              <w:noProof/>
              <w:shd w:val="clear" w:color="auto" w:fill="FFFFFF"/>
            </w:rPr>
            <w:t>(National Crime Agency , 2016)</w:t>
          </w:r>
          <w:r w:rsidRPr="00BF0533">
            <w:rPr>
              <w:rFonts w:cstheme="minorHAnsi"/>
              <w:shd w:val="clear" w:color="auto" w:fill="FFFFFF"/>
            </w:rPr>
            <w:fldChar w:fldCharType="end"/>
          </w:r>
        </w:sdtContent>
      </w:sdt>
      <w:r w:rsidRPr="00BF0533">
        <w:rPr>
          <w:rFonts w:cstheme="minorHAnsi"/>
          <w:shd w:val="clear" w:color="auto" w:fill="FFFFFF"/>
        </w:rPr>
        <w:t>.</w:t>
      </w:r>
    </w:p>
    <w:p w14:paraId="7C3AB0C6" w14:textId="77777777" w:rsidR="00D5726D" w:rsidRPr="00BF0533" w:rsidRDefault="00D5726D" w:rsidP="00D5726D">
      <w:r w:rsidRPr="00BF0533">
        <w:t>Alternatively, the socio-economic and psychological reasons why vulnerable or young people may seek to become involved with, and eventually become exploited by organised crime, should be examined.</w:t>
      </w:r>
    </w:p>
    <w:p w14:paraId="729C8C8B" w14:textId="1A7E528F" w:rsidR="00D5726D" w:rsidRPr="00BF0533" w:rsidRDefault="00D5726D" w:rsidP="00D5726D">
      <w:pPr>
        <w:rPr>
          <w:rFonts w:cstheme="minorHAnsi"/>
          <w:shd w:val="clear" w:color="auto" w:fill="FFFFFF"/>
        </w:rPr>
      </w:pPr>
      <w:r w:rsidRPr="00BF0533">
        <w:t xml:space="preserve">Children who are under the care of authorities have these agencies act as their "corporate parents" and bear the responsibility for their welfare. These children are moved to accommodations that are frequently distant from their original homes and are occasionally unregulated </w:t>
      </w:r>
      <w:sdt>
        <w:sdtPr>
          <w:id w:val="1976567033"/>
          <w:citation/>
        </w:sdtPr>
        <w:sdtContent>
          <w:r w:rsidRPr="00BF0533">
            <w:fldChar w:fldCharType="begin"/>
          </w:r>
          <w:r w:rsidRPr="00BF0533">
            <w:instrText xml:space="preserve"> CITATION Nat161 \l 2057 </w:instrText>
          </w:r>
          <w:r w:rsidRPr="00BF0533">
            <w:fldChar w:fldCharType="separate"/>
          </w:r>
          <w:r w:rsidR="00FE7DB5">
            <w:rPr>
              <w:noProof/>
            </w:rPr>
            <w:t>(National Crime Agency , 2016)</w:t>
          </w:r>
          <w:r w:rsidRPr="00BF0533">
            <w:fldChar w:fldCharType="end"/>
          </w:r>
        </w:sdtContent>
      </w:sdt>
      <w:r w:rsidRPr="00BF0533">
        <w:t>. This could a contributing factor as to why the seek out familial connections within organised crime.</w:t>
      </w:r>
      <w:r w:rsidRPr="00BF0533">
        <w:rPr>
          <w:rFonts w:cstheme="minorHAnsi"/>
          <w:shd w:val="clear" w:color="auto" w:fill="FFFFFF"/>
        </w:rPr>
        <w:t xml:space="preserve"> The involvement of young individuals in county lines activity could also be attributed to factors such as financial gain, easy access to drugs, or the appeal of acquiring material possessions that are flaunted by criminal gangs </w:t>
      </w:r>
      <w:sdt>
        <w:sdtPr>
          <w:rPr>
            <w:rFonts w:cstheme="minorHAnsi"/>
            <w:shd w:val="clear" w:color="auto" w:fill="FFFFFF"/>
          </w:rPr>
          <w:id w:val="-2038503208"/>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Win15 \l 2057 </w:instrText>
          </w:r>
          <w:r w:rsidRPr="00BF0533">
            <w:rPr>
              <w:rFonts w:cstheme="minorHAnsi"/>
              <w:shd w:val="clear" w:color="auto" w:fill="FFFFFF"/>
            </w:rPr>
            <w:fldChar w:fldCharType="separate"/>
          </w:r>
          <w:r w:rsidR="00FE7DB5" w:rsidRPr="00FE7DB5">
            <w:rPr>
              <w:rFonts w:cstheme="minorHAnsi"/>
              <w:noProof/>
              <w:shd w:val="clear" w:color="auto" w:fill="FFFFFF"/>
            </w:rPr>
            <w:t>(Windle, 2015)</w:t>
          </w:r>
          <w:r w:rsidRPr="00BF0533">
            <w:rPr>
              <w:rFonts w:cstheme="minorHAnsi"/>
              <w:shd w:val="clear" w:color="auto" w:fill="FFFFFF"/>
            </w:rPr>
            <w:fldChar w:fldCharType="end"/>
          </w:r>
        </w:sdtContent>
      </w:sdt>
      <w:r w:rsidRPr="00BF0533">
        <w:rPr>
          <w:rFonts w:cstheme="minorHAnsi"/>
          <w:shd w:val="clear" w:color="auto" w:fill="FFFFFF"/>
        </w:rPr>
        <w:t>,</w:t>
      </w:r>
      <w:r w:rsidRPr="00BF0533">
        <w:rPr>
          <w:rFonts w:ascii="Open Sans" w:hAnsi="Open Sans" w:cs="Open Sans"/>
          <w:shd w:val="clear" w:color="auto" w:fill="FFFFFF"/>
        </w:rPr>
        <w:t xml:space="preserve"> </w:t>
      </w:r>
      <w:sdt>
        <w:sdtPr>
          <w:rPr>
            <w:rFonts w:cstheme="minorHAnsi"/>
            <w:shd w:val="clear" w:color="auto" w:fill="FFFFFF"/>
          </w:rPr>
          <w:id w:val="1805117448"/>
          <w:citation/>
        </w:sdtPr>
        <w:sdtContent>
          <w:r w:rsidRPr="00BF0533">
            <w:rPr>
              <w:rFonts w:cstheme="minorHAnsi"/>
              <w:shd w:val="clear" w:color="auto" w:fill="FFFFFF"/>
            </w:rPr>
            <w:fldChar w:fldCharType="begin"/>
          </w:r>
          <w:r w:rsidRPr="00BF0533">
            <w:rPr>
              <w:rFonts w:cstheme="minorHAnsi"/>
              <w:shd w:val="clear" w:color="auto" w:fill="FFFFFF"/>
            </w:rPr>
            <w:instrText xml:space="preserve">CITATION Coo181 \t  \l 2057 </w:instrText>
          </w:r>
          <w:r w:rsidRPr="00BF0533">
            <w:rPr>
              <w:rFonts w:cstheme="minorHAnsi"/>
              <w:shd w:val="clear" w:color="auto" w:fill="FFFFFF"/>
            </w:rPr>
            <w:fldChar w:fldCharType="separate"/>
          </w:r>
          <w:r w:rsidR="00FE7DB5" w:rsidRPr="00FE7DB5">
            <w:rPr>
              <w:rFonts w:cstheme="minorHAnsi"/>
              <w:noProof/>
              <w:shd w:val="clear" w:color="auto" w:fill="FFFFFF"/>
            </w:rPr>
            <w:t>(Coomber R. a., 2018)</w:t>
          </w:r>
          <w:r w:rsidRPr="00BF0533">
            <w:rPr>
              <w:rFonts w:cstheme="minorHAnsi"/>
              <w:shd w:val="clear" w:color="auto" w:fill="FFFFFF"/>
            </w:rPr>
            <w:fldChar w:fldCharType="end"/>
          </w:r>
        </w:sdtContent>
      </w:sdt>
      <w:r w:rsidRPr="00BF0533">
        <w:rPr>
          <w:rFonts w:cstheme="minorHAnsi"/>
          <w:shd w:val="clear" w:color="auto" w:fill="FFFFFF"/>
        </w:rPr>
        <w:t xml:space="preserve">, </w:t>
      </w:r>
      <w:sdt>
        <w:sdtPr>
          <w:rPr>
            <w:rFonts w:cstheme="minorHAnsi"/>
            <w:shd w:val="clear" w:color="auto" w:fill="FFFFFF"/>
          </w:rPr>
          <w:id w:val="850838890"/>
          <w:citation/>
        </w:sdtPr>
        <w:sdtContent>
          <w:r w:rsidRPr="00BF0533">
            <w:rPr>
              <w:rFonts w:cstheme="minorHAnsi"/>
              <w:shd w:val="clear" w:color="auto" w:fill="FFFFFF"/>
            </w:rPr>
            <w:fldChar w:fldCharType="begin"/>
          </w:r>
          <w:r w:rsidRPr="00BF0533">
            <w:rPr>
              <w:rFonts w:cstheme="minorHAnsi"/>
              <w:shd w:val="clear" w:color="auto" w:fill="FFFFFF"/>
            </w:rPr>
            <w:instrText xml:space="preserve">CITATION Bri13 \t  \l 2057 </w:instrText>
          </w:r>
          <w:r w:rsidRPr="00BF0533">
            <w:rPr>
              <w:rFonts w:cstheme="minorHAnsi"/>
              <w:shd w:val="clear" w:color="auto" w:fill="FFFFFF"/>
            </w:rPr>
            <w:fldChar w:fldCharType="separate"/>
          </w:r>
          <w:r w:rsidR="00FE7DB5" w:rsidRPr="00FE7DB5">
            <w:rPr>
              <w:rFonts w:cstheme="minorHAnsi"/>
              <w:noProof/>
              <w:shd w:val="clear" w:color="auto" w:fill="FFFFFF"/>
            </w:rPr>
            <w:t>(Briggs, 2013)</w:t>
          </w:r>
          <w:r w:rsidRPr="00BF0533">
            <w:rPr>
              <w:rFonts w:cstheme="minorHAnsi"/>
              <w:shd w:val="clear" w:color="auto" w:fill="FFFFFF"/>
            </w:rPr>
            <w:fldChar w:fldCharType="end"/>
          </w:r>
        </w:sdtContent>
      </w:sdt>
      <w:r w:rsidRPr="00BF0533">
        <w:rPr>
          <w:rFonts w:cstheme="minorHAnsi"/>
          <w:shd w:val="clear" w:color="auto" w:fill="FFFFFF"/>
        </w:rPr>
        <w:t xml:space="preserve">. Children from disadvantaged backgrounds are frequently more prone to participating in criminal activities. Those who encounter challenges within their families or while under the care of social welfare institutions are particularly vulnerable to being manipulated by criminal gangs. Consequently, they often go missing or experience a noticeable decrease in school attendance </w:t>
      </w:r>
      <w:sdt>
        <w:sdtPr>
          <w:rPr>
            <w:rFonts w:cstheme="minorHAnsi"/>
            <w:shd w:val="clear" w:color="auto" w:fill="FFFFFF"/>
          </w:rPr>
          <w:id w:val="147869766"/>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Nat161 \l 2057 </w:instrText>
          </w:r>
          <w:r w:rsidRPr="00BF0533">
            <w:rPr>
              <w:rFonts w:cstheme="minorHAnsi"/>
              <w:shd w:val="clear" w:color="auto" w:fill="FFFFFF"/>
            </w:rPr>
            <w:fldChar w:fldCharType="separate"/>
          </w:r>
          <w:r w:rsidR="00FE7DB5" w:rsidRPr="00FE7DB5">
            <w:rPr>
              <w:rFonts w:cstheme="minorHAnsi"/>
              <w:noProof/>
              <w:shd w:val="clear" w:color="auto" w:fill="FFFFFF"/>
            </w:rPr>
            <w:t>(National Crime Agency , 2016)</w:t>
          </w:r>
          <w:r w:rsidRPr="00BF0533">
            <w:rPr>
              <w:rFonts w:cstheme="minorHAnsi"/>
              <w:shd w:val="clear" w:color="auto" w:fill="FFFFFF"/>
            </w:rPr>
            <w:fldChar w:fldCharType="end"/>
          </w:r>
        </w:sdtContent>
      </w:sdt>
      <w:r w:rsidRPr="00BF0533">
        <w:rPr>
          <w:rFonts w:cstheme="minorHAnsi"/>
          <w:shd w:val="clear" w:color="auto" w:fill="FFFFFF"/>
        </w:rPr>
        <w:t xml:space="preserve">. Further consequences could include lower academic performance, increased likelihood of participating in criminal behaviour, and therefore a higher risk of becoming victims of county lines criminal activity. </w:t>
      </w:r>
      <w:sdt>
        <w:sdtPr>
          <w:rPr>
            <w:rFonts w:cstheme="minorHAnsi"/>
            <w:shd w:val="clear" w:color="auto" w:fill="FFFFFF"/>
          </w:rPr>
          <w:id w:val="-1022474307"/>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Cur03 \l 2057 </w:instrText>
          </w:r>
          <w:r w:rsidRPr="00BF0533">
            <w:rPr>
              <w:rFonts w:cstheme="minorHAnsi"/>
              <w:shd w:val="clear" w:color="auto" w:fill="FFFFFF"/>
            </w:rPr>
            <w:fldChar w:fldCharType="separate"/>
          </w:r>
          <w:r w:rsidR="00FE7DB5" w:rsidRPr="00FE7DB5">
            <w:rPr>
              <w:rFonts w:cstheme="minorHAnsi"/>
              <w:noProof/>
              <w:shd w:val="clear" w:color="auto" w:fill="FFFFFF"/>
            </w:rPr>
            <w:t>(Curry, 2003)</w:t>
          </w:r>
          <w:r w:rsidRPr="00BF0533">
            <w:rPr>
              <w:rFonts w:cstheme="minorHAnsi"/>
              <w:shd w:val="clear" w:color="auto" w:fill="FFFFFF"/>
            </w:rPr>
            <w:fldChar w:fldCharType="end"/>
          </w:r>
        </w:sdtContent>
      </w:sdt>
      <w:r w:rsidRPr="00BF0533">
        <w:rPr>
          <w:rFonts w:cstheme="minorHAnsi"/>
          <w:shd w:val="clear" w:color="auto" w:fill="FFFFFF"/>
        </w:rPr>
        <w:t>.</w:t>
      </w:r>
    </w:p>
    <w:p w14:paraId="7AC8B0FF" w14:textId="492EC2B3" w:rsidR="00D5726D" w:rsidRPr="00BF0533" w:rsidRDefault="00D5726D" w:rsidP="00D5726D">
      <w:pPr>
        <w:rPr>
          <w:rFonts w:cstheme="minorHAnsi"/>
          <w:shd w:val="clear" w:color="auto" w:fill="FFFFFF"/>
        </w:rPr>
      </w:pPr>
      <w:r w:rsidRPr="00BF0533">
        <w:rPr>
          <w:rFonts w:cstheme="minorHAnsi"/>
          <w:shd w:val="clear" w:color="auto" w:fill="FFFFFF"/>
        </w:rPr>
        <w:t xml:space="preserve">Individuals could be enticed by the thrill and prestige of belonging to a specific criminal group or having romantic or personal ties with them </w:t>
      </w:r>
      <w:sdt>
        <w:sdtPr>
          <w:rPr>
            <w:rFonts w:cstheme="minorHAnsi"/>
            <w:shd w:val="clear" w:color="auto" w:fill="FFFFFF"/>
          </w:rPr>
          <w:id w:val="151651643"/>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And18 \l 2057 </w:instrText>
          </w:r>
          <w:r w:rsidRPr="00BF0533">
            <w:rPr>
              <w:rFonts w:cstheme="minorHAnsi"/>
              <w:shd w:val="clear" w:color="auto" w:fill="FFFFFF"/>
            </w:rPr>
            <w:fldChar w:fldCharType="separate"/>
          </w:r>
          <w:r w:rsidR="00FE7DB5" w:rsidRPr="00FE7DB5">
            <w:rPr>
              <w:rFonts w:cstheme="minorHAnsi"/>
              <w:noProof/>
              <w:shd w:val="clear" w:color="auto" w:fill="FFFFFF"/>
            </w:rPr>
            <w:t>(Andell, 2018)</w:t>
          </w:r>
          <w:r w:rsidRPr="00BF0533">
            <w:rPr>
              <w:rFonts w:cstheme="minorHAnsi"/>
              <w:shd w:val="clear" w:color="auto" w:fill="FFFFFF"/>
            </w:rPr>
            <w:fldChar w:fldCharType="end"/>
          </w:r>
        </w:sdtContent>
      </w:sdt>
      <w:r w:rsidRPr="00BF0533">
        <w:rPr>
          <w:rFonts w:cstheme="minorHAnsi"/>
          <w:shd w:val="clear" w:color="auto" w:fill="FFFFFF"/>
        </w:rPr>
        <w:t xml:space="preserve">, </w:t>
      </w:r>
      <w:sdt>
        <w:sdtPr>
          <w:rPr>
            <w:rFonts w:cstheme="minorHAnsi"/>
            <w:shd w:val="clear" w:color="auto" w:fill="FFFFFF"/>
          </w:rPr>
          <w:id w:val="328334666"/>
          <w:citation/>
        </w:sdtPr>
        <w:sdtContent>
          <w:r w:rsidRPr="00BF0533">
            <w:rPr>
              <w:rFonts w:cstheme="minorHAnsi"/>
              <w:shd w:val="clear" w:color="auto" w:fill="FFFFFF"/>
            </w:rPr>
            <w:fldChar w:fldCharType="begin"/>
          </w:r>
          <w:r w:rsidRPr="00BF0533">
            <w:rPr>
              <w:rFonts w:cstheme="minorHAnsi"/>
              <w:shd w:val="clear" w:color="auto" w:fill="FFFFFF"/>
            </w:rPr>
            <w:instrText xml:space="preserve">CITATION Coo122 \t  \l 2057 </w:instrText>
          </w:r>
          <w:r w:rsidRPr="00BF0533">
            <w:rPr>
              <w:rFonts w:cstheme="minorHAnsi"/>
              <w:shd w:val="clear" w:color="auto" w:fill="FFFFFF"/>
            </w:rPr>
            <w:fldChar w:fldCharType="separate"/>
          </w:r>
          <w:r w:rsidR="00FE7DB5" w:rsidRPr="00FE7DB5">
            <w:rPr>
              <w:rFonts w:cstheme="minorHAnsi"/>
              <w:noProof/>
              <w:shd w:val="clear" w:color="auto" w:fill="FFFFFF"/>
            </w:rPr>
            <w:t>(Coomber R. a., 2012)</w:t>
          </w:r>
          <w:r w:rsidRPr="00BF0533">
            <w:rPr>
              <w:rFonts w:cstheme="minorHAnsi"/>
              <w:shd w:val="clear" w:color="auto" w:fill="FFFFFF"/>
            </w:rPr>
            <w:fldChar w:fldCharType="end"/>
          </w:r>
        </w:sdtContent>
      </w:sdt>
      <w:r w:rsidRPr="00BF0533">
        <w:rPr>
          <w:rFonts w:cstheme="minorHAnsi"/>
          <w:shd w:val="clear" w:color="auto" w:fill="FFFFFF"/>
        </w:rPr>
        <w:t xml:space="preserve">. Studies have made it clear that individuals who become victims of county lines exploitation are motivated by a multitude of reasons: economic instability, chaotic and troubled domestic situations </w:t>
      </w:r>
      <w:sdt>
        <w:sdtPr>
          <w:rPr>
            <w:rFonts w:cstheme="minorHAnsi"/>
            <w:shd w:val="clear" w:color="auto" w:fill="FFFFFF"/>
          </w:rPr>
          <w:id w:val="375969660"/>
          <w:citation/>
        </w:sdtPr>
        <w:sdtContent>
          <w:r w:rsidRPr="00BF0533">
            <w:rPr>
              <w:rFonts w:cstheme="minorHAnsi"/>
              <w:shd w:val="clear" w:color="auto" w:fill="FFFFFF"/>
            </w:rPr>
            <w:fldChar w:fldCharType="begin"/>
          </w:r>
          <w:r w:rsidRPr="00BF0533">
            <w:rPr>
              <w:rFonts w:cstheme="minorHAnsi"/>
              <w:shd w:val="clear" w:color="auto" w:fill="FFFFFF"/>
            </w:rPr>
            <w:instrText xml:space="preserve">CITATION Coo121 \t  \l 2057 </w:instrText>
          </w:r>
          <w:r w:rsidRPr="00BF0533">
            <w:rPr>
              <w:rFonts w:cstheme="minorHAnsi"/>
              <w:shd w:val="clear" w:color="auto" w:fill="FFFFFF"/>
            </w:rPr>
            <w:fldChar w:fldCharType="separate"/>
          </w:r>
          <w:r w:rsidR="00FE7DB5" w:rsidRPr="00FE7DB5">
            <w:rPr>
              <w:rFonts w:cstheme="minorHAnsi"/>
              <w:noProof/>
              <w:shd w:val="clear" w:color="auto" w:fill="FFFFFF"/>
            </w:rPr>
            <w:t>(Coomber R. a., 2012)</w:t>
          </w:r>
          <w:r w:rsidRPr="00BF0533">
            <w:rPr>
              <w:rFonts w:cstheme="minorHAnsi"/>
              <w:shd w:val="clear" w:color="auto" w:fill="FFFFFF"/>
            </w:rPr>
            <w:fldChar w:fldCharType="end"/>
          </w:r>
        </w:sdtContent>
      </w:sdt>
      <w:r w:rsidRPr="00BF0533">
        <w:rPr>
          <w:rFonts w:cstheme="minorHAnsi"/>
          <w:shd w:val="clear" w:color="auto" w:fill="FFFFFF"/>
        </w:rPr>
        <w:t xml:space="preserve">, the accumulation of drug debt and the imposition of gifts results in the grooming or trapping of children and young adults </w:t>
      </w:r>
      <w:sdt>
        <w:sdtPr>
          <w:rPr>
            <w:rFonts w:cstheme="minorHAnsi"/>
            <w:shd w:val="clear" w:color="auto" w:fill="FFFFFF"/>
          </w:rPr>
          <w:id w:val="-2111197266"/>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Coo12 \l 2057 </w:instrText>
          </w:r>
          <w:r w:rsidRPr="00BF0533">
            <w:rPr>
              <w:rFonts w:cstheme="minorHAnsi"/>
              <w:shd w:val="clear" w:color="auto" w:fill="FFFFFF"/>
            </w:rPr>
            <w:fldChar w:fldCharType="separate"/>
          </w:r>
          <w:r w:rsidR="00FE7DB5" w:rsidRPr="00FE7DB5">
            <w:rPr>
              <w:rFonts w:cstheme="minorHAnsi"/>
              <w:noProof/>
              <w:shd w:val="clear" w:color="auto" w:fill="FFFFFF"/>
            </w:rPr>
            <w:t>(Coomber R. a., 2012)</w:t>
          </w:r>
          <w:r w:rsidRPr="00BF0533">
            <w:rPr>
              <w:rFonts w:cstheme="minorHAnsi"/>
              <w:shd w:val="clear" w:color="auto" w:fill="FFFFFF"/>
            </w:rPr>
            <w:fldChar w:fldCharType="end"/>
          </w:r>
        </w:sdtContent>
      </w:sdt>
      <w:r w:rsidRPr="00BF0533">
        <w:rPr>
          <w:rFonts w:cstheme="minorHAnsi"/>
          <w:shd w:val="clear" w:color="auto" w:fill="FFFFFF"/>
        </w:rPr>
        <w:t>.</w:t>
      </w:r>
      <w:r w:rsidRPr="00BF0533">
        <w:rPr>
          <w:rFonts w:cstheme="minorHAnsi"/>
          <w:b/>
          <w:bCs/>
          <w:shd w:val="clear" w:color="auto" w:fill="FFFFFF"/>
        </w:rPr>
        <w:t> </w:t>
      </w:r>
      <w:r w:rsidRPr="00BF0533">
        <w:rPr>
          <w:rFonts w:cstheme="minorHAnsi"/>
          <w:shd w:val="clear" w:color="auto" w:fill="FFFFFF"/>
        </w:rPr>
        <w:t>Research by </w:t>
      </w:r>
      <w:sdt>
        <w:sdtPr>
          <w:rPr>
            <w:rFonts w:cstheme="minorHAnsi"/>
            <w:shd w:val="clear" w:color="auto" w:fill="FFFFFF"/>
          </w:rPr>
          <w:id w:val="-469357202"/>
          <w:citation/>
        </w:sdtPr>
        <w:sdtContent>
          <w:r w:rsidRPr="00BF0533">
            <w:rPr>
              <w:rFonts w:cstheme="minorHAnsi"/>
              <w:shd w:val="clear" w:color="auto" w:fill="FFFFFF"/>
            </w:rPr>
            <w:fldChar w:fldCharType="begin"/>
          </w:r>
          <w:r w:rsidRPr="00BF0533">
            <w:rPr>
              <w:rFonts w:cstheme="minorHAnsi"/>
              <w:shd w:val="clear" w:color="auto" w:fill="FFFFFF"/>
            </w:rPr>
            <w:instrText xml:space="preserve"> CITATION Sto17 \l 2057 </w:instrText>
          </w:r>
          <w:r w:rsidRPr="00BF0533">
            <w:rPr>
              <w:rFonts w:cstheme="minorHAnsi"/>
              <w:shd w:val="clear" w:color="auto" w:fill="FFFFFF"/>
            </w:rPr>
            <w:fldChar w:fldCharType="separate"/>
          </w:r>
          <w:r w:rsidR="00FE7DB5" w:rsidRPr="00FE7DB5">
            <w:rPr>
              <w:rFonts w:cstheme="minorHAnsi"/>
              <w:noProof/>
              <w:shd w:val="clear" w:color="auto" w:fill="FFFFFF"/>
            </w:rPr>
            <w:t>(Storrod, 2017)</w:t>
          </w:r>
          <w:r w:rsidRPr="00BF0533">
            <w:rPr>
              <w:rFonts w:cstheme="minorHAnsi"/>
              <w:shd w:val="clear" w:color="auto" w:fill="FFFFFF"/>
            </w:rPr>
            <w:fldChar w:fldCharType="end"/>
          </w:r>
        </w:sdtContent>
      </w:sdt>
      <w:r w:rsidRPr="00BF0533">
        <w:rPr>
          <w:rFonts w:cstheme="minorHAnsi"/>
          <w:shd w:val="clear" w:color="auto" w:fill="FFFFFF"/>
        </w:rPr>
        <w:t xml:space="preserve"> reveals the existence of emotional manipulation, where teenagers are controlled by the threat of posting harmful comments or explicit photos on social media platforms. Obtaining said explicit photographs from a young person may be easily obtainable if they believe that they are in a consensual relationship with a county lines gang member. These are key psychological factors which could contribute to their vulnerability to exploitation. </w:t>
      </w:r>
    </w:p>
    <w:p w14:paraId="003B1443" w14:textId="77777777" w:rsidR="00D5726D" w:rsidRPr="00BF0533" w:rsidRDefault="00D5726D" w:rsidP="00D5726D">
      <w:pPr>
        <w:rPr>
          <w:rFonts w:cstheme="minorHAnsi"/>
          <w:shd w:val="clear" w:color="auto" w:fill="FFFFFF"/>
        </w:rPr>
      </w:pPr>
      <w:r w:rsidRPr="00BF0533">
        <w:rPr>
          <w:rFonts w:cstheme="minorHAnsi"/>
          <w:shd w:val="clear" w:color="auto" w:fill="FFFFFF"/>
        </w:rPr>
        <w:t xml:space="preserve">To conclude, these vulnerable people need to be safeguarded. Vulnerable children and adults who are a product of unstable financial upbringings, without necessary interpersonal support and development opportunities find themselves at risk from county line gangs. </w:t>
      </w:r>
      <w:r w:rsidRPr="00BF0533">
        <w:t xml:space="preserve">Teachers, social workers, and carers need to be educated on the signs of exploitation and the risk that follows so they can take preventative measures against it or report any suspected activity to the police so they can take action. </w:t>
      </w:r>
    </w:p>
    <w:p w14:paraId="249AFCD5" w14:textId="7584F7EC" w:rsidR="00D5726D" w:rsidRDefault="00D5726D" w:rsidP="00D5726D">
      <w:r>
        <w:t>Word count – 1048.</w:t>
      </w:r>
    </w:p>
    <w:p w14:paraId="729BB5F5" w14:textId="77777777" w:rsidR="00D5726D" w:rsidRDefault="00D5726D" w:rsidP="00D5726D"/>
    <w:p w14:paraId="597B17A3" w14:textId="77777777" w:rsidR="00D5726D" w:rsidRDefault="00D5726D" w:rsidP="00D5726D"/>
    <w:p w14:paraId="006194C9" w14:textId="77777777" w:rsidR="00D5726D" w:rsidRDefault="00D5726D" w:rsidP="00D5726D"/>
    <w:p w14:paraId="3DD07FDD" w14:textId="77777777" w:rsidR="00D5726D" w:rsidRPr="00D5726D" w:rsidRDefault="00D5726D" w:rsidP="00D5726D">
      <w:pPr>
        <w:rPr>
          <w:b/>
          <w:bCs/>
        </w:rPr>
      </w:pPr>
      <w:r w:rsidRPr="00D5726D">
        <w:rPr>
          <w:b/>
          <w:bCs/>
        </w:rPr>
        <w:lastRenderedPageBreak/>
        <w:t xml:space="preserve">Essay three: </w:t>
      </w:r>
    </w:p>
    <w:p w14:paraId="3B6DBDDA" w14:textId="77777777" w:rsidR="00D5726D" w:rsidRDefault="00D5726D" w:rsidP="00D5726D">
      <w:pPr>
        <w:rPr>
          <w:b/>
          <w:bCs/>
        </w:rPr>
      </w:pPr>
      <w:r w:rsidRPr="00D5726D">
        <w:rPr>
          <w:b/>
          <w:bCs/>
        </w:rPr>
        <w:t xml:space="preserve">Is MAPPA an effective means of managing violent and sexual offenders? What increases or detracts from its effectiveness? Your answer must be based on academic research. </w:t>
      </w:r>
    </w:p>
    <w:p w14:paraId="00603360" w14:textId="6AFDC239" w:rsidR="00575CB2" w:rsidRPr="00575CB2" w:rsidRDefault="00D5726D" w:rsidP="00575CB2">
      <w:pPr>
        <w:rPr>
          <w:b/>
          <w:bCs/>
        </w:rPr>
      </w:pPr>
      <w:r w:rsidRPr="00D5726D">
        <w:rPr>
          <w:b/>
          <w:bCs/>
        </w:rPr>
        <w:t>Word limit: 1000 words</w:t>
      </w:r>
    </w:p>
    <w:p w14:paraId="664E41E6" w14:textId="77777777" w:rsidR="00575CB2" w:rsidRPr="00575CB2" w:rsidRDefault="00575CB2" w:rsidP="00575CB2">
      <w:pPr>
        <w:pStyle w:val="NormalWeb"/>
        <w:spacing w:before="0" w:beforeAutospacing="0" w:after="0" w:afterAutospacing="0"/>
        <w:rPr>
          <w:rFonts w:asciiTheme="minorHAnsi" w:hAnsiTheme="minorHAnsi" w:cstheme="minorHAnsi"/>
        </w:rPr>
      </w:pPr>
      <w:r w:rsidRPr="00575CB2">
        <w:rPr>
          <w:rFonts w:asciiTheme="minorHAnsi" w:hAnsiTheme="minorHAnsi" w:cstheme="minorHAnsi"/>
          <w:color w:val="000000"/>
        </w:rPr>
        <w:t>This essay aims to determine if MAPPA is an effective means of managing violent and sexual offenders, discussing the factors that increase or detracts from its effectiveness.</w:t>
      </w:r>
    </w:p>
    <w:p w14:paraId="634303E5" w14:textId="77777777" w:rsidR="00575CB2" w:rsidRPr="00575CB2" w:rsidRDefault="00575CB2" w:rsidP="00575CB2">
      <w:pPr>
        <w:rPr>
          <w:rFonts w:eastAsia="Times New Roman" w:cstheme="minorHAnsi"/>
        </w:rPr>
      </w:pPr>
    </w:p>
    <w:p w14:paraId="1CF96540" w14:textId="10C318BC" w:rsidR="00575CB2" w:rsidRPr="00575CB2" w:rsidRDefault="00575CB2" w:rsidP="00575CB2">
      <w:pPr>
        <w:pStyle w:val="NormalWeb"/>
        <w:spacing w:before="0" w:beforeAutospacing="0" w:after="0" w:afterAutospacing="0"/>
        <w:rPr>
          <w:rFonts w:asciiTheme="minorHAnsi" w:hAnsiTheme="minorHAnsi" w:cstheme="minorHAnsi"/>
        </w:rPr>
      </w:pPr>
      <w:r w:rsidRPr="00575CB2">
        <w:rPr>
          <w:rFonts w:asciiTheme="minorHAnsi" w:hAnsiTheme="minorHAnsi" w:cstheme="minorHAnsi"/>
          <w:color w:val="000000"/>
        </w:rPr>
        <w:t xml:space="preserve">According to </w:t>
      </w:r>
      <w:sdt>
        <w:sdtPr>
          <w:rPr>
            <w:rFonts w:asciiTheme="minorHAnsi" w:hAnsiTheme="minorHAnsi" w:cstheme="minorHAnsi"/>
          </w:rPr>
          <w:id w:val="-1970433307"/>
          <w:citation/>
        </w:sdtPr>
        <w:sdtContent>
          <w:r w:rsidRPr="00575CB2">
            <w:rPr>
              <w:rFonts w:asciiTheme="minorHAnsi" w:hAnsiTheme="minorHAnsi" w:cstheme="minorHAnsi"/>
            </w:rPr>
            <w:fldChar w:fldCharType="begin"/>
          </w:r>
          <w:r w:rsidRPr="00575CB2">
            <w:rPr>
              <w:rFonts w:asciiTheme="minorHAnsi" w:hAnsiTheme="minorHAnsi" w:cstheme="minorHAnsi"/>
            </w:rPr>
            <w:instrText xml:space="preserve"> CITATION Nac23 \l 2057 </w:instrText>
          </w:r>
          <w:r w:rsidRPr="00575CB2">
            <w:rPr>
              <w:rFonts w:asciiTheme="minorHAnsi" w:hAnsiTheme="minorHAnsi" w:cstheme="minorHAnsi"/>
            </w:rPr>
            <w:fldChar w:fldCharType="separate"/>
          </w:r>
          <w:r w:rsidR="00FE7DB5" w:rsidRPr="00FE7DB5">
            <w:rPr>
              <w:rFonts w:asciiTheme="minorHAnsi" w:hAnsiTheme="minorHAnsi" w:cstheme="minorHAnsi"/>
              <w:noProof/>
            </w:rPr>
            <w:t>(Nacro, 2023)</w:t>
          </w:r>
          <w:r w:rsidRPr="00575CB2">
            <w:rPr>
              <w:rFonts w:asciiTheme="minorHAnsi" w:hAnsiTheme="minorHAnsi" w:cstheme="minorHAnsi"/>
            </w:rPr>
            <w:fldChar w:fldCharType="end"/>
          </w:r>
        </w:sdtContent>
      </w:sdt>
      <w:r w:rsidRPr="00575CB2">
        <w:rPr>
          <w:rFonts w:asciiTheme="minorHAnsi" w:hAnsiTheme="minorHAnsi" w:cstheme="minorHAnsi"/>
          <w:color w:val="000000"/>
        </w:rPr>
        <w:t>, MAPPA is an abbreviation for Multi-Agency Public Protection</w:t>
      </w:r>
    </w:p>
    <w:p w14:paraId="7C87B5C3" w14:textId="4BE8298D" w:rsidR="00575CB2" w:rsidRDefault="00575CB2" w:rsidP="00FE7DB5">
      <w:pPr>
        <w:pStyle w:val="NormalWeb"/>
        <w:spacing w:before="0" w:beforeAutospacing="0" w:after="0" w:afterAutospacing="0"/>
        <w:rPr>
          <w:rFonts w:asciiTheme="minorHAnsi" w:hAnsiTheme="minorHAnsi" w:cstheme="minorHAnsi"/>
          <w:color w:val="000000"/>
        </w:rPr>
      </w:pPr>
      <w:r w:rsidRPr="00575CB2">
        <w:rPr>
          <w:rFonts w:asciiTheme="minorHAnsi" w:hAnsiTheme="minorHAnsi" w:cstheme="minorHAnsi"/>
          <w:color w:val="000000"/>
        </w:rPr>
        <w:t>Arrangements. It’s an organisation which allows various authorities, namely the Police, Prison Service and Probation to collaborate. Their primary objective being to manage the risks associated with violent and sexual offenders within the community. </w:t>
      </w:r>
    </w:p>
    <w:p w14:paraId="18CC10C3"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41AFD6CF" w14:textId="50F0476E" w:rsidR="00575CB2" w:rsidRDefault="00575CB2" w:rsidP="00FE7DB5">
      <w:pPr>
        <w:pStyle w:val="NormalWeb"/>
        <w:spacing w:before="0" w:beforeAutospacing="0" w:after="0" w:afterAutospacing="0"/>
      </w:pPr>
      <w:r w:rsidRPr="00575CB2">
        <w:rPr>
          <w:rFonts w:asciiTheme="minorHAnsi" w:hAnsiTheme="minorHAnsi" w:cstheme="minorHAnsi"/>
          <w:color w:val="000000"/>
        </w:rPr>
        <w:t xml:space="preserve">The Criminal Justice Joint Inspection Group launched an investigation of MAPPA in July 2022. The primary objective of this inspection was to assess if MAPPA had been successful in achieving its goals, following the passing of its 20-year implementation within the Criminal Justice System </w:t>
      </w:r>
      <w:sdt>
        <w:sdtPr>
          <w:id w:val="975263793"/>
          <w:citation/>
        </w:sdtPr>
        <w:sdtContent>
          <w:r>
            <w:fldChar w:fldCharType="begin"/>
          </w:r>
          <w:r>
            <w:instrText xml:space="preserve"> CITATION HMI22 \l 2057 </w:instrText>
          </w:r>
          <w:r>
            <w:fldChar w:fldCharType="separate"/>
          </w:r>
          <w:r w:rsidR="00FE7DB5">
            <w:rPr>
              <w:noProof/>
            </w:rPr>
            <w:t>(HM Inspectorate of Probation, 2022)</w:t>
          </w:r>
          <w:r>
            <w:fldChar w:fldCharType="end"/>
          </w:r>
        </w:sdtContent>
      </w:sdt>
      <w:r>
        <w:t>.</w:t>
      </w:r>
    </w:p>
    <w:p w14:paraId="57CB6AF2"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08A17747" w14:textId="5332FFCA" w:rsidR="00575CB2" w:rsidRDefault="00575CB2" w:rsidP="00FE7DB5">
      <w:pPr>
        <w:pStyle w:val="NormalWeb"/>
        <w:spacing w:before="0" w:beforeAutospacing="0" w:after="0" w:afterAutospacing="0"/>
      </w:pPr>
      <w:r w:rsidRPr="00575CB2">
        <w:rPr>
          <w:rFonts w:asciiTheme="minorHAnsi" w:hAnsiTheme="minorHAnsi" w:cstheme="minorHAnsi"/>
          <w:color w:val="000000"/>
        </w:rPr>
        <w:t xml:space="preserve">Within this report, it states that each Criminal Justice area within the UK has an appointed MAPPA coordinator that oversees the cases within their given area. The variation in geographical area and population density that a MAPPA coordinator needs to manage could impact the effectiveness of their purpose. If the statistics from March 2021 are considered, Cumbria had a total of 815 offenders that were eligible for management under MAPPA, whereas  London had a significantly larger number of 10,131 offenders. As both regions only have one appointed MAPPA coordinator responsible for managing these caseloads, operational probation managers within these more densely populated areas have additional MAPPA related responsibility alongside their primary roles. This results in less effective collaboration with partner agencies and subsequently, a less effective service to manage violent and sexual offenders </w:t>
      </w:r>
      <w:sdt>
        <w:sdtPr>
          <w:id w:val="2121326970"/>
          <w:citation/>
        </w:sdtPr>
        <w:sdtContent>
          <w:r>
            <w:fldChar w:fldCharType="begin"/>
          </w:r>
          <w:r>
            <w:instrText xml:space="preserve"> CITATION HMI22 \l 2057 </w:instrText>
          </w:r>
          <w:r>
            <w:fldChar w:fldCharType="separate"/>
          </w:r>
          <w:r w:rsidR="00FE7DB5">
            <w:rPr>
              <w:noProof/>
            </w:rPr>
            <w:t>(HM Inspectorate of Probation, 2022)</w:t>
          </w:r>
          <w:r>
            <w:fldChar w:fldCharType="end"/>
          </w:r>
        </w:sdtContent>
      </w:sdt>
      <w:r>
        <w:t>.</w:t>
      </w:r>
    </w:p>
    <w:p w14:paraId="47FC9EB8"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35699438" w14:textId="77777777" w:rsidR="00575CB2" w:rsidRPr="00575CB2" w:rsidRDefault="00575CB2" w:rsidP="00575CB2">
      <w:pPr>
        <w:pStyle w:val="NormalWeb"/>
        <w:spacing w:before="0" w:beforeAutospacing="0" w:after="0" w:afterAutospacing="0"/>
        <w:rPr>
          <w:rFonts w:asciiTheme="minorHAnsi" w:hAnsiTheme="minorHAnsi" w:cstheme="minorHAnsi"/>
        </w:rPr>
      </w:pPr>
      <w:r w:rsidRPr="00575CB2">
        <w:rPr>
          <w:rFonts w:asciiTheme="minorHAnsi" w:hAnsiTheme="minorHAnsi" w:cstheme="minorHAnsi"/>
          <w:color w:val="000000"/>
        </w:rPr>
        <w:t> In instances where Probation of Police take primary control, there are established and efficient procedures in place to identify cases that are eligible for MAPPA management at the time of sentencing. Despite this, these cases lack a clear rationale which result in the decision of a suitable management level being delayed and impeding the effectiveness.</w:t>
      </w:r>
    </w:p>
    <w:p w14:paraId="64571734" w14:textId="00784051" w:rsidR="00575CB2" w:rsidRDefault="00575CB2" w:rsidP="00FE7DB5">
      <w:pPr>
        <w:pStyle w:val="NormalWeb"/>
        <w:spacing w:before="0" w:beforeAutospacing="0" w:after="0" w:afterAutospacing="0"/>
      </w:pPr>
      <w:r w:rsidRPr="00575CB2">
        <w:rPr>
          <w:rFonts w:asciiTheme="minorHAnsi" w:hAnsiTheme="minorHAnsi" w:cstheme="minorHAnsi"/>
          <w:color w:val="000000"/>
        </w:rPr>
        <w:t xml:space="preserve">This can also have adverse consequences on the management of risk and release plans for individuals transitioning out of prison. This detracts from MAPPA’s effectiveness to manage offenders </w:t>
      </w:r>
      <w:sdt>
        <w:sdtPr>
          <w:id w:val="-1499030040"/>
          <w:citation/>
        </w:sdtPr>
        <w:sdtContent>
          <w:r>
            <w:fldChar w:fldCharType="begin"/>
          </w:r>
          <w:r>
            <w:instrText xml:space="preserve"> CITATION HMI22 \l 2057 </w:instrText>
          </w:r>
          <w:r>
            <w:fldChar w:fldCharType="separate"/>
          </w:r>
          <w:r w:rsidR="00FE7DB5">
            <w:rPr>
              <w:noProof/>
            </w:rPr>
            <w:t>(HM Inspectorate of Probation, 2022)</w:t>
          </w:r>
          <w:r>
            <w:fldChar w:fldCharType="end"/>
          </w:r>
        </w:sdtContent>
      </w:sdt>
      <w:r>
        <w:t>.</w:t>
      </w:r>
    </w:p>
    <w:p w14:paraId="69DA75B7"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44D45BA0" w14:textId="1A02C249" w:rsidR="00575CB2" w:rsidRDefault="00575CB2" w:rsidP="00FE7DB5">
      <w:pPr>
        <w:pStyle w:val="NormalWeb"/>
        <w:spacing w:before="0" w:beforeAutospacing="0" w:after="0" w:afterAutospacing="0"/>
        <w:rPr>
          <w:rFonts w:asciiTheme="minorHAnsi" w:hAnsiTheme="minorHAnsi" w:cstheme="minorHAnsi"/>
          <w:color w:val="000000"/>
        </w:rPr>
      </w:pPr>
      <w:r w:rsidRPr="00575CB2">
        <w:rPr>
          <w:rFonts w:asciiTheme="minorHAnsi" w:hAnsiTheme="minorHAnsi" w:cstheme="minorHAnsi"/>
          <w:color w:val="000000"/>
        </w:rPr>
        <w:t xml:space="preserve">Within the inspection report, it states that management of offenders at level 2 and 3 classifications undergo regular evaluation through multi-agency meetings. However, it identified that not all MAPPA regions have sufficient time and resources when reviewing level 1 cases. This means that in some respects, level 1 cases may go under the radar and will have the potential to escalate </w:t>
      </w:r>
      <w:sdt>
        <w:sdtPr>
          <w:id w:val="-1154374249"/>
          <w:citation/>
        </w:sdtPr>
        <w:sdtContent>
          <w:r>
            <w:fldChar w:fldCharType="begin"/>
          </w:r>
          <w:r>
            <w:instrText xml:space="preserve"> CITATION HMI22 \l 2057 </w:instrText>
          </w:r>
          <w:r>
            <w:fldChar w:fldCharType="separate"/>
          </w:r>
          <w:r w:rsidR="00FE7DB5">
            <w:rPr>
              <w:noProof/>
            </w:rPr>
            <w:t>(HM Inspectorate of Probation, 2022)</w:t>
          </w:r>
          <w:r>
            <w:fldChar w:fldCharType="end"/>
          </w:r>
        </w:sdtContent>
      </w:sdt>
      <w:r w:rsidRPr="00575CB2">
        <w:rPr>
          <w:rFonts w:asciiTheme="minorHAnsi" w:hAnsiTheme="minorHAnsi" w:cstheme="minorHAnsi"/>
          <w:color w:val="000000"/>
        </w:rPr>
        <w:t>. This is an additional failure of MAPPA</w:t>
      </w:r>
      <w:r w:rsidR="00FE7DB5">
        <w:rPr>
          <w:rFonts w:asciiTheme="minorHAnsi" w:hAnsiTheme="minorHAnsi" w:cstheme="minorHAnsi"/>
          <w:color w:val="000000"/>
        </w:rPr>
        <w:t>’</w:t>
      </w:r>
      <w:r w:rsidRPr="00575CB2">
        <w:rPr>
          <w:rFonts w:asciiTheme="minorHAnsi" w:hAnsiTheme="minorHAnsi" w:cstheme="minorHAnsi"/>
          <w:color w:val="000000"/>
        </w:rPr>
        <w:t xml:space="preserve">s effectiveness in allocating resources in accordance </w:t>
      </w:r>
      <w:r w:rsidR="00FE7DB5" w:rsidRPr="00575CB2">
        <w:rPr>
          <w:rFonts w:asciiTheme="minorHAnsi" w:hAnsiTheme="minorHAnsi" w:cstheme="minorHAnsi"/>
          <w:color w:val="000000"/>
        </w:rPr>
        <w:t>with</w:t>
      </w:r>
      <w:r w:rsidRPr="00575CB2">
        <w:rPr>
          <w:rFonts w:asciiTheme="minorHAnsi" w:hAnsiTheme="minorHAnsi" w:cstheme="minorHAnsi"/>
          <w:color w:val="000000"/>
        </w:rPr>
        <w:t xml:space="preserve"> case quantity need, rather than a set area.</w:t>
      </w:r>
    </w:p>
    <w:p w14:paraId="6F1EED7D"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23F1C4DF" w14:textId="72ACD93C" w:rsidR="00575CB2" w:rsidRDefault="00575CB2" w:rsidP="00FE7DB5">
      <w:pPr>
        <w:pStyle w:val="NormalWeb"/>
        <w:spacing w:before="0" w:beforeAutospacing="0" w:after="0" w:afterAutospacing="0"/>
        <w:rPr>
          <w:rFonts w:asciiTheme="minorHAnsi" w:hAnsiTheme="minorHAnsi" w:cstheme="minorHAnsi"/>
          <w:color w:val="000000"/>
        </w:rPr>
      </w:pPr>
      <w:r w:rsidRPr="00575CB2">
        <w:rPr>
          <w:rFonts w:asciiTheme="minorHAnsi" w:hAnsiTheme="minorHAnsi" w:cstheme="minorHAnsi"/>
          <w:color w:val="000000"/>
        </w:rPr>
        <w:t> MAPPA guidance suggests that level 2 management should be considered in cases where multi-agency meetings would enhance the lead agency’s ability to manage the risk of serious harm. In the</w:t>
      </w:r>
      <w:r w:rsidRPr="00575CB2">
        <w:t xml:space="preserve"> </w:t>
      </w:r>
      <w:sdt>
        <w:sdtPr>
          <w:id w:val="-1295050687"/>
          <w:citation/>
        </w:sdtPr>
        <w:sdtContent>
          <w:r>
            <w:fldChar w:fldCharType="begin"/>
          </w:r>
          <w:r>
            <w:instrText xml:space="preserve"> CITATION HMI11 \l 2057 </w:instrText>
          </w:r>
          <w:r>
            <w:fldChar w:fldCharType="separate"/>
          </w:r>
          <w:r w:rsidR="00FE7DB5">
            <w:rPr>
              <w:noProof/>
            </w:rPr>
            <w:t>(HM Inspectorates of Constabulary and Probation, 2011)</w:t>
          </w:r>
          <w:r>
            <w:fldChar w:fldCharType="end"/>
          </w:r>
        </w:sdtContent>
      </w:sdt>
      <w:r w:rsidRPr="00575CB2">
        <w:rPr>
          <w:rFonts w:asciiTheme="minorHAnsi" w:hAnsiTheme="minorHAnsi" w:cstheme="minorHAnsi"/>
          <w:color w:val="000000"/>
        </w:rPr>
        <w:t xml:space="preserve">, it was emphasised that the threshold for level 2 cases should be set high due to the significant resources involved in their management. However, this threshold has become excessively high and narrowly defined, resulting in cases being adopted for Level 2 management only when there is a specific barrier preventing access to resources </w:t>
      </w:r>
      <w:r w:rsidRPr="00575CB2">
        <w:rPr>
          <w:rFonts w:asciiTheme="minorHAnsi" w:hAnsiTheme="minorHAnsi" w:cstheme="minorHAnsi"/>
          <w:color w:val="000000"/>
        </w:rPr>
        <w:lastRenderedPageBreak/>
        <w:t>through alternative means. A joint thematic inspection of MAPPA highlighted that complex cases are being rejected in situations where multi-agency oversight and accountability are crucial. In areas where this practice is prevalent, the effectiveness and value of MAPPA are being undermined, leading to its underutilisation and diminished importance among practitioners. </w:t>
      </w:r>
    </w:p>
    <w:p w14:paraId="567C4B5B"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4A92A0C4" w14:textId="724D7856" w:rsidR="00575CB2" w:rsidRDefault="00575CB2" w:rsidP="00FE7DB5">
      <w:pPr>
        <w:pStyle w:val="NormalWeb"/>
        <w:spacing w:before="0" w:beforeAutospacing="0" w:after="0" w:afterAutospacing="0"/>
        <w:rPr>
          <w:rFonts w:asciiTheme="minorHAnsi" w:hAnsiTheme="minorHAnsi" w:cstheme="minorHAnsi"/>
          <w:color w:val="000000"/>
        </w:rPr>
      </w:pPr>
      <w:r w:rsidRPr="00575CB2">
        <w:rPr>
          <w:rFonts w:asciiTheme="minorHAnsi" w:hAnsiTheme="minorHAnsi" w:cstheme="minorHAnsi"/>
          <w:color w:val="000000"/>
        </w:rPr>
        <w:t xml:space="preserve">Records of all MAPPA meetings are kept and maintained in all cases, </w:t>
      </w:r>
      <w:sdt>
        <w:sdtPr>
          <w:rPr>
            <w:rFonts w:asciiTheme="minorHAnsi" w:hAnsiTheme="minorHAnsi" w:cstheme="minorHAnsi"/>
            <w:color w:val="000000"/>
          </w:rPr>
          <w:id w:val="-1727061357"/>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HMI22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(HM Inspectorate of Probation, 2022)</w:t>
          </w:r>
          <w:r>
            <w:rPr>
              <w:rFonts w:asciiTheme="minorHAnsi" w:hAnsiTheme="minorHAnsi" w:cstheme="minorHAnsi"/>
              <w:color w:val="000000"/>
            </w:rPr>
            <w:fldChar w:fldCharType="end"/>
          </w:r>
        </w:sdtContent>
      </w:sdt>
      <w:r>
        <w:rPr>
          <w:rFonts w:asciiTheme="minorHAnsi" w:hAnsiTheme="minorHAnsi" w:cstheme="minorHAnsi"/>
          <w:color w:val="000000"/>
        </w:rPr>
        <w:t xml:space="preserve"> </w:t>
      </w:r>
      <w:r w:rsidRPr="00575CB2">
        <w:rPr>
          <w:rFonts w:asciiTheme="minorHAnsi" w:hAnsiTheme="minorHAnsi" w:cstheme="minorHAnsi"/>
          <w:color w:val="000000"/>
        </w:rPr>
        <w:t>discovered that crucial information is not consistently updated in the minutes, particularly regarding the risk management plan. The existing template for recording minutes fails to clearly differentiate between current and previous actions. Thus, causing confusion and detracting from MAPPA’s effectiveness to develop a comprehensive safety plan.  MAPPA oversight and scrutiny are invaluable in complex cases where dangerous individuals are unlikely to change. However, there are shortcomings, such as delays in referrals and inadequate pre-release planning. </w:t>
      </w:r>
    </w:p>
    <w:p w14:paraId="536D25E0"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6A5D1534" w14:textId="19EEE8A5" w:rsidR="00575CB2" w:rsidRDefault="00575CB2" w:rsidP="00FE7DB5">
      <w:pPr>
        <w:pStyle w:val="NormalWeb"/>
        <w:spacing w:before="0" w:beforeAutospacing="0" w:after="0" w:afterAutospacing="0"/>
        <w:rPr>
          <w:rFonts w:asciiTheme="minorHAnsi" w:hAnsiTheme="minorHAnsi" w:cstheme="minorHAnsi"/>
          <w:color w:val="000000"/>
        </w:rPr>
      </w:pPr>
      <w:r w:rsidRPr="00575CB2">
        <w:rPr>
          <w:rFonts w:asciiTheme="minorHAnsi" w:hAnsiTheme="minorHAnsi" w:cstheme="minorHAnsi"/>
          <w:color w:val="000000"/>
        </w:rPr>
        <w:t xml:space="preserve">The quality and consistency of information provided by prisons to MAPPA meetings need improvement. Crucial intelligence is not always shared with offender management staff and MAPPA meetings. Limited resources for monitoring prisoner communications result in missed opportunities to address risks. According to </w:t>
      </w:r>
      <w:sdt>
        <w:sdtPr>
          <w:rPr>
            <w:rFonts w:asciiTheme="minorHAnsi" w:hAnsiTheme="minorHAnsi" w:cstheme="minorHAnsi"/>
            <w:color w:val="000000"/>
          </w:rPr>
          <w:id w:val="230661360"/>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DrN23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(Lundrigan D. N., 2023)</w:t>
          </w:r>
          <w:r>
            <w:rPr>
              <w:rFonts w:asciiTheme="minorHAnsi" w:hAnsiTheme="minorHAnsi" w:cstheme="minorHAnsi"/>
              <w:color w:val="000000"/>
            </w:rPr>
            <w:fldChar w:fldCharType="end"/>
          </w:r>
        </w:sdtContent>
      </w:sdt>
      <w:r w:rsidRPr="00575CB2">
        <w:rPr>
          <w:rFonts w:asciiTheme="minorHAnsi" w:hAnsiTheme="minorHAnsi" w:cstheme="minorHAnsi"/>
          <w:color w:val="000000"/>
        </w:rPr>
        <w:t xml:space="preserve">, discussions found two points perceived by practitioners as being ‘cliff edging’ scenarios in the management of an offender. These relate to MAPPA during transfer of management from YOS to Probation Service supervision. Additionally, from one MAPPA area to another, the current procedures in place to manage risk at these points were believed to be insufficient, with communication and an overworked Probation Service. According to </w:t>
      </w:r>
      <w:sdt>
        <w:sdtPr>
          <w:rPr>
            <w:rFonts w:asciiTheme="minorHAnsi" w:hAnsiTheme="minorHAnsi" w:cstheme="minorHAnsi"/>
            <w:color w:val="000000"/>
          </w:rPr>
          <w:id w:val="-380326782"/>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Woo12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(Wood , 2012)</w:t>
          </w:r>
          <w:r>
            <w:rPr>
              <w:rFonts w:asciiTheme="minorHAnsi" w:hAnsiTheme="minorHAnsi" w:cstheme="minorHAnsi"/>
              <w:color w:val="000000"/>
            </w:rPr>
            <w:fldChar w:fldCharType="end"/>
          </w:r>
        </w:sdtContent>
      </w:sdt>
      <w:r w:rsidRPr="00575CB2">
        <w:rPr>
          <w:rFonts w:asciiTheme="minorHAnsi" w:hAnsiTheme="minorHAnsi" w:cstheme="minorHAnsi"/>
          <w:color w:val="000000"/>
        </w:rPr>
        <w:t xml:space="preserve"> , there needs to be a substantial increase in resources. However, due to the current financial climate, the National Offender Management Service has reduced budgets amounting to a loss of millions of pounds. This means that diminishing resources is a likely outcome, making it even more difficult to manage the increasing caseload of MAPPA. Thus, decreasing from its effectiveness to manage violent and sexual offenders.</w:t>
      </w:r>
    </w:p>
    <w:p w14:paraId="600BB30D"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6909E36E" w14:textId="3BC594D5" w:rsidR="00575CB2" w:rsidRDefault="00575CB2" w:rsidP="00FE7DB5">
      <w:pPr>
        <w:pStyle w:val="NormalWeb"/>
        <w:spacing w:before="0" w:beforeAutospacing="0" w:after="0" w:afterAutospacing="0"/>
        <w:rPr>
          <w:rFonts w:asciiTheme="minorHAnsi" w:hAnsiTheme="minorHAnsi" w:cstheme="minorHAnsi"/>
          <w:color w:val="000000"/>
        </w:rPr>
      </w:pPr>
      <w:r w:rsidRPr="00575CB2">
        <w:rPr>
          <w:rFonts w:asciiTheme="minorHAnsi" w:hAnsiTheme="minorHAnsi" w:cstheme="minorHAnsi"/>
          <w:color w:val="000000"/>
        </w:rPr>
        <w:t xml:space="preserve">There is also evidence that suggests MAPPA is an effective means of managing violent and sexual offenders. According to </w:t>
      </w:r>
      <w:sdt>
        <w:sdtPr>
          <w:rPr>
            <w:rFonts w:asciiTheme="minorHAnsi" w:hAnsiTheme="minorHAnsi" w:cstheme="minorHAnsi"/>
            <w:color w:val="000000"/>
          </w:rPr>
          <w:id w:val="1605774497"/>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Lun23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(Lundrigan &amp; Mann, 2023)</w:t>
          </w:r>
          <w:r>
            <w:rPr>
              <w:rFonts w:asciiTheme="minorHAnsi" w:hAnsiTheme="minorHAnsi" w:cstheme="minorHAnsi"/>
              <w:color w:val="000000"/>
            </w:rPr>
            <w:fldChar w:fldCharType="end"/>
          </w:r>
        </w:sdtContent>
      </w:sdt>
      <w:r w:rsidRPr="00575CB2">
        <w:rPr>
          <w:rFonts w:asciiTheme="minorHAnsi" w:hAnsiTheme="minorHAnsi" w:cstheme="minorHAnsi"/>
          <w:color w:val="000000"/>
        </w:rPr>
        <w:t xml:space="preserve"> , MAPPA is valued and highly respected among focus group members for their management of the risk posed by violent and sexual offenders. The national reoffending rate according to </w:t>
      </w:r>
      <w:sdt>
        <w:sdtPr>
          <w:rPr>
            <w:rFonts w:asciiTheme="minorHAnsi" w:hAnsiTheme="minorHAnsi" w:cstheme="minorHAnsi"/>
            <w:color w:val="000000"/>
          </w:rPr>
          <w:id w:val="-51540454"/>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Cun07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(Cunliffe &amp; Shepard, 2007)</w:t>
          </w:r>
          <w:r>
            <w:rPr>
              <w:rFonts w:asciiTheme="minorHAnsi" w:hAnsiTheme="minorHAnsi" w:cstheme="minorHAnsi"/>
              <w:color w:val="000000"/>
            </w:rPr>
            <w:fldChar w:fldCharType="end"/>
          </w:r>
        </w:sdtContent>
      </w:sdt>
      <w:r w:rsidRPr="00575CB2">
        <w:rPr>
          <w:rFonts w:asciiTheme="minorHAnsi" w:hAnsiTheme="minorHAnsi" w:cstheme="minorHAnsi"/>
          <w:color w:val="000000"/>
        </w:rPr>
        <w:t xml:space="preserve"> in 2004 was calculated to be roughly 37%. Whereas MAPPA managed offenders at level 3 had a reoffending rate of 32%, this is compelling evidence that MAPPA has a positive impact in managing violent and sexual offenders by lowering their reconviction rate </w:t>
      </w:r>
      <w:sdt>
        <w:sdtPr>
          <w:rPr>
            <w:rFonts w:asciiTheme="minorHAnsi" w:hAnsiTheme="minorHAnsi" w:cstheme="minorHAnsi"/>
            <w:color w:val="000000"/>
          </w:rPr>
          <w:id w:val="-520545774"/>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Woo12 \l 2057 </w:instrText>
          </w:r>
          <w:r>
            <w:rPr>
              <w:rFonts w:asciiTheme="minorHAnsi" w:hAnsiTheme="minorHAnsi" w:cstheme="minorHAnsi"/>
              <w:color w:val="000000"/>
            </w:rPr>
            <w:fldChar w:fldCharType="separate"/>
          </w:r>
          <w:r w:rsidR="00FE7DB5" w:rsidRPr="00FE7DB5">
            <w:rPr>
              <w:rFonts w:asciiTheme="minorHAnsi" w:hAnsiTheme="minorHAnsi" w:cstheme="minorHAnsi"/>
              <w:noProof/>
              <w:color w:val="000000"/>
            </w:rPr>
            <w:t>(Wood , 2012)</w:t>
          </w:r>
          <w:r>
            <w:rPr>
              <w:rFonts w:asciiTheme="minorHAnsi" w:hAnsiTheme="minorHAnsi" w:cstheme="minorHAnsi"/>
              <w:color w:val="000000"/>
            </w:rPr>
            <w:fldChar w:fldCharType="end"/>
          </w:r>
        </w:sdtContent>
      </w:sdt>
      <w:r w:rsidRPr="00575CB2">
        <w:rPr>
          <w:rFonts w:asciiTheme="minorHAnsi" w:hAnsiTheme="minorHAnsi" w:cstheme="minorHAnsi"/>
          <w:color w:val="000000"/>
        </w:rPr>
        <w:t>.</w:t>
      </w:r>
    </w:p>
    <w:p w14:paraId="75677FD3" w14:textId="77777777" w:rsidR="00FE7DB5" w:rsidRPr="00FE7DB5" w:rsidRDefault="00FE7DB5" w:rsidP="00FE7DB5">
      <w:pPr>
        <w:pStyle w:val="NormalWeb"/>
        <w:spacing w:before="0" w:beforeAutospacing="0" w:after="0" w:afterAutospacing="0"/>
        <w:rPr>
          <w:rFonts w:asciiTheme="minorHAnsi" w:hAnsiTheme="minorHAnsi" w:cstheme="minorHAnsi"/>
        </w:rPr>
      </w:pPr>
    </w:p>
    <w:p w14:paraId="3B66E753" w14:textId="07F8B328" w:rsidR="00575CB2" w:rsidRPr="00575CB2" w:rsidRDefault="00575CB2" w:rsidP="00575CB2">
      <w:pPr>
        <w:pStyle w:val="NormalWeb"/>
        <w:spacing w:before="0" w:beforeAutospacing="0" w:after="0" w:afterAutospacing="0"/>
        <w:rPr>
          <w:rFonts w:asciiTheme="minorHAnsi" w:hAnsiTheme="minorHAnsi" w:cstheme="minorHAnsi"/>
        </w:rPr>
      </w:pPr>
      <w:r w:rsidRPr="00575CB2">
        <w:rPr>
          <w:rFonts w:asciiTheme="minorHAnsi" w:hAnsiTheme="minorHAnsi" w:cstheme="minorHAnsi"/>
          <w:color w:val="000000"/>
        </w:rPr>
        <w:t xml:space="preserve">In conclusion, the identification that violent and sexual offenders managed under MAPPA </w:t>
      </w:r>
      <w:r w:rsidRPr="00575CB2">
        <w:rPr>
          <w:rFonts w:asciiTheme="minorHAnsi" w:hAnsiTheme="minorHAnsi" w:cstheme="minorHAnsi"/>
          <w:color w:val="000000"/>
        </w:rPr>
        <w:t>will</w:t>
      </w:r>
      <w:r w:rsidRPr="00575CB2">
        <w:rPr>
          <w:rFonts w:asciiTheme="minorHAnsi" w:hAnsiTheme="minorHAnsi" w:cstheme="minorHAnsi"/>
        </w:rPr>
        <w:t xml:space="preserve"> proceed</w:t>
      </w:r>
      <w:r w:rsidRPr="00575CB2">
        <w:rPr>
          <w:rFonts w:asciiTheme="minorHAnsi" w:hAnsiTheme="minorHAnsi" w:cstheme="minorHAnsi"/>
        </w:rPr>
        <w:t xml:space="preserve"> to reoffend is expected due to their characteristics that initially led them to MAPPA management. Whilst MAPPA has proven to decline the reoffending rates of individuals, there are still factors that need to be improved upon in order to undisputedly consider the organisation to be an effective means of managing violent and sexual offenders. There are internal decisions within MAPPA which could improve their effectiveness, such as improving the note and minute taking </w:t>
      </w:r>
      <w:r w:rsidRPr="00575CB2">
        <w:rPr>
          <w:rFonts w:asciiTheme="minorHAnsi" w:hAnsiTheme="minorHAnsi" w:cstheme="minorHAnsi"/>
        </w:rPr>
        <w:t>template. Externally</w:t>
      </w:r>
      <w:r w:rsidRPr="00575CB2">
        <w:rPr>
          <w:rFonts w:asciiTheme="minorHAnsi" w:hAnsiTheme="minorHAnsi" w:cstheme="minorHAnsi"/>
        </w:rPr>
        <w:t>, MAPPA would benefit more from an injection of cash flow to manage the increasing  workload which leads to ineffectiveness within the organisation as a whole.</w:t>
      </w:r>
    </w:p>
    <w:p w14:paraId="6E3C4A00" w14:textId="77777777" w:rsidR="00FE7DB5" w:rsidRDefault="00FE7DB5" w:rsidP="00575CB2">
      <w:pPr>
        <w:pStyle w:val="NormalWeb"/>
        <w:spacing w:before="0" w:beforeAutospacing="0" w:after="0" w:afterAutospacing="0"/>
        <w:rPr>
          <w:rFonts w:asciiTheme="minorHAnsi" w:hAnsiTheme="minorHAnsi" w:cstheme="minorHAnsi"/>
          <w:color w:val="000000"/>
        </w:rPr>
      </w:pPr>
    </w:p>
    <w:p w14:paraId="2A102021" w14:textId="30BC673C" w:rsidR="00575CB2" w:rsidRPr="00575CB2" w:rsidRDefault="00575CB2" w:rsidP="00575CB2">
      <w:pPr>
        <w:pStyle w:val="NormalWeb"/>
        <w:spacing w:before="0" w:beforeAutospacing="0" w:after="0" w:afterAutospacing="0"/>
        <w:rPr>
          <w:rFonts w:asciiTheme="minorHAnsi" w:hAnsiTheme="minorHAnsi" w:cstheme="minorHAnsi"/>
        </w:rPr>
      </w:pPr>
      <w:r w:rsidRPr="00575CB2">
        <w:rPr>
          <w:rFonts w:asciiTheme="minorHAnsi" w:hAnsiTheme="minorHAnsi" w:cstheme="minorHAnsi"/>
          <w:color w:val="000000"/>
        </w:rPr>
        <w:t>Word count – 106</w:t>
      </w:r>
      <w:r w:rsidR="00FE7DB5">
        <w:rPr>
          <w:rFonts w:asciiTheme="minorHAnsi" w:hAnsiTheme="minorHAnsi" w:cstheme="minorHAnsi"/>
          <w:color w:val="000000"/>
        </w:rPr>
        <w:t>1</w:t>
      </w:r>
    </w:p>
    <w:p w14:paraId="6E5CAD85" w14:textId="77777777" w:rsidR="00D5726D" w:rsidRDefault="00D5726D" w:rsidP="00D5726D"/>
    <w:p w14:paraId="6407A39E" w14:textId="77777777" w:rsidR="00FE7DB5" w:rsidRDefault="00FE7DB5" w:rsidP="00D5726D"/>
    <w:p w14:paraId="45E98220" w14:textId="77777777" w:rsidR="00D5726D" w:rsidRDefault="00D5726D" w:rsidP="00D5726D"/>
    <w:p w14:paraId="593F2868" w14:textId="77777777" w:rsidR="00D5726D" w:rsidRDefault="00D5726D" w:rsidP="00D5726D"/>
    <w:p w14:paraId="66E6F60D" w14:textId="77777777" w:rsidR="00D5726D" w:rsidRPr="00D5726D" w:rsidRDefault="00D5726D" w:rsidP="00D5726D">
      <w:pPr>
        <w:rPr>
          <w:b/>
          <w:bCs/>
        </w:rPr>
      </w:pPr>
      <w:r w:rsidRPr="00D5726D">
        <w:rPr>
          <w:b/>
          <w:bCs/>
        </w:rPr>
        <w:lastRenderedPageBreak/>
        <w:t>Essay four:</w:t>
      </w:r>
    </w:p>
    <w:p w14:paraId="6AD6B3FA" w14:textId="49C35D81" w:rsidR="00D5726D" w:rsidRPr="00D5726D" w:rsidRDefault="00D5726D" w:rsidP="00D5726D">
      <w:pPr>
        <w:rPr>
          <w:b/>
          <w:bCs/>
        </w:rPr>
      </w:pPr>
      <w:r w:rsidRPr="00D5726D">
        <w:rPr>
          <w:b/>
          <w:bCs/>
        </w:rPr>
        <w:t xml:space="preserve"> 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t>
      </w:r>
    </w:p>
    <w:p w14:paraId="0D63CA27" w14:textId="5EE3F910" w:rsidR="00D5726D" w:rsidRPr="00D5726D" w:rsidRDefault="00D5726D" w:rsidP="00D5726D">
      <w:pPr>
        <w:rPr>
          <w:b/>
          <w:bCs/>
        </w:rPr>
      </w:pPr>
      <w:r w:rsidRPr="00D5726D">
        <w:rPr>
          <w:b/>
          <w:bCs/>
        </w:rPr>
        <w:t>Word limit: 1000 words</w:t>
      </w:r>
    </w:p>
    <w:p w14:paraId="46756239" w14:textId="77777777" w:rsidR="00D5726D" w:rsidRDefault="00D5726D" w:rsidP="00D5726D">
      <w:r>
        <w:t xml:space="preserve">This essay aims to delve into the reasons as to why it’s important that independent bodies exist to hold police officers accountable for their actions. </w:t>
      </w:r>
    </w:p>
    <w:p w14:paraId="2045F555" w14:textId="77777777" w:rsidR="00D5726D" w:rsidRDefault="00D5726D" w:rsidP="00D5726D"/>
    <w:p w14:paraId="36E18DE7" w14:textId="50D2EE0C" w:rsidR="00D5726D" w:rsidRDefault="00D5726D" w:rsidP="00D5726D">
      <w:r>
        <w:t xml:space="preserve">The Independent Office of Police Conduct (see IOPC) play a crucial part in ensuring that police officers are held accountable for their actions. They provide an unbiased and impartial assessment of any misconduct or wrongdoing, which help maintain public trust within law enforcement. The IOPC aspire to uphold the rights of the public and investigate the highest severity incidents following police contact whilst aiming to develop changes within the police to promote learning </w:t>
      </w:r>
      <w:sdt>
        <w:sdtPr>
          <w:id w:val="1438721353"/>
          <w:citation/>
        </w:sdtPr>
        <w:sdtContent>
          <w:r>
            <w:fldChar w:fldCharType="begin"/>
          </w:r>
          <w:r>
            <w:instrText xml:space="preserve"> CITATION IOP23 \l 2057 </w:instrText>
          </w:r>
          <w:r>
            <w:fldChar w:fldCharType="separate"/>
          </w:r>
          <w:r w:rsidR="00FE7DB5">
            <w:rPr>
              <w:noProof/>
            </w:rPr>
            <w:t>(IOPC, 2023)</w:t>
          </w:r>
          <w:r>
            <w:fldChar w:fldCharType="end"/>
          </w:r>
        </w:sdtContent>
      </w:sdt>
      <w:r>
        <w:t xml:space="preserve">. In particular the IOPC provides services to the police in connection to custody, use of DNA evidence and dealing with vulnerable people – all of these learning points arose from individual complaints </w:t>
      </w:r>
      <w:sdt>
        <w:sdtPr>
          <w:rPr>
            <w:b/>
            <w:bCs/>
          </w:rPr>
          <w:id w:val="-200472242"/>
          <w:citation/>
        </w:sdtPr>
        <w:sdtContent>
          <w:r>
            <w:rPr>
              <w:b/>
              <w:bCs/>
            </w:rPr>
            <w:fldChar w:fldCharType="begin"/>
          </w:r>
          <w:r>
            <w:rPr>
              <w:b/>
              <w:bCs/>
            </w:rPr>
            <w:instrText xml:space="preserve"> CITATION Row20 \l 2057 </w:instrText>
          </w:r>
          <w:r>
            <w:rPr>
              <w:b/>
              <w:bCs/>
            </w:rPr>
            <w:fldChar w:fldCharType="separate"/>
          </w:r>
          <w:r w:rsidR="00FE7DB5">
            <w:rPr>
              <w:noProof/>
            </w:rPr>
            <w:t>(Rowe, Challenges of democracy and accountability, 2020)</w:t>
          </w:r>
          <w:r>
            <w:rPr>
              <w:b/>
              <w:bCs/>
            </w:rPr>
            <w:fldChar w:fldCharType="end"/>
          </w:r>
        </w:sdtContent>
      </w:sdt>
      <w:r>
        <w:rPr>
          <w:b/>
          <w:bCs/>
        </w:rPr>
        <w:t>.</w:t>
      </w:r>
    </w:p>
    <w:p w14:paraId="060DB076" w14:textId="38E8E281" w:rsidR="00D5726D" w:rsidRDefault="00D5726D" w:rsidP="00D5726D">
      <w:r>
        <w:t>The IOPC’s primary role is to be an independent overseer within the UK police complaints system, ensuring police officers maintain their standards of professional behaviour at all times. However, although the largest majority of police officers and police staff display the highest level of professionalism and integrity within their day-to-day duties</w:t>
      </w:r>
      <w:r w:rsidR="00FE7DB5">
        <w:t>,</w:t>
      </w:r>
      <w:r>
        <w:t xml:space="preserve"> </w:t>
      </w:r>
      <w:r w:rsidR="00FE7DB5">
        <w:t>t</w:t>
      </w:r>
      <w:r>
        <w:t>here are odd occasions when police officers may abuse their power through misconduct or corruption</w:t>
      </w:r>
      <w:r w:rsidR="00FE7DB5">
        <w:t>.</w:t>
      </w:r>
      <w:r>
        <w:t xml:space="preserve"> </w:t>
      </w:r>
      <w:r w:rsidR="00FE7DB5">
        <w:t>I</w:t>
      </w:r>
      <w:r>
        <w:t xml:space="preserve">t is during these incidents that the public expect the police officers to be scrutinised and to be held accountable. This can only be done through an independent office, showing its importance </w:t>
      </w:r>
      <w:sdt>
        <w:sdtPr>
          <w:id w:val="-1615437161"/>
          <w:citation/>
        </w:sdtPr>
        <w:sdtContent>
          <w:r>
            <w:fldChar w:fldCharType="begin"/>
          </w:r>
          <w:r>
            <w:instrText xml:space="preserve"> CITATION IOP23 \l 2057 </w:instrText>
          </w:r>
          <w:r>
            <w:fldChar w:fldCharType="separate"/>
          </w:r>
          <w:r w:rsidR="00FE7DB5">
            <w:rPr>
              <w:noProof/>
            </w:rPr>
            <w:t>(IOPC, 2023)</w:t>
          </w:r>
          <w:r>
            <w:fldChar w:fldCharType="end"/>
          </w:r>
        </w:sdtContent>
      </w:sdt>
      <w:r>
        <w:t>.</w:t>
      </w:r>
    </w:p>
    <w:p w14:paraId="563754AA" w14:textId="4A83D870" w:rsidR="00D5726D" w:rsidRDefault="00D5726D" w:rsidP="00D5726D">
      <w:r>
        <w:t xml:space="preserve">According to </w:t>
      </w:r>
      <w:sdt>
        <w:sdtPr>
          <w:id w:val="1876194056"/>
          <w:citation/>
        </w:sdtPr>
        <w:sdtContent>
          <w:r>
            <w:fldChar w:fldCharType="begin"/>
          </w:r>
          <w:r>
            <w:instrText xml:space="preserve">CITATION Nic \l 2057 </w:instrText>
          </w:r>
          <w:r>
            <w:fldChar w:fldCharType="separate"/>
          </w:r>
          <w:r w:rsidR="00FE7DB5">
            <w:rPr>
              <w:noProof/>
            </w:rPr>
            <w:t>(Nicholson, 2021)</w:t>
          </w:r>
          <w:r>
            <w:fldChar w:fldCharType="end"/>
          </w:r>
        </w:sdtContent>
      </w:sdt>
      <w:r>
        <w:t xml:space="preserve"> and </w:t>
      </w:r>
      <w:sdt>
        <w:sdtPr>
          <w:id w:val="1552187347"/>
          <w:citation/>
        </w:sdtPr>
        <w:sdtContent>
          <w:r>
            <w:fldChar w:fldCharType="begin"/>
          </w:r>
          <w:r>
            <w:instrText xml:space="preserve"> CITATION OCo21 \l 2057 </w:instrText>
          </w:r>
          <w:r>
            <w:fldChar w:fldCharType="separate"/>
          </w:r>
          <w:r w:rsidR="00FE7DB5">
            <w:rPr>
              <w:noProof/>
            </w:rPr>
            <w:t>(O'Connor &amp; Morton, 2021)</w:t>
          </w:r>
          <w:r>
            <w:fldChar w:fldCharType="end"/>
          </w:r>
        </w:sdtContent>
      </w:sdt>
      <w:r>
        <w:t>:</w:t>
      </w:r>
    </w:p>
    <w:p w14:paraId="23B7E7A2" w14:textId="5946434E" w:rsidR="00D5726D" w:rsidRDefault="00D5726D" w:rsidP="00D5726D">
      <w:r>
        <w:t xml:space="preserve">‘Unjust policing can transform the state in people’s minds from a source of support and protection into a danger to be on guard against’. To a member of the public, how a police officer treats them provides them with a subconscious bias as to how every police officer will treat them in the future </w:t>
      </w:r>
      <w:sdt>
        <w:sdtPr>
          <w:id w:val="-262079979"/>
          <w:citation/>
        </w:sdtPr>
        <w:sdtContent>
          <w:r>
            <w:fldChar w:fldCharType="begin"/>
          </w:r>
          <w:r>
            <w:instrText xml:space="preserve"> CITATION Har221 \l 2057 </w:instrText>
          </w:r>
          <w:r>
            <w:fldChar w:fldCharType="separate"/>
          </w:r>
          <w:r w:rsidR="00FE7DB5">
            <w:rPr>
              <w:noProof/>
            </w:rPr>
            <w:t>(Harfield, Jones, &amp; Mendieta , 2022)</w:t>
          </w:r>
          <w:r>
            <w:fldChar w:fldCharType="end"/>
          </w:r>
        </w:sdtContent>
      </w:sdt>
      <w:r w:rsidR="00FE7DB5">
        <w:t>.</w:t>
      </w:r>
    </w:p>
    <w:p w14:paraId="613DFE94" w14:textId="2162157D" w:rsidR="00D5726D" w:rsidRDefault="00D5726D" w:rsidP="00D5726D">
      <w:r>
        <w:t>This was proven to be true following the murder of a young female</w:t>
      </w:r>
      <w:r w:rsidR="003D3D3B">
        <w:t xml:space="preserve">, </w:t>
      </w:r>
      <w:r>
        <w:t>Sarah Everard</w:t>
      </w:r>
      <w:r w:rsidR="003D3D3B">
        <w:t xml:space="preserve">, </w:t>
      </w:r>
      <w:r>
        <w:t>by a serving police officer</w:t>
      </w:r>
      <w:r w:rsidR="003D3D3B">
        <w:t xml:space="preserve"> Wayne Couzens,</w:t>
      </w:r>
      <w:r>
        <w:t xml:space="preserve"> from the Metropolitan Police in March 2021. This incident caused significant public tension towards all serving police officers, the public confidence in the police had been eradicated. </w:t>
      </w:r>
    </w:p>
    <w:p w14:paraId="225C4D9B" w14:textId="1B3EBE26" w:rsidR="00D5726D" w:rsidRDefault="00D5726D" w:rsidP="00D5726D">
      <w:r>
        <w:t>Vetting is a</w:t>
      </w:r>
      <w:r w:rsidR="00FE7DB5">
        <w:t xml:space="preserve">n important </w:t>
      </w:r>
      <w:r>
        <w:t xml:space="preserve">part of a police services’ framework of professional standards. It acts as the first wall of defence against those who may not be suitable to work in the police service or to have access to the </w:t>
      </w:r>
      <w:r w:rsidR="00FE7DB5">
        <w:t>policing equipment and the information it can access.</w:t>
      </w:r>
    </w:p>
    <w:p w14:paraId="4A1A04FB" w14:textId="07E82D6A" w:rsidR="00D5726D" w:rsidRDefault="00D5726D" w:rsidP="00D5726D">
      <w:r>
        <w:t xml:space="preserve">The Home Secretary of the UK commissioned His Majesty’s Inspectorate of Constabulary and Fire &amp; Rescue Services (see HMICFRS) – another independent body, </w:t>
      </w:r>
      <w:r w:rsidR="003D3D3B">
        <w:t>to</w:t>
      </w:r>
      <w:r>
        <w:t xml:space="preserve"> set out </w:t>
      </w:r>
      <w:r w:rsidR="003D3D3B">
        <w:t>and</w:t>
      </w:r>
      <w:r>
        <w:t xml:space="preserve"> evaluate the counter corruption and vetting procedure throughout England and Wales</w:t>
      </w:r>
      <w:sdt>
        <w:sdtPr>
          <w:id w:val="-2007507363"/>
          <w:citation/>
        </w:sdtPr>
        <w:sdtContent>
          <w:r>
            <w:fldChar w:fldCharType="begin"/>
          </w:r>
          <w:r>
            <w:instrText xml:space="preserve"> CITATION His22 \l 2057 </w:instrText>
          </w:r>
          <w:r>
            <w:fldChar w:fldCharType="separate"/>
          </w:r>
          <w:r w:rsidR="00FE7DB5">
            <w:rPr>
              <w:noProof/>
            </w:rPr>
            <w:t xml:space="preserve"> (His Majesty’s Inspectorate of Constabulary and Fire &amp; Rescue Services (HMICFRS)., 2022)</w:t>
          </w:r>
          <w:r>
            <w:fldChar w:fldCharType="end"/>
          </w:r>
        </w:sdtContent>
      </w:sdt>
      <w:r>
        <w:t>.</w:t>
      </w:r>
      <w:r w:rsidR="00FE7DB5">
        <w:t xml:space="preserve"> </w:t>
      </w:r>
      <w:r>
        <w:t xml:space="preserve">The HMICFRS discovered that the vetting procedure was potentially flawed. Of 725 vetting files considered for employment, 131 were flawed during the recruitment stage. Another 131 applicants that were now employed, had files that </w:t>
      </w:r>
      <w:r>
        <w:lastRenderedPageBreak/>
        <w:t>should have been reconsidered with some having criminal records, substantial debt or family linked to organised crime. Beyond this, officers that wanted to transfer to another area were allowed to leave despite receiving numerous allegations of misconduct. With the cases above, the owning forces ignored the evident signs</w:t>
      </w:r>
      <w:r w:rsidR="003D3D3B">
        <w:t xml:space="preserve"> and therefore lacked formal consequence </w:t>
      </w:r>
      <w:r>
        <w:t xml:space="preserve">without giving </w:t>
      </w:r>
      <w:r w:rsidR="003D3D3B">
        <w:t xml:space="preserve">considered </w:t>
      </w:r>
      <w:r>
        <w:t xml:space="preserve">reason as to why </w:t>
      </w:r>
      <w:sdt>
        <w:sdtPr>
          <w:id w:val="-488627982"/>
          <w:citation/>
        </w:sdtPr>
        <w:sdtContent>
          <w:r>
            <w:fldChar w:fldCharType="begin"/>
          </w:r>
          <w:r>
            <w:instrText xml:space="preserve"> CITATION His22 \l 2057 </w:instrText>
          </w:r>
          <w:r>
            <w:fldChar w:fldCharType="separate"/>
          </w:r>
          <w:r w:rsidR="00FE7DB5">
            <w:rPr>
              <w:noProof/>
            </w:rPr>
            <w:t>(His Majesty’s Inspectorate of Constabulary and Fire &amp; Rescue Services (HMICFRS)., 2022)</w:t>
          </w:r>
          <w:r>
            <w:fldChar w:fldCharType="end"/>
          </w:r>
        </w:sdtContent>
      </w:sdt>
      <w:r>
        <w:t>.</w:t>
      </w:r>
    </w:p>
    <w:p w14:paraId="633DEA92" w14:textId="7631A9B3" w:rsidR="00D5726D" w:rsidRDefault="00D5726D" w:rsidP="00D5726D">
      <w:pPr>
        <w:pStyle w:val="NormalWeb"/>
        <w:shd w:val="clear" w:color="auto" w:fill="FFFFFF"/>
        <w:spacing w:before="0" w:beforeAutospacing="0" w:after="480" w:afterAutospacing="0"/>
        <w:rPr>
          <w:rFonts w:asciiTheme="minorHAnsi" w:hAnsiTheme="minorHAnsi" w:cstheme="minorHAnsi"/>
          <w:color w:val="222222"/>
          <w:shd w:val="clear" w:color="auto" w:fill="FFFFFF"/>
        </w:rPr>
      </w:pPr>
      <w:r>
        <w:rPr>
          <w:rFonts w:asciiTheme="minorHAnsi" w:hAnsiTheme="minorHAnsi" w:cstheme="minorHAnsi"/>
          <w:color w:val="222222"/>
        </w:rPr>
        <w:t xml:space="preserve">During the impartial assessment, the HMICFRS pointed out some suggestions to aid the vetting process. Criminal records and intelligence provided to statistically rule out candidates that are more likely to be prone to corruption. </w:t>
      </w:r>
      <w:r w:rsidR="003D3D3B">
        <w:rPr>
          <w:rFonts w:asciiTheme="minorHAnsi" w:hAnsiTheme="minorHAnsi" w:cstheme="minorHAnsi"/>
          <w:color w:val="222222"/>
        </w:rPr>
        <w:t>They advised using</w:t>
      </w:r>
      <w:r>
        <w:rPr>
          <w:rFonts w:asciiTheme="minorHAnsi" w:hAnsiTheme="minorHAnsi" w:cstheme="minorHAnsi"/>
          <w:color w:val="222222"/>
        </w:rPr>
        <w:t xml:space="preserve"> police systems to determine if recruits hold a relationship with misconduct </w:t>
      </w:r>
      <w:sdt>
        <w:sdtPr>
          <w:rPr>
            <w:rFonts w:asciiTheme="minorHAnsi" w:hAnsiTheme="minorHAnsi" w:cstheme="minorHAnsi"/>
            <w:color w:val="222222"/>
          </w:rPr>
          <w:id w:val="-1119296880"/>
          <w:citation/>
        </w:sdtPr>
        <w:sdtContent>
          <w:r>
            <w:rPr>
              <w:rFonts w:asciiTheme="minorHAnsi" w:hAnsiTheme="minorHAnsi" w:cstheme="minorHAnsi"/>
              <w:color w:val="222222"/>
            </w:rPr>
            <w:fldChar w:fldCharType="begin"/>
          </w:r>
          <w:r>
            <w:rPr>
              <w:rFonts w:asciiTheme="minorHAnsi" w:hAnsiTheme="minorHAnsi" w:cstheme="minorHAnsi"/>
              <w:color w:val="222222"/>
            </w:rPr>
            <w:instrText xml:space="preserve"> CITATION Kan09 \l 2057 </w:instrText>
          </w:r>
          <w:r>
            <w:rPr>
              <w:rFonts w:asciiTheme="minorHAnsi" w:hAnsiTheme="minorHAnsi" w:cstheme="minorHAnsi"/>
              <w:color w:val="222222"/>
            </w:rPr>
            <w:fldChar w:fldCharType="separate"/>
          </w:r>
          <w:r w:rsidR="00FE7DB5" w:rsidRPr="00FE7DB5">
            <w:rPr>
              <w:rFonts w:asciiTheme="minorHAnsi" w:hAnsiTheme="minorHAnsi" w:cstheme="minorHAnsi"/>
              <w:noProof/>
              <w:color w:val="222222"/>
            </w:rPr>
            <w:t>(Kane &amp; White , 2009)</w:t>
          </w:r>
          <w:r>
            <w:rPr>
              <w:rFonts w:asciiTheme="minorHAnsi" w:hAnsiTheme="minorHAnsi" w:cstheme="minorHAnsi"/>
              <w:color w:val="222222"/>
            </w:rPr>
            <w:fldChar w:fldCharType="end"/>
          </w:r>
        </w:sdtContent>
      </w:sdt>
      <w:r>
        <w:rPr>
          <w:rFonts w:asciiTheme="minorHAnsi" w:hAnsiTheme="minorHAnsi" w:cstheme="minorHAnsi"/>
          <w:color w:val="222222"/>
          <w:shd w:val="clear" w:color="auto" w:fill="FFFFFF"/>
        </w:rPr>
        <w:t xml:space="preserve">. This demonstrates the importance of independent bodies as </w:t>
      </w:r>
      <w:r w:rsidR="003D3D3B">
        <w:rPr>
          <w:rFonts w:asciiTheme="minorHAnsi" w:hAnsiTheme="minorHAnsi" w:cstheme="minorHAnsi"/>
          <w:color w:val="222222"/>
          <w:shd w:val="clear" w:color="auto" w:fill="FFFFFF"/>
        </w:rPr>
        <w:t xml:space="preserve">this process </w:t>
      </w:r>
      <w:r>
        <w:rPr>
          <w:rFonts w:asciiTheme="minorHAnsi" w:hAnsiTheme="minorHAnsi" w:cstheme="minorHAnsi"/>
          <w:color w:val="222222"/>
          <w:shd w:val="clear" w:color="auto" w:fill="FFFFFF"/>
        </w:rPr>
        <w:t xml:space="preserve">has used their impartiality to keep officers accountable for their mistakes within the vetting process. </w:t>
      </w:r>
      <w:r w:rsidR="003D3D3B">
        <w:rPr>
          <w:rFonts w:asciiTheme="minorHAnsi" w:hAnsiTheme="minorHAnsi" w:cstheme="minorHAnsi"/>
          <w:color w:val="222222"/>
          <w:shd w:val="clear" w:color="auto" w:fill="FFFFFF"/>
        </w:rPr>
        <w:t>Furthermore</w:t>
      </w:r>
      <w:r>
        <w:rPr>
          <w:rFonts w:asciiTheme="minorHAnsi" w:hAnsiTheme="minorHAnsi" w:cstheme="minorHAnsi"/>
          <w:color w:val="222222"/>
          <w:shd w:val="clear" w:color="auto" w:fill="FFFFFF"/>
        </w:rPr>
        <w:t xml:space="preserve">, they have used this opportunity as a learning point for the future. </w:t>
      </w:r>
    </w:p>
    <w:p w14:paraId="595CD7A0" w14:textId="00107527" w:rsidR="00D5726D" w:rsidRPr="009A767F" w:rsidRDefault="00D5726D" w:rsidP="00D5726D">
      <w:pPr>
        <w:pStyle w:val="NormalWeb"/>
        <w:shd w:val="clear" w:color="auto" w:fill="FFFFFF"/>
        <w:spacing w:before="0" w:beforeAutospacing="0" w:after="480" w:afterAutospacing="0"/>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According to </w:t>
      </w:r>
      <w:sdt>
        <w:sdtPr>
          <w:rPr>
            <w:rFonts w:asciiTheme="minorHAnsi" w:hAnsiTheme="minorHAnsi" w:cstheme="minorHAnsi"/>
            <w:color w:val="222222"/>
            <w:shd w:val="clear" w:color="auto" w:fill="FFFFFF"/>
          </w:rPr>
          <w:id w:val="-1586530919"/>
          <w:citation/>
        </w:sdtPr>
        <w:sdtContent>
          <w:r>
            <w:rPr>
              <w:rFonts w:asciiTheme="minorHAnsi" w:hAnsiTheme="minorHAnsi" w:cstheme="minorHAnsi"/>
              <w:color w:val="222222"/>
              <w:shd w:val="clear" w:color="auto" w:fill="FFFFFF"/>
            </w:rPr>
            <w:fldChar w:fldCharType="begin"/>
          </w:r>
          <w:r>
            <w:rPr>
              <w:rFonts w:asciiTheme="minorHAnsi" w:hAnsiTheme="minorHAnsi" w:cstheme="minorHAnsi"/>
              <w:color w:val="222222"/>
              <w:shd w:val="clear" w:color="auto" w:fill="FFFFFF"/>
            </w:rPr>
            <w:instrText xml:space="preserve"> CITATION Col23 \l 2057 </w:instrText>
          </w:r>
          <w:r>
            <w:rPr>
              <w:rFonts w:asciiTheme="minorHAnsi" w:hAnsiTheme="minorHAnsi" w:cstheme="minorHAnsi"/>
              <w:color w:val="222222"/>
              <w:shd w:val="clear" w:color="auto" w:fill="FFFFFF"/>
            </w:rPr>
            <w:fldChar w:fldCharType="separate"/>
          </w:r>
          <w:r w:rsidR="00FE7DB5" w:rsidRPr="00FE7DB5">
            <w:rPr>
              <w:rFonts w:asciiTheme="minorHAnsi" w:hAnsiTheme="minorHAnsi" w:cstheme="minorHAnsi"/>
              <w:noProof/>
              <w:color w:val="222222"/>
              <w:shd w:val="clear" w:color="auto" w:fill="FFFFFF"/>
            </w:rPr>
            <w:t>(College of Policing, 2023)</w:t>
          </w:r>
          <w:r>
            <w:rPr>
              <w:rFonts w:asciiTheme="minorHAnsi" w:hAnsiTheme="minorHAnsi" w:cstheme="minorHAnsi"/>
              <w:color w:val="222222"/>
              <w:shd w:val="clear" w:color="auto" w:fill="FFFFFF"/>
            </w:rPr>
            <w:fldChar w:fldCharType="end"/>
          </w:r>
        </w:sdtContent>
      </w:sdt>
      <w:r>
        <w:rPr>
          <w:rFonts w:asciiTheme="minorHAnsi" w:hAnsiTheme="minorHAnsi" w:cstheme="minorHAnsi"/>
          <w:color w:val="222222"/>
          <w:shd w:val="clear" w:color="auto" w:fill="FFFFFF"/>
        </w:rPr>
        <w:t xml:space="preserve">, it is important that the public are comfortable that police vetting can identify those who have the ability to become a danger to others or are not suitable to being in the police service. The police is a high responsibility job, and it requires the right people to use the powers correctly and </w:t>
      </w:r>
      <w:r w:rsidR="003D3D3B">
        <w:rPr>
          <w:rFonts w:asciiTheme="minorHAnsi" w:hAnsiTheme="minorHAnsi" w:cstheme="minorHAnsi"/>
          <w:color w:val="222222"/>
          <w:shd w:val="clear" w:color="auto" w:fill="FFFFFF"/>
        </w:rPr>
        <w:t>responsibly</w:t>
      </w:r>
      <w:r>
        <w:rPr>
          <w:rFonts w:asciiTheme="minorHAnsi" w:hAnsiTheme="minorHAnsi" w:cstheme="minorHAnsi"/>
          <w:color w:val="222222"/>
          <w:shd w:val="clear" w:color="auto" w:fill="FFFFFF"/>
        </w:rPr>
        <w:t xml:space="preserve"> without misconduct. It is necessary that members of the public as well as the chief constable are able to trust officers to carry out their duty.  The HMICFRS assist in sieving out some of these individuals and </w:t>
      </w:r>
      <w:r w:rsidR="009078F8">
        <w:rPr>
          <w:rFonts w:asciiTheme="minorHAnsi" w:hAnsiTheme="minorHAnsi" w:cstheme="minorHAnsi"/>
          <w:color w:val="222222"/>
          <w:shd w:val="clear" w:color="auto" w:fill="FFFFFF"/>
        </w:rPr>
        <w:t>are</w:t>
      </w:r>
      <w:r>
        <w:rPr>
          <w:rFonts w:asciiTheme="minorHAnsi" w:hAnsiTheme="minorHAnsi" w:cstheme="minorHAnsi"/>
          <w:color w:val="222222"/>
          <w:shd w:val="clear" w:color="auto" w:fill="FFFFFF"/>
        </w:rPr>
        <w:t xml:space="preserve"> an important part in the public’s trust in policing.</w:t>
      </w:r>
    </w:p>
    <w:p w14:paraId="255B1463" w14:textId="746A5C1B" w:rsidR="009078F8" w:rsidRDefault="00D5726D" w:rsidP="00D5726D">
      <w:r>
        <w:t xml:space="preserve">Police officers are required to abide by the standards of professional behaviour. This includes the tenth standard that requires a police officer to report, challenge or take action against the conduct of any colleague whose behaviour has fallen below any of the other nine standards. When police officers fail to do this, it is commonly known as blue wall of silence. Where colleagues protect one another in silence knowing that misconduct has happened. This undermines the police service in its entirety. However, the IOPC makes it a legal obligation to cooperate with their investigation. Failure to report such instances would render the officer liable for claims of misconduct </w:t>
      </w:r>
      <w:sdt>
        <w:sdtPr>
          <w:id w:val="588428562"/>
          <w:citation/>
        </w:sdtPr>
        <w:sdtContent>
          <w:r>
            <w:fldChar w:fldCharType="begin"/>
          </w:r>
          <w:r>
            <w:instrText xml:space="preserve"> CITATION Bla23 \l 2057 </w:instrText>
          </w:r>
          <w:r>
            <w:fldChar w:fldCharType="separate"/>
          </w:r>
          <w:r w:rsidR="00FE7DB5">
            <w:rPr>
              <w:noProof/>
            </w:rPr>
            <w:t>(Blackstone's, 2023)</w:t>
          </w:r>
          <w:r>
            <w:fldChar w:fldCharType="end"/>
          </w:r>
        </w:sdtContent>
      </w:sdt>
      <w:r>
        <w:t xml:space="preserve"> </w:t>
      </w:r>
      <w:sdt>
        <w:sdtPr>
          <w:id w:val="-1062856332"/>
          <w:citation/>
        </w:sdtPr>
        <w:sdtContent>
          <w:r>
            <w:fldChar w:fldCharType="begin"/>
          </w:r>
          <w:r>
            <w:instrText xml:space="preserve"> CITATION Row161 \l 2057 </w:instrText>
          </w:r>
          <w:r>
            <w:fldChar w:fldCharType="separate"/>
          </w:r>
          <w:r w:rsidR="00FE7DB5">
            <w:rPr>
              <w:noProof/>
            </w:rPr>
            <w:t>(Rowe, Westmarland , &amp; Hougham, Getting behind the blue curtain, 2016)</w:t>
          </w:r>
          <w:r>
            <w:fldChar w:fldCharType="end"/>
          </w:r>
        </w:sdtContent>
      </w:sdt>
      <w:r w:rsidR="009078F8">
        <w:t>.</w:t>
      </w:r>
    </w:p>
    <w:p w14:paraId="2377B964" w14:textId="2B398EA1" w:rsidR="00FE7DB5" w:rsidRDefault="009078F8" w:rsidP="00FE7DB5">
      <w:pPr>
        <w:tabs>
          <w:tab w:val="left" w:pos="1236"/>
        </w:tabs>
      </w:pPr>
      <w:r>
        <w:t>‘</w:t>
      </w:r>
      <w:r w:rsidR="00D5726D" w:rsidRPr="00C77D8E">
        <w:t>The 2016 IPCC survey on public confidence found that 62 per cent were ‘very’ or ‘fairly’ confident that complaints are treated fairly (Ipsos MORI 2016).</w:t>
      </w:r>
      <w:r w:rsidR="00D5726D" w:rsidRPr="00357053">
        <w:t xml:space="preserve"> In contrast, however, are lower levels of satisfaction among those who have actually made a complaint to police</w:t>
      </w:r>
      <w:r w:rsidR="00D5726D">
        <w:t xml:space="preserve"> </w:t>
      </w:r>
      <w:sdt>
        <w:sdtPr>
          <w:id w:val="-833994076"/>
          <w:citation/>
        </w:sdtPr>
        <w:sdtContent>
          <w:r w:rsidR="00D5726D">
            <w:fldChar w:fldCharType="begin"/>
          </w:r>
          <w:r w:rsidR="00D5726D">
            <w:instrText xml:space="preserve"> CITATION Ips161 \l 2057 </w:instrText>
          </w:r>
          <w:r w:rsidR="00D5726D">
            <w:fldChar w:fldCharType="separate"/>
          </w:r>
          <w:r w:rsidR="00FE7DB5">
            <w:rPr>
              <w:noProof/>
            </w:rPr>
            <w:t>(Ipsos Mori, 2016)</w:t>
          </w:r>
          <w:r w:rsidR="00D5726D">
            <w:fldChar w:fldCharType="end"/>
          </w:r>
        </w:sdtContent>
      </w:sdt>
      <w:r w:rsidR="00D5726D">
        <w:t>’</w:t>
      </w:r>
      <w:r>
        <w:t xml:space="preserve">. The information provided by this report suggests that the general public feel that the independent bodies provide sufficient support when resolving complaints. It must also be noted however, victims of police misconduct may seek out further support as they may feel the independent bodies do not provide sufficient support when resolving a complaint. This shows a clear directive for future improvement. </w:t>
      </w:r>
    </w:p>
    <w:p w14:paraId="502D415C" w14:textId="367040A2" w:rsidR="00D5726D" w:rsidRDefault="00D5726D" w:rsidP="00D5726D">
      <w:r>
        <w:t xml:space="preserve">In conclusion, independent bodies are important to the police and their public perception. It substantially enhances public trust and confidence in policing due to the added accountability. Every complaint of misconduct </w:t>
      </w:r>
      <w:r w:rsidR="00A555EB">
        <w:t>is reviewed by</w:t>
      </w:r>
      <w:r>
        <w:t xml:space="preserve"> an impartial board and </w:t>
      </w:r>
      <w:r w:rsidR="00A555EB">
        <w:t xml:space="preserve">should </w:t>
      </w:r>
      <w:r>
        <w:t xml:space="preserve">get dealt with appropriately. The development in training has improved due to the independent bodies that have fed through past complaints as a learning point. </w:t>
      </w:r>
    </w:p>
    <w:p w14:paraId="73314068" w14:textId="77777777" w:rsidR="00D5726D" w:rsidRDefault="00D5726D" w:rsidP="00D5726D"/>
    <w:p w14:paraId="32774D84" w14:textId="24337148" w:rsidR="00D5726D" w:rsidRDefault="00D5726D" w:rsidP="00D5726D">
      <w:r>
        <w:t xml:space="preserve">Word count – </w:t>
      </w:r>
      <w:r w:rsidR="00A555EB">
        <w:t>1049</w:t>
      </w:r>
    </w:p>
    <w:p w14:paraId="6AB57725" w14:textId="77777777" w:rsidR="00FE7DB5" w:rsidRDefault="00FE7DB5" w:rsidP="00D5726D"/>
    <w:p w14:paraId="7253C7BA" w14:textId="77777777" w:rsidR="00D5726D" w:rsidRDefault="00D5726D" w:rsidP="00D5726D"/>
    <w:sdt>
      <w:sdtPr>
        <w:rPr>
          <w:rFonts w:asciiTheme="minorHAnsi" w:eastAsiaTheme="minorHAnsi" w:hAnsiTheme="minorHAnsi" w:cstheme="minorBidi"/>
          <w:color w:val="auto"/>
          <w:sz w:val="22"/>
          <w:szCs w:val="22"/>
          <w:lang w:val="en-GB"/>
        </w:rPr>
        <w:id w:val="1235054881"/>
        <w:docPartObj>
          <w:docPartGallery w:val="Bibliographies"/>
          <w:docPartUnique/>
        </w:docPartObj>
      </w:sdtPr>
      <w:sdtContent>
        <w:p w14:paraId="4CD74E87" w14:textId="6AE66C21" w:rsidR="00D5726D" w:rsidRDefault="00D5726D">
          <w:pPr>
            <w:pStyle w:val="Heading1"/>
          </w:pPr>
          <w:r>
            <w:t>Bibliography</w:t>
          </w:r>
        </w:p>
        <w:sdt>
          <w:sdtPr>
            <w:id w:val="111145805"/>
            <w:bibliography/>
          </w:sdtPr>
          <w:sdtContent>
            <w:p w14:paraId="5315E129" w14:textId="77777777" w:rsidR="00FE7DB5" w:rsidRDefault="00D5726D" w:rsidP="00FE7DB5">
              <w:pPr>
                <w:pStyle w:val="Bibliography"/>
                <w:ind w:left="720" w:hanging="720"/>
                <w:rPr>
                  <w:noProof/>
                  <w:sz w:val="24"/>
                  <w:szCs w:val="24"/>
                  <w:lang w:val="en-US"/>
                </w:rPr>
              </w:pPr>
              <w:r>
                <w:fldChar w:fldCharType="begin"/>
              </w:r>
              <w:r>
                <w:instrText xml:space="preserve"> BIBLIOGRAPHY </w:instrText>
              </w:r>
              <w:r>
                <w:fldChar w:fldCharType="separate"/>
              </w:r>
              <w:r w:rsidR="00FE7DB5">
                <w:rPr>
                  <w:noProof/>
                  <w:lang w:val="en-US"/>
                </w:rPr>
                <w:t xml:space="preserve">Andell, P. a. (2018). The end of the line? The impact of county lines drug distribution on youth crime in a target destination. </w:t>
              </w:r>
              <w:r w:rsidR="00FE7DB5">
                <w:rPr>
                  <w:i/>
                  <w:iCs/>
                  <w:noProof/>
                  <w:lang w:val="en-US"/>
                </w:rPr>
                <w:t>Youth &amp; Policy.</w:t>
              </w:r>
              <w:r w:rsidR="00FE7DB5">
                <w:rPr>
                  <w:noProof/>
                  <w:lang w:val="en-US"/>
                </w:rPr>
                <w:t xml:space="preserve"> </w:t>
              </w:r>
            </w:p>
            <w:p w14:paraId="096BB3B8" w14:textId="77777777" w:rsidR="00FE7DB5" w:rsidRDefault="00FE7DB5" w:rsidP="00FE7DB5">
              <w:pPr>
                <w:pStyle w:val="Bibliography"/>
                <w:ind w:left="720" w:hanging="720"/>
                <w:rPr>
                  <w:noProof/>
                  <w:lang w:val="en-US"/>
                </w:rPr>
              </w:pPr>
              <w:r>
                <w:rPr>
                  <w:noProof/>
                  <w:lang w:val="en-US"/>
                </w:rPr>
                <w:t xml:space="preserve">Blackstone's. (2023). </w:t>
              </w:r>
              <w:r>
                <w:rPr>
                  <w:i/>
                  <w:iCs/>
                  <w:noProof/>
                  <w:lang w:val="en-US"/>
                </w:rPr>
                <w:t>Handbook for Policing Students.</w:t>
              </w:r>
              <w:r>
                <w:rPr>
                  <w:noProof/>
                  <w:lang w:val="en-US"/>
                </w:rPr>
                <w:t xml:space="preserve"> Oxford: Oxford University Press.</w:t>
              </w:r>
            </w:p>
            <w:p w14:paraId="03DA5AD0" w14:textId="77777777" w:rsidR="00FE7DB5" w:rsidRDefault="00FE7DB5" w:rsidP="00FE7DB5">
              <w:pPr>
                <w:pStyle w:val="Bibliography"/>
                <w:ind w:left="720" w:hanging="720"/>
                <w:rPr>
                  <w:noProof/>
                  <w:lang w:val="en-US"/>
                </w:rPr>
              </w:pPr>
              <w:r>
                <w:rPr>
                  <w:noProof/>
                  <w:lang w:val="en-US"/>
                </w:rPr>
                <w:t xml:space="preserve">Bland, N., Miller, J., &amp; Quinton, P. (2000). </w:t>
              </w:r>
              <w:r>
                <w:rPr>
                  <w:i/>
                  <w:iCs/>
                  <w:noProof/>
                  <w:lang w:val="en-US"/>
                </w:rPr>
                <w:t>An evaluation of the recommendations of the Stephen Lawence Inquiry on stops and searches.</w:t>
              </w:r>
              <w:r>
                <w:rPr>
                  <w:noProof/>
                  <w:lang w:val="en-US"/>
                </w:rPr>
                <w:t xml:space="preserve"> London: Home office.</w:t>
              </w:r>
            </w:p>
            <w:p w14:paraId="6ADA7D2E" w14:textId="77777777" w:rsidR="00FE7DB5" w:rsidRDefault="00FE7DB5" w:rsidP="00FE7DB5">
              <w:pPr>
                <w:pStyle w:val="Bibliography"/>
                <w:ind w:left="720" w:hanging="720"/>
                <w:rPr>
                  <w:noProof/>
                  <w:lang w:val="en-US"/>
                </w:rPr>
              </w:pPr>
              <w:r>
                <w:rPr>
                  <w:noProof/>
                  <w:lang w:val="en-US"/>
                </w:rPr>
                <w:t xml:space="preserve">Bowling, B., &amp; Phillips, C. (2002). Racism, Crime and Justice. </w:t>
              </w:r>
              <w:r>
                <w:rPr>
                  <w:i/>
                  <w:iCs/>
                  <w:noProof/>
                  <w:lang w:val="en-US"/>
                </w:rPr>
                <w:t>Pearson Education Limited</w:t>
              </w:r>
              <w:r>
                <w:rPr>
                  <w:noProof/>
                  <w:lang w:val="en-US"/>
                </w:rPr>
                <w:t>, 139-140.</w:t>
              </w:r>
            </w:p>
            <w:p w14:paraId="5B014093" w14:textId="77777777" w:rsidR="00FE7DB5" w:rsidRDefault="00FE7DB5" w:rsidP="00FE7DB5">
              <w:pPr>
                <w:pStyle w:val="Bibliography"/>
                <w:ind w:left="720" w:hanging="720"/>
                <w:rPr>
                  <w:noProof/>
                  <w:lang w:val="en-US"/>
                </w:rPr>
              </w:pPr>
              <w:r>
                <w:rPr>
                  <w:noProof/>
                  <w:lang w:val="en-US"/>
                </w:rPr>
                <w:t xml:space="preserve">Briggs, D. (2013). Crack cocaine users: High society and low life in South London. . </w:t>
              </w:r>
              <w:r>
                <w:rPr>
                  <w:i/>
                  <w:iCs/>
                  <w:noProof/>
                  <w:lang w:val="en-US"/>
                </w:rPr>
                <w:t>Routledge.</w:t>
              </w:r>
              <w:r>
                <w:rPr>
                  <w:noProof/>
                  <w:lang w:val="en-US"/>
                </w:rPr>
                <w:t xml:space="preserve"> </w:t>
              </w:r>
            </w:p>
            <w:p w14:paraId="5A1732C6" w14:textId="77777777" w:rsidR="00FE7DB5" w:rsidRDefault="00FE7DB5" w:rsidP="00FE7DB5">
              <w:pPr>
                <w:pStyle w:val="Bibliography"/>
                <w:ind w:left="720" w:hanging="720"/>
                <w:rPr>
                  <w:noProof/>
                  <w:lang w:val="en-US"/>
                </w:rPr>
              </w:pPr>
              <w:r>
                <w:rPr>
                  <w:noProof/>
                  <w:lang w:val="en-US"/>
                </w:rPr>
                <w:t xml:space="preserve">Brown, D. (1997). </w:t>
              </w:r>
              <w:r>
                <w:rPr>
                  <w:i/>
                  <w:iCs/>
                  <w:noProof/>
                  <w:lang w:val="en-US"/>
                </w:rPr>
                <w:t>PACE ten years on: A review of the research.</w:t>
              </w:r>
              <w:r>
                <w:rPr>
                  <w:noProof/>
                  <w:lang w:val="en-US"/>
                </w:rPr>
                <w:t xml:space="preserve"> London: Home Office .</w:t>
              </w:r>
            </w:p>
            <w:p w14:paraId="4703BAEF" w14:textId="77777777" w:rsidR="00FE7DB5" w:rsidRDefault="00FE7DB5" w:rsidP="00FE7DB5">
              <w:pPr>
                <w:pStyle w:val="Bibliography"/>
                <w:ind w:left="720" w:hanging="720"/>
                <w:rPr>
                  <w:noProof/>
                  <w:lang w:val="en-US"/>
                </w:rPr>
              </w:pPr>
              <w:r>
                <w:rPr>
                  <w:noProof/>
                  <w:lang w:val="en-US"/>
                </w:rPr>
                <w:t xml:space="preserve">Caluori, J. C. (2020). </w:t>
              </w:r>
              <w:r>
                <w:rPr>
                  <w:i/>
                  <w:iCs/>
                  <w:noProof/>
                  <w:lang w:val="en-US"/>
                </w:rPr>
                <w:t>County lines and looked after children.</w:t>
              </w:r>
              <w:r>
                <w:rPr>
                  <w:noProof/>
                  <w:lang w:val="en-US"/>
                </w:rPr>
                <w:t xml:space="preserve"> Retrieved from Crest: https://search.ebscohost.com/login.aspx?direct=true&amp;AuthType=shib&amp;db=cat04924a&amp;AN=npl.E7425&amp;site=eds-live&amp;scope=site</w:t>
              </w:r>
            </w:p>
            <w:p w14:paraId="752736F7" w14:textId="77777777" w:rsidR="00FE7DB5" w:rsidRDefault="00FE7DB5" w:rsidP="00FE7DB5">
              <w:pPr>
                <w:pStyle w:val="Bibliography"/>
                <w:ind w:left="720" w:hanging="720"/>
                <w:rPr>
                  <w:noProof/>
                  <w:lang w:val="en-US"/>
                </w:rPr>
              </w:pPr>
              <w:r>
                <w:rPr>
                  <w:noProof/>
                  <w:lang w:val="en-US"/>
                </w:rPr>
                <w:t xml:space="preserve">Cathcart, B. (1999). </w:t>
              </w:r>
              <w:r>
                <w:rPr>
                  <w:i/>
                  <w:iCs/>
                  <w:noProof/>
                  <w:lang w:val="en-US"/>
                </w:rPr>
                <w:t>The Case of Steven Lawence.</w:t>
              </w:r>
              <w:r>
                <w:rPr>
                  <w:noProof/>
                  <w:lang w:val="en-US"/>
                </w:rPr>
                <w:t xml:space="preserve"> London: Viking.</w:t>
              </w:r>
            </w:p>
            <w:p w14:paraId="7C74A141" w14:textId="77777777" w:rsidR="00FE7DB5" w:rsidRDefault="00FE7DB5" w:rsidP="00FE7DB5">
              <w:pPr>
                <w:pStyle w:val="Bibliography"/>
                <w:ind w:left="720" w:hanging="720"/>
                <w:rPr>
                  <w:noProof/>
                  <w:lang w:val="en-US"/>
                </w:rPr>
              </w:pPr>
              <w:r>
                <w:rPr>
                  <w:noProof/>
                  <w:lang w:val="en-US"/>
                </w:rPr>
                <w:t xml:space="preserve">College of Policing. (2023, July 20). </w:t>
              </w:r>
              <w:r>
                <w:rPr>
                  <w:i/>
                  <w:iCs/>
                  <w:noProof/>
                  <w:lang w:val="en-US"/>
                </w:rPr>
                <w:t>Vetting code of practice</w:t>
              </w:r>
              <w:r>
                <w:rPr>
                  <w:noProof/>
                  <w:lang w:val="en-US"/>
                </w:rPr>
                <w:t>. Retrieved from College of Policing: https://www.college.police.uk/guidance/vetting-code-practice</w:t>
              </w:r>
            </w:p>
            <w:p w14:paraId="215B40D0" w14:textId="77777777" w:rsidR="00FE7DB5" w:rsidRDefault="00FE7DB5" w:rsidP="00FE7DB5">
              <w:pPr>
                <w:pStyle w:val="Bibliography"/>
                <w:ind w:left="720" w:hanging="720"/>
                <w:rPr>
                  <w:noProof/>
                  <w:lang w:val="en-US"/>
                </w:rPr>
              </w:pPr>
              <w:r>
                <w:rPr>
                  <w:noProof/>
                  <w:lang w:val="en-US"/>
                </w:rPr>
                <w:t xml:space="preserve">Coomber, R. a. (2012). A rapid appraisal of the illicit drug market in Southend-On-Sea-On-Sea, Essex. </w:t>
              </w:r>
              <w:r>
                <w:rPr>
                  <w:i/>
                  <w:iCs/>
                  <w:noProof/>
                  <w:lang w:val="en-US"/>
                </w:rPr>
                <w:t>Plymouth University, Drug and Alcohol Research Unit.</w:t>
              </w:r>
              <w:r>
                <w:rPr>
                  <w:noProof/>
                  <w:lang w:val="en-US"/>
                </w:rPr>
                <w:t xml:space="preserve"> </w:t>
              </w:r>
            </w:p>
            <w:p w14:paraId="44D22B54" w14:textId="77777777" w:rsidR="00FE7DB5" w:rsidRDefault="00FE7DB5" w:rsidP="00FE7DB5">
              <w:pPr>
                <w:pStyle w:val="Bibliography"/>
                <w:ind w:left="720" w:hanging="720"/>
                <w:rPr>
                  <w:noProof/>
                  <w:lang w:val="en-US"/>
                </w:rPr>
              </w:pPr>
              <w:r>
                <w:rPr>
                  <w:noProof/>
                  <w:lang w:val="en-US"/>
                </w:rPr>
                <w:t xml:space="preserve">Coomber, R. a. (2012). A rapid appraisal of the illicit drug market in Southend-On-Sea-On-Sea, Essex. Full report. </w:t>
              </w:r>
              <w:r>
                <w:rPr>
                  <w:i/>
                  <w:iCs/>
                  <w:noProof/>
                  <w:lang w:val="en-US"/>
                </w:rPr>
                <w:t>Plymouth University, Drug and Alcohol Research Unit.</w:t>
              </w:r>
              <w:r>
                <w:rPr>
                  <w:noProof/>
                  <w:lang w:val="en-US"/>
                </w:rPr>
                <w:t xml:space="preserve"> </w:t>
              </w:r>
            </w:p>
            <w:p w14:paraId="4DD4FF18" w14:textId="77777777" w:rsidR="00FE7DB5" w:rsidRDefault="00FE7DB5" w:rsidP="00FE7DB5">
              <w:pPr>
                <w:pStyle w:val="Bibliography"/>
                <w:ind w:left="720" w:hanging="720"/>
                <w:rPr>
                  <w:noProof/>
                  <w:lang w:val="en-US"/>
                </w:rPr>
              </w:pPr>
              <w:r>
                <w:rPr>
                  <w:noProof/>
                  <w:lang w:val="en-US"/>
                </w:rPr>
                <w:t xml:space="preserve">Coomber, R. a. (2012). A rapid appraisal of the illicit drug market in Southend-On-Sea-On-Sea, Essex. Full report. . </w:t>
              </w:r>
              <w:r>
                <w:rPr>
                  <w:i/>
                  <w:iCs/>
                  <w:noProof/>
                  <w:lang w:val="en-US"/>
                </w:rPr>
                <w:t>Plymouth University, Drug and Alcohol Research Unit.</w:t>
              </w:r>
              <w:r>
                <w:rPr>
                  <w:noProof/>
                  <w:lang w:val="en-US"/>
                </w:rPr>
                <w:t xml:space="preserve"> </w:t>
              </w:r>
            </w:p>
            <w:p w14:paraId="7F4B23CA" w14:textId="77777777" w:rsidR="00FE7DB5" w:rsidRDefault="00FE7DB5" w:rsidP="00FE7DB5">
              <w:pPr>
                <w:pStyle w:val="Bibliography"/>
                <w:ind w:left="720" w:hanging="720"/>
                <w:rPr>
                  <w:noProof/>
                  <w:lang w:val="en-US"/>
                </w:rPr>
              </w:pPr>
              <w:r>
                <w:rPr>
                  <w:noProof/>
                  <w:lang w:val="en-US"/>
                </w:rPr>
                <w:t xml:space="preserve">Coomber, R. a. (2018). The changing shape of street-level heroin and crack supply in England: Commuting, holidaying and cuckooing drug dealers across ‘county lines’. . </w:t>
              </w:r>
              <w:r>
                <w:rPr>
                  <w:i/>
                  <w:iCs/>
                  <w:noProof/>
                  <w:lang w:val="en-US"/>
                </w:rPr>
                <w:t>The British Journal of Criminology</w:t>
              </w:r>
              <w:r>
                <w:rPr>
                  <w:noProof/>
                  <w:lang w:val="en-US"/>
                </w:rPr>
                <w:t>, 58(6), pp.1323-1342.</w:t>
              </w:r>
            </w:p>
            <w:p w14:paraId="00A9080E" w14:textId="77777777" w:rsidR="00FE7DB5" w:rsidRDefault="00FE7DB5" w:rsidP="00FE7DB5">
              <w:pPr>
                <w:pStyle w:val="Bibliography"/>
                <w:ind w:left="720" w:hanging="720"/>
                <w:rPr>
                  <w:noProof/>
                  <w:lang w:val="en-US"/>
                </w:rPr>
              </w:pPr>
              <w:r>
                <w:rPr>
                  <w:noProof/>
                  <w:lang w:val="en-US"/>
                </w:rPr>
                <w:t xml:space="preserve">Coomber, R. a. (2018). The changing shape of street-level heroin and crack supply in England: Commuting, holidaying and cuckooing drug dealers across ‘county lines’. . </w:t>
              </w:r>
              <w:r>
                <w:rPr>
                  <w:i/>
                  <w:iCs/>
                  <w:noProof/>
                  <w:lang w:val="en-US"/>
                </w:rPr>
                <w:t>The British Journal of Criminology</w:t>
              </w:r>
              <w:r>
                <w:rPr>
                  <w:noProof/>
                  <w:lang w:val="en-US"/>
                </w:rPr>
                <w:t>, 58(6), pp.1323-1342.</w:t>
              </w:r>
            </w:p>
            <w:p w14:paraId="6FA6A460" w14:textId="77777777" w:rsidR="00FE7DB5" w:rsidRDefault="00FE7DB5" w:rsidP="00FE7DB5">
              <w:pPr>
                <w:pStyle w:val="Bibliography"/>
                <w:ind w:left="720" w:hanging="720"/>
                <w:rPr>
                  <w:noProof/>
                  <w:lang w:val="en-US"/>
                </w:rPr>
              </w:pPr>
              <w:r>
                <w:rPr>
                  <w:noProof/>
                  <w:lang w:val="en-US"/>
                </w:rPr>
                <w:t xml:space="preserve">Cunliffe, J., &amp; Shepard, A. (2007). </w:t>
              </w:r>
              <w:r>
                <w:rPr>
                  <w:i/>
                  <w:iCs/>
                  <w:noProof/>
                  <w:lang w:val="en-US"/>
                </w:rPr>
                <w:t>Re-offending of adults: Results from the 2004 Cohort.</w:t>
              </w:r>
              <w:r>
                <w:rPr>
                  <w:noProof/>
                  <w:lang w:val="en-US"/>
                </w:rPr>
                <w:t xml:space="preserve"> Home Office Statistics Bulletin.</w:t>
              </w:r>
            </w:p>
            <w:p w14:paraId="66FCE5EB" w14:textId="77777777" w:rsidR="00FE7DB5" w:rsidRDefault="00FE7DB5" w:rsidP="00FE7DB5">
              <w:pPr>
                <w:pStyle w:val="Bibliography"/>
                <w:ind w:left="720" w:hanging="720"/>
                <w:rPr>
                  <w:noProof/>
                  <w:lang w:val="en-US"/>
                </w:rPr>
              </w:pPr>
              <w:r>
                <w:rPr>
                  <w:noProof/>
                  <w:lang w:val="en-US"/>
                </w:rPr>
                <w:t xml:space="preserve">Curry, G. D. (2003). Confronting gangs: Crime and community. </w:t>
              </w:r>
              <w:r>
                <w:rPr>
                  <w:i/>
                  <w:iCs/>
                  <w:noProof/>
                  <w:lang w:val="en-US"/>
                </w:rPr>
                <w:t>Los Angeles, CA: Roxbury Publishing Company.</w:t>
              </w:r>
              <w:r>
                <w:rPr>
                  <w:noProof/>
                  <w:lang w:val="en-US"/>
                </w:rPr>
                <w:t xml:space="preserve"> </w:t>
              </w:r>
            </w:p>
            <w:p w14:paraId="0F0D5518" w14:textId="77777777" w:rsidR="00FE7DB5" w:rsidRDefault="00FE7DB5" w:rsidP="00FE7DB5">
              <w:pPr>
                <w:pStyle w:val="Bibliography"/>
                <w:ind w:left="720" w:hanging="720"/>
                <w:rPr>
                  <w:noProof/>
                  <w:lang w:val="en-US"/>
                </w:rPr>
              </w:pPr>
              <w:r>
                <w:rPr>
                  <w:noProof/>
                  <w:lang w:val="en-US"/>
                </w:rPr>
                <w:t xml:space="preserve">EHRC. (2010). </w:t>
              </w:r>
              <w:r>
                <w:rPr>
                  <w:i/>
                  <w:iCs/>
                  <w:noProof/>
                  <w:lang w:val="en-US"/>
                </w:rPr>
                <w:t>Stop and think: A critical review of the use of stop and search powers in England and Wales .</w:t>
              </w:r>
              <w:r>
                <w:rPr>
                  <w:noProof/>
                  <w:lang w:val="en-US"/>
                </w:rPr>
                <w:t xml:space="preserve"> London: EHRC.</w:t>
              </w:r>
            </w:p>
            <w:p w14:paraId="0D8642B4" w14:textId="77777777" w:rsidR="00FE7DB5" w:rsidRDefault="00FE7DB5" w:rsidP="00FE7DB5">
              <w:pPr>
                <w:pStyle w:val="Bibliography"/>
                <w:ind w:left="720" w:hanging="720"/>
                <w:rPr>
                  <w:noProof/>
                  <w:lang w:val="en-US"/>
                </w:rPr>
              </w:pPr>
              <w:r>
                <w:rPr>
                  <w:noProof/>
                  <w:lang w:val="en-US"/>
                </w:rPr>
                <w:t xml:space="preserve">Harfield, C., Jones, B., &amp; Mendieta , E. (2022). The ethics of policing:new perspectives on law enforcement. </w:t>
              </w:r>
              <w:r>
                <w:rPr>
                  <w:i/>
                  <w:iCs/>
                  <w:noProof/>
                  <w:lang w:val="en-US"/>
                </w:rPr>
                <w:t>Policing: A journal od policy and practice</w:t>
              </w:r>
              <w:r>
                <w:rPr>
                  <w:noProof/>
                  <w:lang w:val="en-US"/>
                </w:rPr>
                <w:t>, 221-226.</w:t>
              </w:r>
            </w:p>
            <w:p w14:paraId="72B9A3B7" w14:textId="77777777" w:rsidR="00FE7DB5" w:rsidRDefault="00FE7DB5" w:rsidP="00FE7DB5">
              <w:pPr>
                <w:pStyle w:val="Bibliography"/>
                <w:ind w:left="720" w:hanging="720"/>
                <w:rPr>
                  <w:noProof/>
                  <w:lang w:val="en-US"/>
                </w:rPr>
              </w:pPr>
              <w:r>
                <w:rPr>
                  <w:noProof/>
                  <w:lang w:val="en-US"/>
                </w:rPr>
                <w:lastRenderedPageBreak/>
                <w:t xml:space="preserve">Her Majesty's Inspectorate of Constabulary . (2013). </w:t>
              </w:r>
              <w:r>
                <w:rPr>
                  <w:i/>
                  <w:iCs/>
                  <w:noProof/>
                  <w:lang w:val="en-US"/>
                </w:rPr>
                <w:t>Stop and search powers: Are the police using them effectively and fairly?</w:t>
              </w:r>
              <w:r>
                <w:rPr>
                  <w:noProof/>
                  <w:lang w:val="en-US"/>
                </w:rPr>
                <w:t xml:space="preserve"> London : HMIC.</w:t>
              </w:r>
            </w:p>
            <w:p w14:paraId="56CAA9C0" w14:textId="77777777" w:rsidR="00FE7DB5" w:rsidRDefault="00FE7DB5" w:rsidP="00FE7DB5">
              <w:pPr>
                <w:pStyle w:val="Bibliography"/>
                <w:ind w:left="720" w:hanging="720"/>
                <w:rPr>
                  <w:noProof/>
                  <w:lang w:val="en-US"/>
                </w:rPr>
              </w:pPr>
              <w:r>
                <w:rPr>
                  <w:noProof/>
                  <w:lang w:val="en-US"/>
                </w:rPr>
                <w:t xml:space="preserve">His Majesty’s Inspectorate of Constabulary and Fire &amp; Rescue Services (HMICFRS). (2022). </w:t>
              </w:r>
              <w:r>
                <w:rPr>
                  <w:i/>
                  <w:iCs/>
                  <w:noProof/>
                  <w:lang w:val="en-US"/>
                </w:rPr>
                <w:t>An inpection of vetting, misconduct and misogyny in the police service.</w:t>
              </w:r>
              <w:r>
                <w:rPr>
                  <w:noProof/>
                  <w:lang w:val="en-US"/>
                </w:rPr>
                <w:t xml:space="preserve"> London: HMICFRS.</w:t>
              </w:r>
            </w:p>
            <w:p w14:paraId="37DF17C6" w14:textId="77777777" w:rsidR="00FE7DB5" w:rsidRDefault="00FE7DB5" w:rsidP="00FE7DB5">
              <w:pPr>
                <w:pStyle w:val="Bibliography"/>
                <w:ind w:left="720" w:hanging="720"/>
                <w:rPr>
                  <w:noProof/>
                  <w:lang w:val="en-US"/>
                </w:rPr>
              </w:pPr>
              <w:r>
                <w:rPr>
                  <w:noProof/>
                  <w:lang w:val="en-US"/>
                </w:rPr>
                <w:t xml:space="preserve">HM Inspectorate of Probation. (2022). </w:t>
              </w:r>
              <w:r>
                <w:rPr>
                  <w:i/>
                  <w:iCs/>
                  <w:noProof/>
                  <w:lang w:val="en-US"/>
                </w:rPr>
                <w:t>Twenty Years on, is MAPPA Acheiving its Objectives.</w:t>
              </w:r>
              <w:r>
                <w:rPr>
                  <w:noProof/>
                  <w:lang w:val="en-US"/>
                </w:rPr>
                <w:t xml:space="preserve"> Manchester: Her Majesty's Inspectorate of Probation.</w:t>
              </w:r>
            </w:p>
            <w:p w14:paraId="049FC56D" w14:textId="77777777" w:rsidR="00FE7DB5" w:rsidRDefault="00FE7DB5" w:rsidP="00FE7DB5">
              <w:pPr>
                <w:pStyle w:val="Bibliography"/>
                <w:ind w:left="720" w:hanging="720"/>
                <w:rPr>
                  <w:noProof/>
                  <w:lang w:val="en-US"/>
                </w:rPr>
              </w:pPr>
              <w:r>
                <w:rPr>
                  <w:noProof/>
                  <w:lang w:val="en-US"/>
                </w:rPr>
                <w:t xml:space="preserve">HM Inspectorates of Constabulary and Probation. (2011). </w:t>
              </w:r>
              <w:r>
                <w:rPr>
                  <w:i/>
                  <w:iCs/>
                  <w:noProof/>
                  <w:lang w:val="en-US"/>
                </w:rPr>
                <w:t>Putting the pieces together: An inspection of MAPPA .</w:t>
              </w:r>
              <w:r>
                <w:rPr>
                  <w:noProof/>
                  <w:lang w:val="en-US"/>
                </w:rPr>
                <w:t xml:space="preserve"> Manchester: HM Inspectorates of Constabulary and Probation.</w:t>
              </w:r>
            </w:p>
            <w:p w14:paraId="00658672" w14:textId="77777777" w:rsidR="00FE7DB5" w:rsidRDefault="00FE7DB5" w:rsidP="00FE7DB5">
              <w:pPr>
                <w:pStyle w:val="Bibliography"/>
                <w:ind w:left="720" w:hanging="720"/>
                <w:rPr>
                  <w:noProof/>
                  <w:lang w:val="en-US"/>
                </w:rPr>
              </w:pPr>
              <w:r>
                <w:rPr>
                  <w:noProof/>
                  <w:lang w:val="en-US"/>
                </w:rPr>
                <w:t xml:space="preserve">Holdaway, S., &amp; O'Neil, M. (2004). The Development of Black Police Associations: Changing Articulations of Race within the Police. </w:t>
              </w:r>
              <w:r>
                <w:rPr>
                  <w:i/>
                  <w:iCs/>
                  <w:noProof/>
                  <w:lang w:val="en-US"/>
                </w:rPr>
                <w:t>British Journal of Criminology</w:t>
              </w:r>
              <w:r>
                <w:rPr>
                  <w:noProof/>
                  <w:lang w:val="en-US"/>
                </w:rPr>
                <w:t>, Vol 44. (6), 854-865.</w:t>
              </w:r>
            </w:p>
            <w:p w14:paraId="51E37E75" w14:textId="77777777" w:rsidR="00FE7DB5" w:rsidRDefault="00FE7DB5" w:rsidP="00FE7DB5">
              <w:pPr>
                <w:pStyle w:val="Bibliography"/>
                <w:ind w:left="720" w:hanging="720"/>
                <w:rPr>
                  <w:noProof/>
                  <w:lang w:val="en-US"/>
                </w:rPr>
              </w:pPr>
              <w:r>
                <w:rPr>
                  <w:noProof/>
                  <w:lang w:val="en-US"/>
                </w:rPr>
                <w:t xml:space="preserve">Home Office . (2019). </w:t>
              </w:r>
              <w:r>
                <w:rPr>
                  <w:i/>
                  <w:iCs/>
                  <w:noProof/>
                  <w:lang w:val="en-US"/>
                </w:rPr>
                <w:t>Police powers and procedures, England and Wales year ending 31 March 2019.</w:t>
              </w:r>
              <w:r>
                <w:rPr>
                  <w:noProof/>
                  <w:lang w:val="en-US"/>
                </w:rPr>
                <w:t xml:space="preserve"> London: Home Office.</w:t>
              </w:r>
            </w:p>
            <w:p w14:paraId="1F772D71" w14:textId="77777777" w:rsidR="00FE7DB5" w:rsidRDefault="00FE7DB5" w:rsidP="00FE7DB5">
              <w:pPr>
                <w:pStyle w:val="Bibliography"/>
                <w:ind w:left="720" w:hanging="720"/>
                <w:rPr>
                  <w:noProof/>
                  <w:lang w:val="en-US"/>
                </w:rPr>
              </w:pPr>
              <w:r>
                <w:rPr>
                  <w:noProof/>
                  <w:lang w:val="en-US"/>
                </w:rPr>
                <w:t xml:space="preserve">Home Office. (2017.). County Lines guidance. </w:t>
              </w:r>
              <w:r>
                <w:rPr>
                  <w:i/>
                  <w:iCs/>
                  <w:noProof/>
                  <w:lang w:val="en-US"/>
                </w:rPr>
                <w:t>Criminal Exploitation of children and vulnerable adults.</w:t>
              </w:r>
              <w:r>
                <w:rPr>
                  <w:noProof/>
                  <w:lang w:val="en-US"/>
                </w:rPr>
                <w:t xml:space="preserve"> </w:t>
              </w:r>
            </w:p>
            <w:p w14:paraId="3A170F3C" w14:textId="77777777" w:rsidR="00FE7DB5" w:rsidRDefault="00FE7DB5" w:rsidP="00FE7DB5">
              <w:pPr>
                <w:pStyle w:val="Bibliography"/>
                <w:ind w:left="720" w:hanging="720"/>
                <w:rPr>
                  <w:noProof/>
                  <w:lang w:val="en-US"/>
                </w:rPr>
              </w:pPr>
              <w:r>
                <w:rPr>
                  <w:noProof/>
                  <w:lang w:val="en-US"/>
                </w:rPr>
                <w:t xml:space="preserve">IOPC. (2023). </w:t>
              </w:r>
              <w:r>
                <w:rPr>
                  <w:i/>
                  <w:iCs/>
                  <w:noProof/>
                  <w:lang w:val="en-US"/>
                </w:rPr>
                <w:t>Indepenent Office for Police Conduct</w:t>
              </w:r>
              <w:r>
                <w:rPr>
                  <w:noProof/>
                  <w:lang w:val="en-US"/>
                </w:rPr>
                <w:t>. Retrieved from IOPC: https://www.policeconduct.gov.uk/</w:t>
              </w:r>
            </w:p>
            <w:p w14:paraId="21B039B4" w14:textId="77777777" w:rsidR="00FE7DB5" w:rsidRDefault="00FE7DB5" w:rsidP="00FE7DB5">
              <w:pPr>
                <w:pStyle w:val="Bibliography"/>
                <w:ind w:left="720" w:hanging="720"/>
                <w:rPr>
                  <w:noProof/>
                  <w:lang w:val="en-US"/>
                </w:rPr>
              </w:pPr>
              <w:r>
                <w:rPr>
                  <w:noProof/>
                  <w:lang w:val="en-US"/>
                </w:rPr>
                <w:t xml:space="preserve">Ipsos Mori. (2016). </w:t>
              </w:r>
              <w:r>
                <w:rPr>
                  <w:i/>
                  <w:iCs/>
                  <w:noProof/>
                  <w:lang w:val="en-US"/>
                </w:rPr>
                <w:t>Public Confidence in the police Complaints system.</w:t>
              </w:r>
              <w:r>
                <w:rPr>
                  <w:noProof/>
                  <w:lang w:val="en-US"/>
                </w:rPr>
                <w:t xml:space="preserve"> London: Ipsosn Mori.</w:t>
              </w:r>
            </w:p>
            <w:p w14:paraId="00A27E1E" w14:textId="77777777" w:rsidR="00FE7DB5" w:rsidRDefault="00FE7DB5" w:rsidP="00FE7DB5">
              <w:pPr>
                <w:pStyle w:val="Bibliography"/>
                <w:ind w:left="720" w:hanging="720"/>
                <w:rPr>
                  <w:noProof/>
                  <w:lang w:val="en-US"/>
                </w:rPr>
              </w:pPr>
              <w:r>
                <w:rPr>
                  <w:noProof/>
                  <w:lang w:val="en-US"/>
                </w:rPr>
                <w:t xml:space="preserve">Kane , R. J., &amp; White , M. D. (2009). Bad cops: A study of career ending misconduct among New York cIty police officers. </w:t>
              </w:r>
              <w:r>
                <w:rPr>
                  <w:i/>
                  <w:iCs/>
                  <w:noProof/>
                  <w:lang w:val="en-US"/>
                </w:rPr>
                <w:t>Criminology &amp; Public Policy</w:t>
              </w:r>
              <w:r>
                <w:rPr>
                  <w:noProof/>
                  <w:lang w:val="en-US"/>
                </w:rPr>
                <w:t>, 8(4) 737-769.</w:t>
              </w:r>
            </w:p>
            <w:p w14:paraId="74CD0290" w14:textId="77777777" w:rsidR="00FE7DB5" w:rsidRDefault="00FE7DB5" w:rsidP="00FE7DB5">
              <w:pPr>
                <w:pStyle w:val="Bibliography"/>
                <w:ind w:left="720" w:hanging="720"/>
                <w:rPr>
                  <w:noProof/>
                  <w:lang w:val="en-US"/>
                </w:rPr>
              </w:pPr>
              <w:r>
                <w:rPr>
                  <w:noProof/>
                  <w:lang w:val="en-US"/>
                </w:rPr>
                <w:t xml:space="preserve">Lundrigan, D. N. (2023). The National MAPPA Research: Process effectiveness report. </w:t>
              </w:r>
              <w:r>
                <w:rPr>
                  <w:i/>
                  <w:iCs/>
                  <w:noProof/>
                  <w:lang w:val="en-US"/>
                </w:rPr>
                <w:t>A.R.U</w:t>
              </w:r>
              <w:r>
                <w:rPr>
                  <w:noProof/>
                  <w:lang w:val="en-US"/>
                </w:rPr>
                <w:t>, 55-56.</w:t>
              </w:r>
            </w:p>
            <w:p w14:paraId="77E83AF5" w14:textId="77777777" w:rsidR="00FE7DB5" w:rsidRDefault="00FE7DB5" w:rsidP="00FE7DB5">
              <w:pPr>
                <w:pStyle w:val="Bibliography"/>
                <w:ind w:left="720" w:hanging="720"/>
                <w:rPr>
                  <w:noProof/>
                  <w:lang w:val="en-US"/>
                </w:rPr>
              </w:pPr>
              <w:r>
                <w:rPr>
                  <w:noProof/>
                  <w:lang w:val="en-US"/>
                </w:rPr>
                <w:t xml:space="preserve">Lundrigan, P., &amp; Mann, D. (2023). </w:t>
              </w:r>
              <w:r>
                <w:rPr>
                  <w:i/>
                  <w:iCs/>
                  <w:noProof/>
                  <w:lang w:val="en-US"/>
                </w:rPr>
                <w:t>Research Briefing: The National MAPPA Research.</w:t>
              </w:r>
              <w:r>
                <w:rPr>
                  <w:noProof/>
                  <w:lang w:val="en-US"/>
                </w:rPr>
                <w:t xml:space="preserve"> Cambridge: A.R.U.</w:t>
              </w:r>
            </w:p>
            <w:p w14:paraId="232ABCEC" w14:textId="77777777" w:rsidR="00FE7DB5" w:rsidRDefault="00FE7DB5" w:rsidP="00FE7DB5">
              <w:pPr>
                <w:pStyle w:val="Bibliography"/>
                <w:ind w:left="720" w:hanging="720"/>
                <w:rPr>
                  <w:noProof/>
                  <w:lang w:val="en-US"/>
                </w:rPr>
              </w:pPr>
              <w:r>
                <w:rPr>
                  <w:noProof/>
                  <w:lang w:val="en-US"/>
                </w:rPr>
                <w:t xml:space="preserve">Macpherson, S. W. (1999). </w:t>
              </w:r>
              <w:r>
                <w:rPr>
                  <w:i/>
                  <w:iCs/>
                  <w:noProof/>
                  <w:lang w:val="en-US"/>
                </w:rPr>
                <w:t>Stephen Lawence Inquiry .</w:t>
              </w:r>
              <w:r>
                <w:rPr>
                  <w:noProof/>
                  <w:lang w:val="en-US"/>
                </w:rPr>
                <w:t xml:space="preserve"> London: HMSO.</w:t>
              </w:r>
            </w:p>
            <w:p w14:paraId="399E5D36" w14:textId="77777777" w:rsidR="00FE7DB5" w:rsidRDefault="00FE7DB5" w:rsidP="00FE7DB5">
              <w:pPr>
                <w:pStyle w:val="Bibliography"/>
                <w:ind w:left="720" w:hanging="720"/>
                <w:rPr>
                  <w:noProof/>
                  <w:lang w:val="en-US"/>
                </w:rPr>
              </w:pPr>
              <w:r>
                <w:rPr>
                  <w:noProof/>
                  <w:lang w:val="en-US"/>
                </w:rPr>
                <w:t xml:space="preserve">Miller, J. (2010). Stop and search in England: A reformed tactic or business as usual? </w:t>
              </w:r>
              <w:r>
                <w:rPr>
                  <w:i/>
                  <w:iCs/>
                  <w:noProof/>
                  <w:lang w:val="en-US"/>
                </w:rPr>
                <w:t xml:space="preserve">The British Journal of Criminology </w:t>
              </w:r>
              <w:r>
                <w:rPr>
                  <w:noProof/>
                  <w:lang w:val="en-US"/>
                </w:rPr>
                <w:t>, 50(5), 954-974.</w:t>
              </w:r>
            </w:p>
            <w:p w14:paraId="0B6AB24B" w14:textId="77777777" w:rsidR="00FE7DB5" w:rsidRDefault="00FE7DB5" w:rsidP="00FE7DB5">
              <w:pPr>
                <w:pStyle w:val="Bibliography"/>
                <w:ind w:left="720" w:hanging="720"/>
                <w:rPr>
                  <w:noProof/>
                  <w:lang w:val="en-US"/>
                </w:rPr>
              </w:pPr>
              <w:r>
                <w:rPr>
                  <w:noProof/>
                  <w:lang w:val="en-US"/>
                </w:rPr>
                <w:t xml:space="preserve">Nacro. (2023). </w:t>
              </w:r>
              <w:r>
                <w:rPr>
                  <w:i/>
                  <w:iCs/>
                  <w:noProof/>
                  <w:lang w:val="en-US"/>
                </w:rPr>
                <w:t>Nacro</w:t>
              </w:r>
              <w:r>
                <w:rPr>
                  <w:noProof/>
                  <w:lang w:val="en-US"/>
                </w:rPr>
                <w:t>. Retrieved from Advice for people under MAPPA: https://www.nacro.org.uk/nacro-services/advice/advice-for-individuals/sex-offences-shpo-mappa/advice-for-people-under-mappa/</w:t>
              </w:r>
            </w:p>
            <w:p w14:paraId="17469A46" w14:textId="77777777" w:rsidR="00FE7DB5" w:rsidRDefault="00FE7DB5" w:rsidP="00FE7DB5">
              <w:pPr>
                <w:pStyle w:val="Bibliography"/>
                <w:ind w:left="720" w:hanging="720"/>
                <w:rPr>
                  <w:noProof/>
                  <w:lang w:val="en-US"/>
                </w:rPr>
              </w:pPr>
              <w:r>
                <w:rPr>
                  <w:noProof/>
                  <w:lang w:val="en-US"/>
                </w:rPr>
                <w:t xml:space="preserve">National Crime Agency . (2016). </w:t>
              </w:r>
              <w:r>
                <w:rPr>
                  <w:i/>
                  <w:iCs/>
                  <w:noProof/>
                  <w:lang w:val="en-US"/>
                </w:rPr>
                <w:t>County lines gang violence, exploitation and drug supply</w:t>
              </w:r>
              <w:r>
                <w:rPr>
                  <w:noProof/>
                  <w:lang w:val="en-US"/>
                </w:rPr>
                <w:t>. Retrieved from National briefing report: https://search.ebscohost.com/login.aspx?direct=true&amp;AuthType=shib&amp;db=cat04924a&amp;AN=npl.E1974&amp;site=e</w:t>
              </w:r>
            </w:p>
            <w:p w14:paraId="0A993DA9" w14:textId="77777777" w:rsidR="00FE7DB5" w:rsidRDefault="00FE7DB5" w:rsidP="00FE7DB5">
              <w:pPr>
                <w:pStyle w:val="Bibliography"/>
                <w:ind w:left="720" w:hanging="720"/>
                <w:rPr>
                  <w:noProof/>
                  <w:lang w:val="en-US"/>
                </w:rPr>
              </w:pPr>
              <w:r>
                <w:rPr>
                  <w:noProof/>
                  <w:lang w:val="en-US"/>
                </w:rPr>
                <w:t xml:space="preserve">National Crime Agency. (2016). County lines gang violence, exploitation and drug supply. </w:t>
              </w:r>
              <w:r>
                <w:rPr>
                  <w:i/>
                  <w:iCs/>
                  <w:noProof/>
                  <w:lang w:val="en-US"/>
                </w:rPr>
                <w:t>London: NCA.</w:t>
              </w:r>
              <w:r>
                <w:rPr>
                  <w:noProof/>
                  <w:lang w:val="en-US"/>
                </w:rPr>
                <w:t xml:space="preserve"> </w:t>
              </w:r>
            </w:p>
            <w:p w14:paraId="33DF21C9" w14:textId="77777777" w:rsidR="00FE7DB5" w:rsidRDefault="00FE7DB5" w:rsidP="00FE7DB5">
              <w:pPr>
                <w:pStyle w:val="Bibliography"/>
                <w:ind w:left="720" w:hanging="720"/>
                <w:rPr>
                  <w:noProof/>
                  <w:lang w:val="en-US"/>
                </w:rPr>
              </w:pPr>
              <w:r>
                <w:rPr>
                  <w:noProof/>
                  <w:lang w:val="en-US"/>
                </w:rPr>
                <w:t xml:space="preserve">National Crime Agency. (2020, September 22). </w:t>
              </w:r>
              <w:r>
                <w:rPr>
                  <w:i/>
                  <w:iCs/>
                  <w:noProof/>
                  <w:lang w:val="en-US"/>
                </w:rPr>
                <w:t>Protecting the public from serious and organised crime.</w:t>
              </w:r>
              <w:r>
                <w:rPr>
                  <w:noProof/>
                  <w:lang w:val="en-US"/>
                </w:rPr>
                <w:t xml:space="preserve"> Retrieved from National Crime Agency: https://nationalcrimeagency.gov.uk/what-we-do/crime-threats/drug-trafficking/county-lines</w:t>
              </w:r>
            </w:p>
            <w:p w14:paraId="121FE800" w14:textId="77777777" w:rsidR="00FE7DB5" w:rsidRDefault="00FE7DB5" w:rsidP="00FE7DB5">
              <w:pPr>
                <w:pStyle w:val="Bibliography"/>
                <w:ind w:left="720" w:hanging="720"/>
                <w:rPr>
                  <w:noProof/>
                  <w:lang w:val="en-US"/>
                </w:rPr>
              </w:pPr>
              <w:r>
                <w:rPr>
                  <w:noProof/>
                  <w:lang w:val="en-US"/>
                </w:rPr>
                <w:lastRenderedPageBreak/>
                <w:t xml:space="preserve">Nicholson, K. (2021, October 1). </w:t>
              </w:r>
              <w:r>
                <w:rPr>
                  <w:i/>
                  <w:iCs/>
                  <w:noProof/>
                  <w:lang w:val="en-US"/>
                </w:rPr>
                <w:t>Give me strength - People are furious with the Met's safety advice for women</w:t>
              </w:r>
              <w:r>
                <w:rPr>
                  <w:noProof/>
                  <w:lang w:val="en-US"/>
                </w:rPr>
                <w:t>. Retrieved from Huffington Post: https://www.huffingtonpost.co.uk/entry/sarah-everard-met-police-wayne-couzens-women-safety_uk_6156db15e4b0</w:t>
              </w:r>
            </w:p>
            <w:p w14:paraId="6D140284" w14:textId="77777777" w:rsidR="00FE7DB5" w:rsidRDefault="00FE7DB5" w:rsidP="00FE7DB5">
              <w:pPr>
                <w:pStyle w:val="Bibliography"/>
                <w:ind w:left="720" w:hanging="720"/>
                <w:rPr>
                  <w:noProof/>
                  <w:lang w:val="en-US"/>
                </w:rPr>
              </w:pPr>
              <w:r>
                <w:rPr>
                  <w:noProof/>
                  <w:lang w:val="en-US"/>
                </w:rPr>
                <w:t xml:space="preserve">O'Connor, M., &amp; Morton, B. (2021, October 4). </w:t>
              </w:r>
              <w:r>
                <w:rPr>
                  <w:i/>
                  <w:iCs/>
                  <w:noProof/>
                  <w:lang w:val="en-US"/>
                </w:rPr>
                <w:t>Sarah Everard: What to do if you are stopped by the police?</w:t>
              </w:r>
              <w:r>
                <w:rPr>
                  <w:noProof/>
                  <w:lang w:val="en-US"/>
                </w:rPr>
                <w:t xml:space="preserve"> Retrieved from BBC News : https://www.bbc.com/news/uk-58753857.</w:t>
              </w:r>
            </w:p>
            <w:p w14:paraId="33B17CD6" w14:textId="77777777" w:rsidR="00FE7DB5" w:rsidRDefault="00FE7DB5" w:rsidP="00FE7DB5">
              <w:pPr>
                <w:pStyle w:val="Bibliography"/>
                <w:ind w:left="720" w:hanging="720"/>
                <w:rPr>
                  <w:noProof/>
                  <w:lang w:val="en-US"/>
                </w:rPr>
              </w:pPr>
              <w:r>
                <w:rPr>
                  <w:noProof/>
                  <w:lang w:val="en-US"/>
                </w:rPr>
                <w:t xml:space="preserve">Oxford University Press. (2023). </w:t>
              </w:r>
              <w:r>
                <w:rPr>
                  <w:i/>
                  <w:iCs/>
                  <w:noProof/>
                  <w:lang w:val="en-US"/>
                </w:rPr>
                <w:t>Oxford English Dictionary.</w:t>
              </w:r>
              <w:r>
                <w:rPr>
                  <w:noProof/>
                  <w:lang w:val="en-US"/>
                </w:rPr>
                <w:t xml:space="preserve"> Oxford: Oxford University Press.</w:t>
              </w:r>
            </w:p>
            <w:p w14:paraId="3B0EF363" w14:textId="77777777" w:rsidR="00FE7DB5" w:rsidRDefault="00FE7DB5" w:rsidP="00FE7DB5">
              <w:pPr>
                <w:pStyle w:val="Bibliography"/>
                <w:ind w:left="720" w:hanging="720"/>
                <w:rPr>
                  <w:noProof/>
                  <w:lang w:val="en-US"/>
                </w:rPr>
              </w:pPr>
              <w:r>
                <w:rPr>
                  <w:noProof/>
                  <w:lang w:val="en-US"/>
                </w:rPr>
                <w:t xml:space="preserve">Quinton , P., Bland , N., &amp; Miller , J. (2000). </w:t>
              </w:r>
              <w:r>
                <w:rPr>
                  <w:i/>
                  <w:iCs/>
                  <w:noProof/>
                  <w:lang w:val="en-US"/>
                </w:rPr>
                <w:t>The impact of stops and searches on crime and the community.</w:t>
              </w:r>
              <w:r>
                <w:rPr>
                  <w:noProof/>
                  <w:lang w:val="en-US"/>
                </w:rPr>
                <w:t xml:space="preserve"> London : Home Office .</w:t>
              </w:r>
            </w:p>
            <w:p w14:paraId="479BE80B" w14:textId="77777777" w:rsidR="00FE7DB5" w:rsidRDefault="00FE7DB5" w:rsidP="00FE7DB5">
              <w:pPr>
                <w:pStyle w:val="Bibliography"/>
                <w:ind w:left="720" w:hanging="720"/>
                <w:rPr>
                  <w:noProof/>
                  <w:lang w:val="en-US"/>
                </w:rPr>
              </w:pPr>
              <w:r>
                <w:rPr>
                  <w:noProof/>
                  <w:lang w:val="en-US"/>
                </w:rPr>
                <w:t xml:space="preserve">Quinton, P. (2011). The formation of suspicions: Police stop and search practices in England and Wales. </w:t>
              </w:r>
              <w:r>
                <w:rPr>
                  <w:i/>
                  <w:iCs/>
                  <w:noProof/>
                  <w:lang w:val="en-US"/>
                </w:rPr>
                <w:t xml:space="preserve">Policing and Society </w:t>
              </w:r>
              <w:r>
                <w:rPr>
                  <w:noProof/>
                  <w:lang w:val="en-US"/>
                </w:rPr>
                <w:t>, 21(4) 357-368.</w:t>
              </w:r>
            </w:p>
            <w:p w14:paraId="4321C7FC" w14:textId="77777777" w:rsidR="00FE7DB5" w:rsidRDefault="00FE7DB5" w:rsidP="00FE7DB5">
              <w:pPr>
                <w:pStyle w:val="Bibliography"/>
                <w:ind w:left="720" w:hanging="720"/>
                <w:rPr>
                  <w:noProof/>
                  <w:lang w:val="en-US"/>
                </w:rPr>
              </w:pPr>
              <w:r>
                <w:rPr>
                  <w:noProof/>
                  <w:lang w:val="en-US"/>
                </w:rPr>
                <w:t xml:space="preserve">Reid, J. B. (2017). Human trafficking of minors and childhood adversity in Florida. . </w:t>
              </w:r>
              <w:r>
                <w:rPr>
                  <w:i/>
                  <w:iCs/>
                  <w:noProof/>
                  <w:lang w:val="en-US"/>
                </w:rPr>
                <w:t>American journal of public health</w:t>
              </w:r>
              <w:r>
                <w:rPr>
                  <w:noProof/>
                  <w:lang w:val="en-US"/>
                </w:rPr>
                <w:t>, 107(2), pp.306-311.</w:t>
              </w:r>
            </w:p>
            <w:p w14:paraId="0201EE29" w14:textId="77777777" w:rsidR="00FE7DB5" w:rsidRDefault="00FE7DB5" w:rsidP="00FE7DB5">
              <w:pPr>
                <w:pStyle w:val="Bibliography"/>
                <w:ind w:left="720" w:hanging="720"/>
                <w:rPr>
                  <w:noProof/>
                  <w:lang w:val="en-US"/>
                </w:rPr>
              </w:pPr>
              <w:r>
                <w:rPr>
                  <w:noProof/>
                  <w:lang w:val="en-US"/>
                </w:rPr>
                <w:t xml:space="preserve">Rowe, M. (2020). Challenges of democracy and accountability. </w:t>
              </w:r>
              <w:r>
                <w:rPr>
                  <w:i/>
                  <w:iCs/>
                  <w:noProof/>
                  <w:lang w:val="en-US"/>
                </w:rPr>
                <w:t>Policing the Police</w:t>
              </w:r>
              <w:r>
                <w:rPr>
                  <w:noProof/>
                  <w:lang w:val="en-US"/>
                </w:rPr>
                <w:t>, 52-53.</w:t>
              </w:r>
            </w:p>
            <w:p w14:paraId="1F1A45AE" w14:textId="77777777" w:rsidR="00FE7DB5" w:rsidRDefault="00FE7DB5" w:rsidP="00FE7DB5">
              <w:pPr>
                <w:pStyle w:val="Bibliography"/>
                <w:ind w:left="720" w:hanging="720"/>
                <w:rPr>
                  <w:noProof/>
                  <w:lang w:val="en-US"/>
                </w:rPr>
              </w:pPr>
              <w:r>
                <w:rPr>
                  <w:noProof/>
                  <w:lang w:val="en-US"/>
                </w:rPr>
                <w:t xml:space="preserve">Rowe, M., Westmarland , L., &amp; Hougham, C. (2016). Getting behind the blue curtain. </w:t>
              </w:r>
              <w:r>
                <w:rPr>
                  <w:i/>
                  <w:iCs/>
                  <w:noProof/>
                  <w:lang w:val="en-US"/>
                </w:rPr>
                <w:t>Managing police integrity in accountability of policing</w:t>
              </w:r>
              <w:r>
                <w:rPr>
                  <w:noProof/>
                  <w:lang w:val="en-US"/>
                </w:rPr>
                <w:t>, 69-85.</w:t>
              </w:r>
            </w:p>
            <w:p w14:paraId="4DEFF330" w14:textId="77777777" w:rsidR="00FE7DB5" w:rsidRDefault="00FE7DB5" w:rsidP="00FE7DB5">
              <w:pPr>
                <w:pStyle w:val="Bibliography"/>
                <w:ind w:left="720" w:hanging="720"/>
                <w:rPr>
                  <w:noProof/>
                  <w:lang w:val="en-US"/>
                </w:rPr>
              </w:pPr>
              <w:r>
                <w:rPr>
                  <w:noProof/>
                  <w:lang w:val="en-US"/>
                </w:rPr>
                <w:t xml:space="preserve">Scarman. (1981). </w:t>
              </w:r>
              <w:r>
                <w:rPr>
                  <w:i/>
                  <w:iCs/>
                  <w:noProof/>
                  <w:lang w:val="en-US"/>
                </w:rPr>
                <w:t>The Brixton Disorders.</w:t>
              </w:r>
              <w:r>
                <w:rPr>
                  <w:noProof/>
                  <w:lang w:val="en-US"/>
                </w:rPr>
                <w:t xml:space="preserve"> London: HMSO.</w:t>
              </w:r>
            </w:p>
            <w:p w14:paraId="09515427" w14:textId="77777777" w:rsidR="00FE7DB5" w:rsidRDefault="00FE7DB5" w:rsidP="00FE7DB5">
              <w:pPr>
                <w:pStyle w:val="Bibliography"/>
                <w:ind w:left="720" w:hanging="720"/>
                <w:rPr>
                  <w:noProof/>
                  <w:lang w:val="en-US"/>
                </w:rPr>
              </w:pPr>
              <w:r>
                <w:rPr>
                  <w:noProof/>
                  <w:lang w:val="en-US"/>
                </w:rPr>
                <w:t xml:space="preserve">Shiner, M., &amp; Delsol, R. (2015). The politics of the powers. </w:t>
              </w:r>
              <w:r>
                <w:rPr>
                  <w:i/>
                  <w:iCs/>
                  <w:noProof/>
                  <w:lang w:val="en-US"/>
                </w:rPr>
                <w:t xml:space="preserve">Stop and search: The anotomy of police power </w:t>
              </w:r>
              <w:r>
                <w:rPr>
                  <w:noProof/>
                  <w:lang w:val="en-US"/>
                </w:rPr>
                <w:t>, 31-56.</w:t>
              </w:r>
            </w:p>
            <w:p w14:paraId="10161C3C" w14:textId="77777777" w:rsidR="00FE7DB5" w:rsidRDefault="00FE7DB5" w:rsidP="00FE7DB5">
              <w:pPr>
                <w:pStyle w:val="Bibliography"/>
                <w:ind w:left="720" w:hanging="720"/>
                <w:rPr>
                  <w:noProof/>
                  <w:lang w:val="en-US"/>
                </w:rPr>
              </w:pPr>
              <w:r>
                <w:rPr>
                  <w:noProof/>
                  <w:lang w:val="en-US"/>
                </w:rPr>
                <w:t xml:space="preserve">Storrod, M. a. (2017). ‘Going viral’and ‘Going country’: the expressive and instrumental activities of street gangs on social media. . </w:t>
              </w:r>
              <w:r>
                <w:rPr>
                  <w:i/>
                  <w:iCs/>
                  <w:noProof/>
                  <w:lang w:val="en-US"/>
                </w:rPr>
                <w:t>Journal of youth studies.</w:t>
              </w:r>
              <w:r>
                <w:rPr>
                  <w:noProof/>
                  <w:lang w:val="en-US"/>
                </w:rPr>
                <w:t>, 20(6), pp.677-696.</w:t>
              </w:r>
            </w:p>
            <w:p w14:paraId="3B45E8E3" w14:textId="77777777" w:rsidR="00FE7DB5" w:rsidRDefault="00FE7DB5" w:rsidP="00FE7DB5">
              <w:pPr>
                <w:pStyle w:val="Bibliography"/>
                <w:ind w:left="720" w:hanging="720"/>
                <w:rPr>
                  <w:noProof/>
                  <w:lang w:val="en-US"/>
                </w:rPr>
              </w:pPr>
              <w:r>
                <w:rPr>
                  <w:noProof/>
                  <w:lang w:val="en-US"/>
                </w:rPr>
                <w:t xml:space="preserve">Willis, C. (1983). </w:t>
              </w:r>
              <w:r>
                <w:rPr>
                  <w:i/>
                  <w:iCs/>
                  <w:noProof/>
                  <w:lang w:val="en-US"/>
                </w:rPr>
                <w:t>The Use, Effectiveness and Impact of Police Stop and Search Powers.</w:t>
              </w:r>
              <w:r>
                <w:rPr>
                  <w:noProof/>
                  <w:lang w:val="en-US"/>
                </w:rPr>
                <w:t xml:space="preserve"> London: Home Office.</w:t>
              </w:r>
            </w:p>
            <w:p w14:paraId="0404240F" w14:textId="77777777" w:rsidR="00FE7DB5" w:rsidRDefault="00FE7DB5" w:rsidP="00FE7DB5">
              <w:pPr>
                <w:pStyle w:val="Bibliography"/>
                <w:ind w:left="720" w:hanging="720"/>
                <w:rPr>
                  <w:noProof/>
                  <w:lang w:val="en-US"/>
                </w:rPr>
              </w:pPr>
              <w:r>
                <w:rPr>
                  <w:noProof/>
                  <w:lang w:val="en-US"/>
                </w:rPr>
                <w:t xml:space="preserve">Windle, J. a. (2015). Going solo: the social organisation of drug dealing within a London street gang. . </w:t>
              </w:r>
              <w:r>
                <w:rPr>
                  <w:i/>
                  <w:iCs/>
                  <w:noProof/>
                  <w:lang w:val="en-US"/>
                </w:rPr>
                <w:t>Journal of youth studies</w:t>
              </w:r>
              <w:r>
                <w:rPr>
                  <w:noProof/>
                  <w:lang w:val="en-US"/>
                </w:rPr>
                <w:t>, 18(9), pp.1170-1185.</w:t>
              </w:r>
            </w:p>
            <w:p w14:paraId="2DE813E4" w14:textId="77777777" w:rsidR="00FE7DB5" w:rsidRDefault="00FE7DB5" w:rsidP="00FE7DB5">
              <w:pPr>
                <w:pStyle w:val="Bibliography"/>
                <w:ind w:left="720" w:hanging="720"/>
                <w:rPr>
                  <w:noProof/>
                  <w:lang w:val="en-US"/>
                </w:rPr>
              </w:pPr>
              <w:r>
                <w:rPr>
                  <w:noProof/>
                  <w:lang w:val="en-US"/>
                </w:rPr>
                <w:t xml:space="preserve">Wood , J. (2012). Level 3 Offenders: Reconviction as a measure of effectiveness. </w:t>
              </w:r>
              <w:r>
                <w:rPr>
                  <w:i/>
                  <w:iCs/>
                  <w:noProof/>
                  <w:lang w:val="en-US"/>
                </w:rPr>
                <w:t>Probation Journal</w:t>
              </w:r>
              <w:r>
                <w:rPr>
                  <w:noProof/>
                  <w:lang w:val="en-US"/>
                </w:rPr>
                <w:t>, 59(2) 111-123.</w:t>
              </w:r>
            </w:p>
            <w:p w14:paraId="7AEC70E0" w14:textId="77F41C16" w:rsidR="00D5726D" w:rsidRDefault="00D5726D" w:rsidP="00FE7DB5">
              <w:r>
                <w:rPr>
                  <w:b/>
                  <w:bCs/>
                  <w:noProof/>
                </w:rPr>
                <w:fldChar w:fldCharType="end"/>
              </w:r>
            </w:p>
          </w:sdtContent>
        </w:sdt>
      </w:sdtContent>
    </w:sdt>
    <w:p w14:paraId="21DDF386" w14:textId="77777777" w:rsidR="00D5726D" w:rsidRDefault="00D5726D" w:rsidP="00D5726D"/>
    <w:sectPr w:rsidR="00D57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26D"/>
    <w:rsid w:val="003D3D3B"/>
    <w:rsid w:val="00575CB2"/>
    <w:rsid w:val="009078F8"/>
    <w:rsid w:val="00A555EB"/>
    <w:rsid w:val="00D5726D"/>
    <w:rsid w:val="00FE7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D912"/>
  <w15:chartTrackingRefBased/>
  <w15:docId w15:val="{7470A838-51FA-40F3-A440-80377A75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26D"/>
    <w:rPr>
      <w:kern w:val="0"/>
      <w14:ligatures w14:val="none"/>
    </w:rPr>
  </w:style>
  <w:style w:type="paragraph" w:styleId="Heading1">
    <w:name w:val="heading 1"/>
    <w:basedOn w:val="Normal"/>
    <w:next w:val="Normal"/>
    <w:link w:val="Heading1Char"/>
    <w:uiPriority w:val="9"/>
    <w:qFormat/>
    <w:rsid w:val="00D572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726D"/>
    <w:pPr>
      <w:spacing w:before="100" w:beforeAutospacing="1" w:after="100" w:afterAutospacing="1" w:line="240" w:lineRule="auto"/>
    </w:pPr>
    <w:rPr>
      <w:rFonts w:ascii="Calibri" w:hAnsi="Calibri" w:cs="Calibri"/>
      <w:lang w:eastAsia="en-GB"/>
    </w:rPr>
  </w:style>
  <w:style w:type="character" w:customStyle="1" w:styleId="Heading1Char">
    <w:name w:val="Heading 1 Char"/>
    <w:basedOn w:val="DefaultParagraphFont"/>
    <w:link w:val="Heading1"/>
    <w:uiPriority w:val="9"/>
    <w:rsid w:val="00D5726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57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1726">
      <w:bodyDiv w:val="1"/>
      <w:marLeft w:val="0"/>
      <w:marRight w:val="0"/>
      <w:marTop w:val="0"/>
      <w:marBottom w:val="0"/>
      <w:divBdr>
        <w:top w:val="none" w:sz="0" w:space="0" w:color="auto"/>
        <w:left w:val="none" w:sz="0" w:space="0" w:color="auto"/>
        <w:bottom w:val="none" w:sz="0" w:space="0" w:color="auto"/>
        <w:right w:val="none" w:sz="0" w:space="0" w:color="auto"/>
      </w:divBdr>
    </w:div>
    <w:div w:id="4939910">
      <w:bodyDiv w:val="1"/>
      <w:marLeft w:val="0"/>
      <w:marRight w:val="0"/>
      <w:marTop w:val="0"/>
      <w:marBottom w:val="0"/>
      <w:divBdr>
        <w:top w:val="none" w:sz="0" w:space="0" w:color="auto"/>
        <w:left w:val="none" w:sz="0" w:space="0" w:color="auto"/>
        <w:bottom w:val="none" w:sz="0" w:space="0" w:color="auto"/>
        <w:right w:val="none" w:sz="0" w:space="0" w:color="auto"/>
      </w:divBdr>
    </w:div>
    <w:div w:id="45296615">
      <w:bodyDiv w:val="1"/>
      <w:marLeft w:val="0"/>
      <w:marRight w:val="0"/>
      <w:marTop w:val="0"/>
      <w:marBottom w:val="0"/>
      <w:divBdr>
        <w:top w:val="none" w:sz="0" w:space="0" w:color="auto"/>
        <w:left w:val="none" w:sz="0" w:space="0" w:color="auto"/>
        <w:bottom w:val="none" w:sz="0" w:space="0" w:color="auto"/>
        <w:right w:val="none" w:sz="0" w:space="0" w:color="auto"/>
      </w:divBdr>
    </w:div>
    <w:div w:id="84347500">
      <w:bodyDiv w:val="1"/>
      <w:marLeft w:val="0"/>
      <w:marRight w:val="0"/>
      <w:marTop w:val="0"/>
      <w:marBottom w:val="0"/>
      <w:divBdr>
        <w:top w:val="none" w:sz="0" w:space="0" w:color="auto"/>
        <w:left w:val="none" w:sz="0" w:space="0" w:color="auto"/>
        <w:bottom w:val="none" w:sz="0" w:space="0" w:color="auto"/>
        <w:right w:val="none" w:sz="0" w:space="0" w:color="auto"/>
      </w:divBdr>
    </w:div>
    <w:div w:id="112094729">
      <w:bodyDiv w:val="1"/>
      <w:marLeft w:val="0"/>
      <w:marRight w:val="0"/>
      <w:marTop w:val="0"/>
      <w:marBottom w:val="0"/>
      <w:divBdr>
        <w:top w:val="none" w:sz="0" w:space="0" w:color="auto"/>
        <w:left w:val="none" w:sz="0" w:space="0" w:color="auto"/>
        <w:bottom w:val="none" w:sz="0" w:space="0" w:color="auto"/>
        <w:right w:val="none" w:sz="0" w:space="0" w:color="auto"/>
      </w:divBdr>
    </w:div>
    <w:div w:id="155995537">
      <w:bodyDiv w:val="1"/>
      <w:marLeft w:val="0"/>
      <w:marRight w:val="0"/>
      <w:marTop w:val="0"/>
      <w:marBottom w:val="0"/>
      <w:divBdr>
        <w:top w:val="none" w:sz="0" w:space="0" w:color="auto"/>
        <w:left w:val="none" w:sz="0" w:space="0" w:color="auto"/>
        <w:bottom w:val="none" w:sz="0" w:space="0" w:color="auto"/>
        <w:right w:val="none" w:sz="0" w:space="0" w:color="auto"/>
      </w:divBdr>
    </w:div>
    <w:div w:id="168981714">
      <w:bodyDiv w:val="1"/>
      <w:marLeft w:val="0"/>
      <w:marRight w:val="0"/>
      <w:marTop w:val="0"/>
      <w:marBottom w:val="0"/>
      <w:divBdr>
        <w:top w:val="none" w:sz="0" w:space="0" w:color="auto"/>
        <w:left w:val="none" w:sz="0" w:space="0" w:color="auto"/>
        <w:bottom w:val="none" w:sz="0" w:space="0" w:color="auto"/>
        <w:right w:val="none" w:sz="0" w:space="0" w:color="auto"/>
      </w:divBdr>
    </w:div>
    <w:div w:id="177081791">
      <w:bodyDiv w:val="1"/>
      <w:marLeft w:val="0"/>
      <w:marRight w:val="0"/>
      <w:marTop w:val="0"/>
      <w:marBottom w:val="0"/>
      <w:divBdr>
        <w:top w:val="none" w:sz="0" w:space="0" w:color="auto"/>
        <w:left w:val="none" w:sz="0" w:space="0" w:color="auto"/>
        <w:bottom w:val="none" w:sz="0" w:space="0" w:color="auto"/>
        <w:right w:val="none" w:sz="0" w:space="0" w:color="auto"/>
      </w:divBdr>
    </w:div>
    <w:div w:id="191113226">
      <w:bodyDiv w:val="1"/>
      <w:marLeft w:val="0"/>
      <w:marRight w:val="0"/>
      <w:marTop w:val="0"/>
      <w:marBottom w:val="0"/>
      <w:divBdr>
        <w:top w:val="none" w:sz="0" w:space="0" w:color="auto"/>
        <w:left w:val="none" w:sz="0" w:space="0" w:color="auto"/>
        <w:bottom w:val="none" w:sz="0" w:space="0" w:color="auto"/>
        <w:right w:val="none" w:sz="0" w:space="0" w:color="auto"/>
      </w:divBdr>
    </w:div>
    <w:div w:id="198247699">
      <w:bodyDiv w:val="1"/>
      <w:marLeft w:val="0"/>
      <w:marRight w:val="0"/>
      <w:marTop w:val="0"/>
      <w:marBottom w:val="0"/>
      <w:divBdr>
        <w:top w:val="none" w:sz="0" w:space="0" w:color="auto"/>
        <w:left w:val="none" w:sz="0" w:space="0" w:color="auto"/>
        <w:bottom w:val="none" w:sz="0" w:space="0" w:color="auto"/>
        <w:right w:val="none" w:sz="0" w:space="0" w:color="auto"/>
      </w:divBdr>
    </w:div>
    <w:div w:id="209339282">
      <w:bodyDiv w:val="1"/>
      <w:marLeft w:val="0"/>
      <w:marRight w:val="0"/>
      <w:marTop w:val="0"/>
      <w:marBottom w:val="0"/>
      <w:divBdr>
        <w:top w:val="none" w:sz="0" w:space="0" w:color="auto"/>
        <w:left w:val="none" w:sz="0" w:space="0" w:color="auto"/>
        <w:bottom w:val="none" w:sz="0" w:space="0" w:color="auto"/>
        <w:right w:val="none" w:sz="0" w:space="0" w:color="auto"/>
      </w:divBdr>
    </w:div>
    <w:div w:id="224877073">
      <w:bodyDiv w:val="1"/>
      <w:marLeft w:val="0"/>
      <w:marRight w:val="0"/>
      <w:marTop w:val="0"/>
      <w:marBottom w:val="0"/>
      <w:divBdr>
        <w:top w:val="none" w:sz="0" w:space="0" w:color="auto"/>
        <w:left w:val="none" w:sz="0" w:space="0" w:color="auto"/>
        <w:bottom w:val="none" w:sz="0" w:space="0" w:color="auto"/>
        <w:right w:val="none" w:sz="0" w:space="0" w:color="auto"/>
      </w:divBdr>
    </w:div>
    <w:div w:id="227033034">
      <w:bodyDiv w:val="1"/>
      <w:marLeft w:val="0"/>
      <w:marRight w:val="0"/>
      <w:marTop w:val="0"/>
      <w:marBottom w:val="0"/>
      <w:divBdr>
        <w:top w:val="none" w:sz="0" w:space="0" w:color="auto"/>
        <w:left w:val="none" w:sz="0" w:space="0" w:color="auto"/>
        <w:bottom w:val="none" w:sz="0" w:space="0" w:color="auto"/>
        <w:right w:val="none" w:sz="0" w:space="0" w:color="auto"/>
      </w:divBdr>
    </w:div>
    <w:div w:id="241909424">
      <w:bodyDiv w:val="1"/>
      <w:marLeft w:val="0"/>
      <w:marRight w:val="0"/>
      <w:marTop w:val="0"/>
      <w:marBottom w:val="0"/>
      <w:divBdr>
        <w:top w:val="none" w:sz="0" w:space="0" w:color="auto"/>
        <w:left w:val="none" w:sz="0" w:space="0" w:color="auto"/>
        <w:bottom w:val="none" w:sz="0" w:space="0" w:color="auto"/>
        <w:right w:val="none" w:sz="0" w:space="0" w:color="auto"/>
      </w:divBdr>
    </w:div>
    <w:div w:id="289551967">
      <w:bodyDiv w:val="1"/>
      <w:marLeft w:val="0"/>
      <w:marRight w:val="0"/>
      <w:marTop w:val="0"/>
      <w:marBottom w:val="0"/>
      <w:divBdr>
        <w:top w:val="none" w:sz="0" w:space="0" w:color="auto"/>
        <w:left w:val="none" w:sz="0" w:space="0" w:color="auto"/>
        <w:bottom w:val="none" w:sz="0" w:space="0" w:color="auto"/>
        <w:right w:val="none" w:sz="0" w:space="0" w:color="auto"/>
      </w:divBdr>
    </w:div>
    <w:div w:id="292638690">
      <w:bodyDiv w:val="1"/>
      <w:marLeft w:val="0"/>
      <w:marRight w:val="0"/>
      <w:marTop w:val="0"/>
      <w:marBottom w:val="0"/>
      <w:divBdr>
        <w:top w:val="none" w:sz="0" w:space="0" w:color="auto"/>
        <w:left w:val="none" w:sz="0" w:space="0" w:color="auto"/>
        <w:bottom w:val="none" w:sz="0" w:space="0" w:color="auto"/>
        <w:right w:val="none" w:sz="0" w:space="0" w:color="auto"/>
      </w:divBdr>
    </w:div>
    <w:div w:id="310059219">
      <w:bodyDiv w:val="1"/>
      <w:marLeft w:val="0"/>
      <w:marRight w:val="0"/>
      <w:marTop w:val="0"/>
      <w:marBottom w:val="0"/>
      <w:divBdr>
        <w:top w:val="none" w:sz="0" w:space="0" w:color="auto"/>
        <w:left w:val="none" w:sz="0" w:space="0" w:color="auto"/>
        <w:bottom w:val="none" w:sz="0" w:space="0" w:color="auto"/>
        <w:right w:val="none" w:sz="0" w:space="0" w:color="auto"/>
      </w:divBdr>
    </w:div>
    <w:div w:id="312489806">
      <w:bodyDiv w:val="1"/>
      <w:marLeft w:val="0"/>
      <w:marRight w:val="0"/>
      <w:marTop w:val="0"/>
      <w:marBottom w:val="0"/>
      <w:divBdr>
        <w:top w:val="none" w:sz="0" w:space="0" w:color="auto"/>
        <w:left w:val="none" w:sz="0" w:space="0" w:color="auto"/>
        <w:bottom w:val="none" w:sz="0" w:space="0" w:color="auto"/>
        <w:right w:val="none" w:sz="0" w:space="0" w:color="auto"/>
      </w:divBdr>
    </w:div>
    <w:div w:id="323555834">
      <w:bodyDiv w:val="1"/>
      <w:marLeft w:val="0"/>
      <w:marRight w:val="0"/>
      <w:marTop w:val="0"/>
      <w:marBottom w:val="0"/>
      <w:divBdr>
        <w:top w:val="none" w:sz="0" w:space="0" w:color="auto"/>
        <w:left w:val="none" w:sz="0" w:space="0" w:color="auto"/>
        <w:bottom w:val="none" w:sz="0" w:space="0" w:color="auto"/>
        <w:right w:val="none" w:sz="0" w:space="0" w:color="auto"/>
      </w:divBdr>
    </w:div>
    <w:div w:id="346638395">
      <w:bodyDiv w:val="1"/>
      <w:marLeft w:val="0"/>
      <w:marRight w:val="0"/>
      <w:marTop w:val="0"/>
      <w:marBottom w:val="0"/>
      <w:divBdr>
        <w:top w:val="none" w:sz="0" w:space="0" w:color="auto"/>
        <w:left w:val="none" w:sz="0" w:space="0" w:color="auto"/>
        <w:bottom w:val="none" w:sz="0" w:space="0" w:color="auto"/>
        <w:right w:val="none" w:sz="0" w:space="0" w:color="auto"/>
      </w:divBdr>
    </w:div>
    <w:div w:id="357312641">
      <w:bodyDiv w:val="1"/>
      <w:marLeft w:val="0"/>
      <w:marRight w:val="0"/>
      <w:marTop w:val="0"/>
      <w:marBottom w:val="0"/>
      <w:divBdr>
        <w:top w:val="none" w:sz="0" w:space="0" w:color="auto"/>
        <w:left w:val="none" w:sz="0" w:space="0" w:color="auto"/>
        <w:bottom w:val="none" w:sz="0" w:space="0" w:color="auto"/>
        <w:right w:val="none" w:sz="0" w:space="0" w:color="auto"/>
      </w:divBdr>
    </w:div>
    <w:div w:id="362825186">
      <w:bodyDiv w:val="1"/>
      <w:marLeft w:val="0"/>
      <w:marRight w:val="0"/>
      <w:marTop w:val="0"/>
      <w:marBottom w:val="0"/>
      <w:divBdr>
        <w:top w:val="none" w:sz="0" w:space="0" w:color="auto"/>
        <w:left w:val="none" w:sz="0" w:space="0" w:color="auto"/>
        <w:bottom w:val="none" w:sz="0" w:space="0" w:color="auto"/>
        <w:right w:val="none" w:sz="0" w:space="0" w:color="auto"/>
      </w:divBdr>
    </w:div>
    <w:div w:id="376317833">
      <w:bodyDiv w:val="1"/>
      <w:marLeft w:val="0"/>
      <w:marRight w:val="0"/>
      <w:marTop w:val="0"/>
      <w:marBottom w:val="0"/>
      <w:divBdr>
        <w:top w:val="none" w:sz="0" w:space="0" w:color="auto"/>
        <w:left w:val="none" w:sz="0" w:space="0" w:color="auto"/>
        <w:bottom w:val="none" w:sz="0" w:space="0" w:color="auto"/>
        <w:right w:val="none" w:sz="0" w:space="0" w:color="auto"/>
      </w:divBdr>
    </w:div>
    <w:div w:id="387073956">
      <w:bodyDiv w:val="1"/>
      <w:marLeft w:val="0"/>
      <w:marRight w:val="0"/>
      <w:marTop w:val="0"/>
      <w:marBottom w:val="0"/>
      <w:divBdr>
        <w:top w:val="none" w:sz="0" w:space="0" w:color="auto"/>
        <w:left w:val="none" w:sz="0" w:space="0" w:color="auto"/>
        <w:bottom w:val="none" w:sz="0" w:space="0" w:color="auto"/>
        <w:right w:val="none" w:sz="0" w:space="0" w:color="auto"/>
      </w:divBdr>
    </w:div>
    <w:div w:id="407919602">
      <w:bodyDiv w:val="1"/>
      <w:marLeft w:val="0"/>
      <w:marRight w:val="0"/>
      <w:marTop w:val="0"/>
      <w:marBottom w:val="0"/>
      <w:divBdr>
        <w:top w:val="none" w:sz="0" w:space="0" w:color="auto"/>
        <w:left w:val="none" w:sz="0" w:space="0" w:color="auto"/>
        <w:bottom w:val="none" w:sz="0" w:space="0" w:color="auto"/>
        <w:right w:val="none" w:sz="0" w:space="0" w:color="auto"/>
      </w:divBdr>
    </w:div>
    <w:div w:id="415901137">
      <w:bodyDiv w:val="1"/>
      <w:marLeft w:val="0"/>
      <w:marRight w:val="0"/>
      <w:marTop w:val="0"/>
      <w:marBottom w:val="0"/>
      <w:divBdr>
        <w:top w:val="none" w:sz="0" w:space="0" w:color="auto"/>
        <w:left w:val="none" w:sz="0" w:space="0" w:color="auto"/>
        <w:bottom w:val="none" w:sz="0" w:space="0" w:color="auto"/>
        <w:right w:val="none" w:sz="0" w:space="0" w:color="auto"/>
      </w:divBdr>
    </w:div>
    <w:div w:id="419521613">
      <w:bodyDiv w:val="1"/>
      <w:marLeft w:val="0"/>
      <w:marRight w:val="0"/>
      <w:marTop w:val="0"/>
      <w:marBottom w:val="0"/>
      <w:divBdr>
        <w:top w:val="none" w:sz="0" w:space="0" w:color="auto"/>
        <w:left w:val="none" w:sz="0" w:space="0" w:color="auto"/>
        <w:bottom w:val="none" w:sz="0" w:space="0" w:color="auto"/>
        <w:right w:val="none" w:sz="0" w:space="0" w:color="auto"/>
      </w:divBdr>
    </w:div>
    <w:div w:id="423692534">
      <w:bodyDiv w:val="1"/>
      <w:marLeft w:val="0"/>
      <w:marRight w:val="0"/>
      <w:marTop w:val="0"/>
      <w:marBottom w:val="0"/>
      <w:divBdr>
        <w:top w:val="none" w:sz="0" w:space="0" w:color="auto"/>
        <w:left w:val="none" w:sz="0" w:space="0" w:color="auto"/>
        <w:bottom w:val="none" w:sz="0" w:space="0" w:color="auto"/>
        <w:right w:val="none" w:sz="0" w:space="0" w:color="auto"/>
      </w:divBdr>
    </w:div>
    <w:div w:id="425544866">
      <w:bodyDiv w:val="1"/>
      <w:marLeft w:val="0"/>
      <w:marRight w:val="0"/>
      <w:marTop w:val="0"/>
      <w:marBottom w:val="0"/>
      <w:divBdr>
        <w:top w:val="none" w:sz="0" w:space="0" w:color="auto"/>
        <w:left w:val="none" w:sz="0" w:space="0" w:color="auto"/>
        <w:bottom w:val="none" w:sz="0" w:space="0" w:color="auto"/>
        <w:right w:val="none" w:sz="0" w:space="0" w:color="auto"/>
      </w:divBdr>
    </w:div>
    <w:div w:id="440994833">
      <w:bodyDiv w:val="1"/>
      <w:marLeft w:val="0"/>
      <w:marRight w:val="0"/>
      <w:marTop w:val="0"/>
      <w:marBottom w:val="0"/>
      <w:divBdr>
        <w:top w:val="none" w:sz="0" w:space="0" w:color="auto"/>
        <w:left w:val="none" w:sz="0" w:space="0" w:color="auto"/>
        <w:bottom w:val="none" w:sz="0" w:space="0" w:color="auto"/>
        <w:right w:val="none" w:sz="0" w:space="0" w:color="auto"/>
      </w:divBdr>
    </w:div>
    <w:div w:id="446895307">
      <w:bodyDiv w:val="1"/>
      <w:marLeft w:val="0"/>
      <w:marRight w:val="0"/>
      <w:marTop w:val="0"/>
      <w:marBottom w:val="0"/>
      <w:divBdr>
        <w:top w:val="none" w:sz="0" w:space="0" w:color="auto"/>
        <w:left w:val="none" w:sz="0" w:space="0" w:color="auto"/>
        <w:bottom w:val="none" w:sz="0" w:space="0" w:color="auto"/>
        <w:right w:val="none" w:sz="0" w:space="0" w:color="auto"/>
      </w:divBdr>
    </w:div>
    <w:div w:id="467095737">
      <w:bodyDiv w:val="1"/>
      <w:marLeft w:val="0"/>
      <w:marRight w:val="0"/>
      <w:marTop w:val="0"/>
      <w:marBottom w:val="0"/>
      <w:divBdr>
        <w:top w:val="none" w:sz="0" w:space="0" w:color="auto"/>
        <w:left w:val="none" w:sz="0" w:space="0" w:color="auto"/>
        <w:bottom w:val="none" w:sz="0" w:space="0" w:color="auto"/>
        <w:right w:val="none" w:sz="0" w:space="0" w:color="auto"/>
      </w:divBdr>
    </w:div>
    <w:div w:id="474102928">
      <w:bodyDiv w:val="1"/>
      <w:marLeft w:val="0"/>
      <w:marRight w:val="0"/>
      <w:marTop w:val="0"/>
      <w:marBottom w:val="0"/>
      <w:divBdr>
        <w:top w:val="none" w:sz="0" w:space="0" w:color="auto"/>
        <w:left w:val="none" w:sz="0" w:space="0" w:color="auto"/>
        <w:bottom w:val="none" w:sz="0" w:space="0" w:color="auto"/>
        <w:right w:val="none" w:sz="0" w:space="0" w:color="auto"/>
      </w:divBdr>
    </w:div>
    <w:div w:id="492523637">
      <w:bodyDiv w:val="1"/>
      <w:marLeft w:val="0"/>
      <w:marRight w:val="0"/>
      <w:marTop w:val="0"/>
      <w:marBottom w:val="0"/>
      <w:divBdr>
        <w:top w:val="none" w:sz="0" w:space="0" w:color="auto"/>
        <w:left w:val="none" w:sz="0" w:space="0" w:color="auto"/>
        <w:bottom w:val="none" w:sz="0" w:space="0" w:color="auto"/>
        <w:right w:val="none" w:sz="0" w:space="0" w:color="auto"/>
      </w:divBdr>
    </w:div>
    <w:div w:id="513106160">
      <w:bodyDiv w:val="1"/>
      <w:marLeft w:val="0"/>
      <w:marRight w:val="0"/>
      <w:marTop w:val="0"/>
      <w:marBottom w:val="0"/>
      <w:divBdr>
        <w:top w:val="none" w:sz="0" w:space="0" w:color="auto"/>
        <w:left w:val="none" w:sz="0" w:space="0" w:color="auto"/>
        <w:bottom w:val="none" w:sz="0" w:space="0" w:color="auto"/>
        <w:right w:val="none" w:sz="0" w:space="0" w:color="auto"/>
      </w:divBdr>
    </w:div>
    <w:div w:id="536820571">
      <w:bodyDiv w:val="1"/>
      <w:marLeft w:val="0"/>
      <w:marRight w:val="0"/>
      <w:marTop w:val="0"/>
      <w:marBottom w:val="0"/>
      <w:divBdr>
        <w:top w:val="none" w:sz="0" w:space="0" w:color="auto"/>
        <w:left w:val="none" w:sz="0" w:space="0" w:color="auto"/>
        <w:bottom w:val="none" w:sz="0" w:space="0" w:color="auto"/>
        <w:right w:val="none" w:sz="0" w:space="0" w:color="auto"/>
      </w:divBdr>
    </w:div>
    <w:div w:id="541018705">
      <w:bodyDiv w:val="1"/>
      <w:marLeft w:val="0"/>
      <w:marRight w:val="0"/>
      <w:marTop w:val="0"/>
      <w:marBottom w:val="0"/>
      <w:divBdr>
        <w:top w:val="none" w:sz="0" w:space="0" w:color="auto"/>
        <w:left w:val="none" w:sz="0" w:space="0" w:color="auto"/>
        <w:bottom w:val="none" w:sz="0" w:space="0" w:color="auto"/>
        <w:right w:val="none" w:sz="0" w:space="0" w:color="auto"/>
      </w:divBdr>
    </w:div>
    <w:div w:id="547498731">
      <w:bodyDiv w:val="1"/>
      <w:marLeft w:val="0"/>
      <w:marRight w:val="0"/>
      <w:marTop w:val="0"/>
      <w:marBottom w:val="0"/>
      <w:divBdr>
        <w:top w:val="none" w:sz="0" w:space="0" w:color="auto"/>
        <w:left w:val="none" w:sz="0" w:space="0" w:color="auto"/>
        <w:bottom w:val="none" w:sz="0" w:space="0" w:color="auto"/>
        <w:right w:val="none" w:sz="0" w:space="0" w:color="auto"/>
      </w:divBdr>
    </w:div>
    <w:div w:id="548761418">
      <w:bodyDiv w:val="1"/>
      <w:marLeft w:val="0"/>
      <w:marRight w:val="0"/>
      <w:marTop w:val="0"/>
      <w:marBottom w:val="0"/>
      <w:divBdr>
        <w:top w:val="none" w:sz="0" w:space="0" w:color="auto"/>
        <w:left w:val="none" w:sz="0" w:space="0" w:color="auto"/>
        <w:bottom w:val="none" w:sz="0" w:space="0" w:color="auto"/>
        <w:right w:val="none" w:sz="0" w:space="0" w:color="auto"/>
      </w:divBdr>
    </w:div>
    <w:div w:id="559175802">
      <w:bodyDiv w:val="1"/>
      <w:marLeft w:val="0"/>
      <w:marRight w:val="0"/>
      <w:marTop w:val="0"/>
      <w:marBottom w:val="0"/>
      <w:divBdr>
        <w:top w:val="none" w:sz="0" w:space="0" w:color="auto"/>
        <w:left w:val="none" w:sz="0" w:space="0" w:color="auto"/>
        <w:bottom w:val="none" w:sz="0" w:space="0" w:color="auto"/>
        <w:right w:val="none" w:sz="0" w:space="0" w:color="auto"/>
      </w:divBdr>
    </w:div>
    <w:div w:id="560678019">
      <w:bodyDiv w:val="1"/>
      <w:marLeft w:val="0"/>
      <w:marRight w:val="0"/>
      <w:marTop w:val="0"/>
      <w:marBottom w:val="0"/>
      <w:divBdr>
        <w:top w:val="none" w:sz="0" w:space="0" w:color="auto"/>
        <w:left w:val="none" w:sz="0" w:space="0" w:color="auto"/>
        <w:bottom w:val="none" w:sz="0" w:space="0" w:color="auto"/>
        <w:right w:val="none" w:sz="0" w:space="0" w:color="auto"/>
      </w:divBdr>
    </w:div>
    <w:div w:id="572129823">
      <w:bodyDiv w:val="1"/>
      <w:marLeft w:val="0"/>
      <w:marRight w:val="0"/>
      <w:marTop w:val="0"/>
      <w:marBottom w:val="0"/>
      <w:divBdr>
        <w:top w:val="none" w:sz="0" w:space="0" w:color="auto"/>
        <w:left w:val="none" w:sz="0" w:space="0" w:color="auto"/>
        <w:bottom w:val="none" w:sz="0" w:space="0" w:color="auto"/>
        <w:right w:val="none" w:sz="0" w:space="0" w:color="auto"/>
      </w:divBdr>
    </w:div>
    <w:div w:id="581523180">
      <w:bodyDiv w:val="1"/>
      <w:marLeft w:val="0"/>
      <w:marRight w:val="0"/>
      <w:marTop w:val="0"/>
      <w:marBottom w:val="0"/>
      <w:divBdr>
        <w:top w:val="none" w:sz="0" w:space="0" w:color="auto"/>
        <w:left w:val="none" w:sz="0" w:space="0" w:color="auto"/>
        <w:bottom w:val="none" w:sz="0" w:space="0" w:color="auto"/>
        <w:right w:val="none" w:sz="0" w:space="0" w:color="auto"/>
      </w:divBdr>
    </w:div>
    <w:div w:id="600995162">
      <w:bodyDiv w:val="1"/>
      <w:marLeft w:val="0"/>
      <w:marRight w:val="0"/>
      <w:marTop w:val="0"/>
      <w:marBottom w:val="0"/>
      <w:divBdr>
        <w:top w:val="none" w:sz="0" w:space="0" w:color="auto"/>
        <w:left w:val="none" w:sz="0" w:space="0" w:color="auto"/>
        <w:bottom w:val="none" w:sz="0" w:space="0" w:color="auto"/>
        <w:right w:val="none" w:sz="0" w:space="0" w:color="auto"/>
      </w:divBdr>
    </w:div>
    <w:div w:id="604462006">
      <w:bodyDiv w:val="1"/>
      <w:marLeft w:val="0"/>
      <w:marRight w:val="0"/>
      <w:marTop w:val="0"/>
      <w:marBottom w:val="0"/>
      <w:divBdr>
        <w:top w:val="none" w:sz="0" w:space="0" w:color="auto"/>
        <w:left w:val="none" w:sz="0" w:space="0" w:color="auto"/>
        <w:bottom w:val="none" w:sz="0" w:space="0" w:color="auto"/>
        <w:right w:val="none" w:sz="0" w:space="0" w:color="auto"/>
      </w:divBdr>
    </w:div>
    <w:div w:id="635061982">
      <w:bodyDiv w:val="1"/>
      <w:marLeft w:val="0"/>
      <w:marRight w:val="0"/>
      <w:marTop w:val="0"/>
      <w:marBottom w:val="0"/>
      <w:divBdr>
        <w:top w:val="none" w:sz="0" w:space="0" w:color="auto"/>
        <w:left w:val="none" w:sz="0" w:space="0" w:color="auto"/>
        <w:bottom w:val="none" w:sz="0" w:space="0" w:color="auto"/>
        <w:right w:val="none" w:sz="0" w:space="0" w:color="auto"/>
      </w:divBdr>
    </w:div>
    <w:div w:id="636254123">
      <w:bodyDiv w:val="1"/>
      <w:marLeft w:val="0"/>
      <w:marRight w:val="0"/>
      <w:marTop w:val="0"/>
      <w:marBottom w:val="0"/>
      <w:divBdr>
        <w:top w:val="none" w:sz="0" w:space="0" w:color="auto"/>
        <w:left w:val="none" w:sz="0" w:space="0" w:color="auto"/>
        <w:bottom w:val="none" w:sz="0" w:space="0" w:color="auto"/>
        <w:right w:val="none" w:sz="0" w:space="0" w:color="auto"/>
      </w:divBdr>
    </w:div>
    <w:div w:id="639114031">
      <w:bodyDiv w:val="1"/>
      <w:marLeft w:val="0"/>
      <w:marRight w:val="0"/>
      <w:marTop w:val="0"/>
      <w:marBottom w:val="0"/>
      <w:divBdr>
        <w:top w:val="none" w:sz="0" w:space="0" w:color="auto"/>
        <w:left w:val="none" w:sz="0" w:space="0" w:color="auto"/>
        <w:bottom w:val="none" w:sz="0" w:space="0" w:color="auto"/>
        <w:right w:val="none" w:sz="0" w:space="0" w:color="auto"/>
      </w:divBdr>
    </w:div>
    <w:div w:id="643507660">
      <w:bodyDiv w:val="1"/>
      <w:marLeft w:val="0"/>
      <w:marRight w:val="0"/>
      <w:marTop w:val="0"/>
      <w:marBottom w:val="0"/>
      <w:divBdr>
        <w:top w:val="none" w:sz="0" w:space="0" w:color="auto"/>
        <w:left w:val="none" w:sz="0" w:space="0" w:color="auto"/>
        <w:bottom w:val="none" w:sz="0" w:space="0" w:color="auto"/>
        <w:right w:val="none" w:sz="0" w:space="0" w:color="auto"/>
      </w:divBdr>
    </w:div>
    <w:div w:id="647980229">
      <w:bodyDiv w:val="1"/>
      <w:marLeft w:val="0"/>
      <w:marRight w:val="0"/>
      <w:marTop w:val="0"/>
      <w:marBottom w:val="0"/>
      <w:divBdr>
        <w:top w:val="none" w:sz="0" w:space="0" w:color="auto"/>
        <w:left w:val="none" w:sz="0" w:space="0" w:color="auto"/>
        <w:bottom w:val="none" w:sz="0" w:space="0" w:color="auto"/>
        <w:right w:val="none" w:sz="0" w:space="0" w:color="auto"/>
      </w:divBdr>
    </w:div>
    <w:div w:id="656571339">
      <w:bodyDiv w:val="1"/>
      <w:marLeft w:val="0"/>
      <w:marRight w:val="0"/>
      <w:marTop w:val="0"/>
      <w:marBottom w:val="0"/>
      <w:divBdr>
        <w:top w:val="none" w:sz="0" w:space="0" w:color="auto"/>
        <w:left w:val="none" w:sz="0" w:space="0" w:color="auto"/>
        <w:bottom w:val="none" w:sz="0" w:space="0" w:color="auto"/>
        <w:right w:val="none" w:sz="0" w:space="0" w:color="auto"/>
      </w:divBdr>
    </w:div>
    <w:div w:id="662244277">
      <w:bodyDiv w:val="1"/>
      <w:marLeft w:val="0"/>
      <w:marRight w:val="0"/>
      <w:marTop w:val="0"/>
      <w:marBottom w:val="0"/>
      <w:divBdr>
        <w:top w:val="none" w:sz="0" w:space="0" w:color="auto"/>
        <w:left w:val="none" w:sz="0" w:space="0" w:color="auto"/>
        <w:bottom w:val="none" w:sz="0" w:space="0" w:color="auto"/>
        <w:right w:val="none" w:sz="0" w:space="0" w:color="auto"/>
      </w:divBdr>
    </w:div>
    <w:div w:id="663631078">
      <w:bodyDiv w:val="1"/>
      <w:marLeft w:val="0"/>
      <w:marRight w:val="0"/>
      <w:marTop w:val="0"/>
      <w:marBottom w:val="0"/>
      <w:divBdr>
        <w:top w:val="none" w:sz="0" w:space="0" w:color="auto"/>
        <w:left w:val="none" w:sz="0" w:space="0" w:color="auto"/>
        <w:bottom w:val="none" w:sz="0" w:space="0" w:color="auto"/>
        <w:right w:val="none" w:sz="0" w:space="0" w:color="auto"/>
      </w:divBdr>
    </w:div>
    <w:div w:id="686979774">
      <w:bodyDiv w:val="1"/>
      <w:marLeft w:val="0"/>
      <w:marRight w:val="0"/>
      <w:marTop w:val="0"/>
      <w:marBottom w:val="0"/>
      <w:divBdr>
        <w:top w:val="none" w:sz="0" w:space="0" w:color="auto"/>
        <w:left w:val="none" w:sz="0" w:space="0" w:color="auto"/>
        <w:bottom w:val="none" w:sz="0" w:space="0" w:color="auto"/>
        <w:right w:val="none" w:sz="0" w:space="0" w:color="auto"/>
      </w:divBdr>
    </w:div>
    <w:div w:id="708190520">
      <w:bodyDiv w:val="1"/>
      <w:marLeft w:val="0"/>
      <w:marRight w:val="0"/>
      <w:marTop w:val="0"/>
      <w:marBottom w:val="0"/>
      <w:divBdr>
        <w:top w:val="none" w:sz="0" w:space="0" w:color="auto"/>
        <w:left w:val="none" w:sz="0" w:space="0" w:color="auto"/>
        <w:bottom w:val="none" w:sz="0" w:space="0" w:color="auto"/>
        <w:right w:val="none" w:sz="0" w:space="0" w:color="auto"/>
      </w:divBdr>
    </w:div>
    <w:div w:id="720056736">
      <w:bodyDiv w:val="1"/>
      <w:marLeft w:val="0"/>
      <w:marRight w:val="0"/>
      <w:marTop w:val="0"/>
      <w:marBottom w:val="0"/>
      <w:divBdr>
        <w:top w:val="none" w:sz="0" w:space="0" w:color="auto"/>
        <w:left w:val="none" w:sz="0" w:space="0" w:color="auto"/>
        <w:bottom w:val="none" w:sz="0" w:space="0" w:color="auto"/>
        <w:right w:val="none" w:sz="0" w:space="0" w:color="auto"/>
      </w:divBdr>
    </w:div>
    <w:div w:id="725834303">
      <w:bodyDiv w:val="1"/>
      <w:marLeft w:val="0"/>
      <w:marRight w:val="0"/>
      <w:marTop w:val="0"/>
      <w:marBottom w:val="0"/>
      <w:divBdr>
        <w:top w:val="none" w:sz="0" w:space="0" w:color="auto"/>
        <w:left w:val="none" w:sz="0" w:space="0" w:color="auto"/>
        <w:bottom w:val="none" w:sz="0" w:space="0" w:color="auto"/>
        <w:right w:val="none" w:sz="0" w:space="0" w:color="auto"/>
      </w:divBdr>
    </w:div>
    <w:div w:id="734278118">
      <w:bodyDiv w:val="1"/>
      <w:marLeft w:val="0"/>
      <w:marRight w:val="0"/>
      <w:marTop w:val="0"/>
      <w:marBottom w:val="0"/>
      <w:divBdr>
        <w:top w:val="none" w:sz="0" w:space="0" w:color="auto"/>
        <w:left w:val="none" w:sz="0" w:space="0" w:color="auto"/>
        <w:bottom w:val="none" w:sz="0" w:space="0" w:color="auto"/>
        <w:right w:val="none" w:sz="0" w:space="0" w:color="auto"/>
      </w:divBdr>
    </w:div>
    <w:div w:id="741022298">
      <w:bodyDiv w:val="1"/>
      <w:marLeft w:val="0"/>
      <w:marRight w:val="0"/>
      <w:marTop w:val="0"/>
      <w:marBottom w:val="0"/>
      <w:divBdr>
        <w:top w:val="none" w:sz="0" w:space="0" w:color="auto"/>
        <w:left w:val="none" w:sz="0" w:space="0" w:color="auto"/>
        <w:bottom w:val="none" w:sz="0" w:space="0" w:color="auto"/>
        <w:right w:val="none" w:sz="0" w:space="0" w:color="auto"/>
      </w:divBdr>
    </w:div>
    <w:div w:id="760953296">
      <w:bodyDiv w:val="1"/>
      <w:marLeft w:val="0"/>
      <w:marRight w:val="0"/>
      <w:marTop w:val="0"/>
      <w:marBottom w:val="0"/>
      <w:divBdr>
        <w:top w:val="none" w:sz="0" w:space="0" w:color="auto"/>
        <w:left w:val="none" w:sz="0" w:space="0" w:color="auto"/>
        <w:bottom w:val="none" w:sz="0" w:space="0" w:color="auto"/>
        <w:right w:val="none" w:sz="0" w:space="0" w:color="auto"/>
      </w:divBdr>
    </w:div>
    <w:div w:id="772021038">
      <w:bodyDiv w:val="1"/>
      <w:marLeft w:val="0"/>
      <w:marRight w:val="0"/>
      <w:marTop w:val="0"/>
      <w:marBottom w:val="0"/>
      <w:divBdr>
        <w:top w:val="none" w:sz="0" w:space="0" w:color="auto"/>
        <w:left w:val="none" w:sz="0" w:space="0" w:color="auto"/>
        <w:bottom w:val="none" w:sz="0" w:space="0" w:color="auto"/>
        <w:right w:val="none" w:sz="0" w:space="0" w:color="auto"/>
      </w:divBdr>
    </w:div>
    <w:div w:id="775372116">
      <w:bodyDiv w:val="1"/>
      <w:marLeft w:val="0"/>
      <w:marRight w:val="0"/>
      <w:marTop w:val="0"/>
      <w:marBottom w:val="0"/>
      <w:divBdr>
        <w:top w:val="none" w:sz="0" w:space="0" w:color="auto"/>
        <w:left w:val="none" w:sz="0" w:space="0" w:color="auto"/>
        <w:bottom w:val="none" w:sz="0" w:space="0" w:color="auto"/>
        <w:right w:val="none" w:sz="0" w:space="0" w:color="auto"/>
      </w:divBdr>
    </w:div>
    <w:div w:id="786777544">
      <w:bodyDiv w:val="1"/>
      <w:marLeft w:val="0"/>
      <w:marRight w:val="0"/>
      <w:marTop w:val="0"/>
      <w:marBottom w:val="0"/>
      <w:divBdr>
        <w:top w:val="none" w:sz="0" w:space="0" w:color="auto"/>
        <w:left w:val="none" w:sz="0" w:space="0" w:color="auto"/>
        <w:bottom w:val="none" w:sz="0" w:space="0" w:color="auto"/>
        <w:right w:val="none" w:sz="0" w:space="0" w:color="auto"/>
      </w:divBdr>
    </w:div>
    <w:div w:id="794324421">
      <w:bodyDiv w:val="1"/>
      <w:marLeft w:val="0"/>
      <w:marRight w:val="0"/>
      <w:marTop w:val="0"/>
      <w:marBottom w:val="0"/>
      <w:divBdr>
        <w:top w:val="none" w:sz="0" w:space="0" w:color="auto"/>
        <w:left w:val="none" w:sz="0" w:space="0" w:color="auto"/>
        <w:bottom w:val="none" w:sz="0" w:space="0" w:color="auto"/>
        <w:right w:val="none" w:sz="0" w:space="0" w:color="auto"/>
      </w:divBdr>
    </w:div>
    <w:div w:id="799617354">
      <w:bodyDiv w:val="1"/>
      <w:marLeft w:val="0"/>
      <w:marRight w:val="0"/>
      <w:marTop w:val="0"/>
      <w:marBottom w:val="0"/>
      <w:divBdr>
        <w:top w:val="none" w:sz="0" w:space="0" w:color="auto"/>
        <w:left w:val="none" w:sz="0" w:space="0" w:color="auto"/>
        <w:bottom w:val="none" w:sz="0" w:space="0" w:color="auto"/>
        <w:right w:val="none" w:sz="0" w:space="0" w:color="auto"/>
      </w:divBdr>
    </w:div>
    <w:div w:id="801078923">
      <w:bodyDiv w:val="1"/>
      <w:marLeft w:val="0"/>
      <w:marRight w:val="0"/>
      <w:marTop w:val="0"/>
      <w:marBottom w:val="0"/>
      <w:divBdr>
        <w:top w:val="none" w:sz="0" w:space="0" w:color="auto"/>
        <w:left w:val="none" w:sz="0" w:space="0" w:color="auto"/>
        <w:bottom w:val="none" w:sz="0" w:space="0" w:color="auto"/>
        <w:right w:val="none" w:sz="0" w:space="0" w:color="auto"/>
      </w:divBdr>
    </w:div>
    <w:div w:id="837424477">
      <w:bodyDiv w:val="1"/>
      <w:marLeft w:val="0"/>
      <w:marRight w:val="0"/>
      <w:marTop w:val="0"/>
      <w:marBottom w:val="0"/>
      <w:divBdr>
        <w:top w:val="none" w:sz="0" w:space="0" w:color="auto"/>
        <w:left w:val="none" w:sz="0" w:space="0" w:color="auto"/>
        <w:bottom w:val="none" w:sz="0" w:space="0" w:color="auto"/>
        <w:right w:val="none" w:sz="0" w:space="0" w:color="auto"/>
      </w:divBdr>
    </w:div>
    <w:div w:id="844324409">
      <w:bodyDiv w:val="1"/>
      <w:marLeft w:val="0"/>
      <w:marRight w:val="0"/>
      <w:marTop w:val="0"/>
      <w:marBottom w:val="0"/>
      <w:divBdr>
        <w:top w:val="none" w:sz="0" w:space="0" w:color="auto"/>
        <w:left w:val="none" w:sz="0" w:space="0" w:color="auto"/>
        <w:bottom w:val="none" w:sz="0" w:space="0" w:color="auto"/>
        <w:right w:val="none" w:sz="0" w:space="0" w:color="auto"/>
      </w:divBdr>
    </w:div>
    <w:div w:id="864095125">
      <w:bodyDiv w:val="1"/>
      <w:marLeft w:val="0"/>
      <w:marRight w:val="0"/>
      <w:marTop w:val="0"/>
      <w:marBottom w:val="0"/>
      <w:divBdr>
        <w:top w:val="none" w:sz="0" w:space="0" w:color="auto"/>
        <w:left w:val="none" w:sz="0" w:space="0" w:color="auto"/>
        <w:bottom w:val="none" w:sz="0" w:space="0" w:color="auto"/>
        <w:right w:val="none" w:sz="0" w:space="0" w:color="auto"/>
      </w:divBdr>
    </w:div>
    <w:div w:id="878711197">
      <w:bodyDiv w:val="1"/>
      <w:marLeft w:val="0"/>
      <w:marRight w:val="0"/>
      <w:marTop w:val="0"/>
      <w:marBottom w:val="0"/>
      <w:divBdr>
        <w:top w:val="none" w:sz="0" w:space="0" w:color="auto"/>
        <w:left w:val="none" w:sz="0" w:space="0" w:color="auto"/>
        <w:bottom w:val="none" w:sz="0" w:space="0" w:color="auto"/>
        <w:right w:val="none" w:sz="0" w:space="0" w:color="auto"/>
      </w:divBdr>
    </w:div>
    <w:div w:id="879513115">
      <w:bodyDiv w:val="1"/>
      <w:marLeft w:val="0"/>
      <w:marRight w:val="0"/>
      <w:marTop w:val="0"/>
      <w:marBottom w:val="0"/>
      <w:divBdr>
        <w:top w:val="none" w:sz="0" w:space="0" w:color="auto"/>
        <w:left w:val="none" w:sz="0" w:space="0" w:color="auto"/>
        <w:bottom w:val="none" w:sz="0" w:space="0" w:color="auto"/>
        <w:right w:val="none" w:sz="0" w:space="0" w:color="auto"/>
      </w:divBdr>
    </w:div>
    <w:div w:id="898518755">
      <w:bodyDiv w:val="1"/>
      <w:marLeft w:val="0"/>
      <w:marRight w:val="0"/>
      <w:marTop w:val="0"/>
      <w:marBottom w:val="0"/>
      <w:divBdr>
        <w:top w:val="none" w:sz="0" w:space="0" w:color="auto"/>
        <w:left w:val="none" w:sz="0" w:space="0" w:color="auto"/>
        <w:bottom w:val="none" w:sz="0" w:space="0" w:color="auto"/>
        <w:right w:val="none" w:sz="0" w:space="0" w:color="auto"/>
      </w:divBdr>
    </w:div>
    <w:div w:id="900479635">
      <w:bodyDiv w:val="1"/>
      <w:marLeft w:val="0"/>
      <w:marRight w:val="0"/>
      <w:marTop w:val="0"/>
      <w:marBottom w:val="0"/>
      <w:divBdr>
        <w:top w:val="none" w:sz="0" w:space="0" w:color="auto"/>
        <w:left w:val="none" w:sz="0" w:space="0" w:color="auto"/>
        <w:bottom w:val="none" w:sz="0" w:space="0" w:color="auto"/>
        <w:right w:val="none" w:sz="0" w:space="0" w:color="auto"/>
      </w:divBdr>
    </w:div>
    <w:div w:id="908729516">
      <w:bodyDiv w:val="1"/>
      <w:marLeft w:val="0"/>
      <w:marRight w:val="0"/>
      <w:marTop w:val="0"/>
      <w:marBottom w:val="0"/>
      <w:divBdr>
        <w:top w:val="none" w:sz="0" w:space="0" w:color="auto"/>
        <w:left w:val="none" w:sz="0" w:space="0" w:color="auto"/>
        <w:bottom w:val="none" w:sz="0" w:space="0" w:color="auto"/>
        <w:right w:val="none" w:sz="0" w:space="0" w:color="auto"/>
      </w:divBdr>
    </w:div>
    <w:div w:id="931940321">
      <w:bodyDiv w:val="1"/>
      <w:marLeft w:val="0"/>
      <w:marRight w:val="0"/>
      <w:marTop w:val="0"/>
      <w:marBottom w:val="0"/>
      <w:divBdr>
        <w:top w:val="none" w:sz="0" w:space="0" w:color="auto"/>
        <w:left w:val="none" w:sz="0" w:space="0" w:color="auto"/>
        <w:bottom w:val="none" w:sz="0" w:space="0" w:color="auto"/>
        <w:right w:val="none" w:sz="0" w:space="0" w:color="auto"/>
      </w:divBdr>
    </w:div>
    <w:div w:id="937828394">
      <w:bodyDiv w:val="1"/>
      <w:marLeft w:val="0"/>
      <w:marRight w:val="0"/>
      <w:marTop w:val="0"/>
      <w:marBottom w:val="0"/>
      <w:divBdr>
        <w:top w:val="none" w:sz="0" w:space="0" w:color="auto"/>
        <w:left w:val="none" w:sz="0" w:space="0" w:color="auto"/>
        <w:bottom w:val="none" w:sz="0" w:space="0" w:color="auto"/>
        <w:right w:val="none" w:sz="0" w:space="0" w:color="auto"/>
      </w:divBdr>
    </w:div>
    <w:div w:id="938488960">
      <w:bodyDiv w:val="1"/>
      <w:marLeft w:val="0"/>
      <w:marRight w:val="0"/>
      <w:marTop w:val="0"/>
      <w:marBottom w:val="0"/>
      <w:divBdr>
        <w:top w:val="none" w:sz="0" w:space="0" w:color="auto"/>
        <w:left w:val="none" w:sz="0" w:space="0" w:color="auto"/>
        <w:bottom w:val="none" w:sz="0" w:space="0" w:color="auto"/>
        <w:right w:val="none" w:sz="0" w:space="0" w:color="auto"/>
      </w:divBdr>
    </w:div>
    <w:div w:id="953484045">
      <w:bodyDiv w:val="1"/>
      <w:marLeft w:val="0"/>
      <w:marRight w:val="0"/>
      <w:marTop w:val="0"/>
      <w:marBottom w:val="0"/>
      <w:divBdr>
        <w:top w:val="none" w:sz="0" w:space="0" w:color="auto"/>
        <w:left w:val="none" w:sz="0" w:space="0" w:color="auto"/>
        <w:bottom w:val="none" w:sz="0" w:space="0" w:color="auto"/>
        <w:right w:val="none" w:sz="0" w:space="0" w:color="auto"/>
      </w:divBdr>
    </w:div>
    <w:div w:id="958995234">
      <w:bodyDiv w:val="1"/>
      <w:marLeft w:val="0"/>
      <w:marRight w:val="0"/>
      <w:marTop w:val="0"/>
      <w:marBottom w:val="0"/>
      <w:divBdr>
        <w:top w:val="none" w:sz="0" w:space="0" w:color="auto"/>
        <w:left w:val="none" w:sz="0" w:space="0" w:color="auto"/>
        <w:bottom w:val="none" w:sz="0" w:space="0" w:color="auto"/>
        <w:right w:val="none" w:sz="0" w:space="0" w:color="auto"/>
      </w:divBdr>
    </w:div>
    <w:div w:id="961809949">
      <w:bodyDiv w:val="1"/>
      <w:marLeft w:val="0"/>
      <w:marRight w:val="0"/>
      <w:marTop w:val="0"/>
      <w:marBottom w:val="0"/>
      <w:divBdr>
        <w:top w:val="none" w:sz="0" w:space="0" w:color="auto"/>
        <w:left w:val="none" w:sz="0" w:space="0" w:color="auto"/>
        <w:bottom w:val="none" w:sz="0" w:space="0" w:color="auto"/>
        <w:right w:val="none" w:sz="0" w:space="0" w:color="auto"/>
      </w:divBdr>
    </w:div>
    <w:div w:id="964383837">
      <w:bodyDiv w:val="1"/>
      <w:marLeft w:val="0"/>
      <w:marRight w:val="0"/>
      <w:marTop w:val="0"/>
      <w:marBottom w:val="0"/>
      <w:divBdr>
        <w:top w:val="none" w:sz="0" w:space="0" w:color="auto"/>
        <w:left w:val="none" w:sz="0" w:space="0" w:color="auto"/>
        <w:bottom w:val="none" w:sz="0" w:space="0" w:color="auto"/>
        <w:right w:val="none" w:sz="0" w:space="0" w:color="auto"/>
      </w:divBdr>
    </w:div>
    <w:div w:id="973557967">
      <w:bodyDiv w:val="1"/>
      <w:marLeft w:val="0"/>
      <w:marRight w:val="0"/>
      <w:marTop w:val="0"/>
      <w:marBottom w:val="0"/>
      <w:divBdr>
        <w:top w:val="none" w:sz="0" w:space="0" w:color="auto"/>
        <w:left w:val="none" w:sz="0" w:space="0" w:color="auto"/>
        <w:bottom w:val="none" w:sz="0" w:space="0" w:color="auto"/>
        <w:right w:val="none" w:sz="0" w:space="0" w:color="auto"/>
      </w:divBdr>
    </w:div>
    <w:div w:id="975380495">
      <w:bodyDiv w:val="1"/>
      <w:marLeft w:val="0"/>
      <w:marRight w:val="0"/>
      <w:marTop w:val="0"/>
      <w:marBottom w:val="0"/>
      <w:divBdr>
        <w:top w:val="none" w:sz="0" w:space="0" w:color="auto"/>
        <w:left w:val="none" w:sz="0" w:space="0" w:color="auto"/>
        <w:bottom w:val="none" w:sz="0" w:space="0" w:color="auto"/>
        <w:right w:val="none" w:sz="0" w:space="0" w:color="auto"/>
      </w:divBdr>
    </w:div>
    <w:div w:id="1000621071">
      <w:bodyDiv w:val="1"/>
      <w:marLeft w:val="0"/>
      <w:marRight w:val="0"/>
      <w:marTop w:val="0"/>
      <w:marBottom w:val="0"/>
      <w:divBdr>
        <w:top w:val="none" w:sz="0" w:space="0" w:color="auto"/>
        <w:left w:val="none" w:sz="0" w:space="0" w:color="auto"/>
        <w:bottom w:val="none" w:sz="0" w:space="0" w:color="auto"/>
        <w:right w:val="none" w:sz="0" w:space="0" w:color="auto"/>
      </w:divBdr>
    </w:div>
    <w:div w:id="1003513761">
      <w:bodyDiv w:val="1"/>
      <w:marLeft w:val="0"/>
      <w:marRight w:val="0"/>
      <w:marTop w:val="0"/>
      <w:marBottom w:val="0"/>
      <w:divBdr>
        <w:top w:val="none" w:sz="0" w:space="0" w:color="auto"/>
        <w:left w:val="none" w:sz="0" w:space="0" w:color="auto"/>
        <w:bottom w:val="none" w:sz="0" w:space="0" w:color="auto"/>
        <w:right w:val="none" w:sz="0" w:space="0" w:color="auto"/>
      </w:divBdr>
    </w:div>
    <w:div w:id="1003777490">
      <w:bodyDiv w:val="1"/>
      <w:marLeft w:val="0"/>
      <w:marRight w:val="0"/>
      <w:marTop w:val="0"/>
      <w:marBottom w:val="0"/>
      <w:divBdr>
        <w:top w:val="none" w:sz="0" w:space="0" w:color="auto"/>
        <w:left w:val="none" w:sz="0" w:space="0" w:color="auto"/>
        <w:bottom w:val="none" w:sz="0" w:space="0" w:color="auto"/>
        <w:right w:val="none" w:sz="0" w:space="0" w:color="auto"/>
      </w:divBdr>
    </w:div>
    <w:div w:id="1029523627">
      <w:bodyDiv w:val="1"/>
      <w:marLeft w:val="0"/>
      <w:marRight w:val="0"/>
      <w:marTop w:val="0"/>
      <w:marBottom w:val="0"/>
      <w:divBdr>
        <w:top w:val="none" w:sz="0" w:space="0" w:color="auto"/>
        <w:left w:val="none" w:sz="0" w:space="0" w:color="auto"/>
        <w:bottom w:val="none" w:sz="0" w:space="0" w:color="auto"/>
        <w:right w:val="none" w:sz="0" w:space="0" w:color="auto"/>
      </w:divBdr>
    </w:div>
    <w:div w:id="1032413312">
      <w:bodyDiv w:val="1"/>
      <w:marLeft w:val="0"/>
      <w:marRight w:val="0"/>
      <w:marTop w:val="0"/>
      <w:marBottom w:val="0"/>
      <w:divBdr>
        <w:top w:val="none" w:sz="0" w:space="0" w:color="auto"/>
        <w:left w:val="none" w:sz="0" w:space="0" w:color="auto"/>
        <w:bottom w:val="none" w:sz="0" w:space="0" w:color="auto"/>
        <w:right w:val="none" w:sz="0" w:space="0" w:color="auto"/>
      </w:divBdr>
    </w:div>
    <w:div w:id="1044476823">
      <w:bodyDiv w:val="1"/>
      <w:marLeft w:val="0"/>
      <w:marRight w:val="0"/>
      <w:marTop w:val="0"/>
      <w:marBottom w:val="0"/>
      <w:divBdr>
        <w:top w:val="none" w:sz="0" w:space="0" w:color="auto"/>
        <w:left w:val="none" w:sz="0" w:space="0" w:color="auto"/>
        <w:bottom w:val="none" w:sz="0" w:space="0" w:color="auto"/>
        <w:right w:val="none" w:sz="0" w:space="0" w:color="auto"/>
      </w:divBdr>
    </w:div>
    <w:div w:id="1099258757">
      <w:bodyDiv w:val="1"/>
      <w:marLeft w:val="0"/>
      <w:marRight w:val="0"/>
      <w:marTop w:val="0"/>
      <w:marBottom w:val="0"/>
      <w:divBdr>
        <w:top w:val="none" w:sz="0" w:space="0" w:color="auto"/>
        <w:left w:val="none" w:sz="0" w:space="0" w:color="auto"/>
        <w:bottom w:val="none" w:sz="0" w:space="0" w:color="auto"/>
        <w:right w:val="none" w:sz="0" w:space="0" w:color="auto"/>
      </w:divBdr>
    </w:div>
    <w:div w:id="1110201769">
      <w:bodyDiv w:val="1"/>
      <w:marLeft w:val="0"/>
      <w:marRight w:val="0"/>
      <w:marTop w:val="0"/>
      <w:marBottom w:val="0"/>
      <w:divBdr>
        <w:top w:val="none" w:sz="0" w:space="0" w:color="auto"/>
        <w:left w:val="none" w:sz="0" w:space="0" w:color="auto"/>
        <w:bottom w:val="none" w:sz="0" w:space="0" w:color="auto"/>
        <w:right w:val="none" w:sz="0" w:space="0" w:color="auto"/>
      </w:divBdr>
    </w:div>
    <w:div w:id="1116145149">
      <w:bodyDiv w:val="1"/>
      <w:marLeft w:val="0"/>
      <w:marRight w:val="0"/>
      <w:marTop w:val="0"/>
      <w:marBottom w:val="0"/>
      <w:divBdr>
        <w:top w:val="none" w:sz="0" w:space="0" w:color="auto"/>
        <w:left w:val="none" w:sz="0" w:space="0" w:color="auto"/>
        <w:bottom w:val="none" w:sz="0" w:space="0" w:color="auto"/>
        <w:right w:val="none" w:sz="0" w:space="0" w:color="auto"/>
      </w:divBdr>
    </w:div>
    <w:div w:id="1117405861">
      <w:bodyDiv w:val="1"/>
      <w:marLeft w:val="0"/>
      <w:marRight w:val="0"/>
      <w:marTop w:val="0"/>
      <w:marBottom w:val="0"/>
      <w:divBdr>
        <w:top w:val="none" w:sz="0" w:space="0" w:color="auto"/>
        <w:left w:val="none" w:sz="0" w:space="0" w:color="auto"/>
        <w:bottom w:val="none" w:sz="0" w:space="0" w:color="auto"/>
        <w:right w:val="none" w:sz="0" w:space="0" w:color="auto"/>
      </w:divBdr>
    </w:div>
    <w:div w:id="1123233526">
      <w:bodyDiv w:val="1"/>
      <w:marLeft w:val="0"/>
      <w:marRight w:val="0"/>
      <w:marTop w:val="0"/>
      <w:marBottom w:val="0"/>
      <w:divBdr>
        <w:top w:val="none" w:sz="0" w:space="0" w:color="auto"/>
        <w:left w:val="none" w:sz="0" w:space="0" w:color="auto"/>
        <w:bottom w:val="none" w:sz="0" w:space="0" w:color="auto"/>
        <w:right w:val="none" w:sz="0" w:space="0" w:color="auto"/>
      </w:divBdr>
    </w:div>
    <w:div w:id="1123235329">
      <w:bodyDiv w:val="1"/>
      <w:marLeft w:val="0"/>
      <w:marRight w:val="0"/>
      <w:marTop w:val="0"/>
      <w:marBottom w:val="0"/>
      <w:divBdr>
        <w:top w:val="none" w:sz="0" w:space="0" w:color="auto"/>
        <w:left w:val="none" w:sz="0" w:space="0" w:color="auto"/>
        <w:bottom w:val="none" w:sz="0" w:space="0" w:color="auto"/>
        <w:right w:val="none" w:sz="0" w:space="0" w:color="auto"/>
      </w:divBdr>
    </w:div>
    <w:div w:id="1127971886">
      <w:bodyDiv w:val="1"/>
      <w:marLeft w:val="0"/>
      <w:marRight w:val="0"/>
      <w:marTop w:val="0"/>
      <w:marBottom w:val="0"/>
      <w:divBdr>
        <w:top w:val="none" w:sz="0" w:space="0" w:color="auto"/>
        <w:left w:val="none" w:sz="0" w:space="0" w:color="auto"/>
        <w:bottom w:val="none" w:sz="0" w:space="0" w:color="auto"/>
        <w:right w:val="none" w:sz="0" w:space="0" w:color="auto"/>
      </w:divBdr>
    </w:div>
    <w:div w:id="1139304199">
      <w:bodyDiv w:val="1"/>
      <w:marLeft w:val="0"/>
      <w:marRight w:val="0"/>
      <w:marTop w:val="0"/>
      <w:marBottom w:val="0"/>
      <w:divBdr>
        <w:top w:val="none" w:sz="0" w:space="0" w:color="auto"/>
        <w:left w:val="none" w:sz="0" w:space="0" w:color="auto"/>
        <w:bottom w:val="none" w:sz="0" w:space="0" w:color="auto"/>
        <w:right w:val="none" w:sz="0" w:space="0" w:color="auto"/>
      </w:divBdr>
    </w:div>
    <w:div w:id="1142455527">
      <w:bodyDiv w:val="1"/>
      <w:marLeft w:val="0"/>
      <w:marRight w:val="0"/>
      <w:marTop w:val="0"/>
      <w:marBottom w:val="0"/>
      <w:divBdr>
        <w:top w:val="none" w:sz="0" w:space="0" w:color="auto"/>
        <w:left w:val="none" w:sz="0" w:space="0" w:color="auto"/>
        <w:bottom w:val="none" w:sz="0" w:space="0" w:color="auto"/>
        <w:right w:val="none" w:sz="0" w:space="0" w:color="auto"/>
      </w:divBdr>
    </w:div>
    <w:div w:id="1164972858">
      <w:bodyDiv w:val="1"/>
      <w:marLeft w:val="0"/>
      <w:marRight w:val="0"/>
      <w:marTop w:val="0"/>
      <w:marBottom w:val="0"/>
      <w:divBdr>
        <w:top w:val="none" w:sz="0" w:space="0" w:color="auto"/>
        <w:left w:val="none" w:sz="0" w:space="0" w:color="auto"/>
        <w:bottom w:val="none" w:sz="0" w:space="0" w:color="auto"/>
        <w:right w:val="none" w:sz="0" w:space="0" w:color="auto"/>
      </w:divBdr>
    </w:div>
    <w:div w:id="1165590347">
      <w:bodyDiv w:val="1"/>
      <w:marLeft w:val="0"/>
      <w:marRight w:val="0"/>
      <w:marTop w:val="0"/>
      <w:marBottom w:val="0"/>
      <w:divBdr>
        <w:top w:val="none" w:sz="0" w:space="0" w:color="auto"/>
        <w:left w:val="none" w:sz="0" w:space="0" w:color="auto"/>
        <w:bottom w:val="none" w:sz="0" w:space="0" w:color="auto"/>
        <w:right w:val="none" w:sz="0" w:space="0" w:color="auto"/>
      </w:divBdr>
    </w:div>
    <w:div w:id="1169128363">
      <w:bodyDiv w:val="1"/>
      <w:marLeft w:val="0"/>
      <w:marRight w:val="0"/>
      <w:marTop w:val="0"/>
      <w:marBottom w:val="0"/>
      <w:divBdr>
        <w:top w:val="none" w:sz="0" w:space="0" w:color="auto"/>
        <w:left w:val="none" w:sz="0" w:space="0" w:color="auto"/>
        <w:bottom w:val="none" w:sz="0" w:space="0" w:color="auto"/>
        <w:right w:val="none" w:sz="0" w:space="0" w:color="auto"/>
      </w:divBdr>
    </w:div>
    <w:div w:id="1223105076">
      <w:bodyDiv w:val="1"/>
      <w:marLeft w:val="0"/>
      <w:marRight w:val="0"/>
      <w:marTop w:val="0"/>
      <w:marBottom w:val="0"/>
      <w:divBdr>
        <w:top w:val="none" w:sz="0" w:space="0" w:color="auto"/>
        <w:left w:val="none" w:sz="0" w:space="0" w:color="auto"/>
        <w:bottom w:val="none" w:sz="0" w:space="0" w:color="auto"/>
        <w:right w:val="none" w:sz="0" w:space="0" w:color="auto"/>
      </w:divBdr>
    </w:div>
    <w:div w:id="1226141880">
      <w:bodyDiv w:val="1"/>
      <w:marLeft w:val="0"/>
      <w:marRight w:val="0"/>
      <w:marTop w:val="0"/>
      <w:marBottom w:val="0"/>
      <w:divBdr>
        <w:top w:val="none" w:sz="0" w:space="0" w:color="auto"/>
        <w:left w:val="none" w:sz="0" w:space="0" w:color="auto"/>
        <w:bottom w:val="none" w:sz="0" w:space="0" w:color="auto"/>
        <w:right w:val="none" w:sz="0" w:space="0" w:color="auto"/>
      </w:divBdr>
    </w:div>
    <w:div w:id="1238324355">
      <w:bodyDiv w:val="1"/>
      <w:marLeft w:val="0"/>
      <w:marRight w:val="0"/>
      <w:marTop w:val="0"/>
      <w:marBottom w:val="0"/>
      <w:divBdr>
        <w:top w:val="none" w:sz="0" w:space="0" w:color="auto"/>
        <w:left w:val="none" w:sz="0" w:space="0" w:color="auto"/>
        <w:bottom w:val="none" w:sz="0" w:space="0" w:color="auto"/>
        <w:right w:val="none" w:sz="0" w:space="0" w:color="auto"/>
      </w:divBdr>
    </w:div>
    <w:div w:id="1245916617">
      <w:bodyDiv w:val="1"/>
      <w:marLeft w:val="0"/>
      <w:marRight w:val="0"/>
      <w:marTop w:val="0"/>
      <w:marBottom w:val="0"/>
      <w:divBdr>
        <w:top w:val="none" w:sz="0" w:space="0" w:color="auto"/>
        <w:left w:val="none" w:sz="0" w:space="0" w:color="auto"/>
        <w:bottom w:val="none" w:sz="0" w:space="0" w:color="auto"/>
        <w:right w:val="none" w:sz="0" w:space="0" w:color="auto"/>
      </w:divBdr>
    </w:div>
    <w:div w:id="1247378552">
      <w:bodyDiv w:val="1"/>
      <w:marLeft w:val="0"/>
      <w:marRight w:val="0"/>
      <w:marTop w:val="0"/>
      <w:marBottom w:val="0"/>
      <w:divBdr>
        <w:top w:val="none" w:sz="0" w:space="0" w:color="auto"/>
        <w:left w:val="none" w:sz="0" w:space="0" w:color="auto"/>
        <w:bottom w:val="none" w:sz="0" w:space="0" w:color="auto"/>
        <w:right w:val="none" w:sz="0" w:space="0" w:color="auto"/>
      </w:divBdr>
    </w:div>
    <w:div w:id="1257405093">
      <w:bodyDiv w:val="1"/>
      <w:marLeft w:val="0"/>
      <w:marRight w:val="0"/>
      <w:marTop w:val="0"/>
      <w:marBottom w:val="0"/>
      <w:divBdr>
        <w:top w:val="none" w:sz="0" w:space="0" w:color="auto"/>
        <w:left w:val="none" w:sz="0" w:space="0" w:color="auto"/>
        <w:bottom w:val="none" w:sz="0" w:space="0" w:color="auto"/>
        <w:right w:val="none" w:sz="0" w:space="0" w:color="auto"/>
      </w:divBdr>
    </w:div>
    <w:div w:id="1273393961">
      <w:bodyDiv w:val="1"/>
      <w:marLeft w:val="0"/>
      <w:marRight w:val="0"/>
      <w:marTop w:val="0"/>
      <w:marBottom w:val="0"/>
      <w:divBdr>
        <w:top w:val="none" w:sz="0" w:space="0" w:color="auto"/>
        <w:left w:val="none" w:sz="0" w:space="0" w:color="auto"/>
        <w:bottom w:val="none" w:sz="0" w:space="0" w:color="auto"/>
        <w:right w:val="none" w:sz="0" w:space="0" w:color="auto"/>
      </w:divBdr>
    </w:div>
    <w:div w:id="1285649003">
      <w:bodyDiv w:val="1"/>
      <w:marLeft w:val="0"/>
      <w:marRight w:val="0"/>
      <w:marTop w:val="0"/>
      <w:marBottom w:val="0"/>
      <w:divBdr>
        <w:top w:val="none" w:sz="0" w:space="0" w:color="auto"/>
        <w:left w:val="none" w:sz="0" w:space="0" w:color="auto"/>
        <w:bottom w:val="none" w:sz="0" w:space="0" w:color="auto"/>
        <w:right w:val="none" w:sz="0" w:space="0" w:color="auto"/>
      </w:divBdr>
    </w:div>
    <w:div w:id="1289319721">
      <w:bodyDiv w:val="1"/>
      <w:marLeft w:val="0"/>
      <w:marRight w:val="0"/>
      <w:marTop w:val="0"/>
      <w:marBottom w:val="0"/>
      <w:divBdr>
        <w:top w:val="none" w:sz="0" w:space="0" w:color="auto"/>
        <w:left w:val="none" w:sz="0" w:space="0" w:color="auto"/>
        <w:bottom w:val="none" w:sz="0" w:space="0" w:color="auto"/>
        <w:right w:val="none" w:sz="0" w:space="0" w:color="auto"/>
      </w:divBdr>
    </w:div>
    <w:div w:id="1293942994">
      <w:bodyDiv w:val="1"/>
      <w:marLeft w:val="0"/>
      <w:marRight w:val="0"/>
      <w:marTop w:val="0"/>
      <w:marBottom w:val="0"/>
      <w:divBdr>
        <w:top w:val="none" w:sz="0" w:space="0" w:color="auto"/>
        <w:left w:val="none" w:sz="0" w:space="0" w:color="auto"/>
        <w:bottom w:val="none" w:sz="0" w:space="0" w:color="auto"/>
        <w:right w:val="none" w:sz="0" w:space="0" w:color="auto"/>
      </w:divBdr>
    </w:div>
    <w:div w:id="1319647068">
      <w:bodyDiv w:val="1"/>
      <w:marLeft w:val="0"/>
      <w:marRight w:val="0"/>
      <w:marTop w:val="0"/>
      <w:marBottom w:val="0"/>
      <w:divBdr>
        <w:top w:val="none" w:sz="0" w:space="0" w:color="auto"/>
        <w:left w:val="none" w:sz="0" w:space="0" w:color="auto"/>
        <w:bottom w:val="none" w:sz="0" w:space="0" w:color="auto"/>
        <w:right w:val="none" w:sz="0" w:space="0" w:color="auto"/>
      </w:divBdr>
    </w:div>
    <w:div w:id="1324240513">
      <w:bodyDiv w:val="1"/>
      <w:marLeft w:val="0"/>
      <w:marRight w:val="0"/>
      <w:marTop w:val="0"/>
      <w:marBottom w:val="0"/>
      <w:divBdr>
        <w:top w:val="none" w:sz="0" w:space="0" w:color="auto"/>
        <w:left w:val="none" w:sz="0" w:space="0" w:color="auto"/>
        <w:bottom w:val="none" w:sz="0" w:space="0" w:color="auto"/>
        <w:right w:val="none" w:sz="0" w:space="0" w:color="auto"/>
      </w:divBdr>
    </w:div>
    <w:div w:id="1325663751">
      <w:bodyDiv w:val="1"/>
      <w:marLeft w:val="0"/>
      <w:marRight w:val="0"/>
      <w:marTop w:val="0"/>
      <w:marBottom w:val="0"/>
      <w:divBdr>
        <w:top w:val="none" w:sz="0" w:space="0" w:color="auto"/>
        <w:left w:val="none" w:sz="0" w:space="0" w:color="auto"/>
        <w:bottom w:val="none" w:sz="0" w:space="0" w:color="auto"/>
        <w:right w:val="none" w:sz="0" w:space="0" w:color="auto"/>
      </w:divBdr>
    </w:div>
    <w:div w:id="1340307361">
      <w:bodyDiv w:val="1"/>
      <w:marLeft w:val="0"/>
      <w:marRight w:val="0"/>
      <w:marTop w:val="0"/>
      <w:marBottom w:val="0"/>
      <w:divBdr>
        <w:top w:val="none" w:sz="0" w:space="0" w:color="auto"/>
        <w:left w:val="none" w:sz="0" w:space="0" w:color="auto"/>
        <w:bottom w:val="none" w:sz="0" w:space="0" w:color="auto"/>
        <w:right w:val="none" w:sz="0" w:space="0" w:color="auto"/>
      </w:divBdr>
    </w:div>
    <w:div w:id="1347634930">
      <w:bodyDiv w:val="1"/>
      <w:marLeft w:val="0"/>
      <w:marRight w:val="0"/>
      <w:marTop w:val="0"/>
      <w:marBottom w:val="0"/>
      <w:divBdr>
        <w:top w:val="none" w:sz="0" w:space="0" w:color="auto"/>
        <w:left w:val="none" w:sz="0" w:space="0" w:color="auto"/>
        <w:bottom w:val="none" w:sz="0" w:space="0" w:color="auto"/>
        <w:right w:val="none" w:sz="0" w:space="0" w:color="auto"/>
      </w:divBdr>
    </w:div>
    <w:div w:id="1350451774">
      <w:bodyDiv w:val="1"/>
      <w:marLeft w:val="0"/>
      <w:marRight w:val="0"/>
      <w:marTop w:val="0"/>
      <w:marBottom w:val="0"/>
      <w:divBdr>
        <w:top w:val="none" w:sz="0" w:space="0" w:color="auto"/>
        <w:left w:val="none" w:sz="0" w:space="0" w:color="auto"/>
        <w:bottom w:val="none" w:sz="0" w:space="0" w:color="auto"/>
        <w:right w:val="none" w:sz="0" w:space="0" w:color="auto"/>
      </w:divBdr>
    </w:div>
    <w:div w:id="1351759354">
      <w:bodyDiv w:val="1"/>
      <w:marLeft w:val="0"/>
      <w:marRight w:val="0"/>
      <w:marTop w:val="0"/>
      <w:marBottom w:val="0"/>
      <w:divBdr>
        <w:top w:val="none" w:sz="0" w:space="0" w:color="auto"/>
        <w:left w:val="none" w:sz="0" w:space="0" w:color="auto"/>
        <w:bottom w:val="none" w:sz="0" w:space="0" w:color="auto"/>
        <w:right w:val="none" w:sz="0" w:space="0" w:color="auto"/>
      </w:divBdr>
    </w:div>
    <w:div w:id="1355424247">
      <w:bodyDiv w:val="1"/>
      <w:marLeft w:val="0"/>
      <w:marRight w:val="0"/>
      <w:marTop w:val="0"/>
      <w:marBottom w:val="0"/>
      <w:divBdr>
        <w:top w:val="none" w:sz="0" w:space="0" w:color="auto"/>
        <w:left w:val="none" w:sz="0" w:space="0" w:color="auto"/>
        <w:bottom w:val="none" w:sz="0" w:space="0" w:color="auto"/>
        <w:right w:val="none" w:sz="0" w:space="0" w:color="auto"/>
      </w:divBdr>
    </w:div>
    <w:div w:id="1373529984">
      <w:bodyDiv w:val="1"/>
      <w:marLeft w:val="0"/>
      <w:marRight w:val="0"/>
      <w:marTop w:val="0"/>
      <w:marBottom w:val="0"/>
      <w:divBdr>
        <w:top w:val="none" w:sz="0" w:space="0" w:color="auto"/>
        <w:left w:val="none" w:sz="0" w:space="0" w:color="auto"/>
        <w:bottom w:val="none" w:sz="0" w:space="0" w:color="auto"/>
        <w:right w:val="none" w:sz="0" w:space="0" w:color="auto"/>
      </w:divBdr>
    </w:div>
    <w:div w:id="1382442258">
      <w:bodyDiv w:val="1"/>
      <w:marLeft w:val="0"/>
      <w:marRight w:val="0"/>
      <w:marTop w:val="0"/>
      <w:marBottom w:val="0"/>
      <w:divBdr>
        <w:top w:val="none" w:sz="0" w:space="0" w:color="auto"/>
        <w:left w:val="none" w:sz="0" w:space="0" w:color="auto"/>
        <w:bottom w:val="none" w:sz="0" w:space="0" w:color="auto"/>
        <w:right w:val="none" w:sz="0" w:space="0" w:color="auto"/>
      </w:divBdr>
    </w:div>
    <w:div w:id="1384449954">
      <w:bodyDiv w:val="1"/>
      <w:marLeft w:val="0"/>
      <w:marRight w:val="0"/>
      <w:marTop w:val="0"/>
      <w:marBottom w:val="0"/>
      <w:divBdr>
        <w:top w:val="none" w:sz="0" w:space="0" w:color="auto"/>
        <w:left w:val="none" w:sz="0" w:space="0" w:color="auto"/>
        <w:bottom w:val="none" w:sz="0" w:space="0" w:color="auto"/>
        <w:right w:val="none" w:sz="0" w:space="0" w:color="auto"/>
      </w:divBdr>
    </w:div>
    <w:div w:id="1386486571">
      <w:bodyDiv w:val="1"/>
      <w:marLeft w:val="0"/>
      <w:marRight w:val="0"/>
      <w:marTop w:val="0"/>
      <w:marBottom w:val="0"/>
      <w:divBdr>
        <w:top w:val="none" w:sz="0" w:space="0" w:color="auto"/>
        <w:left w:val="none" w:sz="0" w:space="0" w:color="auto"/>
        <w:bottom w:val="none" w:sz="0" w:space="0" w:color="auto"/>
        <w:right w:val="none" w:sz="0" w:space="0" w:color="auto"/>
      </w:divBdr>
    </w:div>
    <w:div w:id="1389180666">
      <w:bodyDiv w:val="1"/>
      <w:marLeft w:val="0"/>
      <w:marRight w:val="0"/>
      <w:marTop w:val="0"/>
      <w:marBottom w:val="0"/>
      <w:divBdr>
        <w:top w:val="none" w:sz="0" w:space="0" w:color="auto"/>
        <w:left w:val="none" w:sz="0" w:space="0" w:color="auto"/>
        <w:bottom w:val="none" w:sz="0" w:space="0" w:color="auto"/>
        <w:right w:val="none" w:sz="0" w:space="0" w:color="auto"/>
      </w:divBdr>
    </w:div>
    <w:div w:id="1411267089">
      <w:bodyDiv w:val="1"/>
      <w:marLeft w:val="0"/>
      <w:marRight w:val="0"/>
      <w:marTop w:val="0"/>
      <w:marBottom w:val="0"/>
      <w:divBdr>
        <w:top w:val="none" w:sz="0" w:space="0" w:color="auto"/>
        <w:left w:val="none" w:sz="0" w:space="0" w:color="auto"/>
        <w:bottom w:val="none" w:sz="0" w:space="0" w:color="auto"/>
        <w:right w:val="none" w:sz="0" w:space="0" w:color="auto"/>
      </w:divBdr>
    </w:div>
    <w:div w:id="1413115653">
      <w:bodyDiv w:val="1"/>
      <w:marLeft w:val="0"/>
      <w:marRight w:val="0"/>
      <w:marTop w:val="0"/>
      <w:marBottom w:val="0"/>
      <w:divBdr>
        <w:top w:val="none" w:sz="0" w:space="0" w:color="auto"/>
        <w:left w:val="none" w:sz="0" w:space="0" w:color="auto"/>
        <w:bottom w:val="none" w:sz="0" w:space="0" w:color="auto"/>
        <w:right w:val="none" w:sz="0" w:space="0" w:color="auto"/>
      </w:divBdr>
    </w:div>
    <w:div w:id="1425833203">
      <w:bodyDiv w:val="1"/>
      <w:marLeft w:val="0"/>
      <w:marRight w:val="0"/>
      <w:marTop w:val="0"/>
      <w:marBottom w:val="0"/>
      <w:divBdr>
        <w:top w:val="none" w:sz="0" w:space="0" w:color="auto"/>
        <w:left w:val="none" w:sz="0" w:space="0" w:color="auto"/>
        <w:bottom w:val="none" w:sz="0" w:space="0" w:color="auto"/>
        <w:right w:val="none" w:sz="0" w:space="0" w:color="auto"/>
      </w:divBdr>
    </w:div>
    <w:div w:id="1444809863">
      <w:bodyDiv w:val="1"/>
      <w:marLeft w:val="0"/>
      <w:marRight w:val="0"/>
      <w:marTop w:val="0"/>
      <w:marBottom w:val="0"/>
      <w:divBdr>
        <w:top w:val="none" w:sz="0" w:space="0" w:color="auto"/>
        <w:left w:val="none" w:sz="0" w:space="0" w:color="auto"/>
        <w:bottom w:val="none" w:sz="0" w:space="0" w:color="auto"/>
        <w:right w:val="none" w:sz="0" w:space="0" w:color="auto"/>
      </w:divBdr>
    </w:div>
    <w:div w:id="1452741806">
      <w:bodyDiv w:val="1"/>
      <w:marLeft w:val="0"/>
      <w:marRight w:val="0"/>
      <w:marTop w:val="0"/>
      <w:marBottom w:val="0"/>
      <w:divBdr>
        <w:top w:val="none" w:sz="0" w:space="0" w:color="auto"/>
        <w:left w:val="none" w:sz="0" w:space="0" w:color="auto"/>
        <w:bottom w:val="none" w:sz="0" w:space="0" w:color="auto"/>
        <w:right w:val="none" w:sz="0" w:space="0" w:color="auto"/>
      </w:divBdr>
    </w:div>
    <w:div w:id="1454137033">
      <w:bodyDiv w:val="1"/>
      <w:marLeft w:val="0"/>
      <w:marRight w:val="0"/>
      <w:marTop w:val="0"/>
      <w:marBottom w:val="0"/>
      <w:divBdr>
        <w:top w:val="none" w:sz="0" w:space="0" w:color="auto"/>
        <w:left w:val="none" w:sz="0" w:space="0" w:color="auto"/>
        <w:bottom w:val="none" w:sz="0" w:space="0" w:color="auto"/>
        <w:right w:val="none" w:sz="0" w:space="0" w:color="auto"/>
      </w:divBdr>
    </w:div>
    <w:div w:id="1455060746">
      <w:bodyDiv w:val="1"/>
      <w:marLeft w:val="0"/>
      <w:marRight w:val="0"/>
      <w:marTop w:val="0"/>
      <w:marBottom w:val="0"/>
      <w:divBdr>
        <w:top w:val="none" w:sz="0" w:space="0" w:color="auto"/>
        <w:left w:val="none" w:sz="0" w:space="0" w:color="auto"/>
        <w:bottom w:val="none" w:sz="0" w:space="0" w:color="auto"/>
        <w:right w:val="none" w:sz="0" w:space="0" w:color="auto"/>
      </w:divBdr>
    </w:div>
    <w:div w:id="1456489512">
      <w:bodyDiv w:val="1"/>
      <w:marLeft w:val="0"/>
      <w:marRight w:val="0"/>
      <w:marTop w:val="0"/>
      <w:marBottom w:val="0"/>
      <w:divBdr>
        <w:top w:val="none" w:sz="0" w:space="0" w:color="auto"/>
        <w:left w:val="none" w:sz="0" w:space="0" w:color="auto"/>
        <w:bottom w:val="none" w:sz="0" w:space="0" w:color="auto"/>
        <w:right w:val="none" w:sz="0" w:space="0" w:color="auto"/>
      </w:divBdr>
    </w:div>
    <w:div w:id="1460493109">
      <w:bodyDiv w:val="1"/>
      <w:marLeft w:val="0"/>
      <w:marRight w:val="0"/>
      <w:marTop w:val="0"/>
      <w:marBottom w:val="0"/>
      <w:divBdr>
        <w:top w:val="none" w:sz="0" w:space="0" w:color="auto"/>
        <w:left w:val="none" w:sz="0" w:space="0" w:color="auto"/>
        <w:bottom w:val="none" w:sz="0" w:space="0" w:color="auto"/>
        <w:right w:val="none" w:sz="0" w:space="0" w:color="auto"/>
      </w:divBdr>
    </w:div>
    <w:div w:id="1471559208">
      <w:bodyDiv w:val="1"/>
      <w:marLeft w:val="0"/>
      <w:marRight w:val="0"/>
      <w:marTop w:val="0"/>
      <w:marBottom w:val="0"/>
      <w:divBdr>
        <w:top w:val="none" w:sz="0" w:space="0" w:color="auto"/>
        <w:left w:val="none" w:sz="0" w:space="0" w:color="auto"/>
        <w:bottom w:val="none" w:sz="0" w:space="0" w:color="auto"/>
        <w:right w:val="none" w:sz="0" w:space="0" w:color="auto"/>
      </w:divBdr>
    </w:div>
    <w:div w:id="1472601617">
      <w:bodyDiv w:val="1"/>
      <w:marLeft w:val="0"/>
      <w:marRight w:val="0"/>
      <w:marTop w:val="0"/>
      <w:marBottom w:val="0"/>
      <w:divBdr>
        <w:top w:val="none" w:sz="0" w:space="0" w:color="auto"/>
        <w:left w:val="none" w:sz="0" w:space="0" w:color="auto"/>
        <w:bottom w:val="none" w:sz="0" w:space="0" w:color="auto"/>
        <w:right w:val="none" w:sz="0" w:space="0" w:color="auto"/>
      </w:divBdr>
    </w:div>
    <w:div w:id="1472989289">
      <w:bodyDiv w:val="1"/>
      <w:marLeft w:val="0"/>
      <w:marRight w:val="0"/>
      <w:marTop w:val="0"/>
      <w:marBottom w:val="0"/>
      <w:divBdr>
        <w:top w:val="none" w:sz="0" w:space="0" w:color="auto"/>
        <w:left w:val="none" w:sz="0" w:space="0" w:color="auto"/>
        <w:bottom w:val="none" w:sz="0" w:space="0" w:color="auto"/>
        <w:right w:val="none" w:sz="0" w:space="0" w:color="auto"/>
      </w:divBdr>
    </w:div>
    <w:div w:id="1477718107">
      <w:bodyDiv w:val="1"/>
      <w:marLeft w:val="0"/>
      <w:marRight w:val="0"/>
      <w:marTop w:val="0"/>
      <w:marBottom w:val="0"/>
      <w:divBdr>
        <w:top w:val="none" w:sz="0" w:space="0" w:color="auto"/>
        <w:left w:val="none" w:sz="0" w:space="0" w:color="auto"/>
        <w:bottom w:val="none" w:sz="0" w:space="0" w:color="auto"/>
        <w:right w:val="none" w:sz="0" w:space="0" w:color="auto"/>
      </w:divBdr>
    </w:div>
    <w:div w:id="1485968783">
      <w:bodyDiv w:val="1"/>
      <w:marLeft w:val="0"/>
      <w:marRight w:val="0"/>
      <w:marTop w:val="0"/>
      <w:marBottom w:val="0"/>
      <w:divBdr>
        <w:top w:val="none" w:sz="0" w:space="0" w:color="auto"/>
        <w:left w:val="none" w:sz="0" w:space="0" w:color="auto"/>
        <w:bottom w:val="none" w:sz="0" w:space="0" w:color="auto"/>
        <w:right w:val="none" w:sz="0" w:space="0" w:color="auto"/>
      </w:divBdr>
    </w:div>
    <w:div w:id="1495802998">
      <w:bodyDiv w:val="1"/>
      <w:marLeft w:val="0"/>
      <w:marRight w:val="0"/>
      <w:marTop w:val="0"/>
      <w:marBottom w:val="0"/>
      <w:divBdr>
        <w:top w:val="none" w:sz="0" w:space="0" w:color="auto"/>
        <w:left w:val="none" w:sz="0" w:space="0" w:color="auto"/>
        <w:bottom w:val="none" w:sz="0" w:space="0" w:color="auto"/>
        <w:right w:val="none" w:sz="0" w:space="0" w:color="auto"/>
      </w:divBdr>
    </w:div>
    <w:div w:id="1500929248">
      <w:bodyDiv w:val="1"/>
      <w:marLeft w:val="0"/>
      <w:marRight w:val="0"/>
      <w:marTop w:val="0"/>
      <w:marBottom w:val="0"/>
      <w:divBdr>
        <w:top w:val="none" w:sz="0" w:space="0" w:color="auto"/>
        <w:left w:val="none" w:sz="0" w:space="0" w:color="auto"/>
        <w:bottom w:val="none" w:sz="0" w:space="0" w:color="auto"/>
        <w:right w:val="none" w:sz="0" w:space="0" w:color="auto"/>
      </w:divBdr>
    </w:div>
    <w:div w:id="1504316395">
      <w:bodyDiv w:val="1"/>
      <w:marLeft w:val="0"/>
      <w:marRight w:val="0"/>
      <w:marTop w:val="0"/>
      <w:marBottom w:val="0"/>
      <w:divBdr>
        <w:top w:val="none" w:sz="0" w:space="0" w:color="auto"/>
        <w:left w:val="none" w:sz="0" w:space="0" w:color="auto"/>
        <w:bottom w:val="none" w:sz="0" w:space="0" w:color="auto"/>
        <w:right w:val="none" w:sz="0" w:space="0" w:color="auto"/>
      </w:divBdr>
    </w:div>
    <w:div w:id="1519195254">
      <w:bodyDiv w:val="1"/>
      <w:marLeft w:val="0"/>
      <w:marRight w:val="0"/>
      <w:marTop w:val="0"/>
      <w:marBottom w:val="0"/>
      <w:divBdr>
        <w:top w:val="none" w:sz="0" w:space="0" w:color="auto"/>
        <w:left w:val="none" w:sz="0" w:space="0" w:color="auto"/>
        <w:bottom w:val="none" w:sz="0" w:space="0" w:color="auto"/>
        <w:right w:val="none" w:sz="0" w:space="0" w:color="auto"/>
      </w:divBdr>
    </w:div>
    <w:div w:id="1525245673">
      <w:bodyDiv w:val="1"/>
      <w:marLeft w:val="0"/>
      <w:marRight w:val="0"/>
      <w:marTop w:val="0"/>
      <w:marBottom w:val="0"/>
      <w:divBdr>
        <w:top w:val="none" w:sz="0" w:space="0" w:color="auto"/>
        <w:left w:val="none" w:sz="0" w:space="0" w:color="auto"/>
        <w:bottom w:val="none" w:sz="0" w:space="0" w:color="auto"/>
        <w:right w:val="none" w:sz="0" w:space="0" w:color="auto"/>
      </w:divBdr>
    </w:div>
    <w:div w:id="1538393711">
      <w:bodyDiv w:val="1"/>
      <w:marLeft w:val="0"/>
      <w:marRight w:val="0"/>
      <w:marTop w:val="0"/>
      <w:marBottom w:val="0"/>
      <w:divBdr>
        <w:top w:val="none" w:sz="0" w:space="0" w:color="auto"/>
        <w:left w:val="none" w:sz="0" w:space="0" w:color="auto"/>
        <w:bottom w:val="none" w:sz="0" w:space="0" w:color="auto"/>
        <w:right w:val="none" w:sz="0" w:space="0" w:color="auto"/>
      </w:divBdr>
    </w:div>
    <w:div w:id="1542940770">
      <w:bodyDiv w:val="1"/>
      <w:marLeft w:val="0"/>
      <w:marRight w:val="0"/>
      <w:marTop w:val="0"/>
      <w:marBottom w:val="0"/>
      <w:divBdr>
        <w:top w:val="none" w:sz="0" w:space="0" w:color="auto"/>
        <w:left w:val="none" w:sz="0" w:space="0" w:color="auto"/>
        <w:bottom w:val="none" w:sz="0" w:space="0" w:color="auto"/>
        <w:right w:val="none" w:sz="0" w:space="0" w:color="auto"/>
      </w:divBdr>
    </w:div>
    <w:div w:id="1543860974">
      <w:bodyDiv w:val="1"/>
      <w:marLeft w:val="0"/>
      <w:marRight w:val="0"/>
      <w:marTop w:val="0"/>
      <w:marBottom w:val="0"/>
      <w:divBdr>
        <w:top w:val="none" w:sz="0" w:space="0" w:color="auto"/>
        <w:left w:val="none" w:sz="0" w:space="0" w:color="auto"/>
        <w:bottom w:val="none" w:sz="0" w:space="0" w:color="auto"/>
        <w:right w:val="none" w:sz="0" w:space="0" w:color="auto"/>
      </w:divBdr>
    </w:div>
    <w:div w:id="1548100427">
      <w:bodyDiv w:val="1"/>
      <w:marLeft w:val="0"/>
      <w:marRight w:val="0"/>
      <w:marTop w:val="0"/>
      <w:marBottom w:val="0"/>
      <w:divBdr>
        <w:top w:val="none" w:sz="0" w:space="0" w:color="auto"/>
        <w:left w:val="none" w:sz="0" w:space="0" w:color="auto"/>
        <w:bottom w:val="none" w:sz="0" w:space="0" w:color="auto"/>
        <w:right w:val="none" w:sz="0" w:space="0" w:color="auto"/>
      </w:divBdr>
    </w:div>
    <w:div w:id="1559394227">
      <w:bodyDiv w:val="1"/>
      <w:marLeft w:val="0"/>
      <w:marRight w:val="0"/>
      <w:marTop w:val="0"/>
      <w:marBottom w:val="0"/>
      <w:divBdr>
        <w:top w:val="none" w:sz="0" w:space="0" w:color="auto"/>
        <w:left w:val="none" w:sz="0" w:space="0" w:color="auto"/>
        <w:bottom w:val="none" w:sz="0" w:space="0" w:color="auto"/>
        <w:right w:val="none" w:sz="0" w:space="0" w:color="auto"/>
      </w:divBdr>
    </w:div>
    <w:div w:id="1579560094">
      <w:bodyDiv w:val="1"/>
      <w:marLeft w:val="0"/>
      <w:marRight w:val="0"/>
      <w:marTop w:val="0"/>
      <w:marBottom w:val="0"/>
      <w:divBdr>
        <w:top w:val="none" w:sz="0" w:space="0" w:color="auto"/>
        <w:left w:val="none" w:sz="0" w:space="0" w:color="auto"/>
        <w:bottom w:val="none" w:sz="0" w:space="0" w:color="auto"/>
        <w:right w:val="none" w:sz="0" w:space="0" w:color="auto"/>
      </w:divBdr>
    </w:div>
    <w:div w:id="1586064060">
      <w:bodyDiv w:val="1"/>
      <w:marLeft w:val="0"/>
      <w:marRight w:val="0"/>
      <w:marTop w:val="0"/>
      <w:marBottom w:val="0"/>
      <w:divBdr>
        <w:top w:val="none" w:sz="0" w:space="0" w:color="auto"/>
        <w:left w:val="none" w:sz="0" w:space="0" w:color="auto"/>
        <w:bottom w:val="none" w:sz="0" w:space="0" w:color="auto"/>
        <w:right w:val="none" w:sz="0" w:space="0" w:color="auto"/>
      </w:divBdr>
    </w:div>
    <w:div w:id="1591307714">
      <w:bodyDiv w:val="1"/>
      <w:marLeft w:val="0"/>
      <w:marRight w:val="0"/>
      <w:marTop w:val="0"/>
      <w:marBottom w:val="0"/>
      <w:divBdr>
        <w:top w:val="none" w:sz="0" w:space="0" w:color="auto"/>
        <w:left w:val="none" w:sz="0" w:space="0" w:color="auto"/>
        <w:bottom w:val="none" w:sz="0" w:space="0" w:color="auto"/>
        <w:right w:val="none" w:sz="0" w:space="0" w:color="auto"/>
      </w:divBdr>
    </w:div>
    <w:div w:id="1603607724">
      <w:bodyDiv w:val="1"/>
      <w:marLeft w:val="0"/>
      <w:marRight w:val="0"/>
      <w:marTop w:val="0"/>
      <w:marBottom w:val="0"/>
      <w:divBdr>
        <w:top w:val="none" w:sz="0" w:space="0" w:color="auto"/>
        <w:left w:val="none" w:sz="0" w:space="0" w:color="auto"/>
        <w:bottom w:val="none" w:sz="0" w:space="0" w:color="auto"/>
        <w:right w:val="none" w:sz="0" w:space="0" w:color="auto"/>
      </w:divBdr>
    </w:div>
    <w:div w:id="1612513743">
      <w:bodyDiv w:val="1"/>
      <w:marLeft w:val="0"/>
      <w:marRight w:val="0"/>
      <w:marTop w:val="0"/>
      <w:marBottom w:val="0"/>
      <w:divBdr>
        <w:top w:val="none" w:sz="0" w:space="0" w:color="auto"/>
        <w:left w:val="none" w:sz="0" w:space="0" w:color="auto"/>
        <w:bottom w:val="none" w:sz="0" w:space="0" w:color="auto"/>
        <w:right w:val="none" w:sz="0" w:space="0" w:color="auto"/>
      </w:divBdr>
    </w:div>
    <w:div w:id="1618095783">
      <w:bodyDiv w:val="1"/>
      <w:marLeft w:val="0"/>
      <w:marRight w:val="0"/>
      <w:marTop w:val="0"/>
      <w:marBottom w:val="0"/>
      <w:divBdr>
        <w:top w:val="none" w:sz="0" w:space="0" w:color="auto"/>
        <w:left w:val="none" w:sz="0" w:space="0" w:color="auto"/>
        <w:bottom w:val="none" w:sz="0" w:space="0" w:color="auto"/>
        <w:right w:val="none" w:sz="0" w:space="0" w:color="auto"/>
      </w:divBdr>
    </w:div>
    <w:div w:id="1640457682">
      <w:bodyDiv w:val="1"/>
      <w:marLeft w:val="0"/>
      <w:marRight w:val="0"/>
      <w:marTop w:val="0"/>
      <w:marBottom w:val="0"/>
      <w:divBdr>
        <w:top w:val="none" w:sz="0" w:space="0" w:color="auto"/>
        <w:left w:val="none" w:sz="0" w:space="0" w:color="auto"/>
        <w:bottom w:val="none" w:sz="0" w:space="0" w:color="auto"/>
        <w:right w:val="none" w:sz="0" w:space="0" w:color="auto"/>
      </w:divBdr>
    </w:div>
    <w:div w:id="1665552029">
      <w:bodyDiv w:val="1"/>
      <w:marLeft w:val="0"/>
      <w:marRight w:val="0"/>
      <w:marTop w:val="0"/>
      <w:marBottom w:val="0"/>
      <w:divBdr>
        <w:top w:val="none" w:sz="0" w:space="0" w:color="auto"/>
        <w:left w:val="none" w:sz="0" w:space="0" w:color="auto"/>
        <w:bottom w:val="none" w:sz="0" w:space="0" w:color="auto"/>
        <w:right w:val="none" w:sz="0" w:space="0" w:color="auto"/>
      </w:divBdr>
    </w:div>
    <w:div w:id="1666082550">
      <w:bodyDiv w:val="1"/>
      <w:marLeft w:val="0"/>
      <w:marRight w:val="0"/>
      <w:marTop w:val="0"/>
      <w:marBottom w:val="0"/>
      <w:divBdr>
        <w:top w:val="none" w:sz="0" w:space="0" w:color="auto"/>
        <w:left w:val="none" w:sz="0" w:space="0" w:color="auto"/>
        <w:bottom w:val="none" w:sz="0" w:space="0" w:color="auto"/>
        <w:right w:val="none" w:sz="0" w:space="0" w:color="auto"/>
      </w:divBdr>
    </w:div>
    <w:div w:id="1678845520">
      <w:bodyDiv w:val="1"/>
      <w:marLeft w:val="0"/>
      <w:marRight w:val="0"/>
      <w:marTop w:val="0"/>
      <w:marBottom w:val="0"/>
      <w:divBdr>
        <w:top w:val="none" w:sz="0" w:space="0" w:color="auto"/>
        <w:left w:val="none" w:sz="0" w:space="0" w:color="auto"/>
        <w:bottom w:val="none" w:sz="0" w:space="0" w:color="auto"/>
        <w:right w:val="none" w:sz="0" w:space="0" w:color="auto"/>
      </w:divBdr>
    </w:div>
    <w:div w:id="1679653365">
      <w:bodyDiv w:val="1"/>
      <w:marLeft w:val="0"/>
      <w:marRight w:val="0"/>
      <w:marTop w:val="0"/>
      <w:marBottom w:val="0"/>
      <w:divBdr>
        <w:top w:val="none" w:sz="0" w:space="0" w:color="auto"/>
        <w:left w:val="none" w:sz="0" w:space="0" w:color="auto"/>
        <w:bottom w:val="none" w:sz="0" w:space="0" w:color="auto"/>
        <w:right w:val="none" w:sz="0" w:space="0" w:color="auto"/>
      </w:divBdr>
    </w:div>
    <w:div w:id="1685402988">
      <w:bodyDiv w:val="1"/>
      <w:marLeft w:val="0"/>
      <w:marRight w:val="0"/>
      <w:marTop w:val="0"/>
      <w:marBottom w:val="0"/>
      <w:divBdr>
        <w:top w:val="none" w:sz="0" w:space="0" w:color="auto"/>
        <w:left w:val="none" w:sz="0" w:space="0" w:color="auto"/>
        <w:bottom w:val="none" w:sz="0" w:space="0" w:color="auto"/>
        <w:right w:val="none" w:sz="0" w:space="0" w:color="auto"/>
      </w:divBdr>
    </w:div>
    <w:div w:id="1688171981">
      <w:bodyDiv w:val="1"/>
      <w:marLeft w:val="0"/>
      <w:marRight w:val="0"/>
      <w:marTop w:val="0"/>
      <w:marBottom w:val="0"/>
      <w:divBdr>
        <w:top w:val="none" w:sz="0" w:space="0" w:color="auto"/>
        <w:left w:val="none" w:sz="0" w:space="0" w:color="auto"/>
        <w:bottom w:val="none" w:sz="0" w:space="0" w:color="auto"/>
        <w:right w:val="none" w:sz="0" w:space="0" w:color="auto"/>
      </w:divBdr>
    </w:div>
    <w:div w:id="1692490188">
      <w:bodyDiv w:val="1"/>
      <w:marLeft w:val="0"/>
      <w:marRight w:val="0"/>
      <w:marTop w:val="0"/>
      <w:marBottom w:val="0"/>
      <w:divBdr>
        <w:top w:val="none" w:sz="0" w:space="0" w:color="auto"/>
        <w:left w:val="none" w:sz="0" w:space="0" w:color="auto"/>
        <w:bottom w:val="none" w:sz="0" w:space="0" w:color="auto"/>
        <w:right w:val="none" w:sz="0" w:space="0" w:color="auto"/>
      </w:divBdr>
    </w:div>
    <w:div w:id="1706055546">
      <w:bodyDiv w:val="1"/>
      <w:marLeft w:val="0"/>
      <w:marRight w:val="0"/>
      <w:marTop w:val="0"/>
      <w:marBottom w:val="0"/>
      <w:divBdr>
        <w:top w:val="none" w:sz="0" w:space="0" w:color="auto"/>
        <w:left w:val="none" w:sz="0" w:space="0" w:color="auto"/>
        <w:bottom w:val="none" w:sz="0" w:space="0" w:color="auto"/>
        <w:right w:val="none" w:sz="0" w:space="0" w:color="auto"/>
      </w:divBdr>
    </w:div>
    <w:div w:id="1713772390">
      <w:bodyDiv w:val="1"/>
      <w:marLeft w:val="0"/>
      <w:marRight w:val="0"/>
      <w:marTop w:val="0"/>
      <w:marBottom w:val="0"/>
      <w:divBdr>
        <w:top w:val="none" w:sz="0" w:space="0" w:color="auto"/>
        <w:left w:val="none" w:sz="0" w:space="0" w:color="auto"/>
        <w:bottom w:val="none" w:sz="0" w:space="0" w:color="auto"/>
        <w:right w:val="none" w:sz="0" w:space="0" w:color="auto"/>
      </w:divBdr>
    </w:div>
    <w:div w:id="1716126431">
      <w:bodyDiv w:val="1"/>
      <w:marLeft w:val="0"/>
      <w:marRight w:val="0"/>
      <w:marTop w:val="0"/>
      <w:marBottom w:val="0"/>
      <w:divBdr>
        <w:top w:val="none" w:sz="0" w:space="0" w:color="auto"/>
        <w:left w:val="none" w:sz="0" w:space="0" w:color="auto"/>
        <w:bottom w:val="none" w:sz="0" w:space="0" w:color="auto"/>
        <w:right w:val="none" w:sz="0" w:space="0" w:color="auto"/>
      </w:divBdr>
    </w:div>
    <w:div w:id="1716273027">
      <w:bodyDiv w:val="1"/>
      <w:marLeft w:val="0"/>
      <w:marRight w:val="0"/>
      <w:marTop w:val="0"/>
      <w:marBottom w:val="0"/>
      <w:divBdr>
        <w:top w:val="none" w:sz="0" w:space="0" w:color="auto"/>
        <w:left w:val="none" w:sz="0" w:space="0" w:color="auto"/>
        <w:bottom w:val="none" w:sz="0" w:space="0" w:color="auto"/>
        <w:right w:val="none" w:sz="0" w:space="0" w:color="auto"/>
      </w:divBdr>
    </w:div>
    <w:div w:id="1717730581">
      <w:bodyDiv w:val="1"/>
      <w:marLeft w:val="0"/>
      <w:marRight w:val="0"/>
      <w:marTop w:val="0"/>
      <w:marBottom w:val="0"/>
      <w:divBdr>
        <w:top w:val="none" w:sz="0" w:space="0" w:color="auto"/>
        <w:left w:val="none" w:sz="0" w:space="0" w:color="auto"/>
        <w:bottom w:val="none" w:sz="0" w:space="0" w:color="auto"/>
        <w:right w:val="none" w:sz="0" w:space="0" w:color="auto"/>
      </w:divBdr>
    </w:div>
    <w:div w:id="1737512078">
      <w:bodyDiv w:val="1"/>
      <w:marLeft w:val="0"/>
      <w:marRight w:val="0"/>
      <w:marTop w:val="0"/>
      <w:marBottom w:val="0"/>
      <w:divBdr>
        <w:top w:val="none" w:sz="0" w:space="0" w:color="auto"/>
        <w:left w:val="none" w:sz="0" w:space="0" w:color="auto"/>
        <w:bottom w:val="none" w:sz="0" w:space="0" w:color="auto"/>
        <w:right w:val="none" w:sz="0" w:space="0" w:color="auto"/>
      </w:divBdr>
    </w:div>
    <w:div w:id="1752118305">
      <w:bodyDiv w:val="1"/>
      <w:marLeft w:val="0"/>
      <w:marRight w:val="0"/>
      <w:marTop w:val="0"/>
      <w:marBottom w:val="0"/>
      <w:divBdr>
        <w:top w:val="none" w:sz="0" w:space="0" w:color="auto"/>
        <w:left w:val="none" w:sz="0" w:space="0" w:color="auto"/>
        <w:bottom w:val="none" w:sz="0" w:space="0" w:color="auto"/>
        <w:right w:val="none" w:sz="0" w:space="0" w:color="auto"/>
      </w:divBdr>
    </w:div>
    <w:div w:id="1766996545">
      <w:bodyDiv w:val="1"/>
      <w:marLeft w:val="0"/>
      <w:marRight w:val="0"/>
      <w:marTop w:val="0"/>
      <w:marBottom w:val="0"/>
      <w:divBdr>
        <w:top w:val="none" w:sz="0" w:space="0" w:color="auto"/>
        <w:left w:val="none" w:sz="0" w:space="0" w:color="auto"/>
        <w:bottom w:val="none" w:sz="0" w:space="0" w:color="auto"/>
        <w:right w:val="none" w:sz="0" w:space="0" w:color="auto"/>
      </w:divBdr>
    </w:div>
    <w:div w:id="1769547699">
      <w:bodyDiv w:val="1"/>
      <w:marLeft w:val="0"/>
      <w:marRight w:val="0"/>
      <w:marTop w:val="0"/>
      <w:marBottom w:val="0"/>
      <w:divBdr>
        <w:top w:val="none" w:sz="0" w:space="0" w:color="auto"/>
        <w:left w:val="none" w:sz="0" w:space="0" w:color="auto"/>
        <w:bottom w:val="none" w:sz="0" w:space="0" w:color="auto"/>
        <w:right w:val="none" w:sz="0" w:space="0" w:color="auto"/>
      </w:divBdr>
    </w:div>
    <w:div w:id="1778404955">
      <w:bodyDiv w:val="1"/>
      <w:marLeft w:val="0"/>
      <w:marRight w:val="0"/>
      <w:marTop w:val="0"/>
      <w:marBottom w:val="0"/>
      <w:divBdr>
        <w:top w:val="none" w:sz="0" w:space="0" w:color="auto"/>
        <w:left w:val="none" w:sz="0" w:space="0" w:color="auto"/>
        <w:bottom w:val="none" w:sz="0" w:space="0" w:color="auto"/>
        <w:right w:val="none" w:sz="0" w:space="0" w:color="auto"/>
      </w:divBdr>
    </w:div>
    <w:div w:id="1796634118">
      <w:bodyDiv w:val="1"/>
      <w:marLeft w:val="0"/>
      <w:marRight w:val="0"/>
      <w:marTop w:val="0"/>
      <w:marBottom w:val="0"/>
      <w:divBdr>
        <w:top w:val="none" w:sz="0" w:space="0" w:color="auto"/>
        <w:left w:val="none" w:sz="0" w:space="0" w:color="auto"/>
        <w:bottom w:val="none" w:sz="0" w:space="0" w:color="auto"/>
        <w:right w:val="none" w:sz="0" w:space="0" w:color="auto"/>
      </w:divBdr>
    </w:div>
    <w:div w:id="1804276754">
      <w:bodyDiv w:val="1"/>
      <w:marLeft w:val="0"/>
      <w:marRight w:val="0"/>
      <w:marTop w:val="0"/>
      <w:marBottom w:val="0"/>
      <w:divBdr>
        <w:top w:val="none" w:sz="0" w:space="0" w:color="auto"/>
        <w:left w:val="none" w:sz="0" w:space="0" w:color="auto"/>
        <w:bottom w:val="none" w:sz="0" w:space="0" w:color="auto"/>
        <w:right w:val="none" w:sz="0" w:space="0" w:color="auto"/>
      </w:divBdr>
    </w:div>
    <w:div w:id="1819615303">
      <w:bodyDiv w:val="1"/>
      <w:marLeft w:val="0"/>
      <w:marRight w:val="0"/>
      <w:marTop w:val="0"/>
      <w:marBottom w:val="0"/>
      <w:divBdr>
        <w:top w:val="none" w:sz="0" w:space="0" w:color="auto"/>
        <w:left w:val="none" w:sz="0" w:space="0" w:color="auto"/>
        <w:bottom w:val="none" w:sz="0" w:space="0" w:color="auto"/>
        <w:right w:val="none" w:sz="0" w:space="0" w:color="auto"/>
      </w:divBdr>
    </w:div>
    <w:div w:id="1827360790">
      <w:bodyDiv w:val="1"/>
      <w:marLeft w:val="0"/>
      <w:marRight w:val="0"/>
      <w:marTop w:val="0"/>
      <w:marBottom w:val="0"/>
      <w:divBdr>
        <w:top w:val="none" w:sz="0" w:space="0" w:color="auto"/>
        <w:left w:val="none" w:sz="0" w:space="0" w:color="auto"/>
        <w:bottom w:val="none" w:sz="0" w:space="0" w:color="auto"/>
        <w:right w:val="none" w:sz="0" w:space="0" w:color="auto"/>
      </w:divBdr>
    </w:div>
    <w:div w:id="1831865156">
      <w:bodyDiv w:val="1"/>
      <w:marLeft w:val="0"/>
      <w:marRight w:val="0"/>
      <w:marTop w:val="0"/>
      <w:marBottom w:val="0"/>
      <w:divBdr>
        <w:top w:val="none" w:sz="0" w:space="0" w:color="auto"/>
        <w:left w:val="none" w:sz="0" w:space="0" w:color="auto"/>
        <w:bottom w:val="none" w:sz="0" w:space="0" w:color="auto"/>
        <w:right w:val="none" w:sz="0" w:space="0" w:color="auto"/>
      </w:divBdr>
    </w:div>
    <w:div w:id="1845778022">
      <w:bodyDiv w:val="1"/>
      <w:marLeft w:val="0"/>
      <w:marRight w:val="0"/>
      <w:marTop w:val="0"/>
      <w:marBottom w:val="0"/>
      <w:divBdr>
        <w:top w:val="none" w:sz="0" w:space="0" w:color="auto"/>
        <w:left w:val="none" w:sz="0" w:space="0" w:color="auto"/>
        <w:bottom w:val="none" w:sz="0" w:space="0" w:color="auto"/>
        <w:right w:val="none" w:sz="0" w:space="0" w:color="auto"/>
      </w:divBdr>
    </w:div>
    <w:div w:id="1951475655">
      <w:bodyDiv w:val="1"/>
      <w:marLeft w:val="0"/>
      <w:marRight w:val="0"/>
      <w:marTop w:val="0"/>
      <w:marBottom w:val="0"/>
      <w:divBdr>
        <w:top w:val="none" w:sz="0" w:space="0" w:color="auto"/>
        <w:left w:val="none" w:sz="0" w:space="0" w:color="auto"/>
        <w:bottom w:val="none" w:sz="0" w:space="0" w:color="auto"/>
        <w:right w:val="none" w:sz="0" w:space="0" w:color="auto"/>
      </w:divBdr>
    </w:div>
    <w:div w:id="1962491241">
      <w:bodyDiv w:val="1"/>
      <w:marLeft w:val="0"/>
      <w:marRight w:val="0"/>
      <w:marTop w:val="0"/>
      <w:marBottom w:val="0"/>
      <w:divBdr>
        <w:top w:val="none" w:sz="0" w:space="0" w:color="auto"/>
        <w:left w:val="none" w:sz="0" w:space="0" w:color="auto"/>
        <w:bottom w:val="none" w:sz="0" w:space="0" w:color="auto"/>
        <w:right w:val="none" w:sz="0" w:space="0" w:color="auto"/>
      </w:divBdr>
    </w:div>
    <w:div w:id="1990667689">
      <w:bodyDiv w:val="1"/>
      <w:marLeft w:val="0"/>
      <w:marRight w:val="0"/>
      <w:marTop w:val="0"/>
      <w:marBottom w:val="0"/>
      <w:divBdr>
        <w:top w:val="none" w:sz="0" w:space="0" w:color="auto"/>
        <w:left w:val="none" w:sz="0" w:space="0" w:color="auto"/>
        <w:bottom w:val="none" w:sz="0" w:space="0" w:color="auto"/>
        <w:right w:val="none" w:sz="0" w:space="0" w:color="auto"/>
      </w:divBdr>
    </w:div>
    <w:div w:id="1991131528">
      <w:bodyDiv w:val="1"/>
      <w:marLeft w:val="0"/>
      <w:marRight w:val="0"/>
      <w:marTop w:val="0"/>
      <w:marBottom w:val="0"/>
      <w:divBdr>
        <w:top w:val="none" w:sz="0" w:space="0" w:color="auto"/>
        <w:left w:val="none" w:sz="0" w:space="0" w:color="auto"/>
        <w:bottom w:val="none" w:sz="0" w:space="0" w:color="auto"/>
        <w:right w:val="none" w:sz="0" w:space="0" w:color="auto"/>
      </w:divBdr>
    </w:div>
    <w:div w:id="2020497137">
      <w:bodyDiv w:val="1"/>
      <w:marLeft w:val="0"/>
      <w:marRight w:val="0"/>
      <w:marTop w:val="0"/>
      <w:marBottom w:val="0"/>
      <w:divBdr>
        <w:top w:val="none" w:sz="0" w:space="0" w:color="auto"/>
        <w:left w:val="none" w:sz="0" w:space="0" w:color="auto"/>
        <w:bottom w:val="none" w:sz="0" w:space="0" w:color="auto"/>
        <w:right w:val="none" w:sz="0" w:space="0" w:color="auto"/>
      </w:divBdr>
    </w:div>
    <w:div w:id="2020546831">
      <w:bodyDiv w:val="1"/>
      <w:marLeft w:val="0"/>
      <w:marRight w:val="0"/>
      <w:marTop w:val="0"/>
      <w:marBottom w:val="0"/>
      <w:divBdr>
        <w:top w:val="none" w:sz="0" w:space="0" w:color="auto"/>
        <w:left w:val="none" w:sz="0" w:space="0" w:color="auto"/>
        <w:bottom w:val="none" w:sz="0" w:space="0" w:color="auto"/>
        <w:right w:val="none" w:sz="0" w:space="0" w:color="auto"/>
      </w:divBdr>
    </w:div>
    <w:div w:id="2027168845">
      <w:bodyDiv w:val="1"/>
      <w:marLeft w:val="0"/>
      <w:marRight w:val="0"/>
      <w:marTop w:val="0"/>
      <w:marBottom w:val="0"/>
      <w:divBdr>
        <w:top w:val="none" w:sz="0" w:space="0" w:color="auto"/>
        <w:left w:val="none" w:sz="0" w:space="0" w:color="auto"/>
        <w:bottom w:val="none" w:sz="0" w:space="0" w:color="auto"/>
        <w:right w:val="none" w:sz="0" w:space="0" w:color="auto"/>
      </w:divBdr>
    </w:div>
    <w:div w:id="2032097907">
      <w:bodyDiv w:val="1"/>
      <w:marLeft w:val="0"/>
      <w:marRight w:val="0"/>
      <w:marTop w:val="0"/>
      <w:marBottom w:val="0"/>
      <w:divBdr>
        <w:top w:val="none" w:sz="0" w:space="0" w:color="auto"/>
        <w:left w:val="none" w:sz="0" w:space="0" w:color="auto"/>
        <w:bottom w:val="none" w:sz="0" w:space="0" w:color="auto"/>
        <w:right w:val="none" w:sz="0" w:space="0" w:color="auto"/>
      </w:divBdr>
    </w:div>
    <w:div w:id="2074543974">
      <w:bodyDiv w:val="1"/>
      <w:marLeft w:val="0"/>
      <w:marRight w:val="0"/>
      <w:marTop w:val="0"/>
      <w:marBottom w:val="0"/>
      <w:divBdr>
        <w:top w:val="none" w:sz="0" w:space="0" w:color="auto"/>
        <w:left w:val="none" w:sz="0" w:space="0" w:color="auto"/>
        <w:bottom w:val="none" w:sz="0" w:space="0" w:color="auto"/>
        <w:right w:val="none" w:sz="0" w:space="0" w:color="auto"/>
      </w:divBdr>
    </w:div>
    <w:div w:id="2078161093">
      <w:bodyDiv w:val="1"/>
      <w:marLeft w:val="0"/>
      <w:marRight w:val="0"/>
      <w:marTop w:val="0"/>
      <w:marBottom w:val="0"/>
      <w:divBdr>
        <w:top w:val="none" w:sz="0" w:space="0" w:color="auto"/>
        <w:left w:val="none" w:sz="0" w:space="0" w:color="auto"/>
        <w:bottom w:val="none" w:sz="0" w:space="0" w:color="auto"/>
        <w:right w:val="none" w:sz="0" w:space="0" w:color="auto"/>
      </w:divBdr>
    </w:div>
    <w:div w:id="2079932390">
      <w:bodyDiv w:val="1"/>
      <w:marLeft w:val="0"/>
      <w:marRight w:val="0"/>
      <w:marTop w:val="0"/>
      <w:marBottom w:val="0"/>
      <w:divBdr>
        <w:top w:val="none" w:sz="0" w:space="0" w:color="auto"/>
        <w:left w:val="none" w:sz="0" w:space="0" w:color="auto"/>
        <w:bottom w:val="none" w:sz="0" w:space="0" w:color="auto"/>
        <w:right w:val="none" w:sz="0" w:space="0" w:color="auto"/>
      </w:divBdr>
    </w:div>
    <w:div w:id="2080903770">
      <w:bodyDiv w:val="1"/>
      <w:marLeft w:val="0"/>
      <w:marRight w:val="0"/>
      <w:marTop w:val="0"/>
      <w:marBottom w:val="0"/>
      <w:divBdr>
        <w:top w:val="none" w:sz="0" w:space="0" w:color="auto"/>
        <w:left w:val="none" w:sz="0" w:space="0" w:color="auto"/>
        <w:bottom w:val="none" w:sz="0" w:space="0" w:color="auto"/>
        <w:right w:val="none" w:sz="0" w:space="0" w:color="auto"/>
      </w:divBdr>
    </w:div>
    <w:div w:id="2088722574">
      <w:bodyDiv w:val="1"/>
      <w:marLeft w:val="0"/>
      <w:marRight w:val="0"/>
      <w:marTop w:val="0"/>
      <w:marBottom w:val="0"/>
      <w:divBdr>
        <w:top w:val="none" w:sz="0" w:space="0" w:color="auto"/>
        <w:left w:val="none" w:sz="0" w:space="0" w:color="auto"/>
        <w:bottom w:val="none" w:sz="0" w:space="0" w:color="auto"/>
        <w:right w:val="none" w:sz="0" w:space="0" w:color="auto"/>
      </w:divBdr>
    </w:div>
    <w:div w:id="2093892535">
      <w:bodyDiv w:val="1"/>
      <w:marLeft w:val="0"/>
      <w:marRight w:val="0"/>
      <w:marTop w:val="0"/>
      <w:marBottom w:val="0"/>
      <w:divBdr>
        <w:top w:val="none" w:sz="0" w:space="0" w:color="auto"/>
        <w:left w:val="none" w:sz="0" w:space="0" w:color="auto"/>
        <w:bottom w:val="none" w:sz="0" w:space="0" w:color="auto"/>
        <w:right w:val="none" w:sz="0" w:space="0" w:color="auto"/>
      </w:divBdr>
    </w:div>
    <w:div w:id="2102606725">
      <w:bodyDiv w:val="1"/>
      <w:marLeft w:val="0"/>
      <w:marRight w:val="0"/>
      <w:marTop w:val="0"/>
      <w:marBottom w:val="0"/>
      <w:divBdr>
        <w:top w:val="none" w:sz="0" w:space="0" w:color="auto"/>
        <w:left w:val="none" w:sz="0" w:space="0" w:color="auto"/>
        <w:bottom w:val="none" w:sz="0" w:space="0" w:color="auto"/>
        <w:right w:val="none" w:sz="0" w:space="0" w:color="auto"/>
      </w:divBdr>
    </w:div>
    <w:div w:id="2108960716">
      <w:bodyDiv w:val="1"/>
      <w:marLeft w:val="0"/>
      <w:marRight w:val="0"/>
      <w:marTop w:val="0"/>
      <w:marBottom w:val="0"/>
      <w:divBdr>
        <w:top w:val="none" w:sz="0" w:space="0" w:color="auto"/>
        <w:left w:val="none" w:sz="0" w:space="0" w:color="auto"/>
        <w:bottom w:val="none" w:sz="0" w:space="0" w:color="auto"/>
        <w:right w:val="none" w:sz="0" w:space="0" w:color="auto"/>
      </w:divBdr>
    </w:div>
    <w:div w:id="2112356885">
      <w:bodyDiv w:val="1"/>
      <w:marLeft w:val="0"/>
      <w:marRight w:val="0"/>
      <w:marTop w:val="0"/>
      <w:marBottom w:val="0"/>
      <w:divBdr>
        <w:top w:val="none" w:sz="0" w:space="0" w:color="auto"/>
        <w:left w:val="none" w:sz="0" w:space="0" w:color="auto"/>
        <w:bottom w:val="none" w:sz="0" w:space="0" w:color="auto"/>
        <w:right w:val="none" w:sz="0" w:space="0" w:color="auto"/>
      </w:divBdr>
    </w:div>
    <w:div w:id="212352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Bow02</b:Tag>
    <b:SourceType>JournalArticle</b:SourceType>
    <b:Guid>{35397CEC-84FA-4650-AD04-AD4A8CA8DA58}</b:Guid>
    <b:Title>Racism, Crime and Justice</b:Title>
    <b:Year>2002</b:Year>
    <b:JournalName>Pearson Education Limited</b:JournalName>
    <b:Pages>139-140</b:Pages>
    <b:Author>
      <b:Author>
        <b:NameList>
          <b:Person>
            <b:Last>Bowling</b:Last>
            <b:First>B</b:First>
          </b:Person>
          <b:Person>
            <b:Last>Phillips</b:Last>
            <b:First>C</b:First>
          </b:Person>
        </b:NameList>
      </b:Author>
    </b:Author>
    <b:RefOrder>1</b:RefOrder>
  </b:Source>
  <b:Source>
    <b:Tag>Bri81</b:Tag>
    <b:SourceType>Report</b:SourceType>
    <b:Guid>{A0CAAB21-A97F-4F54-8B7F-A8964B71F69A}</b:Guid>
    <b:Title>The Brixton Disorders</b:Title>
    <b:Year>1981</b:Year>
    <b:Author>
      <b:Author>
        <b:Corporate>Scarman</b:Corporate>
      </b:Author>
    </b:Author>
    <b:Publisher>HMSO</b:Publisher>
    <b:City>London</b:City>
    <b:RefOrder>2</b:RefOrder>
  </b:Source>
  <b:Source>
    <b:Tag>Wil83</b:Tag>
    <b:SourceType>Report</b:SourceType>
    <b:Guid>{CF9DECA3-12DD-46C4-9A68-6A09292379E0}</b:Guid>
    <b:Title>The Use, Effectiveness and Impact of Police Stop and Search Powers.</b:Title>
    <b:Year>1983</b:Year>
    <b:Publisher>Home Office</b:Publisher>
    <b:City>London</b:City>
    <b:Author>
      <b:Author>
        <b:NameList>
          <b:Person>
            <b:Last>Willis</b:Last>
            <b:First>C</b:First>
          </b:Person>
        </b:NameList>
      </b:Author>
    </b:Author>
    <b:RefOrder>3</b:RefOrder>
  </b:Source>
  <b:Source>
    <b:Tag>Bla00</b:Tag>
    <b:SourceType>Report</b:SourceType>
    <b:Guid>{029816CE-81CB-4816-8877-26C1EDF37987}</b:Guid>
    <b:Title>An evaluation of the recommendations of the Stephen Lawence Inquiry on stops and searches.</b:Title>
    <b:JournalName>Upping the PACE?</b:JournalName>
    <b:Year>2000</b:Year>
    <b:Author>
      <b:Author>
        <b:NameList>
          <b:Person>
            <b:Last>Bland</b:Last>
            <b:First>N</b:First>
          </b:Person>
          <b:Person>
            <b:Last>Miller</b:Last>
            <b:First>J</b:First>
          </b:Person>
          <b:Person>
            <b:Last>Quinton</b:Last>
            <b:First>P</b:First>
          </b:Person>
        </b:NameList>
      </b:Author>
    </b:Author>
    <b:Publisher>Home office</b:Publisher>
    <b:City>London</b:City>
    <b:RefOrder>4</b:RefOrder>
  </b:Source>
  <b:Source>
    <b:Tag>Mil10</b:Tag>
    <b:SourceType>JournalArticle</b:SourceType>
    <b:Guid>{A20E6EDC-5AF9-4CD8-942C-E3E262ADBB5E}</b:Guid>
    <b:Title>Stop and search in England: A reformed tactic or business as usual?</b:Title>
    <b:Year>2010</b:Year>
    <b:JournalName>The British Journal of Criminology </b:JournalName>
    <b:Pages>50(5), 954-974</b:Pages>
    <b:Author>
      <b:Author>
        <b:NameList>
          <b:Person>
            <b:Last>Miller</b:Last>
            <b:First>J</b:First>
          </b:Person>
        </b:NameList>
      </b:Author>
    </b:Author>
    <b:RefOrder>5</b:RefOrder>
  </b:Source>
  <b:Source>
    <b:Tag>Bro97</b:Tag>
    <b:SourceType>Report</b:SourceType>
    <b:Guid>{D77C7381-6CA2-49AE-93B1-2161290BA607}</b:Guid>
    <b:Title>PACE ten years on: A review of the research</b:Title>
    <b:Year>1997</b:Year>
    <b:Publisher>Home Office </b:Publisher>
    <b:City>London</b:City>
    <b:Author>
      <b:Author>
        <b:NameList>
          <b:Person>
            <b:Last>Brown</b:Last>
            <b:First>D</b:First>
          </b:Person>
        </b:NameList>
      </b:Author>
    </b:Author>
    <b:RefOrder>6</b:RefOrder>
  </b:Source>
  <b:Source>
    <b:Tag>Qui11</b:Tag>
    <b:SourceType>JournalArticle</b:SourceType>
    <b:Guid>{88786D45-57DA-43AF-BD3A-514572805332}</b:Guid>
    <b:Title>The formation of suspicions: Police stop and search practices in England and Wales</b:Title>
    <b:Year>2011</b:Year>
    <b:Author>
      <b:Author>
        <b:NameList>
          <b:Person>
            <b:Last>Quinton</b:Last>
            <b:First>P</b:First>
          </b:Person>
        </b:NameList>
      </b:Author>
    </b:Author>
    <b:JournalName>Policing and Society </b:JournalName>
    <b:Pages>21(4) 357-368</b:Pages>
    <b:RefOrder>7</b:RefOrder>
  </b:Source>
  <b:Source>
    <b:Tag>Qui00</b:Tag>
    <b:SourceType>Report</b:SourceType>
    <b:Guid>{4145C404-AAED-4D59-B14F-0B3A40A00B15}</b:Guid>
    <b:Title>The impact of stops and searches on crime and the community</b:Title>
    <b:Year>2000</b:Year>
    <b:Publisher>Home Office </b:Publisher>
    <b:City>London </b:City>
    <b:Author>
      <b:Author>
        <b:NameList>
          <b:Person>
            <b:Last>Quinton </b:Last>
            <b:First>P</b:First>
          </b:Person>
          <b:Person>
            <b:Last>Bland </b:Last>
            <b:First>N</b:First>
          </b:Person>
          <b:Person>
            <b:Last>Miller </b:Last>
            <b:First>J</b:First>
          </b:Person>
        </b:NameList>
      </b:Author>
    </b:Author>
    <b:RefOrder>8</b:RefOrder>
  </b:Source>
  <b:Source>
    <b:Tag>Her13</b:Tag>
    <b:SourceType>Report</b:SourceType>
    <b:Guid>{59456C33-D2F9-473B-9F68-6C1150564ED1}</b:Guid>
    <b:Author>
      <b:Author>
        <b:Corporate>Her Majesty's Inspectorate of Constabulary </b:Corporate>
      </b:Author>
    </b:Author>
    <b:Title>Stop and search powers: Are the police using them effectively and fairly?</b:Title>
    <b:Year>2013</b:Year>
    <b:Publisher>HMIC</b:Publisher>
    <b:City>London </b:City>
    <b:RefOrder>9</b:RefOrder>
  </b:Source>
  <b:Source>
    <b:Tag>Cat99</b:Tag>
    <b:SourceType>Report</b:SourceType>
    <b:Guid>{ECDAC4EE-0A44-4865-AB31-8A21841E57D2}</b:Guid>
    <b:Title>The Case of Steven Lawence</b:Title>
    <b:Year>1999</b:Year>
    <b:Publisher>Viking</b:Publisher>
    <b:City>London</b:City>
    <b:Author>
      <b:Author>
        <b:NameList>
          <b:Person>
            <b:Last>Cathcart</b:Last>
            <b:First>B</b:First>
          </b:Person>
        </b:NameList>
      </b:Author>
    </b:Author>
    <b:RefOrder>10</b:RefOrder>
  </b:Source>
  <b:Source>
    <b:Tag>Sir99</b:Tag>
    <b:SourceType>Report</b:SourceType>
    <b:Guid>{9489FFD6-79FC-4912-BBE0-2D5A903512B6}</b:Guid>
    <b:Author>
      <b:Author>
        <b:NameList>
          <b:Person>
            <b:Last>Macpherson</b:Last>
            <b:First>Sir</b:First>
            <b:Middle>William</b:Middle>
          </b:Person>
        </b:NameList>
      </b:Author>
    </b:Author>
    <b:Title>Stephen Lawence Inquiry </b:Title>
    <b:Year>1999</b:Year>
    <b:Publisher>HMSO</b:Publisher>
    <b:City>London</b:City>
    <b:RefOrder>11</b:RefOrder>
  </b:Source>
  <b:Source>
    <b:Tag>Hol04</b:Tag>
    <b:SourceType>JournalArticle</b:SourceType>
    <b:Guid>{42EF12F9-12DF-4313-9BBB-62C70D89F391}</b:Guid>
    <b:Title>The Development of Black Police Associations: Changing Articulations of Race within the Police.</b:Title>
    <b:Year>2004</b:Year>
    <b:JournalName>British Journal of Criminology</b:JournalName>
    <b:Pages>Vol 44. (6), 854-865</b:Pages>
    <b:Author>
      <b:Author>
        <b:NameList>
          <b:Person>
            <b:Last>Holdaway</b:Last>
            <b:First>S.</b:First>
          </b:Person>
          <b:Person>
            <b:Last>O'Neil</b:Last>
            <b:First>M.</b:First>
          </b:Person>
        </b:NameList>
      </b:Author>
    </b:Author>
    <b:RefOrder>12</b:RefOrder>
  </b:Source>
  <b:Source>
    <b:Tag>EHR10</b:Tag>
    <b:SourceType>Report</b:SourceType>
    <b:Guid>{7163114D-398F-4424-9970-E30FCFA79A43}</b:Guid>
    <b:Author>
      <b:Author>
        <b:Corporate>EHRC</b:Corporate>
      </b:Author>
    </b:Author>
    <b:Title>Stop and think: A critical review of the use of stop and search powers in England and Wales </b:Title>
    <b:Year>2010</b:Year>
    <b:Publisher>EHRC</b:Publisher>
    <b:City>London</b:City>
    <b:RefOrder>13</b:RefOrder>
  </b:Source>
  <b:Source>
    <b:Tag>Shi15</b:Tag>
    <b:SourceType>JournalArticle</b:SourceType>
    <b:Guid>{3D463631-C247-4573-8B5B-26583B0D97A5}</b:Guid>
    <b:Title>The politics of the powers.</b:Title>
    <b:Year>2015</b:Year>
    <b:JournalName>Stop and search: The anotomy of police power </b:JournalName>
    <b:Pages>31-56</b:Pages>
    <b:Author>
      <b:Author>
        <b:NameList>
          <b:Person>
            <b:Last>Shiner</b:Last>
            <b:First>M</b:First>
          </b:Person>
          <b:Person>
            <b:Last>Delsol</b:Last>
            <b:First>R</b:First>
          </b:Person>
        </b:NameList>
      </b:Author>
    </b:Author>
    <b:RefOrder>14</b:RefOrder>
  </b:Source>
  <b:Source>
    <b:Tag>Hom19</b:Tag>
    <b:SourceType>Report</b:SourceType>
    <b:Guid>{FBF86967-9B93-4550-A6DD-5E78EE502E07}</b:Guid>
    <b:Author>
      <b:Author>
        <b:Corporate>Home Office </b:Corporate>
      </b:Author>
    </b:Author>
    <b:Title>Police powers and procedures, England and Wales year ending 31 March 2019</b:Title>
    <b:Year>2019</b:Year>
    <b:Publisher>Home Office</b:Publisher>
    <b:City>London</b:City>
    <b:RefOrder>15</b:RefOrder>
  </b:Source>
  <b:Source>
    <b:Tag>Nat20</b:Tag>
    <b:SourceType>InternetSite</b:SourceType>
    <b:Guid>{163EEDD7-F78C-47D3-AAE5-961F236274B3}</b:Guid>
    <b:Title>Protecting the public from serious and organised crime.</b:Title>
    <b:Year>2020</b:Year>
    <b:Author>
      <b:Author>
        <b:Corporate>National Crime Agency</b:Corporate>
      </b:Author>
    </b:Author>
    <b:InternetSiteTitle>National Crime Agency</b:InternetSiteTitle>
    <b:Month>September</b:Month>
    <b:Day>22</b:Day>
    <b:URL>https://nationalcrimeagency.gov.uk/what-we-do/crime-threats/drug-trafficking/county-lines</b:URL>
    <b:RefOrder>16</b:RefOrder>
  </b:Source>
  <b:Source>
    <b:Tag>Oxf23</b:Tag>
    <b:SourceType>Book</b:SourceType>
    <b:Guid>{F7DC2149-1C2F-4CB6-907E-C3070B9AA58D}</b:Guid>
    <b:Title>Oxford English Dictionary</b:Title>
    <b:Year>2023</b:Year>
    <b:City>Oxford</b:City>
    <b:Publisher>Oxford University Press</b:Publisher>
    <b:Author>
      <b:Author>
        <b:Corporate>Oxford University Press</b:Corporate>
      </b:Author>
    </b:Author>
    <b:RefOrder>17</b:RefOrder>
  </b:Source>
  <b:Source>
    <b:Tag>Coo12</b:Tag>
    <b:SourceType>JournalArticle</b:SourceType>
    <b:Guid>{8C0882EE-9EBA-4958-BC07-E8F2C5B43A5A}</b:Guid>
    <b:Author>
      <b:Author>
        <b:NameList>
          <b:Person>
            <b:Last>Coomber</b:Last>
            <b:First>R.</b:First>
            <b:Middle>and Moyle, L</b:Middle>
          </b:Person>
        </b:NameList>
      </b:Author>
    </b:Author>
    <b:Title> A rapid appraisal of the illicit drug market in Southend-On-Sea-On-Sea, Essex.</b:Title>
    <b:JournalName>Plymouth University, Drug and Alcohol Research Unit.</b:JournalName>
    <b:Year>2012</b:Year>
    <b:RefOrder>18</b:RefOrder>
  </b:Source>
  <b:Source>
    <b:Tag>Cal20</b:Tag>
    <b:SourceType>InternetSite</b:SourceType>
    <b:Guid>{A30DB823-77D1-4FFA-B841-A05AE0D969A6}</b:Guid>
    <b:Title>County lines and looked after children.</b:Title>
    <b:Year>2020</b:Year>
    <b:Author>
      <b:Author>
        <b:NameList>
          <b:Person>
            <b:Last>Caluori</b:Last>
            <b:First>J.,</b:First>
            <b:Middle>Corlett, D.M. and Stott, J</b:Middle>
          </b:Person>
        </b:NameList>
      </b:Author>
    </b:Author>
    <b:InternetSiteTitle>Crest</b:InternetSiteTitle>
    <b:URL>https://search.ebscohost.com/login.aspx?direct=true&amp;AuthType=shib&amp;db=cat04924a&amp;AN=npl.E7425&amp;site=eds-live&amp;scope=site</b:URL>
    <b:RefOrder>19</b:RefOrder>
  </b:Source>
  <b:Source>
    <b:Tag>Hom17</b:Tag>
    <b:SourceType>JournalArticle</b:SourceType>
    <b:Guid>{D25D79EB-4358-462A-90EC-8AAAB1B4EC09}</b:Guid>
    <b:Author>
      <b:Author>
        <b:Corporate>Home Office.</b:Corporate>
      </b:Author>
    </b:Author>
    <b:Title>County Lines guidance.</b:Title>
    <b:JournalName>Criminal Exploitation of children and vulnerable adults.</b:JournalName>
    <b:Year>2017.</b:Year>
    <b:RefOrder>20</b:RefOrder>
  </b:Source>
  <b:Source>
    <b:Tag>Coo18</b:Tag>
    <b:SourceType>JournalArticle</b:SourceType>
    <b:Guid>{EA8B6FA7-8564-44D8-B71F-ECE898FCE88E}</b:Guid>
    <b:Author>
      <b:Author>
        <b:NameList>
          <b:Person>
            <b:Last>Coomber</b:Last>
            <b:First>R.</b:First>
            <b:Middle>and Moyle, L.</b:Middle>
          </b:Person>
        </b:NameList>
      </b:Author>
    </b:Author>
    <b:Title>The changing shape of street-level heroin and crack supply in England: Commuting, holidaying and cuckooing drug dealers across ‘county lines’. </b:Title>
    <b:JournalName>The British Journal of Criminology</b:JournalName>
    <b:Year>2018</b:Year>
    <b:Pages>58(6), pp.1323-1342.</b:Pages>
    <b:RefOrder>21</b:RefOrder>
  </b:Source>
  <b:Source>
    <b:Tag>Nat16</b:Tag>
    <b:SourceType>JournalArticle</b:SourceType>
    <b:Guid>{5E4849A5-4901-41C6-AD11-CCAB9B40B21C}</b:Guid>
    <b:Title>County lines gang violence, exploitation and drug supply.</b:Title>
    <b:Year>2016</b:Year>
    <b:Author>
      <b:Author>
        <b:Corporate>National Crime Agency</b:Corporate>
      </b:Author>
    </b:Author>
    <b:JournalName>London: NCA.</b:JournalName>
    <b:RefOrder>22</b:RefOrder>
  </b:Source>
  <b:Source>
    <b:Tag>Rei17</b:Tag>
    <b:SourceType>JournalArticle</b:SourceType>
    <b:Guid>{88B9AE1C-B684-4F96-B794-5310CEA21AF9}</b:Guid>
    <b:Author>
      <b:Author>
        <b:NameList>
          <b:Person>
            <b:Last>Reid</b:Last>
            <b:First>J.A.,</b:First>
            <b:Middle>Baglivio, M.T., Piquero, A.R., Greenwald, M.A. and Epps, N.</b:Middle>
          </b:Person>
        </b:NameList>
      </b:Author>
    </b:Author>
    <b:Title>Human trafficking of minors and childhood adversity in Florida. </b:Title>
    <b:JournalName>American journal of public health</b:JournalName>
    <b:Year>2017</b:Year>
    <b:Pages>107(2), pp.306-311.</b:Pages>
    <b:RefOrder>23</b:RefOrder>
  </b:Source>
  <b:Source>
    <b:Tag>Nat161</b:Tag>
    <b:SourceType>InternetSite</b:SourceType>
    <b:Guid>{8E4E72C7-2D05-433E-817F-7F256CC54F05}</b:Guid>
    <b:Author>
      <b:Author>
        <b:Corporate>National Crime Agency </b:Corporate>
      </b:Author>
    </b:Author>
    <b:Title>County lines gang violence, exploitation and drug supply</b:Title>
    <b:InternetSiteTitle>National briefing report</b:InternetSiteTitle>
    <b:Year>2016</b:Year>
    <b:URL>https://search.ebscohost.com/login.aspx?direct=true&amp;AuthType=shib&amp;db=cat04924a&amp;AN=npl.E1974&amp;site=e</b:URL>
    <b:RefOrder>24</b:RefOrder>
  </b:Source>
  <b:Source>
    <b:Tag>Win15</b:Tag>
    <b:SourceType>JournalArticle</b:SourceType>
    <b:Guid>{30E89AE1-513C-437B-BA30-E7DBF394ECC0}</b:Guid>
    <b:Author>
      <b:Author>
        <b:NameList>
          <b:Person>
            <b:Last>Windle</b:Last>
            <b:First>J.</b:First>
            <b:Middle>and Briggs, D.</b:Middle>
          </b:Person>
        </b:NameList>
      </b:Author>
    </b:Author>
    <b:Title>Going solo: the social organisation of drug dealing within a London street gang. </b:Title>
    <b:JournalName>Journal of youth studies</b:JournalName>
    <b:Year>2015</b:Year>
    <b:Pages>18(9), pp.1170-1185.</b:Pages>
    <b:RefOrder>25</b:RefOrder>
  </b:Source>
  <b:Source>
    <b:Tag>Coo181</b:Tag>
    <b:SourceType>JournalArticle</b:SourceType>
    <b:Guid>{D20105C5-B98E-4F24-B10C-9407DDA025DA}</b:Guid>
    <b:Author>
      <b:Author>
        <b:NameList>
          <b:Person>
            <b:Last>Coomber</b:Last>
            <b:First>R.</b:First>
            <b:Middle>and Moyle, L.</b:Middle>
          </b:Person>
        </b:NameList>
      </b:Author>
    </b:Author>
    <b:Title>The changing shape of street-level heroin and crack supply in England: Commuting, holidaying and cuckooing drug dealers across ‘county lines’. </b:Title>
    <b:JournalName> The British Journal of Criminology</b:JournalName>
    <b:Year>2018</b:Year>
    <b:Pages>58(6), pp.1323-1342.</b:Pages>
    <b:RefOrder>26</b:RefOrder>
  </b:Source>
  <b:Source>
    <b:Tag>Bri13</b:Tag>
    <b:SourceType>JournalArticle</b:SourceType>
    <b:Guid>{D86A8127-693A-49EC-9313-ACE9A1BF339C}</b:Guid>
    <b:Author>
      <b:Author>
        <b:NameList>
          <b:Person>
            <b:Last>Briggs</b:Last>
            <b:First>D.</b:First>
          </b:Person>
        </b:NameList>
      </b:Author>
    </b:Author>
    <b:Title>Crack cocaine users: High society and low life in South London. </b:Title>
    <b:JournalName>Routledge.</b:JournalName>
    <b:Year>2013</b:Year>
    <b:RefOrder>27</b:RefOrder>
  </b:Source>
  <b:Source>
    <b:Tag>Cur03</b:Tag>
    <b:SourceType>JournalArticle</b:SourceType>
    <b:Guid>{A135118F-B9BE-48F0-AB0B-9661F227A87D}</b:Guid>
    <b:Author>
      <b:Author>
        <b:NameList>
          <b:Person>
            <b:Last>Curry</b:Last>
            <b:First>G.D.,</b:First>
            <b:Middle>Decker, S.H. and Pyrooz, D.</b:Middle>
          </b:Person>
        </b:NameList>
      </b:Author>
    </b:Author>
    <b:Title>Confronting gangs: Crime and community.</b:Title>
    <b:JournalName>Los Angeles, CA: Roxbury Publishing Company.</b:JournalName>
    <b:Year>2003</b:Year>
    <b:RefOrder>28</b:RefOrder>
  </b:Source>
  <b:Source>
    <b:Tag>And18</b:Tag>
    <b:SourceType>JournalArticle</b:SourceType>
    <b:Guid>{612ECA15-3D2C-4BD2-AF39-C47345825DAA}</b:Guid>
    <b:Author>
      <b:Author>
        <b:NameList>
          <b:Person>
            <b:Last>Andell</b:Last>
            <b:First>P.</b:First>
            <b:Middle>and Pitts, J.</b:Middle>
          </b:Person>
        </b:NameList>
      </b:Author>
    </b:Author>
    <b:Title> The end of the line? The impact of county lines drug distribution on youth crime in a target destination.</b:Title>
    <b:JournalName>Youth &amp; Policy.</b:JournalName>
    <b:Year>2018</b:Year>
    <b:RefOrder>29</b:RefOrder>
  </b:Source>
  <b:Source>
    <b:Tag>Coo122</b:Tag>
    <b:SourceType>JournalArticle</b:SourceType>
    <b:Guid>{A7B27804-56ED-4268-A7DF-24550B7217A2}</b:Guid>
    <b:Author>
      <b:Author>
        <b:NameList>
          <b:Person>
            <b:Last>Coomber</b:Last>
            <b:First>R.</b:First>
            <b:Middle>and Moyle, L.</b:Middle>
          </b:Person>
        </b:NameList>
      </b:Author>
    </b:Author>
    <b:Title>A rapid appraisal of the illicit drug market in Southend-On-Sea-On-Sea, Essex. Full report.</b:Title>
    <b:JournalName>Plymouth University, Drug and Alcohol Research Unit.</b:JournalName>
    <b:Year>2012</b:Year>
    <b:RefOrder>30</b:RefOrder>
  </b:Source>
  <b:Source>
    <b:Tag>Coo121</b:Tag>
    <b:SourceType>JournalArticle</b:SourceType>
    <b:Guid>{DD0D5361-F4C6-40B5-A599-D921B63E1ADF}</b:Guid>
    <b:Author>
      <b:Author>
        <b:NameList>
          <b:Person>
            <b:Last>Coomber</b:Last>
            <b:First>R.</b:First>
            <b:Middle>and Moyle, L.</b:Middle>
          </b:Person>
        </b:NameList>
      </b:Author>
    </b:Author>
    <b:Title>A rapid appraisal of the illicit drug market in Southend-On-Sea-On-Sea, Essex. Full report. </b:Title>
    <b:JournalName> Plymouth University, Drug and Alcohol Research Unit.</b:JournalName>
    <b:Year>2012</b:Year>
    <b:RefOrder>31</b:RefOrder>
  </b:Source>
  <b:Source>
    <b:Tag>Sto17</b:Tag>
    <b:SourceType>JournalArticle</b:SourceType>
    <b:Guid>{E5A17B2E-B977-4996-8205-AB649ADA141C}</b:Guid>
    <b:Author>
      <b:Author>
        <b:NameList>
          <b:Person>
            <b:Last>Storrod</b:Last>
            <b:First>M.L.</b:First>
            <b:Middle>and Densley, J.A</b:Middle>
          </b:Person>
        </b:NameList>
      </b:Author>
    </b:Author>
    <b:Title>‘Going viral’and ‘Going country’: the expressive and instrumental activities of street gangs on social media. </b:Title>
    <b:JournalName>Journal of youth studies.</b:JournalName>
    <b:Year>2017</b:Year>
    <b:Pages>20(6), pp.677-696.</b:Pages>
    <b:RefOrder>32</b:RefOrder>
  </b:Source>
  <b:Source>
    <b:Tag>Nac23</b:Tag>
    <b:SourceType>InternetSite</b:SourceType>
    <b:Guid>{60A982B1-3A78-4A14-BC08-D521BC6357C9}</b:Guid>
    <b:Author>
      <b:Author>
        <b:Corporate>Nacro</b:Corporate>
      </b:Author>
    </b:Author>
    <b:Title>Nacro</b:Title>
    <b:InternetSiteTitle>Advice for people under MAPPA</b:InternetSiteTitle>
    <b:Year>2023</b:Year>
    <b:URL>https://www.nacro.org.uk/nacro-services/advice/advice-for-individuals/sex-offences-shpo-mappa/advice-for-people-under-mappa/</b:URL>
    <b:RefOrder>33</b:RefOrder>
  </b:Source>
  <b:Source>
    <b:Tag>HMI22</b:Tag>
    <b:SourceType>Report</b:SourceType>
    <b:Guid>{F70440E1-465E-4C0D-AECE-243AEF68E814}</b:Guid>
    <b:Author>
      <b:Author>
        <b:Corporate>HM Inspectorate of Probation</b:Corporate>
      </b:Author>
    </b:Author>
    <b:Title>Twenty Years on, is MAPPA Acheiving its Objectives.</b:Title>
    <b:Year>2022</b:Year>
    <b:City>Manchester</b:City>
    <b:Publisher>Her Majesty's Inspectorate of Probation</b:Publisher>
    <b:RefOrder>34</b:RefOrder>
  </b:Source>
  <b:Source>
    <b:Tag>HMI11</b:Tag>
    <b:SourceType>Report</b:SourceType>
    <b:Guid>{AE863AF4-0699-434F-B389-968174D80ACC}</b:Guid>
    <b:Author>
      <b:Author>
        <b:Corporate>HM Inspectorates of Constabulary and Probation</b:Corporate>
      </b:Author>
    </b:Author>
    <b:Title>Putting the pieces together: An inspection of MAPPA </b:Title>
    <b:Year>2011</b:Year>
    <b:Publisher>HM Inspectorates of Constabulary and Probation</b:Publisher>
    <b:City>Manchester</b:City>
    <b:RefOrder>35</b:RefOrder>
  </b:Source>
  <b:Source>
    <b:Tag>DrN23</b:Tag>
    <b:SourceType>JournalArticle</b:SourceType>
    <b:Guid>{EB7DD747-EEA2-442B-A11B-076F63E34793}</b:Guid>
    <b:Author>
      <b:Author>
        <b:NameList>
          <b:Person>
            <b:Last>Lundrigan</b:Last>
            <b:First>Dr</b:First>
            <b:Middle>Natalie Mann &amp; Professor Samantha</b:Middle>
          </b:Person>
        </b:NameList>
      </b:Author>
    </b:Author>
    <b:Title>The National MAPPA Research: Process effectiveness report</b:Title>
    <b:JournalName>A.R.U</b:JournalName>
    <b:Year>2023</b:Year>
    <b:Pages>55-56</b:Pages>
    <b:RefOrder>36</b:RefOrder>
  </b:Source>
  <b:Source>
    <b:Tag>Woo12</b:Tag>
    <b:SourceType>JournalArticle</b:SourceType>
    <b:Guid>{CE144958-202C-4D64-93E5-CFD0C44D81EA}</b:Guid>
    <b:Title>Level 3 Offenders: Reconviction as a measure of effectiveness.</b:Title>
    <b:Year>2012</b:Year>
    <b:Author>
      <b:Author>
        <b:NameList>
          <b:Person>
            <b:Last>Wood </b:Last>
            <b:First>J</b:First>
          </b:Person>
        </b:NameList>
      </b:Author>
    </b:Author>
    <b:JournalName>Probation Journal</b:JournalName>
    <b:Pages>59(2) 111-123</b:Pages>
    <b:RefOrder>37</b:RefOrder>
  </b:Source>
  <b:Source>
    <b:Tag>Lun23</b:Tag>
    <b:SourceType>Report</b:SourceType>
    <b:Guid>{250F1BB2-57C7-4417-952B-3372416EFFDF}</b:Guid>
    <b:Title>Research Briefing: The National MAPPA Research</b:Title>
    <b:Year>2023</b:Year>
    <b:Publisher>A.R.U</b:Publisher>
    <b:City>Cambridge</b:City>
    <b:Author>
      <b:Author>
        <b:NameList>
          <b:Person>
            <b:Last>Lundrigan</b:Last>
            <b:First>Professor Samantha</b:First>
          </b:Person>
          <b:Person>
            <b:Last>Mann</b:Last>
            <b:First>Dr Natalie</b:First>
          </b:Person>
        </b:NameList>
      </b:Author>
    </b:Author>
    <b:RefOrder>38</b:RefOrder>
  </b:Source>
  <b:Source>
    <b:Tag>Cun07</b:Tag>
    <b:SourceType>Report</b:SourceType>
    <b:Guid>{9AF2508C-908E-45D0-B16F-920DECCACF4B}</b:Guid>
    <b:Title>Re-offending of adults: Results from the 2004 Cohort.</b:Title>
    <b:Year>2007</b:Year>
    <b:Publisher>Home Office Statistics Bulletin</b:Publisher>
    <b:Author>
      <b:Author>
        <b:NameList>
          <b:Person>
            <b:Last>Cunliffe</b:Last>
            <b:First>J</b:First>
          </b:Person>
          <b:Person>
            <b:Last>Shepard</b:Last>
            <b:First>A</b:First>
          </b:Person>
        </b:NameList>
      </b:Author>
    </b:Author>
    <b:RefOrder>39</b:RefOrder>
  </b:Source>
  <b:Source>
    <b:Tag>IOP23</b:Tag>
    <b:SourceType>InternetSite</b:SourceType>
    <b:Guid>{37DF0744-2652-4B23-9E77-A5BB6141FA68}</b:Guid>
    <b:Title>Indepenent Office for Police Conduct</b:Title>
    <b:Year>2023</b:Year>
    <b:Author>
      <b:Author>
        <b:Corporate>IOPC</b:Corporate>
      </b:Author>
    </b:Author>
    <b:InternetSiteTitle>IOPC</b:InternetSiteTitle>
    <b:URL>https://www.policeconduct.gov.uk/</b:URL>
    <b:RefOrder>40</b:RefOrder>
  </b:Source>
  <b:Source>
    <b:Tag>Row20</b:Tag>
    <b:SourceType>JournalArticle</b:SourceType>
    <b:Guid>{888600CB-0D92-4AB9-A037-D38658CB53D9}</b:Guid>
    <b:Title>Challenges of democracy and accountability</b:Title>
    <b:JournalName>Policing the Police</b:JournalName>
    <b:Year>2020</b:Year>
    <b:Pages>52-53</b:Pages>
    <b:Author>
      <b:Author>
        <b:NameList>
          <b:Person>
            <b:Last>Rowe</b:Last>
            <b:First>M</b:First>
          </b:Person>
        </b:NameList>
      </b:Author>
    </b:Author>
    <b:Publisher>The Policy Press</b:Publisher>
    <b:RefOrder>41</b:RefOrder>
  </b:Source>
  <b:Source>
    <b:Tag>Nic</b:Tag>
    <b:SourceType>InternetSite</b:SourceType>
    <b:Guid>{3E042FCF-61E1-4E89-B665-0C1CA2DD5096}</b:Guid>
    <b:Author>
      <b:Author>
        <b:NameList>
          <b:Person>
            <b:Last>Nicholson</b:Last>
            <b:First>K</b:First>
          </b:Person>
        </b:NameList>
      </b:Author>
    </b:Author>
    <b:Title>Give me strength - People are furious with the Met's safety advice for women</b:Title>
    <b:InternetSiteTitle>Huffington Post</b:InternetSiteTitle>
    <b:Year>2021</b:Year>
    <b:URL>https://www.huffingtonpost.co.uk/entry/sarah-everard-met-police-wayne-couzens-women-safety_uk_6156db15e4b0</b:URL>
    <b:Month>October</b:Month>
    <b:Day>1</b:Day>
    <b:RefOrder>42</b:RefOrder>
  </b:Source>
  <b:Source>
    <b:Tag>OCo21</b:Tag>
    <b:SourceType>InternetSite</b:SourceType>
    <b:Guid>{5F6F6C0A-2100-4029-923D-90CBC892396B}</b:Guid>
    <b:Title>Sarah Everard: What to do if you are stopped by the police?</b:Title>
    <b:InternetSiteTitle>BBC News </b:InternetSiteTitle>
    <b:Year>2021</b:Year>
    <b:Month>October</b:Month>
    <b:Day>4</b:Day>
    <b:URL>https://www.bbc.com/news/uk-58753857.</b:URL>
    <b:Author>
      <b:Author>
        <b:NameList>
          <b:Person>
            <b:Last>O'Connor</b:Last>
            <b:First>M</b:First>
          </b:Person>
          <b:Person>
            <b:Last>Morton</b:Last>
            <b:First>B</b:First>
          </b:Person>
        </b:NameList>
      </b:Author>
    </b:Author>
    <b:RefOrder>43</b:RefOrder>
  </b:Source>
  <b:Source>
    <b:Tag>Har221</b:Tag>
    <b:SourceType>JournalArticle</b:SourceType>
    <b:Guid>{C6176143-A23E-4BBA-B822-766A802D17F5}</b:Guid>
    <b:Title>The ethics of policing:new perspectives on law enforcement</b:Title>
    <b:Year>2022</b:Year>
    <b:JournalName>Policing: A journal od policy and practice</b:JournalName>
    <b:Pages>221-226</b:Pages>
    <b:Author>
      <b:Author>
        <b:NameList>
          <b:Person>
            <b:Last>Harfield</b:Last>
            <b:First>Clive</b:First>
          </b:Person>
          <b:Person>
            <b:Last>Jones</b:Last>
            <b:First>Ben</b:First>
          </b:Person>
          <b:Person>
            <b:Last>Mendieta </b:Last>
            <b:First>Eduardo</b:First>
          </b:Person>
        </b:NameList>
      </b:Author>
    </b:Author>
    <b:RefOrder>44</b:RefOrder>
  </b:Source>
  <b:Source>
    <b:Tag>His22</b:Tag>
    <b:SourceType>Report</b:SourceType>
    <b:Guid>{184983A4-CB06-499D-8B6D-AEB1DB232991}</b:Guid>
    <b:Title>An inpection of vetting, misconduct and misogyny in the police service.</b:Title>
    <b:Year>2022</b:Year>
    <b:Author>
      <b:Author>
        <b:Corporate>His Majesty’s Inspectorate of Constabulary and Fire &amp; Rescue Services (HMICFRS).</b:Corporate>
      </b:Author>
    </b:Author>
    <b:Publisher>HMICFRS</b:Publisher>
    <b:City>London</b:City>
    <b:RefOrder>45</b:RefOrder>
  </b:Source>
  <b:Source>
    <b:Tag>Kan09</b:Tag>
    <b:SourceType>JournalArticle</b:SourceType>
    <b:Guid>{DA7DD478-E632-454E-8730-FFA27F6B95B2}</b:Guid>
    <b:Title>Bad cops: A study of career ending misconduct among New York cIty police officers.</b:Title>
    <b:Year>2009</b:Year>
    <b:Author>
      <b:Author>
        <b:NameList>
          <b:Person>
            <b:Last>Kane </b:Last>
            <b:Middle>J</b:Middle>
            <b:First>R</b:First>
          </b:Person>
          <b:Person>
            <b:Last>White </b:Last>
            <b:Middle>D</b:Middle>
            <b:First>M</b:First>
          </b:Person>
        </b:NameList>
      </b:Author>
    </b:Author>
    <b:JournalName>Criminology &amp; Public Policy</b:JournalName>
    <b:Pages>8(4) 737-769</b:Pages>
    <b:RefOrder>46</b:RefOrder>
  </b:Source>
  <b:Source>
    <b:Tag>Col23</b:Tag>
    <b:SourceType>InternetSite</b:SourceType>
    <b:Guid>{A4ACD9AA-B85E-4BB6-AA1E-46F5709ACAEB}</b:Guid>
    <b:Author>
      <b:Author>
        <b:Corporate>College of Policing</b:Corporate>
      </b:Author>
    </b:Author>
    <b:Title>Vetting code of practice</b:Title>
    <b:InternetSiteTitle>College of Policing</b:InternetSiteTitle>
    <b:Year>2023</b:Year>
    <b:Month>July</b:Month>
    <b:Day>20</b:Day>
    <b:URL>https://www.college.police.uk/guidance/vetting-code-practice</b:URL>
    <b:RefOrder>47</b:RefOrder>
  </b:Source>
  <b:Source>
    <b:Tag>Bla23</b:Tag>
    <b:SourceType>Book</b:SourceType>
    <b:Guid>{08780FF6-B9EA-4919-879B-5F7FFA0A2666}</b:Guid>
    <b:Title>Handbook for Policing Students</b:Title>
    <b:Year>2023</b:Year>
    <b:Author>
      <b:Author>
        <b:Corporate>Blackstone's</b:Corporate>
      </b:Author>
    </b:Author>
    <b:City>Oxford</b:City>
    <b:Publisher>Oxford University Press</b:Publisher>
    <b:RefOrder>48</b:RefOrder>
  </b:Source>
  <b:Source>
    <b:Tag>Row161</b:Tag>
    <b:SourceType>JournalArticle</b:SourceType>
    <b:Guid>{0ECB6E30-3078-497C-9DB1-3BA918EA65A3}</b:Guid>
    <b:Title>Getting behind the blue curtain</b:Title>
    <b:JournalName>Managing police integrity in accountability of policing</b:JournalName>
    <b:Year>2016</b:Year>
    <b:Pages>69-85</b:Pages>
    <b:Author>
      <b:Author>
        <b:NameList>
          <b:Person>
            <b:Last>Rowe</b:Last>
            <b:First>M</b:First>
          </b:Person>
          <b:Person>
            <b:Last>Westmarland </b:Last>
            <b:First>L</b:First>
          </b:Person>
          <b:Person>
            <b:Last>Hougham</b:Last>
            <b:First>C</b:First>
          </b:Person>
        </b:NameList>
      </b:Author>
    </b:Author>
    <b:RefOrder>49</b:RefOrder>
  </b:Source>
  <b:Source>
    <b:Tag>Ips161</b:Tag>
    <b:SourceType>Report</b:SourceType>
    <b:Guid>{13BEB186-724D-4DB5-B57A-417EB040F93F}</b:Guid>
    <b:Author>
      <b:Author>
        <b:Corporate>Ipsos Mori</b:Corporate>
      </b:Author>
    </b:Author>
    <b:Title>Public Confidence in the police Complaints system</b:Title>
    <b:Year>2016</b:Year>
    <b:Publisher>Ipsosn Mori</b:Publisher>
    <b:City>London</b:City>
    <b:RefOrder>50</b:RefOrder>
  </b:Source>
</b:Sources>
</file>

<file path=customXml/itemProps1.xml><?xml version="1.0" encoding="utf-8"?>
<ds:datastoreItem xmlns:ds="http://schemas.openxmlformats.org/officeDocument/2006/customXml" ds:itemID="{6F07FDD4-9546-48C3-97F0-4C931A051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5711</Words>
  <Characters>32554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Thoirs, Jayden</dc:creator>
  <cp:keywords/>
  <dc:description/>
  <cp:lastModifiedBy>Thoirs, Jayden</cp:lastModifiedBy>
  <cp:revision>2</cp:revision>
  <dcterms:created xsi:type="dcterms:W3CDTF">2024-01-29T09:33:00Z</dcterms:created>
  <dcterms:modified xsi:type="dcterms:W3CDTF">2024-01-29T13:29:00Z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2024-01-29T09:41:50Z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db1362ac-9752-4f48-995f-1d397fcb7df9</vt:lpwstr>
  </property>
  <property fmtid="{D5CDD505-2E9C-101B-9397-08002B2CF9AE}" pid="8" name="MSIP_Label_f2acd28b-79a3-4a0f-b0ff-4b75658b1549_ContentBits">
    <vt:lpwstr>0</vt:lpwstr>
  </property>
</Properties>
</file>