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right"/>
        <w:rPr>
          <w:rFonts w:ascii="Arial" w:hAnsi="Arial" w:cs="Arial" w:eastAsia="Arial"/>
          <w:b/>
          <w:color w:val="auto"/>
          <w:spacing w:val="0"/>
          <w:position w:val="0"/>
          <w:sz w:val="28"/>
          <w:shd w:fill="auto" w:val="clear"/>
        </w:rPr>
      </w:pPr>
      <w:r>
        <w:object w:dxaOrig="3420" w:dyaOrig="1368">
          <v:rect xmlns:o="urn:schemas-microsoft-com:office:office" xmlns:v="urn:schemas-microsoft-com:vml" id="rectole0000000000" style="width:171.000000pt;height:68.4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Arial" w:hAnsi="Arial" w:cs="Arial" w:eastAsia="Arial"/>
          <w:color w:val="auto"/>
          <w:spacing w:val="0"/>
          <w:position w:val="0"/>
          <w:sz w:val="20"/>
          <w:shd w:fill="auto" w:val="clear"/>
        </w:rPr>
        <w:t xml:space="preserve"> </w:t>
        <w:br/>
      </w:r>
    </w:p>
    <w:p>
      <w:pPr>
        <w:spacing w:before="0" w:after="0" w:line="240"/>
        <w:ind w:right="0" w:left="0" w:firstLine="0"/>
        <w:jc w:val="left"/>
        <w:rPr>
          <w:rFonts w:ascii="Arial" w:hAnsi="Arial" w:cs="Arial" w:eastAsia="Arial"/>
          <w:color w:val="auto"/>
          <w:spacing w:val="0"/>
          <w:position w:val="0"/>
          <w:sz w:val="20"/>
          <w:shd w:fill="auto" w:val="clear"/>
        </w:rPr>
      </w:pPr>
    </w:p>
    <w:tbl>
      <w:tblPr>
        <w:tblInd w:w="392" w:type="dxa"/>
      </w:tblPr>
      <w:tblGrid>
        <w:gridCol w:w="8850"/>
      </w:tblGrid>
      <w:tr>
        <w:trPr>
          <w:trHeight w:val="1" w:hRule="atLeast"/>
          <w:jc w:val="left"/>
        </w:trPr>
        <w:tc>
          <w:tcPr>
            <w:tcW w:w="8850" w:type="dxa"/>
            <w:tcBorders>
              <w:top w:val="single" w:color="000000" w:sz="4"/>
              <w:left w:val="single" w:color="000000" w:sz="4"/>
              <w:bottom w:val="single" w:color="000000" w:sz="4"/>
              <w:right w:val="single" w:color="000000" w:sz="4"/>
            </w:tcBorders>
            <w:shd w:color="auto" w:fill="c0c0c0" w:val="clear"/>
            <w:tcMar>
              <w:left w:w="108" w:type="dxa"/>
              <w:right w:w="108" w:type="dxa"/>
            </w:tcMar>
            <w:vAlign w:val="top"/>
          </w:tcPr>
          <w:p>
            <w:pPr>
              <w:keepNext w:val="true"/>
              <w:spacing w:before="120" w:after="120" w:line="240"/>
              <w:ind w:right="0" w:left="0" w:firstLine="0"/>
              <w:jc w:val="center"/>
              <w:rPr>
                <w:color w:val="auto"/>
                <w:spacing w:val="0"/>
                <w:position w:val="0"/>
                <w:shd w:fill="auto" w:val="clear"/>
              </w:rPr>
            </w:pPr>
            <w:r>
              <w:rPr>
                <w:rFonts w:ascii="Arial" w:hAnsi="Arial" w:cs="Arial" w:eastAsia="Arial"/>
                <w:b/>
                <w:color w:val="auto"/>
                <w:spacing w:val="0"/>
                <w:position w:val="0"/>
                <w:sz w:val="40"/>
                <w:shd w:fill="auto" w:val="clear"/>
              </w:rPr>
              <w:t xml:space="preserve">LEVEL 4 ASSESSMENT SPECIFICATION </w:t>
            </w:r>
          </w:p>
        </w:tc>
      </w:tr>
    </w:tbl>
    <w:p>
      <w:pPr>
        <w:spacing w:before="0" w:after="0" w:line="240"/>
        <w:ind w:right="0" w:left="0" w:firstLine="0"/>
        <w:jc w:val="center"/>
        <w:rPr>
          <w:rFonts w:ascii="Arial" w:hAnsi="Arial" w:cs="Arial" w:eastAsia="Arial"/>
          <w:b/>
          <w:i/>
          <w:color w:val="auto"/>
          <w:spacing w:val="0"/>
          <w:position w:val="0"/>
          <w:sz w:val="32"/>
          <w:shd w:fill="auto" w:val="clear"/>
        </w:rPr>
      </w:pPr>
    </w:p>
    <w:tbl>
      <w:tblPr>
        <w:tblInd w:w="392" w:type="dxa"/>
      </w:tblPr>
      <w:tblGrid>
        <w:gridCol w:w="2093"/>
        <w:gridCol w:w="3293"/>
        <w:gridCol w:w="2268"/>
        <w:gridCol w:w="2268"/>
      </w:tblGrid>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Student name:</w:t>
            </w:r>
          </w:p>
        </w:tc>
        <w:tc>
          <w:tcPr>
            <w:tcW w:w="32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   </w:t>
            </w:r>
            <w:r>
              <w:rPr>
                <w:rFonts w:ascii="Arial" w:hAnsi="Arial" w:cs="Arial" w:eastAsia="Arial"/>
                <w:b/>
                <w:color w:val="auto"/>
                <w:spacing w:val="0"/>
                <w:position w:val="0"/>
                <w:sz w:val="22"/>
                <w:shd w:fill="auto" w:val="clear"/>
              </w:rPr>
              <w:t xml:space="preserve">Yoana Stancheva</w:t>
            </w:r>
            <w:r>
              <w:rPr>
                <w:rFonts w:ascii="Arial" w:hAnsi="Arial" w:cs="Arial" w:eastAsia="Arial"/>
                <w:b/>
                <w:color w:val="auto"/>
                <w:spacing w:val="0"/>
                <w:position w:val="0"/>
                <w:sz w:val="22"/>
                <w:shd w:fill="auto" w:val="clear"/>
              </w:rPr>
              <w:t xml:space="preserve">  </w:t>
            </w:r>
          </w:p>
        </w:tc>
        <w:tc>
          <w:tcPr>
            <w:tcW w:w="2268"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Student ID number:</w:t>
            </w:r>
          </w:p>
        </w:tc>
        <w:tc>
          <w:tcPr>
            <w:tcW w:w="22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2225354</w:t>
            </w:r>
          </w:p>
        </w:tc>
      </w:tr>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Programme:</w:t>
            </w:r>
          </w:p>
        </w:tc>
        <w:tc>
          <w:tcPr>
            <w:tcW w:w="7829"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CertHE Law and Legal Practice, Professional Policing</w:t>
            </w:r>
          </w:p>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BSc Professional Policing </w:t>
            </w:r>
          </w:p>
        </w:tc>
      </w:tr>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Module:</w:t>
            </w:r>
          </w:p>
        </w:tc>
        <w:tc>
          <w:tcPr>
            <w:tcW w:w="7829" w:type="dxa"/>
            <w:gridSpan w:val="3"/>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Legal Process</w:t>
            </w:r>
          </w:p>
        </w:tc>
      </w:tr>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Module code:</w:t>
            </w:r>
          </w:p>
        </w:tc>
        <w:tc>
          <w:tcPr>
            <w:tcW w:w="32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BMPL4005, BMLW4006</w:t>
            </w:r>
          </w:p>
        </w:tc>
        <w:tc>
          <w:tcPr>
            <w:tcW w:w="2268"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keepNext w:val="true"/>
              <w:spacing w:before="0" w:after="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Contribution to Overall Module Assessment (%):</w:t>
            </w:r>
          </w:p>
        </w:tc>
        <w:tc>
          <w:tcPr>
            <w:tcW w:w="22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50%</w:t>
            </w:r>
          </w:p>
        </w:tc>
      </w:tr>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Lecturer:</w:t>
            </w:r>
          </w:p>
        </w:tc>
        <w:tc>
          <w:tcPr>
            <w:tcW w:w="32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Zita Draper and Sian Turvey</w:t>
            </w:r>
          </w:p>
        </w:tc>
        <w:tc>
          <w:tcPr>
            <w:tcW w:w="2268"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Internal Verifier:</w:t>
            </w:r>
          </w:p>
        </w:tc>
        <w:tc>
          <w:tcPr>
            <w:tcW w:w="22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Sian Turvey and Zita Draper </w:t>
            </w:r>
          </w:p>
        </w:tc>
      </w:tr>
      <w:tr>
        <w:trPr>
          <w:trHeight w:val="1" w:hRule="atLeast"/>
          <w:jc w:val="left"/>
        </w:trPr>
        <w:tc>
          <w:tcPr>
            <w:tcW w:w="209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Assignment Title:</w:t>
            </w:r>
          </w:p>
        </w:tc>
        <w:tc>
          <w:tcPr>
            <w:tcW w:w="32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The Magistracy</w:t>
            </w:r>
          </w:p>
        </w:tc>
        <w:tc>
          <w:tcPr>
            <w:tcW w:w="2268"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Word count (or equivalent):</w:t>
            </w:r>
          </w:p>
        </w:tc>
        <w:tc>
          <w:tcPr>
            <w:tcW w:w="22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1500</w:t>
            </w:r>
          </w:p>
        </w:tc>
      </w:tr>
    </w:tbl>
    <w:p>
      <w:pPr>
        <w:spacing w:before="0" w:after="0" w:line="240"/>
        <w:ind w:right="0" w:left="0" w:firstLine="0"/>
        <w:jc w:val="left"/>
        <w:rPr>
          <w:rFonts w:ascii="Arial" w:hAnsi="Arial" w:cs="Arial" w:eastAsia="Arial"/>
          <w:b/>
          <w:color w:val="auto"/>
          <w:spacing w:val="0"/>
          <w:position w:val="0"/>
          <w:sz w:val="20"/>
          <w:shd w:fill="auto" w:val="clear"/>
        </w:rPr>
      </w:pPr>
    </w:p>
    <w:p>
      <w:pPr>
        <w:spacing w:before="0" w:after="0" w:line="240"/>
        <w:ind w:right="0" w:left="0" w:firstLine="0"/>
        <w:jc w:val="left"/>
        <w:rPr>
          <w:rFonts w:ascii="Arial" w:hAnsi="Arial" w:cs="Arial" w:eastAsia="Arial"/>
          <w:b/>
          <w:color w:val="auto"/>
          <w:spacing w:val="0"/>
          <w:position w:val="0"/>
          <w:sz w:val="20"/>
          <w:shd w:fill="auto" w:val="clear"/>
        </w:rPr>
      </w:pPr>
    </w:p>
    <w:p>
      <w:pPr>
        <w:spacing w:before="0" w:after="0" w:line="240"/>
        <w:ind w:right="0" w:left="0" w:firstLine="0"/>
        <w:jc w:val="left"/>
        <w:rPr>
          <w:rFonts w:ascii="Arial" w:hAnsi="Arial" w:cs="Arial" w:eastAsia="Arial"/>
          <w:b/>
          <w:color w:val="auto"/>
          <w:spacing w:val="0"/>
          <w:position w:val="0"/>
          <w:sz w:val="20"/>
          <w:shd w:fill="auto" w:val="clear"/>
        </w:rPr>
      </w:pPr>
    </w:p>
    <w:tbl>
      <w:tblPr>
        <w:tblInd w:w="392" w:type="dxa"/>
      </w:tblPr>
      <w:tblGrid>
        <w:gridCol w:w="8850"/>
      </w:tblGrid>
      <w:tr>
        <w:trPr>
          <w:trHeight w:val="1" w:hRule="atLeast"/>
          <w:jc w:val="left"/>
        </w:trPr>
        <w:tc>
          <w:tcPr>
            <w:tcW w:w="8850" w:type="dxa"/>
            <w:tcBorders>
              <w:top w:val="single" w:color="000000" w:sz="4"/>
              <w:left w:val="single" w:color="000000" w:sz="4"/>
              <w:bottom w:val="single" w:color="000000" w:sz="4"/>
              <w:right w:val="single" w:color="000000" w:sz="4"/>
            </w:tcBorders>
            <w:shd w:color="auto" w:fill="c0c0c0"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spacing w:before="0" w:after="0" w:line="240"/>
        <w:ind w:right="0" w:left="720" w:firstLine="0"/>
        <w:jc w:val="left"/>
        <w:rPr>
          <w:rFonts w:ascii="Arial" w:hAnsi="Arial" w:cs="Arial" w:eastAsia="Arial"/>
          <w:color w:val="auto"/>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Introduction</w:t>
      </w:r>
    </w:p>
    <w:p>
      <w:pPr>
        <w:keepNext w:val="true"/>
        <w:keepLines w:val="true"/>
        <w:spacing w:before="48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Understanding the specifics, details and stages of the legal process is of critical importance for the law professionals, legal advisers and solicitors. Understanding the process helps for proper and successful claims and court hearings. The legal process and system in UK is quiet complex and complicate when comparing with other countries and this sets the need of proper knowledge and skills in order to be successful professional. The magistrate role, function and responsibilities are of important and critical role for the court operations and taking the right decision for the submitted claims. </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What is a magistrate?</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Judges are unpaid volunteers who preside over cases in local courts. Hearings can be held in both family and criminal courts. Usually, each case is heard by her three judges, including one of hers who has special presidency training. Under section 16(3) of the Magistrates Act 1979, the difference between magistrates and magistrates is that magistrates have the same powers as magistrates but sit alone. Unlike many high court judges, magistrates and district judges do not wear robes or wigs in court (Aikens,2020).</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A discussion about magistrates in the United Kingdom</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Main responsibilities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England and Wales, judges not creating the main of judicial claims and cases which are created. They are generated by normal people who have worked in a wide variety of fields and had no previous affiliation with the legal practice. But they have a sense of justice. In addition, they have the ability to actively listen, reason logically, and act as active ambassadors for their communities. By the way, I am a judge. Magistrates, commonly referred to as magistrates, are people from various professions who are passionate about improving their communities. They voluntarily attend many cases in court, and a year he attends at least 13 days of training courses (Blackham,2018).</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No previous education or legal training is required to start working as judge. Nevertheless, the candidate must demonstrate his five skills and personalities listed below. To make judgements that are fair, impartial and transparent, judges must be able to act quickly and make transparent, unbiased, fair and reasonable judgments. Judges must also understand a lot of material and be able to recognize related issues.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Understand and appreciate other perspectives: Judges must be able to distinguish between different points of view, treat people with compassion, and show genuine understanding and empathy for their plight. , you must be ready to understand them.  Communicate with care and respect. Judges should be able to speak privately, confidently and sensitively, but also be able to listen actively and attentively. Additionally, you should be able to adapt your communication style to the situation and effectively explain the reasons for your decisions (Smith,2021).</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Learn new things with confidence: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Judges must be adaptive, thinking out of the box, and willing to consider and accept opposing views. In addition, they need to be able to focus over chances, develop and retain talent, and use successful strategies to manage personal well-being. To be successful, you must be personable, trustworthy, and able to instill confidence in others. There are many and different expectations from the judges and this lead to complexity of the potential candidates which wants to apply for this position.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magistrates court is where all criminal proceedings start.</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br/>
        <w:t xml:space="preserve">The Crown Court receives the most serious offences (such as murder, rape, and robbery) from magistrates. Magistrates determine whether the accused should be:</w:t>
      </w:r>
    </w:p>
    <w:p>
      <w:pPr>
        <w:numPr>
          <w:ilvl w:val="0"/>
          <w:numId w:val="38"/>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br/>
        <w:t xml:space="preserve">detained in custody, such as in a police or court cell, and released with stringent restrictions, such as staying away from specific locations or individuals</w:t>
      </w:r>
    </w:p>
    <w:p>
      <w:pPr>
        <w:numPr>
          <w:ilvl w:val="0"/>
          <w:numId w:val="38"/>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Minor assaults are one type of offence that magistrates handle.</w:t>
      </w:r>
    </w:p>
    <w:p>
      <w:pPr>
        <w:numPr>
          <w:ilvl w:val="0"/>
          <w:numId w:val="38"/>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driving infractions</w:t>
      </w:r>
    </w:p>
    <w:p>
      <w:pPr>
        <w:numPr>
          <w:ilvl w:val="0"/>
          <w:numId w:val="38"/>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managing theft of stolen goods</w:t>
      </w:r>
    </w:p>
    <w:p>
      <w:pPr>
        <w:numPr>
          <w:ilvl w:val="0"/>
          <w:numId w:val="38"/>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TV licence fraud</w:t>
      </w:r>
    </w:p>
    <w:p>
      <w:pPr>
        <w:numPr>
          <w:ilvl w:val="0"/>
          <w:numId w:val="38"/>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For one offence, magistrates have the power to impose penalties including fines and unpaid time in a community jail for up to 12 months.</w:t>
      </w:r>
    </w:p>
    <w:p>
      <w:pPr>
        <w:spacing w:before="0" w:after="200" w:line="360"/>
        <w:ind w:right="0" w:left="720" w:firstLine="0"/>
        <w:jc w:val="both"/>
        <w:rPr>
          <w:rFonts w:ascii="Arial" w:hAnsi="Arial" w:cs="Arial" w:eastAsia="Arial"/>
          <w:color w:val="auto"/>
          <w:spacing w:val="0"/>
          <w:position w:val="0"/>
          <w:sz w:val="24"/>
          <w:shd w:fill="auto" w:val="clear"/>
        </w:rPr>
      </w:pPr>
    </w:p>
    <w:p>
      <w:pPr>
        <w:spacing w:before="0" w:after="200" w:line="360"/>
        <w:ind w:right="0" w:left="72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Judges can also hear cases in Family Court.</w:t>
      </w:r>
    </w:p>
    <w:p>
      <w:pPr>
        <w:spacing w:before="0" w:after="200" w:line="360"/>
        <w:ind w:right="0" w:left="72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These judges handle cases involving children. We can help separated parents make arrangements for their children, make arrangements for custody and adoption, and enforce child support obligations.</w:t>
      </w:r>
    </w:p>
    <w:p>
      <w:pPr>
        <w:spacing w:before="0" w:after="200" w:line="360"/>
        <w:ind w:right="0" w:left="72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issue a court order to end domestic violence</w:t>
      </w:r>
    </w:p>
    <w:p>
      <w:pPr>
        <w:spacing w:before="0" w:after="200" w:line="360"/>
        <w:ind w:right="0" w:left="72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During the proceedings, these judges may seek advice from the child's guardian or family court counsellor.</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Court closures </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government manage to stop functioning of the 77 more courts by 2025 or 2026, according to an analysis by the National Audit Office. After the decision to postpone any future closures, the government said in May 2019 that it would not close the courts until it had evidence that its changes had reduced the use of these structures. After consultation with the Chief Justice, and after consultation with the Master of Rolls, the Registrar of the High Court, or the President of the Family Division, as appropriate, the work may be transferred from the closed court to the receiving court appointed by the Enclave. Must be delegate Instructions under section 2 of the County Courts Act 1984.</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Assignments of work shall, wherever possible, be subject to directions from the judge in the particular case and shall be subject to the attached schedules, i.e., "Schedule 1 - Civil Litigation (General)", "Schedule 2 - Family Litigation" and "Appendix 3 - Insolvency Proceedings” (collectively, the “Appendices”). The court of last resort shall notify all parties that if the case is transferred from the court of last resort to the receiving court, they may, within seven days of service of the order of referral, apply to the receiving court to change the court to which the case is filed. need to do it. An order under Rule 3.3(4) of the Code of Civil Procedure or Rule 4.3(4) of the Code of Family Procedure (Howard,2022).</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You must include evidence of any other advantages or disadvantages</w:t>
      </w:r>
    </w:p>
    <w:p>
      <w:pPr>
        <w:spacing w:before="0" w:after="200" w:line="360"/>
        <w:ind w:right="0" w:left="0" w:firstLine="0"/>
        <w:jc w:val="both"/>
        <w:rPr>
          <w:rFonts w:ascii="Arial" w:hAnsi="Arial" w:cs="Arial" w:eastAsia="Arial"/>
          <w:color w:val="auto"/>
          <w:spacing w:val="0"/>
          <w:position w:val="0"/>
          <w:sz w:val="24"/>
          <w:shd w:fill="auto" w:val="clear"/>
        </w:rPr>
      </w:pPr>
    </w:p>
    <w:p>
      <w:pPr>
        <w:keepNext w:val="true"/>
        <w:keepLines w:val="true"/>
        <w:spacing w:before="200" w:after="0" w:line="360"/>
        <w:ind w:right="0" w:left="0" w:firstLine="0"/>
        <w:jc w:val="both"/>
        <w:rPr>
          <w:rFonts w:ascii="Arial" w:hAnsi="Arial" w:cs="Arial" w:eastAsia="Arial"/>
          <w:b/>
          <w:color w:val="4F81BD"/>
          <w:spacing w:val="0"/>
          <w:position w:val="0"/>
          <w:sz w:val="24"/>
          <w:shd w:fill="auto" w:val="clear"/>
        </w:rPr>
      </w:pPr>
      <w:r>
        <w:rPr>
          <w:rFonts w:ascii="Arial" w:hAnsi="Arial" w:cs="Arial" w:eastAsia="Arial"/>
          <w:b/>
          <w:color w:val="4F81BD"/>
          <w:spacing w:val="0"/>
          <w:position w:val="0"/>
          <w:sz w:val="24"/>
          <w:shd w:fill="auto" w:val="clear"/>
        </w:rPr>
        <w:t xml:space="preserve">Advantages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Judges earn £90,000. Cost judges are not compensated. Without a prosecutor he would have to install 1000 extra judges, saving £100 million. Local Knowledge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Speed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up court proceedings. They live nearby, so they know the local news. More accessible than judges, as there no training require. People of different nationalities represent society. Women make up 49%. Public self-guarantee: According to research conducted in 2000 and 2001, people do not limit the functioning of judges (Rab,2021).</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Justice is upheld by judges. A judge, in his capacity as a judicial office, undertakes "to give justice to men of every kind, without fear, favor, affection, or malice, according to the laws and customs of this kingdom." They are integral to the administration of justice in England and Wales. Judges are well suited for this task as they are the most diverse judiciary. The Association of Magistrates (MA) found that 25% of the 40,000 expressions of interest were from potential candidates with minority backgrounds, and similar percentage were under the age of 40. I was encouraged to take note of what had happened.</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judges are familiar with the area. "Justice from a Peer" is his one of the magistrate's guidelines. As a result, judges are ordinary people (who may have no prior legal training) who use their current skills and expertise to serve their communities. And with the help of a lawyer, it shows that you can make decisions in favour of your neighbours. Magistrates have a passion for public relations. Because judges are passionate about what they do, they often take an active part in educating people about judicial work and this special volunteer opportunity. Members of the MA give lectures on a variety of topics at schools, colleges, religious centres, and other community groups/institutions as part of the Magistrates Program, a community program that promotes community involvement.</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Perceived to have more ties to the community than district judges, judges were considered qualified to make decisions and, consequently, to administer appropriate "local justice". The idea of ​​"fairness" is related to other qualities attributed to judges. Some felt that the judges were more tolerant, less "stubborn" and "tired," and that three judges represented a higher level of democracy.</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Since judges do not receive salaries, some respondents, including the judges themselves, mentioned cost-effectiveness.Judges are required to attend at least 26 half-day court appearances each year and are compensated for travel expenses and lost profits. While this may appear to disallow full-time employees to sit in court, the law requires employers to make reasonable accommodations for the official duties of judges.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Judges often deal with petty or summary offenses such as public obstruction and traffic violations. You must set a schedule, decide on bail, examine evidence and reach a verdict. If the offender is found guilty, the judge has the power to sentence up to six months' imprisonment, fines, community service fees and other costs up to £5,000. More serious crimes are first tried by a judge before being sent to Crown Court for a judge and jury trial.</w:t>
      </w:r>
    </w:p>
    <w:p>
      <w:pPr>
        <w:spacing w:before="0" w:after="200" w:line="360"/>
        <w:ind w:right="0" w:left="0" w:firstLine="0"/>
        <w:jc w:val="both"/>
        <w:rPr>
          <w:rFonts w:ascii="Arial" w:hAnsi="Arial" w:cs="Arial" w:eastAsia="Arial"/>
          <w:color w:val="auto"/>
          <w:spacing w:val="0"/>
          <w:position w:val="0"/>
          <w:sz w:val="24"/>
          <w:shd w:fill="auto" w:val="clear"/>
        </w:rPr>
      </w:pPr>
    </w:p>
    <w:p>
      <w:pPr>
        <w:keepNext w:val="true"/>
        <w:keepLines w:val="true"/>
        <w:spacing w:before="200" w:after="0" w:line="360"/>
        <w:ind w:right="0" w:left="0" w:firstLine="0"/>
        <w:jc w:val="both"/>
        <w:rPr>
          <w:rFonts w:ascii="Arial" w:hAnsi="Arial" w:cs="Arial" w:eastAsia="Arial"/>
          <w:b/>
          <w:color w:val="4F81BD"/>
          <w:spacing w:val="0"/>
          <w:position w:val="0"/>
          <w:sz w:val="24"/>
          <w:shd w:fill="auto" w:val="clear"/>
        </w:rPr>
      </w:pPr>
      <w:r>
        <w:rPr>
          <w:rFonts w:ascii="Arial" w:hAnsi="Arial" w:cs="Arial" w:eastAsia="Arial"/>
          <w:b/>
          <w:color w:val="4F81BD"/>
          <w:spacing w:val="0"/>
          <w:position w:val="0"/>
          <w:sz w:val="24"/>
          <w:shd w:fill="auto" w:val="clear"/>
        </w:rPr>
        <w:t xml:space="preserve">Disadvantages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Biased Law Enforcement:</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Lacking training, they were able to support the officers. at Rv. In Bingham ex parte Jowitt, one man's words were used against the police and the judge sided with them.</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Inconsistent and he only works 13 days a year can forget sentences. In Essex, 77% of the accused were convicted, compared to 21% for ABH. Case hardening:  Evaluate the defendant based on past cases. R vs Bingham 1974 Ex parte Jowitt</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 does not represent society. Most judges are middle-aged. Most of the defendants are under the age of 25, but 50% of the judges are over the age of 60. Rely on a Lawyer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You are influenced by a lawyer because you have no legal training (Raine,2018).</w:t>
      </w:r>
    </w:p>
    <w:p>
      <w:pPr>
        <w:spacing w:before="0" w:after="200" w:line="360"/>
        <w:ind w:right="0" w:left="0" w:firstLine="0"/>
        <w:jc w:val="both"/>
        <w:rPr>
          <w:rFonts w:ascii="Arial" w:hAnsi="Arial" w:cs="Arial" w:eastAsia="Arial"/>
          <w:color w:val="auto"/>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Reform </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Judges have the knowledge, authority and ability to handle most of these issues, but last year about 9,800 defendants were convicted by judges, then sent to criminal courts and sentenced to prison terms. dressed in Of these, 40% were sentenced to up to six months in prison. This means they are criminals who could be sentenced in a magistrate's court. The Magistrate's Court is close to the affected area, and his average daily cost for a general hearing is £1,400 for him, compared to around £2,150 for the 2012 Crown Court. Her 3,200 offenders under the age of 18 have also been brought to criminal court for trial (Soubise,2017).</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Conclusion </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magistrate’s plays complicate and important role for the court hearings and as from the provided above information is clear that their role can save a lot of time and cost for the courts. Understanding the role also is critical moment for the court system, society and community of the UK. Proper function and role of the magistrates can lead to more trust into the court and judges system across the UK and also providing more preventive actions for reducing crime and legal challenges. </w:t>
      </w: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Referencing list</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Adisa, O., 2018. Access to justice: assessing the impact of the magistrates’ court closures in Suffolk’. a research report, University of Suffolk.</w:t>
      </w:r>
    </w:p>
    <w:p>
      <w:pPr>
        <w:spacing w:before="0" w:after="200" w:line="276"/>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Aikens, R.H.S.R., 2020. UK</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England and Wales. In Courts in Evolving Societies (pp. 59-70). Brill Nijhoff.</w:t>
      </w:r>
    </w:p>
    <w:p>
      <w:pPr>
        <w:spacing w:before="0" w:after="200" w:line="276"/>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Appleby, G. and Blackham, A., 2018. The shadow of the court: The growing imperative to reform ethical regulation of former judges. International &amp; Comparative Law Quarterly, 67(3), pp.505-546.</w:t>
      </w:r>
    </w:p>
    <w:p>
      <w:pPr>
        <w:spacing w:before="0" w:after="200" w:line="276"/>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Chamberlain, P., Keppel-Palmer, M., Reardon, S. and Smith, T., 2021. It is criminal: The state of magistrates’ court reporting in England and Wales. Journalism, 22(9), pp.2404-2420.</w:t>
      </w:r>
    </w:p>
    <w:p>
      <w:pPr>
        <w:spacing w:before="0" w:after="200" w:line="276"/>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Howard, H., 2022. Effective participation of mentally vulnerable defendants in the English magistrates’ courts: The crucial role of liaison and diversion. The Howard Journal of Crime and Justice, 61(2), pp.203-220.</w:t>
      </w:r>
    </w:p>
    <w:p>
      <w:pPr>
        <w:spacing w:before="0" w:after="200" w:line="276"/>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Rab, S., 2021. Legal systems in the UK (England and Wales): overview. URL: </w:t>
      </w:r>
      <w:hyperlink xmlns:r="http://schemas.openxmlformats.org/officeDocument/2006/relationships" r:id="docRId2">
        <w:r>
          <w:rPr>
            <w:rFonts w:ascii="Arial" w:hAnsi="Arial" w:cs="Arial" w:eastAsia="Arial"/>
            <w:color w:val="0000FF"/>
            <w:spacing w:val="0"/>
            <w:position w:val="0"/>
            <w:sz w:val="24"/>
            <w:u w:val="single"/>
            <w:shd w:fill="auto" w:val="clear"/>
          </w:rPr>
          <w:t xml:space="preserve">https://uk</w:t>
        </w:r>
      </w:hyperlink>
      <w:r>
        <w:rPr>
          <w:rFonts w:ascii="Arial" w:hAnsi="Arial" w:cs="Arial" w:eastAsia="Arial"/>
          <w:color w:val="auto"/>
          <w:spacing w:val="0"/>
          <w:position w:val="0"/>
          <w:sz w:val="24"/>
          <w:shd w:fill="auto" w:val="clear"/>
        </w:rPr>
        <w:t xml:space="preserve">. practicallaw. thomsonreuters. com/5-636-24, 98.</w:t>
      </w:r>
    </w:p>
    <w:p>
      <w:pPr>
        <w:spacing w:before="0" w:after="200" w:line="276"/>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Raine, J.W., 2018. Justice in the lower courts. In Beyond Bureaucracy? (pp. 201-217). Routledge.</w:t>
      </w:r>
    </w:p>
    <w:p>
      <w:pPr>
        <w:spacing w:before="0" w:after="200" w:line="276"/>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Soubise, L., 2017. Prosecuting in the magistrates' courts in a time of austerity. Criminal Law Review, 11, pp.847-859.</w:t>
      </w:r>
    </w:p>
  </w:body>
</w:document>
</file>

<file path=word/numbering.xml><?xml version="1.0" encoding="utf-8"?>
<w:numbering xmlns:w="http://schemas.openxmlformats.org/wordprocessingml/2006/main">
  <w:abstractNum w:abstractNumId="0">
    <w:lvl w:ilvl="0">
      <w:start w:val="1"/>
      <w:numFmt w:val="bullet"/>
      <w:lvlText w:val="•"/>
    </w:lvl>
  </w:abstractNum>
  <w:num w:numId="38">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numbering.xml" Id="docRId3" Type="http://schemas.openxmlformats.org/officeDocument/2006/relationships/numbering" /><Relationship Target="embeddings/oleObject0.bin" Id="docRId0" Type="http://schemas.openxmlformats.org/officeDocument/2006/relationships/oleObject" /><Relationship TargetMode="External" Target="https://uk/" Id="docRId2" Type="http://schemas.openxmlformats.org/officeDocument/2006/relationships/hyperlink" /><Relationship Target="styles.xml" Id="docRId4" Type="http://schemas.openxmlformats.org/officeDocument/2006/relationships/styles" /></Relationships>
</file>