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523A5AE5" w:rsidP="523A5AE5" w:rsidRDefault="523A5AE5" w14:paraId="221FBBD2" w14:textId="65689B8C">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1"/>
          <w:bCs w:val="1"/>
          <w:i w:val="0"/>
          <w:iCs w:val="0"/>
          <w:noProof w:val="0"/>
          <w:color w:val="000000" w:themeColor="text1" w:themeTint="FF" w:themeShade="FF"/>
          <w:sz w:val="24"/>
          <w:szCs w:val="24"/>
          <w:lang w:val="en-GB"/>
        </w:rPr>
        <w:t>How current initiatives support the development of numeracy across the curriculum.</w:t>
      </w:r>
    </w:p>
    <w:p w:rsidR="523A5AE5" w:rsidP="523A5AE5" w:rsidRDefault="523A5AE5" w14:paraId="40CA5980" w14:textId="381FBF1D">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000000" w:themeColor="text1" w:themeTint="FF" w:themeShade="FF"/>
          <w:sz w:val="24"/>
          <w:szCs w:val="24"/>
          <w:lang w:val="en-GB"/>
        </w:rPr>
        <w:t>“Numeracy involves skills that are not always taught in the classroom. It is the ability to use numbers and solve problems in real life. It means having the confidence and skills to use numbers and mathematical approaches in all aspects of everyday life”. Nationalnumeracy.org.uk (12/12/19). Numeracy is used daily. We use maths when we cook, go shopping, use public transport or travel, tell the time and make important decisions on budgeting and spending. It is also used throughout a school setting in many of the lessons taught, for example science and technology, literacy, history, geography and the arts. Good numeracy is important as, “So many important decisions we make as adults are based on numbers”. Nationalnumeracy.org.uk (12/12/19). Having good numeracy skills helps solve problems financially, socially and professionally. “Good numeracy is the best protection against unemployment, low wages and poor health”. Natinalnumeracy.ork.uk (12/12/19). According to school guide (12/12/19). Setting A is set in a large housing estate which is socially and economically disadvantaged. A large percentage of pupils live within the 30% most deprived area of Wales, where 48% of the pupils claim free school meals, which is above the local and national averages. Most of the families live in rented accommodation and pupil mobility is high. Setting A currently have around 257 pupils, aging from 3 – 11, who are taught in 14 classes. In these 14 classes there are 4 specialised teaching facilities, 2 in each key stage which supports pupils with moderate to server learning difficulties and for children diagnosed with autism. Around 50% of pupils that attend setting A require additional learning needs support and 13% of this figure have a statement of special educational needs. In my essay I am going to study the class I work in, which is 1 of the specialised teaching facilities in the foundation phase. This class supports children from the age of 3 – 7 year olds with moderate to severe learning difficulties. We have 8 children in my class, with 4 of these children diagnosed with autism. In my class we use the National Literacy and Numeracy Framework to teach maths to our pupils. “Mathematics is an important part of learning for all children in the early years and receiving a good grounding in maths is an essential life skill”. Ndna.org.uk (14/12/19).  I will also be linking the practice to theoretical approaches, some will include Behaviourism by Skinner, Social Constructivism by Vygotsky, which can also be linked to Carl Rogers theory of Self – actualisation, Donaldson’s new curriculum.</w:t>
      </w:r>
    </w:p>
    <w:p w:rsidR="523A5AE5" w:rsidP="523A5AE5" w:rsidRDefault="523A5AE5" w14:paraId="7D213174" w14:textId="4228D947">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000000" w:themeColor="text1" w:themeTint="FF" w:themeShade="FF"/>
          <w:sz w:val="24"/>
          <w:szCs w:val="24"/>
          <w:lang w:val="en-GB"/>
        </w:rPr>
        <w:t xml:space="preserve">The National Literacy and Numeracy Framework (LNF) which is what I use in my class, provides instructions of what skills are expected of children between the ages of 5 – 14. It focuses on the learner’s ability to apply the skills and concepts they have learned to real life situations and be able to transfer these skills to the adult world. It supports progression for all learners, as it sets out clear year on year expectations of what children should have achieved and what they will learn in the future. The framework supports teachers to provide opportunities for children to access literacy and numeracy across the curriculum.  However, the framework does acknowledge that not all children develop at the same time and in the same way. This is because of many reasons. One way which the LNF suggests is that some schools are set in disadvantage areas, just like setting A and therefore the LNF allows teachers to follow the year on year expectations to ensure they are “incorporating the appropriate skills into the delivery of the curriculum and its content”. (National Literacy and Numeracy Framework 2013). This can be at any time of the child’s education. Children between the ages of 3-5 in the foundation phase, learning patterns can vary and the LNF recognise this and therefore sets the expectations from the age of 5.   Another reason, that children do not develop at the same time is, children with additional learning needs. The framework is inclusive to all learners. Children with additional learning needs are included in each element as it sets out refined skills as they progress towards the expected standards. Some skill elements will not appear until later and these are shaded in grey.    The skills are divided into 4 strands, developing numerical reasoning, using number skills, using measuring skills and using data skills.  Developing numerical reasoning identifies the skills needed to solve problems in the real world. It focuses on 3 elements, identify processes and connections, represent and communicate and review. When you understand how to solve a problem, you need skills to carry out the method to get the correct answer. The second strand number skills are the fundamental skills that are needed to use numbers to work out the answer.  this is where children learn to count, order numbers and check strategies. This strand focuses on 5 elements, using number facts and relationships, fractions, decimals, percentages and ratio, calculate using mental and written methods, estimate and check and manage money.  The third strand measuring skills shows us the importance of knowing what measurements to use in different contexts. This strand focuses on 4 elements length, weight, mass, and capacity, time, temperature and area and volume. The fourth strand using data skills involves handling data and how it can be done in many ways, through a graph, table or chart. It focuses on 3 elements, collect and record data, present and analyse data and interpret results. </w:t>
      </w:r>
    </w:p>
    <w:p w:rsidR="523A5AE5" w:rsidP="523A5AE5" w:rsidRDefault="523A5AE5" w14:paraId="09A73949" w14:textId="74B557FF">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000000" w:themeColor="text1" w:themeTint="FF" w:themeShade="FF"/>
          <w:sz w:val="24"/>
          <w:szCs w:val="24"/>
          <w:lang w:val="en-GB"/>
        </w:rPr>
        <w:t xml:space="preserve">Paulo Freire theory of Pedagogy of the Oppressed disagrees in some ways to the LNF. He feels that the education system is oppressing the learners in many ways. Freire says, “The teachers teach, and the students are taught, the teacher knows everything, and the students know nothing, the teacher chooses and enforces his choice, and the students comply”. (Freire, 1996 [1970] pg:54). He wants education to be more free. There is no set curriculum like the LNF where it has 4 strands. Critical pedagogy has 4 dimensions in numeracy, knowledge and understanding, investigating patterns, communication in mathematics and reflection in mathematics. This theory can be linked to Vygotsky’s theory of Social Constructivism. The dimension of knowledge and understanding has the same idea of Vygotsky’s level of developments. The first level is potential development is “where the knowledge and understanding which the child may gain in the future but is inaccessible from where they are now”. (Blakemore and Frith 2005). The second level is proximal development “where the knowledge and understanding which the child may grasp with the help of a more competent peer or adult”. (Blakemore and Frith 2005). Bell Hooke's has taken Freire’s approach into her classroom. Just like Vygotsky she wants her learners to be active and collaborate together, especially using communication, which is another dimension in numeracy, to discuss ideas, what did your group find out, talk to a partner and work out the answer together. In setting A, the children who can be paired up into groups, work together. This helps to support them in not being afraid to get the wrong answer in numeracy, and to learn from each other.   Freire and Vygotsky want to see the education system be more open and allow the children to integrate on a social level as they believe learning happens through interaction. This can also be linked to practice in setting A. Most of our numeracy work is achieved through either in play or socialising in the community. The children experience going shopping every week for their snack and cooking and they exchange money to the cashier.  Another way is when they go to the café do develop their social skills. We practice remembering the coins. They use their counting skills every time they are the helper as they must collect and give out the correct amount of milk to each child.  The third level is actual development “what the child can do alone” (Blakemore and Frith 2005). These levels of developments suggest a freedom of education in some ways, as the child is expressing what they know in their own way.  A lot of our practice in numeracy in setting A is achieved this way. Where setting A uses an initiative called “Polly time”. This allows the children to choose what they want to learn through the different areas of learning which was suggested by Professor Graham Donaldson. </w:t>
      </w:r>
    </w:p>
    <w:p w:rsidR="523A5AE5" w:rsidP="523A5AE5" w:rsidRDefault="523A5AE5" w14:paraId="2F0BEF0B" w14:textId="09C176B1">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000000" w:themeColor="text1" w:themeTint="FF" w:themeShade="FF"/>
          <w:sz w:val="24"/>
          <w:szCs w:val="24"/>
          <w:lang w:val="en-GB"/>
        </w:rPr>
        <w:t xml:space="preserve">The Welsh Government wanted to make sure that all children and young people in Wales were receiving the best education, and in March 2014 Professor Graham Donaldson reviewed the curriculum and assessment process on behalf of the Welsh Government for schools in Wales. The review aims to “shape a successful and exciting future for children and young people” (GOV.WALES 27/2/19). During the review Donaldson and his team talked to children, young people, parents, carers and teachers as well as the wider community. Lots of positive outcomes came from these discussions, for example the foundation phase, LNF, routes for learning, new Welsh Baccalaureate and Welsh language and bilingualism, but it was not all positive. Children thought that that the curriculum was out of date in areas such as technology, software and digital skills. They wanted lessons to be more interesting and fun and allow them to experience life skills, build on self-confidence, career advice and health and well-being. Setting A has achieved experiencing life skills and building on self -confidence by developing a pop - up shop. Here the children are developing their numeracy skills, by budgeting, ordering, selling, and giving the correct change. It is also hitting 1 of the 4 purposes in the new curriculum – enterprising creative contributors. Another initiative setting A provides the children is running their own coffee shop. Again, enhancing their numeracy skills.   The teachers explained that they wanted to make decisions about how and what to teach the children within the curriculum and the assessment process was not working to support the children’s learning. Through these discussions, Donaldson’s report suggested several changes. He wanted   to see 4 purposes of the curriculum, and that all children will be ambitious, capable learners, enterprising creative contributors, healthy, confident individuals and ethical informed citizens. These 4 purposes will underpin all learning and teaching in Wales. The report also suggests that there should be 6 areas of learning and experience and each will contribute to the 4 purposes to ensure an extensive educational experience is met for all children and young people. Another idea suggested by Donaldson is that 3 areas, digital competence, literacy and numeracy should be taught across the curriculum and it should be the responsibility of all teachers. These 3 areas are important in life for children to think and learn and that there should be a continuous progression cross the curriculum, as the curriculum at the moment is not appropriate for all learners as it is set out into different phases and key stages. Making progression steps across the curriculum is a better way to have outcomes met and achieved. Each area will then mean more to an individual than just having the ability to answer a question. The report also suggests children making choices and taking more responsibility for their learning. They should be able to record their own achievements online and have a say in what and how they learn.  This will help the children to thrive and succeed in adult life. The report has strong links with theorist Carl Rogers’ theory of self-actualisation. According to Rogers’ “A shift in emphasis in the learning process away from the teacher towards the learner”. (Bates 2019 pg.: 64). Rogers’ wanted the teachers to facilitate an environment to allow the children to make their own decisions on how to get answers from what they were experimenting and exploring.  This is how Donaldson wants the curriculum to work. </w:t>
      </w:r>
    </w:p>
    <w:p w:rsidR="523A5AE5" w:rsidP="523A5AE5" w:rsidRDefault="523A5AE5" w14:paraId="1BB88735" w14:textId="1EB529B6">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000000" w:themeColor="text1" w:themeTint="FF" w:themeShade="FF"/>
          <w:sz w:val="24"/>
          <w:szCs w:val="24"/>
          <w:lang w:val="en-GB"/>
        </w:rPr>
        <w:t>Skinner's theory of Behaviourism disagrees in some ways with Donaldson’s new curriculum, Freire's pedagogy of the oppressed and Vygotsky's theory of social constructivism. He believes that pupils are a blank slate. He sees a teacher talking, teaching the children and the children listening and repeating back to the teacher. The teacher has an authoritative role, where the learners take on a passive role. This is where they teacher decides on what numeracy to teach the children and how they will learn it.  There is a lot of repetition in a behaviourist approach. They will look at the same area of numeracy repeatedly until the learner has achieved the outcome. This sometimes occurs in setting A. The children need repetition. We use various resources but will concentrate only on that number, shape, weight, capacity over a period.  Where in the other approaches the children will learn for themselves by exploring and experimenting, but Skinner’s theory has the input of adults by rewarding positive behaviour and reprimand negative behaviour. Repetition of these patterns encourages children how to learn.</w:t>
      </w:r>
    </w:p>
    <w:p w:rsidR="523A5AE5" w:rsidP="523A5AE5" w:rsidRDefault="523A5AE5" w14:paraId="577C2927" w14:textId="01FF75CC">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000000" w:themeColor="text1" w:themeTint="FF" w:themeShade="FF"/>
          <w:sz w:val="24"/>
          <w:szCs w:val="24"/>
          <w:lang w:val="en-GB"/>
        </w:rPr>
        <w:t>The UK remains one of the lowest countries to have low numeracy skills. Research shows that 1 in 3 people cannot work out the correct change from a shopping trip. One of the reasons suggested for this poor numeracy skills is how maths was taught years ago. Most adults today have a fear of maths, low self-esteem from how the teacher made them feel in a maths lesson. The Cockcroft Report could see concern of the low basic skills in children and that there was a high demand on adults to use their numeracy skills. The Cockcroft Report (1982). “To consider the teaching of mathematics in primary and secondary schools in England and Wales, with particular regard to the mathematics required in further and higher education, employment and adult life generally”. This suggests that they wanted to see numeracy taught across the curriculum as maths maybe needed in other subject and taught in real life experiences to support the children to get themselves ready for adult life.   There have been some changes in the way we teach maths over the years. In school today, there would be more practical ways to experience maths linked to society, The Cockcroft report (1982) supports this as it says ”the primary mathematics curriculum should enrich children’s aesthetic and linguistic experience, provide them with the means of exploring their environment and develop their powers of logical thought, in addition to equipping them with the numerical skills which will be a powerful tool for later work and study – practical work is essential throughout the primary years”,  where in the past you would have just answered the questions and thought no more about it . There are more resources to help support children to achieve the correct answer, where years ago there would be 1 or 2 resources provided. Another change is how we celebrate mistakes. This can be supported by Carol Dweck theory of mindset and motivation. According to Dweck “by fostering growth mindsets educators can help learners overcome challenges, avoid the fear of failure and celebrate effort over outcome” (Aubrey and Riley 2019 pg.: 262). Setting A has an initiative of “the power of yet”. It allows children to see that it does not matter that they have not got the correct answer yet, but with practice they can achieve it at a later time.</w:t>
      </w:r>
    </w:p>
    <w:p w:rsidR="523A5AE5" w:rsidP="523A5AE5" w:rsidRDefault="523A5AE5" w14:paraId="6D52ABAD" w14:textId="23AB8536">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000000" w:themeColor="text1" w:themeTint="FF" w:themeShade="FF"/>
          <w:sz w:val="24"/>
          <w:szCs w:val="24"/>
          <w:lang w:val="en-GB"/>
        </w:rPr>
        <w:t>To conclude, from all the policies, theories, reports and frameworks that has been researched, it is evident that teaching numeracy across the curriculum is the way to increase the numeracy skills in both adults and children. Donaldson’s new curriculum will be very influential on developing children’s numeracy skills, allowing them to be successful learners. The curriculum will let them take part in an active role in the community, to experiment dealing with their skills for numeracy, which will prepare them when they get to adulthood. The LNF supports developing numeracy skills across the curriculum too, as it enables teachers to be flexible in their approach. The LNF will be there to support the learners to revisit areas throughout their learning journey that did not quite make sense to them at that time, to make sure that they have developed an understanding to use their numeracy skills. Numeracy skills should be taught across all lessons. “Teachers should use every relevant subject to develop pupils’ mathematical fluency. Teachers should develop pupils’ numeracy and mathematical reasoning in all subjects so that they understand and appreciate the importance of mathematics”. DfE (2013). To ensure that pupils develop high numeracy skills, they must have greater opportunities to extend these skills right across the curriculum.</w:t>
      </w:r>
    </w:p>
    <w:p w:rsidR="523A5AE5" w:rsidP="523A5AE5" w:rsidRDefault="523A5AE5" w14:paraId="773D7FA4" w14:textId="678E147E">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p>
    <w:p w:rsidR="523A5AE5" w:rsidP="523A5AE5" w:rsidRDefault="523A5AE5" w14:paraId="593FF7FD" w14:textId="21A937BC">
      <w:pPr>
        <w:spacing w:after="160" w:line="360" w:lineRule="auto"/>
        <w:jc w:val="both"/>
        <w:rPr>
          <w:rFonts w:ascii="Calibri" w:hAnsi="Calibri" w:eastAsia="Calibri" w:cs="Calibri"/>
          <w:b w:val="0"/>
          <w:bCs w:val="0"/>
          <w:i w:val="0"/>
          <w:iCs w:val="0"/>
          <w:noProof w:val="0"/>
          <w:color w:val="000000" w:themeColor="text1" w:themeTint="FF" w:themeShade="FF"/>
          <w:sz w:val="24"/>
          <w:szCs w:val="24"/>
          <w:lang w:val="en-GB"/>
        </w:rPr>
      </w:pPr>
    </w:p>
    <w:p w:rsidR="523A5AE5" w:rsidP="523A5AE5" w:rsidRDefault="523A5AE5" w14:paraId="3DDDD701" w14:textId="3D155938">
      <w:pPr>
        <w:spacing w:before="460" w:after="120" w:line="259" w:lineRule="auto"/>
        <w:rPr>
          <w:rFonts w:ascii="Calibri" w:hAnsi="Calibri" w:eastAsia="Calibri" w:cs="Calibri"/>
          <w:b w:val="0"/>
          <w:bCs w:val="0"/>
          <w:i w:val="0"/>
          <w:iCs w:val="0"/>
          <w:noProof w:val="0"/>
          <w:color w:val="262626" w:themeColor="text1" w:themeTint="D9" w:themeShade="FF"/>
          <w:sz w:val="24"/>
          <w:szCs w:val="24"/>
          <w:lang w:val="en-GB"/>
        </w:rPr>
      </w:pPr>
      <w:r w:rsidRPr="523A5AE5" w:rsidR="523A5AE5">
        <w:rPr>
          <w:rFonts w:ascii="Calibri" w:hAnsi="Calibri" w:eastAsia="Calibri" w:cs="Calibri"/>
          <w:b w:val="0"/>
          <w:bCs w:val="0"/>
          <w:i w:val="0"/>
          <w:iCs w:val="0"/>
          <w:noProof w:val="0"/>
          <w:color w:val="262626" w:themeColor="text1" w:themeTint="D9" w:themeShade="FF"/>
          <w:sz w:val="24"/>
          <w:szCs w:val="24"/>
          <w:lang w:val="en-GB"/>
        </w:rPr>
        <w:t>References</w:t>
      </w:r>
    </w:p>
    <w:p w:rsidR="523A5AE5" w:rsidP="523A5AE5" w:rsidRDefault="523A5AE5" w14:paraId="37B90617" w14:textId="374C063D">
      <w:pPr>
        <w:spacing w:after="120" w:line="259" w:lineRule="auto"/>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Andreas, S. (2017).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Why is numeracy important?  </w:t>
      </w: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Available at </w:t>
      </w:r>
      <w:hyperlink r:id="Rf259afa28df34461">
        <w:r w:rsidRPr="523A5AE5" w:rsidR="523A5AE5">
          <w:rPr>
            <w:rStyle w:val="Hyperlink"/>
            <w:rFonts w:ascii="Calibri" w:hAnsi="Calibri" w:eastAsia="Calibri" w:cs="Calibri"/>
            <w:b w:val="0"/>
            <w:bCs w:val="0"/>
            <w:i w:val="0"/>
            <w:iCs w:val="0"/>
            <w:noProof w:val="0"/>
            <w:color w:val="595959" w:themeColor="text1" w:themeTint="A6" w:themeShade="FF"/>
            <w:sz w:val="24"/>
            <w:szCs w:val="24"/>
            <w:lang w:val="en-GB"/>
          </w:rPr>
          <w:t>https://www.nationalnumeracy.org.uk/why-numeracy-important</w:t>
        </w:r>
      </w:hyperlink>
      <w:r w:rsidRPr="523A5AE5" w:rsidR="523A5AE5">
        <w:rPr>
          <w:rFonts w:ascii="Calibri" w:hAnsi="Calibri" w:eastAsia="Calibri" w:cs="Calibri"/>
          <w:b w:val="0"/>
          <w:bCs w:val="0"/>
          <w:i w:val="0"/>
          <w:iCs w:val="0"/>
          <w:noProof w:val="0"/>
          <w:color w:val="595959" w:themeColor="text1" w:themeTint="A6" w:themeShade="FF"/>
          <w:sz w:val="24"/>
          <w:szCs w:val="24"/>
          <w:lang w:val="en-GB"/>
        </w:rPr>
        <w:t>.</w:t>
      </w:r>
    </w:p>
    <w:p w:rsidR="523A5AE5" w:rsidP="523A5AE5" w:rsidRDefault="523A5AE5" w14:paraId="1D2EC3F1" w14:textId="67194978">
      <w:pPr>
        <w:spacing w:after="120" w:line="259" w:lineRule="auto"/>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Aubrey, K. and Riley, A. (2019).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Understanding and using Educational Theories. </w:t>
      </w:r>
      <w:r w:rsidRPr="523A5AE5" w:rsidR="523A5AE5">
        <w:rPr>
          <w:rFonts w:ascii="Calibri" w:hAnsi="Calibri" w:eastAsia="Calibri" w:cs="Calibri"/>
          <w:b w:val="0"/>
          <w:bCs w:val="0"/>
          <w:i w:val="0"/>
          <w:iCs w:val="0"/>
          <w:noProof w:val="0"/>
          <w:color w:val="595959" w:themeColor="text1" w:themeTint="A6" w:themeShade="FF"/>
          <w:sz w:val="24"/>
          <w:szCs w:val="24"/>
          <w:lang w:val="en-GB"/>
        </w:rPr>
        <w:t>London: Sage Publications; second edition.</w:t>
      </w:r>
    </w:p>
    <w:p w:rsidR="523A5AE5" w:rsidP="523A5AE5" w:rsidRDefault="523A5AE5" w14:paraId="40CC7BD2" w14:textId="1D386B88">
      <w:pPr>
        <w:spacing w:after="120" w:line="259" w:lineRule="auto"/>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Bates, B. (2019).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Learning Theories simplified. </w:t>
      </w:r>
      <w:r w:rsidRPr="523A5AE5" w:rsidR="523A5AE5">
        <w:rPr>
          <w:rFonts w:ascii="Calibri" w:hAnsi="Calibri" w:eastAsia="Calibri" w:cs="Calibri"/>
          <w:b w:val="0"/>
          <w:bCs w:val="0"/>
          <w:i w:val="0"/>
          <w:iCs w:val="0"/>
          <w:noProof w:val="0"/>
          <w:color w:val="595959" w:themeColor="text1" w:themeTint="A6" w:themeShade="FF"/>
          <w:sz w:val="24"/>
          <w:szCs w:val="24"/>
          <w:lang w:val="en-GB"/>
        </w:rPr>
        <w:t>London: Sage Publications; second edition.</w:t>
      </w:r>
    </w:p>
    <w:p w:rsidR="523A5AE5" w:rsidP="523A5AE5" w:rsidRDefault="523A5AE5" w14:paraId="741AA807" w14:textId="4EEA90C6">
      <w:pPr>
        <w:spacing w:after="120" w:line="259" w:lineRule="auto"/>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Blakemore, S-J, and Frith, U. (2005).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The Learning Brain. </w:t>
      </w:r>
      <w:r w:rsidRPr="523A5AE5" w:rsidR="523A5AE5">
        <w:rPr>
          <w:rFonts w:ascii="Calibri" w:hAnsi="Calibri" w:eastAsia="Calibri" w:cs="Calibri"/>
          <w:b w:val="0"/>
          <w:bCs w:val="0"/>
          <w:i w:val="0"/>
          <w:iCs w:val="0"/>
          <w:noProof w:val="0"/>
          <w:color w:val="595959" w:themeColor="text1" w:themeTint="A6" w:themeShade="FF"/>
          <w:sz w:val="24"/>
          <w:szCs w:val="24"/>
          <w:lang w:val="en-GB"/>
        </w:rPr>
        <w:t>Oxford. Blackwell.</w:t>
      </w:r>
    </w:p>
    <w:p w:rsidR="523A5AE5" w:rsidP="523A5AE5" w:rsidRDefault="523A5AE5" w14:paraId="69E5AE3E" w14:textId="622E1778">
      <w:pPr>
        <w:spacing w:after="120" w:line="259" w:lineRule="auto"/>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Cockcroft, WH. (1982).</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 Mathematics count. </w:t>
      </w:r>
      <w:r w:rsidRPr="523A5AE5" w:rsidR="523A5AE5">
        <w:rPr>
          <w:rFonts w:ascii="Calibri" w:hAnsi="Calibri" w:eastAsia="Calibri" w:cs="Calibri"/>
          <w:b w:val="0"/>
          <w:bCs w:val="0"/>
          <w:i w:val="0"/>
          <w:iCs w:val="0"/>
          <w:noProof w:val="0"/>
          <w:color w:val="595959" w:themeColor="text1" w:themeTint="A6" w:themeShade="FF"/>
          <w:sz w:val="24"/>
          <w:szCs w:val="24"/>
          <w:lang w:val="en-GB"/>
        </w:rPr>
        <w:t>London: Her Majesty’s Stationery Office.</w:t>
      </w:r>
    </w:p>
    <w:p w:rsidR="523A5AE5" w:rsidP="523A5AE5" w:rsidRDefault="523A5AE5" w14:paraId="005ABE85" w14:textId="586B9BAF">
      <w:pPr>
        <w:spacing w:after="120" w:line="259" w:lineRule="auto"/>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DfE (2013)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The National Curriculum in England (Framework Document), </w:t>
      </w:r>
      <w:r w:rsidRPr="523A5AE5" w:rsidR="523A5AE5">
        <w:rPr>
          <w:rFonts w:ascii="Calibri" w:hAnsi="Calibri" w:eastAsia="Calibri" w:cs="Calibri"/>
          <w:b w:val="0"/>
          <w:bCs w:val="0"/>
          <w:i w:val="0"/>
          <w:iCs w:val="0"/>
          <w:noProof w:val="0"/>
          <w:color w:val="595959" w:themeColor="text1" w:themeTint="A6" w:themeShade="FF"/>
          <w:sz w:val="24"/>
          <w:szCs w:val="24"/>
          <w:lang w:val="en-GB"/>
        </w:rPr>
        <w:t>p103</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 </w:t>
      </w:r>
      <w:r w:rsidRPr="523A5AE5" w:rsidR="523A5AE5">
        <w:rPr>
          <w:rFonts w:ascii="Calibri" w:hAnsi="Calibri" w:eastAsia="Calibri" w:cs="Calibri"/>
          <w:b w:val="0"/>
          <w:bCs w:val="0"/>
          <w:i w:val="0"/>
          <w:iCs w:val="0"/>
          <w:noProof w:val="0"/>
          <w:color w:val="595959" w:themeColor="text1" w:themeTint="A6" w:themeShade="FF"/>
          <w:sz w:val="24"/>
          <w:szCs w:val="24"/>
          <w:lang w:val="en-GB"/>
        </w:rPr>
        <w:t>London: DfE, Crown Copyright (2013).</w:t>
      </w:r>
    </w:p>
    <w:p w:rsidR="523A5AE5" w:rsidP="523A5AE5" w:rsidRDefault="523A5AE5" w14:paraId="30BA3D8D" w14:textId="36542FF7">
      <w:pPr>
        <w:spacing w:after="120" w:line="259" w:lineRule="auto"/>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Donaldson, G. (2015). </w:t>
      </w:r>
      <w:r w:rsidRPr="523A5AE5" w:rsidR="523A5AE5">
        <w:rPr>
          <w:rFonts w:ascii="Calibri" w:hAnsi="Calibri" w:eastAsia="Calibri" w:cs="Calibri"/>
          <w:b w:val="0"/>
          <w:bCs w:val="0"/>
          <w:i w:val="1"/>
          <w:iCs w:val="1"/>
          <w:noProof w:val="0"/>
          <w:color w:val="595959" w:themeColor="text1" w:themeTint="A6" w:themeShade="FF"/>
          <w:sz w:val="24"/>
          <w:szCs w:val="24"/>
          <w:lang w:val="en-GB"/>
        </w:rPr>
        <w:t>Successful Futures.</w:t>
      </w: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 Available at </w:t>
      </w:r>
      <w:hyperlink r:id="Rdaad3a1dd3e94ab4">
        <w:r w:rsidRPr="523A5AE5" w:rsidR="523A5AE5">
          <w:rPr>
            <w:rStyle w:val="Hyperlink"/>
            <w:rFonts w:ascii="Calibri" w:hAnsi="Calibri" w:eastAsia="Calibri" w:cs="Calibri"/>
            <w:b w:val="0"/>
            <w:bCs w:val="0"/>
            <w:i w:val="0"/>
            <w:iCs w:val="0"/>
            <w:noProof w:val="0"/>
            <w:color w:val="595959" w:themeColor="text1" w:themeTint="A6" w:themeShade="FF"/>
            <w:sz w:val="24"/>
            <w:szCs w:val="24"/>
            <w:lang w:val="en-GB"/>
          </w:rPr>
          <w:t>http://gov.wales/docs/dcells/publications/150317-successful-futures-en.pdf</w:t>
        </w:r>
      </w:hyperlink>
    </w:p>
    <w:p w:rsidR="523A5AE5" w:rsidP="523A5AE5" w:rsidRDefault="523A5AE5" w14:paraId="39332812" w14:textId="574466C6">
      <w:pPr>
        <w:spacing w:after="12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Freire, P. (1996 [1970]).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Pedagogy of the Oppressed. </w:t>
      </w:r>
      <w:r w:rsidRPr="523A5AE5" w:rsidR="523A5AE5">
        <w:rPr>
          <w:rFonts w:ascii="Calibri" w:hAnsi="Calibri" w:eastAsia="Calibri" w:cs="Calibri"/>
          <w:b w:val="0"/>
          <w:bCs w:val="0"/>
          <w:i w:val="0"/>
          <w:iCs w:val="0"/>
          <w:noProof w:val="0"/>
          <w:color w:val="595959" w:themeColor="text1" w:themeTint="A6" w:themeShade="FF"/>
          <w:sz w:val="24"/>
          <w:szCs w:val="24"/>
          <w:lang w:val="en-GB"/>
        </w:rPr>
        <w:t>London: Penguin.</w:t>
      </w:r>
    </w:p>
    <w:p w:rsidR="523A5AE5" w:rsidP="523A5AE5" w:rsidRDefault="523A5AE5" w14:paraId="492AEA0D" w14:textId="296AE256">
      <w:pPr>
        <w:spacing w:after="12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National Day Nurseries Association.  (2019).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Maths in early years. </w:t>
      </w: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Available at </w:t>
      </w:r>
      <w:hyperlink r:id="Rb85b12da2b434aba">
        <w:r w:rsidRPr="523A5AE5" w:rsidR="523A5AE5">
          <w:rPr>
            <w:rStyle w:val="Hyperlink"/>
            <w:rFonts w:ascii="Calibri" w:hAnsi="Calibri" w:eastAsia="Calibri" w:cs="Calibri"/>
            <w:b w:val="0"/>
            <w:bCs w:val="0"/>
            <w:i w:val="0"/>
            <w:iCs w:val="0"/>
            <w:noProof w:val="0"/>
            <w:color w:val="595959" w:themeColor="text1" w:themeTint="A6" w:themeShade="FF"/>
            <w:sz w:val="24"/>
            <w:szCs w:val="24"/>
            <w:lang w:val="en-GB"/>
          </w:rPr>
          <w:t>http://www.ndna.org.uk/NDNA/Community/myNDNA/Mini_Guides/Maths_in_early_years.aspx</w:t>
        </w:r>
      </w:hyperlink>
      <w:r w:rsidRPr="523A5AE5" w:rsidR="523A5AE5">
        <w:rPr>
          <w:rFonts w:ascii="Calibri" w:hAnsi="Calibri" w:eastAsia="Calibri" w:cs="Calibri"/>
          <w:b w:val="0"/>
          <w:bCs w:val="0"/>
          <w:i w:val="0"/>
          <w:iCs w:val="0"/>
          <w:noProof w:val="0"/>
          <w:color w:val="595959" w:themeColor="text1" w:themeTint="A6" w:themeShade="FF"/>
          <w:sz w:val="24"/>
          <w:szCs w:val="24"/>
          <w:lang w:val="en-GB"/>
        </w:rPr>
        <w:t>.</w:t>
      </w:r>
    </w:p>
    <w:p w:rsidR="523A5AE5" w:rsidP="523A5AE5" w:rsidRDefault="523A5AE5" w14:paraId="2FE20828" w14:textId="4B78E4E4">
      <w:pPr>
        <w:spacing w:after="12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Setting, A.(2017).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School guide. </w:t>
      </w: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Available at </w:t>
      </w:r>
      <w:hyperlink r:id="Ra08ba02982b4453f">
        <w:r w:rsidRPr="523A5AE5" w:rsidR="523A5AE5">
          <w:rPr>
            <w:rStyle w:val="Hyperlink"/>
            <w:rFonts w:ascii="Calibri" w:hAnsi="Calibri" w:eastAsia="Calibri" w:cs="Calibri"/>
            <w:b w:val="0"/>
            <w:bCs w:val="0"/>
            <w:i w:val="0"/>
            <w:iCs w:val="0"/>
            <w:noProof w:val="0"/>
            <w:color w:val="595959" w:themeColor="text1" w:themeTint="A6" w:themeShade="FF"/>
            <w:sz w:val="24"/>
            <w:szCs w:val="24"/>
            <w:lang w:val="en-GB"/>
          </w:rPr>
          <w:t>https://www.schoolguide.co.uk/schools/community-primary-school-swansea</w:t>
        </w:r>
      </w:hyperlink>
    </w:p>
    <w:p w:rsidR="523A5AE5" w:rsidP="523A5AE5" w:rsidRDefault="523A5AE5" w14:paraId="70782AD6" w14:textId="4FC2D389">
      <w:pPr>
        <w:spacing w:after="120" w:line="259" w:lineRule="auto"/>
        <w:jc w:val="both"/>
        <w:rPr>
          <w:rFonts w:ascii="Calibri" w:hAnsi="Calibri" w:eastAsia="Calibri" w:cs="Calibri"/>
          <w:b w:val="0"/>
          <w:bCs w:val="0"/>
          <w:i w:val="0"/>
          <w:iCs w:val="0"/>
          <w:noProof w:val="0"/>
          <w:color w:val="000000" w:themeColor="text1" w:themeTint="FF" w:themeShade="FF"/>
          <w:sz w:val="24"/>
          <w:szCs w:val="24"/>
          <w:lang w:val="en-GB"/>
        </w:rPr>
      </w:pPr>
      <w:r w:rsidRPr="523A5AE5" w:rsidR="523A5AE5">
        <w:rPr>
          <w:rFonts w:ascii="Calibri" w:hAnsi="Calibri" w:eastAsia="Calibri" w:cs="Calibri"/>
          <w:b w:val="0"/>
          <w:bCs w:val="0"/>
          <w:i w:val="0"/>
          <w:iCs w:val="0"/>
          <w:noProof w:val="0"/>
          <w:color w:val="595959" w:themeColor="text1" w:themeTint="A6" w:themeShade="FF"/>
          <w:sz w:val="24"/>
          <w:szCs w:val="24"/>
          <w:lang w:val="en-GB"/>
        </w:rPr>
        <w:t xml:space="preserve">Welsh Government (2013). </w:t>
      </w:r>
      <w:r w:rsidRPr="523A5AE5" w:rsidR="523A5AE5">
        <w:rPr>
          <w:rFonts w:ascii="Calibri" w:hAnsi="Calibri" w:eastAsia="Calibri" w:cs="Calibri"/>
          <w:b w:val="0"/>
          <w:bCs w:val="0"/>
          <w:i w:val="1"/>
          <w:iCs w:val="1"/>
          <w:noProof w:val="0"/>
          <w:color w:val="595959" w:themeColor="text1" w:themeTint="A6" w:themeShade="FF"/>
          <w:sz w:val="24"/>
          <w:szCs w:val="24"/>
          <w:lang w:val="en-GB"/>
        </w:rPr>
        <w:t xml:space="preserve">National Literacy and Numeracy Framework. </w:t>
      </w:r>
      <w:r w:rsidRPr="523A5AE5" w:rsidR="523A5AE5">
        <w:rPr>
          <w:rFonts w:ascii="Calibri" w:hAnsi="Calibri" w:eastAsia="Calibri" w:cs="Calibri"/>
          <w:b w:val="0"/>
          <w:bCs w:val="0"/>
          <w:i w:val="0"/>
          <w:iCs w:val="0"/>
          <w:noProof w:val="0"/>
          <w:color w:val="595959" w:themeColor="text1" w:themeTint="A6" w:themeShade="FF"/>
          <w:sz w:val="24"/>
          <w:szCs w:val="24"/>
          <w:lang w:val="en-GB"/>
        </w:rPr>
        <w:t>Welsh Government: http;//learningwales.gov.uk/resources/nlnf.</w:t>
      </w:r>
    </w:p>
    <w:p w:rsidR="523A5AE5" w:rsidP="523A5AE5" w:rsidRDefault="523A5AE5" w14:paraId="72258A54" w14:textId="09DE2A4F">
      <w:pPr>
        <w:spacing w:after="120" w:line="259" w:lineRule="auto"/>
        <w:jc w:val="both"/>
        <w:rPr>
          <w:rFonts w:ascii="Calibri" w:hAnsi="Calibri" w:eastAsia="Calibri" w:cs="Calibri"/>
          <w:b w:val="0"/>
          <w:bCs w:val="0"/>
          <w:i w:val="0"/>
          <w:iCs w:val="0"/>
          <w:noProof w:val="0"/>
          <w:color w:val="000000" w:themeColor="text1" w:themeTint="FF" w:themeShade="FF"/>
          <w:sz w:val="24"/>
          <w:szCs w:val="24"/>
          <w:lang w:val="en-GB"/>
        </w:rPr>
      </w:pPr>
    </w:p>
    <w:p w:rsidR="523A5AE5" w:rsidP="523A5AE5" w:rsidRDefault="523A5AE5" w14:paraId="1913FBF7" w14:textId="635CA4D1">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33D419F"/>
  <w15:docId w15:val="{9c258af9-b1e6-4dfe-938c-a5d4691d66da}"/>
  <w:rsids>
    <w:rsidRoot w:val="733D419F"/>
    <w:rsid w:val="523A5AE5"/>
    <w:rsid w:val="733D419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nationalnumeracy.org.uk/why-numeracy-important" TargetMode="External" Id="Rf259afa28df34461" /><Relationship Type="http://schemas.openxmlformats.org/officeDocument/2006/relationships/hyperlink" Target="http://gov.wales/docs/dcells/publications/150317-successful-futures-en.pdf" TargetMode="External" Id="Rdaad3a1dd3e94ab4" /><Relationship Type="http://schemas.openxmlformats.org/officeDocument/2006/relationships/hyperlink" Target="http://www.ndna.org.uk/NDNA/Community/myNDNA/Mini_Guides/Maths_in_early_years.aspx" TargetMode="External" Id="Rb85b12da2b434aba" /><Relationship Type="http://schemas.openxmlformats.org/officeDocument/2006/relationships/hyperlink" Target="https://www.schoolguide.co.uk/schools/community-primary-school-swansea" TargetMode="External" Id="Ra08ba02982b4453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Tracey Morris (1808193)</dc:creator>
  <keywords/>
  <dc:description/>
  <lastModifiedBy>Tracey Morris (1808193)</lastModifiedBy>
  <revision>2</revision>
  <dcterms:created xsi:type="dcterms:W3CDTF">2020-01-05T13:56:45.9547142Z</dcterms:created>
  <dcterms:modified xsi:type="dcterms:W3CDTF">2020-01-05T13:58:18.5374400Z</dcterms:modified>
</coreProperties>
</file>