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7F35A" w14:textId="77777777" w:rsidR="00303B72" w:rsidRDefault="00000000">
      <w:pPr>
        <w:ind w:left="426"/>
        <w:rPr>
          <w:rFonts w:ascii="Arial" w:eastAsia="Arial" w:hAnsi="Arial" w:cs="Arial"/>
        </w:rPr>
      </w:pPr>
      <w:r>
        <w:rPr>
          <w:noProof/>
        </w:rPr>
        <w:drawing>
          <wp:anchor distT="0" distB="0" distL="114300" distR="114300" simplePos="0" relativeHeight="251658240" behindDoc="0" locked="0" layoutInCell="1" hidden="0" allowOverlap="1" wp14:anchorId="7146502C" wp14:editId="0BF1DCFF">
            <wp:simplePos x="0" y="0"/>
            <wp:positionH relativeFrom="column">
              <wp:posOffset>941070</wp:posOffset>
            </wp:positionH>
            <wp:positionV relativeFrom="paragraph">
              <wp:posOffset>4445</wp:posOffset>
            </wp:positionV>
            <wp:extent cx="4152900" cy="1328420"/>
            <wp:effectExtent l="0" t="0" r="0" b="0"/>
            <wp:wrapSquare wrapText="bothSides" distT="0" distB="0" distL="114300" distR="114300"/>
            <wp:docPr id="1"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7"/>
                    <a:srcRect r="23643"/>
                    <a:stretch>
                      <a:fillRect/>
                    </a:stretch>
                  </pic:blipFill>
                  <pic:spPr>
                    <a:xfrm>
                      <a:off x="0" y="0"/>
                      <a:ext cx="4152900" cy="1328420"/>
                    </a:xfrm>
                    <a:prstGeom prst="rect">
                      <a:avLst/>
                    </a:prstGeom>
                    <a:ln/>
                  </pic:spPr>
                </pic:pic>
              </a:graphicData>
            </a:graphic>
          </wp:anchor>
        </w:drawing>
      </w:r>
    </w:p>
    <w:p w14:paraId="378FB55D" w14:textId="77777777" w:rsidR="00303B72" w:rsidRDefault="00303B72">
      <w:pPr>
        <w:spacing w:line="360" w:lineRule="auto"/>
        <w:ind w:left="426"/>
        <w:rPr>
          <w:rFonts w:ascii="Arial" w:eastAsia="Arial" w:hAnsi="Arial" w:cs="Arial"/>
        </w:rPr>
      </w:pPr>
    </w:p>
    <w:p w14:paraId="1F2D7951" w14:textId="77777777" w:rsidR="00303B72" w:rsidRDefault="00303B72">
      <w:pPr>
        <w:spacing w:line="360" w:lineRule="auto"/>
        <w:ind w:left="426"/>
        <w:rPr>
          <w:rFonts w:ascii="Arial" w:eastAsia="Arial" w:hAnsi="Arial" w:cs="Arial"/>
        </w:rPr>
      </w:pPr>
    </w:p>
    <w:p w14:paraId="2E93EBAC" w14:textId="77777777" w:rsidR="00303B72" w:rsidRDefault="00303B72">
      <w:pPr>
        <w:spacing w:line="360" w:lineRule="auto"/>
        <w:ind w:left="426"/>
        <w:rPr>
          <w:rFonts w:ascii="Arial" w:eastAsia="Arial" w:hAnsi="Arial" w:cs="Arial"/>
        </w:rPr>
      </w:pPr>
    </w:p>
    <w:p w14:paraId="7BC4F7C1" w14:textId="77777777" w:rsidR="00303B72" w:rsidRDefault="00303B72">
      <w:pPr>
        <w:rPr>
          <w:rFonts w:ascii="Arial" w:eastAsia="Arial" w:hAnsi="Arial" w:cs="Arial"/>
        </w:rPr>
      </w:pPr>
    </w:p>
    <w:p w14:paraId="4E6191E3" w14:textId="77777777" w:rsidR="00303B72" w:rsidRDefault="00303B72">
      <w:pPr>
        <w:jc w:val="center"/>
        <w:rPr>
          <w:rFonts w:ascii="Aptos" w:eastAsia="Aptos" w:hAnsi="Aptos" w:cs="Aptos"/>
          <w:b/>
          <w:bCs/>
          <w:sz w:val="36"/>
          <w:szCs w:val="36"/>
        </w:rPr>
      </w:pPr>
    </w:p>
    <w:p w14:paraId="1026852A" w14:textId="77777777" w:rsidR="00303B72" w:rsidRDefault="00000000">
      <w:pPr>
        <w:jc w:val="center"/>
        <w:rPr>
          <w:rFonts w:ascii="Aptos" w:eastAsia="Aptos" w:hAnsi="Aptos" w:cs="Aptos"/>
          <w:b/>
          <w:bCs/>
          <w:sz w:val="36"/>
          <w:szCs w:val="36"/>
        </w:rPr>
      </w:pPr>
      <w:r>
        <w:rPr>
          <w:rFonts w:ascii="Aptos" w:eastAsia="Aptos" w:hAnsi="Aptos" w:cs="Aptos"/>
          <w:b/>
          <w:bCs/>
          <w:sz w:val="36"/>
          <w:szCs w:val="36"/>
        </w:rPr>
        <w:t xml:space="preserve">Methods and Search Strategy Academic Poster </w:t>
      </w:r>
    </w:p>
    <w:p w14:paraId="30CF4B9D" w14:textId="77777777" w:rsidR="00303B72" w:rsidRDefault="00303B72">
      <w:pPr>
        <w:jc w:val="center"/>
        <w:rPr>
          <w:rFonts w:ascii="Aptos" w:eastAsia="Aptos" w:hAnsi="Aptos" w:cs="Aptos"/>
          <w:b/>
          <w:bCs/>
          <w:sz w:val="36"/>
          <w:szCs w:val="36"/>
        </w:rPr>
      </w:pPr>
    </w:p>
    <w:p w14:paraId="1B949816" w14:textId="77777777" w:rsidR="00303B72" w:rsidRDefault="00303B72">
      <w:pPr>
        <w:jc w:val="center"/>
        <w:rPr>
          <w:rFonts w:ascii="Aptos" w:eastAsia="Aptos" w:hAnsi="Aptos" w:cs="Aptos"/>
          <w:b/>
          <w:bCs/>
          <w:sz w:val="36"/>
          <w:szCs w:val="36"/>
        </w:rPr>
      </w:pPr>
    </w:p>
    <w:p w14:paraId="2E9B3380" w14:textId="77777777" w:rsidR="00303B72" w:rsidRDefault="00303B72">
      <w:pPr>
        <w:jc w:val="center"/>
        <w:rPr>
          <w:rFonts w:ascii="Aptos" w:eastAsia="Aptos" w:hAnsi="Aptos" w:cs="Aptos"/>
          <w:b/>
          <w:bCs/>
          <w:sz w:val="36"/>
          <w:szCs w:val="36"/>
        </w:rPr>
      </w:pPr>
    </w:p>
    <w:p w14:paraId="13136F1F" w14:textId="539D6E9A" w:rsidR="00303B72" w:rsidRDefault="00000000">
      <w:pPr>
        <w:tabs>
          <w:tab w:val="left" w:pos="6540"/>
        </w:tabs>
        <w:spacing w:line="360" w:lineRule="auto"/>
        <w:ind w:left="426"/>
        <w:rPr>
          <w:rFonts w:ascii="Aptos" w:eastAsia="Aptos" w:hAnsi="Aptos" w:cs="Aptos"/>
          <w:sz w:val="28"/>
          <w:szCs w:val="28"/>
        </w:rPr>
      </w:pPr>
      <w:r>
        <w:rPr>
          <w:rFonts w:ascii="Aptos" w:eastAsia="Aptos" w:hAnsi="Aptos" w:cs="Aptos"/>
          <w:b/>
          <w:bCs/>
          <w:sz w:val="28"/>
          <w:szCs w:val="28"/>
        </w:rPr>
        <w:t xml:space="preserve">Student </w:t>
      </w:r>
      <w:r w:rsidR="005B33C7">
        <w:rPr>
          <w:rFonts w:ascii="Aptos" w:eastAsia="Aptos" w:hAnsi="Aptos" w:cs="Aptos"/>
          <w:b/>
          <w:bCs/>
          <w:sz w:val="28"/>
          <w:szCs w:val="28"/>
        </w:rPr>
        <w:t>name</w:t>
      </w:r>
      <w:r w:rsidR="005B33C7">
        <w:rPr>
          <w:rFonts w:ascii="Aptos" w:eastAsia="Aptos" w:hAnsi="Aptos" w:cs="Aptos"/>
          <w:sz w:val="28"/>
          <w:szCs w:val="28"/>
        </w:rPr>
        <w:t>: Sobia</w:t>
      </w:r>
      <w:r>
        <w:rPr>
          <w:rFonts w:ascii="Aptos" w:eastAsia="Aptos" w:hAnsi="Aptos" w:cs="Aptos"/>
          <w:sz w:val="28"/>
          <w:szCs w:val="28"/>
        </w:rPr>
        <w:t xml:space="preserve"> Kauser</w:t>
      </w:r>
    </w:p>
    <w:p w14:paraId="6B9AC5E3" w14:textId="77777777" w:rsidR="00303B72" w:rsidRDefault="00000000">
      <w:pPr>
        <w:tabs>
          <w:tab w:val="left" w:pos="6540"/>
        </w:tabs>
        <w:spacing w:line="360" w:lineRule="auto"/>
        <w:ind w:left="426"/>
        <w:rPr>
          <w:rFonts w:ascii="Aptos" w:eastAsia="Aptos" w:hAnsi="Aptos" w:cs="Aptos"/>
          <w:sz w:val="28"/>
          <w:szCs w:val="28"/>
        </w:rPr>
      </w:pPr>
      <w:r>
        <w:rPr>
          <w:rFonts w:ascii="Aptos" w:eastAsia="Aptos" w:hAnsi="Aptos" w:cs="Aptos"/>
          <w:b/>
          <w:bCs/>
          <w:sz w:val="28"/>
          <w:szCs w:val="28"/>
        </w:rPr>
        <w:t>Student ID</w:t>
      </w:r>
      <w:r>
        <w:rPr>
          <w:rFonts w:ascii="Aptos" w:eastAsia="Aptos" w:hAnsi="Aptos" w:cs="Aptos"/>
          <w:sz w:val="28"/>
          <w:szCs w:val="28"/>
        </w:rPr>
        <w:t>:2243574</w:t>
      </w:r>
    </w:p>
    <w:p w14:paraId="2BA67633" w14:textId="77777777" w:rsidR="00303B72" w:rsidRDefault="00303B72">
      <w:pPr>
        <w:tabs>
          <w:tab w:val="left" w:pos="6540"/>
        </w:tabs>
        <w:spacing w:line="360" w:lineRule="auto"/>
        <w:ind w:left="426"/>
        <w:rPr>
          <w:rFonts w:ascii="Aptos" w:eastAsia="Aptos" w:hAnsi="Aptos" w:cs="Aptos"/>
          <w:sz w:val="28"/>
          <w:szCs w:val="28"/>
        </w:rPr>
      </w:pPr>
    </w:p>
    <w:p w14:paraId="2C114930" w14:textId="77777777" w:rsidR="00303B72" w:rsidRDefault="00000000">
      <w:pPr>
        <w:tabs>
          <w:tab w:val="left" w:pos="6540"/>
        </w:tabs>
        <w:spacing w:line="360" w:lineRule="auto"/>
        <w:ind w:left="426"/>
        <w:rPr>
          <w:rFonts w:ascii="Aptos" w:eastAsia="Aptos" w:hAnsi="Aptos" w:cs="Aptos"/>
          <w:sz w:val="28"/>
          <w:szCs w:val="28"/>
        </w:rPr>
      </w:pPr>
      <w:r>
        <w:rPr>
          <w:rFonts w:ascii="Aptos" w:eastAsia="Aptos" w:hAnsi="Aptos" w:cs="Aptos"/>
          <w:b/>
          <w:bCs/>
          <w:sz w:val="28"/>
          <w:szCs w:val="28"/>
        </w:rPr>
        <w:t>Module name</w:t>
      </w:r>
      <w:r>
        <w:rPr>
          <w:rFonts w:ascii="Aptos" w:eastAsia="Aptos" w:hAnsi="Aptos" w:cs="Aptos"/>
          <w:sz w:val="28"/>
          <w:szCs w:val="28"/>
        </w:rPr>
        <w:t>: Independent project</w:t>
      </w:r>
    </w:p>
    <w:p w14:paraId="2E3174EE" w14:textId="77777777" w:rsidR="00303B72" w:rsidRDefault="00000000">
      <w:pPr>
        <w:tabs>
          <w:tab w:val="left" w:pos="6540"/>
        </w:tabs>
        <w:spacing w:line="360" w:lineRule="auto"/>
        <w:ind w:left="426"/>
        <w:rPr>
          <w:rFonts w:ascii="Aptos" w:eastAsia="Aptos" w:hAnsi="Aptos" w:cs="Aptos"/>
          <w:sz w:val="28"/>
          <w:szCs w:val="28"/>
        </w:rPr>
      </w:pPr>
      <w:r>
        <w:rPr>
          <w:rFonts w:ascii="Aptos" w:eastAsia="Aptos" w:hAnsi="Aptos" w:cs="Aptos"/>
          <w:b/>
          <w:bCs/>
          <w:sz w:val="28"/>
          <w:szCs w:val="28"/>
        </w:rPr>
        <w:t xml:space="preserve">Module </w:t>
      </w:r>
      <w:proofErr w:type="gramStart"/>
      <w:r>
        <w:rPr>
          <w:rFonts w:ascii="Aptos" w:eastAsia="Aptos" w:hAnsi="Aptos" w:cs="Aptos"/>
          <w:b/>
          <w:bCs/>
          <w:sz w:val="28"/>
          <w:szCs w:val="28"/>
        </w:rPr>
        <w:t>code</w:t>
      </w:r>
      <w:r>
        <w:rPr>
          <w:rFonts w:ascii="Aptos" w:eastAsia="Aptos" w:hAnsi="Aptos" w:cs="Aptos"/>
          <w:sz w:val="28"/>
          <w:szCs w:val="28"/>
        </w:rPr>
        <w:t>:BMHP</w:t>
      </w:r>
      <w:proofErr w:type="gramEnd"/>
      <w:r>
        <w:rPr>
          <w:rFonts w:ascii="Aptos" w:eastAsia="Aptos" w:hAnsi="Aptos" w:cs="Aptos"/>
          <w:sz w:val="28"/>
          <w:szCs w:val="28"/>
        </w:rPr>
        <w:t>6020</w:t>
      </w:r>
    </w:p>
    <w:p w14:paraId="3A5F94AB" w14:textId="77777777" w:rsidR="00303B72" w:rsidRDefault="00000000">
      <w:pPr>
        <w:tabs>
          <w:tab w:val="left" w:pos="6540"/>
        </w:tabs>
        <w:spacing w:line="360" w:lineRule="auto"/>
        <w:ind w:left="426"/>
        <w:rPr>
          <w:rFonts w:ascii="Aptos" w:eastAsia="Aptos" w:hAnsi="Aptos" w:cs="Aptos"/>
          <w:sz w:val="28"/>
          <w:szCs w:val="28"/>
        </w:rPr>
      </w:pPr>
      <w:r>
        <w:rPr>
          <w:rFonts w:ascii="Aptos" w:eastAsia="Aptos" w:hAnsi="Aptos" w:cs="Aptos"/>
          <w:b/>
          <w:bCs/>
          <w:sz w:val="28"/>
          <w:szCs w:val="28"/>
        </w:rPr>
        <w:t xml:space="preserve">Lecturer </w:t>
      </w:r>
      <w:proofErr w:type="spellStart"/>
      <w:proofErr w:type="gramStart"/>
      <w:r>
        <w:rPr>
          <w:rFonts w:ascii="Aptos" w:eastAsia="Aptos" w:hAnsi="Aptos" w:cs="Aptos"/>
          <w:b/>
          <w:bCs/>
          <w:sz w:val="28"/>
          <w:szCs w:val="28"/>
        </w:rPr>
        <w:t>Name</w:t>
      </w:r>
      <w:r>
        <w:rPr>
          <w:rFonts w:ascii="Aptos" w:eastAsia="Aptos" w:hAnsi="Aptos" w:cs="Aptos"/>
          <w:sz w:val="28"/>
          <w:szCs w:val="28"/>
        </w:rPr>
        <w:t>:Dannie</w:t>
      </w:r>
      <w:proofErr w:type="spellEnd"/>
      <w:proofErr w:type="gramEnd"/>
      <w:r>
        <w:rPr>
          <w:rFonts w:ascii="Aptos" w:eastAsia="Aptos" w:hAnsi="Aptos" w:cs="Aptos"/>
          <w:sz w:val="28"/>
          <w:szCs w:val="28"/>
        </w:rPr>
        <w:t xml:space="preserve"> Dunne</w:t>
      </w:r>
    </w:p>
    <w:p w14:paraId="7FD74586" w14:textId="77777777" w:rsidR="00303B72" w:rsidRDefault="00000000">
      <w:pPr>
        <w:jc w:val="center"/>
        <w:rPr>
          <w:rFonts w:ascii="Aptos" w:eastAsia="Aptos" w:hAnsi="Aptos" w:cs="Aptos"/>
          <w:b/>
          <w:bCs/>
        </w:rPr>
        <w:sectPr w:rsidR="00303B72">
          <w:headerReference w:type="default" r:id="rId8"/>
          <w:headerReference w:type="first" r:id="rId9"/>
          <w:pgSz w:w="12240" w:h="15840"/>
          <w:pgMar w:top="720" w:right="576" w:bottom="720" w:left="720" w:header="432" w:footer="288" w:gutter="0"/>
          <w:pgNumType w:start="1"/>
          <w:cols w:space="720"/>
          <w:titlePg/>
        </w:sectPr>
      </w:pPr>
      <w:r>
        <w:br w:type="page"/>
      </w:r>
    </w:p>
    <w:p w14:paraId="00932AFB" w14:textId="77777777" w:rsidR="00303B72" w:rsidRDefault="00303B72">
      <w:pPr>
        <w:widowControl w:val="0"/>
        <w:pBdr>
          <w:top w:val="nil"/>
          <w:left w:val="nil"/>
          <w:bottom w:val="nil"/>
          <w:right w:val="nil"/>
          <w:between w:val="nil"/>
        </w:pBdr>
        <w:spacing w:after="0" w:line="276" w:lineRule="auto"/>
        <w:rPr>
          <w:rFonts w:ascii="Aptos" w:eastAsia="Aptos" w:hAnsi="Aptos" w:cs="Aptos"/>
          <w:b/>
          <w:bCs/>
        </w:rPr>
      </w:pPr>
    </w:p>
    <w:tbl>
      <w:tblPr>
        <w:tblStyle w:val="a"/>
        <w:tblW w:w="146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7391"/>
      </w:tblGrid>
      <w:tr w:rsidR="00303B72" w14:paraId="6E774C31" w14:textId="77777777">
        <w:trPr>
          <w:trHeight w:val="597"/>
        </w:trPr>
        <w:tc>
          <w:tcPr>
            <w:tcW w:w="14616" w:type="dxa"/>
            <w:gridSpan w:val="2"/>
            <w:vAlign w:val="center"/>
          </w:tcPr>
          <w:p w14:paraId="28E4980E" w14:textId="77777777" w:rsidR="00303B72" w:rsidRDefault="00000000">
            <w:pPr>
              <w:jc w:val="center"/>
              <w:rPr>
                <w:rFonts w:ascii="Aptos" w:eastAsia="Aptos" w:hAnsi="Aptos" w:cs="Aptos"/>
                <w:b/>
                <w:bCs/>
                <w:sz w:val="36"/>
                <w:szCs w:val="36"/>
              </w:rPr>
            </w:pPr>
            <w:r>
              <w:rPr>
                <w:rFonts w:ascii="Aptos" w:eastAsia="Aptos" w:hAnsi="Aptos" w:cs="Aptos"/>
                <w:b/>
                <w:bCs/>
                <w:sz w:val="36"/>
                <w:szCs w:val="36"/>
              </w:rPr>
              <w:t>Insert Dissertation Title Here</w:t>
            </w:r>
          </w:p>
          <w:p w14:paraId="64AA25C1" w14:textId="77777777" w:rsidR="00303B72" w:rsidRDefault="00303B72">
            <w:pPr>
              <w:jc w:val="center"/>
              <w:rPr>
                <w:rFonts w:ascii="Aptos" w:eastAsia="Aptos" w:hAnsi="Aptos" w:cs="Aptos"/>
                <w:b/>
                <w:bCs/>
              </w:rPr>
            </w:pPr>
          </w:p>
        </w:tc>
      </w:tr>
      <w:tr w:rsidR="00303B72" w14:paraId="1AC5D265" w14:textId="77777777">
        <w:trPr>
          <w:trHeight w:val="1856"/>
        </w:trPr>
        <w:tc>
          <w:tcPr>
            <w:tcW w:w="7225" w:type="dxa"/>
          </w:tcPr>
          <w:p w14:paraId="71B2EBAF" w14:textId="77777777" w:rsidR="00303B72" w:rsidRDefault="00000000">
            <w:pPr>
              <w:rPr>
                <w:rFonts w:ascii="Aptos" w:eastAsia="Aptos" w:hAnsi="Aptos" w:cs="Aptos"/>
                <w:b/>
                <w:bCs/>
              </w:rPr>
            </w:pPr>
            <w:r>
              <w:rPr>
                <w:rFonts w:ascii="Aptos" w:eastAsia="Aptos" w:hAnsi="Aptos" w:cs="Aptos"/>
                <w:b/>
                <w:bCs/>
                <w:sz w:val="40"/>
                <w:szCs w:val="40"/>
              </w:rPr>
              <w:t>01</w:t>
            </w:r>
            <w:r>
              <w:rPr>
                <w:rFonts w:ascii="Aptos" w:eastAsia="Aptos" w:hAnsi="Aptos" w:cs="Aptos"/>
              </w:rPr>
              <w:t xml:space="preserve"> Introduction</w:t>
            </w:r>
            <w:r>
              <w:rPr>
                <w:rFonts w:ascii="Aptos" w:eastAsia="Aptos" w:hAnsi="Aptos" w:cs="Aptos"/>
                <w:b/>
                <w:bCs/>
              </w:rPr>
              <w:t xml:space="preserve"> and Research Aim </w:t>
            </w:r>
          </w:p>
          <w:p w14:paraId="78088A63" w14:textId="77777777" w:rsidR="00303B72" w:rsidRDefault="00000000">
            <w:pPr>
              <w:spacing w:line="360" w:lineRule="auto"/>
              <w:jc w:val="both"/>
              <w:rPr>
                <w:rFonts w:ascii="Aptos" w:eastAsia="Aptos" w:hAnsi="Aptos" w:cs="Aptos"/>
              </w:rPr>
            </w:pPr>
            <w:r>
              <w:rPr>
                <w:rFonts w:ascii="Aptos" w:eastAsia="Aptos" w:hAnsi="Aptos" w:cs="Aptos"/>
              </w:rPr>
              <w:t>A methods section provides an explanation of the design of the research, how evidence was found, how data was systematically analysed, and maintains transparency, reliability, and academic rigour. The methodological approach applied in this dissertation is secondary research and structured literature review, and in this poster, they are summarised. To examine and critically evaluate the most important clinical, demographic and social factors that influence the survival and recovery of patients after an acute stroke and to enhance understanding and guide health and social care practice.</w:t>
            </w:r>
          </w:p>
        </w:tc>
        <w:tc>
          <w:tcPr>
            <w:tcW w:w="7391" w:type="dxa"/>
          </w:tcPr>
          <w:p w14:paraId="7AB1F4DE" w14:textId="77777777" w:rsidR="00303B72" w:rsidRDefault="00000000">
            <w:pPr>
              <w:rPr>
                <w:rFonts w:ascii="Aptos" w:eastAsia="Aptos" w:hAnsi="Aptos" w:cs="Aptos"/>
              </w:rPr>
            </w:pPr>
            <w:r>
              <w:rPr>
                <w:rFonts w:ascii="Aptos" w:eastAsia="Aptos" w:hAnsi="Aptos" w:cs="Aptos"/>
                <w:b/>
                <w:bCs/>
                <w:sz w:val="40"/>
                <w:szCs w:val="40"/>
              </w:rPr>
              <w:t xml:space="preserve">02 </w:t>
            </w:r>
            <w:r>
              <w:rPr>
                <w:rFonts w:ascii="Aptos" w:eastAsia="Aptos" w:hAnsi="Aptos" w:cs="Aptos"/>
                <w:b/>
                <w:bCs/>
              </w:rPr>
              <w:t>Search Strategy</w:t>
            </w:r>
            <w:r>
              <w:rPr>
                <w:rFonts w:ascii="Aptos" w:eastAsia="Aptos" w:hAnsi="Aptos" w:cs="Aptos"/>
              </w:rPr>
              <w:t xml:space="preserve"> </w:t>
            </w:r>
          </w:p>
          <w:p w14:paraId="180BE110" w14:textId="77777777" w:rsidR="00303B72" w:rsidRDefault="00000000">
            <w:pPr>
              <w:spacing w:line="360" w:lineRule="auto"/>
              <w:jc w:val="both"/>
              <w:rPr>
                <w:rFonts w:ascii="Aptos" w:eastAsia="Aptos" w:hAnsi="Aptos" w:cs="Aptos"/>
              </w:rPr>
            </w:pPr>
            <w:r>
              <w:rPr>
                <w:rFonts w:ascii="Aptos" w:eastAsia="Aptos" w:hAnsi="Aptos" w:cs="Aptos"/>
              </w:rPr>
              <w:t xml:space="preserve">The method or specific approach which a researcher employs to identify possibly pertinent literature in secondary research is called a search strategy. Boolean operators (AND, OR) were used to narrow search results by grouping keywords together in this study, such as "acute stroke" and "mortality predictors" together, etc. </w:t>
            </w:r>
            <w:proofErr w:type="spellStart"/>
            <w:r>
              <w:rPr>
                <w:rFonts w:ascii="Aptos" w:eastAsia="Aptos" w:hAnsi="Aptos" w:cs="Aptos"/>
              </w:rPr>
              <w:t>Abusaada</w:t>
            </w:r>
            <w:proofErr w:type="spellEnd"/>
            <w:r>
              <w:rPr>
                <w:rFonts w:ascii="Aptos" w:eastAsia="Aptos" w:hAnsi="Aptos" w:cs="Aptos"/>
              </w:rPr>
              <w:t xml:space="preserve"> and </w:t>
            </w:r>
            <w:proofErr w:type="spellStart"/>
            <w:r>
              <w:rPr>
                <w:rFonts w:ascii="Aptos" w:eastAsia="Aptos" w:hAnsi="Aptos" w:cs="Aptos"/>
              </w:rPr>
              <w:t>Elshater</w:t>
            </w:r>
            <w:proofErr w:type="spellEnd"/>
            <w:r>
              <w:rPr>
                <w:rFonts w:ascii="Aptos" w:eastAsia="Aptos" w:hAnsi="Aptos" w:cs="Aptos"/>
              </w:rPr>
              <w:t xml:space="preserve"> (2024) highlight the benefits of structured search strategies in making results of literature-based search more transparent and less selective.</w:t>
            </w:r>
          </w:p>
        </w:tc>
      </w:tr>
      <w:tr w:rsidR="00303B72" w14:paraId="591C7779" w14:textId="77777777">
        <w:trPr>
          <w:trHeight w:val="1856"/>
        </w:trPr>
        <w:tc>
          <w:tcPr>
            <w:tcW w:w="7225" w:type="dxa"/>
          </w:tcPr>
          <w:p w14:paraId="32252D48" w14:textId="77777777" w:rsidR="00303B72" w:rsidRDefault="00000000">
            <w:pPr>
              <w:rPr>
                <w:rFonts w:ascii="Aptos" w:eastAsia="Aptos" w:hAnsi="Aptos" w:cs="Aptos"/>
              </w:rPr>
            </w:pPr>
            <w:r>
              <w:rPr>
                <w:rFonts w:ascii="Aptos" w:eastAsia="Aptos" w:hAnsi="Aptos" w:cs="Aptos"/>
                <w:b/>
                <w:bCs/>
                <w:sz w:val="40"/>
                <w:szCs w:val="40"/>
              </w:rPr>
              <w:t>03</w:t>
            </w:r>
            <w:r>
              <w:rPr>
                <w:rFonts w:ascii="Aptos" w:eastAsia="Aptos" w:hAnsi="Aptos" w:cs="Aptos"/>
              </w:rPr>
              <w:t xml:space="preserve"> </w:t>
            </w:r>
            <w:r>
              <w:rPr>
                <w:rFonts w:ascii="Aptos" w:eastAsia="Aptos" w:hAnsi="Aptos" w:cs="Aptos"/>
                <w:b/>
                <w:bCs/>
              </w:rPr>
              <w:t>Searching for Information</w:t>
            </w:r>
            <w:r>
              <w:rPr>
                <w:rFonts w:ascii="Aptos" w:eastAsia="Aptos" w:hAnsi="Aptos" w:cs="Aptos"/>
              </w:rPr>
              <w:t xml:space="preserve"> </w:t>
            </w:r>
          </w:p>
          <w:p w14:paraId="5746ECA9" w14:textId="77777777" w:rsidR="00303B72" w:rsidRDefault="00000000">
            <w:pPr>
              <w:spacing w:line="360" w:lineRule="auto"/>
              <w:jc w:val="both"/>
              <w:rPr>
                <w:rFonts w:ascii="Aptos" w:eastAsia="Aptos" w:hAnsi="Aptos" w:cs="Aptos"/>
              </w:rPr>
            </w:pPr>
            <w:r>
              <w:rPr>
                <w:rFonts w:ascii="Aptos" w:eastAsia="Aptos" w:hAnsi="Aptos" w:cs="Aptos"/>
              </w:rPr>
              <w:t>Robust databases such as PubMed, Google Scholar and CINAHL were used to obtain information as these contain broad coverage of peer-reviewed medical and nursing literature (Shaheen et al., 2023). The search filters enabled evaluation of studies in the past decade, in English, and in full text. Studies were initially screened by titles and abstracts followed by full-text review to check for relevance. The studies that were irrelevant or of low quality were not included. The search decisions were kept in a structured source tracking table to ensure transparency and document the process.</w:t>
            </w:r>
          </w:p>
        </w:tc>
        <w:tc>
          <w:tcPr>
            <w:tcW w:w="7391" w:type="dxa"/>
          </w:tcPr>
          <w:p w14:paraId="56F1F080" w14:textId="77777777" w:rsidR="00303B72" w:rsidRDefault="00000000">
            <w:pPr>
              <w:rPr>
                <w:rFonts w:ascii="Aptos" w:eastAsia="Aptos" w:hAnsi="Aptos" w:cs="Aptos"/>
              </w:rPr>
            </w:pPr>
            <w:r>
              <w:rPr>
                <w:rFonts w:ascii="Aptos" w:eastAsia="Aptos" w:hAnsi="Aptos" w:cs="Aptos"/>
                <w:b/>
                <w:bCs/>
                <w:sz w:val="40"/>
                <w:szCs w:val="40"/>
              </w:rPr>
              <w:t>04</w:t>
            </w:r>
            <w:r>
              <w:rPr>
                <w:rFonts w:ascii="Aptos" w:eastAsia="Aptos" w:hAnsi="Aptos" w:cs="Aptos"/>
              </w:rPr>
              <w:t xml:space="preserve"> </w:t>
            </w:r>
            <w:r>
              <w:rPr>
                <w:rFonts w:ascii="Aptos" w:eastAsia="Aptos" w:hAnsi="Aptos" w:cs="Aptos"/>
                <w:b/>
                <w:bCs/>
              </w:rPr>
              <w:t>Picture / Graph / Visual Aid / Statistics</w:t>
            </w:r>
            <w:r>
              <w:rPr>
                <w:rFonts w:ascii="Aptos" w:eastAsia="Aptos" w:hAnsi="Aptos" w:cs="Aptos"/>
              </w:rPr>
              <w:t xml:space="preserve"> </w:t>
            </w:r>
          </w:p>
          <w:p w14:paraId="1AA447ED" w14:textId="77777777" w:rsidR="00303B72" w:rsidRDefault="00000000">
            <w:pPr>
              <w:spacing w:line="360" w:lineRule="auto"/>
              <w:jc w:val="both"/>
              <w:rPr>
                <w:rFonts w:ascii="Aptos" w:eastAsia="Aptos" w:hAnsi="Aptos" w:cs="Aptos"/>
              </w:rPr>
            </w:pPr>
            <w:r>
              <w:rPr>
                <w:rFonts w:ascii="Aptos" w:eastAsia="Aptos" w:hAnsi="Aptos" w:cs="Aptos"/>
              </w:rPr>
              <w:t>Caucasians in the UK have a median age at stroke onset of 75.9 years compared to 69.5 years for ethnic minorities (men) and prevalence of diabetes is higher for minorities (33.7% vs 15.4%) (Fluck et al. 2023). Early palliative care needs were more common among minority groups (Fluck et al., 2023).</w:t>
            </w:r>
          </w:p>
          <w:p w14:paraId="2B681861" w14:textId="77777777" w:rsidR="00303B72" w:rsidRDefault="00000000">
            <w:pPr>
              <w:keepNext/>
              <w:spacing w:line="360" w:lineRule="auto"/>
              <w:jc w:val="center"/>
            </w:pPr>
            <w:r>
              <w:rPr>
                <w:rFonts w:ascii="Aptos" w:eastAsia="Aptos" w:hAnsi="Aptos" w:cs="Aptos"/>
                <w:noProof/>
              </w:rPr>
              <w:lastRenderedPageBreak/>
              <w:drawing>
                <wp:inline distT="0" distB="0" distL="0" distR="0" wp14:anchorId="5F9D327F" wp14:editId="2CA72BAC">
                  <wp:extent cx="3557248" cy="200896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57248" cy="2008967"/>
                          </a:xfrm>
                          <a:prstGeom prst="rect">
                            <a:avLst/>
                          </a:prstGeom>
                          <a:ln/>
                        </pic:spPr>
                      </pic:pic>
                    </a:graphicData>
                  </a:graphic>
                </wp:inline>
              </w:drawing>
            </w:r>
          </w:p>
          <w:p w14:paraId="537C0D71" w14:textId="77777777" w:rsidR="00303B72" w:rsidRDefault="00000000">
            <w:pPr>
              <w:pBdr>
                <w:top w:val="nil"/>
                <w:left w:val="nil"/>
                <w:bottom w:val="nil"/>
                <w:right w:val="nil"/>
                <w:between w:val="nil"/>
              </w:pBdr>
              <w:spacing w:after="200"/>
              <w:jc w:val="center"/>
              <w:rPr>
                <w:rFonts w:ascii="Aptos" w:eastAsia="Aptos" w:hAnsi="Aptos" w:cs="Aptos"/>
                <w:i/>
                <w:iCs/>
                <w:color w:val="44546A"/>
                <w:sz w:val="18"/>
                <w:szCs w:val="18"/>
              </w:rPr>
            </w:pPr>
            <w:r>
              <w:rPr>
                <w:i/>
                <w:iCs/>
                <w:color w:val="44546A"/>
                <w:sz w:val="18"/>
                <w:szCs w:val="18"/>
              </w:rPr>
              <w:t>Figure 1: Adverse stroke outcomes amongst UK ethnic minorities (Fluck et al., 2023)</w:t>
            </w:r>
          </w:p>
        </w:tc>
      </w:tr>
      <w:tr w:rsidR="00303B72" w14:paraId="4E08258C" w14:textId="77777777">
        <w:trPr>
          <w:trHeight w:val="983"/>
        </w:trPr>
        <w:tc>
          <w:tcPr>
            <w:tcW w:w="14616" w:type="dxa"/>
            <w:gridSpan w:val="2"/>
          </w:tcPr>
          <w:p w14:paraId="34204B7A" w14:textId="77777777" w:rsidR="00303B72" w:rsidRDefault="00000000">
            <w:pPr>
              <w:jc w:val="center"/>
              <w:rPr>
                <w:rFonts w:ascii="Aptos" w:eastAsia="Aptos" w:hAnsi="Aptos" w:cs="Aptos"/>
                <w:b/>
                <w:bCs/>
              </w:rPr>
            </w:pPr>
            <w:r>
              <w:rPr>
                <w:rFonts w:ascii="Aptos" w:eastAsia="Aptos" w:hAnsi="Aptos" w:cs="Aptos"/>
                <w:b/>
                <w:bCs/>
                <w:sz w:val="40"/>
                <w:szCs w:val="40"/>
              </w:rPr>
              <w:lastRenderedPageBreak/>
              <w:t>05</w:t>
            </w:r>
            <w:r>
              <w:rPr>
                <w:rFonts w:ascii="Aptos" w:eastAsia="Aptos" w:hAnsi="Aptos" w:cs="Aptos"/>
              </w:rPr>
              <w:t xml:space="preserve"> </w:t>
            </w:r>
            <w:r>
              <w:rPr>
                <w:rFonts w:ascii="Aptos" w:eastAsia="Aptos" w:hAnsi="Aptos" w:cs="Aptos"/>
                <w:b/>
                <w:bCs/>
              </w:rPr>
              <w:t>Research Validation and Analysis</w:t>
            </w:r>
          </w:p>
          <w:p w14:paraId="55FC5E16" w14:textId="77777777" w:rsidR="00303B72" w:rsidRDefault="00000000">
            <w:pPr>
              <w:spacing w:line="360" w:lineRule="auto"/>
              <w:jc w:val="both"/>
              <w:rPr>
                <w:rFonts w:ascii="Aptos" w:eastAsia="Aptos" w:hAnsi="Aptos" w:cs="Aptos"/>
              </w:rPr>
            </w:pPr>
            <w:r>
              <w:rPr>
                <w:rFonts w:ascii="Aptos" w:eastAsia="Aptos" w:hAnsi="Aptos" w:cs="Aptos"/>
              </w:rPr>
              <w:t xml:space="preserve">Research validation is the process of checking the validity of chosen sources, making sure that they are credible, accurate and reliable. This study applied the CRAAP framework (Currency, Relevance, Authority, Accuracy, Purpose) which is widely used in academic research to assess the quality of sources (Muis et al., 2022). Abstracts, introduction, and conclusions were also examined using skimming techniques to ascertain relevance. To organise and interpret findings, the themes were identified, coded and clustered by using Braun and Clarke thematic analysis method on literature (Forbes, 2022). </w:t>
            </w:r>
          </w:p>
          <w:p w14:paraId="4DB258DE" w14:textId="77777777" w:rsidR="00303B72" w:rsidRDefault="00303B72">
            <w:pPr>
              <w:spacing w:line="360" w:lineRule="auto"/>
              <w:jc w:val="both"/>
              <w:rPr>
                <w:rFonts w:ascii="Aptos" w:eastAsia="Aptos" w:hAnsi="Aptos" w:cs="Aptos"/>
              </w:rPr>
            </w:pPr>
          </w:p>
        </w:tc>
      </w:tr>
      <w:tr w:rsidR="00303B72" w14:paraId="4B1EA980" w14:textId="77777777">
        <w:trPr>
          <w:trHeight w:val="1856"/>
        </w:trPr>
        <w:tc>
          <w:tcPr>
            <w:tcW w:w="7225" w:type="dxa"/>
          </w:tcPr>
          <w:p w14:paraId="29955117" w14:textId="77777777" w:rsidR="00303B72" w:rsidRDefault="00000000">
            <w:pPr>
              <w:rPr>
                <w:rFonts w:ascii="Aptos" w:eastAsia="Aptos" w:hAnsi="Aptos" w:cs="Aptos"/>
              </w:rPr>
            </w:pPr>
            <w:r>
              <w:rPr>
                <w:rFonts w:ascii="Aptos" w:eastAsia="Aptos" w:hAnsi="Aptos" w:cs="Aptos"/>
                <w:b/>
                <w:bCs/>
                <w:sz w:val="40"/>
                <w:szCs w:val="40"/>
              </w:rPr>
              <w:t>06</w:t>
            </w:r>
            <w:r>
              <w:rPr>
                <w:rFonts w:ascii="Aptos" w:eastAsia="Aptos" w:hAnsi="Aptos" w:cs="Aptos"/>
              </w:rPr>
              <w:t xml:space="preserve"> </w:t>
            </w:r>
            <w:r>
              <w:rPr>
                <w:rFonts w:ascii="Aptos" w:eastAsia="Aptos" w:hAnsi="Aptos" w:cs="Aptos"/>
                <w:b/>
                <w:bCs/>
              </w:rPr>
              <w:t>Inclusion Criteria</w:t>
            </w:r>
            <w:r>
              <w:rPr>
                <w:rFonts w:ascii="Aptos" w:eastAsia="Aptos" w:hAnsi="Aptos" w:cs="Aptos"/>
              </w:rPr>
              <w:t xml:space="preserve"> </w:t>
            </w:r>
          </w:p>
          <w:p w14:paraId="6054A20A" w14:textId="77777777" w:rsidR="00303B72" w:rsidRDefault="00000000">
            <w:pPr>
              <w:spacing w:line="360" w:lineRule="auto"/>
              <w:jc w:val="both"/>
              <w:rPr>
                <w:rFonts w:ascii="Aptos" w:eastAsia="Aptos" w:hAnsi="Aptos" w:cs="Aptos"/>
                <w:highlight w:val="yellow"/>
              </w:rPr>
            </w:pPr>
            <w:r>
              <w:rPr>
                <w:rFonts w:ascii="Aptos" w:eastAsia="Aptos" w:hAnsi="Aptos" w:cs="Aptos"/>
              </w:rPr>
              <w:t xml:space="preserve">Peer reviewed journal articles written in English and within the past 10 </w:t>
            </w:r>
            <w:proofErr w:type="gramStart"/>
            <w:r>
              <w:rPr>
                <w:rFonts w:ascii="Aptos" w:eastAsia="Aptos" w:hAnsi="Aptos" w:cs="Aptos"/>
              </w:rPr>
              <w:t>years, and</w:t>
            </w:r>
            <w:proofErr w:type="gramEnd"/>
            <w:r>
              <w:rPr>
                <w:rFonts w:ascii="Aptos" w:eastAsia="Aptos" w:hAnsi="Aptos" w:cs="Aptos"/>
              </w:rPr>
              <w:t xml:space="preserve"> directly related to stroke outcome were only included.</w:t>
            </w:r>
          </w:p>
        </w:tc>
        <w:tc>
          <w:tcPr>
            <w:tcW w:w="7391" w:type="dxa"/>
          </w:tcPr>
          <w:p w14:paraId="29D94CCD" w14:textId="77777777" w:rsidR="00303B72" w:rsidRDefault="00000000">
            <w:pPr>
              <w:rPr>
                <w:rFonts w:ascii="Aptos" w:eastAsia="Aptos" w:hAnsi="Aptos" w:cs="Aptos"/>
              </w:rPr>
            </w:pPr>
            <w:r>
              <w:rPr>
                <w:rFonts w:ascii="Aptos" w:eastAsia="Aptos" w:hAnsi="Aptos" w:cs="Aptos"/>
                <w:b/>
                <w:bCs/>
                <w:sz w:val="40"/>
                <w:szCs w:val="40"/>
              </w:rPr>
              <w:t>07</w:t>
            </w:r>
            <w:r>
              <w:rPr>
                <w:rFonts w:ascii="Aptos" w:eastAsia="Aptos" w:hAnsi="Aptos" w:cs="Aptos"/>
              </w:rPr>
              <w:t xml:space="preserve"> </w:t>
            </w:r>
            <w:r>
              <w:rPr>
                <w:rFonts w:ascii="Aptos" w:eastAsia="Aptos" w:hAnsi="Aptos" w:cs="Aptos"/>
                <w:b/>
                <w:bCs/>
              </w:rPr>
              <w:t>Exclusion Criteria</w:t>
            </w:r>
            <w:r>
              <w:rPr>
                <w:rFonts w:ascii="Aptos" w:eastAsia="Aptos" w:hAnsi="Aptos" w:cs="Aptos"/>
              </w:rPr>
              <w:t xml:space="preserve"> </w:t>
            </w:r>
          </w:p>
          <w:p w14:paraId="10640EEC" w14:textId="77777777" w:rsidR="00303B72" w:rsidRDefault="00000000">
            <w:pPr>
              <w:spacing w:after="0" w:line="360" w:lineRule="auto"/>
              <w:jc w:val="both"/>
              <w:rPr>
                <w:rFonts w:ascii="Aptos" w:eastAsia="Aptos" w:hAnsi="Aptos" w:cs="Aptos"/>
              </w:rPr>
            </w:pPr>
            <w:r>
              <w:rPr>
                <w:rFonts w:ascii="Aptos" w:eastAsia="Aptos" w:hAnsi="Aptos" w:cs="Aptos"/>
              </w:rPr>
              <w:t>The articles omitted because of their age plus 10 years, non-peer-reviewed articles, non-English articles, or articles that did not directly relate to stroke outcomes or to rehabilitation were not included.</w:t>
            </w:r>
          </w:p>
          <w:p w14:paraId="699D1AEB" w14:textId="77777777" w:rsidR="00303B72" w:rsidRDefault="00303B72">
            <w:pPr>
              <w:rPr>
                <w:rFonts w:ascii="Aptos" w:eastAsia="Aptos" w:hAnsi="Aptos" w:cs="Aptos"/>
              </w:rPr>
            </w:pPr>
          </w:p>
        </w:tc>
      </w:tr>
      <w:tr w:rsidR="00303B72" w14:paraId="671E1344" w14:textId="77777777">
        <w:trPr>
          <w:trHeight w:val="1798"/>
        </w:trPr>
        <w:tc>
          <w:tcPr>
            <w:tcW w:w="14616" w:type="dxa"/>
            <w:gridSpan w:val="2"/>
          </w:tcPr>
          <w:p w14:paraId="72595E33" w14:textId="77777777" w:rsidR="00303B72" w:rsidRDefault="00000000">
            <w:pPr>
              <w:jc w:val="center"/>
              <w:rPr>
                <w:rFonts w:ascii="Aptos" w:eastAsia="Aptos" w:hAnsi="Aptos" w:cs="Aptos"/>
                <w:b/>
                <w:bCs/>
              </w:rPr>
            </w:pPr>
            <w:r>
              <w:rPr>
                <w:rFonts w:ascii="Aptos" w:eastAsia="Aptos" w:hAnsi="Aptos" w:cs="Aptos"/>
                <w:b/>
                <w:bCs/>
                <w:sz w:val="40"/>
                <w:szCs w:val="40"/>
              </w:rPr>
              <w:lastRenderedPageBreak/>
              <w:t>08</w:t>
            </w:r>
            <w:r>
              <w:rPr>
                <w:rFonts w:ascii="Aptos" w:eastAsia="Aptos" w:hAnsi="Aptos" w:cs="Aptos"/>
              </w:rPr>
              <w:t xml:space="preserve"> </w:t>
            </w:r>
            <w:r>
              <w:rPr>
                <w:rFonts w:ascii="Aptos" w:eastAsia="Aptos" w:hAnsi="Aptos" w:cs="Aptos"/>
                <w:b/>
                <w:bCs/>
              </w:rPr>
              <w:t>Ethical Considerations</w:t>
            </w:r>
          </w:p>
          <w:p w14:paraId="697FCE66" w14:textId="77777777" w:rsidR="00303B72" w:rsidRDefault="00000000">
            <w:pPr>
              <w:spacing w:line="360" w:lineRule="auto"/>
              <w:rPr>
                <w:rFonts w:ascii="Aptos" w:eastAsia="Aptos" w:hAnsi="Aptos" w:cs="Aptos"/>
              </w:rPr>
            </w:pPr>
            <w:r>
              <w:rPr>
                <w:rFonts w:ascii="Aptos" w:eastAsia="Aptos" w:hAnsi="Aptos" w:cs="Aptos"/>
              </w:rPr>
              <w:t>Ethical quandaries with secondary research include the accurate and proper citations, avoiding plagiarism, and the use of credible sources. Since no primary data was collected, no participants were involved, eliminating risk of harm (</w:t>
            </w:r>
            <w:proofErr w:type="spellStart"/>
            <w:r>
              <w:rPr>
                <w:rFonts w:ascii="Aptos" w:eastAsia="Aptos" w:hAnsi="Aptos" w:cs="Aptos"/>
              </w:rPr>
              <w:t>Grigis</w:t>
            </w:r>
            <w:proofErr w:type="spellEnd"/>
            <w:r>
              <w:rPr>
                <w:rFonts w:ascii="Aptos" w:eastAsia="Aptos" w:hAnsi="Aptos" w:cs="Aptos"/>
              </w:rPr>
              <w:t xml:space="preserve"> et al., 2025).</w:t>
            </w:r>
          </w:p>
        </w:tc>
      </w:tr>
    </w:tbl>
    <w:p w14:paraId="07D60D58" w14:textId="77777777" w:rsidR="00303B72" w:rsidRDefault="00303B72">
      <w:pPr>
        <w:sectPr w:rsidR="00303B72">
          <w:pgSz w:w="15840" w:h="12240" w:orient="landscape"/>
          <w:pgMar w:top="720" w:right="720" w:bottom="576" w:left="720" w:header="432" w:footer="288" w:gutter="0"/>
          <w:cols w:space="720"/>
          <w:titlePg/>
        </w:sectPr>
      </w:pPr>
    </w:p>
    <w:p w14:paraId="39CAA330" w14:textId="77777777" w:rsidR="00303B72" w:rsidRDefault="00000000">
      <w:r>
        <w:rPr>
          <w:rFonts w:ascii="Arial" w:eastAsia="Arial" w:hAnsi="Arial" w:cs="Arial"/>
          <w:b/>
          <w:bCs/>
          <w:sz w:val="28"/>
          <w:szCs w:val="28"/>
        </w:rPr>
        <w:lastRenderedPageBreak/>
        <w:t>References</w:t>
      </w:r>
    </w:p>
    <w:p w14:paraId="2DE34773" w14:textId="77777777" w:rsidR="00303B72" w:rsidRDefault="00000000">
      <w:pPr>
        <w:spacing w:line="360" w:lineRule="auto"/>
        <w:ind w:left="720" w:hanging="720"/>
        <w:rPr>
          <w:rFonts w:ascii="Aptos" w:eastAsia="Aptos" w:hAnsi="Aptos" w:cs="Aptos"/>
        </w:rPr>
      </w:pPr>
      <w:proofErr w:type="spellStart"/>
      <w:r>
        <w:rPr>
          <w:rFonts w:ascii="Aptos" w:eastAsia="Aptos" w:hAnsi="Aptos" w:cs="Aptos"/>
        </w:rPr>
        <w:t>Abusaada</w:t>
      </w:r>
      <w:proofErr w:type="spellEnd"/>
      <w:r>
        <w:rPr>
          <w:rFonts w:ascii="Aptos" w:eastAsia="Aptos" w:hAnsi="Aptos" w:cs="Aptos"/>
        </w:rPr>
        <w:t xml:space="preserve">, H. and </w:t>
      </w:r>
      <w:proofErr w:type="spellStart"/>
      <w:r>
        <w:rPr>
          <w:rFonts w:ascii="Aptos" w:eastAsia="Aptos" w:hAnsi="Aptos" w:cs="Aptos"/>
        </w:rPr>
        <w:t>Elshater</w:t>
      </w:r>
      <w:proofErr w:type="spellEnd"/>
      <w:r>
        <w:rPr>
          <w:rFonts w:ascii="Aptos" w:eastAsia="Aptos" w:hAnsi="Aptos" w:cs="Aptos"/>
        </w:rPr>
        <w:t>, A. (2024). Beyond keywords: effective strategies for building consistent reference lists in scientific research. </w:t>
      </w:r>
      <w:r>
        <w:rPr>
          <w:rFonts w:ascii="Aptos" w:eastAsia="Aptos" w:hAnsi="Aptos" w:cs="Aptos"/>
          <w:i/>
          <w:iCs/>
        </w:rPr>
        <w:t>Publications</w:t>
      </w:r>
      <w:r>
        <w:rPr>
          <w:rFonts w:ascii="Aptos" w:eastAsia="Aptos" w:hAnsi="Aptos" w:cs="Aptos"/>
        </w:rPr>
        <w:t>, </w:t>
      </w:r>
      <w:r>
        <w:rPr>
          <w:rFonts w:ascii="Aptos" w:eastAsia="Aptos" w:hAnsi="Aptos" w:cs="Aptos"/>
          <w:i/>
          <w:iCs/>
        </w:rPr>
        <w:t>12</w:t>
      </w:r>
      <w:r>
        <w:rPr>
          <w:rFonts w:ascii="Aptos" w:eastAsia="Aptos" w:hAnsi="Aptos" w:cs="Aptos"/>
        </w:rPr>
        <w:t xml:space="preserve">(3), p.25. </w:t>
      </w:r>
      <w:hyperlink r:id="rId11">
        <w:r>
          <w:rPr>
            <w:rFonts w:ascii="Aptos" w:eastAsia="Aptos" w:hAnsi="Aptos" w:cs="Aptos"/>
            <w:color w:val="0563C1"/>
            <w:u w:val="single"/>
          </w:rPr>
          <w:t>https://doi.org/10.3390/publications12030025</w:t>
        </w:r>
      </w:hyperlink>
    </w:p>
    <w:p w14:paraId="0338C68C" w14:textId="77777777" w:rsidR="00303B72" w:rsidRDefault="00000000">
      <w:pPr>
        <w:spacing w:line="360" w:lineRule="auto"/>
        <w:ind w:left="720" w:hanging="720"/>
        <w:rPr>
          <w:rFonts w:ascii="Aptos" w:eastAsia="Aptos" w:hAnsi="Aptos" w:cs="Aptos"/>
        </w:rPr>
      </w:pPr>
      <w:r>
        <w:rPr>
          <w:rFonts w:ascii="Aptos" w:eastAsia="Aptos" w:hAnsi="Aptos" w:cs="Aptos"/>
        </w:rPr>
        <w:t xml:space="preserve">Fluck, D., Fry, C.H., Gulli, G., </w:t>
      </w:r>
      <w:proofErr w:type="spellStart"/>
      <w:r>
        <w:rPr>
          <w:rFonts w:ascii="Aptos" w:eastAsia="Aptos" w:hAnsi="Aptos" w:cs="Aptos"/>
        </w:rPr>
        <w:t>Affley</w:t>
      </w:r>
      <w:proofErr w:type="spellEnd"/>
      <w:r>
        <w:rPr>
          <w:rFonts w:ascii="Aptos" w:eastAsia="Aptos" w:hAnsi="Aptos" w:cs="Aptos"/>
        </w:rPr>
        <w:t>, B., Robin, J., Kakar, P., Sharma, P. and Han, T.S., (2023). Adverse stroke outcomes amongst UK ethnic minorities: a multi-centre registry-based cohort study of acute stroke. </w:t>
      </w:r>
      <w:r>
        <w:rPr>
          <w:rFonts w:ascii="Aptos" w:eastAsia="Aptos" w:hAnsi="Aptos" w:cs="Aptos"/>
          <w:i/>
          <w:iCs/>
        </w:rPr>
        <w:t>Neurological Sciences</w:t>
      </w:r>
      <w:r>
        <w:rPr>
          <w:rFonts w:ascii="Aptos" w:eastAsia="Aptos" w:hAnsi="Aptos" w:cs="Aptos"/>
        </w:rPr>
        <w:t>, </w:t>
      </w:r>
      <w:r>
        <w:rPr>
          <w:rFonts w:ascii="Aptos" w:eastAsia="Aptos" w:hAnsi="Aptos" w:cs="Aptos"/>
          <w:i/>
          <w:iCs/>
        </w:rPr>
        <w:t>44</w:t>
      </w:r>
      <w:r>
        <w:rPr>
          <w:rFonts w:ascii="Aptos" w:eastAsia="Aptos" w:hAnsi="Aptos" w:cs="Aptos"/>
        </w:rPr>
        <w:t xml:space="preserve">(6), pp.2071-2080. </w:t>
      </w:r>
      <w:hyperlink r:id="rId12">
        <w:r>
          <w:rPr>
            <w:rFonts w:ascii="Aptos" w:eastAsia="Aptos" w:hAnsi="Aptos" w:cs="Aptos"/>
            <w:color w:val="0563C1"/>
            <w:u w:val="single"/>
          </w:rPr>
          <w:t>https://doi.org/10.1007/s10072-023-06640-z</w:t>
        </w:r>
      </w:hyperlink>
    </w:p>
    <w:p w14:paraId="34258C14" w14:textId="77777777" w:rsidR="00303B72" w:rsidRDefault="00000000">
      <w:pPr>
        <w:spacing w:line="360" w:lineRule="auto"/>
        <w:ind w:left="720" w:hanging="720"/>
        <w:rPr>
          <w:rFonts w:ascii="Aptos" w:eastAsia="Aptos" w:hAnsi="Aptos" w:cs="Aptos"/>
        </w:rPr>
      </w:pPr>
      <w:r>
        <w:rPr>
          <w:rFonts w:ascii="Aptos" w:eastAsia="Aptos" w:hAnsi="Aptos" w:cs="Aptos"/>
        </w:rPr>
        <w:t xml:space="preserve">Forbes, M., (2022). Thematic analysis: A practical guide. </w:t>
      </w:r>
      <w:hyperlink r:id="rId13">
        <w:r>
          <w:rPr>
            <w:rFonts w:ascii="Aptos" w:eastAsia="Aptos" w:hAnsi="Aptos" w:cs="Aptos"/>
            <w:color w:val="0563C1"/>
            <w:u w:val="single"/>
          </w:rPr>
          <w:t>https://doi.org/10.1177/1035719X211058251</w:t>
        </w:r>
      </w:hyperlink>
    </w:p>
    <w:p w14:paraId="1F7B9CFB" w14:textId="77777777" w:rsidR="00303B72" w:rsidRDefault="00000000">
      <w:pPr>
        <w:spacing w:line="360" w:lineRule="auto"/>
        <w:ind w:left="720" w:hanging="720"/>
        <w:rPr>
          <w:rFonts w:ascii="Aptos" w:eastAsia="Aptos" w:hAnsi="Aptos" w:cs="Aptos"/>
        </w:rPr>
      </w:pPr>
      <w:r>
        <w:rPr>
          <w:rFonts w:ascii="Aptos" w:eastAsia="Aptos" w:hAnsi="Aptos" w:cs="Aptos"/>
        </w:rPr>
        <w:t xml:space="preserve">Grigis, A., Beretta, G., </w:t>
      </w:r>
      <w:proofErr w:type="spellStart"/>
      <w:r>
        <w:rPr>
          <w:rFonts w:ascii="Aptos" w:eastAsia="Aptos" w:hAnsi="Aptos" w:cs="Aptos"/>
        </w:rPr>
        <w:t>Borry</w:t>
      </w:r>
      <w:proofErr w:type="spellEnd"/>
      <w:r>
        <w:rPr>
          <w:rFonts w:ascii="Aptos" w:eastAsia="Aptos" w:hAnsi="Aptos" w:cs="Aptos"/>
        </w:rPr>
        <w:t xml:space="preserve">, P. and </w:t>
      </w:r>
      <w:proofErr w:type="spellStart"/>
      <w:r>
        <w:rPr>
          <w:rFonts w:ascii="Aptos" w:eastAsia="Aptos" w:hAnsi="Aptos" w:cs="Aptos"/>
        </w:rPr>
        <w:t>Sanchini</w:t>
      </w:r>
      <w:proofErr w:type="spellEnd"/>
      <w:r>
        <w:rPr>
          <w:rFonts w:ascii="Aptos" w:eastAsia="Aptos" w:hAnsi="Aptos" w:cs="Aptos"/>
        </w:rPr>
        <w:t>, V., (2025). Vulnerability in research ethics: A systematic review of policy guidelines and documents. </w:t>
      </w:r>
      <w:proofErr w:type="spellStart"/>
      <w:r>
        <w:rPr>
          <w:rFonts w:ascii="Aptos" w:eastAsia="Aptos" w:hAnsi="Aptos" w:cs="Aptos"/>
          <w:i/>
          <w:iCs/>
        </w:rPr>
        <w:t>Plos</w:t>
      </w:r>
      <w:proofErr w:type="spellEnd"/>
      <w:r>
        <w:rPr>
          <w:rFonts w:ascii="Aptos" w:eastAsia="Aptos" w:hAnsi="Aptos" w:cs="Aptos"/>
          <w:i/>
          <w:iCs/>
        </w:rPr>
        <w:t xml:space="preserve"> one</w:t>
      </w:r>
      <w:r>
        <w:rPr>
          <w:rFonts w:ascii="Aptos" w:eastAsia="Aptos" w:hAnsi="Aptos" w:cs="Aptos"/>
        </w:rPr>
        <w:t>, </w:t>
      </w:r>
      <w:r>
        <w:rPr>
          <w:rFonts w:ascii="Aptos" w:eastAsia="Aptos" w:hAnsi="Aptos" w:cs="Aptos"/>
          <w:i/>
          <w:iCs/>
        </w:rPr>
        <w:t>20</w:t>
      </w:r>
      <w:r>
        <w:rPr>
          <w:rFonts w:ascii="Aptos" w:eastAsia="Aptos" w:hAnsi="Aptos" w:cs="Aptos"/>
        </w:rPr>
        <w:t xml:space="preserve">(7), p.e0327086. </w:t>
      </w:r>
      <w:hyperlink r:id="rId14">
        <w:r>
          <w:rPr>
            <w:rFonts w:ascii="Aptos" w:eastAsia="Aptos" w:hAnsi="Aptos" w:cs="Aptos"/>
            <w:color w:val="0563C1"/>
            <w:u w:val="single"/>
          </w:rPr>
          <w:t>https://doi.org/10.1371/journal.pone.0327086</w:t>
        </w:r>
      </w:hyperlink>
    </w:p>
    <w:p w14:paraId="64421F20" w14:textId="77777777" w:rsidR="00303B72" w:rsidRDefault="00000000">
      <w:pPr>
        <w:spacing w:line="360" w:lineRule="auto"/>
        <w:ind w:left="720" w:hanging="720"/>
        <w:rPr>
          <w:rFonts w:ascii="Aptos" w:eastAsia="Aptos" w:hAnsi="Aptos" w:cs="Aptos"/>
        </w:rPr>
      </w:pPr>
      <w:r>
        <w:rPr>
          <w:rFonts w:ascii="Aptos" w:eastAsia="Aptos" w:hAnsi="Aptos" w:cs="Aptos"/>
        </w:rPr>
        <w:t>Muis, K.R., Denton, C. and Dubé, A., (2022). Identifying CRAAP on the internet: A source evaluation intervention. </w:t>
      </w:r>
      <w:r>
        <w:rPr>
          <w:rFonts w:ascii="Aptos" w:eastAsia="Aptos" w:hAnsi="Aptos" w:cs="Aptos"/>
          <w:i/>
          <w:iCs/>
        </w:rPr>
        <w:t>Advances in Social Sciences Research Journal</w:t>
      </w:r>
      <w:r>
        <w:rPr>
          <w:rFonts w:ascii="Aptos" w:eastAsia="Aptos" w:hAnsi="Aptos" w:cs="Aptos"/>
        </w:rPr>
        <w:t>, </w:t>
      </w:r>
      <w:r>
        <w:rPr>
          <w:rFonts w:ascii="Aptos" w:eastAsia="Aptos" w:hAnsi="Aptos" w:cs="Aptos"/>
          <w:i/>
          <w:iCs/>
        </w:rPr>
        <w:t>9</w:t>
      </w:r>
      <w:r>
        <w:rPr>
          <w:rFonts w:ascii="Aptos" w:eastAsia="Aptos" w:hAnsi="Aptos" w:cs="Aptos"/>
        </w:rPr>
        <w:t xml:space="preserve">(7), pp.239-265. </w:t>
      </w:r>
      <w:hyperlink r:id="rId15">
        <w:r>
          <w:rPr>
            <w:rFonts w:ascii="Aptos" w:eastAsia="Aptos" w:hAnsi="Aptos" w:cs="Aptos"/>
            <w:color w:val="0563C1"/>
            <w:u w:val="single"/>
          </w:rPr>
          <w:t>https://doi.org/10.14738/assrj.97.12670</w:t>
        </w:r>
      </w:hyperlink>
    </w:p>
    <w:p w14:paraId="57B0F593" w14:textId="77777777" w:rsidR="00303B72" w:rsidRDefault="00000000">
      <w:pPr>
        <w:spacing w:line="360" w:lineRule="auto"/>
        <w:ind w:left="720" w:hanging="720"/>
        <w:rPr>
          <w:rFonts w:ascii="Aptos" w:eastAsia="Aptos" w:hAnsi="Aptos" w:cs="Aptos"/>
          <w:color w:val="0563C1"/>
          <w:u w:val="single"/>
        </w:rPr>
      </w:pPr>
      <w:r>
        <w:rPr>
          <w:rFonts w:ascii="Aptos" w:eastAsia="Aptos" w:hAnsi="Aptos" w:cs="Aptos"/>
        </w:rPr>
        <w:t xml:space="preserve">Shaheen, N., Shaheen, A., Ramadan, A., </w:t>
      </w:r>
      <w:proofErr w:type="spellStart"/>
      <w:r>
        <w:rPr>
          <w:rFonts w:ascii="Aptos" w:eastAsia="Aptos" w:hAnsi="Aptos" w:cs="Aptos"/>
        </w:rPr>
        <w:t>Hefnawy</w:t>
      </w:r>
      <w:proofErr w:type="spellEnd"/>
      <w:r>
        <w:rPr>
          <w:rFonts w:ascii="Aptos" w:eastAsia="Aptos" w:hAnsi="Aptos" w:cs="Aptos"/>
        </w:rPr>
        <w:t xml:space="preserve">, M.T., Ramadan, A., Ibrahim, I.A., Hassanein, M.E., Ashour, M.E. and </w:t>
      </w:r>
      <w:proofErr w:type="spellStart"/>
      <w:r>
        <w:rPr>
          <w:rFonts w:ascii="Aptos" w:eastAsia="Aptos" w:hAnsi="Aptos" w:cs="Aptos"/>
        </w:rPr>
        <w:t>Flouty</w:t>
      </w:r>
      <w:proofErr w:type="spellEnd"/>
      <w:r>
        <w:rPr>
          <w:rFonts w:ascii="Aptos" w:eastAsia="Aptos" w:hAnsi="Aptos" w:cs="Aptos"/>
        </w:rPr>
        <w:t>, O., (2023). Appraising systematic reviews: a comprehensive guide to ensuring validity and reliability. </w:t>
      </w:r>
      <w:r>
        <w:rPr>
          <w:rFonts w:ascii="Aptos" w:eastAsia="Aptos" w:hAnsi="Aptos" w:cs="Aptos"/>
          <w:i/>
          <w:iCs/>
        </w:rPr>
        <w:t>Frontiers in research metrics and analytics</w:t>
      </w:r>
      <w:r>
        <w:rPr>
          <w:rFonts w:ascii="Aptos" w:eastAsia="Aptos" w:hAnsi="Aptos" w:cs="Aptos"/>
        </w:rPr>
        <w:t>, </w:t>
      </w:r>
      <w:r>
        <w:rPr>
          <w:rFonts w:ascii="Aptos" w:eastAsia="Aptos" w:hAnsi="Aptos" w:cs="Aptos"/>
          <w:i/>
          <w:iCs/>
        </w:rPr>
        <w:t>8</w:t>
      </w:r>
      <w:r>
        <w:rPr>
          <w:rFonts w:ascii="Aptos" w:eastAsia="Aptos" w:hAnsi="Aptos" w:cs="Aptos"/>
        </w:rPr>
        <w:t xml:space="preserve">, p.1268045. </w:t>
      </w:r>
      <w:hyperlink r:id="rId16">
        <w:r>
          <w:rPr>
            <w:rFonts w:ascii="Aptos" w:eastAsia="Aptos" w:hAnsi="Aptos" w:cs="Aptos"/>
            <w:color w:val="0563C1"/>
            <w:u w:val="single"/>
          </w:rPr>
          <w:t>https://doi.org/10.3389/frma.2023.1268045</w:t>
        </w:r>
      </w:hyperlink>
    </w:p>
    <w:p w14:paraId="3AC9F845" w14:textId="77777777" w:rsidR="00303B72" w:rsidRDefault="00000000">
      <w:pPr>
        <w:spacing w:line="360" w:lineRule="auto"/>
        <w:ind w:left="720" w:hanging="720"/>
        <w:rPr>
          <w:rFonts w:ascii="Aptos" w:eastAsia="Aptos" w:hAnsi="Aptos" w:cs="Aptos"/>
        </w:rPr>
      </w:pPr>
      <w:r>
        <w:rPr>
          <w:rFonts w:ascii="Aptos" w:eastAsia="Aptos" w:hAnsi="Aptos" w:cs="Aptos"/>
        </w:rPr>
        <w:t xml:space="preserve">Fluck, D., Fry, C. H., Gulli, G., </w:t>
      </w:r>
      <w:proofErr w:type="spellStart"/>
      <w:r>
        <w:rPr>
          <w:rFonts w:ascii="Aptos" w:eastAsia="Aptos" w:hAnsi="Aptos" w:cs="Aptos"/>
        </w:rPr>
        <w:t>Affley</w:t>
      </w:r>
      <w:proofErr w:type="spellEnd"/>
      <w:r>
        <w:rPr>
          <w:rFonts w:ascii="Aptos" w:eastAsia="Aptos" w:hAnsi="Aptos" w:cs="Aptos"/>
        </w:rPr>
        <w:t xml:space="preserve">, B., Robin, J., Kakar, P., ... and Han, T. S. (2023). Adverse stroke outcomes amongst UK ethnic minorities: a multi-centre registry-based cohort study of acute stroke. Neurological Sciences, 44(6), 2071-2080. </w:t>
      </w:r>
      <w:hyperlink r:id="rId17">
        <w:r>
          <w:rPr>
            <w:rFonts w:ascii="Aptos" w:eastAsia="Aptos" w:hAnsi="Aptos" w:cs="Aptos"/>
            <w:color w:val="0563C1"/>
            <w:u w:val="single"/>
          </w:rPr>
          <w:t>https://doi.org/10.1007/s10072-023-06640-z</w:t>
        </w:r>
      </w:hyperlink>
      <w:r>
        <w:rPr>
          <w:rFonts w:ascii="Aptos" w:eastAsia="Aptos" w:hAnsi="Aptos" w:cs="Aptos"/>
        </w:rPr>
        <w:t xml:space="preserve"> </w:t>
      </w:r>
    </w:p>
    <w:sectPr w:rsidR="00303B72">
      <w:pgSz w:w="12240" w:h="15840"/>
      <w:pgMar w:top="720" w:right="576" w:bottom="720" w:left="720" w:header="432" w:footer="28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C6909" w14:textId="77777777" w:rsidR="00A63A35" w:rsidRDefault="00A63A35">
      <w:pPr>
        <w:spacing w:after="0"/>
      </w:pPr>
      <w:r>
        <w:separator/>
      </w:r>
    </w:p>
  </w:endnote>
  <w:endnote w:type="continuationSeparator" w:id="0">
    <w:p w14:paraId="3E30CB41" w14:textId="77777777" w:rsidR="00A63A35" w:rsidRDefault="00A63A3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Schoolbook">
    <w:panose1 w:val="02040604050505020304"/>
    <w:charset w:val="00"/>
    <w:family w:val="roman"/>
    <w:pitch w:val="variable"/>
    <w:sig w:usb0="00000287" w:usb1="00000000" w:usb2="00000000" w:usb3="00000000" w:csb0="0000009F" w:csb1="00000000"/>
    <w:embedRegular r:id="rId1" w:fontKey="{80D4B1D1-4C1F-4C4A-8ABF-5859A03A78BB}"/>
    <w:embedBold r:id="rId2" w:fontKey="{D7A2ADD4-622E-46C2-B5B5-BEB0137FE3CF}"/>
    <w:embedItalic r:id="rId3" w:fontKey="{1286A3E2-D113-4B3B-B001-80C88F048A35}"/>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F6735A26-A767-4F50-BF32-6D9353715E57}"/>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5" w:fontKey="{29D4466D-0A19-4C8C-9D03-627F9C00CE93}"/>
    <w:embedBold r:id="rId6" w:fontKey="{87851635-1EB5-4BE7-8266-7783492A136F}"/>
    <w:embedItalic r:id="rId7" w:fontKey="{545AB03F-062B-4FD4-87A5-7E755CD58DA8}"/>
  </w:font>
  <w:font w:name="Calibri">
    <w:panose1 w:val="020F0502020204030204"/>
    <w:charset w:val="00"/>
    <w:family w:val="swiss"/>
    <w:pitch w:val="variable"/>
    <w:sig w:usb0="E4002EFF" w:usb1="C200247B" w:usb2="00000009" w:usb3="00000000" w:csb0="000001FF" w:csb1="00000000"/>
    <w:embedRegular r:id="rId8" w:fontKey="{18643D83-8CD4-41CF-8379-C0E4140BF20C}"/>
  </w:font>
  <w:font w:name="Cambria">
    <w:panose1 w:val="02040503050406030204"/>
    <w:charset w:val="00"/>
    <w:family w:val="roman"/>
    <w:pitch w:val="variable"/>
    <w:sig w:usb0="E00006FF" w:usb1="420024FF" w:usb2="02000000" w:usb3="00000000" w:csb0="0000019F" w:csb1="00000000"/>
    <w:embedRegular r:id="rId9" w:fontKey="{2482E9D9-CC7D-4560-9015-0EF7610D224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FA186" w14:textId="77777777" w:rsidR="00A63A35" w:rsidRDefault="00A63A35">
      <w:pPr>
        <w:spacing w:after="0"/>
      </w:pPr>
      <w:r>
        <w:separator/>
      </w:r>
    </w:p>
  </w:footnote>
  <w:footnote w:type="continuationSeparator" w:id="0">
    <w:p w14:paraId="7134577C" w14:textId="77777777" w:rsidR="00A63A35" w:rsidRDefault="00A63A3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D93F9" w14:textId="77777777" w:rsidR="00303B72" w:rsidRDefault="00000000">
    <w:pPr>
      <w:pBdr>
        <w:top w:val="nil"/>
        <w:left w:val="nil"/>
        <w:bottom w:val="nil"/>
        <w:right w:val="nil"/>
        <w:between w:val="nil"/>
      </w:pBdr>
      <w:spacing w:after="0"/>
      <w:rPr>
        <w:color w:val="000000"/>
      </w:rPr>
    </w:pPr>
    <w:r>
      <w:rPr>
        <w:color w:val="000000"/>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ED3CC" w14:textId="77777777" w:rsidR="00303B72" w:rsidRDefault="00303B72">
    <w:pPr>
      <w:pBdr>
        <w:top w:val="nil"/>
        <w:left w:val="nil"/>
        <w:bottom w:val="nil"/>
        <w:right w:val="nil"/>
        <w:between w:val="nil"/>
      </w:pBdr>
      <w:spacing w:after="0"/>
      <w:rPr>
        <w:color w:val="000000"/>
      </w:rPr>
    </w:pPr>
  </w:p>
  <w:p w14:paraId="73D0114C" w14:textId="77777777" w:rsidR="00303B72" w:rsidRDefault="00303B72">
    <w:pPr>
      <w:pBdr>
        <w:top w:val="nil"/>
        <w:left w:val="nil"/>
        <w:bottom w:val="nil"/>
        <w:right w:val="nil"/>
        <w:between w:val="nil"/>
      </w:pBdr>
      <w:spacing w:after="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B72"/>
    <w:rsid w:val="00303B72"/>
    <w:rsid w:val="00503286"/>
    <w:rsid w:val="005B33C7"/>
    <w:rsid w:val="008227E3"/>
    <w:rsid w:val="00A63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109F7"/>
  <w15:docId w15:val="{DC349E74-CE31-4329-B2AD-1019BD79C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Century Schoolbook"/>
        <w:sz w:val="22"/>
        <w:szCs w:val="22"/>
        <w:lang w:val="en-GB" w:eastAsia="en-GB"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after="240"/>
      <w:outlineLvl w:val="0"/>
    </w:pPr>
    <w:rPr>
      <w:b/>
      <w:bCs/>
      <w:color w:val="44546A"/>
      <w:sz w:val="28"/>
      <w:szCs w:val="28"/>
    </w:rPr>
  </w:style>
  <w:style w:type="paragraph" w:styleId="Heading2">
    <w:name w:val="heading 2"/>
    <w:basedOn w:val="Normal"/>
    <w:next w:val="Normal"/>
    <w:uiPriority w:val="9"/>
    <w:semiHidden/>
    <w:unhideWhenUsed/>
    <w:qFormat/>
    <w:pPr>
      <w:spacing w:after="240"/>
      <w:outlineLvl w:val="1"/>
    </w:pPr>
    <w:rPr>
      <w:b/>
      <w:bCs/>
      <w:color w:val="FFFFFF"/>
      <w:sz w:val="28"/>
      <w:szCs w:val="28"/>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after="240"/>
      <w:outlineLvl w:val="3"/>
    </w:pPr>
    <w:rPr>
      <w:b/>
      <w:bCs/>
      <w:color w:val="ED7D31"/>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200"/>
      <w:jc w:val="center"/>
    </w:pPr>
    <w:rPr>
      <w:b/>
      <w:bCs/>
      <w:color w:val="FFFFFF"/>
      <w:sz w:val="48"/>
      <w:szCs w:val="48"/>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1177/1035719X21105825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7/s10072-023-06640-z" TargetMode="External"/><Relationship Id="rId17" Type="http://schemas.openxmlformats.org/officeDocument/2006/relationships/hyperlink" Target="https://doi.org/10.1007/s10072-023-06640-z" TargetMode="External"/><Relationship Id="rId2" Type="http://schemas.openxmlformats.org/officeDocument/2006/relationships/styles" Target="styles.xml"/><Relationship Id="rId16" Type="http://schemas.openxmlformats.org/officeDocument/2006/relationships/hyperlink" Target="https://doi.org/10.3389/frma.2023.126804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publications12030025" TargetMode="External"/><Relationship Id="rId5" Type="http://schemas.openxmlformats.org/officeDocument/2006/relationships/footnotes" Target="footnotes.xml"/><Relationship Id="rId15" Type="http://schemas.openxmlformats.org/officeDocument/2006/relationships/hyperlink" Target="https://doi.org/10.14738/assrj.97.12670"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doi.org/10.1371/journal.pone.0327086"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HEEU492Y/pEOjweCPo+nm4dUtA==">CgMxLjA4AHIhMS16UDU2RjVhb21VUG1DZnFkYW9mNlJ5bWNRa0NVaG5I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872</Words>
  <Characters>4972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sobia kauser</dc:creator>
  <cp:lastModifiedBy>sobia kauser</cp:lastModifiedBy>
  <cp:revision>2</cp:revision>
  <dcterms:created xsi:type="dcterms:W3CDTF">2026-07-25T21:15:00Z</dcterms:created>
  <dcterms:modified xsi:type="dcterms:W3CDTF">2026-07-25T21:15:00Z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