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0F372" w14:textId="1F675BA5" w:rsidR="00270E15" w:rsidRDefault="006A7C36" w:rsidP="006A7C36">
      <w:pPr>
        <w:jc w:val="center"/>
        <w:rPr>
          <w:rFonts w:ascii="Arial" w:hAnsi="Arial" w:cs="Arial"/>
          <w:b/>
          <w:bCs/>
          <w:sz w:val="28"/>
          <w:szCs w:val="28"/>
        </w:rPr>
      </w:pPr>
      <w:r w:rsidRPr="006A7C36">
        <w:rPr>
          <w:rFonts w:ascii="Arial" w:hAnsi="Arial" w:cs="Arial"/>
          <w:b/>
          <w:bCs/>
          <w:sz w:val="28"/>
          <w:szCs w:val="28"/>
        </w:rPr>
        <w:t>Critically Reflecting on the Methods of Multi</w:t>
      </w:r>
      <w:r>
        <w:rPr>
          <w:rFonts w:ascii="Arial" w:hAnsi="Arial" w:cs="Arial"/>
          <w:b/>
          <w:bCs/>
          <w:sz w:val="28"/>
          <w:szCs w:val="28"/>
        </w:rPr>
        <w:t xml:space="preserve">- </w:t>
      </w:r>
      <w:r w:rsidRPr="006A7C36">
        <w:rPr>
          <w:rFonts w:ascii="Arial" w:hAnsi="Arial" w:cs="Arial"/>
          <w:b/>
          <w:bCs/>
          <w:sz w:val="28"/>
          <w:szCs w:val="28"/>
        </w:rPr>
        <w:t>and Inter</w:t>
      </w:r>
      <w:r>
        <w:rPr>
          <w:rFonts w:ascii="Arial" w:hAnsi="Arial" w:cs="Arial"/>
          <w:b/>
          <w:bCs/>
          <w:sz w:val="28"/>
          <w:szCs w:val="28"/>
        </w:rPr>
        <w:t>-</w:t>
      </w:r>
      <w:r w:rsidRPr="006A7C36">
        <w:rPr>
          <w:rFonts w:ascii="Arial" w:hAnsi="Arial" w:cs="Arial"/>
          <w:b/>
          <w:bCs/>
          <w:sz w:val="28"/>
          <w:szCs w:val="28"/>
        </w:rPr>
        <w:t xml:space="preserve">Disciplinary Working </w:t>
      </w:r>
      <w:proofErr w:type="gramStart"/>
      <w:r w:rsidRPr="006A7C36">
        <w:rPr>
          <w:rFonts w:ascii="Arial" w:hAnsi="Arial" w:cs="Arial"/>
          <w:b/>
          <w:bCs/>
          <w:sz w:val="28"/>
          <w:szCs w:val="28"/>
        </w:rPr>
        <w:t>In</w:t>
      </w:r>
      <w:proofErr w:type="gramEnd"/>
      <w:r w:rsidRPr="006A7C36">
        <w:rPr>
          <w:rFonts w:ascii="Arial" w:hAnsi="Arial" w:cs="Arial"/>
          <w:b/>
          <w:bCs/>
          <w:sz w:val="28"/>
          <w:szCs w:val="28"/>
        </w:rPr>
        <w:t xml:space="preserve"> the Implementation of a Digital Transformation Strategy within Aneurin Bevan University Health Board</w:t>
      </w:r>
    </w:p>
    <w:p w14:paraId="20C11111" w14:textId="29B87306" w:rsidR="006A7C36" w:rsidRPr="00DF5D16" w:rsidRDefault="006A7C36" w:rsidP="00DF5D16">
      <w:pPr>
        <w:jc w:val="both"/>
        <w:rPr>
          <w:rFonts w:ascii="Arial" w:hAnsi="Arial" w:cs="Arial"/>
          <w:b/>
          <w:bCs/>
          <w:sz w:val="24"/>
          <w:szCs w:val="24"/>
        </w:rPr>
      </w:pPr>
    </w:p>
    <w:p w14:paraId="24216959" w14:textId="39A14C41" w:rsidR="006A7C36" w:rsidRPr="00DF5D16" w:rsidRDefault="006A7C36" w:rsidP="00DF5D16">
      <w:pPr>
        <w:jc w:val="both"/>
        <w:rPr>
          <w:rFonts w:ascii="Arial" w:hAnsi="Arial" w:cs="Arial"/>
          <w:b/>
          <w:bCs/>
          <w:sz w:val="24"/>
          <w:szCs w:val="24"/>
        </w:rPr>
      </w:pPr>
      <w:r w:rsidRPr="00DF5D16">
        <w:rPr>
          <w:rFonts w:ascii="Arial" w:hAnsi="Arial" w:cs="Arial"/>
          <w:b/>
          <w:bCs/>
          <w:sz w:val="24"/>
          <w:szCs w:val="24"/>
        </w:rPr>
        <w:t>Introduction</w:t>
      </w:r>
    </w:p>
    <w:p w14:paraId="7BF72FC7" w14:textId="33E81D87" w:rsidR="006A7C36" w:rsidRPr="00DF5D16" w:rsidRDefault="006A7C36" w:rsidP="00DF5D16">
      <w:pPr>
        <w:jc w:val="both"/>
        <w:rPr>
          <w:rFonts w:ascii="Arial" w:hAnsi="Arial" w:cs="Arial"/>
          <w:sz w:val="24"/>
          <w:szCs w:val="24"/>
        </w:rPr>
      </w:pPr>
      <w:r w:rsidRPr="00DF5D16">
        <w:rPr>
          <w:rFonts w:ascii="Arial" w:hAnsi="Arial" w:cs="Arial"/>
          <w:sz w:val="24"/>
          <w:szCs w:val="24"/>
        </w:rPr>
        <w:t>In my critical analysis of Aneurin Bevan University Health Board’s (ABUHB) digital transformation strategy</w:t>
      </w:r>
      <w:r w:rsidR="00EF2022" w:rsidRPr="00DF5D16">
        <w:rPr>
          <w:rFonts w:ascii="Arial" w:hAnsi="Arial" w:cs="Arial"/>
          <w:sz w:val="24"/>
          <w:szCs w:val="24"/>
        </w:rPr>
        <w:t xml:space="preserve"> (CW1),</w:t>
      </w:r>
      <w:r w:rsidRPr="00DF5D16">
        <w:rPr>
          <w:rFonts w:ascii="Arial" w:hAnsi="Arial" w:cs="Arial"/>
          <w:sz w:val="24"/>
          <w:szCs w:val="24"/>
        </w:rPr>
        <w:t xml:space="preserve"> ‘Transformation through Digital’, I identified a strong strategic vision with significant gaps in operation detail, the development of workforce capability and the governance structures. Following this, I will be critically reflecting on the methods of multi- and inter-disciplinary working required to successfully implement such a digital strategy in practice. </w:t>
      </w:r>
    </w:p>
    <w:p w14:paraId="4CDD285B" w14:textId="6795C42D" w:rsidR="006A7C36" w:rsidRPr="00DF5D16" w:rsidRDefault="006A7C36" w:rsidP="00DF5D16">
      <w:pPr>
        <w:jc w:val="both"/>
        <w:rPr>
          <w:rFonts w:ascii="Arial" w:hAnsi="Arial" w:cs="Arial"/>
          <w:sz w:val="24"/>
          <w:szCs w:val="24"/>
        </w:rPr>
      </w:pPr>
      <w:r w:rsidRPr="00DF5D16">
        <w:rPr>
          <w:rFonts w:ascii="Arial" w:hAnsi="Arial" w:cs="Arial"/>
          <w:sz w:val="24"/>
          <w:szCs w:val="24"/>
        </w:rPr>
        <w:t>Digital transformation in healthcare goes far beyond technological implementation. Successful transformation requires sustained collaboration between several diverse professional groups, agencies and service users. I will be drawing on my professional experience within ABUHB to identify the key stakeholders involved in the digital strategy implementation and reflecting on how these stakeholders can be successfully engaged for digital strategy implementation. I will be critically reflecting on different methods of communication and engagement through my own personal experience within the health</w:t>
      </w:r>
      <w:r w:rsidR="008B3373" w:rsidRPr="00DF5D16">
        <w:rPr>
          <w:rFonts w:ascii="Arial" w:hAnsi="Arial" w:cs="Arial"/>
          <w:sz w:val="24"/>
          <w:szCs w:val="24"/>
        </w:rPr>
        <w:t xml:space="preserve"> </w:t>
      </w:r>
      <w:r w:rsidRPr="00DF5D16">
        <w:rPr>
          <w:rFonts w:ascii="Arial" w:hAnsi="Arial" w:cs="Arial"/>
          <w:sz w:val="24"/>
          <w:szCs w:val="24"/>
        </w:rPr>
        <w:t xml:space="preserve">board. In addition, I will be discussing the balance between consensus and ‘groupthink’, particularly within </w:t>
      </w:r>
      <w:r w:rsidR="008B3373" w:rsidRPr="00DF5D16">
        <w:rPr>
          <w:rFonts w:ascii="Arial" w:hAnsi="Arial" w:cs="Arial"/>
          <w:sz w:val="24"/>
          <w:szCs w:val="24"/>
        </w:rPr>
        <w:t xml:space="preserve">hierarchical environments within healthcare and reflecting on my own role, assumptions and biases within interdisciplinary working. </w:t>
      </w:r>
      <w:r w:rsidR="003B11C5" w:rsidRPr="00DF5D16">
        <w:rPr>
          <w:rFonts w:ascii="Arial" w:hAnsi="Arial" w:cs="Arial"/>
          <w:sz w:val="24"/>
          <w:szCs w:val="24"/>
        </w:rPr>
        <w:t xml:space="preserve"> </w:t>
      </w:r>
    </w:p>
    <w:p w14:paraId="283914D6" w14:textId="0A340C93" w:rsidR="008B3373" w:rsidRPr="00DF5D16" w:rsidRDefault="008B3373" w:rsidP="00DF5D16">
      <w:pPr>
        <w:jc w:val="both"/>
        <w:rPr>
          <w:rFonts w:ascii="Arial" w:hAnsi="Arial" w:cs="Arial"/>
          <w:sz w:val="24"/>
          <w:szCs w:val="24"/>
        </w:rPr>
      </w:pPr>
    </w:p>
    <w:p w14:paraId="09D310E3" w14:textId="54FAAAB3" w:rsidR="008B3373" w:rsidRPr="00DF5D16" w:rsidRDefault="008B3373" w:rsidP="00DF5D16">
      <w:pPr>
        <w:jc w:val="both"/>
        <w:rPr>
          <w:rFonts w:ascii="Arial" w:hAnsi="Arial" w:cs="Arial"/>
          <w:b/>
          <w:bCs/>
          <w:sz w:val="24"/>
          <w:szCs w:val="24"/>
        </w:rPr>
      </w:pPr>
      <w:r w:rsidRPr="00DF5D16">
        <w:rPr>
          <w:rFonts w:ascii="Arial" w:hAnsi="Arial" w:cs="Arial"/>
          <w:b/>
          <w:bCs/>
          <w:sz w:val="24"/>
          <w:szCs w:val="24"/>
        </w:rPr>
        <w:t>Identifying Stakeholders</w:t>
      </w:r>
      <w:r w:rsidR="00EF2022" w:rsidRPr="00DF5D16">
        <w:rPr>
          <w:rFonts w:ascii="Arial" w:hAnsi="Arial" w:cs="Arial"/>
          <w:b/>
          <w:bCs/>
          <w:sz w:val="24"/>
          <w:szCs w:val="24"/>
        </w:rPr>
        <w:t xml:space="preserve"> and Stakeholder Engagement</w:t>
      </w:r>
    </w:p>
    <w:p w14:paraId="4619E4C6" w14:textId="0AC5E7D5" w:rsidR="008B3373" w:rsidRPr="00DF5D16" w:rsidRDefault="008B3373" w:rsidP="00DF5D16">
      <w:pPr>
        <w:jc w:val="both"/>
        <w:rPr>
          <w:rFonts w:ascii="Arial" w:hAnsi="Arial" w:cs="Arial"/>
          <w:sz w:val="24"/>
          <w:szCs w:val="24"/>
        </w:rPr>
      </w:pPr>
      <w:r w:rsidRPr="00DF5D16">
        <w:rPr>
          <w:rFonts w:ascii="Arial" w:hAnsi="Arial" w:cs="Arial"/>
          <w:sz w:val="24"/>
          <w:szCs w:val="24"/>
        </w:rPr>
        <w:t xml:space="preserve">From my analysis of ABUHB’s digital strategy, it was evident that digital transformation requires a vast range of stakeholders operating at different levels, both internally and externally. Internally, stakeholders include clinicians such as doctors, Physician Associates, nurses and allied health professionals (AHP’s) alongside operational managers, senior and transformation leaders and digital teams. Externally, stakeholders include patients and their </w:t>
      </w:r>
      <w:proofErr w:type="spellStart"/>
      <w:r w:rsidRPr="00DF5D16">
        <w:rPr>
          <w:rFonts w:ascii="Arial" w:hAnsi="Arial" w:cs="Arial"/>
          <w:sz w:val="24"/>
          <w:szCs w:val="24"/>
        </w:rPr>
        <w:t>carers</w:t>
      </w:r>
      <w:proofErr w:type="spellEnd"/>
      <w:r w:rsidRPr="00DF5D16">
        <w:rPr>
          <w:rFonts w:ascii="Arial" w:hAnsi="Arial" w:cs="Arial"/>
          <w:sz w:val="24"/>
          <w:szCs w:val="24"/>
        </w:rPr>
        <w:t xml:space="preserve">, social work partners, the Welsh Government, Digital health and Care Wales (DHCW) and technology suppliers. </w:t>
      </w:r>
      <w:r w:rsidR="00B75646">
        <w:rPr>
          <w:rFonts w:ascii="Arial" w:hAnsi="Arial" w:cs="Arial"/>
          <w:sz w:val="24"/>
          <w:szCs w:val="24"/>
        </w:rPr>
        <w:t xml:space="preserve">The stakeholders have been identified in further detail in Table 1. </w:t>
      </w:r>
    </w:p>
    <w:p w14:paraId="3962C4F7" w14:textId="1FC2302B" w:rsidR="007735E3" w:rsidRDefault="007735E3" w:rsidP="006A7C36">
      <w:pPr>
        <w:rPr>
          <w:rFonts w:ascii="Arial" w:hAnsi="Arial" w:cs="Arial"/>
          <w:sz w:val="24"/>
          <w:szCs w:val="24"/>
        </w:rPr>
      </w:pPr>
    </w:p>
    <w:p w14:paraId="6639A871" w14:textId="77777777" w:rsidR="005E28E6" w:rsidRDefault="005E28E6" w:rsidP="006A7C36">
      <w:pPr>
        <w:rPr>
          <w:rFonts w:ascii="Arial" w:hAnsi="Arial" w:cs="Arial"/>
          <w:sz w:val="24"/>
          <w:szCs w:val="24"/>
        </w:rPr>
      </w:pPr>
    </w:p>
    <w:p w14:paraId="0E78FB6F" w14:textId="77777777" w:rsidR="005E28E6" w:rsidRDefault="005E28E6" w:rsidP="006A7C36">
      <w:pPr>
        <w:rPr>
          <w:rFonts w:ascii="Arial" w:hAnsi="Arial" w:cs="Arial"/>
          <w:sz w:val="24"/>
          <w:szCs w:val="24"/>
        </w:rPr>
      </w:pPr>
    </w:p>
    <w:p w14:paraId="41A3CAD2" w14:textId="77777777" w:rsidR="005E28E6" w:rsidRDefault="005E28E6" w:rsidP="006A7C36">
      <w:pPr>
        <w:rPr>
          <w:rFonts w:ascii="Arial" w:hAnsi="Arial" w:cs="Arial"/>
          <w:sz w:val="24"/>
          <w:szCs w:val="24"/>
        </w:rPr>
      </w:pPr>
    </w:p>
    <w:p w14:paraId="374A47BC" w14:textId="77777777" w:rsidR="005E28E6" w:rsidRPr="005E28E6" w:rsidRDefault="005E28E6" w:rsidP="006A7C36">
      <w:pPr>
        <w:rPr>
          <w:rFonts w:ascii="Arial" w:hAnsi="Arial" w:cs="Arial"/>
          <w:sz w:val="24"/>
          <w:szCs w:val="24"/>
        </w:rPr>
      </w:pPr>
    </w:p>
    <w:p w14:paraId="4AE4BD21" w14:textId="30DA53E7" w:rsidR="00312954" w:rsidRDefault="00312954" w:rsidP="00312954">
      <w:pPr>
        <w:pStyle w:val="Caption"/>
        <w:keepNext/>
      </w:pPr>
      <w:r>
        <w:lastRenderedPageBreak/>
        <w:t xml:space="preserve">Table </w:t>
      </w:r>
      <w:fldSimple w:instr=" SEQ Table \* ARABIC ">
        <w:r>
          <w:rPr>
            <w:noProof/>
          </w:rPr>
          <w:t>1</w:t>
        </w:r>
      </w:fldSimple>
      <w:r>
        <w:t>: Matrix Table Outlining the Stakeholders for ABUHB's Digital Strategy</w:t>
      </w:r>
    </w:p>
    <w:tbl>
      <w:tblPr>
        <w:tblStyle w:val="ListTable7Colorful-Accent3"/>
        <w:tblW w:w="0" w:type="auto"/>
        <w:tblLook w:val="04A0" w:firstRow="1" w:lastRow="0" w:firstColumn="1" w:lastColumn="0" w:noHBand="0" w:noVBand="1"/>
      </w:tblPr>
      <w:tblGrid>
        <w:gridCol w:w="1692"/>
        <w:gridCol w:w="2059"/>
        <w:gridCol w:w="1409"/>
        <w:gridCol w:w="2011"/>
        <w:gridCol w:w="1855"/>
      </w:tblGrid>
      <w:tr w:rsidR="001667C8" w:rsidRPr="001667C8" w14:paraId="759D4F84" w14:textId="77777777" w:rsidTr="001667C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9F65804" w14:textId="77777777"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Stakeholder Group</w:t>
            </w:r>
          </w:p>
        </w:tc>
        <w:tc>
          <w:tcPr>
            <w:tcW w:w="0" w:type="auto"/>
            <w:hideMark/>
          </w:tcPr>
          <w:p w14:paraId="1A9B5138" w14:textId="77777777" w:rsidR="0076327B" w:rsidRPr="001667C8" w:rsidRDefault="0076327B" w:rsidP="0076327B">
            <w:pPr>
              <w:cnfStyle w:val="100000000000" w:firstRow="1" w:lastRow="0" w:firstColumn="0" w:lastColumn="0" w:oddVBand="0" w:evenVBand="0" w:oddHBand="0" w:evenHBand="0" w:firstRowFirstColumn="0" w:firstRowLastColumn="0" w:lastRowFirstColumn="0" w:lastRowLastColumn="0"/>
              <w:rPr>
                <w:rFonts w:ascii="Arial" w:hAnsi="Arial" w:cs="Arial"/>
                <w:b/>
                <w:bCs/>
                <w:color w:val="auto"/>
                <w:sz w:val="24"/>
                <w:szCs w:val="24"/>
              </w:rPr>
            </w:pPr>
            <w:r w:rsidRPr="001667C8">
              <w:rPr>
                <w:rFonts w:ascii="Arial" w:hAnsi="Arial" w:cs="Arial"/>
                <w:b/>
                <w:bCs/>
                <w:color w:val="auto"/>
                <w:sz w:val="24"/>
                <w:szCs w:val="24"/>
              </w:rPr>
              <w:t>Interest in Digital Transformation</w:t>
            </w:r>
          </w:p>
        </w:tc>
        <w:tc>
          <w:tcPr>
            <w:tcW w:w="0" w:type="auto"/>
            <w:hideMark/>
          </w:tcPr>
          <w:p w14:paraId="53879AEC" w14:textId="77777777" w:rsidR="0076327B" w:rsidRPr="001667C8" w:rsidRDefault="0076327B" w:rsidP="0076327B">
            <w:pPr>
              <w:cnfStyle w:val="100000000000" w:firstRow="1" w:lastRow="0" w:firstColumn="0" w:lastColumn="0" w:oddVBand="0" w:evenVBand="0" w:oddHBand="0" w:evenHBand="0" w:firstRowFirstColumn="0" w:firstRowLastColumn="0" w:lastRowFirstColumn="0" w:lastRowLastColumn="0"/>
              <w:rPr>
                <w:rFonts w:ascii="Arial" w:hAnsi="Arial" w:cs="Arial"/>
                <w:b/>
                <w:bCs/>
                <w:color w:val="auto"/>
                <w:sz w:val="24"/>
                <w:szCs w:val="24"/>
              </w:rPr>
            </w:pPr>
            <w:r w:rsidRPr="001667C8">
              <w:rPr>
                <w:rFonts w:ascii="Arial" w:hAnsi="Arial" w:cs="Arial"/>
                <w:b/>
                <w:bCs/>
                <w:color w:val="auto"/>
                <w:sz w:val="24"/>
                <w:szCs w:val="24"/>
              </w:rPr>
              <w:t>Power / Influence</w:t>
            </w:r>
          </w:p>
        </w:tc>
        <w:tc>
          <w:tcPr>
            <w:tcW w:w="0" w:type="auto"/>
            <w:hideMark/>
          </w:tcPr>
          <w:p w14:paraId="144F37D0" w14:textId="77777777" w:rsidR="0076327B" w:rsidRPr="001667C8" w:rsidRDefault="0076327B" w:rsidP="0076327B">
            <w:pPr>
              <w:cnfStyle w:val="100000000000" w:firstRow="1" w:lastRow="0" w:firstColumn="0" w:lastColumn="0" w:oddVBand="0" w:evenVBand="0" w:oddHBand="0" w:evenHBand="0" w:firstRowFirstColumn="0" w:firstRowLastColumn="0" w:lastRowFirstColumn="0" w:lastRowLastColumn="0"/>
              <w:rPr>
                <w:rFonts w:ascii="Arial" w:hAnsi="Arial" w:cs="Arial"/>
                <w:b/>
                <w:bCs/>
                <w:color w:val="auto"/>
                <w:sz w:val="24"/>
                <w:szCs w:val="24"/>
              </w:rPr>
            </w:pPr>
            <w:r w:rsidRPr="001667C8">
              <w:rPr>
                <w:rFonts w:ascii="Arial" w:hAnsi="Arial" w:cs="Arial"/>
                <w:b/>
                <w:bCs/>
                <w:color w:val="auto"/>
                <w:sz w:val="24"/>
                <w:szCs w:val="24"/>
              </w:rPr>
              <w:t>Engagement Approach</w:t>
            </w:r>
          </w:p>
        </w:tc>
        <w:tc>
          <w:tcPr>
            <w:tcW w:w="0" w:type="auto"/>
            <w:hideMark/>
          </w:tcPr>
          <w:p w14:paraId="3E1CE581" w14:textId="77777777" w:rsidR="0076327B" w:rsidRPr="001667C8" w:rsidRDefault="0076327B" w:rsidP="0076327B">
            <w:pPr>
              <w:cnfStyle w:val="100000000000" w:firstRow="1" w:lastRow="0" w:firstColumn="0" w:lastColumn="0" w:oddVBand="0" w:evenVBand="0" w:oddHBand="0" w:evenHBand="0" w:firstRowFirstColumn="0" w:firstRowLastColumn="0" w:lastRowFirstColumn="0" w:lastRowLastColumn="0"/>
              <w:rPr>
                <w:rFonts w:ascii="Arial" w:hAnsi="Arial" w:cs="Arial"/>
                <w:b/>
                <w:bCs/>
                <w:color w:val="auto"/>
                <w:sz w:val="24"/>
                <w:szCs w:val="24"/>
              </w:rPr>
            </w:pPr>
            <w:r w:rsidRPr="001667C8">
              <w:rPr>
                <w:rFonts w:ascii="Arial" w:hAnsi="Arial" w:cs="Arial"/>
                <w:b/>
                <w:bCs/>
                <w:color w:val="auto"/>
                <w:sz w:val="24"/>
                <w:szCs w:val="24"/>
              </w:rPr>
              <w:t>Key Risks if Poorly Engaged</w:t>
            </w:r>
          </w:p>
        </w:tc>
      </w:tr>
      <w:tr w:rsidR="0076327B" w:rsidRPr="001667C8" w14:paraId="62372E32" w14:textId="77777777" w:rsidTr="00166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006A00" w14:textId="1A2FD86B"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Frontline Clinicians</w:t>
            </w:r>
          </w:p>
        </w:tc>
        <w:tc>
          <w:tcPr>
            <w:tcW w:w="0" w:type="auto"/>
            <w:hideMark/>
          </w:tcPr>
          <w:p w14:paraId="3DEF3CF8"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High – direct impact on workflow, patient safety, workload</w:t>
            </w:r>
          </w:p>
        </w:tc>
        <w:tc>
          <w:tcPr>
            <w:tcW w:w="0" w:type="auto"/>
            <w:hideMark/>
          </w:tcPr>
          <w:p w14:paraId="1E02CE10"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Moderate–High</w:t>
            </w:r>
          </w:p>
        </w:tc>
        <w:tc>
          <w:tcPr>
            <w:tcW w:w="0" w:type="auto"/>
            <w:hideMark/>
          </w:tcPr>
          <w:p w14:paraId="6CA7F8BA"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Early involvement, co</w:t>
            </w:r>
            <w:r w:rsidRPr="001667C8">
              <w:rPr>
                <w:rFonts w:ascii="Arial" w:hAnsi="Arial" w:cs="Arial"/>
                <w:color w:val="auto"/>
              </w:rPr>
              <w:noBreakHyphen/>
              <w:t>design workshops, informal feedback channels</w:t>
            </w:r>
          </w:p>
        </w:tc>
        <w:tc>
          <w:tcPr>
            <w:tcW w:w="0" w:type="auto"/>
            <w:hideMark/>
          </w:tcPr>
          <w:p w14:paraId="02FDEB43"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Resistance, under</w:t>
            </w:r>
            <w:r w:rsidRPr="001667C8">
              <w:rPr>
                <w:rFonts w:ascii="Arial" w:hAnsi="Arial" w:cs="Arial"/>
                <w:color w:val="auto"/>
              </w:rPr>
              <w:noBreakHyphen/>
              <w:t>utilisation of systems, safety concerns</w:t>
            </w:r>
          </w:p>
        </w:tc>
      </w:tr>
      <w:tr w:rsidR="0076327B" w:rsidRPr="001667C8" w14:paraId="0CE412C6" w14:textId="77777777" w:rsidTr="001667C8">
        <w:tc>
          <w:tcPr>
            <w:cnfStyle w:val="001000000000" w:firstRow="0" w:lastRow="0" w:firstColumn="1" w:lastColumn="0" w:oddVBand="0" w:evenVBand="0" w:oddHBand="0" w:evenHBand="0" w:firstRowFirstColumn="0" w:firstRowLastColumn="0" w:lastRowFirstColumn="0" w:lastRowLastColumn="0"/>
            <w:tcW w:w="0" w:type="auto"/>
            <w:hideMark/>
          </w:tcPr>
          <w:p w14:paraId="79F43198" w14:textId="77777777"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Operational &amp; Service Managers</w:t>
            </w:r>
          </w:p>
        </w:tc>
        <w:tc>
          <w:tcPr>
            <w:tcW w:w="0" w:type="auto"/>
            <w:hideMark/>
          </w:tcPr>
          <w:p w14:paraId="281F879C"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High – service efficiency, performance delivery</w:t>
            </w:r>
          </w:p>
        </w:tc>
        <w:tc>
          <w:tcPr>
            <w:tcW w:w="0" w:type="auto"/>
            <w:hideMark/>
          </w:tcPr>
          <w:p w14:paraId="5CA23B05"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High</w:t>
            </w:r>
          </w:p>
        </w:tc>
        <w:tc>
          <w:tcPr>
            <w:tcW w:w="0" w:type="auto"/>
            <w:hideMark/>
          </w:tcPr>
          <w:p w14:paraId="56BF165E"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Formal governance, structured reporting, cross</w:t>
            </w:r>
            <w:r w:rsidRPr="001667C8">
              <w:rPr>
                <w:rFonts w:ascii="Arial" w:hAnsi="Arial" w:cs="Arial"/>
                <w:color w:val="auto"/>
              </w:rPr>
              <w:noBreakHyphen/>
              <w:t>disciplinary forums</w:t>
            </w:r>
          </w:p>
        </w:tc>
        <w:tc>
          <w:tcPr>
            <w:tcW w:w="0" w:type="auto"/>
            <w:hideMark/>
          </w:tcPr>
          <w:p w14:paraId="7BC9EF08"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Strategic misalignment, poor implementation oversight</w:t>
            </w:r>
          </w:p>
        </w:tc>
      </w:tr>
      <w:tr w:rsidR="0076327B" w:rsidRPr="001667C8" w14:paraId="704D3B15" w14:textId="77777777" w:rsidTr="00166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B0FBFD" w14:textId="77777777"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Senior Leadership / Executives</w:t>
            </w:r>
          </w:p>
        </w:tc>
        <w:tc>
          <w:tcPr>
            <w:tcW w:w="0" w:type="auto"/>
            <w:hideMark/>
          </w:tcPr>
          <w:p w14:paraId="34BFEC62"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High – strategic delivery, compliance, reputation</w:t>
            </w:r>
          </w:p>
        </w:tc>
        <w:tc>
          <w:tcPr>
            <w:tcW w:w="0" w:type="auto"/>
            <w:hideMark/>
          </w:tcPr>
          <w:p w14:paraId="41DC2C6A"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High</w:t>
            </w:r>
          </w:p>
        </w:tc>
        <w:tc>
          <w:tcPr>
            <w:tcW w:w="0" w:type="auto"/>
            <w:hideMark/>
          </w:tcPr>
          <w:p w14:paraId="36A0BCEB"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Formal boards, performance metrics, strategic alignment discussions</w:t>
            </w:r>
          </w:p>
        </w:tc>
        <w:tc>
          <w:tcPr>
            <w:tcW w:w="0" w:type="auto"/>
            <w:hideMark/>
          </w:tcPr>
          <w:p w14:paraId="4F7C581D"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Lack of organisational buy</w:t>
            </w:r>
            <w:r w:rsidRPr="001667C8">
              <w:rPr>
                <w:rFonts w:ascii="Arial" w:hAnsi="Arial" w:cs="Arial"/>
                <w:color w:val="auto"/>
              </w:rPr>
              <w:noBreakHyphen/>
              <w:t>in, insufficient resourcing</w:t>
            </w:r>
          </w:p>
        </w:tc>
      </w:tr>
      <w:tr w:rsidR="0076327B" w:rsidRPr="001667C8" w14:paraId="175E6570" w14:textId="77777777" w:rsidTr="001667C8">
        <w:tc>
          <w:tcPr>
            <w:cnfStyle w:val="001000000000" w:firstRow="0" w:lastRow="0" w:firstColumn="1" w:lastColumn="0" w:oddVBand="0" w:evenVBand="0" w:oddHBand="0" w:evenHBand="0" w:firstRowFirstColumn="0" w:firstRowLastColumn="0" w:lastRowFirstColumn="0" w:lastRowLastColumn="0"/>
            <w:tcW w:w="0" w:type="auto"/>
            <w:hideMark/>
          </w:tcPr>
          <w:p w14:paraId="5DE079B5" w14:textId="77777777"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Digital / IT / Informatics Teams</w:t>
            </w:r>
          </w:p>
        </w:tc>
        <w:tc>
          <w:tcPr>
            <w:tcW w:w="0" w:type="auto"/>
            <w:hideMark/>
          </w:tcPr>
          <w:p w14:paraId="07A9EFF2"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Very high – responsibility for delivery and infrastructure</w:t>
            </w:r>
          </w:p>
        </w:tc>
        <w:tc>
          <w:tcPr>
            <w:tcW w:w="0" w:type="auto"/>
            <w:hideMark/>
          </w:tcPr>
          <w:p w14:paraId="1D66CC91"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High</w:t>
            </w:r>
          </w:p>
        </w:tc>
        <w:tc>
          <w:tcPr>
            <w:tcW w:w="0" w:type="auto"/>
            <w:hideMark/>
          </w:tcPr>
          <w:p w14:paraId="0BC28C41"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Collaborative design meetings, clear clinical input, iterative testing</w:t>
            </w:r>
          </w:p>
        </w:tc>
        <w:tc>
          <w:tcPr>
            <w:tcW w:w="0" w:type="auto"/>
            <w:hideMark/>
          </w:tcPr>
          <w:p w14:paraId="418B4838"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Systems misaligned with clinical practice, poor usability</w:t>
            </w:r>
          </w:p>
        </w:tc>
      </w:tr>
      <w:tr w:rsidR="0076327B" w:rsidRPr="001667C8" w14:paraId="62ACB14A" w14:textId="77777777" w:rsidTr="00166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662C0B" w14:textId="44891456"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Patients &amp; Carers</w:t>
            </w:r>
          </w:p>
        </w:tc>
        <w:tc>
          <w:tcPr>
            <w:tcW w:w="0" w:type="auto"/>
            <w:hideMark/>
          </w:tcPr>
          <w:p w14:paraId="39B457DF"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Variable but significant – access, equity, experience</w:t>
            </w:r>
          </w:p>
        </w:tc>
        <w:tc>
          <w:tcPr>
            <w:tcW w:w="0" w:type="auto"/>
            <w:hideMark/>
          </w:tcPr>
          <w:p w14:paraId="569BD07D"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Low individually, Moderate collectively</w:t>
            </w:r>
          </w:p>
        </w:tc>
        <w:tc>
          <w:tcPr>
            <w:tcW w:w="0" w:type="auto"/>
            <w:hideMark/>
          </w:tcPr>
          <w:p w14:paraId="329A3A61"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Blended engagement (face</w:t>
            </w:r>
            <w:r w:rsidRPr="001667C8">
              <w:rPr>
                <w:rFonts w:ascii="Arial" w:hAnsi="Arial" w:cs="Arial"/>
                <w:color w:val="auto"/>
              </w:rPr>
              <w:noBreakHyphen/>
              <w:t>to</w:t>
            </w:r>
            <w:r w:rsidRPr="001667C8">
              <w:rPr>
                <w:rFonts w:ascii="Arial" w:hAnsi="Arial" w:cs="Arial"/>
                <w:color w:val="auto"/>
              </w:rPr>
              <w:noBreakHyphen/>
              <w:t>face, digital, carers), usability testing</w:t>
            </w:r>
          </w:p>
        </w:tc>
        <w:tc>
          <w:tcPr>
            <w:tcW w:w="0" w:type="auto"/>
            <w:hideMark/>
          </w:tcPr>
          <w:p w14:paraId="61BE7573"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Digital exclusion, widening health inequalities</w:t>
            </w:r>
          </w:p>
        </w:tc>
      </w:tr>
      <w:tr w:rsidR="0076327B" w:rsidRPr="001667C8" w14:paraId="59FF54A9" w14:textId="77777777" w:rsidTr="001667C8">
        <w:tc>
          <w:tcPr>
            <w:cnfStyle w:val="001000000000" w:firstRow="0" w:lastRow="0" w:firstColumn="1" w:lastColumn="0" w:oddVBand="0" w:evenVBand="0" w:oddHBand="0" w:evenHBand="0" w:firstRowFirstColumn="0" w:firstRowLastColumn="0" w:lastRowFirstColumn="0" w:lastRowLastColumn="0"/>
            <w:tcW w:w="0" w:type="auto"/>
            <w:hideMark/>
          </w:tcPr>
          <w:p w14:paraId="161A4F08" w14:textId="77777777"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Social Care Partners</w:t>
            </w:r>
          </w:p>
        </w:tc>
        <w:tc>
          <w:tcPr>
            <w:tcW w:w="0" w:type="auto"/>
            <w:hideMark/>
          </w:tcPr>
          <w:p w14:paraId="0A56B602"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High – shared records, integrated pathways</w:t>
            </w:r>
          </w:p>
        </w:tc>
        <w:tc>
          <w:tcPr>
            <w:tcW w:w="0" w:type="auto"/>
            <w:hideMark/>
          </w:tcPr>
          <w:p w14:paraId="3B9124DF"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Moderate</w:t>
            </w:r>
          </w:p>
        </w:tc>
        <w:tc>
          <w:tcPr>
            <w:tcW w:w="0" w:type="auto"/>
            <w:hideMark/>
          </w:tcPr>
          <w:p w14:paraId="4A40570D"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Joint multi</w:t>
            </w:r>
            <w:r w:rsidRPr="001667C8">
              <w:rPr>
                <w:rFonts w:ascii="Arial" w:hAnsi="Arial" w:cs="Arial"/>
                <w:color w:val="auto"/>
              </w:rPr>
              <w:noBreakHyphen/>
              <w:t>agency working groups, shared governance</w:t>
            </w:r>
          </w:p>
        </w:tc>
        <w:tc>
          <w:tcPr>
            <w:tcW w:w="0" w:type="auto"/>
            <w:hideMark/>
          </w:tcPr>
          <w:p w14:paraId="215877F9"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Fragmentation across health and social care</w:t>
            </w:r>
          </w:p>
        </w:tc>
      </w:tr>
      <w:tr w:rsidR="0076327B" w:rsidRPr="001667C8" w14:paraId="491BDE29" w14:textId="77777777" w:rsidTr="00166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5FC2FE" w14:textId="77777777"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Regulators / Welsh Government</w:t>
            </w:r>
          </w:p>
        </w:tc>
        <w:tc>
          <w:tcPr>
            <w:tcW w:w="0" w:type="auto"/>
            <w:hideMark/>
          </w:tcPr>
          <w:p w14:paraId="7BC85DD1"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High – policy alignment, standards, funding</w:t>
            </w:r>
          </w:p>
        </w:tc>
        <w:tc>
          <w:tcPr>
            <w:tcW w:w="0" w:type="auto"/>
            <w:hideMark/>
          </w:tcPr>
          <w:p w14:paraId="50C40912"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Very High</w:t>
            </w:r>
          </w:p>
        </w:tc>
        <w:tc>
          <w:tcPr>
            <w:tcW w:w="0" w:type="auto"/>
            <w:hideMark/>
          </w:tcPr>
          <w:p w14:paraId="0B9CD1FB"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Formal compliance reporting, alignment with national strategies</w:t>
            </w:r>
          </w:p>
        </w:tc>
        <w:tc>
          <w:tcPr>
            <w:tcW w:w="0" w:type="auto"/>
            <w:hideMark/>
          </w:tcPr>
          <w:p w14:paraId="1A3046E1"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Funding risk, policy non</w:t>
            </w:r>
            <w:r w:rsidRPr="001667C8">
              <w:rPr>
                <w:rFonts w:ascii="Arial" w:hAnsi="Arial" w:cs="Arial"/>
                <w:color w:val="auto"/>
              </w:rPr>
              <w:noBreakHyphen/>
              <w:t>compliance</w:t>
            </w:r>
          </w:p>
        </w:tc>
      </w:tr>
      <w:tr w:rsidR="0076327B" w:rsidRPr="001667C8" w14:paraId="58F758AE" w14:textId="77777777" w:rsidTr="001667C8">
        <w:tc>
          <w:tcPr>
            <w:cnfStyle w:val="001000000000" w:firstRow="0" w:lastRow="0" w:firstColumn="1" w:lastColumn="0" w:oddVBand="0" w:evenVBand="0" w:oddHBand="0" w:evenHBand="0" w:firstRowFirstColumn="0" w:firstRowLastColumn="0" w:lastRowFirstColumn="0" w:lastRowLastColumn="0"/>
            <w:tcW w:w="0" w:type="auto"/>
            <w:hideMark/>
          </w:tcPr>
          <w:p w14:paraId="4D269C1E" w14:textId="77777777"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Digital Health and Care Wales (DHCW)</w:t>
            </w:r>
          </w:p>
        </w:tc>
        <w:tc>
          <w:tcPr>
            <w:tcW w:w="0" w:type="auto"/>
            <w:hideMark/>
          </w:tcPr>
          <w:p w14:paraId="5D4000D7"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Very High – systems, interoperability, national platforms</w:t>
            </w:r>
          </w:p>
        </w:tc>
        <w:tc>
          <w:tcPr>
            <w:tcW w:w="0" w:type="auto"/>
            <w:hideMark/>
          </w:tcPr>
          <w:p w14:paraId="7B6D1F0E"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High</w:t>
            </w:r>
          </w:p>
        </w:tc>
        <w:tc>
          <w:tcPr>
            <w:tcW w:w="0" w:type="auto"/>
            <w:hideMark/>
          </w:tcPr>
          <w:p w14:paraId="244D4BF5"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Strategic partnership, technical governance forums</w:t>
            </w:r>
          </w:p>
        </w:tc>
        <w:tc>
          <w:tcPr>
            <w:tcW w:w="0" w:type="auto"/>
            <w:hideMark/>
          </w:tcPr>
          <w:p w14:paraId="4467B0D3" w14:textId="77777777" w:rsidR="0076327B" w:rsidRPr="001667C8" w:rsidRDefault="0076327B" w:rsidP="0076327B">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1667C8">
              <w:rPr>
                <w:rFonts w:ascii="Arial" w:hAnsi="Arial" w:cs="Arial"/>
                <w:color w:val="auto"/>
              </w:rPr>
              <w:t>Interoperability failure, duplication</w:t>
            </w:r>
          </w:p>
        </w:tc>
      </w:tr>
      <w:tr w:rsidR="0076327B" w:rsidRPr="001667C8" w14:paraId="203E3C09" w14:textId="77777777" w:rsidTr="00166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11F6BC" w14:textId="77777777" w:rsidR="0076327B" w:rsidRPr="001667C8" w:rsidRDefault="0076327B" w:rsidP="0076327B">
            <w:pPr>
              <w:rPr>
                <w:rFonts w:ascii="Arial" w:hAnsi="Arial" w:cs="Arial"/>
                <w:b/>
                <w:bCs/>
                <w:color w:val="auto"/>
                <w:sz w:val="24"/>
                <w:szCs w:val="24"/>
              </w:rPr>
            </w:pPr>
            <w:r w:rsidRPr="001667C8">
              <w:rPr>
                <w:rFonts w:ascii="Arial" w:hAnsi="Arial" w:cs="Arial"/>
                <w:b/>
                <w:bCs/>
                <w:color w:val="auto"/>
                <w:sz w:val="24"/>
                <w:szCs w:val="24"/>
              </w:rPr>
              <w:t>Technology Suppliers</w:t>
            </w:r>
          </w:p>
        </w:tc>
        <w:tc>
          <w:tcPr>
            <w:tcW w:w="0" w:type="auto"/>
            <w:hideMark/>
          </w:tcPr>
          <w:p w14:paraId="603356DF"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Commercial interest, delivery dependent</w:t>
            </w:r>
          </w:p>
        </w:tc>
        <w:tc>
          <w:tcPr>
            <w:tcW w:w="0" w:type="auto"/>
            <w:hideMark/>
          </w:tcPr>
          <w:p w14:paraId="2C989B47"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Moderate</w:t>
            </w:r>
          </w:p>
        </w:tc>
        <w:tc>
          <w:tcPr>
            <w:tcW w:w="0" w:type="auto"/>
            <w:hideMark/>
          </w:tcPr>
          <w:p w14:paraId="7589CCB4"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Contractual governance, user</w:t>
            </w:r>
            <w:r w:rsidRPr="001667C8">
              <w:rPr>
                <w:rFonts w:ascii="Arial" w:hAnsi="Arial" w:cs="Arial"/>
                <w:color w:val="auto"/>
              </w:rPr>
              <w:noBreakHyphen/>
              <w:t>centred requirements</w:t>
            </w:r>
          </w:p>
        </w:tc>
        <w:tc>
          <w:tcPr>
            <w:tcW w:w="0" w:type="auto"/>
            <w:hideMark/>
          </w:tcPr>
          <w:p w14:paraId="427F1465" w14:textId="77777777" w:rsidR="0076327B" w:rsidRPr="001667C8" w:rsidRDefault="0076327B" w:rsidP="0076327B">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1667C8">
              <w:rPr>
                <w:rFonts w:ascii="Arial" w:hAnsi="Arial" w:cs="Arial"/>
                <w:color w:val="auto"/>
              </w:rPr>
              <w:t>Vendor</w:t>
            </w:r>
            <w:r w:rsidRPr="001667C8">
              <w:rPr>
                <w:rFonts w:ascii="Arial" w:hAnsi="Arial" w:cs="Arial"/>
                <w:color w:val="auto"/>
              </w:rPr>
              <w:noBreakHyphen/>
              <w:t>driven solutions, lack of flexibility</w:t>
            </w:r>
          </w:p>
        </w:tc>
      </w:tr>
    </w:tbl>
    <w:p w14:paraId="432C920B" w14:textId="77777777" w:rsidR="00491365" w:rsidRDefault="00491365" w:rsidP="006A7C36">
      <w:pPr>
        <w:rPr>
          <w:rFonts w:ascii="Arial" w:hAnsi="Arial" w:cs="Arial"/>
          <w:sz w:val="24"/>
          <w:szCs w:val="24"/>
        </w:rPr>
      </w:pPr>
    </w:p>
    <w:p w14:paraId="254D18C6" w14:textId="77777777" w:rsidR="00312954" w:rsidRDefault="00312954" w:rsidP="00947293">
      <w:pPr>
        <w:jc w:val="both"/>
        <w:rPr>
          <w:rFonts w:ascii="Arial" w:hAnsi="Arial" w:cs="Arial"/>
          <w:sz w:val="24"/>
          <w:szCs w:val="24"/>
        </w:rPr>
      </w:pPr>
    </w:p>
    <w:p w14:paraId="7E580120" w14:textId="59336F99" w:rsidR="005E28E6" w:rsidRPr="00DF5D16" w:rsidRDefault="005E28E6" w:rsidP="00947293">
      <w:pPr>
        <w:jc w:val="both"/>
        <w:rPr>
          <w:rFonts w:ascii="Arial" w:hAnsi="Arial" w:cs="Arial"/>
          <w:sz w:val="24"/>
          <w:szCs w:val="24"/>
        </w:rPr>
      </w:pPr>
      <w:r w:rsidRPr="00DF5D16">
        <w:rPr>
          <w:rFonts w:ascii="Arial" w:hAnsi="Arial" w:cs="Arial"/>
          <w:sz w:val="24"/>
          <w:szCs w:val="24"/>
        </w:rPr>
        <w:lastRenderedPageBreak/>
        <w:t xml:space="preserve">Reflecting on my own experience within frailty and a community facing service, I recognise that digital initiatives move across traditional service boundaries, and I also recognise the detriment when they do not. For example, systems such as shared electronic patient records and community care platforms can directly affect how hospital teams, community services and social care professionals collaborate, directly affecting patient care. Successful integration therefore requires a collective approach, rather than a series of isolated projects, where all stakeholders are actively engaged and listened to, rather than just digital teams. </w:t>
      </w:r>
    </w:p>
    <w:p w14:paraId="4677D5F5" w14:textId="113022C3" w:rsidR="005E28E6" w:rsidRPr="00DF5D16" w:rsidRDefault="005E28E6" w:rsidP="00947293">
      <w:pPr>
        <w:jc w:val="both"/>
        <w:rPr>
          <w:rFonts w:ascii="Arial" w:hAnsi="Arial" w:cs="Arial"/>
          <w:sz w:val="24"/>
          <w:szCs w:val="24"/>
        </w:rPr>
      </w:pPr>
      <w:r w:rsidRPr="00DF5D16">
        <w:rPr>
          <w:rFonts w:ascii="Arial" w:hAnsi="Arial" w:cs="Arial"/>
          <w:sz w:val="24"/>
          <w:szCs w:val="24"/>
        </w:rPr>
        <w:t>This was one of the key insights from my CW1 analysis. ABUHB’s digital strategy is ambitious but doesn’t specify how it will be successfully implemented or operationalised. Thus, reiterating how effective engagement with the above stakeholders is critical. Implementation decisions should be shaped by negotiation   between stakeholder groups who have different professional values and priorities.</w:t>
      </w:r>
    </w:p>
    <w:p w14:paraId="515DBCFC" w14:textId="116ADDEA" w:rsidR="00995486" w:rsidRPr="00DF5D16" w:rsidRDefault="007735E3" w:rsidP="00947293">
      <w:pPr>
        <w:jc w:val="both"/>
        <w:rPr>
          <w:rFonts w:ascii="Arial" w:hAnsi="Arial" w:cs="Arial"/>
          <w:sz w:val="24"/>
          <w:szCs w:val="24"/>
        </w:rPr>
      </w:pPr>
      <w:r w:rsidRPr="00DF5D16">
        <w:rPr>
          <w:rFonts w:ascii="Arial" w:hAnsi="Arial" w:cs="Arial"/>
          <w:sz w:val="24"/>
          <w:szCs w:val="24"/>
        </w:rPr>
        <w:t xml:space="preserve">Reflecting on the best method for engaging stakeholders, I believe that a combination of profession specific and collective engagement methods is essential. From my personal experience, early engagement creates a safe space for </w:t>
      </w:r>
      <w:r w:rsidR="00E6677E" w:rsidRPr="00DF5D16">
        <w:rPr>
          <w:rFonts w:ascii="Arial" w:hAnsi="Arial" w:cs="Arial"/>
          <w:sz w:val="24"/>
          <w:szCs w:val="24"/>
        </w:rPr>
        <w:t>open dialog</w:t>
      </w:r>
      <w:r w:rsidRPr="00DF5D16">
        <w:rPr>
          <w:rFonts w:ascii="Arial" w:hAnsi="Arial" w:cs="Arial"/>
          <w:sz w:val="24"/>
          <w:szCs w:val="24"/>
        </w:rPr>
        <w:t xml:space="preserve"> from stakeholders to articulate concerns that otherwise may not be voiced. </w:t>
      </w:r>
      <w:r w:rsidR="00E6677E">
        <w:rPr>
          <w:rFonts w:ascii="Arial" w:hAnsi="Arial" w:cs="Arial"/>
          <w:sz w:val="24"/>
          <w:szCs w:val="24"/>
        </w:rPr>
        <w:t xml:space="preserve">My experience of </w:t>
      </w:r>
      <w:r w:rsidR="0067172E" w:rsidRPr="00DF5D16">
        <w:rPr>
          <w:rFonts w:ascii="Arial" w:hAnsi="Arial" w:cs="Arial"/>
          <w:sz w:val="24"/>
          <w:szCs w:val="24"/>
        </w:rPr>
        <w:t xml:space="preserve">approaching stakeholders would be when I was asked to implement the CIVICA scheduling tool within my team. This made me apprehensive as I know how resistant to change staff can be, and I had previously seen this first hand within my team during other implementations. Early engagement with my team allowed more space for individual members to voice their concerns and seek me in private for a discussion around the new technology designed to integrate the Rapid Frailty Response (RFR) and District Nursing (DN) teams. This also helped me as it gave me insight into the </w:t>
      </w:r>
      <w:r w:rsidR="009B1B0C" w:rsidRPr="00DF5D16">
        <w:rPr>
          <w:rFonts w:ascii="Arial" w:hAnsi="Arial" w:cs="Arial"/>
          <w:sz w:val="24"/>
          <w:szCs w:val="24"/>
        </w:rPr>
        <w:t xml:space="preserve">challenges </w:t>
      </w:r>
      <w:r w:rsidR="0067172E" w:rsidRPr="00DF5D16">
        <w:rPr>
          <w:rFonts w:ascii="Arial" w:hAnsi="Arial" w:cs="Arial"/>
          <w:sz w:val="24"/>
          <w:szCs w:val="24"/>
        </w:rPr>
        <w:t xml:space="preserve">I would face on implementing the system so I could plan around these and facilitate the training around </w:t>
      </w:r>
      <w:proofErr w:type="gramStart"/>
      <w:r w:rsidR="0067172E" w:rsidRPr="00DF5D16">
        <w:rPr>
          <w:rFonts w:ascii="Arial" w:hAnsi="Arial" w:cs="Arial"/>
          <w:sz w:val="24"/>
          <w:szCs w:val="24"/>
        </w:rPr>
        <w:t>each individuals</w:t>
      </w:r>
      <w:proofErr w:type="gramEnd"/>
      <w:r w:rsidR="0067172E" w:rsidRPr="00DF5D16">
        <w:rPr>
          <w:rFonts w:ascii="Arial" w:hAnsi="Arial" w:cs="Arial"/>
          <w:sz w:val="24"/>
          <w:szCs w:val="24"/>
        </w:rPr>
        <w:t xml:space="preserve"> concerns and needs. </w:t>
      </w:r>
    </w:p>
    <w:p w14:paraId="79AD951C" w14:textId="5FA68E70" w:rsidR="00EF2022" w:rsidRPr="00DF5D16" w:rsidRDefault="00995486" w:rsidP="00947293">
      <w:pPr>
        <w:jc w:val="both"/>
        <w:rPr>
          <w:rFonts w:ascii="Arial" w:hAnsi="Arial" w:cs="Arial"/>
          <w:sz w:val="24"/>
          <w:szCs w:val="24"/>
        </w:rPr>
      </w:pPr>
      <w:r w:rsidRPr="00DF5D16">
        <w:rPr>
          <w:rFonts w:ascii="Arial" w:hAnsi="Arial" w:cs="Arial"/>
          <w:sz w:val="24"/>
          <w:szCs w:val="24"/>
        </w:rPr>
        <w:t>However, I also observed that segmented engagement can inadvertently cause compartmenting of te</w:t>
      </w:r>
      <w:r w:rsidR="003214F1" w:rsidRPr="00DF5D16">
        <w:rPr>
          <w:rFonts w:ascii="Arial" w:hAnsi="Arial" w:cs="Arial"/>
          <w:sz w:val="24"/>
          <w:szCs w:val="24"/>
        </w:rPr>
        <w:t>ams and information</w:t>
      </w:r>
      <w:r w:rsidR="00DC08D1" w:rsidRPr="00DF5D16">
        <w:rPr>
          <w:rFonts w:ascii="Arial" w:hAnsi="Arial" w:cs="Arial"/>
          <w:sz w:val="24"/>
          <w:szCs w:val="24"/>
        </w:rPr>
        <w:t xml:space="preserve">. The discussions remaining confined within professional groups, meant that information was potentially lost as it stopped my team members from engaging with and asking questions to CIVICA technicians and the health boards digital team who may have been better equipped to address them. </w:t>
      </w:r>
      <w:r w:rsidRPr="00DF5D16">
        <w:rPr>
          <w:rFonts w:ascii="Arial" w:hAnsi="Arial" w:cs="Arial"/>
          <w:sz w:val="24"/>
          <w:szCs w:val="24"/>
        </w:rPr>
        <w:t xml:space="preserve"> </w:t>
      </w:r>
      <w:r w:rsidR="00651750" w:rsidRPr="00DF5D16">
        <w:rPr>
          <w:rFonts w:ascii="Arial" w:hAnsi="Arial" w:cs="Arial"/>
          <w:sz w:val="24"/>
          <w:szCs w:val="24"/>
        </w:rPr>
        <w:t>If I had a chance to re-implement the system to my team, I would have taken this approach. It would facilitate their learning and better their understanding whilst also lessening the load on myself</w:t>
      </w:r>
      <w:r w:rsidR="009049D1" w:rsidRPr="00DF5D16">
        <w:rPr>
          <w:rFonts w:ascii="Arial" w:hAnsi="Arial" w:cs="Arial"/>
          <w:sz w:val="24"/>
          <w:szCs w:val="24"/>
        </w:rPr>
        <w:t xml:space="preserve">. </w:t>
      </w:r>
      <w:r w:rsidR="00893EF4" w:rsidRPr="00DF5D16">
        <w:rPr>
          <w:rFonts w:ascii="Arial" w:hAnsi="Arial" w:cs="Arial"/>
          <w:sz w:val="24"/>
          <w:szCs w:val="24"/>
        </w:rPr>
        <w:t>Developing a stakeholder group with a diverse range of knowledge could improve digital health and the generative co-design process</w:t>
      </w:r>
      <w:r w:rsidR="0094729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"/>
          <w:id w:val="-2093456807"/>
          <w:placeholder>
            <w:docPart w:val="DefaultPlaceholder_-1854013440"/>
          </w:placeholder>
        </w:sdtPr>
        <w:sdtContent>
          <w:r w:rsidR="00947293" w:rsidRPr="00947293">
            <w:rPr>
              <w:rFonts w:ascii="Arial" w:hAnsi="Arial" w:cs="Arial"/>
              <w:color w:val="000000"/>
              <w:sz w:val="24"/>
              <w:szCs w:val="24"/>
            </w:rPr>
            <w:t>(</w:t>
          </w:r>
          <w:proofErr w:type="spellStart"/>
          <w:r w:rsidR="00947293" w:rsidRPr="00947293">
            <w:rPr>
              <w:rFonts w:ascii="Arial" w:hAnsi="Arial" w:cs="Arial"/>
              <w:color w:val="000000"/>
              <w:sz w:val="24"/>
              <w:szCs w:val="24"/>
            </w:rPr>
            <w:t>Vandekerckhove</w:t>
          </w:r>
          <w:proofErr w:type="spellEnd"/>
          <w:r w:rsidR="00947293" w:rsidRPr="00947293">
            <w:rPr>
              <w:rFonts w:ascii="Arial" w:hAnsi="Arial" w:cs="Arial"/>
              <w:color w:val="000000"/>
              <w:sz w:val="24"/>
              <w:szCs w:val="24"/>
            </w:rPr>
            <w:t xml:space="preserve"> et al., 2023)</w:t>
          </w:r>
        </w:sdtContent>
      </w:sdt>
      <w:r w:rsidR="00893EF4" w:rsidRPr="00DF5D16">
        <w:rPr>
          <w:rFonts w:ascii="Arial" w:hAnsi="Arial" w:cs="Arial"/>
          <w:sz w:val="24"/>
          <w:szCs w:val="24"/>
        </w:rPr>
        <w:t xml:space="preserve">. </w:t>
      </w:r>
    </w:p>
    <w:p w14:paraId="48D1CA10" w14:textId="5C869D1A" w:rsidR="00893EF4" w:rsidRPr="00DF5D16" w:rsidRDefault="0054671B" w:rsidP="00947293">
      <w:pPr>
        <w:jc w:val="both"/>
        <w:rPr>
          <w:rFonts w:ascii="Arial" w:hAnsi="Arial" w:cs="Arial"/>
          <w:sz w:val="24"/>
          <w:szCs w:val="24"/>
        </w:rPr>
      </w:pPr>
      <w:r w:rsidRPr="00DF5D16">
        <w:rPr>
          <w:rFonts w:ascii="Arial" w:hAnsi="Arial" w:cs="Arial"/>
          <w:sz w:val="24"/>
          <w:szCs w:val="24"/>
        </w:rPr>
        <w:t>Using my above reflection on stakeholder engagement in the context of</w:t>
      </w:r>
      <w:r w:rsidR="00893EF4" w:rsidRPr="00DF5D16">
        <w:rPr>
          <w:rFonts w:ascii="Arial" w:hAnsi="Arial" w:cs="Arial"/>
          <w:sz w:val="24"/>
          <w:szCs w:val="24"/>
        </w:rPr>
        <w:t xml:space="preserve"> Aneurin Bevan University Health Boards (ABUHB) digital strategy, a greater emphasis on structured co-design between stakeholders such as the clinical staff, digital teams and the patients themselves would strengthen its implementation. </w:t>
      </w:r>
      <w:r w:rsidRPr="00DF5D16">
        <w:rPr>
          <w:rFonts w:ascii="Arial" w:hAnsi="Arial" w:cs="Arial"/>
          <w:sz w:val="24"/>
          <w:szCs w:val="24"/>
        </w:rPr>
        <w:t>This would successfully accommodate the needs of most if not all stakeholders in the implementation of the digital strategy across the health board, helping to eliminate complex system-wide issues such as interoperability, data governance and digital inclusion</w:t>
      </w:r>
      <w:r w:rsidR="0094729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"/>
          <w:id w:val="324250457"/>
          <w:placeholder>
            <w:docPart w:val="DefaultPlaceholder_-1854013440"/>
          </w:placeholder>
        </w:sdtPr>
        <w:sdtContent>
          <w:r w:rsidR="00947293" w:rsidRPr="00947293">
            <w:rPr>
              <w:rFonts w:ascii="Arial" w:hAnsi="Arial" w:cs="Arial"/>
              <w:color w:val="000000"/>
              <w:sz w:val="24"/>
              <w:szCs w:val="24"/>
            </w:rPr>
            <w:t xml:space="preserve">(Litchfield et al., </w:t>
          </w:r>
          <w:r w:rsidR="00947293" w:rsidRPr="00947293">
            <w:rPr>
              <w:rFonts w:ascii="Arial" w:hAnsi="Arial" w:cs="Arial"/>
              <w:color w:val="000000"/>
              <w:sz w:val="24"/>
              <w:szCs w:val="24"/>
            </w:rPr>
            <w:lastRenderedPageBreak/>
            <w:t>2025)</w:t>
          </w:r>
        </w:sdtContent>
      </w:sdt>
      <w:r w:rsidR="00947293">
        <w:rPr>
          <w:rFonts w:ascii="Arial" w:hAnsi="Arial" w:cs="Arial"/>
          <w:color w:val="000000"/>
          <w:sz w:val="24"/>
          <w:szCs w:val="24"/>
        </w:rPr>
        <w:t>.</w:t>
      </w:r>
      <w:r w:rsidRPr="00DF5D16">
        <w:rPr>
          <w:rFonts w:ascii="Arial" w:hAnsi="Arial" w:cs="Arial"/>
          <w:sz w:val="24"/>
          <w:szCs w:val="24"/>
        </w:rPr>
        <w:t xml:space="preserve"> These challenges span organisational and professional boundaries and cannot be effectively resolved through isolated decision making. </w:t>
      </w:r>
    </w:p>
    <w:p w14:paraId="4735441F" w14:textId="77777777" w:rsidR="00E176FB" w:rsidRPr="00DF5D16" w:rsidRDefault="00E176FB" w:rsidP="00947293">
      <w:pPr>
        <w:jc w:val="both"/>
        <w:rPr>
          <w:rFonts w:ascii="Arial" w:hAnsi="Arial" w:cs="Arial"/>
          <w:sz w:val="24"/>
          <w:szCs w:val="24"/>
        </w:rPr>
      </w:pPr>
    </w:p>
    <w:p w14:paraId="027A108B" w14:textId="4553A6C6" w:rsidR="00E176FB" w:rsidRPr="00DF5D16" w:rsidRDefault="00E176FB" w:rsidP="00947293">
      <w:pPr>
        <w:jc w:val="both"/>
        <w:rPr>
          <w:rFonts w:ascii="Arial" w:hAnsi="Arial" w:cs="Arial"/>
          <w:b/>
          <w:bCs/>
          <w:sz w:val="24"/>
          <w:szCs w:val="24"/>
        </w:rPr>
      </w:pPr>
      <w:r w:rsidRPr="00DF5D16">
        <w:rPr>
          <w:rFonts w:ascii="Arial" w:hAnsi="Arial" w:cs="Arial"/>
          <w:b/>
          <w:bCs/>
          <w:sz w:val="24"/>
          <w:szCs w:val="24"/>
        </w:rPr>
        <w:t>Communication Engagement</w:t>
      </w:r>
    </w:p>
    <w:p w14:paraId="502E12F7" w14:textId="0796F8DA" w:rsidR="00676B27" w:rsidRPr="00DF5D16" w:rsidRDefault="00A827C0" w:rsidP="00947293">
      <w:pPr>
        <w:jc w:val="both"/>
        <w:rPr>
          <w:rFonts w:ascii="Arial" w:hAnsi="Arial" w:cs="Arial"/>
          <w:sz w:val="24"/>
          <w:szCs w:val="24"/>
        </w:rPr>
      </w:pPr>
      <w:r w:rsidRPr="00DF5D16">
        <w:rPr>
          <w:rFonts w:ascii="Arial" w:hAnsi="Arial" w:cs="Arial"/>
          <w:sz w:val="24"/>
          <w:szCs w:val="24"/>
        </w:rPr>
        <w:t xml:space="preserve">Throughout my professional practice, I have encountered a range of communication and engagement methods during periods of digital change. </w:t>
      </w:r>
      <w:r w:rsidR="001D76EB" w:rsidRPr="00DF5D16">
        <w:rPr>
          <w:rFonts w:ascii="Arial" w:hAnsi="Arial" w:cs="Arial"/>
          <w:sz w:val="24"/>
          <w:szCs w:val="24"/>
        </w:rPr>
        <w:t xml:space="preserve">Two examples of this would be </w:t>
      </w:r>
      <w:r w:rsidR="00675D28" w:rsidRPr="00DF5D16">
        <w:rPr>
          <w:rFonts w:ascii="Arial" w:hAnsi="Arial" w:cs="Arial"/>
          <w:sz w:val="24"/>
          <w:szCs w:val="24"/>
        </w:rPr>
        <w:t>when I was asked to implement CIVICA</w:t>
      </w:r>
      <w:r w:rsidR="005A3CFA" w:rsidRPr="00DF5D16">
        <w:rPr>
          <w:rFonts w:ascii="Arial" w:hAnsi="Arial" w:cs="Arial"/>
          <w:sz w:val="24"/>
          <w:szCs w:val="24"/>
        </w:rPr>
        <w:t xml:space="preserve"> and in previous years when my team was asked to move away from paper notes and utilise our legacy Frailty Portal for all patient notes. </w:t>
      </w:r>
      <w:r w:rsidR="00610483" w:rsidRPr="00DF5D16">
        <w:rPr>
          <w:rFonts w:ascii="Arial" w:hAnsi="Arial" w:cs="Arial"/>
          <w:sz w:val="24"/>
          <w:szCs w:val="24"/>
        </w:rPr>
        <w:t>I have discussed my feelings on the CIVICA implementation above, however, in reference to communication methods</w:t>
      </w:r>
      <w:r w:rsidR="00336EFF" w:rsidRPr="00DF5D16">
        <w:rPr>
          <w:rFonts w:ascii="Arial" w:hAnsi="Arial" w:cs="Arial"/>
          <w:sz w:val="24"/>
          <w:szCs w:val="24"/>
        </w:rPr>
        <w:t xml:space="preserve">, I felt when I was individually approached regarding CIVIA it was in a more formal training and implementation meeting which provided me with clarity, goals and reasoning for why this system was being </w:t>
      </w:r>
      <w:r w:rsidR="003A17D3" w:rsidRPr="00DF5D16">
        <w:rPr>
          <w:rFonts w:ascii="Arial" w:hAnsi="Arial" w:cs="Arial"/>
          <w:sz w:val="24"/>
          <w:szCs w:val="24"/>
        </w:rPr>
        <w:t xml:space="preserve">introduced to my team. </w:t>
      </w:r>
      <w:r w:rsidR="00B730EC" w:rsidRPr="00DF5D16">
        <w:rPr>
          <w:rFonts w:ascii="Arial" w:hAnsi="Arial" w:cs="Arial"/>
          <w:sz w:val="24"/>
          <w:szCs w:val="24"/>
        </w:rPr>
        <w:t>Whereas</w:t>
      </w:r>
      <w:r w:rsidR="003A17D3" w:rsidRPr="00DF5D16">
        <w:rPr>
          <w:rFonts w:ascii="Arial" w:hAnsi="Arial" w:cs="Arial"/>
          <w:sz w:val="24"/>
          <w:szCs w:val="24"/>
        </w:rPr>
        <w:t xml:space="preserve"> I then took an informal approach </w:t>
      </w:r>
      <w:r w:rsidR="00B730EC" w:rsidRPr="00DF5D16">
        <w:rPr>
          <w:rFonts w:ascii="Arial" w:hAnsi="Arial" w:cs="Arial"/>
          <w:sz w:val="24"/>
          <w:szCs w:val="24"/>
        </w:rPr>
        <w:t>t</w:t>
      </w:r>
      <w:r w:rsidR="003A17D3" w:rsidRPr="00DF5D16">
        <w:rPr>
          <w:rFonts w:ascii="Arial" w:hAnsi="Arial" w:cs="Arial"/>
          <w:sz w:val="24"/>
          <w:szCs w:val="24"/>
        </w:rPr>
        <w:t xml:space="preserve">o teaching my team members, with a more formal teaching session style method developed by my team manager when </w:t>
      </w:r>
      <w:r w:rsidR="00B730EC" w:rsidRPr="00DF5D16">
        <w:rPr>
          <w:rFonts w:ascii="Arial" w:hAnsi="Arial" w:cs="Arial"/>
          <w:sz w:val="24"/>
          <w:szCs w:val="24"/>
        </w:rPr>
        <w:t>it</w:t>
      </w:r>
      <w:r w:rsidR="003A17D3" w:rsidRPr="00DF5D16">
        <w:rPr>
          <w:rFonts w:ascii="Arial" w:hAnsi="Arial" w:cs="Arial"/>
          <w:sz w:val="24"/>
          <w:szCs w:val="24"/>
        </w:rPr>
        <w:t xml:space="preserve"> was time to </w:t>
      </w:r>
      <w:proofErr w:type="spellStart"/>
      <w:r w:rsidR="003A17D3" w:rsidRPr="00DF5D16">
        <w:rPr>
          <w:rFonts w:ascii="Arial" w:hAnsi="Arial" w:cs="Arial"/>
          <w:sz w:val="24"/>
          <w:szCs w:val="24"/>
        </w:rPr>
        <w:t>role</w:t>
      </w:r>
      <w:proofErr w:type="spellEnd"/>
      <w:r w:rsidR="003A17D3" w:rsidRPr="00DF5D16">
        <w:rPr>
          <w:rFonts w:ascii="Arial" w:hAnsi="Arial" w:cs="Arial"/>
          <w:sz w:val="24"/>
          <w:szCs w:val="24"/>
        </w:rPr>
        <w:t xml:space="preserve"> out CIVICA scheduling to other RFR teams</w:t>
      </w:r>
      <w:r w:rsidR="00B730EC" w:rsidRPr="00DF5D16">
        <w:rPr>
          <w:rFonts w:ascii="Arial" w:hAnsi="Arial" w:cs="Arial"/>
          <w:sz w:val="24"/>
          <w:szCs w:val="24"/>
        </w:rPr>
        <w:t xml:space="preserve">. Reflecting on communication and engagement methods used on my team when we were told to use the frailty portal as our notes system </w:t>
      </w:r>
      <w:r w:rsidR="00FC0462" w:rsidRPr="00DF5D16">
        <w:rPr>
          <w:rFonts w:ascii="Arial" w:hAnsi="Arial" w:cs="Arial"/>
          <w:sz w:val="24"/>
          <w:szCs w:val="24"/>
        </w:rPr>
        <w:t>was also a more formal engagement via team meetings, and informal engagement was raised as resistance due to hesitation being present due to the portal being an outdated legacy system that did not fit our needs. This made me feel frustrated and like I was not being listened to</w:t>
      </w:r>
      <w:r w:rsidR="00CE42B8" w:rsidRPr="00DF5D16">
        <w:rPr>
          <w:rFonts w:ascii="Arial" w:hAnsi="Arial" w:cs="Arial"/>
          <w:sz w:val="24"/>
          <w:szCs w:val="24"/>
        </w:rPr>
        <w:t xml:space="preserve">, and that my concerns were not being addressed. Eventually, we were able to come to a compromise where we </w:t>
      </w:r>
      <w:r w:rsidR="00E6677E" w:rsidRPr="00DF5D16">
        <w:rPr>
          <w:rFonts w:ascii="Arial" w:hAnsi="Arial" w:cs="Arial"/>
          <w:sz w:val="24"/>
          <w:szCs w:val="24"/>
        </w:rPr>
        <w:t>can</w:t>
      </w:r>
      <w:r w:rsidR="00CE42B8" w:rsidRPr="00DF5D16">
        <w:rPr>
          <w:rFonts w:ascii="Arial" w:hAnsi="Arial" w:cs="Arial"/>
          <w:sz w:val="24"/>
          <w:szCs w:val="24"/>
        </w:rPr>
        <w:t xml:space="preserve"> utilise both paper clerking proformas, with all other documentation now being online, which on reflection, has been an excellent outcome. If</w:t>
      </w:r>
      <w:r w:rsidR="003F6412" w:rsidRPr="00DF5D16">
        <w:rPr>
          <w:rFonts w:ascii="Arial" w:hAnsi="Arial" w:cs="Arial"/>
          <w:sz w:val="24"/>
          <w:szCs w:val="24"/>
        </w:rPr>
        <w:t xml:space="preserve"> I could change this experience, I would have raised my concerns in a formal manner, in a scheduled meeting, rather than informally, so I could clearly articulate my </w:t>
      </w:r>
      <w:r w:rsidR="00E6677E" w:rsidRPr="00DF5D16">
        <w:rPr>
          <w:rFonts w:ascii="Arial" w:hAnsi="Arial" w:cs="Arial"/>
          <w:sz w:val="24"/>
          <w:szCs w:val="24"/>
        </w:rPr>
        <w:t>concerns,</w:t>
      </w:r>
      <w:r w:rsidR="003F6412" w:rsidRPr="00DF5D16">
        <w:rPr>
          <w:rFonts w:ascii="Arial" w:hAnsi="Arial" w:cs="Arial"/>
          <w:sz w:val="24"/>
          <w:szCs w:val="24"/>
        </w:rPr>
        <w:t xml:space="preserve"> </w:t>
      </w:r>
      <w:r w:rsidR="001237CF" w:rsidRPr="00DF5D16">
        <w:rPr>
          <w:rFonts w:ascii="Arial" w:hAnsi="Arial" w:cs="Arial"/>
          <w:sz w:val="24"/>
          <w:szCs w:val="24"/>
        </w:rPr>
        <w:t xml:space="preserve">and this not be miscommunicated via </w:t>
      </w:r>
      <w:r w:rsidR="000809AB" w:rsidRPr="00DF5D16">
        <w:rPr>
          <w:rFonts w:ascii="Arial" w:hAnsi="Arial" w:cs="Arial"/>
          <w:sz w:val="24"/>
          <w:szCs w:val="24"/>
        </w:rPr>
        <w:t>corridor conversations</w:t>
      </w:r>
      <w:r w:rsidR="00C847EE" w:rsidRPr="00DF5D16">
        <w:rPr>
          <w:rFonts w:ascii="Arial" w:hAnsi="Arial" w:cs="Arial"/>
          <w:sz w:val="24"/>
          <w:szCs w:val="24"/>
        </w:rPr>
        <w:t xml:space="preserve">. </w:t>
      </w:r>
    </w:p>
    <w:p w14:paraId="61830590" w14:textId="046C320F" w:rsidR="00685AAF" w:rsidRPr="00DF5D16" w:rsidRDefault="00947293" w:rsidP="00947293">
      <w:pPr>
        <w:jc w:val="both"/>
        <w:rPr>
          <w:rFonts w:ascii="Arial" w:hAnsi="Arial" w:cs="Arial"/>
          <w:sz w:val="24"/>
          <w:szCs w:val="24"/>
        </w:rPr>
      </w:pPr>
      <w:sdt>
        <w:sdtPr>
          <w:rPr>
            <w:rFonts w:ascii="Arial" w:hAnsi="Arial" w:cs="Arial"/>
            <w:color w:val="000000"/>
            <w:sz w:val="24"/>
            <w:szCs w:val="24"/>
          </w:rPr>
          <w:tag w:val="MENDELEY_CITATION_v3_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"/>
          <w:id w:val="818532710"/>
          <w:placeholder>
            <w:docPart w:val="DefaultPlaceholder_-1854013440"/>
          </w:placeholder>
        </w:sdtPr>
        <w:sdtContent>
          <w:proofErr w:type="spellStart"/>
          <w:r w:rsidRPr="00947293">
            <w:rPr>
              <w:rFonts w:ascii="Arial" w:hAnsi="Arial" w:cs="Arial"/>
              <w:color w:val="000000"/>
              <w:sz w:val="24"/>
              <w:szCs w:val="24"/>
            </w:rPr>
            <w:t>Strueby</w:t>
          </w:r>
          <w:proofErr w:type="spellEnd"/>
          <w:r>
            <w:rPr>
              <w:rFonts w:ascii="Arial" w:hAnsi="Arial" w:cs="Arial"/>
              <w:color w:val="000000"/>
              <w:sz w:val="24"/>
              <w:szCs w:val="24"/>
            </w:rPr>
            <w:t xml:space="preserve"> </w:t>
          </w:r>
          <w:r w:rsidRPr="00947293">
            <w:rPr>
              <w:rFonts w:ascii="Arial" w:hAnsi="Arial" w:cs="Arial"/>
              <w:color w:val="000000"/>
              <w:sz w:val="24"/>
              <w:szCs w:val="24"/>
            </w:rPr>
            <w:t>(2019)</w:t>
          </w:r>
        </w:sdtContent>
      </w:sdt>
      <w:r>
        <w:rPr>
          <w:rFonts w:ascii="Arial" w:hAnsi="Arial" w:cs="Arial"/>
          <w:color w:val="000000"/>
          <w:sz w:val="24"/>
          <w:szCs w:val="24"/>
        </w:rPr>
        <w:t xml:space="preserve"> </w:t>
      </w:r>
      <w:r w:rsidR="00685AAF" w:rsidRPr="00DF5D16">
        <w:rPr>
          <w:rFonts w:ascii="Arial" w:hAnsi="Arial" w:cs="Arial"/>
          <w:sz w:val="24"/>
          <w:szCs w:val="24"/>
        </w:rPr>
        <w:t>discuss</w:t>
      </w:r>
      <w:r>
        <w:rPr>
          <w:rFonts w:ascii="Arial" w:hAnsi="Arial" w:cs="Arial"/>
          <w:sz w:val="24"/>
          <w:szCs w:val="24"/>
        </w:rPr>
        <w:t>es</w:t>
      </w:r>
      <w:r w:rsidR="00685AAF" w:rsidRPr="00DF5D16">
        <w:rPr>
          <w:rFonts w:ascii="Arial" w:hAnsi="Arial" w:cs="Arial"/>
          <w:sz w:val="24"/>
          <w:szCs w:val="24"/>
        </w:rPr>
        <w:t xml:space="preserve"> how psychological safety is important </w:t>
      </w:r>
      <w:r w:rsidR="00BF74FE" w:rsidRPr="00DF5D16">
        <w:rPr>
          <w:rFonts w:ascii="Arial" w:hAnsi="Arial" w:cs="Arial"/>
          <w:sz w:val="24"/>
          <w:szCs w:val="24"/>
        </w:rPr>
        <w:t>to successful organisational change</w:t>
      </w:r>
      <w:r w:rsidR="00C80DD0" w:rsidRPr="00DF5D16">
        <w:rPr>
          <w:rFonts w:ascii="Arial" w:hAnsi="Arial" w:cs="Arial"/>
          <w:sz w:val="24"/>
          <w:szCs w:val="24"/>
        </w:rPr>
        <w:t xml:space="preserve">. On reflection a clear feedback loop where I could see that my contributions were helping with decisions, instead of just being told to do something with no reasoning, would have </w:t>
      </w:r>
      <w:r w:rsidR="007C1CF0" w:rsidRPr="00DF5D16">
        <w:rPr>
          <w:rFonts w:ascii="Arial" w:hAnsi="Arial" w:cs="Arial"/>
          <w:sz w:val="24"/>
          <w:szCs w:val="24"/>
        </w:rPr>
        <w:t xml:space="preserve">greatly improved my acceptance of the digital change. </w:t>
      </w:r>
    </w:p>
    <w:p w14:paraId="40236B02" w14:textId="52D692CF" w:rsidR="007C1CF0" w:rsidRPr="00DF5D16" w:rsidRDefault="00E6677E" w:rsidP="00947293">
      <w:pPr>
        <w:jc w:val="both"/>
        <w:rPr>
          <w:rFonts w:ascii="Arial" w:hAnsi="Arial" w:cs="Arial"/>
          <w:sz w:val="24"/>
          <w:szCs w:val="24"/>
        </w:rPr>
      </w:pPr>
      <w:proofErr w:type="gramStart"/>
      <w:r w:rsidRPr="00DF5D16">
        <w:rPr>
          <w:rFonts w:ascii="Arial" w:hAnsi="Arial" w:cs="Arial"/>
          <w:sz w:val="24"/>
          <w:szCs w:val="24"/>
        </w:rPr>
        <w:t>In regard to</w:t>
      </w:r>
      <w:proofErr w:type="gramEnd"/>
      <w:r w:rsidR="007C1CF0" w:rsidRPr="00DF5D16">
        <w:rPr>
          <w:rFonts w:ascii="Arial" w:hAnsi="Arial" w:cs="Arial"/>
          <w:sz w:val="24"/>
          <w:szCs w:val="24"/>
        </w:rPr>
        <w:t xml:space="preserve"> ABUHB’s digital strategy, both formal and informal </w:t>
      </w:r>
      <w:r w:rsidR="009366ED" w:rsidRPr="00DF5D16">
        <w:rPr>
          <w:rFonts w:ascii="Arial" w:hAnsi="Arial" w:cs="Arial"/>
          <w:sz w:val="24"/>
          <w:szCs w:val="24"/>
        </w:rPr>
        <w:t xml:space="preserve">feedback loops will be vital, including making staff feel like part of the conversation and decision, to reduce </w:t>
      </w:r>
      <w:r w:rsidR="00F81506" w:rsidRPr="00DF5D16">
        <w:rPr>
          <w:rFonts w:ascii="Arial" w:hAnsi="Arial" w:cs="Arial"/>
          <w:sz w:val="24"/>
          <w:szCs w:val="24"/>
        </w:rPr>
        <w:t>resistance</w:t>
      </w:r>
      <w:r w:rsidR="009366ED" w:rsidRPr="00DF5D16">
        <w:rPr>
          <w:rFonts w:ascii="Arial" w:hAnsi="Arial" w:cs="Arial"/>
          <w:sz w:val="24"/>
          <w:szCs w:val="24"/>
        </w:rPr>
        <w:t xml:space="preserve"> to change for the innovations</w:t>
      </w:r>
      <w:r w:rsidR="00875051" w:rsidRPr="00DF5D16">
        <w:rPr>
          <w:rFonts w:ascii="Arial" w:hAnsi="Arial" w:cs="Arial"/>
          <w:sz w:val="24"/>
          <w:szCs w:val="24"/>
        </w:rPr>
        <w:t>. It is important to have both informal and formal discussion, as informal engagement may not always be translated to formal decision-making</w:t>
      </w:r>
      <w:r w:rsidR="00F81506" w:rsidRPr="00DF5D16">
        <w:rPr>
          <w:rFonts w:ascii="Arial" w:hAnsi="Arial" w:cs="Arial"/>
          <w:sz w:val="24"/>
          <w:szCs w:val="24"/>
        </w:rPr>
        <w:t>. Without seeing a visible impact from their decisions</w:t>
      </w:r>
      <w:r w:rsidR="003D4875" w:rsidRPr="00DF5D16">
        <w:rPr>
          <w:rFonts w:ascii="Arial" w:hAnsi="Arial" w:cs="Arial"/>
          <w:sz w:val="24"/>
          <w:szCs w:val="24"/>
        </w:rPr>
        <w:t xml:space="preserve"> and feeling valuable in discussions,</w:t>
      </w:r>
      <w:r w:rsidR="00F81506" w:rsidRPr="00DF5D16">
        <w:rPr>
          <w:rFonts w:ascii="Arial" w:hAnsi="Arial" w:cs="Arial"/>
          <w:sz w:val="24"/>
          <w:szCs w:val="24"/>
        </w:rPr>
        <w:t xml:space="preserve"> s</w:t>
      </w:r>
      <w:r w:rsidR="00AD72A1" w:rsidRPr="00DF5D16">
        <w:rPr>
          <w:rFonts w:ascii="Arial" w:hAnsi="Arial" w:cs="Arial"/>
          <w:sz w:val="24"/>
          <w:szCs w:val="24"/>
        </w:rPr>
        <w:t>takeholder engagement risks being tokenistic, potentially fostering cynicism and further resistance</w:t>
      </w:r>
      <w:r w:rsidR="003D4875" w:rsidRPr="00DF5D1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"/>
          <w:id w:val="-1879309684"/>
          <w:placeholder>
            <w:docPart w:val="DefaultPlaceholder_-1854013440"/>
          </w:placeholder>
        </w:sdtPr>
        <w:sdtContent>
          <w:r w:rsidR="00947293" w:rsidRPr="00947293">
            <w:rPr>
              <w:rFonts w:ascii="Arial" w:hAnsi="Arial" w:cs="Arial"/>
              <w:color w:val="000000"/>
              <w:sz w:val="24"/>
              <w:szCs w:val="24"/>
            </w:rPr>
            <w:t>(Wilkinson et al., 2022)</w:t>
          </w:r>
        </w:sdtContent>
      </w:sdt>
      <w:r w:rsidR="00AB39F9" w:rsidRPr="00DF5D16">
        <w:rPr>
          <w:rFonts w:ascii="Arial" w:hAnsi="Arial" w:cs="Arial"/>
          <w:sz w:val="24"/>
          <w:szCs w:val="24"/>
        </w:rPr>
        <w:t xml:space="preserve">. </w:t>
      </w:r>
    </w:p>
    <w:p w14:paraId="5B3A7C8D" w14:textId="77777777" w:rsidR="00AB39F9" w:rsidRPr="00DF5D16" w:rsidRDefault="00AB39F9" w:rsidP="00947293">
      <w:pPr>
        <w:jc w:val="both"/>
        <w:rPr>
          <w:rFonts w:ascii="Arial" w:hAnsi="Arial" w:cs="Arial"/>
          <w:sz w:val="24"/>
          <w:szCs w:val="24"/>
        </w:rPr>
      </w:pPr>
    </w:p>
    <w:p w14:paraId="562632D7" w14:textId="39E4A4E7" w:rsidR="000C1480" w:rsidRPr="00DF5D16" w:rsidRDefault="000F6DD7" w:rsidP="00947293">
      <w:pPr>
        <w:jc w:val="both"/>
        <w:rPr>
          <w:rFonts w:ascii="Arial" w:hAnsi="Arial" w:cs="Arial"/>
          <w:b/>
          <w:bCs/>
          <w:sz w:val="24"/>
          <w:szCs w:val="24"/>
        </w:rPr>
      </w:pPr>
      <w:r w:rsidRPr="00DF5D16">
        <w:rPr>
          <w:rFonts w:ascii="Arial" w:hAnsi="Arial" w:cs="Arial"/>
          <w:b/>
          <w:bCs/>
          <w:sz w:val="24"/>
          <w:szCs w:val="24"/>
        </w:rPr>
        <w:t>Consensus, Groupthink and Power Dynamics in Interdisciplinary Working</w:t>
      </w:r>
    </w:p>
    <w:p w14:paraId="211BAC26" w14:textId="56700C78" w:rsidR="000F6DD7" w:rsidRPr="00DF5D16" w:rsidRDefault="003E6F17" w:rsidP="00947293">
      <w:pPr>
        <w:jc w:val="both"/>
        <w:rPr>
          <w:rFonts w:ascii="Arial" w:hAnsi="Arial" w:cs="Arial"/>
          <w:sz w:val="24"/>
          <w:szCs w:val="24"/>
        </w:rPr>
      </w:pPr>
      <w:r w:rsidRPr="00DF5D16">
        <w:rPr>
          <w:rFonts w:ascii="Arial" w:hAnsi="Arial" w:cs="Arial"/>
          <w:sz w:val="24"/>
          <w:szCs w:val="24"/>
        </w:rPr>
        <w:t>One of the most challenging aspects of interdisciplinary working is balanci</w:t>
      </w:r>
      <w:r w:rsidR="00201D94" w:rsidRPr="00DF5D16">
        <w:rPr>
          <w:rFonts w:ascii="Arial" w:hAnsi="Arial" w:cs="Arial"/>
          <w:sz w:val="24"/>
          <w:szCs w:val="24"/>
        </w:rPr>
        <w:t xml:space="preserve">ng the </w:t>
      </w:r>
      <w:r w:rsidR="007B5B51" w:rsidRPr="00DF5D16">
        <w:rPr>
          <w:rFonts w:ascii="Arial" w:hAnsi="Arial" w:cs="Arial"/>
          <w:sz w:val="24"/>
          <w:szCs w:val="24"/>
        </w:rPr>
        <w:t xml:space="preserve">pursuit of </w:t>
      </w:r>
      <w:r w:rsidR="00140460" w:rsidRPr="00DF5D16">
        <w:rPr>
          <w:rFonts w:ascii="Arial" w:hAnsi="Arial" w:cs="Arial"/>
          <w:sz w:val="24"/>
          <w:szCs w:val="24"/>
        </w:rPr>
        <w:t>consensus</w:t>
      </w:r>
      <w:r w:rsidR="007B5B51" w:rsidRPr="00DF5D16">
        <w:rPr>
          <w:rFonts w:ascii="Arial" w:hAnsi="Arial" w:cs="Arial"/>
          <w:sz w:val="24"/>
          <w:szCs w:val="24"/>
        </w:rPr>
        <w:t xml:space="preserve"> with the risk of groupthink. </w:t>
      </w:r>
      <w:r w:rsidR="0052458F" w:rsidRPr="00DF5D16">
        <w:rPr>
          <w:rFonts w:ascii="Arial" w:hAnsi="Arial" w:cs="Arial"/>
          <w:sz w:val="24"/>
          <w:szCs w:val="24"/>
        </w:rPr>
        <w:t xml:space="preserve">Reflecting honestly on meetings I have attended, including those </w:t>
      </w:r>
      <w:r w:rsidR="00140460" w:rsidRPr="00DF5D16">
        <w:rPr>
          <w:rFonts w:ascii="Arial" w:hAnsi="Arial" w:cs="Arial"/>
          <w:sz w:val="24"/>
          <w:szCs w:val="24"/>
        </w:rPr>
        <w:t xml:space="preserve">mentioned during my above reflections, I have </w:t>
      </w:r>
      <w:r w:rsidR="00140460" w:rsidRPr="00DF5D16">
        <w:rPr>
          <w:rFonts w:ascii="Arial" w:hAnsi="Arial" w:cs="Arial"/>
          <w:sz w:val="24"/>
          <w:szCs w:val="24"/>
        </w:rPr>
        <w:lastRenderedPageBreak/>
        <w:t>observed and been a part of</w:t>
      </w:r>
      <w:r w:rsidR="006549C7" w:rsidRPr="00DF5D16">
        <w:rPr>
          <w:rFonts w:ascii="Arial" w:hAnsi="Arial" w:cs="Arial"/>
          <w:sz w:val="24"/>
          <w:szCs w:val="24"/>
        </w:rPr>
        <w:t xml:space="preserve"> situations where apparent </w:t>
      </w:r>
      <w:r w:rsidR="00C3186C" w:rsidRPr="00DF5D16">
        <w:rPr>
          <w:rFonts w:ascii="Arial" w:hAnsi="Arial" w:cs="Arial"/>
          <w:sz w:val="24"/>
          <w:szCs w:val="24"/>
        </w:rPr>
        <w:t>agreement</w:t>
      </w:r>
      <w:r w:rsidR="00466E61" w:rsidRPr="00DF5D16">
        <w:rPr>
          <w:rFonts w:ascii="Arial" w:hAnsi="Arial" w:cs="Arial"/>
          <w:sz w:val="24"/>
          <w:szCs w:val="24"/>
        </w:rPr>
        <w:t xml:space="preserve"> masked </w:t>
      </w:r>
      <w:r w:rsidR="00C3186C" w:rsidRPr="00DF5D16">
        <w:rPr>
          <w:rFonts w:ascii="Arial" w:hAnsi="Arial" w:cs="Arial"/>
          <w:sz w:val="24"/>
          <w:szCs w:val="24"/>
        </w:rPr>
        <w:t>unvoiced</w:t>
      </w:r>
      <w:r w:rsidR="00466E61" w:rsidRPr="00DF5D16">
        <w:rPr>
          <w:rFonts w:ascii="Arial" w:hAnsi="Arial" w:cs="Arial"/>
          <w:sz w:val="24"/>
          <w:szCs w:val="24"/>
        </w:rPr>
        <w:t xml:space="preserve"> concerns, often due to professional hierarchy and fear of appearing obstructive.</w:t>
      </w:r>
      <w:r w:rsidR="00E6677E">
        <w:rPr>
          <w:rFonts w:ascii="Arial" w:hAnsi="Arial" w:cs="Arial"/>
          <w:sz w:val="24"/>
          <w:szCs w:val="24"/>
        </w:rPr>
        <w:t xml:space="preserve"> Also, more experienced or assertive team members may inadvertently dominate discussions, shaping decisions without fully considering alternative perspectives. </w:t>
      </w:r>
      <w:r w:rsidR="00466E61" w:rsidRPr="00DF5D16">
        <w:rPr>
          <w:rFonts w:ascii="Arial" w:hAnsi="Arial" w:cs="Arial"/>
          <w:sz w:val="24"/>
          <w:szCs w:val="24"/>
        </w:rPr>
        <w:t xml:space="preserve"> </w:t>
      </w:r>
    </w:p>
    <w:p w14:paraId="5DD4ADCF" w14:textId="252A01C4" w:rsidR="003D03BC" w:rsidRPr="00DF5D16" w:rsidRDefault="003D03BC" w:rsidP="00947293">
      <w:pPr>
        <w:jc w:val="both"/>
        <w:rPr>
          <w:rFonts w:ascii="Arial" w:hAnsi="Arial" w:cs="Arial"/>
          <w:sz w:val="24"/>
          <w:szCs w:val="24"/>
        </w:rPr>
      </w:pPr>
      <w:r w:rsidRPr="00DF5D16">
        <w:rPr>
          <w:rFonts w:ascii="Arial" w:hAnsi="Arial" w:cs="Arial"/>
          <w:sz w:val="24"/>
          <w:szCs w:val="24"/>
        </w:rPr>
        <w:t xml:space="preserve">Groupthink </w:t>
      </w:r>
      <w:r w:rsidR="00923FFA" w:rsidRPr="00DF5D16">
        <w:rPr>
          <w:rFonts w:ascii="Arial" w:hAnsi="Arial" w:cs="Arial"/>
          <w:sz w:val="24"/>
          <w:szCs w:val="24"/>
        </w:rPr>
        <w:t xml:space="preserve">is risky in digital </w:t>
      </w:r>
      <w:r w:rsidR="00106016" w:rsidRPr="00DF5D16">
        <w:rPr>
          <w:rFonts w:ascii="Arial" w:hAnsi="Arial" w:cs="Arial"/>
          <w:sz w:val="24"/>
          <w:szCs w:val="24"/>
        </w:rPr>
        <w:t>transformation</w:t>
      </w:r>
      <w:r w:rsidR="00923FFA" w:rsidRPr="00DF5D16">
        <w:rPr>
          <w:rFonts w:ascii="Arial" w:hAnsi="Arial" w:cs="Arial"/>
          <w:sz w:val="24"/>
          <w:szCs w:val="24"/>
        </w:rPr>
        <w:t xml:space="preserve"> initiatives, where optimism about innovation may suppress critical discussions and critiques. </w:t>
      </w:r>
      <w:r w:rsidR="00106016" w:rsidRPr="00DF5D16">
        <w:rPr>
          <w:rFonts w:ascii="Arial" w:hAnsi="Arial" w:cs="Arial"/>
          <w:sz w:val="24"/>
          <w:szCs w:val="24"/>
        </w:rPr>
        <w:t xml:space="preserve">This can be especially problematic in large organisations, such as ABUHB. </w:t>
      </w:r>
      <w:r w:rsidR="00960876" w:rsidRPr="00DF5D16">
        <w:rPr>
          <w:rFonts w:ascii="Arial" w:hAnsi="Arial" w:cs="Arial"/>
          <w:sz w:val="24"/>
          <w:szCs w:val="24"/>
        </w:rPr>
        <w:t xml:space="preserve">As discussed by </w:t>
      </w:r>
      <w:sdt>
        <w:sdtPr>
          <w:rPr>
            <w:rFonts w:ascii="Arial" w:hAnsi="Arial" w:cs="Arial"/>
            <w:color w:val="000000"/>
            <w:sz w:val="24"/>
            <w:szCs w:val="24"/>
          </w:rPr>
          <w:tag w:val="MENDELEY_CITATION_v3_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"/>
          <w:id w:val="-1060791329"/>
          <w:placeholder>
            <w:docPart w:val="DefaultPlaceholder_-1854013440"/>
          </w:placeholder>
        </w:sdtPr>
        <w:sdtContent>
          <w:r w:rsidR="00947293" w:rsidRPr="00947293">
            <w:rPr>
              <w:rFonts w:ascii="Arial" w:hAnsi="Arial" w:cs="Arial"/>
              <w:color w:val="000000"/>
              <w:sz w:val="24"/>
              <w:szCs w:val="24"/>
            </w:rPr>
            <w:t>Zheng et al. (2025)</w:t>
          </w:r>
        </w:sdtContent>
      </w:sdt>
      <w:r w:rsidR="00947293">
        <w:rPr>
          <w:rFonts w:ascii="Arial" w:hAnsi="Arial" w:cs="Arial"/>
          <w:color w:val="000000"/>
          <w:sz w:val="24"/>
          <w:szCs w:val="24"/>
        </w:rPr>
        <w:t xml:space="preserve"> </w:t>
      </w:r>
      <w:r w:rsidR="00960876" w:rsidRPr="00DF5D16">
        <w:rPr>
          <w:rFonts w:ascii="Arial" w:hAnsi="Arial" w:cs="Arial"/>
          <w:sz w:val="24"/>
          <w:szCs w:val="24"/>
        </w:rPr>
        <w:t>groupthink can cause long</w:t>
      </w:r>
      <w:r w:rsidR="004A234B" w:rsidRPr="00DF5D16">
        <w:rPr>
          <w:rFonts w:ascii="Arial" w:hAnsi="Arial" w:cs="Arial"/>
          <w:sz w:val="24"/>
          <w:szCs w:val="24"/>
        </w:rPr>
        <w:t>-</w:t>
      </w:r>
      <w:r w:rsidR="00960876" w:rsidRPr="00DF5D16">
        <w:rPr>
          <w:rFonts w:ascii="Arial" w:hAnsi="Arial" w:cs="Arial"/>
          <w:sz w:val="24"/>
          <w:szCs w:val="24"/>
        </w:rPr>
        <w:t>term flawed decision making</w:t>
      </w:r>
      <w:r w:rsidR="004A234B" w:rsidRPr="00DF5D16">
        <w:rPr>
          <w:rFonts w:ascii="Arial" w:hAnsi="Arial" w:cs="Arial"/>
          <w:sz w:val="24"/>
          <w:szCs w:val="24"/>
        </w:rPr>
        <w:t xml:space="preserve">, leading to long-term consequences for patient safety, workforce and service sustainability. </w:t>
      </w:r>
    </w:p>
    <w:p w14:paraId="44B7F3DD" w14:textId="4D64B02C" w:rsidR="004A234B" w:rsidRPr="00DF5D16" w:rsidRDefault="00D92823" w:rsidP="00947293">
      <w:pPr>
        <w:jc w:val="both"/>
        <w:rPr>
          <w:rFonts w:ascii="Arial" w:hAnsi="Arial" w:cs="Arial"/>
          <w:sz w:val="24"/>
          <w:szCs w:val="24"/>
        </w:rPr>
      </w:pPr>
      <w:r w:rsidRPr="00DF5D16">
        <w:rPr>
          <w:rFonts w:ascii="Arial" w:hAnsi="Arial" w:cs="Arial"/>
          <w:sz w:val="24"/>
          <w:szCs w:val="24"/>
        </w:rPr>
        <w:t xml:space="preserve">To mitigate this, </w:t>
      </w:r>
      <w:r w:rsidR="00984F08" w:rsidRPr="00DF5D16">
        <w:rPr>
          <w:rFonts w:ascii="Arial" w:hAnsi="Arial" w:cs="Arial"/>
          <w:sz w:val="24"/>
          <w:szCs w:val="24"/>
        </w:rPr>
        <w:t xml:space="preserve">I believe that leaders of digital change </w:t>
      </w:r>
      <w:r w:rsidR="005F4462" w:rsidRPr="00DF5D16">
        <w:rPr>
          <w:rFonts w:ascii="Arial" w:hAnsi="Arial" w:cs="Arial"/>
          <w:sz w:val="24"/>
          <w:szCs w:val="24"/>
        </w:rPr>
        <w:t>must encourage challenging thoughts and ideas</w:t>
      </w:r>
      <w:r w:rsidR="00773B37" w:rsidRPr="00DF5D16">
        <w:rPr>
          <w:rFonts w:ascii="Arial" w:hAnsi="Arial" w:cs="Arial"/>
          <w:sz w:val="24"/>
          <w:szCs w:val="24"/>
        </w:rPr>
        <w:t xml:space="preserve">. From my experience, I believe structured opportunities for all participants to speak, </w:t>
      </w:r>
      <w:r w:rsidR="00E6677E">
        <w:rPr>
          <w:rFonts w:ascii="Arial" w:hAnsi="Arial" w:cs="Arial"/>
          <w:sz w:val="24"/>
          <w:szCs w:val="24"/>
        </w:rPr>
        <w:t xml:space="preserve">inviting input from quieter individuals, </w:t>
      </w:r>
      <w:r w:rsidR="00773B37" w:rsidRPr="00DF5D16">
        <w:rPr>
          <w:rFonts w:ascii="Arial" w:hAnsi="Arial" w:cs="Arial"/>
          <w:sz w:val="24"/>
          <w:szCs w:val="24"/>
        </w:rPr>
        <w:t xml:space="preserve">offering </w:t>
      </w:r>
      <w:r w:rsidR="00595CC0" w:rsidRPr="00DF5D16">
        <w:rPr>
          <w:rFonts w:ascii="Arial" w:hAnsi="Arial" w:cs="Arial"/>
          <w:sz w:val="24"/>
          <w:szCs w:val="24"/>
        </w:rPr>
        <w:t xml:space="preserve">anonymised feedback for those less confident </w:t>
      </w:r>
      <w:r w:rsidR="00B53FA5" w:rsidRPr="00DF5D16">
        <w:rPr>
          <w:rFonts w:ascii="Arial" w:hAnsi="Arial" w:cs="Arial"/>
          <w:sz w:val="24"/>
          <w:szCs w:val="24"/>
        </w:rPr>
        <w:t>and potentially utilising neutral facilitators may be effective strategies</w:t>
      </w:r>
      <w:r w:rsidR="009C0300" w:rsidRPr="00DF5D16">
        <w:rPr>
          <w:rFonts w:ascii="Arial" w:hAnsi="Arial" w:cs="Arial"/>
          <w:sz w:val="24"/>
          <w:szCs w:val="24"/>
        </w:rPr>
        <w:t>. Leaders must model openness to challenge and change</w:t>
      </w:r>
      <w:r w:rsidR="006B127C" w:rsidRPr="00DF5D16">
        <w:rPr>
          <w:rFonts w:ascii="Arial" w:hAnsi="Arial" w:cs="Arial"/>
          <w:sz w:val="24"/>
          <w:szCs w:val="24"/>
        </w:rPr>
        <w:t xml:space="preserve">. When management </w:t>
      </w:r>
      <w:r w:rsidR="00F3085A" w:rsidRPr="00DF5D16">
        <w:rPr>
          <w:rFonts w:ascii="Arial" w:hAnsi="Arial" w:cs="Arial"/>
          <w:sz w:val="24"/>
          <w:szCs w:val="24"/>
        </w:rPr>
        <w:t>visibly welcome critical input, it highlights that diverse perspectives are valued</w:t>
      </w:r>
      <w:r w:rsidR="00CC5B33" w:rsidRPr="00DF5D16">
        <w:rPr>
          <w:rFonts w:ascii="Arial" w:hAnsi="Arial" w:cs="Arial"/>
          <w:sz w:val="24"/>
          <w:szCs w:val="24"/>
        </w:rPr>
        <w:t xml:space="preserve"> rather than discouraged, improving psychological safety </w:t>
      </w:r>
      <w:sdt>
        <w:sdtPr>
          <w:rPr>
            <w:rFonts w:ascii="Arial" w:hAnsi="Arial" w:cs="Arial"/>
            <w:color w:val="000000"/>
            <w:sz w:val="24"/>
            <w:szCs w:val="24"/>
          </w:rPr>
          <w:tag w:val="MENDELEY_CITATION_v3_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"/>
          <w:id w:val="279689733"/>
          <w:placeholder>
            <w:docPart w:val="DefaultPlaceholder_-1854013440"/>
          </w:placeholder>
        </w:sdtPr>
        <w:sdtContent>
          <w:r w:rsidR="00947293" w:rsidRPr="00947293">
            <w:rPr>
              <w:rFonts w:ascii="Arial" w:eastAsia="Times New Roman" w:hAnsi="Arial" w:cs="Arial"/>
              <w:color w:val="000000"/>
              <w:sz w:val="24"/>
            </w:rPr>
            <w:t>(</w:t>
          </w:r>
          <w:proofErr w:type="spellStart"/>
          <w:r w:rsidR="00947293" w:rsidRPr="00947293">
            <w:rPr>
              <w:rFonts w:ascii="Arial" w:eastAsia="Times New Roman" w:hAnsi="Arial" w:cs="Arial"/>
              <w:color w:val="000000"/>
              <w:sz w:val="24"/>
            </w:rPr>
            <w:t>Ghorbankhani</w:t>
          </w:r>
          <w:proofErr w:type="spellEnd"/>
          <w:r w:rsidR="00947293" w:rsidRPr="00947293">
            <w:rPr>
              <w:rFonts w:ascii="Arial" w:eastAsia="Times New Roman" w:hAnsi="Arial" w:cs="Arial"/>
              <w:color w:val="000000"/>
              <w:sz w:val="24"/>
            </w:rPr>
            <w:t xml:space="preserve"> &amp; Jones, 2022)</w:t>
          </w:r>
        </w:sdtContent>
      </w:sdt>
      <w:r w:rsidR="00947293">
        <w:rPr>
          <w:rFonts w:ascii="Arial" w:hAnsi="Arial" w:cs="Arial"/>
          <w:color w:val="000000"/>
          <w:sz w:val="24"/>
          <w:szCs w:val="24"/>
        </w:rPr>
        <w:t xml:space="preserve">. </w:t>
      </w:r>
    </w:p>
    <w:p w14:paraId="033D4C9D" w14:textId="77777777" w:rsidR="00273D69" w:rsidRPr="00DF5D16" w:rsidRDefault="00273D69" w:rsidP="00947293">
      <w:pPr>
        <w:jc w:val="both"/>
        <w:rPr>
          <w:rFonts w:ascii="Arial" w:hAnsi="Arial" w:cs="Arial"/>
          <w:sz w:val="24"/>
          <w:szCs w:val="24"/>
        </w:rPr>
      </w:pPr>
    </w:p>
    <w:p w14:paraId="1E2210BB" w14:textId="38DA31D0" w:rsidR="00CC5B33" w:rsidRPr="00DF5D16" w:rsidRDefault="00CC5B33" w:rsidP="00947293">
      <w:pPr>
        <w:jc w:val="both"/>
        <w:rPr>
          <w:rFonts w:ascii="Arial" w:hAnsi="Arial" w:cs="Arial"/>
          <w:b/>
          <w:bCs/>
          <w:noProof/>
          <w:sz w:val="24"/>
          <w:szCs w:val="24"/>
        </w:rPr>
      </w:pPr>
      <w:r w:rsidRPr="00DF5D16">
        <w:rPr>
          <w:rFonts w:ascii="Arial" w:hAnsi="Arial" w:cs="Arial"/>
          <w:b/>
          <w:bCs/>
          <w:noProof/>
          <w:sz w:val="24"/>
          <w:szCs w:val="24"/>
        </w:rPr>
        <w:t>Conclusion</w:t>
      </w:r>
    </w:p>
    <w:p w14:paraId="4972A0D1" w14:textId="75F1D5D5" w:rsidR="00CC5B33" w:rsidRPr="00DF5D16" w:rsidRDefault="00CC5B33" w:rsidP="00947293">
      <w:pPr>
        <w:jc w:val="both"/>
        <w:rPr>
          <w:rFonts w:ascii="Arial" w:hAnsi="Arial" w:cs="Arial"/>
          <w:noProof/>
          <w:sz w:val="24"/>
          <w:szCs w:val="24"/>
        </w:rPr>
      </w:pPr>
      <w:r w:rsidRPr="00DF5D16">
        <w:rPr>
          <w:rFonts w:ascii="Arial" w:hAnsi="Arial" w:cs="Arial"/>
          <w:noProof/>
          <w:sz w:val="24"/>
          <w:szCs w:val="24"/>
        </w:rPr>
        <w:t xml:space="preserve">In conclusion, reflecting on the implementation of ABUHB’s digital strategy has reinforced that digital change </w:t>
      </w:r>
      <w:r w:rsidR="00416884" w:rsidRPr="00DF5D16">
        <w:rPr>
          <w:rFonts w:ascii="Arial" w:hAnsi="Arial" w:cs="Arial"/>
          <w:noProof/>
          <w:sz w:val="24"/>
          <w:szCs w:val="24"/>
        </w:rPr>
        <w:t xml:space="preserve">should be a people-centered process. Successful implmentation includes meaningful multi- and inter-discliplanry working </w:t>
      </w:r>
      <w:r w:rsidR="006A459F" w:rsidRPr="00DF5D16">
        <w:rPr>
          <w:rFonts w:ascii="Arial" w:hAnsi="Arial" w:cs="Arial"/>
          <w:noProof/>
          <w:sz w:val="24"/>
          <w:szCs w:val="24"/>
        </w:rPr>
        <w:t>with inclusive staekholder engagement, with set, clear communcation and feedback pathways.</w:t>
      </w:r>
    </w:p>
    <w:p w14:paraId="333E9B7C" w14:textId="29DDD3E9" w:rsidR="006A459F" w:rsidRPr="00DF5D16" w:rsidRDefault="006A459F" w:rsidP="00947293">
      <w:pPr>
        <w:jc w:val="both"/>
        <w:rPr>
          <w:rFonts w:ascii="Arial" w:hAnsi="Arial" w:cs="Arial"/>
          <w:noProof/>
          <w:sz w:val="24"/>
          <w:szCs w:val="24"/>
        </w:rPr>
      </w:pPr>
      <w:r w:rsidRPr="00DF5D16">
        <w:rPr>
          <w:rFonts w:ascii="Arial" w:hAnsi="Arial" w:cs="Arial"/>
          <w:noProof/>
          <w:sz w:val="24"/>
          <w:szCs w:val="24"/>
        </w:rPr>
        <w:t xml:space="preserve">My experience as a healthcare professional within ABUHB suggests that </w:t>
      </w:r>
      <w:r w:rsidR="006D1569" w:rsidRPr="00DF5D16">
        <w:rPr>
          <w:rFonts w:ascii="Arial" w:hAnsi="Arial" w:cs="Arial"/>
          <w:noProof/>
          <w:sz w:val="24"/>
          <w:szCs w:val="24"/>
        </w:rPr>
        <w:t xml:space="preserve">true staff engagement occurs when people feel psychologically safe, not just </w:t>
      </w:r>
      <w:r w:rsidR="00132E63" w:rsidRPr="00DF5D16">
        <w:rPr>
          <w:rFonts w:ascii="Arial" w:hAnsi="Arial" w:cs="Arial"/>
          <w:noProof/>
          <w:sz w:val="24"/>
          <w:szCs w:val="24"/>
        </w:rPr>
        <w:t>with formal governance and accountability structures. It is vital to achieve consensus, rather than groupthink</w:t>
      </w:r>
      <w:r w:rsidR="00AE46C2" w:rsidRPr="00DF5D16">
        <w:rPr>
          <w:rFonts w:ascii="Arial" w:hAnsi="Arial" w:cs="Arial"/>
          <w:noProof/>
          <w:sz w:val="24"/>
          <w:szCs w:val="24"/>
        </w:rPr>
        <w:t xml:space="preserve">, for long-term successful implementation and this requires intentional facilitation with inclusive leadership and steakholder </w:t>
      </w:r>
      <w:r w:rsidR="00202FE8" w:rsidRPr="00DF5D16">
        <w:rPr>
          <w:rFonts w:ascii="Arial" w:hAnsi="Arial" w:cs="Arial"/>
          <w:noProof/>
          <w:sz w:val="24"/>
          <w:szCs w:val="24"/>
        </w:rPr>
        <w:t xml:space="preserve">willingness to challenge narratives. </w:t>
      </w:r>
    </w:p>
    <w:p w14:paraId="222D351C" w14:textId="09B9BDC0" w:rsidR="00202FE8" w:rsidRPr="00DF5D16" w:rsidRDefault="00202FE8" w:rsidP="00947293">
      <w:pPr>
        <w:jc w:val="both"/>
        <w:rPr>
          <w:rFonts w:ascii="Arial" w:hAnsi="Arial" w:cs="Arial"/>
          <w:noProof/>
          <w:sz w:val="24"/>
          <w:szCs w:val="24"/>
        </w:rPr>
      </w:pPr>
      <w:r w:rsidRPr="00DF5D16">
        <w:rPr>
          <w:rFonts w:ascii="Arial" w:hAnsi="Arial" w:cs="Arial"/>
          <w:noProof/>
          <w:sz w:val="24"/>
          <w:szCs w:val="24"/>
        </w:rPr>
        <w:t>Finally, for ABUHB’s digital strategy</w:t>
      </w:r>
      <w:r w:rsidR="00D12802" w:rsidRPr="00DF5D16">
        <w:rPr>
          <w:rFonts w:ascii="Arial" w:hAnsi="Arial" w:cs="Arial"/>
          <w:noProof/>
          <w:sz w:val="24"/>
          <w:szCs w:val="24"/>
        </w:rPr>
        <w:t xml:space="preserve"> to become implemented and not just an aspiration, more attention needs to be given to collaberative working across different professioanl boundaries</w:t>
      </w:r>
      <w:r w:rsidR="00612C03" w:rsidRPr="00DF5D16">
        <w:rPr>
          <w:rFonts w:ascii="Arial" w:hAnsi="Arial" w:cs="Arial"/>
          <w:noProof/>
          <w:sz w:val="24"/>
          <w:szCs w:val="24"/>
        </w:rPr>
        <w:t xml:space="preserve">. By imbedding this inclusive engagement </w:t>
      </w:r>
      <w:r w:rsidR="00F56AAA" w:rsidRPr="00DF5D16">
        <w:rPr>
          <w:rFonts w:ascii="Arial" w:hAnsi="Arial" w:cs="Arial"/>
          <w:noProof/>
          <w:sz w:val="24"/>
          <w:szCs w:val="24"/>
        </w:rPr>
        <w:t>and reflective practice, digital transf</w:t>
      </w:r>
      <w:r w:rsidR="00E6677E">
        <w:rPr>
          <w:rFonts w:ascii="Arial" w:hAnsi="Arial" w:cs="Arial"/>
          <w:noProof/>
          <w:sz w:val="24"/>
          <w:szCs w:val="24"/>
        </w:rPr>
        <w:t xml:space="preserve">ormation </w:t>
      </w:r>
      <w:r w:rsidR="00F56AAA" w:rsidRPr="00DF5D16">
        <w:rPr>
          <w:rFonts w:ascii="Arial" w:hAnsi="Arial" w:cs="Arial"/>
          <w:noProof/>
          <w:sz w:val="24"/>
          <w:szCs w:val="24"/>
        </w:rPr>
        <w:t xml:space="preserve">has the potential to deliver sustainable improvements in patient care. </w:t>
      </w:r>
    </w:p>
    <w:p w14:paraId="054B821C" w14:textId="73A8CCA7" w:rsidR="0067172E" w:rsidRDefault="0067172E" w:rsidP="006A7C36">
      <w:pPr>
        <w:rPr>
          <w:rFonts w:ascii="Arial" w:hAnsi="Arial" w:cs="Arial"/>
          <w:color w:val="FF0000"/>
          <w:sz w:val="24"/>
          <w:szCs w:val="24"/>
        </w:rPr>
      </w:pPr>
    </w:p>
    <w:p w14:paraId="6D2DD275" w14:textId="5F329E5A" w:rsidR="00947293" w:rsidRDefault="00947293" w:rsidP="006A7C36">
      <w:pPr>
        <w:rPr>
          <w:rFonts w:ascii="Arial" w:hAnsi="Arial" w:cs="Arial"/>
          <w:b/>
          <w:bCs/>
          <w:sz w:val="24"/>
          <w:szCs w:val="24"/>
        </w:rPr>
      </w:pPr>
      <w:r w:rsidRPr="00947293">
        <w:rPr>
          <w:rFonts w:ascii="Arial" w:hAnsi="Arial" w:cs="Arial"/>
          <w:b/>
          <w:bCs/>
          <w:sz w:val="24"/>
          <w:szCs w:val="24"/>
        </w:rPr>
        <w:t>References</w:t>
      </w:r>
    </w:p>
    <w:sdt>
      <w:sdtPr>
        <w:rPr>
          <w:rFonts w:ascii="Arial" w:hAnsi="Arial" w:cs="Arial"/>
          <w:b/>
          <w:bCs/>
          <w:color w:val="000000"/>
          <w:sz w:val="24"/>
          <w:szCs w:val="24"/>
        </w:rPr>
        <w:tag w:val="MENDELEY_BIBLIOGRAPHY"/>
        <w:id w:val="2142370779"/>
        <w:placeholder>
          <w:docPart w:val="DefaultPlaceholder_-1854013440"/>
        </w:placeholder>
      </w:sdtPr>
      <w:sdtEndPr>
        <w:rPr>
          <w:b w:val="0"/>
        </w:rPr>
      </w:sdtEndPr>
      <w:sdtContent>
        <w:p w14:paraId="73B6CA5A" w14:textId="77777777" w:rsidR="00947293" w:rsidRPr="00947293" w:rsidRDefault="00947293">
          <w:pPr>
            <w:autoSpaceDE w:val="0"/>
            <w:autoSpaceDN w:val="0"/>
            <w:ind w:hanging="480"/>
            <w:divId w:val="1877347479"/>
            <w:rPr>
              <w:rFonts w:ascii="Arial" w:eastAsia="Times New Roman" w:hAnsi="Arial" w:cs="Arial"/>
              <w:bCs/>
              <w:color w:val="000000"/>
              <w:sz w:val="24"/>
              <w:szCs w:val="24"/>
            </w:rPr>
          </w:pPr>
          <w:proofErr w:type="spellStart"/>
          <w:r w:rsidRPr="00947293">
            <w:rPr>
              <w:rFonts w:ascii="Arial" w:eastAsia="Times New Roman" w:hAnsi="Arial" w:cs="Arial"/>
              <w:bCs/>
              <w:color w:val="000000"/>
              <w:sz w:val="24"/>
            </w:rPr>
            <w:t>Ghorbankhani</w:t>
          </w:r>
          <w:proofErr w:type="spellEnd"/>
          <w:r w:rsidRPr="00947293">
            <w:rPr>
              <w:rFonts w:ascii="Arial" w:eastAsia="Times New Roman" w:hAnsi="Arial" w:cs="Arial"/>
              <w:bCs/>
              <w:color w:val="000000"/>
              <w:sz w:val="24"/>
            </w:rPr>
            <w:t xml:space="preserve">, M., &amp; Jones, A. (2022). The importance of management’s response to staff speaking up in the healthcare setting. </w:t>
          </w:r>
          <w:r w:rsidRPr="00947293">
            <w:rPr>
              <w:rFonts w:ascii="Arial" w:eastAsia="Times New Roman" w:hAnsi="Arial" w:cs="Arial"/>
              <w:bCs/>
              <w:i/>
              <w:iCs/>
              <w:color w:val="000000"/>
              <w:sz w:val="24"/>
            </w:rPr>
            <w:t>British Journal of Health Care Management</w:t>
          </w:r>
          <w:r w:rsidRPr="00947293">
            <w:rPr>
              <w:rFonts w:ascii="Arial" w:eastAsia="Times New Roman" w:hAnsi="Arial" w:cs="Arial"/>
              <w:bCs/>
              <w:color w:val="000000"/>
              <w:sz w:val="24"/>
            </w:rPr>
            <w:t xml:space="preserve">, </w:t>
          </w:r>
          <w:r w:rsidRPr="00947293">
            <w:rPr>
              <w:rFonts w:ascii="Arial" w:eastAsia="Times New Roman" w:hAnsi="Arial" w:cs="Arial"/>
              <w:bCs/>
              <w:i/>
              <w:iCs/>
              <w:color w:val="000000"/>
              <w:sz w:val="24"/>
            </w:rPr>
            <w:t>28</w:t>
          </w:r>
          <w:r w:rsidRPr="00947293">
            <w:rPr>
              <w:rFonts w:ascii="Arial" w:eastAsia="Times New Roman" w:hAnsi="Arial" w:cs="Arial"/>
              <w:bCs/>
              <w:color w:val="000000"/>
              <w:sz w:val="24"/>
            </w:rPr>
            <w:t>(5), 108–111. https://doi.org/10.12968/BJHC.2021.0114;REQUESTEDJOURNAL:JOURNAL:BJHC</w:t>
          </w:r>
        </w:p>
        <w:p w14:paraId="467DCA5E" w14:textId="77777777" w:rsidR="00947293" w:rsidRPr="00947293" w:rsidRDefault="00947293">
          <w:pPr>
            <w:autoSpaceDE w:val="0"/>
            <w:autoSpaceDN w:val="0"/>
            <w:ind w:hanging="480"/>
            <w:divId w:val="923875964"/>
            <w:rPr>
              <w:rFonts w:ascii="Arial" w:eastAsia="Times New Roman" w:hAnsi="Arial" w:cs="Arial"/>
              <w:bCs/>
              <w:color w:val="000000"/>
              <w:sz w:val="24"/>
            </w:rPr>
          </w:pPr>
          <w:r w:rsidRPr="00947293">
            <w:rPr>
              <w:rFonts w:ascii="Arial" w:eastAsia="Times New Roman" w:hAnsi="Arial" w:cs="Arial"/>
              <w:bCs/>
              <w:color w:val="000000"/>
              <w:sz w:val="24"/>
            </w:rPr>
            <w:lastRenderedPageBreak/>
            <w:t xml:space="preserve">Litchfield, I., </w:t>
          </w:r>
          <w:proofErr w:type="spellStart"/>
          <w:r w:rsidRPr="00947293">
            <w:rPr>
              <w:rFonts w:ascii="Arial" w:eastAsia="Times New Roman" w:hAnsi="Arial" w:cs="Arial"/>
              <w:bCs/>
              <w:color w:val="000000"/>
              <w:sz w:val="24"/>
            </w:rPr>
            <w:t>Delanerolle</w:t>
          </w:r>
          <w:proofErr w:type="spellEnd"/>
          <w:r w:rsidRPr="00947293">
            <w:rPr>
              <w:rFonts w:ascii="Arial" w:eastAsia="Times New Roman" w:hAnsi="Arial" w:cs="Arial"/>
              <w:bCs/>
              <w:color w:val="000000"/>
              <w:sz w:val="24"/>
            </w:rPr>
            <w:t xml:space="preserve">, G., </w:t>
          </w:r>
          <w:proofErr w:type="spellStart"/>
          <w:r w:rsidRPr="00947293">
            <w:rPr>
              <w:rFonts w:ascii="Arial" w:eastAsia="Times New Roman" w:hAnsi="Arial" w:cs="Arial"/>
              <w:bCs/>
              <w:color w:val="000000"/>
              <w:sz w:val="24"/>
            </w:rPr>
            <w:t>Juffs</w:t>
          </w:r>
          <w:proofErr w:type="spellEnd"/>
          <w:r w:rsidRPr="00947293">
            <w:rPr>
              <w:rFonts w:ascii="Arial" w:eastAsia="Times New Roman" w:hAnsi="Arial" w:cs="Arial"/>
              <w:bCs/>
              <w:color w:val="000000"/>
              <w:sz w:val="24"/>
            </w:rPr>
            <w:t xml:space="preserve">, H., Bloxham, S., Dunning, S., &amp; Harper, L. (2025). Increasing the inclusivity of digital health co-production: an integrative review. </w:t>
          </w:r>
          <w:r w:rsidRPr="00947293">
            <w:rPr>
              <w:rFonts w:ascii="Arial" w:eastAsia="Times New Roman" w:hAnsi="Arial" w:cs="Arial"/>
              <w:bCs/>
              <w:i/>
              <w:iCs/>
              <w:color w:val="000000"/>
              <w:sz w:val="24"/>
            </w:rPr>
            <w:t>Frontiers in Digital Health</w:t>
          </w:r>
          <w:r w:rsidRPr="00947293">
            <w:rPr>
              <w:rFonts w:ascii="Arial" w:eastAsia="Times New Roman" w:hAnsi="Arial" w:cs="Arial"/>
              <w:bCs/>
              <w:color w:val="000000"/>
              <w:sz w:val="24"/>
            </w:rPr>
            <w:t xml:space="preserve">, </w:t>
          </w:r>
          <w:r w:rsidRPr="00947293">
            <w:rPr>
              <w:rFonts w:ascii="Arial" w:eastAsia="Times New Roman" w:hAnsi="Arial" w:cs="Arial"/>
              <w:bCs/>
              <w:i/>
              <w:iCs/>
              <w:color w:val="000000"/>
              <w:sz w:val="24"/>
            </w:rPr>
            <w:t>7</w:t>
          </w:r>
          <w:r w:rsidRPr="00947293">
            <w:rPr>
              <w:rFonts w:ascii="Arial" w:eastAsia="Times New Roman" w:hAnsi="Arial" w:cs="Arial"/>
              <w:bCs/>
              <w:color w:val="000000"/>
              <w:sz w:val="24"/>
            </w:rPr>
            <w:t>, 1636469. https://doi.org/10.3389/FDGTH.2025.1636469/FULL</w:t>
          </w:r>
        </w:p>
        <w:p w14:paraId="62C952BC" w14:textId="77777777" w:rsidR="00947293" w:rsidRPr="00947293" w:rsidRDefault="00947293">
          <w:pPr>
            <w:autoSpaceDE w:val="0"/>
            <w:autoSpaceDN w:val="0"/>
            <w:ind w:hanging="480"/>
            <w:divId w:val="2131168477"/>
            <w:rPr>
              <w:rFonts w:ascii="Arial" w:eastAsia="Times New Roman" w:hAnsi="Arial" w:cs="Arial"/>
              <w:bCs/>
              <w:color w:val="000000"/>
              <w:sz w:val="24"/>
            </w:rPr>
          </w:pPr>
          <w:proofErr w:type="spellStart"/>
          <w:r w:rsidRPr="00947293">
            <w:rPr>
              <w:rFonts w:ascii="Arial" w:eastAsia="Times New Roman" w:hAnsi="Arial" w:cs="Arial"/>
              <w:bCs/>
              <w:color w:val="000000"/>
              <w:sz w:val="24"/>
            </w:rPr>
            <w:t>Strueby</w:t>
          </w:r>
          <w:proofErr w:type="spellEnd"/>
          <w:r w:rsidRPr="00947293">
            <w:rPr>
              <w:rFonts w:ascii="Arial" w:eastAsia="Times New Roman" w:hAnsi="Arial" w:cs="Arial"/>
              <w:bCs/>
              <w:color w:val="000000"/>
              <w:sz w:val="24"/>
            </w:rPr>
            <w:t xml:space="preserve">, S. (2019). Are employees more likely to accept organizational change if psychological safety had been previously established. </w:t>
          </w:r>
          <w:r w:rsidRPr="00947293">
            <w:rPr>
              <w:rFonts w:ascii="Arial" w:eastAsia="Times New Roman" w:hAnsi="Arial" w:cs="Arial"/>
              <w:bCs/>
              <w:i/>
              <w:iCs/>
              <w:color w:val="000000"/>
              <w:sz w:val="24"/>
            </w:rPr>
            <w:t>Theses and Dissertations</w:t>
          </w:r>
          <w:r w:rsidRPr="00947293">
            <w:rPr>
              <w:rFonts w:ascii="Arial" w:eastAsia="Times New Roman" w:hAnsi="Arial" w:cs="Arial"/>
              <w:bCs/>
              <w:color w:val="000000"/>
              <w:sz w:val="24"/>
            </w:rPr>
            <w:t>. https://digitalcommons.pepperdine.edu/etd/1079</w:t>
          </w:r>
        </w:p>
        <w:p w14:paraId="6077E749" w14:textId="77777777" w:rsidR="00947293" w:rsidRPr="00947293" w:rsidRDefault="00947293">
          <w:pPr>
            <w:autoSpaceDE w:val="0"/>
            <w:autoSpaceDN w:val="0"/>
            <w:ind w:hanging="480"/>
            <w:divId w:val="1626157831"/>
            <w:rPr>
              <w:rFonts w:ascii="Arial" w:eastAsia="Times New Roman" w:hAnsi="Arial" w:cs="Arial"/>
              <w:bCs/>
              <w:color w:val="000000"/>
              <w:sz w:val="24"/>
            </w:rPr>
          </w:pPr>
          <w:proofErr w:type="spellStart"/>
          <w:r w:rsidRPr="00947293">
            <w:rPr>
              <w:rFonts w:ascii="Arial" w:eastAsia="Times New Roman" w:hAnsi="Arial" w:cs="Arial"/>
              <w:bCs/>
              <w:color w:val="000000"/>
              <w:sz w:val="24"/>
            </w:rPr>
            <w:t>Vandekerckhove</w:t>
          </w:r>
          <w:proofErr w:type="spellEnd"/>
          <w:r w:rsidRPr="00947293">
            <w:rPr>
              <w:rFonts w:ascii="Arial" w:eastAsia="Times New Roman" w:hAnsi="Arial" w:cs="Arial"/>
              <w:bCs/>
              <w:color w:val="000000"/>
              <w:sz w:val="24"/>
            </w:rPr>
            <w:t xml:space="preserve">, P., Timmermans, J., de Bont, A., &amp; de Mul, M. (2023). Diversity in Stakeholder Groups in Generative Co-design for Digital Health: Assembly Procedure and Preliminary Assessment. </w:t>
          </w:r>
          <w:r w:rsidRPr="00947293">
            <w:rPr>
              <w:rFonts w:ascii="Arial" w:eastAsia="Times New Roman" w:hAnsi="Arial" w:cs="Arial"/>
              <w:bCs/>
              <w:i/>
              <w:iCs/>
              <w:color w:val="000000"/>
              <w:sz w:val="24"/>
            </w:rPr>
            <w:t>JMIR Human Factors</w:t>
          </w:r>
          <w:r w:rsidRPr="00947293">
            <w:rPr>
              <w:rFonts w:ascii="Arial" w:eastAsia="Times New Roman" w:hAnsi="Arial" w:cs="Arial"/>
              <w:bCs/>
              <w:color w:val="000000"/>
              <w:sz w:val="24"/>
            </w:rPr>
            <w:t xml:space="preserve">, </w:t>
          </w:r>
          <w:r w:rsidRPr="00947293">
            <w:rPr>
              <w:rFonts w:ascii="Arial" w:eastAsia="Times New Roman" w:hAnsi="Arial" w:cs="Arial"/>
              <w:bCs/>
              <w:i/>
              <w:iCs/>
              <w:color w:val="000000"/>
              <w:sz w:val="24"/>
            </w:rPr>
            <w:t>10</w:t>
          </w:r>
          <w:r w:rsidRPr="00947293">
            <w:rPr>
              <w:rFonts w:ascii="Arial" w:eastAsia="Times New Roman" w:hAnsi="Arial" w:cs="Arial"/>
              <w:bCs/>
              <w:color w:val="000000"/>
              <w:sz w:val="24"/>
            </w:rPr>
            <w:t>, e38350. https://doi.org/10.2196/38350</w:t>
          </w:r>
        </w:p>
        <w:p w14:paraId="72F0D86C" w14:textId="77777777" w:rsidR="00947293" w:rsidRPr="00947293" w:rsidRDefault="00947293">
          <w:pPr>
            <w:autoSpaceDE w:val="0"/>
            <w:autoSpaceDN w:val="0"/>
            <w:ind w:hanging="480"/>
            <w:divId w:val="342561672"/>
            <w:rPr>
              <w:rFonts w:ascii="Arial" w:eastAsia="Times New Roman" w:hAnsi="Arial" w:cs="Arial"/>
              <w:bCs/>
              <w:color w:val="000000"/>
              <w:sz w:val="24"/>
            </w:rPr>
          </w:pPr>
          <w:r w:rsidRPr="00947293">
            <w:rPr>
              <w:rFonts w:ascii="Arial" w:eastAsia="Times New Roman" w:hAnsi="Arial" w:cs="Arial"/>
              <w:bCs/>
              <w:color w:val="000000"/>
              <w:sz w:val="24"/>
            </w:rPr>
            <w:t xml:space="preserve">Wilkinson, A., Slack, C., Thabethe, S., &amp; Salzwedel, J. (2022). “It’s Almost as if Stakeholder Engagement is the Annoying ‘Have-to-do’…”: Can Ethics Review Help Address the “3 Ts” of Tokenism, Toxicity, and Tailoring in Stakeholder Engagement? </w:t>
          </w:r>
          <w:r w:rsidRPr="00947293">
            <w:rPr>
              <w:rFonts w:ascii="Arial" w:eastAsia="Times New Roman" w:hAnsi="Arial" w:cs="Arial"/>
              <w:bCs/>
              <w:i/>
              <w:iCs/>
              <w:color w:val="000000"/>
              <w:sz w:val="24"/>
            </w:rPr>
            <w:t>Journal of Empirical Research on Human Research Ethics</w:t>
          </w:r>
          <w:r w:rsidRPr="00947293">
            <w:rPr>
              <w:rFonts w:ascii="Arial" w:eastAsia="Times New Roman" w:hAnsi="Arial" w:cs="Arial"/>
              <w:bCs/>
              <w:color w:val="000000"/>
              <w:sz w:val="24"/>
            </w:rPr>
            <w:t xml:space="preserve">, </w:t>
          </w:r>
          <w:r w:rsidRPr="00947293">
            <w:rPr>
              <w:rFonts w:ascii="Arial" w:eastAsia="Times New Roman" w:hAnsi="Arial" w:cs="Arial"/>
              <w:bCs/>
              <w:i/>
              <w:iCs/>
              <w:color w:val="000000"/>
              <w:sz w:val="24"/>
            </w:rPr>
            <w:t>17</w:t>
          </w:r>
          <w:r w:rsidRPr="00947293">
            <w:rPr>
              <w:rFonts w:ascii="Arial" w:eastAsia="Times New Roman" w:hAnsi="Arial" w:cs="Arial"/>
              <w:bCs/>
              <w:color w:val="000000"/>
              <w:sz w:val="24"/>
            </w:rPr>
            <w:t>(3), 292. https://doi.org/10.1177/15562646221078415</w:t>
          </w:r>
        </w:p>
        <w:p w14:paraId="1CAB9F92" w14:textId="77777777" w:rsidR="00947293" w:rsidRPr="00947293" w:rsidRDefault="00947293">
          <w:pPr>
            <w:autoSpaceDE w:val="0"/>
            <w:autoSpaceDN w:val="0"/>
            <w:ind w:hanging="480"/>
            <w:divId w:val="1187019504"/>
            <w:rPr>
              <w:rFonts w:ascii="Arial" w:eastAsia="Times New Roman" w:hAnsi="Arial" w:cs="Arial"/>
              <w:bCs/>
              <w:color w:val="000000"/>
              <w:sz w:val="24"/>
            </w:rPr>
          </w:pPr>
          <w:r w:rsidRPr="00947293">
            <w:rPr>
              <w:rFonts w:ascii="Arial" w:eastAsia="Times New Roman" w:hAnsi="Arial" w:cs="Arial"/>
              <w:bCs/>
              <w:color w:val="000000"/>
              <w:sz w:val="24"/>
            </w:rPr>
            <w:t xml:space="preserve">Zheng, H., Li, W., &amp; Wang, D. (2025). Expertise Diversity of Teams Predicts Originality and Long-Term Impact in Science and Technology. </w:t>
          </w:r>
          <w:r w:rsidRPr="00947293">
            <w:rPr>
              <w:rFonts w:ascii="Arial" w:eastAsia="Times New Roman" w:hAnsi="Arial" w:cs="Arial"/>
              <w:bCs/>
              <w:i/>
              <w:iCs/>
              <w:color w:val="000000"/>
              <w:sz w:val="24"/>
            </w:rPr>
            <w:t>SSRN Electronic Journal</w:t>
          </w:r>
          <w:r w:rsidRPr="00947293">
            <w:rPr>
              <w:rFonts w:ascii="Arial" w:eastAsia="Times New Roman" w:hAnsi="Arial" w:cs="Arial"/>
              <w:bCs/>
              <w:color w:val="000000"/>
              <w:sz w:val="24"/>
            </w:rPr>
            <w:t>. https://doi.org/10.2139/SSRN.4243054</w:t>
          </w:r>
        </w:p>
        <w:p w14:paraId="708DCDC9" w14:textId="7F157316" w:rsidR="00947293" w:rsidRDefault="00947293" w:rsidP="006A7C36">
          <w:pPr>
            <w:rPr>
              <w:rFonts w:ascii="Arial" w:hAnsi="Arial" w:cs="Arial"/>
              <w:bCs/>
              <w:color w:val="000000"/>
              <w:sz w:val="24"/>
              <w:szCs w:val="24"/>
            </w:rPr>
          </w:pPr>
          <w:r w:rsidRPr="00947293">
            <w:rPr>
              <w:rFonts w:ascii="Arial" w:eastAsia="Times New Roman" w:hAnsi="Arial" w:cs="Arial"/>
              <w:bCs/>
              <w:color w:val="000000"/>
              <w:sz w:val="24"/>
            </w:rPr>
            <w:t> </w:t>
          </w:r>
        </w:p>
      </w:sdtContent>
    </w:sdt>
    <w:p w14:paraId="52001543" w14:textId="77777777" w:rsidR="00782863" w:rsidRPr="00241CA9" w:rsidRDefault="00782863" w:rsidP="00782863">
      <w:pPr>
        <w:rPr>
          <w:sz w:val="24"/>
          <w:szCs w:val="24"/>
        </w:rPr>
      </w:pPr>
      <w:r w:rsidRPr="00241CA9">
        <w:rPr>
          <w:rFonts w:ascii="Arial" w:hAnsi="Arial" w:cs="Arial"/>
          <w:sz w:val="24"/>
          <w:szCs w:val="24"/>
        </w:rPr>
        <w:t>I confirm this essay is my own original work and does not include text created by a generative artificial intelligence tool</w:t>
      </w:r>
      <w:r>
        <w:rPr>
          <w:rFonts w:ascii="Arial" w:hAnsi="Arial" w:cs="Arial"/>
          <w:sz w:val="24"/>
          <w:szCs w:val="24"/>
        </w:rPr>
        <w:t>.</w:t>
      </w:r>
    </w:p>
    <w:p w14:paraId="52443232" w14:textId="77777777" w:rsidR="00782863" w:rsidRPr="00947293" w:rsidRDefault="00782863" w:rsidP="006A7C36">
      <w:pPr>
        <w:rPr>
          <w:rFonts w:ascii="Arial" w:hAnsi="Arial" w:cs="Arial"/>
          <w:bCs/>
          <w:sz w:val="24"/>
          <w:szCs w:val="24"/>
        </w:rPr>
      </w:pPr>
    </w:p>
    <w:sectPr w:rsidR="00782863" w:rsidRPr="00947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C36"/>
    <w:rsid w:val="000809AB"/>
    <w:rsid w:val="000C1480"/>
    <w:rsid w:val="000F6DD7"/>
    <w:rsid w:val="00106016"/>
    <w:rsid w:val="001237CF"/>
    <w:rsid w:val="00132E63"/>
    <w:rsid w:val="00140460"/>
    <w:rsid w:val="001667C8"/>
    <w:rsid w:val="0017283F"/>
    <w:rsid w:val="001D76EB"/>
    <w:rsid w:val="00201D94"/>
    <w:rsid w:val="00202FE8"/>
    <w:rsid w:val="0020586C"/>
    <w:rsid w:val="00270E15"/>
    <w:rsid w:val="00273D69"/>
    <w:rsid w:val="002C7059"/>
    <w:rsid w:val="00312954"/>
    <w:rsid w:val="003214F1"/>
    <w:rsid w:val="00336EFF"/>
    <w:rsid w:val="00367CA4"/>
    <w:rsid w:val="003A17D3"/>
    <w:rsid w:val="003B11C5"/>
    <w:rsid w:val="003D03BC"/>
    <w:rsid w:val="003D4875"/>
    <w:rsid w:val="003E6F17"/>
    <w:rsid w:val="003F6412"/>
    <w:rsid w:val="00416884"/>
    <w:rsid w:val="00466E61"/>
    <w:rsid w:val="00491365"/>
    <w:rsid w:val="004A234B"/>
    <w:rsid w:val="0052458F"/>
    <w:rsid w:val="0054671B"/>
    <w:rsid w:val="00595CC0"/>
    <w:rsid w:val="005A3CFA"/>
    <w:rsid w:val="005E28E6"/>
    <w:rsid w:val="005F4462"/>
    <w:rsid w:val="00610483"/>
    <w:rsid w:val="00612C03"/>
    <w:rsid w:val="00651750"/>
    <w:rsid w:val="006549C7"/>
    <w:rsid w:val="0067172E"/>
    <w:rsid w:val="00675D28"/>
    <w:rsid w:val="00676B27"/>
    <w:rsid w:val="00685AAF"/>
    <w:rsid w:val="006A459F"/>
    <w:rsid w:val="006A7C36"/>
    <w:rsid w:val="006B127C"/>
    <w:rsid w:val="006D1569"/>
    <w:rsid w:val="0076327B"/>
    <w:rsid w:val="007735E3"/>
    <w:rsid w:val="00773B37"/>
    <w:rsid w:val="00782863"/>
    <w:rsid w:val="007B5B51"/>
    <w:rsid w:val="007C1CF0"/>
    <w:rsid w:val="00813443"/>
    <w:rsid w:val="00875051"/>
    <w:rsid w:val="00893EF4"/>
    <w:rsid w:val="008B3373"/>
    <w:rsid w:val="009049D1"/>
    <w:rsid w:val="00923FFA"/>
    <w:rsid w:val="009366ED"/>
    <w:rsid w:val="00947293"/>
    <w:rsid w:val="00960876"/>
    <w:rsid w:val="00984F08"/>
    <w:rsid w:val="00995486"/>
    <w:rsid w:val="009B1B0C"/>
    <w:rsid w:val="009C0300"/>
    <w:rsid w:val="00A827C0"/>
    <w:rsid w:val="00AA02F8"/>
    <w:rsid w:val="00AB39F9"/>
    <w:rsid w:val="00AD72A1"/>
    <w:rsid w:val="00AE46C2"/>
    <w:rsid w:val="00B51157"/>
    <w:rsid w:val="00B53FA5"/>
    <w:rsid w:val="00B730EC"/>
    <w:rsid w:val="00B75646"/>
    <w:rsid w:val="00BF74FE"/>
    <w:rsid w:val="00C3186C"/>
    <w:rsid w:val="00C80DD0"/>
    <w:rsid w:val="00C847EE"/>
    <w:rsid w:val="00CC5B33"/>
    <w:rsid w:val="00CE42B8"/>
    <w:rsid w:val="00D12802"/>
    <w:rsid w:val="00D92823"/>
    <w:rsid w:val="00DB099C"/>
    <w:rsid w:val="00DC08D1"/>
    <w:rsid w:val="00DF5D16"/>
    <w:rsid w:val="00E176FB"/>
    <w:rsid w:val="00E6677E"/>
    <w:rsid w:val="00E842A9"/>
    <w:rsid w:val="00EF2022"/>
    <w:rsid w:val="00F3085A"/>
    <w:rsid w:val="00F56AAA"/>
    <w:rsid w:val="00F81506"/>
    <w:rsid w:val="00FC0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FBF95"/>
  <w15:chartTrackingRefBased/>
  <w15:docId w15:val="{DC31B4E6-A664-4301-B67C-81B1A375E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3EF4"/>
    <w:rPr>
      <w:color w:val="0000FF"/>
      <w:u w:val="single"/>
    </w:rPr>
  </w:style>
  <w:style w:type="table" w:styleId="ListTable7Colorful-Accent3">
    <w:name w:val="List Table 7 Colorful Accent 3"/>
    <w:basedOn w:val="TableNormal"/>
    <w:uiPriority w:val="52"/>
    <w:rsid w:val="001667C8"/>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312954"/>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E6677E"/>
    <w:rPr>
      <w:color w:val="954F72" w:themeColor="followedHyperlink"/>
      <w:u w:val="single"/>
    </w:rPr>
  </w:style>
  <w:style w:type="character" w:styleId="PlaceholderText">
    <w:name w:val="Placeholder Text"/>
    <w:basedOn w:val="DefaultParagraphFont"/>
    <w:uiPriority w:val="99"/>
    <w:semiHidden/>
    <w:rsid w:val="0094729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800619">
      <w:bodyDiv w:val="1"/>
      <w:marLeft w:val="0"/>
      <w:marRight w:val="0"/>
      <w:marTop w:val="0"/>
      <w:marBottom w:val="0"/>
      <w:divBdr>
        <w:top w:val="none" w:sz="0" w:space="0" w:color="auto"/>
        <w:left w:val="none" w:sz="0" w:space="0" w:color="auto"/>
        <w:bottom w:val="none" w:sz="0" w:space="0" w:color="auto"/>
        <w:right w:val="none" w:sz="0" w:space="0" w:color="auto"/>
      </w:divBdr>
      <w:divsChild>
        <w:div w:id="321012251">
          <w:marLeft w:val="0"/>
          <w:marRight w:val="0"/>
          <w:marTop w:val="0"/>
          <w:marBottom w:val="0"/>
          <w:divBdr>
            <w:top w:val="none" w:sz="0" w:space="0" w:color="auto"/>
            <w:left w:val="none" w:sz="0" w:space="0" w:color="auto"/>
            <w:bottom w:val="none" w:sz="0" w:space="0" w:color="auto"/>
            <w:right w:val="none" w:sz="0" w:space="0" w:color="auto"/>
          </w:divBdr>
        </w:div>
      </w:divsChild>
    </w:div>
    <w:div w:id="342561672">
      <w:marLeft w:val="480"/>
      <w:marRight w:val="0"/>
      <w:marTop w:val="0"/>
      <w:marBottom w:val="0"/>
      <w:divBdr>
        <w:top w:val="none" w:sz="0" w:space="0" w:color="auto"/>
        <w:left w:val="none" w:sz="0" w:space="0" w:color="auto"/>
        <w:bottom w:val="none" w:sz="0" w:space="0" w:color="auto"/>
        <w:right w:val="none" w:sz="0" w:space="0" w:color="auto"/>
      </w:divBdr>
    </w:div>
    <w:div w:id="923875964">
      <w:marLeft w:val="480"/>
      <w:marRight w:val="0"/>
      <w:marTop w:val="0"/>
      <w:marBottom w:val="0"/>
      <w:divBdr>
        <w:top w:val="none" w:sz="0" w:space="0" w:color="auto"/>
        <w:left w:val="none" w:sz="0" w:space="0" w:color="auto"/>
        <w:bottom w:val="none" w:sz="0" w:space="0" w:color="auto"/>
        <w:right w:val="none" w:sz="0" w:space="0" w:color="auto"/>
      </w:divBdr>
    </w:div>
    <w:div w:id="1187019504">
      <w:marLeft w:val="480"/>
      <w:marRight w:val="0"/>
      <w:marTop w:val="0"/>
      <w:marBottom w:val="0"/>
      <w:divBdr>
        <w:top w:val="none" w:sz="0" w:space="0" w:color="auto"/>
        <w:left w:val="none" w:sz="0" w:space="0" w:color="auto"/>
        <w:bottom w:val="none" w:sz="0" w:space="0" w:color="auto"/>
        <w:right w:val="none" w:sz="0" w:space="0" w:color="auto"/>
      </w:divBdr>
    </w:div>
    <w:div w:id="1626157831">
      <w:marLeft w:val="480"/>
      <w:marRight w:val="0"/>
      <w:marTop w:val="0"/>
      <w:marBottom w:val="0"/>
      <w:divBdr>
        <w:top w:val="none" w:sz="0" w:space="0" w:color="auto"/>
        <w:left w:val="none" w:sz="0" w:space="0" w:color="auto"/>
        <w:bottom w:val="none" w:sz="0" w:space="0" w:color="auto"/>
        <w:right w:val="none" w:sz="0" w:space="0" w:color="auto"/>
      </w:divBdr>
    </w:div>
    <w:div w:id="1877347479">
      <w:marLeft w:val="480"/>
      <w:marRight w:val="0"/>
      <w:marTop w:val="0"/>
      <w:marBottom w:val="0"/>
      <w:divBdr>
        <w:top w:val="none" w:sz="0" w:space="0" w:color="auto"/>
        <w:left w:val="none" w:sz="0" w:space="0" w:color="auto"/>
        <w:bottom w:val="none" w:sz="0" w:space="0" w:color="auto"/>
        <w:right w:val="none" w:sz="0" w:space="0" w:color="auto"/>
      </w:divBdr>
    </w:div>
    <w:div w:id="2131168477">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06B397D-42EB-46EC-B979-E0E8C97B04DF}"/>
      </w:docPartPr>
      <w:docPartBody>
        <w:p w:rsidR="00D4019E" w:rsidRDefault="00362574">
          <w:r w:rsidRPr="00DD727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574"/>
    <w:rsid w:val="00362574"/>
    <w:rsid w:val="00AA02F8"/>
    <w:rsid w:val="00D4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257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D6722B-2BE0-4167-9024-232047C05DAF}">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7061787411"/>
    <we:property name="MENDELEY_CITATIONS" value="[{&quot;citationID&quot;:&quot;MENDELEY_CITATION_b135c49e-49c4-4955-8a1d-e9a74a3434b8&quot;,&quot;properties&quot;:{&quot;noteIndex&quot;:0},&quot;isEdited&quot;:false,&quot;manualOverride&quot;:{&quot;isManuallyOverridden&quot;:false,&quot;citeprocText&quot;:&quot;(Vandekerckhove et al., 2023)&quot;,&quot;manualOverrideText&quot;:&quot;&quot;},&quot;citationTag&quot;:&quot;MENDELEY_CITATION_v3_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&quot;,&quot;citationItems&quot;:[{&quot;id&quot;:&quot;0e128f4a-9ec5-34ca-9983-9af94b702221&quot;,&quot;itemData&quot;:{&quot;type&quot;:&quot;article-journal&quot;,&quot;id&quot;:&quot;0e128f4a-9ec5-34ca-9983-9af94b702221&quot;,&quot;title&quot;:&quot;Diversity in Stakeholder Groups in Generative Co-design for Digital Health: Assembly Procedure and Preliminary Assessment&quot;,&quot;author&quot;:[{&quot;family&quot;:&quot;Vandekerckhove&quot;,&quot;given&quot;:&quot;Pieter&quot;,&quot;parse-names&quot;:false,&quot;dropping-particle&quot;:&quot;&quot;,&quot;non-dropping-particle&quot;:&quot;&quot;},{&quot;family&quot;:&quot;Timmermans&quot;,&quot;given&quot;:&quot;Job&quot;,&quot;parse-names&quot;:false,&quot;dropping-particle&quot;:&quot;&quot;,&quot;non-dropping-particle&quot;:&quot;&quot;},{&quot;family&quot;:&quot;Bont&quot;,&quot;given&quot;:&quot;Antoinette&quot;,&quot;parse-names&quot;:false,&quot;dropping-particle&quot;:&quot;&quot;,&quot;non-dropping-particle&quot;:&quot;de&quot;},{&quot;family&quot;:&quot;Mul&quot;,&quot;given&quot;:&quot;Marleen&quot;,&quot;parse-names&quot;:false,&quot;dropping-particle&quot;:&quot;&quot;,&quot;non-dropping-particle&quot;:&quot;de&quot;}],&quot;container-title&quot;:&quot;JMIR Human Factors&quot;,&quot;container-title-short&quot;:&quot;JMIR Hum. Factors&quot;,&quot;accessed&quot;:{&quot;date-parts&quot;:[[2026,4,24]]},&quot;DOI&quot;:&quot;10.2196/38350&quot;,&quot;ISSN&quot;:&quot;22929495&quot;,&quot;PMID&quot;:&quot;36787170&quot;,&quot;URL&quot;:&quot;https://pmc.ncbi.nlm.nih.gov/articles/PMC9975926/&quot;,&quot;issued&quot;:{&quot;date-parts&quot;:[[2023]]},&quot;page&quot;:&quot;e38350&quot;,&quot;abstract&quot;:&quot;Background: Diverse knowledge and ways of thinking are claimed to be important when involving stakeholders such as patients, care professionals, and care managers in a generative co-design (GCD) process. However, this claim is rather general and has not been operationalized; therefore, the influence of various stakeholders on the GCD process has not been empirically tested. Objective: In this study, we aimed to take the first step in assessing stakeholder diversity by formulating a procedure to assemble a group of diverse stakeholders and test its influence in a GCD process. Methods: To test the procedure and assess its influence on the GCD process, a case was selected involving a foundation that planned to develop a serious game to help people with cancer return to work. The procedure for assembling a stakeholder group involves snowball sampling and individual interviews, leading to the formation of 2 groups of stakeholders. Thirteen people were identified through snowball sampling, and they were briefly interviewed to assess their knowledge, inference experience, and communication skills. Two diverse stakeholder groups were formed, with one more potent than the other. The influence of both stakeholder groups on the GCD process was qualitatively assessed by comparing the knowledge output and related knowledge processing in 2 identical GCD workshops. Results: Our hypothesis on diverse stakeholders was confirmed, although it also appeared that merely assessing the professional background of stakeholders was not sufficient to reach the full potential of the GCD process. The more potently diverse group had a stronger influence on knowledge output and knowledge processing, resulting in a more comprehensive problem definition and more precisely described solutions. In the less potently diverse group, none of the stakeholders had experience with abduction-2 inferencing, and this did not emerge in the GCD process, suggesting that at least one stakeholder should have previous abduction-2 experience. Conclusions: A procedure to assemble a stakeholder group with specific criteria to assess the diversity of knowledge, ways of thinking, and communication can improve the potential of the GCD process and the resulting digital health.&quot;,&quot;publisher&quot;:&quot;JMIR Publications Inc.&quot;,&quot;volume&quot;:&quot;10&quot;},&quot;isTemporary&quot;:false,&quot;suppress-author&quot;:false,&quot;composite&quot;:false,&quot;author-only&quot;:false}]},{&quot;citationID&quot;:&quot;MENDELEY_CITATION_9b4f16b2-c2f2-49dc-ba89-2ffb60451ff6&quot;,&quot;properties&quot;:{&quot;noteIndex&quot;:0},&quot;isEdited&quot;:false,&quot;manualOverride&quot;:{&quot;isManuallyOverridden&quot;:false,&quot;citeprocText&quot;:&quot;(Litchfield et al., 2025)&quot;,&quot;manualOverrideText&quot;:&quot;&quot;},&quot;citationTag&quot;:&quot;MENDELEY_CITATION_v3_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&quot;,&quot;citationItems&quot;:[{&quot;id&quot;:&quot;7b961fc1-67a9-3482-b160-9b67c5c5cad4&quot;,&quot;itemData&quot;:{&quot;type&quot;:&quot;article-journal&quot;,&quot;id&quot;:&quot;7b961fc1-67a9-3482-b160-9b67c5c5cad4&quot;,&quot;title&quot;:&quot;Increasing the inclusivity of digital health co-production: an integrative review&quot;,&quot;author&quot;:[{&quot;family&quot;:&quot;Litchfield&quot;,&quot;given&quot;:&quot;Ian&quot;,&quot;parse-names&quot;:false,&quot;dropping-particle&quot;:&quot;&quot;,&quot;non-dropping-particle&quot;:&quot;&quot;},{&quot;family&quot;:&quot;Delanerolle&quot;,&quot;given&quot;:&quot;Gayathri&quot;,&quot;parse-names&quot;:false,&quot;dropping-particle&quot;:&quot;&quot;,&quot;non-dropping-particle&quot;:&quot;&quot;},{&quot;family&quot;:&quot;Juffs&quot;,&quot;given&quot;:&quot;Helen&quot;,&quot;parse-names&quot;:false,&quot;dropping-particle&quot;:&quot;&quot;,&quot;non-dropping-particle&quot;:&quot;&quot;},{&quot;family&quot;:&quot;Bloxham&quot;,&quot;given&quot;:&quot;Stephanie&quot;,&quot;parse-names&quot;:false,&quot;dropping-particle&quot;:&quot;&quot;,&quot;non-dropping-particle&quot;:&quot;&quot;},{&quot;family&quot;:&quot;Dunning&quot;,&quot;given&quot;:&quot;Sian&quot;,&quot;parse-names&quot;:false,&quot;dropping-particle&quot;:&quot;&quot;,&quot;non-dropping-particle&quot;:&quot;&quot;},{&quot;family&quot;:&quot;Harper&quot;,&quot;given&quot;:&quot;Lorraine&quot;,&quot;parse-names&quot;:false,&quot;dropping-particle&quot;:&quot;&quot;,&quot;non-dropping-particle&quot;:&quot;&quot;}],&quot;container-title&quot;:&quot;Frontiers in Digital Health&quot;,&quot;container-title-short&quot;:&quot;Front. Digit. Health&quot;,&quot;accessed&quot;:{&quot;date-parts&quot;:[[2026,4,24]]},&quot;DOI&quot;:&quot;10.3389/FDGTH.2025.1636469/FULL&quot;,&quot;ISSN&quot;:&quot;2673253X&quot;,&quot;URL&quot;:&quot;https://pmc.ncbi.nlm.nih.gov/articles/PMC12575248/&quot;,&quot;issued&quot;:{&quot;date-parts&quot;:[[2025]]},&quot;page&quot;:&quot;1636469&quot;,&quot;abstract&quot;:&quot;Co-production is increasingly being used to develop sustainable improvements in health service delivery that are shaped by the experiences and needs of a diverse range of stakeholders including patients and healthcare providers. The process also offers a compelling means of fundamentally addressing the key issues of acceptability and applicability of digital health tools that contribute to ongoing inequity in the use of digital health technologies. However, creating and moderating hybrid digital health co-production teams is hindered by heightened obstacles to inclusivity and equitability of the cost and complexity of digital healthcare, and the diverse digital experience amongst the relevant stakeholders. With previous examples of co-production that involve direct interaction between developers and diverse groups of patients and staff rare, this integrative review has collated the latest evidence on engaging these diverse stakeholders in healthcare innovation, with best practice in co-production, and presents it within a framework representing the five core steps of co-production: Set-up, Discovery, Definition, Development, and Delivery. This guidance includes structured and tailored training in co-production and the concepts of digital health, surfacing and challenging existing assumptions around data security and confidentiality, defining funding models, introducing and refining protypes of increasing sophistication, and structured implementation and evaluation of both the co-production process and its outputs.&quot;,&quot;publisher&quot;:&quot;Frontiers Media SA&quot;,&quot;volume&quot;:&quot;7&quot;},&quot;isTemporary&quot;:false,&quot;suppress-author&quot;:false,&quot;composite&quot;:false,&quot;author-only&quot;:false}]},{&quot;citationID&quot;:&quot;MENDELEY_CITATION_1379bd14-6b55-4f35-b538-dab27d5e3ce0&quot;,&quot;properties&quot;:{&quot;noteIndex&quot;:0,&quot;mode&quot;:&quot;composite&quot;},&quot;isEdited&quot;:false,&quot;manualOverride&quot;:{&quot;isManuallyOverridden&quot;:false,&quot;citeprocText&quot;:&quot;Strueby (2019)&quot;,&quot;manualOverrideText&quot;:&quot;&quot;},&quot;citationTag&quot;:&quot;MENDELEY_CITATION_v3_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&quot;,&quot;citationItems&quot;:[{&quot;id&quot;:&quot;edcf2835-73a8-3256-a620-ca81e3412fc8&quot;,&quot;itemData&quot;:{&quot;type&quot;:&quot;article-journal&quot;,&quot;id&quot;:&quot;edcf2835-73a8-3256-a620-ca81e3412fc8&quot;,&quot;title&quot;:&quot;Are employees more likely to accept organizational change if psychological safety had been previously established&quot;,&quot;author&quot;:[{&quot;family&quot;:&quot;Strueby&quot;,&quot;given&quot;:&quot;Sara&quot;,&quot;parse-names&quot;:false,&quot;dropping-particle&quot;:&quot;&quot;,&quot;non-dropping-particle&quot;:&quot;&quot;}],&quot;container-title&quot;:&quot;Theses and Dissertations&quot;,&quot;accessed&quot;:{&quot;date-parts&quot;:[[2026,4,24]]},&quot;URL&quot;:&quot;https://digitalcommons.pepperdine.edu/etd/1079&quot;,&quot;issued&quot;:{&quot;date-parts&quot;:[[2019]]},&quot;container-title-short&quot;:&quot;&quot;},&quot;isTemporary&quot;:false,&quot;displayAs&quot;:&quot;composite&quot;,&quot;suppress-author&quot;:false,&quot;composite&quot;:true,&quot;author-only&quot;:false}]},{&quot;citationID&quot;:&quot;MENDELEY_CITATION_f15085fe-782d-4dce-beaa-dabc5b4f145a&quot;,&quot;properties&quot;:{&quot;noteIndex&quot;:0},&quot;isEdited&quot;:false,&quot;manualOverride&quot;:{&quot;isManuallyOverridden&quot;:false,&quot;citeprocText&quot;:&quot;(Wilkinson et al., 2022)&quot;,&quot;manualOverrideText&quot;:&quot;&quot;},&quot;citationTag&quot;:&quot;MENDELEY_CITATION_v3_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&quot;,&quot;citationItems&quot;:[{&quot;id&quot;:&quot;675f57fe-d562-3432-83bf-722cdd0fe039&quot;,&quot;itemData&quot;:{&quot;type&quot;:&quot;article-journal&quot;,&quot;id&quot;:&quot;675f57fe-d562-3432-83bf-722cdd0fe039&quot;,&quot;title&quot;:&quot;“It’s Almost as if Stakeholder Engagement is the Annoying ‘Have-to-do'…”: Can Ethics Review Help Address the “3 Ts” of Tokenism, Toxicity, and Tailoring in Stakeholder Engagement?&quot;,&quot;author&quot;:[{&quot;family&quot;:&quot;Wilkinson&quot;,&quot;given&quot;:&quot;Abigail&quot;,&quot;parse-names&quot;:false,&quot;dropping-particle&quot;:&quot;&quot;,&quot;non-dropping-particle&quot;:&quot;&quot;},{&quot;family&quot;:&quot;Slack&quot;,&quot;given&quot;:&quot;Catherine&quot;,&quot;parse-names&quot;:false,&quot;dropping-particle&quot;:&quot;&quot;,&quot;non-dropping-particle&quot;:&quot;&quot;},{&quot;family&quot;:&quot;Thabethe&quot;,&quot;given&quot;:&quot;Siyabonga&quot;,&quot;parse-names&quot;:false,&quot;dropping-particle&quot;:&quot;&quot;,&quot;non-dropping-particle&quot;:&quot;&quot;},{&quot;family&quot;:&quot;Salzwedel&quot;,&quot;given&quot;:&quot;Jessica&quot;,&quot;parse-names&quot;:false,&quot;dropping-particle&quot;:&quot;&quot;,&quot;non-dropping-particle&quot;:&quot;&quot;}],&quot;container-title&quot;:&quot;Journal of Empirical Research on Human Research Ethics&quot;,&quot;accessed&quot;:{&quot;date-parts&quot;:[[2026,4,24]]},&quot;DOI&quot;:&quot;10.1177/15562646221078415&quot;,&quot;ISSN&quot;:&quot;15562654&quot;,&quot;PMID&quot;:&quot;35164594&quot;,&quot;URL&quot;:&quot;https://pmc.ncbi.nlm.nih.gov/articles/PMC9136363/&quot;,&quot;issued&quot;:{&quot;date-parts&quot;:[[2022,7,1]]},&quot;page&quot;:&quot;292&quot;,&quot;abstract&quot;:&quot;Ethics guidance recommends that researchers engage stakeholders and that RECs review research for such engagement. The ethics review process may present a unique opportunity to support stakeholder engagement practices for HIV prevention studies. We conducted 28 interviews with experts from 12 countries to explore this issue, and analyzed the data using Thematic Analysis. We found that the value of engagement and review processes was strongly endorsed. However, we identified 3 major thematic complexities, namely: “Tokenism” where processes risk being “tick-box”; “Toxicity”, where practices may inadvertently have negative consequences; and “Tailoring”, where processes need careful variation in intensity. We make recommendations for how these “Ts” can be addressed during the review process to help contribute to thoughtful review of meaningful stakeholder engagement in research.&quot;,&quot;publisher&quot;:&quot;SAGE Publications Inc.&quot;,&quot;issue&quot;:&quot;3&quot;,&quot;volume&quot;:&quot;17&quot;,&quot;container-title-short&quot;:&quot;&quot;},&quot;isTemporary&quot;:false,&quot;suppress-author&quot;:false,&quot;composite&quot;:false,&quot;author-only&quot;:false}]},{&quot;citationID&quot;:&quot;MENDELEY_CITATION_2677b580-f6e7-4855-bf4d-d26172a97b00&quot;,&quot;properties&quot;:{&quot;noteIndex&quot;:0,&quot;mode&quot;:&quot;composite&quot;},&quot;isEdited&quot;:false,&quot;manualOverride&quot;:{&quot;isManuallyOverridden&quot;:false,&quot;citeprocText&quot;:&quot;Zheng et al. (2025)&quot;,&quot;manualOverrideText&quot;:&quot;&quot;},&quot;citationTag&quot;:&quot;MENDELEY_CITATION_v3_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&quot;,&quot;citationItems&quot;:[{&quot;id&quot;:&quot;6a9f70b7-f15d-3c25-88f3-88dcb4b42511&quot;,&quot;itemData&quot;:{&quot;type&quot;:&quot;article-journal&quot;,&quot;id&quot;:&quot;6a9f70b7-f15d-3c25-88f3-88dcb4b42511&quot;,&quot;title&quot;:&quot;Expertise Diversity of Teams Predicts Originality and Long-Term Impact in Science and Technology&quot;,&quot;author&quot;:[{&quot;family&quot;:&quot;Zheng&quot;,&quot;given&quot;:&quot;Hongwei&quot;,&quot;parse-names&quot;:false,&quot;dropping-particle&quot;:&quot;&quot;,&quot;non-dropping-particle&quot;:&quot;&quot;},{&quot;family&quot;:&quot;Li&quot;,&quot;given&quot;:&quot;Weihua&quot;,&quot;parse-names&quot;:false,&quot;dropping-particle&quot;:&quot;&quot;,&quot;non-dropping-particle&quot;:&quot;&quot;},{&quot;family&quot;:&quot;Wang&quot;,&quot;given&quot;:&quot;Dashun&quot;,&quot;parse-names&quot;:false,&quot;dropping-particle&quot;:&quot;&quot;,&quot;non-dropping-particle&quot;:&quot;&quot;}],&quot;container-title&quot;:&quot;SSRN Electronic Journal&quot;,&quot;accessed&quot;:{&quot;date-parts&quot;:[[2026,4,24]]},&quot;DOI&quot;:&quot;10.2139/SSRN.4243054&quot;,&quot;issued&quot;:{&quot;date-parts&quot;:[[2025,7]]},&quot;abstract&quot;:&quot;Despite the growing importance of teams in producing innovative and high-impact science and technology, it remains unclear how expertise diversity among team members relates to the originality and impact of the work they produce. Here, we develop a new method to quantify the expertise distance of researchers based on their prior career histories and apply it to 23 million scientific publications and 4 million patents. We find that across science and technology, expertise-diverse teams tend to produce work with greater originality. Teams with more diverse expertise have no significant impact advantage in the short- (2 years) or mid-term (5 years). Instead, they exhibit substantially higher long-term impact (10 years), increasingly attracting larger cross-disciplinary influence. This impact premium of expertise diversity among team members becomes especially pronounced when other dimensions of team diversity are missing, as teams within the same institution or country appear to disproportionately reap the benefits of expertise diversity. While gender-diverse teams have relatively higher impact on average, teams with varied levels of gender diversity all seem to benefit from increased expertise diversity. Given the growing knowledge demands on individual researchers, implementation of incentives for original research, and the tradeoffs between short-term and long-term impacts, these results may have implications for funding, assembling, and retaining teams with originality and long-lasting impacts.&quot;,&quot;publisher&quot;:&quot;Elsevier BV&quot;,&quot;container-title-short&quot;:&quot;&quot;},&quot;isTemporary&quot;:false,&quot;displayAs&quot;:&quot;composite&quot;,&quot;suppress-author&quot;:false,&quot;composite&quot;:true,&quot;author-only&quot;:false}]},{&quot;citationID&quot;:&quot;MENDELEY_CITATION_7e44f574-5386-4a45-88bc-cac40c2f4fc2&quot;,&quot;properties&quot;:{&quot;noteIndex&quot;:0},&quot;isEdited&quot;:false,&quot;manualOverride&quot;:{&quot;isManuallyOverridden&quot;:false,&quot;citeprocText&quot;:&quot;(Ghorbankhani &amp;#38; Jones, 2022)&quot;,&quot;manualOverrideText&quot;:&quot;&quot;},&quot;citationTag&quot;:&quot;MENDELEY_CITATION_v3_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&quot;,&quot;citationItems&quot;:[{&quot;id&quot;:&quot;80367368-109f-3fcd-8915-a27a08496d47&quot;,&quot;itemData&quot;:{&quot;type&quot;:&quot;article-journal&quot;,&quot;id&quot;:&quot;80367368-109f-3fcd-8915-a27a08496d47&quot;,&quot;title&quot;:&quot;The importance of management's response to staff speaking up in the healthcare setting&quot;,&quot;author&quot;:[{&quot;family&quot;:&quot;Ghorbankhani&quot;,&quot;given&quot;:&quot;Melika&quot;,&quot;parse-names&quot;:false,&quot;dropping-particle&quot;:&quot;&quot;,&quot;non-dropping-particle&quot;:&quot;&quot;},{&quot;family&quot;:&quot;Jones&quot;,&quot;given&quot;:&quot;Aled&quot;,&quot;parse-names&quot;:false,&quot;dropping-particle&quot;:&quot;&quot;,&quot;non-dropping-particle&quot;:&quot;&quot;}],&quot;container-title&quot;:&quot;British Journal of Health Care Management&quot;,&quot;accessed&quot;:{&quot;date-parts&quot;:[[2026,4,24]]},&quot;DOI&quot;:&quot;10.12968/BJHC.2021.0114;REQUESTEDJOURNAL:JOURNAL:BJHC&quot;,&quot;ISSN&quot;:&quot;17597382&quot;,&quot;URL&quot;:&quot;/doi/pdf/10.12968/bjhc.2021.0114?download=true&quot;,&quot;issued&quot;:{&quot;date-parts&quot;:[[2022,5,2]]},&quot;page&quot;:&quot;108-111&quot;,&quot;abstract&quot;:&quot;Melika Ghorbankhani and Aled Jones highlight the role of the ‘recipient’ of concerns raised by healthcare staff, and discuss ways that managers can create a culture of psychological safety that pro...&quot;,&quot;publisher&quot;:&quot;MA Healthcare Ltd&quot;,&quot;issue&quot;:&quot;5&quot;,&quot;volume&quot;:&quot;28&quot;,&quot;container-title-short&quot;:&quot;&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3540F-270B-4EF6-B8C9-58EE26089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Cummings (Aneurin Bevan UHB - Frailty)</dc:creator>
  <cp:keywords/>
  <dc:description/>
  <cp:lastModifiedBy>Georgia Cummings (2517988)</cp:lastModifiedBy>
  <cp:revision>3</cp:revision>
  <dcterms:created xsi:type="dcterms:W3CDTF">2026-04-24T20:26:00Z</dcterms:created>
  <dcterms:modified xsi:type="dcterms:W3CDTF">2026-04-24T20:27:00Z</dcterms:modified>
</cp:coreProperties>
</file>