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F2814" w:rsidRDefault="00C31D85" w:rsidP="00126B52">
      <w:pPr>
        <w:spacing w:after="0"/>
        <w:ind w:left="426"/>
        <w:rPr>
          <w:rFonts w:cs="Arial"/>
          <w:lang w:val="en-GB"/>
        </w:rPr>
      </w:pPr>
      <w:r w:rsidRPr="00EF2814">
        <w:rPr>
          <w:noProof/>
          <w:lang w:val="en-GB" w:eastAsia="en-IN"/>
        </w:rPr>
        <w:drawing>
          <wp:anchor distT="0" distB="0" distL="114300" distR="114300" simplePos="0" relativeHeight="251659264" behindDoc="1" locked="0" layoutInCell="1" allowOverlap="1" wp14:anchorId="309E58E3" wp14:editId="0DFB4E3D">
            <wp:simplePos x="0" y="0"/>
            <wp:positionH relativeFrom="margin">
              <wp:align>center</wp:align>
            </wp:positionH>
            <wp:positionV relativeFrom="paragraph">
              <wp:posOffset>7620</wp:posOffset>
            </wp:positionV>
            <wp:extent cx="3291840" cy="1052830"/>
            <wp:effectExtent l="0" t="0" r="0" b="0"/>
            <wp:wrapTight wrapText="bothSides">
              <wp:wrapPolygon edited="0">
                <wp:start x="875" y="3127"/>
                <wp:lineTo x="875" y="11334"/>
                <wp:lineTo x="1875" y="16415"/>
                <wp:lineTo x="2500" y="17978"/>
                <wp:lineTo x="7375" y="17978"/>
                <wp:lineTo x="13375" y="17197"/>
                <wp:lineTo x="15000" y="16415"/>
                <wp:lineTo x="17375" y="12897"/>
                <wp:lineTo x="17250" y="10162"/>
                <wp:lineTo x="21375" y="8598"/>
                <wp:lineTo x="21375" y="5081"/>
                <wp:lineTo x="19375" y="3127"/>
                <wp:lineTo x="875" y="312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3291840" cy="1052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253CFB" w14:textId="2DFFF591" w:rsidR="00ED1049" w:rsidRPr="00EF2814" w:rsidRDefault="00ED1049" w:rsidP="00126B52">
      <w:pPr>
        <w:spacing w:after="0"/>
        <w:ind w:left="426"/>
        <w:rPr>
          <w:rFonts w:cs="Arial"/>
          <w:szCs w:val="24"/>
          <w:lang w:val="en-GB"/>
        </w:rPr>
      </w:pPr>
    </w:p>
    <w:p w14:paraId="41A133E3" w14:textId="77777777" w:rsidR="00ED1049" w:rsidRPr="00EF2814" w:rsidRDefault="00ED1049" w:rsidP="00126B52">
      <w:pPr>
        <w:spacing w:after="0"/>
        <w:ind w:left="426"/>
        <w:rPr>
          <w:rFonts w:cs="Arial"/>
          <w:szCs w:val="24"/>
          <w:lang w:val="en-GB"/>
        </w:rPr>
      </w:pPr>
    </w:p>
    <w:p w14:paraId="605068F9" w14:textId="77777777" w:rsidR="00ED1049" w:rsidRPr="00EF2814" w:rsidRDefault="00ED1049" w:rsidP="00126B52">
      <w:pPr>
        <w:spacing w:after="0"/>
        <w:ind w:left="426"/>
        <w:rPr>
          <w:rFonts w:cs="Arial"/>
          <w:szCs w:val="24"/>
          <w:lang w:val="en-GB"/>
        </w:rPr>
      </w:pPr>
    </w:p>
    <w:p w14:paraId="543861DF" w14:textId="77777777" w:rsidR="00ED1049" w:rsidRPr="00EF2814" w:rsidRDefault="00ED1049" w:rsidP="00126B52">
      <w:pPr>
        <w:spacing w:after="0"/>
        <w:rPr>
          <w:rFonts w:cs="Arial"/>
          <w:lang w:val="en-GB"/>
        </w:rPr>
      </w:pPr>
    </w:p>
    <w:p w14:paraId="1B9C9B98" w14:textId="7FBFC112" w:rsidR="00C31D85" w:rsidRPr="00EF2814" w:rsidRDefault="005C2540" w:rsidP="005C2540">
      <w:pPr>
        <w:tabs>
          <w:tab w:val="left" w:pos="3732"/>
        </w:tabs>
        <w:spacing w:after="0"/>
        <w:rPr>
          <w:rFonts w:ascii="Aptos" w:hAnsi="Aptos"/>
          <w:b/>
          <w:bCs/>
          <w:sz w:val="36"/>
          <w:szCs w:val="36"/>
          <w:lang w:val="en-GB"/>
        </w:rPr>
      </w:pPr>
      <w:r>
        <w:rPr>
          <w:rFonts w:ascii="Aptos" w:hAnsi="Aptos"/>
          <w:b/>
          <w:bCs/>
          <w:sz w:val="36"/>
          <w:szCs w:val="36"/>
          <w:lang w:val="en-GB"/>
        </w:rPr>
        <w:tab/>
      </w:r>
    </w:p>
    <w:p w14:paraId="4DDD8929" w14:textId="77777777" w:rsidR="005E31A6" w:rsidRPr="00EF2814" w:rsidRDefault="005E31A6" w:rsidP="000702A0">
      <w:pPr>
        <w:spacing w:before="240" w:after="0"/>
        <w:jc w:val="center"/>
        <w:rPr>
          <w:rFonts w:eastAsia="Times New Roman" w:cs="Arial"/>
          <w:b/>
          <w:bCs/>
          <w:sz w:val="28"/>
          <w:szCs w:val="28"/>
          <w:highlight w:val="white"/>
          <w:lang w:val="en-GB"/>
        </w:rPr>
      </w:pPr>
      <w:r w:rsidRPr="00EF2814">
        <w:rPr>
          <w:rFonts w:eastAsia="Times New Roman" w:cs="Arial"/>
          <w:b/>
          <w:bCs/>
          <w:sz w:val="28"/>
          <w:szCs w:val="28"/>
          <w:highlight w:val="white"/>
          <w:lang w:val="en-GB"/>
        </w:rPr>
        <w:t xml:space="preserve">Module Code: </w:t>
      </w:r>
      <w:r w:rsidRPr="00EF2814">
        <w:rPr>
          <w:rFonts w:eastAsia="Times New Roman" w:cs="Arial"/>
          <w:bCs/>
          <w:sz w:val="28"/>
          <w:szCs w:val="28"/>
          <w:highlight w:val="white"/>
          <w:lang w:val="en-GB"/>
        </w:rPr>
        <w:t>BMHP6020</w:t>
      </w:r>
    </w:p>
    <w:p w14:paraId="46E3D185" w14:textId="77777777" w:rsidR="005E31A6" w:rsidRPr="00EF2814" w:rsidRDefault="005E31A6" w:rsidP="000702A0">
      <w:pPr>
        <w:spacing w:before="240" w:after="0"/>
        <w:jc w:val="center"/>
        <w:rPr>
          <w:rFonts w:eastAsia="Times New Roman" w:cs="Arial"/>
          <w:bCs/>
          <w:sz w:val="28"/>
          <w:szCs w:val="28"/>
          <w:highlight w:val="white"/>
          <w:lang w:val="en-GB"/>
        </w:rPr>
      </w:pPr>
      <w:r w:rsidRPr="00EF2814">
        <w:rPr>
          <w:rFonts w:eastAsia="Times New Roman" w:cs="Arial"/>
          <w:b/>
          <w:bCs/>
          <w:sz w:val="28"/>
          <w:szCs w:val="28"/>
          <w:highlight w:val="white"/>
          <w:lang w:val="en-GB"/>
        </w:rPr>
        <w:t>Module Title:</w:t>
      </w:r>
      <w:r w:rsidRPr="00EF2814">
        <w:rPr>
          <w:rFonts w:eastAsia="Times New Roman" w:cs="Arial"/>
          <w:bCs/>
          <w:sz w:val="28"/>
          <w:szCs w:val="28"/>
          <w:highlight w:val="white"/>
          <w:lang w:val="en-GB"/>
        </w:rPr>
        <w:t xml:space="preserve"> Independent Project</w:t>
      </w:r>
    </w:p>
    <w:p w14:paraId="2CE9BD2D" w14:textId="77777777" w:rsidR="005E31A6" w:rsidRPr="00EF2814" w:rsidRDefault="005E31A6" w:rsidP="000702A0">
      <w:pPr>
        <w:spacing w:before="240" w:after="0"/>
        <w:jc w:val="center"/>
        <w:rPr>
          <w:rFonts w:eastAsia="Times New Roman" w:cs="Arial"/>
          <w:b/>
          <w:bCs/>
          <w:sz w:val="28"/>
          <w:szCs w:val="28"/>
          <w:highlight w:val="white"/>
          <w:lang w:val="en-GB"/>
        </w:rPr>
      </w:pPr>
    </w:p>
    <w:p w14:paraId="2C589395" w14:textId="66CA5318" w:rsidR="005E31A6" w:rsidRPr="00EF2814" w:rsidRDefault="005E31A6" w:rsidP="000702A0">
      <w:pPr>
        <w:spacing w:before="240" w:after="0"/>
        <w:jc w:val="center"/>
        <w:rPr>
          <w:rFonts w:eastAsia="Times New Roman" w:cs="Arial"/>
          <w:bCs/>
          <w:sz w:val="28"/>
          <w:szCs w:val="28"/>
          <w:highlight w:val="white"/>
          <w:lang w:val="en-GB"/>
        </w:rPr>
      </w:pPr>
      <w:r w:rsidRPr="00EF2814">
        <w:rPr>
          <w:rFonts w:eastAsia="Times New Roman" w:cs="Arial"/>
          <w:b/>
          <w:bCs/>
          <w:sz w:val="28"/>
          <w:szCs w:val="28"/>
          <w:highlight w:val="white"/>
          <w:lang w:val="en-GB"/>
        </w:rPr>
        <w:t xml:space="preserve">Assignment Title: </w:t>
      </w:r>
      <w:r w:rsidRPr="00EF2814">
        <w:rPr>
          <w:rFonts w:eastAsia="Times New Roman" w:cs="Arial"/>
          <w:bCs/>
          <w:sz w:val="28"/>
          <w:szCs w:val="28"/>
          <w:highlight w:val="white"/>
          <w:lang w:val="en-GB"/>
        </w:rPr>
        <w:t>Component 1: Portfolio (including 3 elements)</w:t>
      </w:r>
      <w:r w:rsidR="00BA25BC">
        <w:rPr>
          <w:rFonts w:eastAsia="Times New Roman" w:cs="Arial"/>
          <w:bCs/>
          <w:sz w:val="28"/>
          <w:szCs w:val="28"/>
          <w:highlight w:val="white"/>
          <w:lang w:val="en-GB"/>
        </w:rPr>
        <w:t xml:space="preserve"> – </w:t>
      </w:r>
      <w:r w:rsidR="00BA25BC" w:rsidRPr="00BA25BC">
        <w:rPr>
          <w:rFonts w:eastAsia="Times New Roman" w:cs="Arial"/>
          <w:b/>
          <w:sz w:val="28"/>
          <w:szCs w:val="28"/>
          <w:highlight w:val="white"/>
          <w:lang w:val="en-GB"/>
        </w:rPr>
        <w:t xml:space="preserve">Chapter </w:t>
      </w:r>
      <w:r w:rsidR="00D8209A">
        <w:rPr>
          <w:rFonts w:eastAsia="Times New Roman" w:cs="Arial"/>
          <w:b/>
          <w:sz w:val="28"/>
          <w:szCs w:val="28"/>
          <w:highlight w:val="white"/>
          <w:lang w:val="en-GB"/>
        </w:rPr>
        <w:t>4</w:t>
      </w:r>
    </w:p>
    <w:p w14:paraId="5D228B13" w14:textId="77777777" w:rsidR="005E31A6" w:rsidRPr="00EF2814" w:rsidRDefault="005E31A6" w:rsidP="000702A0">
      <w:pPr>
        <w:pBdr>
          <w:bottom w:val="single" w:sz="4" w:space="1" w:color="auto"/>
        </w:pBdr>
        <w:spacing w:before="240" w:after="0"/>
        <w:jc w:val="center"/>
        <w:rPr>
          <w:rFonts w:eastAsia="Times New Roman" w:cs="Arial"/>
          <w:b/>
          <w:bCs/>
          <w:sz w:val="28"/>
          <w:szCs w:val="28"/>
          <w:highlight w:val="white"/>
          <w:lang w:val="en-GB"/>
        </w:rPr>
      </w:pPr>
      <w:r w:rsidRPr="00EF2814">
        <w:rPr>
          <w:rFonts w:eastAsia="Times New Roman" w:cs="Arial"/>
          <w:b/>
          <w:bCs/>
          <w:sz w:val="28"/>
          <w:szCs w:val="28"/>
          <w:highlight w:val="white"/>
          <w:lang w:val="en-GB"/>
        </w:rPr>
        <w:t>Research Title: Examining the Effect of COVID-19 Emergency Clinical Training on Staff Competency Levels within the UK Health Care Industry</w:t>
      </w:r>
    </w:p>
    <w:p w14:paraId="113E50D7" w14:textId="77777777" w:rsidR="005E31A6" w:rsidRPr="00EF2814" w:rsidRDefault="005E31A6" w:rsidP="000702A0">
      <w:pPr>
        <w:spacing w:before="240" w:after="0"/>
        <w:jc w:val="center"/>
        <w:rPr>
          <w:rFonts w:eastAsia="Times New Roman" w:cs="Arial"/>
          <w:b/>
          <w:bCs/>
          <w:sz w:val="28"/>
          <w:szCs w:val="28"/>
          <w:highlight w:val="white"/>
          <w:lang w:val="en-GB"/>
        </w:rPr>
      </w:pPr>
    </w:p>
    <w:p w14:paraId="1EB00207" w14:textId="77777777" w:rsidR="005E31A6" w:rsidRPr="00EF2814" w:rsidRDefault="005E31A6" w:rsidP="000702A0">
      <w:pPr>
        <w:spacing w:before="240" w:after="0"/>
        <w:jc w:val="center"/>
        <w:rPr>
          <w:rFonts w:eastAsia="Times New Roman" w:cs="Arial"/>
          <w:bCs/>
          <w:sz w:val="28"/>
          <w:szCs w:val="28"/>
          <w:highlight w:val="white"/>
          <w:lang w:val="en-GB"/>
        </w:rPr>
      </w:pPr>
      <w:r w:rsidRPr="00EF2814">
        <w:rPr>
          <w:rFonts w:eastAsia="Times New Roman" w:cs="Arial"/>
          <w:b/>
          <w:bCs/>
          <w:sz w:val="28"/>
          <w:szCs w:val="28"/>
          <w:highlight w:val="white"/>
          <w:lang w:val="en-GB"/>
        </w:rPr>
        <w:t xml:space="preserve">Student Name: </w:t>
      </w:r>
      <w:r w:rsidRPr="00EF2814">
        <w:rPr>
          <w:rFonts w:eastAsia="Times New Roman" w:cs="Arial"/>
          <w:bCs/>
          <w:sz w:val="28"/>
          <w:szCs w:val="28"/>
          <w:lang w:val="en-GB"/>
        </w:rPr>
        <w:t>Jacqueline Lawrence</w:t>
      </w:r>
    </w:p>
    <w:p w14:paraId="614A89AD" w14:textId="1F2EAD50" w:rsidR="005E31A6" w:rsidRDefault="005E31A6" w:rsidP="000702A0">
      <w:pPr>
        <w:spacing w:before="240" w:after="0"/>
        <w:jc w:val="center"/>
        <w:rPr>
          <w:rFonts w:eastAsia="Times New Roman" w:cs="Arial"/>
          <w:b/>
          <w:bCs/>
          <w:sz w:val="28"/>
          <w:szCs w:val="28"/>
          <w:highlight w:val="white"/>
          <w:lang w:val="en-GB"/>
        </w:rPr>
      </w:pPr>
      <w:r w:rsidRPr="00EF2814">
        <w:rPr>
          <w:rFonts w:eastAsia="Times New Roman" w:cs="Arial"/>
          <w:b/>
          <w:bCs/>
          <w:sz w:val="28"/>
          <w:szCs w:val="28"/>
          <w:highlight w:val="white"/>
          <w:lang w:val="en-GB"/>
        </w:rPr>
        <w:t>Student ID:</w:t>
      </w:r>
      <w:r w:rsidR="00701C90">
        <w:rPr>
          <w:rFonts w:eastAsia="Times New Roman" w:cs="Arial"/>
          <w:b/>
          <w:bCs/>
          <w:sz w:val="28"/>
          <w:szCs w:val="28"/>
          <w:highlight w:val="white"/>
          <w:lang w:val="en-GB"/>
        </w:rPr>
        <w:t>2315750</w:t>
      </w:r>
    </w:p>
    <w:p w14:paraId="302EA72B" w14:textId="08CFDA5E" w:rsidR="004A1D43" w:rsidRDefault="004A1D43">
      <w:pPr>
        <w:spacing w:line="240" w:lineRule="auto"/>
        <w:jc w:val="left"/>
        <w:rPr>
          <w:rFonts w:eastAsia="Times New Roman" w:cs="Arial"/>
          <w:b/>
          <w:bCs/>
          <w:sz w:val="28"/>
          <w:szCs w:val="28"/>
          <w:highlight w:val="white"/>
          <w:lang w:val="en-GB"/>
        </w:rPr>
      </w:pPr>
      <w:r>
        <w:rPr>
          <w:rFonts w:eastAsia="Times New Roman" w:cs="Arial"/>
          <w:b/>
          <w:bCs/>
          <w:sz w:val="28"/>
          <w:szCs w:val="28"/>
          <w:highlight w:val="white"/>
          <w:lang w:val="en-GB"/>
        </w:rPr>
        <w:br w:type="page"/>
      </w:r>
    </w:p>
    <w:sdt>
      <w:sdtPr>
        <w:rPr>
          <w:rFonts w:ascii="Arial" w:eastAsiaTheme="minorHAnsi" w:hAnsi="Arial" w:cstheme="minorBidi"/>
          <w:color w:val="auto"/>
          <w:sz w:val="22"/>
          <w:szCs w:val="22"/>
        </w:rPr>
        <w:id w:val="566693659"/>
        <w:docPartObj>
          <w:docPartGallery w:val="Table of Contents"/>
          <w:docPartUnique/>
        </w:docPartObj>
      </w:sdtPr>
      <w:sdtEndPr>
        <w:rPr>
          <w:b/>
          <w:bCs/>
          <w:noProof/>
        </w:rPr>
      </w:sdtEndPr>
      <w:sdtContent>
        <w:p w14:paraId="00AD95FF" w14:textId="71136A58" w:rsidR="004A1D43" w:rsidRPr="004A1D43" w:rsidRDefault="004A1D43" w:rsidP="004A1D43">
          <w:pPr>
            <w:pStyle w:val="TOCHeading"/>
            <w:spacing w:before="0" w:line="360" w:lineRule="auto"/>
            <w:jc w:val="center"/>
            <w:rPr>
              <w:rFonts w:ascii="Arial" w:hAnsi="Arial" w:cs="Arial"/>
              <w:b/>
              <w:bCs/>
              <w:color w:val="auto"/>
              <w:szCs w:val="28"/>
            </w:rPr>
          </w:pPr>
          <w:r w:rsidRPr="004A1D43">
            <w:rPr>
              <w:rFonts w:ascii="Arial" w:hAnsi="Arial" w:cs="Arial"/>
              <w:b/>
              <w:bCs/>
              <w:color w:val="auto"/>
              <w:szCs w:val="28"/>
            </w:rPr>
            <w:t>Table of Contents</w:t>
          </w:r>
        </w:p>
        <w:p w14:paraId="41D0A483" w14:textId="6F1F664C" w:rsidR="00D8209A" w:rsidRDefault="004A1D43">
          <w:pPr>
            <w:pStyle w:val="TOC1"/>
            <w:tabs>
              <w:tab w:val="right" w:leader="dot" w:pos="10934"/>
            </w:tabs>
            <w:rPr>
              <w:rFonts w:asciiTheme="minorHAnsi" w:eastAsiaTheme="minorEastAsia" w:hAnsiTheme="minorHAnsi"/>
              <w:noProof/>
              <w:kern w:val="2"/>
              <w:sz w:val="24"/>
              <w:szCs w:val="24"/>
              <w:lang w:val="en-IN" w:eastAsia="en-IN"/>
              <w14:ligatures w14:val="standardContextual"/>
            </w:rPr>
          </w:pPr>
          <w:r w:rsidRPr="004A1D43">
            <w:rPr>
              <w:rFonts w:cs="Arial"/>
              <w:sz w:val="24"/>
              <w:szCs w:val="24"/>
            </w:rPr>
            <w:fldChar w:fldCharType="begin"/>
          </w:r>
          <w:r w:rsidRPr="004A1D43">
            <w:rPr>
              <w:rFonts w:cs="Arial"/>
              <w:sz w:val="24"/>
              <w:szCs w:val="24"/>
            </w:rPr>
            <w:instrText xml:space="preserve"> TOC \o "1-3" \h \z \u </w:instrText>
          </w:r>
          <w:r w:rsidRPr="004A1D43">
            <w:rPr>
              <w:rFonts w:cs="Arial"/>
              <w:sz w:val="24"/>
              <w:szCs w:val="24"/>
            </w:rPr>
            <w:fldChar w:fldCharType="separate"/>
          </w:r>
          <w:hyperlink w:anchor="_Toc222235893" w:history="1">
            <w:r w:rsidR="00D8209A" w:rsidRPr="00902851">
              <w:rPr>
                <w:rStyle w:val="Hyperlink"/>
                <w:rFonts w:cs="Arial"/>
                <w:noProof/>
                <w:lang w:val="en-GB"/>
              </w:rPr>
              <w:t>Element 3 - Dissertation document</w:t>
            </w:r>
            <w:r w:rsidR="00D8209A">
              <w:rPr>
                <w:noProof/>
                <w:webHidden/>
              </w:rPr>
              <w:tab/>
            </w:r>
            <w:r w:rsidR="00D8209A">
              <w:rPr>
                <w:noProof/>
                <w:webHidden/>
              </w:rPr>
              <w:fldChar w:fldCharType="begin"/>
            </w:r>
            <w:r w:rsidR="00D8209A">
              <w:rPr>
                <w:noProof/>
                <w:webHidden/>
              </w:rPr>
              <w:instrText xml:space="preserve"> PAGEREF _Toc222235893 \h </w:instrText>
            </w:r>
            <w:r w:rsidR="00D8209A">
              <w:rPr>
                <w:noProof/>
                <w:webHidden/>
              </w:rPr>
            </w:r>
            <w:r w:rsidR="00D8209A">
              <w:rPr>
                <w:noProof/>
                <w:webHidden/>
              </w:rPr>
              <w:fldChar w:fldCharType="separate"/>
            </w:r>
            <w:r w:rsidR="00D8209A">
              <w:rPr>
                <w:noProof/>
                <w:webHidden/>
              </w:rPr>
              <w:t>3</w:t>
            </w:r>
            <w:r w:rsidR="00D8209A">
              <w:rPr>
                <w:noProof/>
                <w:webHidden/>
              </w:rPr>
              <w:fldChar w:fldCharType="end"/>
            </w:r>
          </w:hyperlink>
        </w:p>
        <w:p w14:paraId="7C44102D" w14:textId="14CCA27E" w:rsidR="00D8209A" w:rsidRDefault="00D8209A">
          <w:pPr>
            <w:pStyle w:val="TOC1"/>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894" w:history="1">
            <w:r w:rsidRPr="00902851">
              <w:rPr>
                <w:rStyle w:val="Hyperlink"/>
                <w:rFonts w:cs="Arial"/>
                <w:noProof/>
                <w:lang w:val="en-GB"/>
              </w:rPr>
              <w:t>Chapter 4 – Findings and Discussion</w:t>
            </w:r>
            <w:r>
              <w:rPr>
                <w:noProof/>
                <w:webHidden/>
              </w:rPr>
              <w:tab/>
            </w:r>
            <w:r>
              <w:rPr>
                <w:noProof/>
                <w:webHidden/>
              </w:rPr>
              <w:fldChar w:fldCharType="begin"/>
            </w:r>
            <w:r>
              <w:rPr>
                <w:noProof/>
                <w:webHidden/>
              </w:rPr>
              <w:instrText xml:space="preserve"> PAGEREF _Toc222235894 \h </w:instrText>
            </w:r>
            <w:r>
              <w:rPr>
                <w:noProof/>
                <w:webHidden/>
              </w:rPr>
            </w:r>
            <w:r>
              <w:rPr>
                <w:noProof/>
                <w:webHidden/>
              </w:rPr>
              <w:fldChar w:fldCharType="separate"/>
            </w:r>
            <w:r>
              <w:rPr>
                <w:noProof/>
                <w:webHidden/>
              </w:rPr>
              <w:t>6</w:t>
            </w:r>
            <w:r>
              <w:rPr>
                <w:noProof/>
                <w:webHidden/>
              </w:rPr>
              <w:fldChar w:fldCharType="end"/>
            </w:r>
          </w:hyperlink>
        </w:p>
        <w:p w14:paraId="5A2D7F57" w14:textId="7011AC75" w:rsidR="00D8209A" w:rsidRDefault="00D8209A">
          <w:pPr>
            <w:pStyle w:val="TOC2"/>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895" w:history="1">
            <w:r w:rsidRPr="00902851">
              <w:rPr>
                <w:rStyle w:val="Hyperlink"/>
                <w:noProof/>
                <w:lang w:val="en-GB"/>
              </w:rPr>
              <w:t>4.1 Introduction</w:t>
            </w:r>
            <w:r>
              <w:rPr>
                <w:noProof/>
                <w:webHidden/>
              </w:rPr>
              <w:tab/>
            </w:r>
            <w:r>
              <w:rPr>
                <w:noProof/>
                <w:webHidden/>
              </w:rPr>
              <w:fldChar w:fldCharType="begin"/>
            </w:r>
            <w:r>
              <w:rPr>
                <w:noProof/>
                <w:webHidden/>
              </w:rPr>
              <w:instrText xml:space="preserve"> PAGEREF _Toc222235895 \h </w:instrText>
            </w:r>
            <w:r>
              <w:rPr>
                <w:noProof/>
                <w:webHidden/>
              </w:rPr>
            </w:r>
            <w:r>
              <w:rPr>
                <w:noProof/>
                <w:webHidden/>
              </w:rPr>
              <w:fldChar w:fldCharType="separate"/>
            </w:r>
            <w:r>
              <w:rPr>
                <w:noProof/>
                <w:webHidden/>
              </w:rPr>
              <w:t>6</w:t>
            </w:r>
            <w:r>
              <w:rPr>
                <w:noProof/>
                <w:webHidden/>
              </w:rPr>
              <w:fldChar w:fldCharType="end"/>
            </w:r>
          </w:hyperlink>
        </w:p>
        <w:p w14:paraId="1E7B0326" w14:textId="58CA6244" w:rsidR="00D8209A" w:rsidRDefault="00D8209A">
          <w:pPr>
            <w:pStyle w:val="TOC2"/>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896" w:history="1">
            <w:r w:rsidRPr="00902851">
              <w:rPr>
                <w:rStyle w:val="Hyperlink"/>
                <w:noProof/>
                <w:lang w:val="en-GB"/>
              </w:rPr>
              <w:t>4.2 Thematic Analysis</w:t>
            </w:r>
            <w:r>
              <w:rPr>
                <w:noProof/>
                <w:webHidden/>
              </w:rPr>
              <w:tab/>
            </w:r>
            <w:r>
              <w:rPr>
                <w:noProof/>
                <w:webHidden/>
              </w:rPr>
              <w:fldChar w:fldCharType="begin"/>
            </w:r>
            <w:r>
              <w:rPr>
                <w:noProof/>
                <w:webHidden/>
              </w:rPr>
              <w:instrText xml:space="preserve"> PAGEREF _Toc222235896 \h </w:instrText>
            </w:r>
            <w:r>
              <w:rPr>
                <w:noProof/>
                <w:webHidden/>
              </w:rPr>
            </w:r>
            <w:r>
              <w:rPr>
                <w:noProof/>
                <w:webHidden/>
              </w:rPr>
              <w:fldChar w:fldCharType="separate"/>
            </w:r>
            <w:r>
              <w:rPr>
                <w:noProof/>
                <w:webHidden/>
              </w:rPr>
              <w:t>6</w:t>
            </w:r>
            <w:r>
              <w:rPr>
                <w:noProof/>
                <w:webHidden/>
              </w:rPr>
              <w:fldChar w:fldCharType="end"/>
            </w:r>
          </w:hyperlink>
        </w:p>
        <w:p w14:paraId="70349AC6" w14:textId="1CECBDCB" w:rsidR="00D8209A" w:rsidRDefault="00D8209A">
          <w:pPr>
            <w:pStyle w:val="TOC2"/>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897" w:history="1">
            <w:r w:rsidRPr="00902851">
              <w:rPr>
                <w:rStyle w:val="Hyperlink"/>
                <w:noProof/>
                <w:lang w:val="en-GB"/>
              </w:rPr>
              <w:t>4.3 Theme 1 - Effectiveness of Emergency Clinical Training</w:t>
            </w:r>
            <w:r>
              <w:rPr>
                <w:noProof/>
                <w:webHidden/>
              </w:rPr>
              <w:tab/>
            </w:r>
            <w:r>
              <w:rPr>
                <w:noProof/>
                <w:webHidden/>
              </w:rPr>
              <w:fldChar w:fldCharType="begin"/>
            </w:r>
            <w:r>
              <w:rPr>
                <w:noProof/>
                <w:webHidden/>
              </w:rPr>
              <w:instrText xml:space="preserve"> PAGEREF _Toc222235897 \h </w:instrText>
            </w:r>
            <w:r>
              <w:rPr>
                <w:noProof/>
                <w:webHidden/>
              </w:rPr>
            </w:r>
            <w:r>
              <w:rPr>
                <w:noProof/>
                <w:webHidden/>
              </w:rPr>
              <w:fldChar w:fldCharType="separate"/>
            </w:r>
            <w:r>
              <w:rPr>
                <w:noProof/>
                <w:webHidden/>
              </w:rPr>
              <w:t>7</w:t>
            </w:r>
            <w:r>
              <w:rPr>
                <w:noProof/>
                <w:webHidden/>
              </w:rPr>
              <w:fldChar w:fldCharType="end"/>
            </w:r>
          </w:hyperlink>
        </w:p>
        <w:p w14:paraId="2D229332" w14:textId="60BD44A3" w:rsidR="00D8209A" w:rsidRDefault="00D8209A">
          <w:pPr>
            <w:pStyle w:val="TOC2"/>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898" w:history="1">
            <w:r w:rsidRPr="00902851">
              <w:rPr>
                <w:rStyle w:val="Hyperlink"/>
                <w:noProof/>
                <w:lang w:val="en-GB"/>
              </w:rPr>
              <w:t>4.4 Theme 2 - Workforce Flexibility and Role Adaptation</w:t>
            </w:r>
            <w:r>
              <w:rPr>
                <w:noProof/>
                <w:webHidden/>
              </w:rPr>
              <w:tab/>
            </w:r>
            <w:r>
              <w:rPr>
                <w:noProof/>
                <w:webHidden/>
              </w:rPr>
              <w:fldChar w:fldCharType="begin"/>
            </w:r>
            <w:r>
              <w:rPr>
                <w:noProof/>
                <w:webHidden/>
              </w:rPr>
              <w:instrText xml:space="preserve"> PAGEREF _Toc222235898 \h </w:instrText>
            </w:r>
            <w:r>
              <w:rPr>
                <w:noProof/>
                <w:webHidden/>
              </w:rPr>
            </w:r>
            <w:r>
              <w:rPr>
                <w:noProof/>
                <w:webHidden/>
              </w:rPr>
              <w:fldChar w:fldCharType="separate"/>
            </w:r>
            <w:r>
              <w:rPr>
                <w:noProof/>
                <w:webHidden/>
              </w:rPr>
              <w:t>9</w:t>
            </w:r>
            <w:r>
              <w:rPr>
                <w:noProof/>
                <w:webHidden/>
              </w:rPr>
              <w:fldChar w:fldCharType="end"/>
            </w:r>
          </w:hyperlink>
        </w:p>
        <w:p w14:paraId="2275A2FB" w14:textId="6D1D0C4E" w:rsidR="00D8209A" w:rsidRDefault="00D8209A">
          <w:pPr>
            <w:pStyle w:val="TOC2"/>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899" w:history="1">
            <w:r w:rsidRPr="00902851">
              <w:rPr>
                <w:rStyle w:val="Hyperlink"/>
                <w:noProof/>
                <w:lang w:val="en-GB"/>
              </w:rPr>
              <w:t>4.5 Theme 3 - Competency Development and Clinical Confidence</w:t>
            </w:r>
            <w:r>
              <w:rPr>
                <w:noProof/>
                <w:webHidden/>
              </w:rPr>
              <w:tab/>
            </w:r>
            <w:r>
              <w:rPr>
                <w:noProof/>
                <w:webHidden/>
              </w:rPr>
              <w:fldChar w:fldCharType="begin"/>
            </w:r>
            <w:r>
              <w:rPr>
                <w:noProof/>
                <w:webHidden/>
              </w:rPr>
              <w:instrText xml:space="preserve"> PAGEREF _Toc222235899 \h </w:instrText>
            </w:r>
            <w:r>
              <w:rPr>
                <w:noProof/>
                <w:webHidden/>
              </w:rPr>
            </w:r>
            <w:r>
              <w:rPr>
                <w:noProof/>
                <w:webHidden/>
              </w:rPr>
              <w:fldChar w:fldCharType="separate"/>
            </w:r>
            <w:r>
              <w:rPr>
                <w:noProof/>
                <w:webHidden/>
              </w:rPr>
              <w:t>13</w:t>
            </w:r>
            <w:r>
              <w:rPr>
                <w:noProof/>
                <w:webHidden/>
              </w:rPr>
              <w:fldChar w:fldCharType="end"/>
            </w:r>
          </w:hyperlink>
        </w:p>
        <w:p w14:paraId="15FA4B68" w14:textId="2DD5A80A" w:rsidR="00D8209A" w:rsidRDefault="00D8209A">
          <w:pPr>
            <w:pStyle w:val="TOC2"/>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900" w:history="1">
            <w:r w:rsidRPr="00902851">
              <w:rPr>
                <w:rStyle w:val="Hyperlink"/>
                <w:noProof/>
                <w:lang w:val="en-GB"/>
              </w:rPr>
              <w:t>4.6 Theme 4 - Barriers to Emergency Training Delivery</w:t>
            </w:r>
            <w:r>
              <w:rPr>
                <w:noProof/>
                <w:webHidden/>
              </w:rPr>
              <w:tab/>
            </w:r>
            <w:r>
              <w:rPr>
                <w:noProof/>
                <w:webHidden/>
              </w:rPr>
              <w:fldChar w:fldCharType="begin"/>
            </w:r>
            <w:r>
              <w:rPr>
                <w:noProof/>
                <w:webHidden/>
              </w:rPr>
              <w:instrText xml:space="preserve"> PAGEREF _Toc222235900 \h </w:instrText>
            </w:r>
            <w:r>
              <w:rPr>
                <w:noProof/>
                <w:webHidden/>
              </w:rPr>
            </w:r>
            <w:r>
              <w:rPr>
                <w:noProof/>
                <w:webHidden/>
              </w:rPr>
              <w:fldChar w:fldCharType="separate"/>
            </w:r>
            <w:r>
              <w:rPr>
                <w:noProof/>
                <w:webHidden/>
              </w:rPr>
              <w:t>15</w:t>
            </w:r>
            <w:r>
              <w:rPr>
                <w:noProof/>
                <w:webHidden/>
              </w:rPr>
              <w:fldChar w:fldCharType="end"/>
            </w:r>
          </w:hyperlink>
        </w:p>
        <w:p w14:paraId="3E2B8E8D" w14:textId="1E1E4121" w:rsidR="00D8209A" w:rsidRDefault="00D8209A">
          <w:pPr>
            <w:pStyle w:val="TOC2"/>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901" w:history="1">
            <w:r w:rsidRPr="00902851">
              <w:rPr>
                <w:rStyle w:val="Hyperlink"/>
                <w:noProof/>
                <w:lang w:val="en-GB"/>
              </w:rPr>
              <w:t>4.7 Theme 5 - Support Systems and Workforce Resilience</w:t>
            </w:r>
            <w:r>
              <w:rPr>
                <w:noProof/>
                <w:webHidden/>
              </w:rPr>
              <w:tab/>
            </w:r>
            <w:r>
              <w:rPr>
                <w:noProof/>
                <w:webHidden/>
              </w:rPr>
              <w:fldChar w:fldCharType="begin"/>
            </w:r>
            <w:r>
              <w:rPr>
                <w:noProof/>
                <w:webHidden/>
              </w:rPr>
              <w:instrText xml:space="preserve"> PAGEREF _Toc222235901 \h </w:instrText>
            </w:r>
            <w:r>
              <w:rPr>
                <w:noProof/>
                <w:webHidden/>
              </w:rPr>
            </w:r>
            <w:r>
              <w:rPr>
                <w:noProof/>
                <w:webHidden/>
              </w:rPr>
              <w:fldChar w:fldCharType="separate"/>
            </w:r>
            <w:r>
              <w:rPr>
                <w:noProof/>
                <w:webHidden/>
              </w:rPr>
              <w:t>17</w:t>
            </w:r>
            <w:r>
              <w:rPr>
                <w:noProof/>
                <w:webHidden/>
              </w:rPr>
              <w:fldChar w:fldCharType="end"/>
            </w:r>
          </w:hyperlink>
        </w:p>
        <w:p w14:paraId="280892C9" w14:textId="0B560ECD" w:rsidR="00D8209A" w:rsidRDefault="00D8209A">
          <w:pPr>
            <w:pStyle w:val="TOC2"/>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902" w:history="1">
            <w:r w:rsidRPr="00902851">
              <w:rPr>
                <w:rStyle w:val="Hyperlink"/>
                <w:noProof/>
                <w:lang w:val="en-GB"/>
              </w:rPr>
              <w:t>4.8 Chapter Conclusion</w:t>
            </w:r>
            <w:r>
              <w:rPr>
                <w:noProof/>
                <w:webHidden/>
              </w:rPr>
              <w:tab/>
            </w:r>
            <w:r>
              <w:rPr>
                <w:noProof/>
                <w:webHidden/>
              </w:rPr>
              <w:fldChar w:fldCharType="begin"/>
            </w:r>
            <w:r>
              <w:rPr>
                <w:noProof/>
                <w:webHidden/>
              </w:rPr>
              <w:instrText xml:space="preserve"> PAGEREF _Toc222235902 \h </w:instrText>
            </w:r>
            <w:r>
              <w:rPr>
                <w:noProof/>
                <w:webHidden/>
              </w:rPr>
            </w:r>
            <w:r>
              <w:rPr>
                <w:noProof/>
                <w:webHidden/>
              </w:rPr>
              <w:fldChar w:fldCharType="separate"/>
            </w:r>
            <w:r>
              <w:rPr>
                <w:noProof/>
                <w:webHidden/>
              </w:rPr>
              <w:t>19</w:t>
            </w:r>
            <w:r>
              <w:rPr>
                <w:noProof/>
                <w:webHidden/>
              </w:rPr>
              <w:fldChar w:fldCharType="end"/>
            </w:r>
          </w:hyperlink>
        </w:p>
        <w:p w14:paraId="6BF40182" w14:textId="4C755C50" w:rsidR="00D8209A" w:rsidRDefault="00D8209A">
          <w:pPr>
            <w:pStyle w:val="TOC1"/>
            <w:tabs>
              <w:tab w:val="right" w:leader="dot" w:pos="10934"/>
            </w:tabs>
            <w:rPr>
              <w:rFonts w:asciiTheme="minorHAnsi" w:eastAsiaTheme="minorEastAsia" w:hAnsiTheme="minorHAnsi"/>
              <w:noProof/>
              <w:kern w:val="2"/>
              <w:sz w:val="24"/>
              <w:szCs w:val="24"/>
              <w:lang w:val="en-IN" w:eastAsia="en-IN"/>
              <w14:ligatures w14:val="standardContextual"/>
            </w:rPr>
          </w:pPr>
          <w:hyperlink w:anchor="_Toc222235903" w:history="1">
            <w:r w:rsidRPr="00902851">
              <w:rPr>
                <w:rStyle w:val="Hyperlink"/>
                <w:noProof/>
                <w:lang w:val="en-GB"/>
              </w:rPr>
              <w:t>References</w:t>
            </w:r>
            <w:r>
              <w:rPr>
                <w:noProof/>
                <w:webHidden/>
              </w:rPr>
              <w:tab/>
            </w:r>
            <w:r>
              <w:rPr>
                <w:noProof/>
                <w:webHidden/>
              </w:rPr>
              <w:fldChar w:fldCharType="begin"/>
            </w:r>
            <w:r>
              <w:rPr>
                <w:noProof/>
                <w:webHidden/>
              </w:rPr>
              <w:instrText xml:space="preserve"> PAGEREF _Toc222235903 \h </w:instrText>
            </w:r>
            <w:r>
              <w:rPr>
                <w:noProof/>
                <w:webHidden/>
              </w:rPr>
            </w:r>
            <w:r>
              <w:rPr>
                <w:noProof/>
                <w:webHidden/>
              </w:rPr>
              <w:fldChar w:fldCharType="separate"/>
            </w:r>
            <w:r>
              <w:rPr>
                <w:noProof/>
                <w:webHidden/>
              </w:rPr>
              <w:t>21</w:t>
            </w:r>
            <w:r>
              <w:rPr>
                <w:noProof/>
                <w:webHidden/>
              </w:rPr>
              <w:fldChar w:fldCharType="end"/>
            </w:r>
          </w:hyperlink>
        </w:p>
        <w:p w14:paraId="1E60050C" w14:textId="0AEAC5ED" w:rsidR="004A1D43" w:rsidRDefault="004A1D43" w:rsidP="004A1D43">
          <w:r w:rsidRPr="004A1D43">
            <w:rPr>
              <w:rFonts w:cs="Arial"/>
              <w:b/>
              <w:bCs/>
              <w:noProof/>
              <w:sz w:val="24"/>
              <w:szCs w:val="24"/>
            </w:rPr>
            <w:fldChar w:fldCharType="end"/>
          </w:r>
        </w:p>
      </w:sdtContent>
    </w:sdt>
    <w:p w14:paraId="28F8EF0A" w14:textId="77777777" w:rsidR="004A1D43" w:rsidRPr="004A1D43" w:rsidRDefault="004A1D43" w:rsidP="004A1D43">
      <w:pPr>
        <w:spacing w:before="240" w:after="0"/>
        <w:rPr>
          <w:rFonts w:eastAsia="Times New Roman" w:cs="Arial"/>
          <w:sz w:val="28"/>
          <w:szCs w:val="28"/>
          <w:highlight w:val="white"/>
          <w:lang w:val="en-GB"/>
        </w:rPr>
      </w:pPr>
    </w:p>
    <w:p w14:paraId="0390A877" w14:textId="77777777" w:rsidR="005E31A6" w:rsidRPr="00EF2814" w:rsidRDefault="005E31A6" w:rsidP="000702A0">
      <w:pPr>
        <w:spacing w:before="240" w:after="0"/>
        <w:jc w:val="center"/>
        <w:rPr>
          <w:rFonts w:eastAsia="Times New Roman" w:cs="Arial"/>
          <w:b/>
          <w:bCs/>
          <w:sz w:val="28"/>
          <w:szCs w:val="28"/>
          <w:highlight w:val="white"/>
          <w:lang w:val="en-GB"/>
        </w:rPr>
      </w:pPr>
    </w:p>
    <w:p w14:paraId="3AD37523" w14:textId="77777777" w:rsidR="00BC594A" w:rsidRPr="00EF2814" w:rsidRDefault="00BC594A">
      <w:pPr>
        <w:rPr>
          <w:rFonts w:ascii="Aptos" w:hAnsi="Aptos"/>
          <w:b/>
          <w:bCs/>
          <w:lang w:val="en-GB"/>
        </w:rPr>
      </w:pPr>
      <w:r w:rsidRPr="00EF2814">
        <w:rPr>
          <w:rFonts w:ascii="Aptos" w:hAnsi="Aptos"/>
          <w:b/>
          <w:bCs/>
          <w:lang w:val="en-GB"/>
        </w:rPr>
        <w:br w:type="page"/>
      </w:r>
    </w:p>
    <w:p w14:paraId="7E10DC44" w14:textId="0E94DBC5" w:rsidR="00C31D85" w:rsidRPr="005C2540" w:rsidRDefault="00C31D85" w:rsidP="005C2540">
      <w:pPr>
        <w:pStyle w:val="TOCHeading"/>
        <w:spacing w:line="360" w:lineRule="auto"/>
        <w:rPr>
          <w:rFonts w:ascii="Arial" w:hAnsi="Arial" w:cs="Arial"/>
          <w:b/>
          <w:color w:val="000000" w:themeColor="text1"/>
          <w:szCs w:val="22"/>
          <w:lang w:val="en-GB"/>
        </w:rPr>
        <w:sectPr w:rsidR="00C31D85" w:rsidRPr="005C2540" w:rsidSect="005C2540">
          <w:headerReference w:type="default" r:id="rId12"/>
          <w:footerReference w:type="default" r:id="rId13"/>
          <w:headerReference w:type="first" r:id="rId14"/>
          <w:pgSz w:w="12240" w:h="15840" w:code="1"/>
          <w:pgMar w:top="720" w:right="576" w:bottom="720" w:left="720" w:header="432" w:footer="288" w:gutter="0"/>
          <w:cols w:space="720"/>
          <w:titlePg/>
          <w:docGrid w:linePitch="360"/>
        </w:sectPr>
      </w:pPr>
    </w:p>
    <w:p w14:paraId="663C4288" w14:textId="754D5649" w:rsidR="00126B52" w:rsidRPr="00EF2814" w:rsidRDefault="00126B52" w:rsidP="00AD2E14">
      <w:pPr>
        <w:pStyle w:val="Heading1"/>
        <w:spacing w:line="360" w:lineRule="auto"/>
        <w:rPr>
          <w:rFonts w:cs="Arial"/>
          <w:lang w:val="en-GB"/>
        </w:rPr>
      </w:pPr>
      <w:bookmarkStart w:id="0" w:name="_Toc222234337"/>
      <w:bookmarkStart w:id="1" w:name="_Toc222235893"/>
      <w:r w:rsidRPr="00EF2814">
        <w:rPr>
          <w:rFonts w:cs="Arial"/>
          <w:lang w:val="en-GB"/>
        </w:rPr>
        <w:lastRenderedPageBreak/>
        <w:t>Element 3</w:t>
      </w:r>
      <w:r w:rsidR="004905BD" w:rsidRPr="00EF2814">
        <w:rPr>
          <w:rFonts w:cs="Arial"/>
          <w:lang w:val="en-GB"/>
        </w:rPr>
        <w:t xml:space="preserve"> -</w:t>
      </w:r>
      <w:r w:rsidRPr="00EF2814">
        <w:rPr>
          <w:rFonts w:cs="Arial"/>
          <w:lang w:val="en-GB"/>
        </w:rPr>
        <w:t xml:space="preserve"> Dissertation document</w:t>
      </w:r>
      <w:bookmarkEnd w:id="0"/>
      <w:bookmarkEnd w:id="1"/>
      <w:r w:rsidRPr="00EF2814">
        <w:rPr>
          <w:rFonts w:cs="Arial"/>
          <w:lang w:val="en-GB"/>
        </w:rPr>
        <w:t xml:space="preserve"> </w:t>
      </w:r>
    </w:p>
    <w:p w14:paraId="60BF38DF" w14:textId="77777777" w:rsidR="008918D9" w:rsidRPr="00EF2814" w:rsidRDefault="008918D9" w:rsidP="008918D9">
      <w:pPr>
        <w:jc w:val="center"/>
        <w:rPr>
          <w:rFonts w:eastAsia="Times New Roman" w:cs="Arial"/>
          <w:b/>
          <w:bCs/>
          <w:sz w:val="28"/>
          <w:szCs w:val="28"/>
          <w:lang w:val="en-GB"/>
        </w:rPr>
      </w:pPr>
      <w:r w:rsidRPr="00EF2814">
        <w:rPr>
          <w:rFonts w:eastAsia="Times New Roman" w:cs="Arial"/>
          <w:b/>
          <w:bCs/>
          <w:sz w:val="28"/>
          <w:szCs w:val="28"/>
          <w:lang w:val="en-GB"/>
        </w:rPr>
        <w:t>Declaration</w:t>
      </w:r>
    </w:p>
    <w:p w14:paraId="22F5BD99" w14:textId="77777777" w:rsidR="008918D9" w:rsidRPr="00EF2814" w:rsidRDefault="008918D9" w:rsidP="008918D9">
      <w:pPr>
        <w:spacing w:before="200"/>
        <w:rPr>
          <w:rFonts w:eastAsia="Times New Roman" w:cs="Arial"/>
          <w:lang w:val="en-GB"/>
        </w:rPr>
      </w:pPr>
      <w:r w:rsidRPr="00EF2814">
        <w:rPr>
          <w:rFonts w:eastAsia="Times New Roman" w:cs="Arial"/>
          <w:lang w:val="en-GB"/>
        </w:rPr>
        <w:t>I hereby declare that this dissertation is an outcome of my own independent work, by investigating an emerging research topic, which creates the depth of research. Further, all sources used in this research project are explicitly referenced, and the bibliography is provided at the end of the project.</w:t>
      </w:r>
    </w:p>
    <w:p w14:paraId="4877505A" w14:textId="6AAC1A1A" w:rsidR="008918D9" w:rsidRPr="00EF2814" w:rsidRDefault="008918D9" w:rsidP="008918D9">
      <w:pPr>
        <w:spacing w:before="200"/>
        <w:rPr>
          <w:rFonts w:eastAsia="Times New Roman" w:cs="Arial"/>
          <w:lang w:val="en-GB"/>
        </w:rPr>
      </w:pPr>
      <w:r w:rsidRPr="00EF2814">
        <w:rPr>
          <w:rFonts w:eastAsia="Times New Roman" w:cs="Arial"/>
          <w:lang w:val="en-GB"/>
        </w:rPr>
        <w:t>—---</w:t>
      </w:r>
      <w:proofErr w:type="spellStart"/>
      <w:proofErr w:type="gramStart"/>
      <w:r w:rsidR="00E4453F">
        <w:rPr>
          <w:rFonts w:eastAsia="Times New Roman" w:cs="Arial"/>
          <w:lang w:val="en-GB"/>
        </w:rPr>
        <w:t>J.Lawrence</w:t>
      </w:r>
      <w:proofErr w:type="spellEnd"/>
      <w:proofErr w:type="gramEnd"/>
      <w:r w:rsidRPr="00EF2814">
        <w:rPr>
          <w:rFonts w:eastAsia="Times New Roman" w:cs="Arial"/>
          <w:lang w:val="en-GB"/>
        </w:rPr>
        <w:t>------                                                                                        —------</w:t>
      </w:r>
      <w:r w:rsidR="00701C90">
        <w:rPr>
          <w:rFonts w:eastAsia="Times New Roman" w:cs="Arial"/>
          <w:lang w:val="en-GB"/>
        </w:rPr>
        <w:t>04/06/2026</w:t>
      </w:r>
      <w:r w:rsidRPr="00EF2814">
        <w:rPr>
          <w:rFonts w:eastAsia="Times New Roman" w:cs="Arial"/>
          <w:lang w:val="en-GB"/>
        </w:rPr>
        <w:t>------</w:t>
      </w:r>
    </w:p>
    <w:p w14:paraId="53DA5005" w14:textId="24526842" w:rsidR="000702A0" w:rsidRPr="00EF2814" w:rsidRDefault="008918D9" w:rsidP="008918D9">
      <w:pPr>
        <w:rPr>
          <w:b/>
          <w:color w:val="000000" w:themeColor="text1"/>
          <w:spacing w:val="10"/>
          <w:sz w:val="28"/>
          <w:lang w:val="en-GB"/>
        </w:rPr>
      </w:pPr>
      <w:r w:rsidRPr="00EF2814">
        <w:rPr>
          <w:rFonts w:eastAsia="Times New Roman" w:cs="Arial"/>
          <w:lang w:val="en-GB"/>
        </w:rPr>
        <w:t>Signature of the student                                                                                              Date</w:t>
      </w:r>
      <w:r w:rsidR="000702A0" w:rsidRPr="00EF2814">
        <w:rPr>
          <w:lang w:val="en-GB"/>
        </w:rPr>
        <w:br w:type="page"/>
      </w:r>
    </w:p>
    <w:p w14:paraId="76BA4E22" w14:textId="6D4D91AB" w:rsidR="00D667E3" w:rsidRPr="00EF2814" w:rsidRDefault="00D667E3" w:rsidP="005B1B4C">
      <w:pPr>
        <w:jc w:val="center"/>
        <w:rPr>
          <w:b/>
          <w:bCs/>
          <w:sz w:val="28"/>
          <w:szCs w:val="28"/>
          <w:lang w:val="en-GB"/>
        </w:rPr>
      </w:pPr>
      <w:r w:rsidRPr="00EF2814">
        <w:rPr>
          <w:b/>
          <w:bCs/>
          <w:sz w:val="28"/>
          <w:szCs w:val="28"/>
          <w:lang w:val="en-GB"/>
        </w:rPr>
        <w:lastRenderedPageBreak/>
        <w:t>Acknowledgements</w:t>
      </w:r>
    </w:p>
    <w:p w14:paraId="64545F91" w14:textId="77777777" w:rsidR="00D667E3" w:rsidRPr="00EF2814" w:rsidRDefault="00D667E3" w:rsidP="000702A0">
      <w:pPr>
        <w:spacing w:before="240" w:after="0"/>
        <w:rPr>
          <w:rFonts w:cs="Arial"/>
          <w:lang w:val="en-GB"/>
        </w:rPr>
      </w:pPr>
      <w:r w:rsidRPr="00EF2814">
        <w:rPr>
          <w:rFonts w:cs="Arial"/>
          <w:lang w:val="en-GB"/>
        </w:rPr>
        <w:t>I would like to thank my academic supervisor for their support throughout this entire research project, and I would like to take a moment to thank them for that. I would also like to thank the University of Wales Trinity Saint David for their support throughout this project, particularly regarding the academic databases that have been necessary for the literature aspect of this research. I would like to thank the tutors and students for their support and helpful discussions that have aided me in my understanding of research methods and thematic analysis. Their support helped me complete this dissertation successfully.</w:t>
      </w:r>
    </w:p>
    <w:p w14:paraId="13E32933" w14:textId="77777777" w:rsidR="00D667E3" w:rsidRPr="00EF2814" w:rsidRDefault="00D667E3" w:rsidP="000702A0">
      <w:pPr>
        <w:spacing w:before="240" w:after="0"/>
        <w:rPr>
          <w:rFonts w:cs="Arial"/>
          <w:lang w:val="en-GB"/>
        </w:rPr>
      </w:pPr>
      <w:r w:rsidRPr="00EF2814">
        <w:rPr>
          <w:rFonts w:cs="Arial"/>
          <w:lang w:val="en-GB"/>
        </w:rPr>
        <w:t>Sincerely yours,</w:t>
      </w:r>
    </w:p>
    <w:p w14:paraId="0CB0561C" w14:textId="77777777" w:rsidR="00D667E3" w:rsidRPr="00EF2814" w:rsidRDefault="00D667E3" w:rsidP="000702A0">
      <w:pPr>
        <w:spacing w:before="240" w:after="0"/>
        <w:rPr>
          <w:rFonts w:cs="Arial"/>
          <w:lang w:val="en-GB"/>
        </w:rPr>
      </w:pPr>
      <w:r w:rsidRPr="00EF2814">
        <w:rPr>
          <w:rFonts w:cs="Arial"/>
          <w:lang w:val="en-GB"/>
        </w:rPr>
        <w:t>[Name]</w:t>
      </w:r>
    </w:p>
    <w:p w14:paraId="31606A6E" w14:textId="77777777" w:rsidR="00D667E3" w:rsidRPr="00EF2814" w:rsidRDefault="00D667E3" w:rsidP="00AD2E14">
      <w:pPr>
        <w:spacing w:after="0"/>
        <w:rPr>
          <w:b/>
          <w:color w:val="000000" w:themeColor="text1"/>
          <w:spacing w:val="10"/>
          <w:sz w:val="28"/>
          <w:lang w:val="en-GB"/>
        </w:rPr>
      </w:pPr>
      <w:r w:rsidRPr="00EF2814">
        <w:rPr>
          <w:lang w:val="en-GB"/>
        </w:rPr>
        <w:br w:type="page"/>
      </w:r>
    </w:p>
    <w:p w14:paraId="3FB72370" w14:textId="24E99E08" w:rsidR="00D667E3" w:rsidRPr="00EF2814" w:rsidRDefault="00D667E3" w:rsidP="004A6850">
      <w:pPr>
        <w:jc w:val="center"/>
        <w:rPr>
          <w:b/>
          <w:bCs/>
          <w:sz w:val="28"/>
          <w:szCs w:val="28"/>
          <w:lang w:val="en-GB"/>
        </w:rPr>
      </w:pPr>
      <w:bookmarkStart w:id="2" w:name="_Toc222234338"/>
      <w:r w:rsidRPr="00EF2814">
        <w:rPr>
          <w:b/>
          <w:bCs/>
          <w:sz w:val="28"/>
          <w:szCs w:val="28"/>
          <w:lang w:val="en-GB"/>
        </w:rPr>
        <w:lastRenderedPageBreak/>
        <w:t>Abstract</w:t>
      </w:r>
      <w:bookmarkEnd w:id="2"/>
    </w:p>
    <w:p w14:paraId="2E462F99" w14:textId="70C3296B" w:rsidR="00AD772C" w:rsidRPr="00EF2814" w:rsidRDefault="00D8209A" w:rsidP="00AD2E14">
      <w:pPr>
        <w:spacing w:after="0"/>
        <w:rPr>
          <w:rFonts w:eastAsia="Times New Roman" w:cs="Arial"/>
          <w:b/>
          <w:bCs/>
          <w:sz w:val="28"/>
          <w:szCs w:val="28"/>
          <w:highlight w:val="white"/>
          <w:lang w:val="en-GB"/>
        </w:rPr>
      </w:pPr>
      <w:r w:rsidRPr="00EF2814">
        <w:rPr>
          <w:rFonts w:cs="Arial"/>
          <w:lang w:val="en-GB"/>
        </w:rPr>
        <w:t>The findings indicated that high-quality emergency clinical training, workforce flexibility, and role adaptation are key factors that improve the resilience of services. The key themes included the importance of simulation training, multidisciplinary working, and policy alignment. These themes and findings together showed that prepared and flexible workforces are important in improving the quality of care, decision-making, and continuity in high-pressure clinical contexts.</w:t>
      </w:r>
      <w:r w:rsidR="00AD772C" w:rsidRPr="00EF2814">
        <w:rPr>
          <w:rFonts w:eastAsia="Times New Roman" w:cs="Arial"/>
          <w:b/>
          <w:bCs/>
          <w:sz w:val="28"/>
          <w:szCs w:val="28"/>
          <w:highlight w:val="white"/>
          <w:lang w:val="en-GB"/>
        </w:rPr>
        <w:br w:type="page"/>
      </w:r>
    </w:p>
    <w:p w14:paraId="32F70727" w14:textId="2218D8E9" w:rsidR="00126B52" w:rsidRPr="00EF2814" w:rsidRDefault="00126B52" w:rsidP="00AD2E14">
      <w:pPr>
        <w:spacing w:after="0"/>
        <w:jc w:val="center"/>
        <w:rPr>
          <w:rFonts w:eastAsia="Times New Roman" w:cs="Arial"/>
          <w:b/>
          <w:bCs/>
          <w:i/>
          <w:sz w:val="28"/>
          <w:szCs w:val="28"/>
          <w:highlight w:val="white"/>
          <w:lang w:val="en-GB"/>
        </w:rPr>
      </w:pPr>
      <w:r w:rsidRPr="00EF2814">
        <w:rPr>
          <w:rFonts w:eastAsia="Times New Roman" w:cs="Arial"/>
          <w:b/>
          <w:bCs/>
          <w:i/>
          <w:sz w:val="28"/>
          <w:szCs w:val="28"/>
          <w:highlight w:val="white"/>
          <w:lang w:val="en-GB"/>
        </w:rPr>
        <w:lastRenderedPageBreak/>
        <w:t>Title: Examining the Effect of COVID-19 Emergency Clinical Training on Staff Competency Levels wit</w:t>
      </w:r>
      <w:r w:rsidR="009C6120" w:rsidRPr="00EF2814">
        <w:rPr>
          <w:rFonts w:eastAsia="Times New Roman" w:cs="Arial"/>
          <w:b/>
          <w:bCs/>
          <w:i/>
          <w:sz w:val="28"/>
          <w:szCs w:val="28"/>
          <w:highlight w:val="white"/>
          <w:lang w:val="en-GB"/>
        </w:rPr>
        <w:t>hin the UK Health Care Industry</w:t>
      </w:r>
    </w:p>
    <w:p w14:paraId="6975F777" w14:textId="77777777" w:rsidR="005578F0" w:rsidRPr="00EF2814" w:rsidRDefault="005578F0" w:rsidP="00AD2E14">
      <w:pPr>
        <w:spacing w:after="0"/>
        <w:rPr>
          <w:lang w:val="en-GB"/>
        </w:rPr>
      </w:pPr>
    </w:p>
    <w:p w14:paraId="0C74B656" w14:textId="77777777" w:rsidR="00D8209A" w:rsidRPr="00EF2814" w:rsidRDefault="00D8209A" w:rsidP="00D8209A">
      <w:pPr>
        <w:pStyle w:val="Heading1"/>
        <w:spacing w:before="240" w:line="360" w:lineRule="auto"/>
        <w:rPr>
          <w:rFonts w:cs="Arial"/>
          <w:lang w:val="en-GB"/>
        </w:rPr>
      </w:pPr>
      <w:bookmarkStart w:id="3" w:name="_Toc222234361"/>
      <w:bookmarkStart w:id="4" w:name="_Toc222235894"/>
      <w:r w:rsidRPr="00EF2814">
        <w:rPr>
          <w:rFonts w:cs="Arial"/>
          <w:lang w:val="en-GB"/>
        </w:rPr>
        <w:t>Chapter 4 – Findings and Discussion</w:t>
      </w:r>
      <w:bookmarkEnd w:id="3"/>
      <w:bookmarkEnd w:id="4"/>
      <w:r w:rsidRPr="00EF2814">
        <w:rPr>
          <w:rFonts w:cs="Arial"/>
          <w:lang w:val="en-GB"/>
        </w:rPr>
        <w:t xml:space="preserve"> </w:t>
      </w:r>
    </w:p>
    <w:p w14:paraId="7483BD7B" w14:textId="77777777" w:rsidR="00D8209A" w:rsidRPr="00EF2814" w:rsidRDefault="00D8209A" w:rsidP="00D8209A">
      <w:pPr>
        <w:pStyle w:val="Heading2"/>
        <w:rPr>
          <w:lang w:val="en-GB"/>
        </w:rPr>
      </w:pPr>
      <w:bookmarkStart w:id="5" w:name="_uhwuhgjlk20k" w:colFirst="0" w:colLast="0"/>
      <w:bookmarkStart w:id="6" w:name="_Toc222234362"/>
      <w:bookmarkStart w:id="7" w:name="_Toc222235895"/>
      <w:bookmarkEnd w:id="5"/>
      <w:r w:rsidRPr="00EF2814">
        <w:rPr>
          <w:lang w:val="en-GB"/>
        </w:rPr>
        <w:t>4.1 Introduction</w:t>
      </w:r>
      <w:bookmarkEnd w:id="6"/>
      <w:bookmarkEnd w:id="7"/>
    </w:p>
    <w:p w14:paraId="7D091962" w14:textId="77777777" w:rsidR="00D8209A" w:rsidRPr="00EF2814" w:rsidRDefault="00D8209A" w:rsidP="00D8209A">
      <w:pPr>
        <w:spacing w:before="240" w:after="0"/>
        <w:rPr>
          <w:rFonts w:cs="Arial"/>
          <w:lang w:val="en-GB"/>
        </w:rPr>
      </w:pPr>
      <w:r w:rsidRPr="00EF2814">
        <w:rPr>
          <w:rFonts w:cs="Arial"/>
          <w:lang w:val="en-GB"/>
        </w:rPr>
        <w:t>In this chapter, the writer will comment on how the research will be done through desk-based secondary literature research. It will elaborate on the academic methodology poster by giving a comprehensive description of the steps used to conduct search, collection, validation, and analysis of data. In the chapter, the demonstration of how the relevant literature will be identified, evaluated, and analysed to respond to the aim of the research will be described. This chapter, by recording all methodological procedures, will illustrate the rigour and transparency of the research process and be used to form a basis for the heuristic findings of the research in Chapter 4.</w:t>
      </w:r>
    </w:p>
    <w:p w14:paraId="611FAEA0" w14:textId="77777777" w:rsidR="00D8209A" w:rsidRPr="00EF2814" w:rsidRDefault="00D8209A" w:rsidP="00D8209A">
      <w:pPr>
        <w:pStyle w:val="Heading2"/>
        <w:rPr>
          <w:lang w:val="en-GB"/>
        </w:rPr>
      </w:pPr>
      <w:bookmarkStart w:id="8" w:name="_sx3eaew4b2ib" w:colFirst="0" w:colLast="0"/>
      <w:bookmarkStart w:id="9" w:name="_Toc222234363"/>
      <w:bookmarkStart w:id="10" w:name="_Toc222235896"/>
      <w:bookmarkEnd w:id="8"/>
      <w:r w:rsidRPr="00EF2814">
        <w:rPr>
          <w:lang w:val="en-GB"/>
        </w:rPr>
        <w:t>4.2 Thematic Analysis</w:t>
      </w:r>
      <w:bookmarkEnd w:id="9"/>
      <w:bookmarkEnd w:id="10"/>
    </w:p>
    <w:p w14:paraId="177B0ADE" w14:textId="77777777" w:rsidR="00D8209A" w:rsidRPr="00EF2814" w:rsidRDefault="00D8209A" w:rsidP="00D8209A">
      <w:pPr>
        <w:spacing w:before="200"/>
        <w:rPr>
          <w:rFonts w:eastAsia="Times New Roman" w:cs="Arial"/>
          <w:b/>
          <w:bCs/>
          <w:i/>
          <w:iCs/>
          <w:lang w:val="en-GB"/>
        </w:rPr>
      </w:pPr>
      <w:r w:rsidRPr="00EF2814">
        <w:rPr>
          <w:rFonts w:eastAsia="Times New Roman" w:cs="Arial"/>
          <w:b/>
          <w:bCs/>
          <w:i/>
          <w:iCs/>
          <w:lang w:val="en-GB"/>
        </w:rPr>
        <w:t>Key definition of the term</w:t>
      </w:r>
    </w:p>
    <w:p w14:paraId="665C98D9" w14:textId="77777777" w:rsidR="00D8209A" w:rsidRPr="00EF2814" w:rsidRDefault="00D8209A" w:rsidP="00D8209A">
      <w:pPr>
        <w:spacing w:before="200"/>
        <w:rPr>
          <w:rFonts w:eastAsia="Times New Roman" w:cs="Arial"/>
          <w:lang w:val="en-GB"/>
        </w:rPr>
      </w:pPr>
      <w:r w:rsidRPr="00EF2814">
        <w:rPr>
          <w:rFonts w:eastAsia="Times New Roman" w:cs="Arial"/>
          <w:lang w:val="en-GB"/>
        </w:rPr>
        <w:t>Thematic analysis is a qualitative approach that is applied to identify, analyse and report common patterns or themes within a dataset. According to the information by Clarke and Braun (2020), it can be described as a flexible method, which allows the researcher to arrange and describe data in a detailed manner, besides interpreting different issues of the research topic. Thematic analysis is applicable in the context of secondary studies, as published literature can be synthesised to outline the similarities and differences among the studies. Thus, a structured meaning of how the COVID-19 emergency clinical training affects staff competency can be achieved.</w:t>
      </w:r>
    </w:p>
    <w:p w14:paraId="0960B180" w14:textId="77777777" w:rsidR="00D8209A" w:rsidRPr="00EF2814" w:rsidRDefault="00D8209A" w:rsidP="00D8209A">
      <w:pPr>
        <w:spacing w:before="200"/>
        <w:rPr>
          <w:rFonts w:eastAsia="Times New Roman" w:cs="Arial"/>
          <w:b/>
          <w:bCs/>
          <w:i/>
          <w:iCs/>
          <w:lang w:val="en-GB"/>
        </w:rPr>
      </w:pPr>
      <w:r w:rsidRPr="00EF2814">
        <w:rPr>
          <w:rFonts w:eastAsia="Times New Roman" w:cs="Arial"/>
          <w:b/>
          <w:bCs/>
          <w:i/>
          <w:iCs/>
          <w:lang w:val="en-GB"/>
        </w:rPr>
        <w:t>Link to the coded table from the previous chapter</w:t>
      </w:r>
    </w:p>
    <w:p w14:paraId="5D8627DB"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In this dissertation, the secondary sources that were identified in Chapter 3 were analysed using thematic analysis. The literature was screened using a coding framework to identify common themes, including </w:t>
      </w:r>
      <w:r w:rsidRPr="00EF2814">
        <w:rPr>
          <w:rFonts w:eastAsia="Times New Roman" w:cs="Arial"/>
          <w:b/>
          <w:bCs/>
          <w:lang w:val="en-GB"/>
        </w:rPr>
        <w:t>"training effectiveness"</w:t>
      </w:r>
      <w:r w:rsidRPr="00EF2814">
        <w:rPr>
          <w:rFonts w:eastAsia="Times New Roman" w:cs="Arial"/>
          <w:lang w:val="en-GB"/>
        </w:rPr>
        <w:t xml:space="preserve">, </w:t>
      </w:r>
      <w:r w:rsidRPr="00EF2814">
        <w:rPr>
          <w:rFonts w:eastAsia="Times New Roman" w:cs="Arial"/>
          <w:b/>
          <w:bCs/>
          <w:lang w:val="en-GB"/>
        </w:rPr>
        <w:t>"workforce adaptability"</w:t>
      </w:r>
      <w:r w:rsidRPr="00EF2814">
        <w:rPr>
          <w:rFonts w:eastAsia="Times New Roman" w:cs="Arial"/>
          <w:lang w:val="en-GB"/>
        </w:rPr>
        <w:t xml:space="preserve">, </w:t>
      </w:r>
      <w:r w:rsidRPr="00EF2814">
        <w:rPr>
          <w:rFonts w:eastAsia="Times New Roman" w:cs="Arial"/>
          <w:b/>
          <w:bCs/>
          <w:lang w:val="en-GB"/>
        </w:rPr>
        <w:t>"competency development"</w:t>
      </w:r>
      <w:r w:rsidRPr="00EF2814">
        <w:rPr>
          <w:rFonts w:eastAsia="Times New Roman" w:cs="Arial"/>
          <w:lang w:val="en-GB"/>
        </w:rPr>
        <w:t xml:space="preserve">, </w:t>
      </w:r>
      <w:r w:rsidRPr="00EF2814">
        <w:rPr>
          <w:rFonts w:eastAsia="Times New Roman" w:cs="Arial"/>
          <w:b/>
          <w:bCs/>
          <w:lang w:val="en-GB"/>
        </w:rPr>
        <w:t>"barriers to delivery"</w:t>
      </w:r>
      <w:r w:rsidRPr="00EF2814">
        <w:rPr>
          <w:rFonts w:eastAsia="Times New Roman" w:cs="Arial"/>
          <w:lang w:val="en-GB"/>
        </w:rPr>
        <w:t xml:space="preserve"> and </w:t>
      </w:r>
      <w:r w:rsidRPr="00EF2814">
        <w:rPr>
          <w:rFonts w:eastAsia="Times New Roman" w:cs="Arial"/>
          <w:b/>
          <w:bCs/>
          <w:lang w:val="en-GB"/>
        </w:rPr>
        <w:t>"resilience".</w:t>
      </w:r>
      <w:r w:rsidRPr="00EF2814">
        <w:rPr>
          <w:rFonts w:eastAsia="Times New Roman" w:cs="Arial"/>
          <w:lang w:val="en-GB"/>
        </w:rPr>
        <w:t xml:space="preserve"> These codes were further arranged into larger themes that directly answer the research question. The process has been integrated into a coding/results table to maintain transparency &amp; consistency in terms of developing themes.</w:t>
      </w:r>
    </w:p>
    <w:p w14:paraId="7EB3EAC6" w14:textId="77777777" w:rsidR="00D8209A" w:rsidRPr="00EF2814" w:rsidRDefault="00D8209A" w:rsidP="00D8209A">
      <w:pPr>
        <w:spacing w:before="200"/>
        <w:rPr>
          <w:rFonts w:eastAsia="Times New Roman" w:cs="Arial"/>
          <w:lang w:val="en-GB"/>
        </w:rPr>
      </w:pPr>
      <w:r w:rsidRPr="00EF2814">
        <w:rPr>
          <w:rFonts w:eastAsia="Times New Roman" w:cs="Arial"/>
          <w:lang w:val="en-GB"/>
        </w:rPr>
        <w:lastRenderedPageBreak/>
        <w:t>Indicating the generated codes, the following themes have been established:</w:t>
      </w:r>
    </w:p>
    <w:tbl>
      <w:tblPr>
        <w:tblW w:w="7245"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5460"/>
      </w:tblGrid>
      <w:tr w:rsidR="00D8209A" w:rsidRPr="00EF2814" w14:paraId="4E5D127C" w14:textId="77777777" w:rsidTr="00F06995">
        <w:tc>
          <w:tcPr>
            <w:tcW w:w="1785" w:type="dxa"/>
            <w:tcMar>
              <w:top w:w="100" w:type="dxa"/>
              <w:left w:w="100" w:type="dxa"/>
              <w:bottom w:w="100" w:type="dxa"/>
              <w:right w:w="100" w:type="dxa"/>
            </w:tcMar>
          </w:tcPr>
          <w:p w14:paraId="5742B58C" w14:textId="77777777" w:rsidR="00D8209A" w:rsidRPr="00EF2814" w:rsidRDefault="00D8209A" w:rsidP="00F06995">
            <w:pPr>
              <w:widowControl w:val="0"/>
              <w:spacing w:after="0"/>
              <w:jc w:val="center"/>
              <w:rPr>
                <w:rFonts w:eastAsia="Times New Roman" w:cs="Arial"/>
                <w:b/>
                <w:bCs/>
                <w:lang w:val="en-GB"/>
              </w:rPr>
            </w:pPr>
            <w:r w:rsidRPr="00EF2814">
              <w:rPr>
                <w:rFonts w:eastAsia="Times New Roman" w:cs="Arial"/>
                <w:b/>
                <w:bCs/>
                <w:lang w:val="en-GB"/>
              </w:rPr>
              <w:t>Theme 1</w:t>
            </w:r>
          </w:p>
        </w:tc>
        <w:tc>
          <w:tcPr>
            <w:tcW w:w="5460" w:type="dxa"/>
            <w:tcMar>
              <w:top w:w="100" w:type="dxa"/>
              <w:left w:w="100" w:type="dxa"/>
              <w:bottom w:w="100" w:type="dxa"/>
              <w:right w:w="100" w:type="dxa"/>
            </w:tcMar>
          </w:tcPr>
          <w:p w14:paraId="353BB35F" w14:textId="77777777" w:rsidR="00D8209A" w:rsidRPr="00EF2814" w:rsidRDefault="00D8209A" w:rsidP="00F06995">
            <w:pPr>
              <w:widowControl w:val="0"/>
              <w:spacing w:after="0"/>
              <w:jc w:val="center"/>
              <w:rPr>
                <w:rFonts w:eastAsia="Times New Roman" w:cs="Arial"/>
                <w:lang w:val="en-GB"/>
              </w:rPr>
            </w:pPr>
            <w:r w:rsidRPr="00EF2814">
              <w:rPr>
                <w:rFonts w:eastAsia="Times New Roman" w:cs="Arial"/>
                <w:lang w:val="en-GB"/>
              </w:rPr>
              <w:t>Effectiveness of Emergency Clinical Training</w:t>
            </w:r>
          </w:p>
        </w:tc>
      </w:tr>
      <w:tr w:rsidR="00D8209A" w:rsidRPr="00EF2814" w14:paraId="27E1B0F5" w14:textId="77777777" w:rsidTr="00F06995">
        <w:tc>
          <w:tcPr>
            <w:tcW w:w="1785" w:type="dxa"/>
            <w:tcMar>
              <w:top w:w="100" w:type="dxa"/>
              <w:left w:w="100" w:type="dxa"/>
              <w:bottom w:w="100" w:type="dxa"/>
              <w:right w:w="100" w:type="dxa"/>
            </w:tcMar>
          </w:tcPr>
          <w:p w14:paraId="639B0A1E" w14:textId="77777777" w:rsidR="00D8209A" w:rsidRPr="00EF2814" w:rsidRDefault="00D8209A" w:rsidP="00F06995">
            <w:pPr>
              <w:widowControl w:val="0"/>
              <w:spacing w:after="0"/>
              <w:jc w:val="center"/>
              <w:rPr>
                <w:rFonts w:eastAsia="Times New Roman" w:cs="Arial"/>
                <w:b/>
                <w:bCs/>
                <w:lang w:val="en-GB"/>
              </w:rPr>
            </w:pPr>
            <w:r w:rsidRPr="00EF2814">
              <w:rPr>
                <w:rFonts w:eastAsia="Times New Roman" w:cs="Arial"/>
                <w:b/>
                <w:bCs/>
                <w:lang w:val="en-GB"/>
              </w:rPr>
              <w:t>Theme 2</w:t>
            </w:r>
          </w:p>
        </w:tc>
        <w:tc>
          <w:tcPr>
            <w:tcW w:w="5460" w:type="dxa"/>
            <w:tcMar>
              <w:top w:w="100" w:type="dxa"/>
              <w:left w:w="100" w:type="dxa"/>
              <w:bottom w:w="100" w:type="dxa"/>
              <w:right w:w="100" w:type="dxa"/>
            </w:tcMar>
          </w:tcPr>
          <w:p w14:paraId="4DE01064" w14:textId="77777777" w:rsidR="00D8209A" w:rsidRPr="00EF2814" w:rsidRDefault="00D8209A" w:rsidP="00F06995">
            <w:pPr>
              <w:widowControl w:val="0"/>
              <w:spacing w:after="0"/>
              <w:jc w:val="center"/>
              <w:rPr>
                <w:rFonts w:eastAsia="Times New Roman" w:cs="Arial"/>
                <w:lang w:val="en-GB"/>
              </w:rPr>
            </w:pPr>
            <w:r w:rsidRPr="00EF2814">
              <w:rPr>
                <w:rFonts w:eastAsia="Times New Roman" w:cs="Arial"/>
                <w:lang w:val="en-GB"/>
              </w:rPr>
              <w:t>Workforce Flexibility and Role Adaptation</w:t>
            </w:r>
          </w:p>
        </w:tc>
      </w:tr>
      <w:tr w:rsidR="00D8209A" w:rsidRPr="00EF2814" w14:paraId="3BC52FA4" w14:textId="77777777" w:rsidTr="00F06995">
        <w:tc>
          <w:tcPr>
            <w:tcW w:w="1785" w:type="dxa"/>
            <w:tcMar>
              <w:top w:w="100" w:type="dxa"/>
              <w:left w:w="100" w:type="dxa"/>
              <w:bottom w:w="100" w:type="dxa"/>
              <w:right w:w="100" w:type="dxa"/>
            </w:tcMar>
          </w:tcPr>
          <w:p w14:paraId="184E7EAC" w14:textId="77777777" w:rsidR="00D8209A" w:rsidRPr="00EF2814" w:rsidRDefault="00D8209A" w:rsidP="00F06995">
            <w:pPr>
              <w:widowControl w:val="0"/>
              <w:spacing w:after="0"/>
              <w:jc w:val="center"/>
              <w:rPr>
                <w:rFonts w:eastAsia="Times New Roman" w:cs="Arial"/>
                <w:b/>
                <w:bCs/>
                <w:lang w:val="en-GB"/>
              </w:rPr>
            </w:pPr>
            <w:r w:rsidRPr="00EF2814">
              <w:rPr>
                <w:rFonts w:eastAsia="Times New Roman" w:cs="Arial"/>
                <w:b/>
                <w:bCs/>
                <w:lang w:val="en-GB"/>
              </w:rPr>
              <w:t>Theme 3</w:t>
            </w:r>
          </w:p>
        </w:tc>
        <w:tc>
          <w:tcPr>
            <w:tcW w:w="5460" w:type="dxa"/>
            <w:tcMar>
              <w:top w:w="100" w:type="dxa"/>
              <w:left w:w="100" w:type="dxa"/>
              <w:bottom w:w="100" w:type="dxa"/>
              <w:right w:w="100" w:type="dxa"/>
            </w:tcMar>
          </w:tcPr>
          <w:p w14:paraId="165E53E5" w14:textId="77777777" w:rsidR="00D8209A" w:rsidRPr="00EF2814" w:rsidRDefault="00D8209A" w:rsidP="00F06995">
            <w:pPr>
              <w:widowControl w:val="0"/>
              <w:spacing w:after="0"/>
              <w:jc w:val="center"/>
              <w:rPr>
                <w:rFonts w:eastAsia="Times New Roman" w:cs="Arial"/>
                <w:lang w:val="en-GB"/>
              </w:rPr>
            </w:pPr>
            <w:r w:rsidRPr="00EF2814">
              <w:rPr>
                <w:rFonts w:eastAsia="Times New Roman" w:cs="Arial"/>
                <w:lang w:val="en-GB"/>
              </w:rPr>
              <w:t>Competency Development and Clinical Confidence</w:t>
            </w:r>
          </w:p>
        </w:tc>
      </w:tr>
      <w:tr w:rsidR="00D8209A" w:rsidRPr="00EF2814" w14:paraId="3BE248B0" w14:textId="77777777" w:rsidTr="00F06995">
        <w:tc>
          <w:tcPr>
            <w:tcW w:w="1785" w:type="dxa"/>
            <w:tcMar>
              <w:top w:w="100" w:type="dxa"/>
              <w:left w:w="100" w:type="dxa"/>
              <w:bottom w:w="100" w:type="dxa"/>
              <w:right w:w="100" w:type="dxa"/>
            </w:tcMar>
          </w:tcPr>
          <w:p w14:paraId="16C169F1" w14:textId="77777777" w:rsidR="00D8209A" w:rsidRPr="00EF2814" w:rsidRDefault="00D8209A" w:rsidP="00F06995">
            <w:pPr>
              <w:widowControl w:val="0"/>
              <w:spacing w:after="0"/>
              <w:jc w:val="center"/>
              <w:rPr>
                <w:rFonts w:eastAsia="Times New Roman" w:cs="Arial"/>
                <w:b/>
                <w:bCs/>
                <w:lang w:val="en-GB"/>
              </w:rPr>
            </w:pPr>
            <w:r w:rsidRPr="00EF2814">
              <w:rPr>
                <w:rFonts w:eastAsia="Times New Roman" w:cs="Arial"/>
                <w:b/>
                <w:bCs/>
                <w:lang w:val="en-GB"/>
              </w:rPr>
              <w:t>Theme 4</w:t>
            </w:r>
          </w:p>
        </w:tc>
        <w:tc>
          <w:tcPr>
            <w:tcW w:w="5460" w:type="dxa"/>
            <w:tcMar>
              <w:top w:w="100" w:type="dxa"/>
              <w:left w:w="100" w:type="dxa"/>
              <w:bottom w:w="100" w:type="dxa"/>
              <w:right w:w="100" w:type="dxa"/>
            </w:tcMar>
          </w:tcPr>
          <w:p w14:paraId="150A0158" w14:textId="77777777" w:rsidR="00D8209A" w:rsidRPr="00EF2814" w:rsidRDefault="00D8209A" w:rsidP="00F06995">
            <w:pPr>
              <w:widowControl w:val="0"/>
              <w:spacing w:after="0"/>
              <w:jc w:val="center"/>
              <w:rPr>
                <w:rFonts w:eastAsia="Times New Roman" w:cs="Arial"/>
                <w:lang w:val="en-GB"/>
              </w:rPr>
            </w:pPr>
            <w:r w:rsidRPr="00EF2814">
              <w:rPr>
                <w:rFonts w:eastAsia="Times New Roman" w:cs="Arial"/>
                <w:lang w:val="en-GB"/>
              </w:rPr>
              <w:t>Barriers to Emergency Training Delivery</w:t>
            </w:r>
          </w:p>
        </w:tc>
      </w:tr>
      <w:tr w:rsidR="00D8209A" w:rsidRPr="00EF2814" w14:paraId="24B20435" w14:textId="77777777" w:rsidTr="00F06995">
        <w:tc>
          <w:tcPr>
            <w:tcW w:w="1785" w:type="dxa"/>
            <w:tcMar>
              <w:top w:w="100" w:type="dxa"/>
              <w:left w:w="100" w:type="dxa"/>
              <w:bottom w:w="100" w:type="dxa"/>
              <w:right w:w="100" w:type="dxa"/>
            </w:tcMar>
          </w:tcPr>
          <w:p w14:paraId="730B58DB" w14:textId="77777777" w:rsidR="00D8209A" w:rsidRPr="00EF2814" w:rsidRDefault="00D8209A" w:rsidP="00F06995">
            <w:pPr>
              <w:widowControl w:val="0"/>
              <w:spacing w:after="0"/>
              <w:jc w:val="center"/>
              <w:rPr>
                <w:rFonts w:eastAsia="Times New Roman" w:cs="Arial"/>
                <w:b/>
                <w:bCs/>
                <w:lang w:val="en-GB"/>
              </w:rPr>
            </w:pPr>
            <w:r w:rsidRPr="00EF2814">
              <w:rPr>
                <w:rFonts w:eastAsia="Times New Roman" w:cs="Arial"/>
                <w:b/>
                <w:bCs/>
                <w:lang w:val="en-GB"/>
              </w:rPr>
              <w:t>Theme 5</w:t>
            </w:r>
          </w:p>
        </w:tc>
        <w:tc>
          <w:tcPr>
            <w:tcW w:w="5460" w:type="dxa"/>
            <w:tcMar>
              <w:top w:w="100" w:type="dxa"/>
              <w:left w:w="100" w:type="dxa"/>
              <w:bottom w:w="100" w:type="dxa"/>
              <w:right w:w="100" w:type="dxa"/>
            </w:tcMar>
          </w:tcPr>
          <w:p w14:paraId="155CD05C" w14:textId="77777777" w:rsidR="00D8209A" w:rsidRPr="00EF2814" w:rsidRDefault="00D8209A" w:rsidP="00F06995">
            <w:pPr>
              <w:widowControl w:val="0"/>
              <w:spacing w:after="0"/>
              <w:jc w:val="center"/>
              <w:rPr>
                <w:rFonts w:eastAsia="Times New Roman" w:cs="Arial"/>
                <w:lang w:val="en-GB"/>
              </w:rPr>
            </w:pPr>
            <w:r w:rsidRPr="00EF2814">
              <w:rPr>
                <w:rFonts w:eastAsia="Times New Roman" w:cs="Arial"/>
                <w:lang w:val="en-GB"/>
              </w:rPr>
              <w:t>Support Systems and Workforce Resilience</w:t>
            </w:r>
          </w:p>
        </w:tc>
      </w:tr>
    </w:tbl>
    <w:p w14:paraId="5C58343A" w14:textId="77777777" w:rsidR="00D8209A" w:rsidRPr="00EF2814" w:rsidRDefault="00D8209A" w:rsidP="00D8209A">
      <w:pPr>
        <w:spacing w:before="200"/>
        <w:jc w:val="center"/>
        <w:rPr>
          <w:rFonts w:eastAsia="Times New Roman" w:cs="Arial"/>
          <w:b/>
          <w:bCs/>
          <w:lang w:val="en-GB"/>
        </w:rPr>
      </w:pPr>
      <w:r w:rsidRPr="00EF2814">
        <w:rPr>
          <w:rFonts w:eastAsia="Times New Roman" w:cs="Arial"/>
          <w:b/>
          <w:bCs/>
          <w:lang w:val="en-GB"/>
        </w:rPr>
        <w:t>Table 4.1: Developed Themes</w:t>
      </w:r>
    </w:p>
    <w:p w14:paraId="3ED88025" w14:textId="77777777" w:rsidR="00D8209A" w:rsidRPr="00EF2814" w:rsidRDefault="00D8209A" w:rsidP="00D8209A">
      <w:pPr>
        <w:spacing w:before="200"/>
        <w:jc w:val="center"/>
        <w:rPr>
          <w:rFonts w:eastAsia="Times New Roman" w:cs="Arial"/>
          <w:lang w:val="en-GB"/>
        </w:rPr>
      </w:pPr>
      <w:r w:rsidRPr="00EF2814">
        <w:rPr>
          <w:rFonts w:eastAsia="Times New Roman" w:cs="Arial"/>
          <w:lang w:val="en-GB"/>
        </w:rPr>
        <w:t>(Source: Author)</w:t>
      </w:r>
    </w:p>
    <w:p w14:paraId="12B8D493" w14:textId="77777777" w:rsidR="00D8209A" w:rsidRPr="00EF2814" w:rsidRDefault="00D8209A" w:rsidP="00D8209A">
      <w:pPr>
        <w:pStyle w:val="Heading2"/>
        <w:rPr>
          <w:lang w:val="en-GB"/>
        </w:rPr>
      </w:pPr>
      <w:bookmarkStart w:id="11" w:name="_Toc222234364"/>
      <w:bookmarkStart w:id="12" w:name="_Toc222235897"/>
      <w:r w:rsidRPr="00EF2814">
        <w:rPr>
          <w:lang w:val="en-GB"/>
        </w:rPr>
        <w:t>4.3 Theme 1 - Effectiveness of Emergency Clinical Training</w:t>
      </w:r>
      <w:bookmarkEnd w:id="11"/>
      <w:bookmarkEnd w:id="12"/>
    </w:p>
    <w:p w14:paraId="57BFC9AB"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Definition &amp; Background Information</w:t>
      </w:r>
    </w:p>
    <w:p w14:paraId="73A87CC9" w14:textId="77777777" w:rsidR="00D8209A" w:rsidRPr="00EF2814" w:rsidRDefault="00D8209A" w:rsidP="00D8209A">
      <w:pPr>
        <w:spacing w:before="240" w:after="0"/>
        <w:rPr>
          <w:rFonts w:cs="Arial"/>
          <w:b/>
          <w:bCs/>
          <w:i/>
          <w:iCs/>
          <w:sz w:val="24"/>
          <w:szCs w:val="24"/>
          <w:lang w:val="en-GB"/>
        </w:rPr>
      </w:pPr>
      <w:r w:rsidRPr="00EF2814">
        <w:rPr>
          <w:rFonts w:cs="Arial"/>
          <w:lang w:val="en-GB"/>
        </w:rPr>
        <w:t xml:space="preserve">The efficiency of emergency clinical training is the degree to which emergency-led training created rapid functional competence, which was safe among healthcare personnel in COVID-19 (Hinchliffe </w:t>
      </w:r>
      <w:r w:rsidRPr="00EF2814">
        <w:rPr>
          <w:rFonts w:cs="Arial"/>
          <w:i/>
          <w:iCs/>
          <w:lang w:val="en-GB"/>
        </w:rPr>
        <w:t>et al.</w:t>
      </w:r>
      <w:r w:rsidRPr="00EF2814">
        <w:rPr>
          <w:rFonts w:cs="Arial"/>
          <w:lang w:val="en-GB"/>
        </w:rPr>
        <w:t>, 2023). This training was done through condensed curricula, simulations and supervised practise. The presence of accelerated training, emergency upskilling and competency-based deployment are all terms that focus on the task preparation in the short term instead of long-term professional development.</w:t>
      </w:r>
    </w:p>
    <w:p w14:paraId="21C818CB"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Impact on Research Question</w:t>
      </w:r>
    </w:p>
    <w:p w14:paraId="146BDB45" w14:textId="0AC80FED" w:rsidR="00D8209A" w:rsidRPr="00EF2814" w:rsidRDefault="00D8209A" w:rsidP="00D8209A">
      <w:pPr>
        <w:spacing w:before="240" w:after="0"/>
        <w:rPr>
          <w:rFonts w:cs="Arial"/>
          <w:lang w:val="en-GB"/>
        </w:rPr>
      </w:pPr>
      <w:r w:rsidRPr="00EF2814">
        <w:rPr>
          <w:rFonts w:cs="Arial"/>
          <w:lang w:val="en-GB"/>
        </w:rPr>
        <w:t xml:space="preserve">This theme directly affects the research question because it evaluates the existence of better healthcare staff competency levels in the UK healthcare sector due to the training on emergencies. Effectiveness assessment can help answer the question of </w:t>
      </w:r>
      <w:proofErr w:type="gramStart"/>
      <w:r w:rsidR="00051B92" w:rsidRPr="00EF2814">
        <w:rPr>
          <w:rFonts w:cs="Arial"/>
          <w:lang w:val="en-GB"/>
        </w:rPr>
        <w:t>whether</w:t>
      </w:r>
      <w:r w:rsidRPr="00EF2814">
        <w:rPr>
          <w:rFonts w:cs="Arial"/>
          <w:lang w:val="en-GB"/>
        </w:rPr>
        <w:t xml:space="preserve"> </w:t>
      </w:r>
      <w:r w:rsidR="001F7591">
        <w:rPr>
          <w:rFonts w:cs="Arial"/>
          <w:lang w:val="en-GB"/>
        </w:rPr>
        <w:t xml:space="preserve"> </w:t>
      </w:r>
      <w:r w:rsidRPr="00EF2814">
        <w:rPr>
          <w:rFonts w:cs="Arial"/>
          <w:lang w:val="en-GB"/>
        </w:rPr>
        <w:t>rapid</w:t>
      </w:r>
      <w:proofErr w:type="gramEnd"/>
      <w:r w:rsidRPr="00EF2814">
        <w:rPr>
          <w:rFonts w:cs="Arial"/>
          <w:lang w:val="en-GB"/>
        </w:rPr>
        <w:t xml:space="preserve"> training facilitated safe performance by health workers during redeployment (Camilleri </w:t>
      </w:r>
      <w:r w:rsidRPr="00EF2814">
        <w:rPr>
          <w:rFonts w:cs="Arial"/>
          <w:i/>
          <w:iCs/>
          <w:lang w:val="en-GB"/>
        </w:rPr>
        <w:t>et al.</w:t>
      </w:r>
      <w:r w:rsidRPr="00EF2814">
        <w:rPr>
          <w:rFonts w:cs="Arial"/>
          <w:lang w:val="en-GB"/>
        </w:rPr>
        <w:t>, 2022). It equally identifies whether the model of emergency training can be justifiable outside of the context of a crisis, or it needs to be redesigned significantly to guarantee viable competency results.</w:t>
      </w:r>
    </w:p>
    <w:p w14:paraId="7CC90976" w14:textId="77777777" w:rsidR="00051B92" w:rsidRDefault="00051B92" w:rsidP="00D8209A">
      <w:pPr>
        <w:spacing w:before="240" w:after="0"/>
        <w:rPr>
          <w:rFonts w:cs="Arial"/>
          <w:b/>
          <w:bCs/>
          <w:i/>
          <w:iCs/>
          <w:sz w:val="24"/>
          <w:szCs w:val="24"/>
          <w:lang w:val="en-GB"/>
        </w:rPr>
      </w:pPr>
    </w:p>
    <w:p w14:paraId="08C7B066" w14:textId="74AF1BC3"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lastRenderedPageBreak/>
        <w:t>Statistical Information</w:t>
      </w:r>
    </w:p>
    <w:p w14:paraId="6FC6F3B9" w14:textId="77777777" w:rsidR="00D8209A" w:rsidRPr="00EF2814" w:rsidRDefault="00D8209A" w:rsidP="00D8209A">
      <w:pPr>
        <w:spacing w:before="240" w:after="0"/>
        <w:rPr>
          <w:rFonts w:cs="Arial"/>
          <w:b/>
          <w:bCs/>
          <w:i/>
          <w:iCs/>
          <w:sz w:val="24"/>
          <w:szCs w:val="24"/>
          <w:lang w:val="en-GB"/>
        </w:rPr>
      </w:pPr>
      <w:r w:rsidRPr="00EF2814">
        <w:rPr>
          <w:rFonts w:cs="Arial"/>
          <w:lang w:val="en-GB"/>
        </w:rPr>
        <w:t xml:space="preserve">In the pandemic (COVID-19), more than 50,000 NHS employees in the country were redeployed after the completion of emergency training programmes that usually took 1-5 days to complete (Lal </w:t>
      </w:r>
      <w:r w:rsidRPr="00EF2814">
        <w:rPr>
          <w:rFonts w:cs="Arial"/>
          <w:i/>
          <w:iCs/>
          <w:lang w:val="en-GB"/>
        </w:rPr>
        <w:t>et al.</w:t>
      </w:r>
      <w:r w:rsidRPr="00EF2814">
        <w:rPr>
          <w:rFonts w:cs="Arial"/>
          <w:lang w:val="en-GB"/>
        </w:rPr>
        <w:t>, 2025). Hospitals claimed to have provided over one million PPE training. As much as the continuity of service was facilitated by rapid training, internal audits of multiple trusts documented higher levels of supervision requirements and prolonged time of adjustment, casting doubts on the quality of training and level of consistency.</w:t>
      </w:r>
    </w:p>
    <w:p w14:paraId="3E80E2AA"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Theories, Policies, and Legislation</w:t>
      </w:r>
    </w:p>
    <w:p w14:paraId="7184614E" w14:textId="77777777" w:rsidR="00D8209A" w:rsidRPr="00EF2814" w:rsidRDefault="00D8209A" w:rsidP="00D8209A">
      <w:pPr>
        <w:spacing w:before="240" w:after="0"/>
        <w:rPr>
          <w:rFonts w:cs="Arial"/>
          <w:b/>
          <w:bCs/>
          <w:lang w:val="en-GB"/>
        </w:rPr>
      </w:pPr>
      <w:r w:rsidRPr="00EF2814">
        <w:rPr>
          <w:rFonts w:cs="Arial"/>
          <w:b/>
          <w:bCs/>
          <w:lang w:val="en-GB"/>
        </w:rPr>
        <w:t>Theoretical Framework</w:t>
      </w:r>
    </w:p>
    <w:p w14:paraId="7E95ED76" w14:textId="77777777" w:rsidR="00D8209A" w:rsidRPr="00EF2814" w:rsidRDefault="00D8209A" w:rsidP="00D8209A">
      <w:pPr>
        <w:numPr>
          <w:ilvl w:val="0"/>
          <w:numId w:val="20"/>
        </w:numPr>
        <w:spacing w:before="240" w:after="0"/>
        <w:rPr>
          <w:rFonts w:cs="Arial"/>
          <w:lang w:val="en-GB"/>
        </w:rPr>
      </w:pPr>
      <w:r w:rsidRPr="00EF2814">
        <w:rPr>
          <w:rFonts w:cs="Arial"/>
          <w:b/>
          <w:lang w:val="en-GB"/>
        </w:rPr>
        <w:t>Adult Learning Theory (Andragogy):</w:t>
      </w:r>
      <w:r w:rsidRPr="00EF2814">
        <w:rPr>
          <w:rFonts w:cs="Arial"/>
          <w:lang w:val="en-GB"/>
        </w:rPr>
        <w:t xml:space="preserve"> The emergency training program was designed around problem-solving and application, which aided experienced professionals in applying their knowledge in a high-pressure situation (Staller </w:t>
      </w:r>
      <w:r w:rsidRPr="00EF2814">
        <w:rPr>
          <w:rFonts w:cs="Arial"/>
          <w:i/>
          <w:iCs/>
          <w:lang w:val="en-GB"/>
        </w:rPr>
        <w:t>et al.</w:t>
      </w:r>
      <w:r w:rsidRPr="00EF2814">
        <w:rPr>
          <w:rFonts w:cs="Arial"/>
          <w:lang w:val="en-GB"/>
        </w:rPr>
        <w:t>, 2022).</w:t>
      </w:r>
    </w:p>
    <w:p w14:paraId="58C3B915" w14:textId="77777777" w:rsidR="00D8209A" w:rsidRPr="00EF2814" w:rsidRDefault="00D8209A" w:rsidP="00D8209A">
      <w:pPr>
        <w:numPr>
          <w:ilvl w:val="0"/>
          <w:numId w:val="20"/>
        </w:numPr>
        <w:spacing w:before="240" w:after="0"/>
        <w:rPr>
          <w:rFonts w:cs="Arial"/>
          <w:lang w:val="en-GB"/>
        </w:rPr>
      </w:pPr>
      <w:r w:rsidRPr="00EF2814">
        <w:rPr>
          <w:rFonts w:cs="Arial"/>
          <w:b/>
          <w:lang w:val="en-GB"/>
        </w:rPr>
        <w:t>Experiential Learning Theory:</w:t>
      </w:r>
      <w:r w:rsidRPr="00EF2814">
        <w:rPr>
          <w:rFonts w:cs="Arial"/>
          <w:lang w:val="en-GB"/>
        </w:rPr>
        <w:t xml:space="preserve"> Learning was achieved through simulation, observation, and direct exposure to clinical practice, which helped accelerate the development of competence.</w:t>
      </w:r>
    </w:p>
    <w:p w14:paraId="67A04626" w14:textId="77777777" w:rsidR="00D8209A" w:rsidRPr="00EF2814" w:rsidRDefault="00D8209A" w:rsidP="00D8209A">
      <w:pPr>
        <w:numPr>
          <w:ilvl w:val="0"/>
          <w:numId w:val="20"/>
        </w:numPr>
        <w:spacing w:before="240" w:after="0"/>
        <w:rPr>
          <w:rFonts w:cs="Arial"/>
          <w:lang w:val="en-GB"/>
        </w:rPr>
      </w:pPr>
      <w:r w:rsidRPr="00EF2814">
        <w:rPr>
          <w:rFonts w:cs="Arial"/>
          <w:b/>
          <w:lang w:val="en-GB"/>
        </w:rPr>
        <w:t>Competency-Based Education Theory:</w:t>
      </w:r>
      <w:r w:rsidRPr="00EF2814">
        <w:rPr>
          <w:rFonts w:cs="Arial"/>
          <w:lang w:val="en-GB"/>
        </w:rPr>
        <w:t xml:space="preserve"> The training program was grounded in the development of clinical competencies rather than time-based training.</w:t>
      </w:r>
    </w:p>
    <w:p w14:paraId="0AB012C0" w14:textId="77777777" w:rsidR="00D8209A" w:rsidRPr="00EF2814" w:rsidRDefault="00D8209A" w:rsidP="00D8209A">
      <w:pPr>
        <w:numPr>
          <w:ilvl w:val="0"/>
          <w:numId w:val="20"/>
        </w:numPr>
        <w:spacing w:before="240" w:after="0"/>
        <w:rPr>
          <w:rFonts w:cs="Arial"/>
          <w:lang w:val="en-GB"/>
        </w:rPr>
      </w:pPr>
      <w:r w:rsidRPr="00EF2814">
        <w:rPr>
          <w:rFonts w:cs="Arial"/>
          <w:b/>
          <w:lang w:val="en-GB"/>
        </w:rPr>
        <w:t>Cognitive Load Theory:</w:t>
      </w:r>
      <w:r w:rsidRPr="00EF2814">
        <w:rPr>
          <w:rFonts w:cs="Arial"/>
          <w:lang w:val="en-GB"/>
        </w:rPr>
        <w:t xml:space="preserve"> The design of the emergency programs was intended to minimise information overload by focusing on the most important skills.</w:t>
      </w:r>
    </w:p>
    <w:p w14:paraId="1FCBF54B" w14:textId="77777777" w:rsidR="00D8209A" w:rsidRPr="00EF2814" w:rsidRDefault="00D8209A" w:rsidP="00D8209A">
      <w:pPr>
        <w:numPr>
          <w:ilvl w:val="0"/>
          <w:numId w:val="20"/>
        </w:numPr>
        <w:spacing w:before="240" w:after="0"/>
        <w:rPr>
          <w:rFonts w:cs="Arial"/>
          <w:lang w:val="en-GB"/>
        </w:rPr>
      </w:pPr>
      <w:r w:rsidRPr="00EF2814">
        <w:rPr>
          <w:rFonts w:cs="Arial"/>
          <w:b/>
          <w:lang w:val="en-GB"/>
        </w:rPr>
        <w:t>Situated Learning Theory:</w:t>
      </w:r>
      <w:r w:rsidRPr="00EF2814">
        <w:rPr>
          <w:rFonts w:cs="Arial"/>
          <w:lang w:val="en-GB"/>
        </w:rPr>
        <w:t xml:space="preserve"> The training was conducted in a real-world clinical setting, which improved the relevance of the training to practice.</w:t>
      </w:r>
    </w:p>
    <w:p w14:paraId="6E8DF1CB" w14:textId="77777777" w:rsidR="00D8209A" w:rsidRPr="00EF2814" w:rsidRDefault="00D8209A" w:rsidP="00D8209A">
      <w:pPr>
        <w:spacing w:before="240" w:after="0"/>
        <w:rPr>
          <w:rFonts w:cs="Arial"/>
          <w:b/>
          <w:bCs/>
          <w:lang w:val="en-GB"/>
        </w:rPr>
      </w:pPr>
      <w:r w:rsidRPr="00EF2814">
        <w:rPr>
          <w:rFonts w:cs="Arial"/>
          <w:b/>
          <w:bCs/>
          <w:lang w:val="en-GB"/>
        </w:rPr>
        <w:t>Policy and Legislation</w:t>
      </w:r>
    </w:p>
    <w:p w14:paraId="5681F7C0" w14:textId="77777777" w:rsidR="00D8209A" w:rsidRPr="00EF2814" w:rsidRDefault="00D8209A" w:rsidP="00D8209A">
      <w:pPr>
        <w:numPr>
          <w:ilvl w:val="0"/>
          <w:numId w:val="19"/>
        </w:numPr>
        <w:spacing w:before="240" w:after="0"/>
        <w:rPr>
          <w:rFonts w:cs="Arial"/>
          <w:lang w:val="en-GB"/>
        </w:rPr>
      </w:pPr>
      <w:r w:rsidRPr="00EF2814">
        <w:rPr>
          <w:rFonts w:cs="Arial"/>
          <w:lang w:val="en-GB"/>
        </w:rPr>
        <w:t>NHS Emergency Preparedness Framework: Enabled swift training and skills enhancement in the workforce during public health emergencies.</w:t>
      </w:r>
    </w:p>
    <w:p w14:paraId="530A5618" w14:textId="77777777" w:rsidR="00D8209A" w:rsidRPr="00EF2814" w:rsidRDefault="00D8209A" w:rsidP="00D8209A">
      <w:pPr>
        <w:numPr>
          <w:ilvl w:val="0"/>
          <w:numId w:val="19"/>
        </w:numPr>
        <w:spacing w:before="240" w:after="0"/>
        <w:rPr>
          <w:rFonts w:cs="Arial"/>
          <w:lang w:val="en-GB"/>
        </w:rPr>
      </w:pPr>
      <w:r w:rsidRPr="00EF2814">
        <w:rPr>
          <w:rFonts w:cs="Arial"/>
          <w:lang w:val="en-GB"/>
        </w:rPr>
        <w:t>Health and Social Care Act: Enabled changes in the workforce and emergency services’ adaptation to the new environment.</w:t>
      </w:r>
    </w:p>
    <w:p w14:paraId="4E95AC49" w14:textId="77777777" w:rsidR="00D8209A" w:rsidRPr="00EF2814" w:rsidRDefault="00D8209A" w:rsidP="00D8209A">
      <w:pPr>
        <w:numPr>
          <w:ilvl w:val="0"/>
          <w:numId w:val="19"/>
        </w:numPr>
        <w:spacing w:before="240" w:after="0"/>
        <w:rPr>
          <w:rFonts w:cs="Arial"/>
          <w:lang w:val="en-GB"/>
        </w:rPr>
      </w:pPr>
      <w:r w:rsidRPr="00EF2814">
        <w:rPr>
          <w:rFonts w:cs="Arial"/>
          <w:lang w:val="en-GB"/>
        </w:rPr>
        <w:lastRenderedPageBreak/>
        <w:t xml:space="preserve">Temporary Regulatory Flexibility Policies: Enabled the use of skills with supervision to ensure patient safety (Stralen </w:t>
      </w:r>
      <w:r w:rsidRPr="00EF2814">
        <w:rPr>
          <w:rFonts w:cs="Arial"/>
          <w:i/>
          <w:iCs/>
          <w:lang w:val="en-GB"/>
        </w:rPr>
        <w:t>et al.</w:t>
      </w:r>
      <w:r w:rsidRPr="00EF2814">
        <w:rPr>
          <w:rFonts w:cs="Arial"/>
          <w:lang w:val="en-GB"/>
        </w:rPr>
        <w:t>, 2022).</w:t>
      </w:r>
    </w:p>
    <w:p w14:paraId="5EFF56FE" w14:textId="77777777" w:rsidR="00D8209A" w:rsidRPr="00EF2814" w:rsidRDefault="00D8209A" w:rsidP="00D8209A">
      <w:pPr>
        <w:numPr>
          <w:ilvl w:val="0"/>
          <w:numId w:val="19"/>
        </w:numPr>
        <w:spacing w:before="240" w:after="0"/>
        <w:rPr>
          <w:rFonts w:cs="Arial"/>
          <w:lang w:val="en-GB"/>
        </w:rPr>
      </w:pPr>
      <w:r w:rsidRPr="00EF2814">
        <w:rPr>
          <w:rFonts w:cs="Arial"/>
          <w:lang w:val="en-GB"/>
        </w:rPr>
        <w:t>NHS People Plan: Enabled swift skills development, employee well-being, and workforce resilience during emergencies.</w:t>
      </w:r>
    </w:p>
    <w:p w14:paraId="04B92C63" w14:textId="77777777" w:rsidR="00D8209A" w:rsidRPr="00EF2814" w:rsidRDefault="00D8209A" w:rsidP="00D8209A">
      <w:pPr>
        <w:numPr>
          <w:ilvl w:val="0"/>
          <w:numId w:val="19"/>
        </w:numPr>
        <w:spacing w:before="240" w:after="0"/>
        <w:rPr>
          <w:rFonts w:cs="Arial"/>
          <w:lang w:val="en-GB"/>
        </w:rPr>
      </w:pPr>
      <w:r w:rsidRPr="00EF2814">
        <w:rPr>
          <w:rFonts w:cs="Arial"/>
          <w:lang w:val="en-GB"/>
        </w:rPr>
        <w:t>Infection Prevention and Control Regulations: Mandated emergency training on PPE and patient safety practices.</w:t>
      </w:r>
    </w:p>
    <w:p w14:paraId="4EE88AD6" w14:textId="77777777" w:rsidR="00D8209A" w:rsidRPr="00EF2814" w:rsidRDefault="00D8209A" w:rsidP="00D8209A">
      <w:pPr>
        <w:numPr>
          <w:ilvl w:val="0"/>
          <w:numId w:val="19"/>
        </w:numPr>
        <w:spacing w:before="240" w:after="0"/>
        <w:rPr>
          <w:rFonts w:cs="Arial"/>
          <w:lang w:val="en-GB"/>
        </w:rPr>
      </w:pPr>
      <w:r w:rsidRPr="00EF2814">
        <w:rPr>
          <w:rFonts w:cs="Arial"/>
          <w:lang w:val="en-GB"/>
        </w:rPr>
        <w:t>Local Trust Governance Policies: Enabled accountability, supervision, and risk management during swift training programs.</w:t>
      </w:r>
    </w:p>
    <w:p w14:paraId="4A230869"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Implications</w:t>
      </w:r>
    </w:p>
    <w:p w14:paraId="3D0687BA" w14:textId="017B7E1C" w:rsidR="00D8209A" w:rsidRPr="00EF2814" w:rsidRDefault="00D8209A" w:rsidP="00D8209A">
      <w:pPr>
        <w:spacing w:before="240" w:after="0"/>
        <w:rPr>
          <w:rFonts w:cs="Arial"/>
          <w:lang w:val="en-GB"/>
        </w:rPr>
      </w:pPr>
      <w:r w:rsidRPr="00EF2814">
        <w:rPr>
          <w:rFonts w:cs="Arial"/>
          <w:lang w:val="en-GB"/>
        </w:rPr>
        <w:t xml:space="preserve">Emergency clinical training had a positive contribution by facilitating quick mobilisation of workforces, better confidence in tasks and prolonged caring of patients under crisis situations (Faisal and Saleh, 2024). Nevertheless, among the negative effects were asymmetrical acquisition of skills, a weak theoretical foundation, and irregular supervision. These contradictory results indicate that emergency training may work well in achieving short-term </w:t>
      </w:r>
      <w:r w:rsidR="001F7591" w:rsidRPr="00EF2814">
        <w:rPr>
          <w:rFonts w:cs="Arial"/>
          <w:lang w:val="en-GB"/>
        </w:rPr>
        <w:t>competency but</w:t>
      </w:r>
      <w:r w:rsidRPr="00EF2814">
        <w:rPr>
          <w:rFonts w:cs="Arial"/>
          <w:lang w:val="en-GB"/>
        </w:rPr>
        <w:t xml:space="preserve"> is not effective on its own in the acquisition of long-term workforce development and professional assurance.</w:t>
      </w:r>
    </w:p>
    <w:p w14:paraId="3E91AD68"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Examples from the Articles</w:t>
      </w:r>
    </w:p>
    <w:p w14:paraId="75B64984" w14:textId="5B414C92" w:rsidR="00D8209A" w:rsidRPr="00EF2814" w:rsidRDefault="00D8209A" w:rsidP="00D8209A">
      <w:pPr>
        <w:spacing w:before="240" w:after="0"/>
        <w:rPr>
          <w:rFonts w:cs="Arial"/>
          <w:b/>
          <w:bCs/>
          <w:i/>
          <w:iCs/>
          <w:sz w:val="24"/>
          <w:szCs w:val="24"/>
          <w:lang w:val="en-GB"/>
        </w:rPr>
      </w:pPr>
      <w:r w:rsidRPr="00EF2814">
        <w:rPr>
          <w:rFonts w:cs="Arial"/>
          <w:lang w:val="en-GB"/>
        </w:rPr>
        <w:t xml:space="preserve">According to studies on emergency medicine resilience, there was simply better preparedness after fast training, but still, differences in confidence persisted. Laboratory education reviews identified task performance based on a decrease in theoretical depth. In qualitative redeployment research, it was demonstrated that nurses were able to attain competence </w:t>
      </w:r>
      <w:proofErr w:type="gramStart"/>
      <w:r w:rsidRPr="00EF2814">
        <w:rPr>
          <w:rFonts w:cs="Arial"/>
          <w:lang w:val="en-GB"/>
        </w:rPr>
        <w:t>in the course of</w:t>
      </w:r>
      <w:proofErr w:type="gramEnd"/>
      <w:r w:rsidRPr="00EF2814">
        <w:rPr>
          <w:rFonts w:cs="Arial"/>
          <w:lang w:val="en-GB"/>
        </w:rPr>
        <w:t xml:space="preserve"> </w:t>
      </w:r>
      <w:r w:rsidR="00701C90" w:rsidRPr="00EF2814">
        <w:rPr>
          <w:rFonts w:cs="Arial"/>
          <w:lang w:val="en-GB"/>
        </w:rPr>
        <w:t>supervision yet</w:t>
      </w:r>
      <w:r w:rsidRPr="00EF2814">
        <w:rPr>
          <w:rFonts w:cs="Arial"/>
          <w:lang w:val="en-GB"/>
        </w:rPr>
        <w:t xml:space="preserve"> were fatigued due to frequent emergency shifts. All these articles concur on the effectiveness in the short </w:t>
      </w:r>
      <w:r w:rsidR="00701C90" w:rsidRPr="00EF2814">
        <w:rPr>
          <w:rFonts w:cs="Arial"/>
          <w:lang w:val="en-GB"/>
        </w:rPr>
        <w:t>term but</w:t>
      </w:r>
      <w:r w:rsidRPr="00EF2814">
        <w:rPr>
          <w:rFonts w:cs="Arial"/>
          <w:lang w:val="en-GB"/>
        </w:rPr>
        <w:t xml:space="preserve"> differ on sustainability.</w:t>
      </w:r>
    </w:p>
    <w:p w14:paraId="6D2F4BE1"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Connections to Other Themes</w:t>
      </w:r>
    </w:p>
    <w:p w14:paraId="4A7EEB8D" w14:textId="49D595E4" w:rsidR="00D8209A" w:rsidRPr="00EF2814" w:rsidRDefault="00D8209A" w:rsidP="00D8209A">
      <w:pPr>
        <w:spacing w:before="240" w:after="0"/>
        <w:rPr>
          <w:rFonts w:cs="Arial"/>
          <w:lang w:val="en-GB"/>
        </w:rPr>
      </w:pPr>
      <w:r w:rsidRPr="00EF2814">
        <w:rPr>
          <w:rFonts w:cs="Arial"/>
          <w:lang w:val="en-GB"/>
        </w:rPr>
        <w:t xml:space="preserve">This theme is related closely to the flexibility of the workforce and role adjustment, where training effectiveness was of an effect to the success of redeployment (Khalid and Al Zahrani, 2024). It also intersects with the topics of the obstacles to training delivery, including time constraints and </w:t>
      </w:r>
      <w:r w:rsidRPr="00EF2814">
        <w:rPr>
          <w:rFonts w:cs="Arial"/>
          <w:lang w:val="en-GB"/>
        </w:rPr>
        <w:lastRenderedPageBreak/>
        <w:t xml:space="preserve">resource limitations. Also, the resilience and support systems were connected </w:t>
      </w:r>
      <w:r w:rsidR="001F7591" w:rsidRPr="00EF2814">
        <w:rPr>
          <w:rFonts w:cs="Arial"/>
          <w:lang w:val="en-GB"/>
        </w:rPr>
        <w:t>using</w:t>
      </w:r>
      <w:r w:rsidRPr="00EF2814">
        <w:rPr>
          <w:rFonts w:cs="Arial"/>
          <w:lang w:val="en-GB"/>
        </w:rPr>
        <w:t xml:space="preserve"> links that modulate the effectiveness of supervision as well as the outcome of the competency.</w:t>
      </w:r>
    </w:p>
    <w:p w14:paraId="021F60F6" w14:textId="77777777" w:rsidR="00D8209A" w:rsidRPr="00EF2814" w:rsidRDefault="00D8209A" w:rsidP="00D8209A">
      <w:pPr>
        <w:pStyle w:val="Heading2"/>
        <w:rPr>
          <w:lang w:val="en-GB"/>
        </w:rPr>
      </w:pPr>
      <w:bookmarkStart w:id="13" w:name="_9fspvz5tt1c1" w:colFirst="0" w:colLast="0"/>
      <w:bookmarkStart w:id="14" w:name="_Toc222234365"/>
      <w:bookmarkStart w:id="15" w:name="_Toc222235898"/>
      <w:bookmarkEnd w:id="13"/>
      <w:r w:rsidRPr="00EF2814">
        <w:rPr>
          <w:lang w:val="en-GB"/>
        </w:rPr>
        <w:t>4.4 Theme 2 - Workforce Flexibility and Role Adaptation</w:t>
      </w:r>
      <w:bookmarkEnd w:id="14"/>
      <w:bookmarkEnd w:id="15"/>
    </w:p>
    <w:p w14:paraId="08D75D97"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Definition &amp; Background Information</w:t>
      </w:r>
    </w:p>
    <w:p w14:paraId="492E2161" w14:textId="77777777" w:rsidR="00D8209A" w:rsidRPr="00EF2814" w:rsidRDefault="00D8209A" w:rsidP="00D8209A">
      <w:pPr>
        <w:spacing w:before="240" w:after="0"/>
        <w:rPr>
          <w:rFonts w:cs="Arial"/>
          <w:lang w:val="en-GB"/>
        </w:rPr>
      </w:pPr>
      <w:r w:rsidRPr="00EF2814">
        <w:rPr>
          <w:rFonts w:cs="Arial"/>
          <w:lang w:val="en-GB"/>
        </w:rPr>
        <w:t xml:space="preserve">Workforce flexibility and role adaptation imply the possibility of the healthcare staff adapting to the new roles/responsibilities and clinical settings in emergencies (Kidanemariam </w:t>
      </w:r>
      <w:r w:rsidRPr="00EF2814">
        <w:rPr>
          <w:rFonts w:cs="Arial"/>
          <w:i/>
          <w:iCs/>
          <w:lang w:val="en-GB"/>
        </w:rPr>
        <w:t>et al.</w:t>
      </w:r>
      <w:r w:rsidRPr="00EF2814">
        <w:rPr>
          <w:rFonts w:cs="Arial"/>
          <w:lang w:val="en-GB"/>
        </w:rPr>
        <w:t>, 2026). The rapid redeployment of healthcare workers in the UK during COVID-19 demanded changes outside the scope of practise in response to the allocation rates of the medical staff to various departments. Emergency training, provisional role alteration, and changed supervision arrangements facilitated the flexibility, which constituted an essential part of pandemic workforce management.</w:t>
      </w:r>
    </w:p>
    <w:p w14:paraId="09C36790"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Impact on Research Question</w:t>
      </w:r>
    </w:p>
    <w:p w14:paraId="2868C7FF" w14:textId="77777777" w:rsidR="00D8209A" w:rsidRPr="00EF2814" w:rsidRDefault="00D8209A" w:rsidP="00D8209A">
      <w:pPr>
        <w:spacing w:before="240" w:after="0"/>
        <w:rPr>
          <w:rFonts w:cs="Arial"/>
          <w:lang w:val="en-GB"/>
        </w:rPr>
      </w:pPr>
      <w:r w:rsidRPr="00EF2814">
        <w:rPr>
          <w:rFonts w:cs="Arial"/>
          <w:lang w:val="en-GB"/>
        </w:rPr>
        <w:t>This theme is relevant to the research question because it investigates whether the emergency clinical training helped the staff to safely adapt to new positions without losing competence. Flexibility in the workforce directly affected the effectiveness of the transformation of training into practice (Radovan, 2024). Role adaptation makes it clear that it was not just the case of emergency training that empowered redeployment, but was, in fact an indicator of the ability to perform competently and, as such, assists in determining the overall effectiveness of COVID-19 emergency training programmes within the UK healthcare system.</w:t>
      </w:r>
    </w:p>
    <w:p w14:paraId="56CD3C74"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Statistical Information</w:t>
      </w:r>
    </w:p>
    <w:p w14:paraId="1A951E89" w14:textId="77777777" w:rsidR="00D8209A" w:rsidRPr="00EF2814" w:rsidRDefault="00D8209A" w:rsidP="00D8209A">
      <w:pPr>
        <w:spacing w:before="240" w:after="0"/>
        <w:rPr>
          <w:rFonts w:cs="Arial"/>
          <w:b/>
          <w:bCs/>
          <w:i/>
          <w:iCs/>
          <w:sz w:val="24"/>
          <w:szCs w:val="24"/>
          <w:lang w:val="en-GB"/>
        </w:rPr>
      </w:pPr>
      <w:r w:rsidRPr="00EF2814">
        <w:rPr>
          <w:rFonts w:cs="Arial"/>
          <w:lang w:val="en-GB"/>
        </w:rPr>
        <w:t>The pandemic also experienced the deployment of over 50,000 NHS employees in new and unknown clinical positions, such as non-ICU nurses to provide critical care and allied health professionals to provide ward-based care. There were also acute trusts that reported a redeployment of more than 30 clinical specialities (Faulkner-</w:t>
      </w:r>
      <w:proofErr w:type="spellStart"/>
      <w:r w:rsidRPr="00EF2814">
        <w:rPr>
          <w:rFonts w:cs="Arial"/>
          <w:lang w:val="en-GB"/>
        </w:rPr>
        <w:t>Gurstein</w:t>
      </w:r>
      <w:proofErr w:type="spellEnd"/>
      <w:r w:rsidRPr="00EF2814">
        <w:rPr>
          <w:rFonts w:cs="Arial"/>
          <w:lang w:val="en-GB"/>
        </w:rPr>
        <w:t xml:space="preserve"> </w:t>
      </w:r>
      <w:r w:rsidRPr="00EF2814">
        <w:rPr>
          <w:rFonts w:cs="Arial"/>
          <w:i/>
          <w:iCs/>
          <w:lang w:val="en-GB"/>
        </w:rPr>
        <w:t>et al.</w:t>
      </w:r>
      <w:r w:rsidRPr="00EF2814">
        <w:rPr>
          <w:rFonts w:cs="Arial"/>
          <w:lang w:val="en-GB"/>
        </w:rPr>
        <w:t>, 2022). Although redeployment minimised service disruption, creative workforce audits established longer supervision durations and greater workload intensity during initial adjustment, which showed ambivalent competency results.</w:t>
      </w:r>
    </w:p>
    <w:p w14:paraId="4AA80A38" w14:textId="77777777" w:rsidR="001F7591" w:rsidRDefault="001F7591" w:rsidP="00D8209A">
      <w:pPr>
        <w:spacing w:before="240" w:after="0"/>
        <w:rPr>
          <w:rFonts w:cs="Arial"/>
          <w:b/>
          <w:bCs/>
          <w:i/>
          <w:iCs/>
          <w:sz w:val="24"/>
          <w:szCs w:val="24"/>
          <w:lang w:val="en-GB"/>
        </w:rPr>
      </w:pPr>
    </w:p>
    <w:p w14:paraId="65C132ED" w14:textId="21E433E8"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lastRenderedPageBreak/>
        <w:t>Theories, Policies, and Legislation</w:t>
      </w:r>
    </w:p>
    <w:p w14:paraId="3FCBA10A" w14:textId="77777777" w:rsidR="00D8209A" w:rsidRPr="00EF2814" w:rsidRDefault="00D8209A" w:rsidP="00D8209A">
      <w:pPr>
        <w:spacing w:before="240" w:after="0"/>
        <w:rPr>
          <w:rFonts w:cs="Arial"/>
          <w:b/>
          <w:bCs/>
          <w:lang w:val="en-GB"/>
        </w:rPr>
      </w:pPr>
      <w:r w:rsidRPr="00EF2814">
        <w:rPr>
          <w:rFonts w:cs="Arial"/>
          <w:b/>
          <w:bCs/>
          <w:lang w:val="en-GB"/>
        </w:rPr>
        <w:t>Theoretical Framework</w:t>
      </w:r>
    </w:p>
    <w:p w14:paraId="01EDC88A" w14:textId="77777777" w:rsidR="00D8209A" w:rsidRPr="00EF2814" w:rsidRDefault="00D8209A" w:rsidP="00D8209A">
      <w:pPr>
        <w:numPr>
          <w:ilvl w:val="0"/>
          <w:numId w:val="21"/>
        </w:numPr>
        <w:spacing w:before="240" w:after="0"/>
        <w:rPr>
          <w:rFonts w:cs="Arial"/>
          <w:lang w:val="en-GB"/>
        </w:rPr>
      </w:pPr>
      <w:r w:rsidRPr="00EF2814">
        <w:rPr>
          <w:rFonts w:cs="Arial"/>
          <w:b/>
          <w:bCs/>
          <w:lang w:val="en-GB"/>
        </w:rPr>
        <w:t>Adult Learning Theory (Andragogy):</w:t>
      </w:r>
      <w:r w:rsidRPr="00EF2814">
        <w:rPr>
          <w:rFonts w:cs="Arial"/>
          <w:lang w:val="en-GB"/>
        </w:rPr>
        <w:t xml:space="preserve"> The emergency training program was designed around problem-solving and application, which aided experienced professionals in applying their knowledge in a high-pressure situation (</w:t>
      </w:r>
      <w:proofErr w:type="spellStart"/>
      <w:r w:rsidRPr="00EF2814">
        <w:rPr>
          <w:rFonts w:cs="Arial"/>
          <w:lang w:val="en-GB"/>
        </w:rPr>
        <w:t>Srikasem</w:t>
      </w:r>
      <w:proofErr w:type="spellEnd"/>
      <w:r w:rsidRPr="00EF2814">
        <w:rPr>
          <w:rFonts w:cs="Arial"/>
          <w:lang w:val="en-GB"/>
        </w:rPr>
        <w:t xml:space="preserve"> </w:t>
      </w:r>
      <w:r w:rsidRPr="00EF2814">
        <w:rPr>
          <w:rFonts w:cs="Arial"/>
          <w:i/>
          <w:iCs/>
          <w:lang w:val="en-GB"/>
        </w:rPr>
        <w:t>et al.</w:t>
      </w:r>
      <w:r w:rsidRPr="00EF2814">
        <w:rPr>
          <w:rFonts w:cs="Arial"/>
          <w:lang w:val="en-GB"/>
        </w:rPr>
        <w:t>, 2025).</w:t>
      </w:r>
    </w:p>
    <w:p w14:paraId="1A3309B0" w14:textId="77777777" w:rsidR="00D8209A" w:rsidRPr="00EF2814" w:rsidRDefault="00D8209A" w:rsidP="00D8209A">
      <w:pPr>
        <w:numPr>
          <w:ilvl w:val="0"/>
          <w:numId w:val="21"/>
        </w:numPr>
        <w:spacing w:before="240" w:after="0"/>
        <w:rPr>
          <w:rFonts w:cs="Arial"/>
          <w:lang w:val="en-GB"/>
        </w:rPr>
      </w:pPr>
      <w:r w:rsidRPr="00EF2814">
        <w:rPr>
          <w:rFonts w:cs="Arial"/>
          <w:b/>
          <w:bCs/>
          <w:lang w:val="en-GB"/>
        </w:rPr>
        <w:t>Experiential Learning Theory:</w:t>
      </w:r>
      <w:r w:rsidRPr="00EF2814">
        <w:rPr>
          <w:rFonts w:cs="Arial"/>
          <w:lang w:val="en-GB"/>
        </w:rPr>
        <w:t xml:space="preserve"> Learning was achieved through simulation, observation, and direct exposure to clinical practice, which helped accelerate the development of competence.</w:t>
      </w:r>
    </w:p>
    <w:p w14:paraId="33075738" w14:textId="77777777" w:rsidR="00D8209A" w:rsidRPr="00EF2814" w:rsidRDefault="00D8209A" w:rsidP="00D8209A">
      <w:pPr>
        <w:numPr>
          <w:ilvl w:val="0"/>
          <w:numId w:val="21"/>
        </w:numPr>
        <w:spacing w:before="240" w:after="0"/>
        <w:rPr>
          <w:rFonts w:cs="Arial"/>
          <w:lang w:val="en-GB"/>
        </w:rPr>
      </w:pPr>
      <w:r w:rsidRPr="00EF2814">
        <w:rPr>
          <w:rFonts w:cs="Arial"/>
          <w:b/>
          <w:bCs/>
          <w:lang w:val="en-GB"/>
        </w:rPr>
        <w:t>Competency-Based Education Theory:</w:t>
      </w:r>
      <w:r w:rsidRPr="00EF2814">
        <w:rPr>
          <w:rFonts w:cs="Arial"/>
          <w:lang w:val="en-GB"/>
        </w:rPr>
        <w:t xml:space="preserve"> The training program was grounded in the development of clinical competencies rather than time-based training.</w:t>
      </w:r>
    </w:p>
    <w:p w14:paraId="3BA9C541" w14:textId="77777777" w:rsidR="00D8209A" w:rsidRPr="00EF2814" w:rsidRDefault="00D8209A" w:rsidP="00D8209A">
      <w:pPr>
        <w:numPr>
          <w:ilvl w:val="0"/>
          <w:numId w:val="21"/>
        </w:numPr>
        <w:spacing w:before="240" w:after="0"/>
        <w:rPr>
          <w:rFonts w:cs="Arial"/>
          <w:lang w:val="en-GB"/>
        </w:rPr>
      </w:pPr>
      <w:r w:rsidRPr="00EF2814">
        <w:rPr>
          <w:rFonts w:cs="Arial"/>
          <w:b/>
          <w:bCs/>
          <w:lang w:val="en-GB"/>
        </w:rPr>
        <w:t>Cognitive Load Theory:</w:t>
      </w:r>
      <w:r w:rsidRPr="00EF2814">
        <w:rPr>
          <w:rFonts w:cs="Arial"/>
          <w:lang w:val="en-GB"/>
        </w:rPr>
        <w:t xml:space="preserve"> The design of the emergency programs was intended to minimise information overload by focusing on the most important skills.</w:t>
      </w:r>
    </w:p>
    <w:p w14:paraId="7B011425" w14:textId="77777777" w:rsidR="00D8209A" w:rsidRPr="00EF2814" w:rsidRDefault="00D8209A" w:rsidP="00D8209A">
      <w:pPr>
        <w:numPr>
          <w:ilvl w:val="0"/>
          <w:numId w:val="21"/>
        </w:numPr>
        <w:spacing w:before="240" w:after="0"/>
        <w:rPr>
          <w:rFonts w:cs="Arial"/>
          <w:lang w:val="en-GB"/>
        </w:rPr>
      </w:pPr>
      <w:r w:rsidRPr="00EF2814">
        <w:rPr>
          <w:rFonts w:cs="Arial"/>
          <w:b/>
          <w:bCs/>
          <w:lang w:val="en-GB"/>
        </w:rPr>
        <w:t>Situated Learning Theory:</w:t>
      </w:r>
      <w:r w:rsidRPr="00EF2814">
        <w:rPr>
          <w:rFonts w:cs="Arial"/>
          <w:lang w:val="en-GB"/>
        </w:rPr>
        <w:t xml:space="preserve"> The training was conducted in a real-world clinical setting, which improved the relevance of the training to practice.</w:t>
      </w:r>
    </w:p>
    <w:p w14:paraId="736EBEDB" w14:textId="77777777" w:rsidR="00D8209A" w:rsidRPr="00EF2814" w:rsidRDefault="00D8209A" w:rsidP="00D8209A">
      <w:pPr>
        <w:spacing w:before="240" w:after="0"/>
        <w:rPr>
          <w:rFonts w:cs="Arial"/>
          <w:b/>
          <w:bCs/>
          <w:i/>
          <w:iCs/>
          <w:sz w:val="24"/>
          <w:szCs w:val="24"/>
          <w:lang w:val="en-GB"/>
        </w:rPr>
      </w:pPr>
      <w:r w:rsidRPr="00EF2814">
        <w:rPr>
          <w:rFonts w:cs="Arial"/>
          <w:b/>
          <w:bCs/>
          <w:lang w:val="en-GB"/>
        </w:rPr>
        <w:t>Policy and Legislation</w:t>
      </w:r>
    </w:p>
    <w:p w14:paraId="7A9CDBA7" w14:textId="77777777" w:rsidR="00D8209A" w:rsidRPr="00EF2814" w:rsidRDefault="00D8209A" w:rsidP="00D8209A">
      <w:pPr>
        <w:numPr>
          <w:ilvl w:val="0"/>
          <w:numId w:val="22"/>
        </w:numPr>
        <w:spacing w:before="240" w:after="0"/>
        <w:rPr>
          <w:rFonts w:cs="Arial"/>
          <w:lang w:val="en-GB"/>
        </w:rPr>
      </w:pPr>
      <w:r w:rsidRPr="00EF2814">
        <w:rPr>
          <w:rFonts w:cs="Arial"/>
          <w:b/>
          <w:bCs/>
          <w:lang w:val="en-GB"/>
        </w:rPr>
        <w:t>NHS Emergency Preparedness Framework:</w:t>
      </w:r>
      <w:r w:rsidRPr="00EF2814">
        <w:rPr>
          <w:rFonts w:cs="Arial"/>
          <w:lang w:val="en-GB"/>
        </w:rPr>
        <w:t xml:space="preserve"> Enabled swift training and skills enhancement in the workforce during public health emergencies (</w:t>
      </w:r>
      <w:proofErr w:type="spellStart"/>
      <w:r w:rsidRPr="00EF2814">
        <w:rPr>
          <w:rFonts w:cs="Arial"/>
          <w:lang w:val="en-GB"/>
        </w:rPr>
        <w:t>Tabche</w:t>
      </w:r>
      <w:proofErr w:type="spellEnd"/>
      <w:r w:rsidRPr="00EF2814">
        <w:rPr>
          <w:rFonts w:cs="Arial"/>
          <w:lang w:val="en-GB"/>
        </w:rPr>
        <w:t xml:space="preserve">, Atwan and </w:t>
      </w:r>
      <w:proofErr w:type="spellStart"/>
      <w:r w:rsidRPr="00EF2814">
        <w:rPr>
          <w:rFonts w:cs="Arial"/>
          <w:lang w:val="en-GB"/>
        </w:rPr>
        <w:t>Rawaf</w:t>
      </w:r>
      <w:proofErr w:type="spellEnd"/>
      <w:r w:rsidRPr="00EF2814">
        <w:rPr>
          <w:rFonts w:cs="Arial"/>
          <w:lang w:val="en-GB"/>
        </w:rPr>
        <w:t>, 2024).</w:t>
      </w:r>
    </w:p>
    <w:p w14:paraId="6EA39EDC" w14:textId="77777777" w:rsidR="00D8209A" w:rsidRPr="00EF2814" w:rsidRDefault="00D8209A" w:rsidP="00D8209A">
      <w:pPr>
        <w:numPr>
          <w:ilvl w:val="0"/>
          <w:numId w:val="22"/>
        </w:numPr>
        <w:spacing w:before="240" w:after="0"/>
        <w:rPr>
          <w:rFonts w:cs="Arial"/>
          <w:lang w:val="en-GB"/>
        </w:rPr>
      </w:pPr>
      <w:r w:rsidRPr="00EF2814">
        <w:rPr>
          <w:rFonts w:cs="Arial"/>
          <w:b/>
          <w:bCs/>
          <w:lang w:val="en-GB"/>
        </w:rPr>
        <w:t xml:space="preserve">Health and Social Care Act: </w:t>
      </w:r>
      <w:r w:rsidRPr="00EF2814">
        <w:rPr>
          <w:rFonts w:cs="Arial"/>
          <w:lang w:val="en-GB"/>
        </w:rPr>
        <w:t>Enabled changes in the workforce and emergency services’ adaptation to the new environment.</w:t>
      </w:r>
    </w:p>
    <w:p w14:paraId="16124E3E" w14:textId="77777777" w:rsidR="00D8209A" w:rsidRPr="00EF2814" w:rsidRDefault="00D8209A" w:rsidP="00D8209A">
      <w:pPr>
        <w:numPr>
          <w:ilvl w:val="0"/>
          <w:numId w:val="22"/>
        </w:numPr>
        <w:spacing w:before="240" w:after="0"/>
        <w:rPr>
          <w:rFonts w:cs="Arial"/>
          <w:lang w:val="en-GB"/>
        </w:rPr>
      </w:pPr>
      <w:r w:rsidRPr="00EF2814">
        <w:rPr>
          <w:rFonts w:cs="Arial"/>
          <w:b/>
          <w:bCs/>
          <w:lang w:val="en-GB"/>
        </w:rPr>
        <w:t>Temporary Regulatory Flexibility Policies:</w:t>
      </w:r>
      <w:r w:rsidRPr="00EF2814">
        <w:rPr>
          <w:rFonts w:cs="Arial"/>
          <w:lang w:val="en-GB"/>
        </w:rPr>
        <w:t xml:space="preserve"> Enabled the use of skills with supervision to ensure patient safety.</w:t>
      </w:r>
    </w:p>
    <w:p w14:paraId="57505ECA" w14:textId="77777777" w:rsidR="00D8209A" w:rsidRPr="00EF2814" w:rsidRDefault="00D8209A" w:rsidP="00D8209A">
      <w:pPr>
        <w:numPr>
          <w:ilvl w:val="0"/>
          <w:numId w:val="22"/>
        </w:numPr>
        <w:spacing w:before="240" w:after="0"/>
        <w:rPr>
          <w:rFonts w:cs="Arial"/>
          <w:lang w:val="en-GB"/>
        </w:rPr>
      </w:pPr>
      <w:r w:rsidRPr="00EF2814">
        <w:rPr>
          <w:rFonts w:cs="Arial"/>
          <w:b/>
          <w:bCs/>
          <w:lang w:val="en-GB"/>
        </w:rPr>
        <w:t>NHS People Plan:</w:t>
      </w:r>
      <w:r w:rsidRPr="00EF2814">
        <w:rPr>
          <w:rFonts w:cs="Arial"/>
          <w:lang w:val="en-GB"/>
        </w:rPr>
        <w:t xml:space="preserve"> Enabled swift skills development, employee well-being, and workforce resilience during emergencies.</w:t>
      </w:r>
    </w:p>
    <w:p w14:paraId="4151430D" w14:textId="77777777" w:rsidR="00D8209A" w:rsidRPr="00EF2814" w:rsidRDefault="00D8209A" w:rsidP="00D8209A">
      <w:pPr>
        <w:numPr>
          <w:ilvl w:val="0"/>
          <w:numId w:val="22"/>
        </w:numPr>
        <w:spacing w:before="240" w:after="0"/>
        <w:rPr>
          <w:rFonts w:cs="Arial"/>
          <w:lang w:val="en-GB"/>
        </w:rPr>
      </w:pPr>
      <w:r w:rsidRPr="00EF2814">
        <w:rPr>
          <w:rFonts w:cs="Arial"/>
          <w:b/>
          <w:bCs/>
          <w:lang w:val="en-GB"/>
        </w:rPr>
        <w:t xml:space="preserve">Infection Prevention and Control Regulations: </w:t>
      </w:r>
      <w:r w:rsidRPr="00EF2814">
        <w:rPr>
          <w:rFonts w:cs="Arial"/>
          <w:lang w:val="en-GB"/>
        </w:rPr>
        <w:t>Mandated emergency training on PPE and patient safety practices.</w:t>
      </w:r>
    </w:p>
    <w:p w14:paraId="65861121"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lastRenderedPageBreak/>
        <w:t>Implications</w:t>
      </w:r>
    </w:p>
    <w:p w14:paraId="634BFCCC" w14:textId="77777777" w:rsidR="00D8209A" w:rsidRPr="00EF2814" w:rsidRDefault="00D8209A" w:rsidP="00D8209A">
      <w:pPr>
        <w:spacing w:before="240" w:after="0"/>
        <w:rPr>
          <w:rFonts w:cs="Arial"/>
          <w:lang w:val="en-GB"/>
        </w:rPr>
      </w:pPr>
      <w:r w:rsidRPr="00EF2814">
        <w:rPr>
          <w:rFonts w:cs="Arial"/>
          <w:lang w:val="en-GB"/>
        </w:rPr>
        <w:t xml:space="preserve">Flexibility of the labour force sustained the delivery of services within a short period, thus alleviating workforce reduction, which has a positive implication on health system resilience (Burau </w:t>
      </w:r>
      <w:r w:rsidRPr="00EF2814">
        <w:rPr>
          <w:rFonts w:cs="Arial"/>
          <w:i/>
          <w:iCs/>
          <w:lang w:val="en-GB"/>
        </w:rPr>
        <w:t>et al.</w:t>
      </w:r>
      <w:r w:rsidRPr="00EF2814">
        <w:rPr>
          <w:rFonts w:cs="Arial"/>
          <w:lang w:val="en-GB"/>
        </w:rPr>
        <w:t>, 2022). Nevertheless, the adaptation of roles gave a lot of cognitive and emotional pressure on the staff, at times more than what had been taught during training. The lack of competency and confidence in relation to the lack of adequate training relative to role complexity was a factor that jeopardised proper orientation in future emergency workforce planning.</w:t>
      </w:r>
    </w:p>
    <w:p w14:paraId="752E07D5"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Examples from the Articles</w:t>
      </w:r>
    </w:p>
    <w:p w14:paraId="01EF5B89" w14:textId="77777777" w:rsidR="00D8209A" w:rsidRPr="00EF2814" w:rsidRDefault="00D8209A" w:rsidP="00D8209A">
      <w:pPr>
        <w:spacing w:before="240" w:after="0"/>
        <w:rPr>
          <w:rFonts w:cs="Arial"/>
          <w:b/>
          <w:bCs/>
          <w:i/>
          <w:iCs/>
          <w:sz w:val="24"/>
          <w:szCs w:val="24"/>
          <w:lang w:val="en-GB"/>
        </w:rPr>
      </w:pPr>
      <w:r w:rsidRPr="00EF2814">
        <w:rPr>
          <w:rFonts w:cs="Arial"/>
          <w:lang w:val="en-GB"/>
        </w:rPr>
        <w:t>In qualitative case studies, redeployed research and clinical personnel demonstrated that they could learn quickly to be in frontline positions, especially as supervision was regularly provided (Wright, Haden and Dalrymple, 2023). On the one hand, emergency medicine literature indicated enhanced flexibility, and on the other hand, anxiety among employees who were not engaged in their specialisations. Reviews of laboratory education indicated positive role expansion with a lower level of confidence when the scope of redeployment surpassed initial training, with congruence in results and incongruence as well.</w:t>
      </w:r>
    </w:p>
    <w:p w14:paraId="569752A3"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Connections to Other Themes</w:t>
      </w:r>
    </w:p>
    <w:p w14:paraId="064A1615" w14:textId="77777777" w:rsidR="00D8209A" w:rsidRPr="00EF2814" w:rsidRDefault="00D8209A" w:rsidP="00D8209A">
      <w:pPr>
        <w:spacing w:before="240" w:after="0"/>
        <w:rPr>
          <w:rFonts w:cs="Arial"/>
          <w:lang w:val="en-GB"/>
        </w:rPr>
      </w:pPr>
      <w:r w:rsidRPr="00EF2814">
        <w:rPr>
          <w:rFonts w:cs="Arial"/>
          <w:lang w:val="en-GB"/>
        </w:rPr>
        <w:t>The effectiveness of the emergency clinical training is closely related to this theme because the quality of the training affects the successful practise of the roles (Zhang, 2023). It also somewhat intersects the barriers to training delivery in that preparedness was constrained by a lack of time and resources. Also, connections to support systems and resilience of the workforce show that supervision and peer support mediated the effects of redeployment on the competency and well-being of the staff.</w:t>
      </w:r>
    </w:p>
    <w:p w14:paraId="633DC618" w14:textId="77777777"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t>Examples from the Articles</w:t>
      </w:r>
    </w:p>
    <w:p w14:paraId="53E575D6" w14:textId="77777777" w:rsidR="00D8209A" w:rsidRPr="00EF2814" w:rsidRDefault="00D8209A" w:rsidP="00D8209A">
      <w:pPr>
        <w:spacing w:before="240" w:after="0"/>
        <w:rPr>
          <w:rFonts w:cs="Arial"/>
          <w:lang w:val="en-GB"/>
        </w:rPr>
      </w:pPr>
      <w:r w:rsidRPr="00EF2814">
        <w:rPr>
          <w:rFonts w:cs="Arial"/>
          <w:lang w:val="en-GB"/>
        </w:rPr>
        <w:t>The articles under review have found that healthcare assistants have taken on more clinical work during times of staff shortages, thus reducing delays in services. Nurses working as advanced practitioners have also improved patient flow in primary care settings. Social care professionals have found that they have taken on more work in multidisciplinary teams, especially in times of crisis.</w:t>
      </w:r>
    </w:p>
    <w:p w14:paraId="3FA41677" w14:textId="77777777" w:rsidR="001F7591" w:rsidRDefault="001F7591" w:rsidP="00D8209A">
      <w:pPr>
        <w:spacing w:before="240" w:after="0"/>
        <w:rPr>
          <w:rFonts w:cs="Arial"/>
          <w:b/>
          <w:bCs/>
          <w:i/>
          <w:iCs/>
          <w:sz w:val="24"/>
          <w:szCs w:val="24"/>
          <w:lang w:val="en-GB"/>
        </w:rPr>
      </w:pPr>
    </w:p>
    <w:p w14:paraId="24E67AE5" w14:textId="2B9CF65D" w:rsidR="00D8209A" w:rsidRPr="00EF2814" w:rsidRDefault="00D8209A" w:rsidP="00D8209A">
      <w:pPr>
        <w:spacing w:before="240" w:after="0"/>
        <w:rPr>
          <w:rFonts w:cs="Arial"/>
          <w:b/>
          <w:bCs/>
          <w:i/>
          <w:iCs/>
          <w:sz w:val="24"/>
          <w:szCs w:val="24"/>
          <w:lang w:val="en-GB"/>
        </w:rPr>
      </w:pPr>
      <w:r w:rsidRPr="00EF2814">
        <w:rPr>
          <w:rFonts w:cs="Arial"/>
          <w:b/>
          <w:bCs/>
          <w:i/>
          <w:iCs/>
          <w:sz w:val="24"/>
          <w:szCs w:val="24"/>
          <w:lang w:val="en-GB"/>
        </w:rPr>
        <w:lastRenderedPageBreak/>
        <w:t>Connections to Other Themes</w:t>
      </w:r>
    </w:p>
    <w:p w14:paraId="3905691A" w14:textId="77777777" w:rsidR="00D8209A" w:rsidRPr="00EF2814" w:rsidRDefault="00D8209A" w:rsidP="00D8209A">
      <w:pPr>
        <w:spacing w:before="240" w:after="0"/>
        <w:rPr>
          <w:rFonts w:cs="Arial"/>
          <w:lang w:val="en-GB"/>
        </w:rPr>
      </w:pPr>
      <w:r w:rsidRPr="00EF2814">
        <w:rPr>
          <w:rFonts w:cs="Arial"/>
          <w:lang w:val="en-GB"/>
        </w:rPr>
        <w:t xml:space="preserve">The issue of workforce flexibility is also closely related to the concepts of interprofessional working and service integration, as flexible roles are based on shared accountability (Dib and </w:t>
      </w:r>
      <w:proofErr w:type="spellStart"/>
      <w:r w:rsidRPr="00EF2814">
        <w:rPr>
          <w:rFonts w:cs="Arial"/>
          <w:lang w:val="en-GB"/>
        </w:rPr>
        <w:t>Belrhiti</w:t>
      </w:r>
      <w:proofErr w:type="spellEnd"/>
      <w:r w:rsidRPr="00EF2814">
        <w:rPr>
          <w:rFonts w:cs="Arial"/>
          <w:lang w:val="en-GB"/>
        </w:rPr>
        <w:t>, 2025). It is also related to the concepts of leadership and organisational culture, as supportive leadership is necessary for flexible roles to be developed. In addition, it is also related to service user outcomes, as flexible roles improve continuity of care.</w:t>
      </w:r>
    </w:p>
    <w:p w14:paraId="1F9DCFFB" w14:textId="77777777" w:rsidR="00D8209A" w:rsidRPr="00EF2814" w:rsidRDefault="00D8209A" w:rsidP="00D8209A">
      <w:pPr>
        <w:pStyle w:val="Heading2"/>
        <w:rPr>
          <w:lang w:val="en-GB"/>
        </w:rPr>
      </w:pPr>
      <w:bookmarkStart w:id="16" w:name="_Toc222234366"/>
      <w:bookmarkStart w:id="17" w:name="_Toc222235899"/>
      <w:r w:rsidRPr="00EF2814">
        <w:rPr>
          <w:lang w:val="en-GB"/>
        </w:rPr>
        <w:t>4.5 Theme 3 - Competency Development and Clinical Confidence</w:t>
      </w:r>
      <w:bookmarkEnd w:id="16"/>
      <w:bookmarkEnd w:id="17"/>
    </w:p>
    <w:p w14:paraId="0440993E"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Definition</w:t>
      </w:r>
    </w:p>
    <w:p w14:paraId="3D4396D2"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Competency development can be defined as the process through which healthcare professionals can acquire and enhance their knowledge, skills, behaviours, as well as judgment, of giving safe and effective care (MacKay </w:t>
      </w:r>
      <w:r w:rsidRPr="00EF2814">
        <w:rPr>
          <w:rFonts w:eastAsia="Times New Roman" w:cs="Arial"/>
          <w:i/>
          <w:iCs/>
          <w:lang w:val="en-GB"/>
        </w:rPr>
        <w:t>et al.,</w:t>
      </w:r>
      <w:r w:rsidRPr="00EF2814">
        <w:rPr>
          <w:rFonts w:eastAsia="Times New Roman" w:cs="Arial"/>
          <w:lang w:val="en-GB"/>
        </w:rPr>
        <w:t xml:space="preserve"> 2024). Clinical confidence, on the other hand, has a close relation with competency. It is the confidence which practitioners develop in using these skills when faced with pressure (Gottlieb </w:t>
      </w:r>
      <w:r w:rsidRPr="00EF2814">
        <w:rPr>
          <w:rFonts w:eastAsia="Times New Roman" w:cs="Arial"/>
          <w:i/>
          <w:iCs/>
          <w:lang w:val="en-GB"/>
        </w:rPr>
        <w:t>et al.,</w:t>
      </w:r>
      <w:r w:rsidRPr="00EF2814">
        <w:rPr>
          <w:rFonts w:eastAsia="Times New Roman" w:cs="Arial"/>
          <w:lang w:val="en-GB"/>
        </w:rPr>
        <w:t xml:space="preserve"> 2021). Emergency clinical training in response to the COVID-19 pandemic aimed at rapidly improving the competency and confidence of the redeployed staff. This helps them to adapt to the new environment and provide patient safety under high-risk conditions.</w:t>
      </w:r>
    </w:p>
    <w:p w14:paraId="64FDD213"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Relevance to the Title</w:t>
      </w:r>
    </w:p>
    <w:p w14:paraId="7871104B"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In the title of the dissertation, which is </w:t>
      </w:r>
      <w:r w:rsidRPr="00EF2814">
        <w:rPr>
          <w:rFonts w:eastAsia="Times New Roman" w:cs="Arial"/>
          <w:b/>
          <w:bCs/>
          <w:i/>
          <w:iCs/>
          <w:lang w:val="en-GB"/>
        </w:rPr>
        <w:t>"Examining the Effect of COVID-19 Emergency Clinical Training on Staff Competency Levels within the UK Health Care Industry"</w:t>
      </w:r>
      <w:r w:rsidRPr="00EF2814">
        <w:rPr>
          <w:rFonts w:eastAsia="Times New Roman" w:cs="Arial"/>
          <w:lang w:val="en-GB"/>
        </w:rPr>
        <w:t>, competency development and clinical confidence are explicitly placed as relevant outcomes of emergency training. Training initiatives need necessary goals to determine a measurable increase in these areas. Competency is what ensures the ability of staff members to perform key responsibilities like infection control, ventilator care, and triage (Hyeon and Moon, 2024). Correspondingly, confidence enabled them to take decisive actions under high-pressure circumstances. A combination of these outcomes established the potential to maintain workforce resilience and patient safety at pandemic times.</w:t>
      </w:r>
    </w:p>
    <w:p w14:paraId="248B14F1" w14:textId="77777777" w:rsidR="00D8209A" w:rsidRPr="00EF2814" w:rsidRDefault="00D8209A" w:rsidP="00D8209A">
      <w:pPr>
        <w:spacing w:before="200"/>
        <w:rPr>
          <w:rFonts w:eastAsia="Times New Roman" w:cs="Arial"/>
          <w:lang w:val="en-GB"/>
        </w:rPr>
      </w:pPr>
      <w:r w:rsidRPr="00EF2814">
        <w:rPr>
          <w:rFonts w:eastAsia="Times New Roman" w:cs="Arial"/>
          <w:lang w:val="en-GB"/>
        </w:rPr>
        <w:t>The dependence of competency and confidence makes an impact on the workforce preparedness:</w:t>
      </w:r>
    </w:p>
    <w:p w14:paraId="06AF3998" w14:textId="77777777" w:rsidR="00D8209A" w:rsidRPr="00EF2814" w:rsidRDefault="00D8209A" w:rsidP="00D8209A">
      <w:pPr>
        <w:numPr>
          <w:ilvl w:val="0"/>
          <w:numId w:val="35"/>
        </w:numPr>
        <w:spacing w:before="200" w:after="0"/>
        <w:rPr>
          <w:rFonts w:eastAsia="Times New Roman" w:cs="Arial"/>
          <w:lang w:val="en-GB"/>
        </w:rPr>
      </w:pPr>
      <w:r w:rsidRPr="00EF2814">
        <w:rPr>
          <w:rFonts w:eastAsia="Times New Roman" w:cs="Arial"/>
          <w:b/>
          <w:bCs/>
          <w:lang w:val="en-GB"/>
        </w:rPr>
        <w:lastRenderedPageBreak/>
        <w:t>Positive Implications</w:t>
      </w:r>
      <w:r w:rsidRPr="00EF2814">
        <w:rPr>
          <w:rFonts w:eastAsia="Times New Roman" w:cs="Arial"/>
          <w:lang w:val="en-GB"/>
        </w:rPr>
        <w:t xml:space="preserve"> - Emergency training improved the level of technical skills, which allowed redeployed staff to make a positive contribution to patient care. Training is typically organised, available and supported by organisations to boost confidence.</w:t>
      </w:r>
    </w:p>
    <w:p w14:paraId="0B41401B" w14:textId="77777777" w:rsidR="00D8209A" w:rsidRPr="00EF2814" w:rsidRDefault="00D8209A" w:rsidP="00D8209A">
      <w:pPr>
        <w:numPr>
          <w:ilvl w:val="0"/>
          <w:numId w:val="35"/>
        </w:numPr>
        <w:spacing w:before="200" w:after="0"/>
        <w:rPr>
          <w:rFonts w:eastAsia="Times New Roman" w:cs="Arial"/>
          <w:lang w:val="en-GB"/>
        </w:rPr>
      </w:pPr>
      <w:r w:rsidRPr="00EF2814">
        <w:rPr>
          <w:rFonts w:eastAsia="Times New Roman" w:cs="Arial"/>
          <w:b/>
          <w:bCs/>
          <w:lang w:val="en-GB"/>
        </w:rPr>
        <w:t>Negative Implications</w:t>
      </w:r>
      <w:r w:rsidRPr="00EF2814">
        <w:rPr>
          <w:rFonts w:eastAsia="Times New Roman" w:cs="Arial"/>
          <w:lang w:val="en-GB"/>
        </w:rPr>
        <w:t xml:space="preserve"> - The rapidity in training initiatives can disrupt the competency of the staff, with increased uncertainties. There may be gaps in the confidence where patient safety can be compromised, especially in high-risk situations or in the ICU.</w:t>
      </w:r>
    </w:p>
    <w:p w14:paraId="61451503"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The outcomes indicate that competency training is necessary, in addition to developing staff confidence, including simulation training, mentorship, and psychological support. The policies should consider that training regarding emergencies is technically adequate </w:t>
      </w:r>
      <w:proofErr w:type="gramStart"/>
      <w:r w:rsidRPr="00EF2814">
        <w:rPr>
          <w:rFonts w:eastAsia="Times New Roman" w:cs="Arial"/>
          <w:lang w:val="en-GB"/>
        </w:rPr>
        <w:t>and also</w:t>
      </w:r>
      <w:proofErr w:type="gramEnd"/>
      <w:r w:rsidRPr="00EF2814">
        <w:rPr>
          <w:rFonts w:eastAsia="Times New Roman" w:cs="Arial"/>
          <w:lang w:val="en-GB"/>
        </w:rPr>
        <w:t xml:space="preserve"> psychologically empowering.</w:t>
      </w:r>
    </w:p>
    <w:p w14:paraId="3243FFB0"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Theories, Policies &amp; Legislation</w:t>
      </w:r>
    </w:p>
    <w:p w14:paraId="75B4D67B" w14:textId="77777777" w:rsidR="00D8209A" w:rsidRPr="00EF2814" w:rsidRDefault="00D8209A" w:rsidP="00D8209A">
      <w:pPr>
        <w:spacing w:before="200"/>
        <w:rPr>
          <w:rFonts w:eastAsia="Times New Roman" w:cs="Arial"/>
          <w:lang w:val="en-GB"/>
        </w:rPr>
      </w:pPr>
      <w:r w:rsidRPr="00EF2814">
        <w:rPr>
          <w:rFonts w:eastAsia="Times New Roman" w:cs="Arial"/>
          <w:lang w:val="en-GB"/>
        </w:rPr>
        <w:t>The competency development is analysed based on several theoretical frameworks:</w:t>
      </w:r>
    </w:p>
    <w:p w14:paraId="35951AD4" w14:textId="77777777" w:rsidR="00D8209A" w:rsidRPr="00EF2814" w:rsidRDefault="00D8209A" w:rsidP="00D8209A">
      <w:pPr>
        <w:numPr>
          <w:ilvl w:val="0"/>
          <w:numId w:val="36"/>
        </w:numPr>
        <w:spacing w:before="200" w:after="0"/>
        <w:rPr>
          <w:rFonts w:eastAsia="Times New Roman" w:cs="Arial"/>
          <w:lang w:val="en-GB"/>
        </w:rPr>
      </w:pPr>
      <w:r w:rsidRPr="00EF2814">
        <w:rPr>
          <w:rFonts w:eastAsia="Times New Roman" w:cs="Arial"/>
          <w:b/>
          <w:bCs/>
          <w:lang w:val="en-GB"/>
        </w:rPr>
        <w:t>Competency-Based Training (CBT)</w:t>
      </w:r>
      <w:r w:rsidRPr="00EF2814">
        <w:rPr>
          <w:rFonts w:eastAsia="Times New Roman" w:cs="Arial"/>
          <w:lang w:val="en-GB"/>
        </w:rPr>
        <w:t xml:space="preserve"> - Drawing attention to the theory, Brightwell and Grant (2022), provide a focus on quantifiable skills and knowledge standards. CBT, when used in the context of COVID-19, prioritise designing accelerated training modules, which allow the redeployed staff to achieve minimum competency amid time shortage.</w:t>
      </w:r>
    </w:p>
    <w:p w14:paraId="34331175" w14:textId="77777777" w:rsidR="00D8209A" w:rsidRPr="00EF2814" w:rsidRDefault="00D8209A" w:rsidP="00D8209A">
      <w:pPr>
        <w:numPr>
          <w:ilvl w:val="0"/>
          <w:numId w:val="36"/>
        </w:numPr>
        <w:spacing w:before="200" w:after="0"/>
        <w:rPr>
          <w:rFonts w:eastAsia="Times New Roman" w:cs="Arial"/>
          <w:lang w:val="en-GB"/>
        </w:rPr>
      </w:pPr>
      <w:r w:rsidRPr="00EF2814">
        <w:rPr>
          <w:rFonts w:eastAsia="Times New Roman" w:cs="Arial"/>
          <w:b/>
          <w:bCs/>
          <w:lang w:val="en-GB"/>
        </w:rPr>
        <w:t>Adult Learning Theory</w:t>
      </w:r>
      <w:r w:rsidRPr="00EF2814">
        <w:rPr>
          <w:rFonts w:eastAsia="Times New Roman" w:cs="Arial"/>
          <w:lang w:val="en-GB"/>
        </w:rPr>
        <w:t xml:space="preserve"> - Emergency training, as explained by Mukhalalati and Taylor (2020), is based on experiential problem-based learning, allowing HCWs to put the new skills into practice. This has been especially true for the staff who had been redeployed to the intensive care units, where practical simulation boosted confidence.</w:t>
      </w:r>
    </w:p>
    <w:p w14:paraId="26317233" w14:textId="77777777" w:rsidR="00D8209A" w:rsidRPr="00EF2814" w:rsidRDefault="00D8209A" w:rsidP="00D8209A">
      <w:pPr>
        <w:numPr>
          <w:ilvl w:val="0"/>
          <w:numId w:val="36"/>
        </w:numPr>
        <w:spacing w:before="200" w:after="0"/>
        <w:rPr>
          <w:rFonts w:eastAsia="Times New Roman" w:cs="Arial"/>
          <w:lang w:val="en-GB"/>
        </w:rPr>
      </w:pPr>
      <w:r w:rsidRPr="00EF2814">
        <w:rPr>
          <w:rFonts w:eastAsia="Times New Roman" w:cs="Arial"/>
          <w:b/>
          <w:bCs/>
          <w:lang w:val="en-GB"/>
        </w:rPr>
        <w:t>Resilience Theory</w:t>
      </w:r>
      <w:r w:rsidRPr="00EF2814">
        <w:rPr>
          <w:rFonts w:eastAsia="Times New Roman" w:cs="Arial"/>
          <w:lang w:val="en-GB"/>
        </w:rPr>
        <w:t xml:space="preserve"> - Competency building is not only a technical approach, but also a psychological initiative (Zimmerman, 2023). Hence, training improved the flexibility of the workforce by minimising the fear and uncertainty, thus enhancing crisis confidence.</w:t>
      </w:r>
    </w:p>
    <w:p w14:paraId="51F6C6F3"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Knowledge competency development has further considered policy frameworks. Workforce obligations, defined by the </w:t>
      </w:r>
      <w:r w:rsidRPr="00EF2814">
        <w:rPr>
          <w:rFonts w:eastAsia="Times New Roman" w:cs="Arial"/>
          <w:b/>
          <w:bCs/>
          <w:lang w:val="en-GB"/>
        </w:rPr>
        <w:t>"Care Act, 2014"</w:t>
      </w:r>
      <w:r w:rsidRPr="00EF2814">
        <w:rPr>
          <w:rFonts w:eastAsia="Times New Roman" w:cs="Arial"/>
          <w:lang w:val="en-GB"/>
        </w:rPr>
        <w:t xml:space="preserve"> and </w:t>
      </w:r>
      <w:r w:rsidRPr="00EF2814">
        <w:rPr>
          <w:rFonts w:eastAsia="Times New Roman" w:cs="Arial"/>
          <w:b/>
          <w:bCs/>
          <w:lang w:val="en-GB"/>
        </w:rPr>
        <w:t>"Health and Social Care Act, 2012"</w:t>
      </w:r>
      <w:r w:rsidRPr="00EF2814">
        <w:rPr>
          <w:rFonts w:eastAsia="Times New Roman" w:cs="Arial"/>
          <w:lang w:val="en-GB"/>
        </w:rPr>
        <w:t xml:space="preserve">, besides "emergency directives" by the </w:t>
      </w:r>
      <w:r w:rsidRPr="00EF2814">
        <w:rPr>
          <w:rFonts w:eastAsia="Times New Roman" w:cs="Arial"/>
          <w:b/>
          <w:bCs/>
          <w:lang w:val="en-GB"/>
        </w:rPr>
        <w:t>"Department of Health and Social Care"</w:t>
      </w:r>
      <w:r w:rsidRPr="00EF2814">
        <w:rPr>
          <w:rFonts w:eastAsia="Times New Roman" w:cs="Arial"/>
          <w:lang w:val="en-GB"/>
        </w:rPr>
        <w:t xml:space="preserve"> (DHSC) and the </w:t>
      </w:r>
      <w:r w:rsidRPr="00EF2814">
        <w:rPr>
          <w:rFonts w:eastAsia="Times New Roman" w:cs="Arial"/>
          <w:b/>
          <w:bCs/>
          <w:lang w:val="en-GB"/>
        </w:rPr>
        <w:t>NHS England</w:t>
      </w:r>
      <w:r w:rsidRPr="00EF2814">
        <w:rPr>
          <w:rFonts w:eastAsia="Times New Roman" w:cs="Arial"/>
          <w:lang w:val="en-GB"/>
        </w:rPr>
        <w:t xml:space="preserve">, demanded quick upskilling (Legislation.gov.uk 2024; Gov.uk, 2022). The </w:t>
      </w:r>
      <w:r w:rsidRPr="00EF2814">
        <w:rPr>
          <w:rFonts w:eastAsia="Times New Roman" w:cs="Arial"/>
          <w:b/>
          <w:bCs/>
          <w:lang w:val="en-GB"/>
        </w:rPr>
        <w:t>"General Medical Council"</w:t>
      </w:r>
      <w:r w:rsidRPr="00EF2814">
        <w:rPr>
          <w:rFonts w:eastAsia="Times New Roman" w:cs="Arial"/>
          <w:lang w:val="en-GB"/>
        </w:rPr>
        <w:t xml:space="preserve"> (GMC) has been bringing a temporary change in the training requirements, which enabled a redeployment, without undermining professional standards (GMC, 2021). These </w:t>
      </w:r>
      <w:r w:rsidRPr="00EF2814">
        <w:rPr>
          <w:rFonts w:eastAsia="Times New Roman" w:cs="Arial"/>
          <w:lang w:val="en-GB"/>
        </w:rPr>
        <w:lastRenderedPageBreak/>
        <w:t>policies authorised the emergency training and guaranteed the competency development according to the regulatory expectations.</w:t>
      </w:r>
    </w:p>
    <w:p w14:paraId="033B2981"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Examples from Papers</w:t>
      </w:r>
    </w:p>
    <w:p w14:paraId="0FB3E972"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In the study by </w:t>
      </w:r>
      <w:proofErr w:type="spellStart"/>
      <w:r w:rsidRPr="00EF2814">
        <w:rPr>
          <w:rFonts w:eastAsia="Times New Roman" w:cs="Arial"/>
          <w:b/>
          <w:bCs/>
          <w:lang w:val="en-GB"/>
        </w:rPr>
        <w:t>Vindrola-Padros</w:t>
      </w:r>
      <w:proofErr w:type="spellEnd"/>
      <w:r w:rsidRPr="00EF2814">
        <w:rPr>
          <w:rFonts w:eastAsia="Times New Roman" w:cs="Arial"/>
          <w:b/>
          <w:bCs/>
          <w:lang w:val="en-GB"/>
        </w:rPr>
        <w:t xml:space="preserve"> et al. (2020)</w:t>
      </w:r>
      <w:r w:rsidRPr="00EF2814">
        <w:rPr>
          <w:rFonts w:eastAsia="Times New Roman" w:cs="Arial"/>
          <w:lang w:val="en-GB"/>
        </w:rPr>
        <w:t>, the researchers focused on the qualitative investigation of the perception of healthcare workers during the pandemic. The evidence discovered that even though the technical competency was enhanced through emergency training, several staff indicated that they continued to experience anxiety and uncertainty, especially when assigned to new positions. The training speed and the lack of hands-on experience negated confidence. The tension between competence development and confidence building was experienced by participants, who emphasised that rapid training has disrupted the practice consistency. However, the study underlined that even a short-term structured training acted as a psychological anchor, making one feel less anxious, thus strengthening their resilience.</w:t>
      </w:r>
    </w:p>
    <w:p w14:paraId="040F7B02" w14:textId="77777777" w:rsidR="00D8209A" w:rsidRPr="00EF2814" w:rsidRDefault="00D8209A" w:rsidP="00D8209A">
      <w:pPr>
        <w:spacing w:before="200"/>
        <w:rPr>
          <w:rFonts w:eastAsia="Times New Roman" w:cs="Arial"/>
          <w:lang w:val="en-GB"/>
        </w:rPr>
      </w:pPr>
      <w:r w:rsidRPr="00EF2814">
        <w:rPr>
          <w:rFonts w:eastAsia="Times New Roman" w:cs="Arial"/>
          <w:b/>
          <w:bCs/>
          <w:lang w:val="en-GB"/>
        </w:rPr>
        <w:t>Camilleri et al. (2020)</w:t>
      </w:r>
      <w:r w:rsidRPr="00EF2814">
        <w:rPr>
          <w:rFonts w:eastAsia="Times New Roman" w:cs="Arial"/>
          <w:lang w:val="en-GB"/>
        </w:rPr>
        <w:t xml:space="preserve"> assessed the Covid-19 ICU Remote-Learning Course (CIRLC), an online training process for frontline HCPs. The research has shown that distance learning may be applicable to promote the skills of critical care procedures, especially </w:t>
      </w:r>
      <w:proofErr w:type="gramStart"/>
      <w:r w:rsidRPr="00EF2814">
        <w:rPr>
          <w:rFonts w:eastAsia="Times New Roman" w:cs="Arial"/>
          <w:lang w:val="en-GB"/>
        </w:rPr>
        <w:t>in the area of</w:t>
      </w:r>
      <w:proofErr w:type="gramEnd"/>
      <w:r w:rsidRPr="00EF2814">
        <w:rPr>
          <w:rFonts w:eastAsia="Times New Roman" w:cs="Arial"/>
          <w:lang w:val="en-GB"/>
        </w:rPr>
        <w:t xml:space="preserve"> infection control and ventilator management. Nevertheless, there is a range of debates, as the participants appreciated the convenience of online courses, but most of them thought that the simulation-based training mode would have helped to strengthen the confidence level when applying learned skills in real-life situations. This concludes that the most effective way to balance between competency development and the process of building confidence is blended methods, for instance, remote learning combined with practical simulations.</w:t>
      </w:r>
    </w:p>
    <w:p w14:paraId="60EEB5DF" w14:textId="77777777" w:rsidR="00D8209A" w:rsidRPr="00EF2814" w:rsidRDefault="00D8209A" w:rsidP="00D8209A">
      <w:pPr>
        <w:pStyle w:val="Heading2"/>
        <w:rPr>
          <w:lang w:val="en-GB"/>
        </w:rPr>
      </w:pPr>
      <w:bookmarkStart w:id="18" w:name="_Toc222234367"/>
      <w:bookmarkStart w:id="19" w:name="_Toc222235900"/>
      <w:r w:rsidRPr="00EF2814">
        <w:rPr>
          <w:lang w:val="en-GB"/>
        </w:rPr>
        <w:t>4.6 Theme 4 - Barriers to Emergency Training Delivery</w:t>
      </w:r>
      <w:bookmarkEnd w:id="18"/>
      <w:bookmarkEnd w:id="19"/>
    </w:p>
    <w:p w14:paraId="40C4040E"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Definition</w:t>
      </w:r>
    </w:p>
    <w:p w14:paraId="3ADC50F9"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The barriers to emergency training delivery are the systemic, organisational, and technological issues (Troyer and Brady, 2020). This creates limitations on the successful delivery of a rapid training program in times of crisis. Herein, major impediments include resource inadequacies, time, technological issues, policy issues, and workforce burnout. As stated by Houghton </w:t>
      </w:r>
      <w:r w:rsidRPr="00EF2814">
        <w:rPr>
          <w:rFonts w:eastAsia="Times New Roman" w:cs="Arial"/>
          <w:i/>
          <w:iCs/>
          <w:lang w:val="en-GB"/>
        </w:rPr>
        <w:t>et al.,</w:t>
      </w:r>
      <w:r w:rsidRPr="00EF2814">
        <w:rPr>
          <w:rFonts w:eastAsia="Times New Roman" w:cs="Arial"/>
          <w:lang w:val="en-GB"/>
        </w:rPr>
        <w:t xml:space="preserve"> (2020) during COVID-19, these barriers directly affected the possibility of healthcare workers developing the required competencies and confidence. This is negatively affecting patient safety and workforce resilience.</w:t>
      </w:r>
    </w:p>
    <w:p w14:paraId="311B29AA"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lastRenderedPageBreak/>
        <w:t>Relevance to the Title</w:t>
      </w:r>
    </w:p>
    <w:p w14:paraId="7A1A23FD" w14:textId="77777777" w:rsidR="00D8209A" w:rsidRPr="00EF2814" w:rsidRDefault="00D8209A" w:rsidP="00D8209A">
      <w:pPr>
        <w:spacing w:before="200"/>
        <w:rPr>
          <w:rFonts w:eastAsia="Times New Roman" w:cs="Arial"/>
          <w:lang w:val="en-GB"/>
        </w:rPr>
      </w:pPr>
      <w:r w:rsidRPr="00EF2814">
        <w:rPr>
          <w:rFonts w:eastAsia="Times New Roman" w:cs="Arial"/>
          <w:lang w:val="en-GB"/>
        </w:rPr>
        <w:t>Emphasising the research title, the theme has appropriately presented an understanding of how barriers to effective competency development need attention for successful training provision. It is important to identify such barriers since they justify the differences in competency levels among staff groups and the disproportionate level of confidence. Through the analysis of these challenges, the dissertation offers a fair understanding of the achievements as well as the restrictions of emergency training programs within the UK healthcare sector.</w:t>
      </w:r>
    </w:p>
    <w:p w14:paraId="57E39AD1" w14:textId="77777777" w:rsidR="00D8209A" w:rsidRPr="00EF2814" w:rsidRDefault="00D8209A" w:rsidP="00D8209A">
      <w:pPr>
        <w:spacing w:before="200"/>
        <w:rPr>
          <w:rFonts w:eastAsia="Times New Roman" w:cs="Arial"/>
          <w:lang w:val="en-GB"/>
        </w:rPr>
      </w:pPr>
      <w:r w:rsidRPr="00EF2814">
        <w:rPr>
          <w:rFonts w:eastAsia="Times New Roman" w:cs="Arial"/>
          <w:lang w:val="en-GB"/>
        </w:rPr>
        <w:t>The impediments to the delivery of emergency training are applicable in several ways:</w:t>
      </w:r>
    </w:p>
    <w:p w14:paraId="51B73225" w14:textId="77777777" w:rsidR="00D8209A" w:rsidRPr="00EF2814" w:rsidRDefault="00D8209A" w:rsidP="00D8209A">
      <w:pPr>
        <w:numPr>
          <w:ilvl w:val="0"/>
          <w:numId w:val="32"/>
        </w:numPr>
        <w:spacing w:before="200" w:after="0"/>
        <w:rPr>
          <w:rFonts w:eastAsia="Times New Roman" w:cs="Arial"/>
          <w:lang w:val="en-GB"/>
        </w:rPr>
      </w:pPr>
      <w:r w:rsidRPr="00EF2814">
        <w:rPr>
          <w:rFonts w:eastAsia="Times New Roman" w:cs="Arial"/>
          <w:b/>
          <w:bCs/>
          <w:lang w:val="en-GB"/>
        </w:rPr>
        <w:t xml:space="preserve">Negative Implications - </w:t>
      </w:r>
      <w:r w:rsidRPr="00EF2814">
        <w:rPr>
          <w:rFonts w:eastAsia="Times New Roman" w:cs="Arial"/>
          <w:lang w:val="en-GB"/>
        </w:rPr>
        <w:t xml:space="preserve">As implied by Kempny </w:t>
      </w:r>
      <w:r w:rsidRPr="00EF2814">
        <w:rPr>
          <w:rFonts w:eastAsia="Times New Roman" w:cs="Arial"/>
          <w:i/>
          <w:iCs/>
          <w:lang w:val="en-GB"/>
        </w:rPr>
        <w:t>et al.,</w:t>
      </w:r>
      <w:r w:rsidRPr="00EF2814">
        <w:rPr>
          <w:rFonts w:eastAsia="Times New Roman" w:cs="Arial"/>
          <w:lang w:val="en-GB"/>
        </w:rPr>
        <w:t xml:space="preserve"> (2025) staff competency is not evenly distributed, indicating consistent training needs for diverse healthcare staff. Patient safety risks are typically heightened through poor confidence, especially under disrupted training programs.</w:t>
      </w:r>
    </w:p>
    <w:p w14:paraId="7C0B96B2" w14:textId="77777777" w:rsidR="00D8209A" w:rsidRPr="00EF2814" w:rsidRDefault="00D8209A" w:rsidP="00D8209A">
      <w:pPr>
        <w:numPr>
          <w:ilvl w:val="0"/>
          <w:numId w:val="32"/>
        </w:numPr>
        <w:spacing w:before="200" w:after="0"/>
        <w:rPr>
          <w:rFonts w:eastAsia="Times New Roman" w:cs="Arial"/>
          <w:lang w:val="en-GB"/>
        </w:rPr>
      </w:pPr>
      <w:r w:rsidRPr="00EF2814">
        <w:rPr>
          <w:rFonts w:eastAsia="Times New Roman" w:cs="Arial"/>
          <w:b/>
          <w:bCs/>
          <w:lang w:val="en-GB"/>
        </w:rPr>
        <w:t xml:space="preserve">Positive Implications - </w:t>
      </w:r>
      <w:r w:rsidRPr="00EF2814">
        <w:rPr>
          <w:rFonts w:eastAsia="Times New Roman" w:cs="Arial"/>
          <w:lang w:val="en-GB"/>
        </w:rPr>
        <w:t>Learning from challenges enhances future preparedness (Pelli and Nordquist, 2023). For instance, the awareness of technological constraints can be used to motivate the advancement of digital infrastructure. Correspondingly, the understanding of labour shortages can be used to shape workforce planning and policy changes.</w:t>
      </w:r>
    </w:p>
    <w:p w14:paraId="63A12206"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Theories, Policies &amp; Legislation</w:t>
      </w:r>
    </w:p>
    <w:p w14:paraId="37A327A8" w14:textId="77777777" w:rsidR="00D8209A" w:rsidRPr="00EF2814" w:rsidRDefault="00D8209A" w:rsidP="00D8209A">
      <w:pPr>
        <w:spacing w:before="200"/>
        <w:rPr>
          <w:rFonts w:eastAsia="Times New Roman" w:cs="Arial"/>
          <w:lang w:val="en-GB"/>
        </w:rPr>
      </w:pPr>
      <w:r w:rsidRPr="00EF2814">
        <w:rPr>
          <w:rFonts w:eastAsia="Times New Roman" w:cs="Arial"/>
          <w:lang w:val="en-GB"/>
        </w:rPr>
        <w:t>The barrier to training delivery can be explained with the help of several theoretical frameworks:</w:t>
      </w:r>
    </w:p>
    <w:p w14:paraId="09352BF4" w14:textId="77777777" w:rsidR="00D8209A" w:rsidRPr="00EF2814" w:rsidRDefault="00D8209A" w:rsidP="00D8209A">
      <w:pPr>
        <w:numPr>
          <w:ilvl w:val="0"/>
          <w:numId w:val="33"/>
        </w:numPr>
        <w:spacing w:before="200" w:after="0"/>
        <w:rPr>
          <w:rFonts w:eastAsia="Times New Roman" w:cs="Arial"/>
          <w:lang w:val="en-GB"/>
        </w:rPr>
      </w:pPr>
      <w:r w:rsidRPr="00EF2814">
        <w:rPr>
          <w:rFonts w:eastAsia="Times New Roman" w:cs="Arial"/>
          <w:b/>
          <w:bCs/>
          <w:lang w:val="en-GB"/>
        </w:rPr>
        <w:t>Resilience Theory</w:t>
      </w:r>
      <w:r w:rsidRPr="00EF2814">
        <w:rPr>
          <w:rFonts w:eastAsia="Times New Roman" w:cs="Arial"/>
          <w:lang w:val="en-GB"/>
        </w:rPr>
        <w:t xml:space="preserve"> - Although resilience prioritises adaptation, the lack of resources and exhaustion put pressure on the staff (Mazzetti </w:t>
      </w:r>
      <w:r w:rsidRPr="00EF2814">
        <w:rPr>
          <w:rFonts w:eastAsia="Times New Roman" w:cs="Arial"/>
          <w:i/>
          <w:iCs/>
          <w:lang w:val="en-GB"/>
        </w:rPr>
        <w:t>et al.,</w:t>
      </w:r>
      <w:r w:rsidRPr="00EF2814">
        <w:rPr>
          <w:rFonts w:eastAsia="Times New Roman" w:cs="Arial"/>
          <w:lang w:val="en-GB"/>
        </w:rPr>
        <w:t xml:space="preserve"> 2024). When systemic pressures increase beyond individuals' capacity, the delivery of effective training is compromised.</w:t>
      </w:r>
    </w:p>
    <w:p w14:paraId="57E3F3E6" w14:textId="77777777" w:rsidR="00D8209A" w:rsidRPr="00EF2814" w:rsidRDefault="00D8209A" w:rsidP="00D8209A">
      <w:pPr>
        <w:numPr>
          <w:ilvl w:val="0"/>
          <w:numId w:val="33"/>
        </w:numPr>
        <w:spacing w:before="200" w:after="0"/>
        <w:rPr>
          <w:rFonts w:eastAsia="Times New Roman" w:cs="Arial"/>
          <w:lang w:val="en-GB"/>
        </w:rPr>
      </w:pPr>
      <w:r w:rsidRPr="00EF2814">
        <w:rPr>
          <w:rFonts w:eastAsia="Times New Roman" w:cs="Arial"/>
          <w:b/>
          <w:bCs/>
          <w:lang w:val="en-GB"/>
        </w:rPr>
        <w:t>Technology Adoption Models (TAM)</w:t>
      </w:r>
      <w:r w:rsidRPr="00EF2814">
        <w:rPr>
          <w:rFonts w:eastAsia="Times New Roman" w:cs="Arial"/>
          <w:lang w:val="en-GB"/>
        </w:rPr>
        <w:t xml:space="preserve"> - The models demonstrate the role of technological barriers, including the absence of infrastructure, poor digital literacy and resistance to change (</w:t>
      </w:r>
      <w:proofErr w:type="spellStart"/>
      <w:r w:rsidRPr="00EF2814">
        <w:rPr>
          <w:rFonts w:eastAsia="Times New Roman" w:cs="Arial"/>
          <w:lang w:val="en-GB"/>
        </w:rPr>
        <w:t>Taherdoost</w:t>
      </w:r>
      <w:proofErr w:type="spellEnd"/>
      <w:r w:rsidRPr="00EF2814">
        <w:rPr>
          <w:rFonts w:eastAsia="Times New Roman" w:cs="Arial"/>
          <w:lang w:val="en-GB"/>
        </w:rPr>
        <w:t>, 2021). Hence, this can hinder the adoption of remote learning platforms in case of an emergency.</w:t>
      </w:r>
    </w:p>
    <w:p w14:paraId="5F10AA9A" w14:textId="77777777" w:rsidR="00D8209A" w:rsidRPr="00EF2814" w:rsidRDefault="00D8209A" w:rsidP="00D8209A">
      <w:pPr>
        <w:numPr>
          <w:ilvl w:val="0"/>
          <w:numId w:val="33"/>
        </w:numPr>
        <w:spacing w:before="200" w:after="0"/>
        <w:rPr>
          <w:rFonts w:eastAsia="Times New Roman" w:cs="Arial"/>
          <w:lang w:val="en-GB"/>
        </w:rPr>
      </w:pPr>
      <w:r w:rsidRPr="00EF2814">
        <w:rPr>
          <w:rFonts w:eastAsia="Times New Roman" w:cs="Arial"/>
          <w:b/>
          <w:bCs/>
          <w:lang w:val="en-GB"/>
        </w:rPr>
        <w:t xml:space="preserve">Competency-Based Training (CBT) </w:t>
      </w:r>
      <w:r w:rsidRPr="00EF2814">
        <w:rPr>
          <w:rFonts w:eastAsia="Times New Roman" w:cs="Arial"/>
          <w:lang w:val="en-GB"/>
        </w:rPr>
        <w:t>- Despite CBT, which offers quantifiable points of reference, there are impediments like a lack of time and simulation that make it ineffective (Brightwell and Grant, 2022).</w:t>
      </w:r>
    </w:p>
    <w:p w14:paraId="1D6DACF1" w14:textId="77777777" w:rsidR="00D8209A" w:rsidRPr="00EF2814" w:rsidRDefault="00D8209A" w:rsidP="00D8209A">
      <w:pPr>
        <w:spacing w:before="200"/>
        <w:rPr>
          <w:rFonts w:eastAsia="Times New Roman" w:cs="Arial"/>
          <w:lang w:val="en-GB"/>
        </w:rPr>
      </w:pPr>
      <w:r w:rsidRPr="00EF2814">
        <w:rPr>
          <w:rFonts w:eastAsia="Times New Roman" w:cs="Arial"/>
          <w:lang w:val="en-GB"/>
        </w:rPr>
        <w:lastRenderedPageBreak/>
        <w:t xml:space="preserve">Structured policies are also an increasing hindrance to the delivery of emergency training. As such, </w:t>
      </w:r>
      <w:r w:rsidRPr="00EF2814">
        <w:rPr>
          <w:rFonts w:eastAsia="Times New Roman" w:cs="Arial"/>
          <w:b/>
          <w:bCs/>
          <w:lang w:val="en-GB"/>
        </w:rPr>
        <w:t xml:space="preserve">DHSC </w:t>
      </w:r>
      <w:r w:rsidRPr="00EF2814">
        <w:rPr>
          <w:rFonts w:eastAsia="Times New Roman" w:cs="Arial"/>
          <w:lang w:val="en-GB"/>
        </w:rPr>
        <w:t xml:space="preserve">and </w:t>
      </w:r>
      <w:r w:rsidRPr="00EF2814">
        <w:rPr>
          <w:rFonts w:eastAsia="Times New Roman" w:cs="Arial"/>
          <w:b/>
          <w:bCs/>
          <w:lang w:val="en-GB"/>
        </w:rPr>
        <w:t>NHS England</w:t>
      </w:r>
      <w:r w:rsidRPr="00EF2814">
        <w:rPr>
          <w:rFonts w:eastAsia="Times New Roman" w:cs="Arial"/>
          <w:lang w:val="en-GB"/>
        </w:rPr>
        <w:t xml:space="preserve"> issued emergency orders for rapid upskilling (Parliament.uk, 2021). However, this has been disrupted under the uneven distribution of local resources. The workforce responsibilities, although highlighted in the </w:t>
      </w:r>
      <w:r w:rsidRPr="00EF2814">
        <w:rPr>
          <w:rFonts w:eastAsia="Times New Roman" w:cs="Arial"/>
          <w:b/>
          <w:bCs/>
          <w:lang w:val="en-GB"/>
        </w:rPr>
        <w:t xml:space="preserve">Care Act 2014 </w:t>
      </w:r>
      <w:r w:rsidRPr="00EF2814">
        <w:rPr>
          <w:rFonts w:eastAsia="Times New Roman" w:cs="Arial"/>
          <w:lang w:val="en-GB"/>
        </w:rPr>
        <w:t xml:space="preserve">and </w:t>
      </w:r>
      <w:r w:rsidRPr="00EF2814">
        <w:rPr>
          <w:rFonts w:eastAsia="Times New Roman" w:cs="Arial"/>
          <w:b/>
          <w:bCs/>
          <w:lang w:val="en-GB"/>
        </w:rPr>
        <w:t>Health and Social Care Act 2012</w:t>
      </w:r>
      <w:r w:rsidRPr="00EF2814">
        <w:rPr>
          <w:rFonts w:eastAsia="Times New Roman" w:cs="Arial"/>
          <w:lang w:val="en-GB"/>
        </w:rPr>
        <w:t>, have failed to gauge the training necessity during the pandemic. This has created conflict between regulatory expectations and reality.</w:t>
      </w:r>
    </w:p>
    <w:p w14:paraId="1390489C"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Examples from Papers</w:t>
      </w:r>
    </w:p>
    <w:p w14:paraId="213E3ED9"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According to the </w:t>
      </w:r>
      <w:r w:rsidRPr="00EF2814">
        <w:rPr>
          <w:rFonts w:eastAsia="Times New Roman" w:cs="Arial"/>
          <w:b/>
          <w:bCs/>
          <w:lang w:val="en-GB"/>
        </w:rPr>
        <w:t>British Medical Association</w:t>
      </w:r>
      <w:r w:rsidRPr="00EF2814">
        <w:rPr>
          <w:rFonts w:eastAsia="Times New Roman" w:cs="Arial"/>
          <w:lang w:val="en-GB"/>
        </w:rPr>
        <w:t>, the pandemic had caused an unprecedented burden on the medical care provision, and the resources were frequently eroded through staff redeployment and emergency training (BMA, 2024). Barriers identified by the BMA include the inability to access "personal protective equipment" (PPE), the inadequacy of the staffing level, and excessive work pressure. These made the training less effective. Another part of the report stated that in several instances, rushed training disrupted effective care delivery during emergency service demands. The systemic hindrance, therefore, negatively affected the competency development.</w:t>
      </w:r>
    </w:p>
    <w:p w14:paraId="6BFDCAD2"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The study by </w:t>
      </w:r>
      <w:r w:rsidRPr="00EF2814">
        <w:rPr>
          <w:rFonts w:eastAsia="Times New Roman" w:cs="Arial"/>
          <w:b/>
          <w:bCs/>
          <w:lang w:val="en-GB"/>
        </w:rPr>
        <w:t xml:space="preserve">Lee </w:t>
      </w:r>
      <w:r w:rsidRPr="00EF2814">
        <w:rPr>
          <w:rFonts w:eastAsia="Times New Roman" w:cs="Arial"/>
          <w:b/>
          <w:bCs/>
          <w:i/>
          <w:iCs/>
          <w:lang w:val="en-GB"/>
        </w:rPr>
        <w:t xml:space="preserve">et al., </w:t>
      </w:r>
      <w:r w:rsidRPr="00EF2814">
        <w:rPr>
          <w:rFonts w:eastAsia="Times New Roman" w:cs="Arial"/>
          <w:b/>
          <w:bCs/>
          <w:lang w:val="en-GB"/>
        </w:rPr>
        <w:t>(2025)</w:t>
      </w:r>
      <w:r w:rsidRPr="00EF2814">
        <w:rPr>
          <w:rFonts w:eastAsia="Times New Roman" w:cs="Arial"/>
          <w:lang w:val="en-GB"/>
        </w:rPr>
        <w:t xml:space="preserve"> was a complete review of the obstacles to the use of technology in emergency departments. The research evidence is applicable in the case of COVID-19 training since most programs were based on remote learning facilities. Poor digital infrastructure, insufficient staff awareness with online tools, and staff resistance to digital adoption in stressful situations are identified as challenges within the study. For instance, as remote learning modules were being used in large-scale implementation, healthcare workers frequently had problems accessing a stable internet connection or faced poor confidence in online training content. The findings highlight key factors which potentially disrupted online training initiatives during emergencies like the pandemic.</w:t>
      </w:r>
    </w:p>
    <w:p w14:paraId="025AB8C7" w14:textId="77777777" w:rsidR="00D8209A" w:rsidRPr="00EF2814" w:rsidRDefault="00D8209A" w:rsidP="00D8209A">
      <w:pPr>
        <w:pStyle w:val="Heading2"/>
        <w:rPr>
          <w:lang w:val="en-GB"/>
        </w:rPr>
      </w:pPr>
      <w:bookmarkStart w:id="20" w:name="_Toc222234368"/>
      <w:bookmarkStart w:id="21" w:name="_Toc222235901"/>
      <w:r w:rsidRPr="00EF2814">
        <w:rPr>
          <w:lang w:val="en-GB"/>
        </w:rPr>
        <w:t>4.7 Theme 5 - Support Systems and Workforce Resilience</w:t>
      </w:r>
      <w:bookmarkEnd w:id="20"/>
      <w:bookmarkEnd w:id="21"/>
    </w:p>
    <w:p w14:paraId="6D6F5FB7"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Definition</w:t>
      </w:r>
    </w:p>
    <w:p w14:paraId="64B7DCE0" w14:textId="77777777" w:rsidR="00D8209A" w:rsidRPr="00EF2814" w:rsidRDefault="00D8209A" w:rsidP="00D8209A">
      <w:pPr>
        <w:spacing w:before="200"/>
        <w:rPr>
          <w:rFonts w:eastAsia="Times New Roman" w:cs="Arial"/>
          <w:lang w:val="en-GB"/>
        </w:rPr>
      </w:pPr>
      <w:r w:rsidRPr="00EF2814">
        <w:rPr>
          <w:rFonts w:eastAsia="Times New Roman" w:cs="Arial"/>
          <w:lang w:val="en-GB"/>
        </w:rPr>
        <w:t>The support systems within healthcare refer to the organisational, psychological, and structural systems that enable staff to deal with stress and remain competent during crises (</w:t>
      </w:r>
      <w:proofErr w:type="spellStart"/>
      <w:r w:rsidRPr="00EF2814">
        <w:rPr>
          <w:rFonts w:eastAsia="Times New Roman" w:cs="Arial"/>
          <w:lang w:val="en-GB"/>
        </w:rPr>
        <w:t>Riemma</w:t>
      </w:r>
      <w:proofErr w:type="spellEnd"/>
      <w:r w:rsidRPr="00EF2814">
        <w:rPr>
          <w:rFonts w:eastAsia="Times New Roman" w:cs="Arial"/>
          <w:lang w:val="en-GB"/>
        </w:rPr>
        <w:t xml:space="preserve"> </w:t>
      </w:r>
      <w:r w:rsidRPr="00EF2814">
        <w:rPr>
          <w:rFonts w:eastAsia="Times New Roman" w:cs="Arial"/>
          <w:i/>
          <w:iCs/>
          <w:lang w:val="en-GB"/>
        </w:rPr>
        <w:t>et al.,</w:t>
      </w:r>
      <w:r w:rsidRPr="00EF2814">
        <w:rPr>
          <w:rFonts w:eastAsia="Times New Roman" w:cs="Arial"/>
          <w:lang w:val="en-GB"/>
        </w:rPr>
        <w:t xml:space="preserve"> 2025). Correspondingly, workforce resilience, as explained by </w:t>
      </w:r>
      <w:proofErr w:type="spellStart"/>
      <w:r w:rsidRPr="00EF2814">
        <w:rPr>
          <w:rFonts w:eastAsia="Times New Roman" w:cs="Arial"/>
          <w:lang w:val="en-GB"/>
        </w:rPr>
        <w:t>Sheikhrabori</w:t>
      </w:r>
      <w:proofErr w:type="spellEnd"/>
      <w:r w:rsidRPr="00EF2814">
        <w:rPr>
          <w:rFonts w:eastAsia="Times New Roman" w:cs="Arial"/>
          <w:lang w:val="en-GB"/>
        </w:rPr>
        <w:t xml:space="preserve"> </w:t>
      </w:r>
      <w:r w:rsidRPr="00EF2814">
        <w:rPr>
          <w:rFonts w:eastAsia="Times New Roman" w:cs="Arial"/>
          <w:i/>
          <w:iCs/>
          <w:lang w:val="en-GB"/>
        </w:rPr>
        <w:t>et al.,</w:t>
      </w:r>
      <w:r w:rsidRPr="00EF2814">
        <w:rPr>
          <w:rFonts w:eastAsia="Times New Roman" w:cs="Arial"/>
          <w:lang w:val="en-GB"/>
        </w:rPr>
        <w:t xml:space="preserve"> (2022) encourages healthcare professionals and organisations to change under extreme pressure, </w:t>
      </w:r>
      <w:r w:rsidRPr="00EF2814">
        <w:rPr>
          <w:rFonts w:eastAsia="Times New Roman" w:cs="Arial"/>
          <w:lang w:val="en-GB"/>
        </w:rPr>
        <w:lastRenderedPageBreak/>
        <w:t>recuperate and be able to function effectively. The support systems, including peer networks, organisational leadership, mental health support, and flexible training formats, were particularly effective during the COVID-19 pandemic. This helps in achieving resilience and ensures that the staff can remain competent under unprecedented challenges.</w:t>
      </w:r>
    </w:p>
    <w:p w14:paraId="7CA175C8"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Relevance to the Title</w:t>
      </w:r>
    </w:p>
    <w:p w14:paraId="593075E3"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Underpinning the dissertation title, the theme highlights the competency level and potential outcomes. Notably, Manzini </w:t>
      </w:r>
      <w:r w:rsidRPr="00EF2814">
        <w:rPr>
          <w:rFonts w:eastAsia="Times New Roman" w:cs="Arial"/>
          <w:i/>
          <w:iCs/>
          <w:lang w:val="en-GB"/>
        </w:rPr>
        <w:t>et al.,</w:t>
      </w:r>
      <w:r w:rsidRPr="00EF2814">
        <w:rPr>
          <w:rFonts w:eastAsia="Times New Roman" w:cs="Arial"/>
          <w:lang w:val="en-GB"/>
        </w:rPr>
        <w:t xml:space="preserve"> (2025) explained that competency demands strong support systems, which help to reinforce the organisational resilience. Herein, the emergency training cannot be considered adequate; staff needed psychological assistance, organisational support and systematic resilience. This transforms the training into confident practice. Consequently, the concept of support systems and resilience is directly applicable to the interpretation of emergency training effects on the level of staff competency in pandemic times.</w:t>
      </w:r>
    </w:p>
    <w:p w14:paraId="33276599" w14:textId="77777777" w:rsidR="00D8209A" w:rsidRPr="00EF2814" w:rsidRDefault="00D8209A" w:rsidP="00D8209A">
      <w:pPr>
        <w:spacing w:before="200"/>
        <w:rPr>
          <w:rFonts w:eastAsia="Times New Roman" w:cs="Arial"/>
          <w:lang w:val="en-GB"/>
        </w:rPr>
      </w:pPr>
      <w:r w:rsidRPr="00EF2814">
        <w:rPr>
          <w:rFonts w:eastAsia="Times New Roman" w:cs="Arial"/>
          <w:lang w:val="en-GB"/>
        </w:rPr>
        <w:t>There are various implications of the interlink between the support systems and resilience:</w:t>
      </w:r>
    </w:p>
    <w:p w14:paraId="09717A26" w14:textId="77777777" w:rsidR="00D8209A" w:rsidRPr="00EF2814" w:rsidRDefault="00D8209A" w:rsidP="00D8209A">
      <w:pPr>
        <w:numPr>
          <w:ilvl w:val="0"/>
          <w:numId w:val="31"/>
        </w:numPr>
        <w:spacing w:before="200" w:after="0"/>
        <w:rPr>
          <w:rFonts w:eastAsia="Times New Roman" w:cs="Arial"/>
          <w:lang w:val="en-GB"/>
        </w:rPr>
      </w:pPr>
      <w:r w:rsidRPr="00EF2814">
        <w:rPr>
          <w:rFonts w:eastAsia="Times New Roman" w:cs="Arial"/>
          <w:b/>
          <w:bCs/>
          <w:lang w:val="en-GB"/>
        </w:rPr>
        <w:t xml:space="preserve">Positive Implications - </w:t>
      </w:r>
      <w:r w:rsidRPr="00EF2814">
        <w:rPr>
          <w:rFonts w:eastAsia="Times New Roman" w:cs="Arial"/>
          <w:lang w:val="en-GB"/>
        </w:rPr>
        <w:t xml:space="preserve">Well-developed positive support systems helped staff be more confident, less stressed, and competent (Coppens </w:t>
      </w:r>
      <w:r w:rsidRPr="00EF2814">
        <w:rPr>
          <w:rFonts w:eastAsia="Times New Roman" w:cs="Arial"/>
          <w:i/>
          <w:iCs/>
          <w:lang w:val="en-GB"/>
        </w:rPr>
        <w:t xml:space="preserve">et al., </w:t>
      </w:r>
      <w:r w:rsidRPr="00EF2814">
        <w:rPr>
          <w:rFonts w:eastAsia="Times New Roman" w:cs="Arial"/>
          <w:lang w:val="en-GB"/>
        </w:rPr>
        <w:t>2023). At an organisational level, resilience and improved training results are achieved through organisational efforts like peer mentoring, wellbeing programs and redeployment policies.</w:t>
      </w:r>
    </w:p>
    <w:p w14:paraId="6167B5EE" w14:textId="77777777" w:rsidR="00D8209A" w:rsidRPr="00EF2814" w:rsidRDefault="00D8209A" w:rsidP="00D8209A">
      <w:pPr>
        <w:numPr>
          <w:ilvl w:val="0"/>
          <w:numId w:val="31"/>
        </w:numPr>
        <w:spacing w:before="200" w:after="0"/>
        <w:rPr>
          <w:rFonts w:eastAsia="Times New Roman" w:cs="Arial"/>
          <w:lang w:val="en-GB"/>
        </w:rPr>
      </w:pPr>
      <w:r w:rsidRPr="00EF2814">
        <w:rPr>
          <w:rFonts w:eastAsia="Times New Roman" w:cs="Arial"/>
          <w:b/>
          <w:bCs/>
          <w:lang w:val="en-GB"/>
        </w:rPr>
        <w:t>Adverse Consequences -</w:t>
      </w:r>
      <w:r w:rsidRPr="00EF2814">
        <w:rPr>
          <w:rFonts w:eastAsia="Times New Roman" w:cs="Arial"/>
          <w:lang w:val="en-GB"/>
        </w:rPr>
        <w:t xml:space="preserve"> Poor systemic practices are prone to stress and exhaustion, which exacerbates the efficiency of emergency training. Further, Johnson </w:t>
      </w:r>
      <w:r w:rsidRPr="00EF2814">
        <w:rPr>
          <w:rFonts w:eastAsia="Times New Roman" w:cs="Arial"/>
          <w:i/>
          <w:iCs/>
          <w:lang w:val="en-GB"/>
        </w:rPr>
        <w:t>et al.,</w:t>
      </w:r>
      <w:r w:rsidRPr="00EF2814">
        <w:rPr>
          <w:rFonts w:eastAsia="Times New Roman" w:cs="Arial"/>
          <w:lang w:val="en-GB"/>
        </w:rPr>
        <w:t xml:space="preserve"> (2022) mentioned that staff shortage and poor organisational responses increase inequality in NHS Trusts resilience.</w:t>
      </w:r>
    </w:p>
    <w:p w14:paraId="62BB5927" w14:textId="77777777" w:rsidR="00D8209A" w:rsidRPr="00EF2814" w:rsidRDefault="00D8209A" w:rsidP="00D8209A">
      <w:pPr>
        <w:spacing w:before="200"/>
        <w:rPr>
          <w:rFonts w:eastAsia="Times New Roman" w:cs="Arial"/>
          <w:lang w:val="en-GB"/>
        </w:rPr>
      </w:pPr>
      <w:r w:rsidRPr="00EF2814">
        <w:rPr>
          <w:rFonts w:eastAsia="Times New Roman" w:cs="Arial"/>
          <w:lang w:val="en-GB"/>
        </w:rPr>
        <w:t>Such an implication suggests that emergency training should be combined with support strategies within the healthcare system. Development of competency is not only technical but also includes psychological and organisational aspects. Hence, the workforce planning should be anchored on resilience, mental health services, peer networks, and leadership support.</w:t>
      </w:r>
    </w:p>
    <w:p w14:paraId="48582A5F"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Theories, Policies &amp; Legislation</w:t>
      </w:r>
    </w:p>
    <w:p w14:paraId="795E6C5A" w14:textId="77777777" w:rsidR="00D8209A" w:rsidRPr="00EF2814" w:rsidRDefault="00D8209A" w:rsidP="00D8209A">
      <w:pPr>
        <w:spacing w:before="200"/>
        <w:rPr>
          <w:rFonts w:eastAsia="Times New Roman" w:cs="Arial"/>
          <w:lang w:val="en-GB"/>
        </w:rPr>
      </w:pPr>
      <w:r w:rsidRPr="00EF2814">
        <w:rPr>
          <w:rFonts w:eastAsia="Times New Roman" w:cs="Arial"/>
          <w:lang w:val="en-GB"/>
        </w:rPr>
        <w:t>The role of support systems and resilience is supported by several theoretical frameworks:</w:t>
      </w:r>
    </w:p>
    <w:p w14:paraId="366FC3D7" w14:textId="77777777" w:rsidR="00D8209A" w:rsidRPr="00EF2814" w:rsidRDefault="00D8209A" w:rsidP="00D8209A">
      <w:pPr>
        <w:numPr>
          <w:ilvl w:val="0"/>
          <w:numId w:val="34"/>
        </w:numPr>
        <w:spacing w:before="200" w:after="0"/>
        <w:rPr>
          <w:rFonts w:eastAsia="Times New Roman" w:cs="Arial"/>
          <w:lang w:val="en-GB"/>
        </w:rPr>
      </w:pPr>
      <w:r w:rsidRPr="00EF2814">
        <w:rPr>
          <w:rFonts w:eastAsia="Times New Roman" w:cs="Arial"/>
          <w:b/>
          <w:bCs/>
          <w:lang w:val="en-GB"/>
        </w:rPr>
        <w:t>Resilience Theory</w:t>
      </w:r>
      <w:r w:rsidRPr="00EF2814">
        <w:rPr>
          <w:rFonts w:eastAsia="Times New Roman" w:cs="Arial"/>
          <w:lang w:val="en-GB"/>
        </w:rPr>
        <w:t xml:space="preserve"> - As stated by Mazzetti </w:t>
      </w:r>
      <w:r w:rsidRPr="00EF2814">
        <w:rPr>
          <w:rFonts w:eastAsia="Times New Roman" w:cs="Arial"/>
          <w:i/>
          <w:iCs/>
          <w:lang w:val="en-GB"/>
        </w:rPr>
        <w:t>et al.,</w:t>
      </w:r>
      <w:r w:rsidRPr="00EF2814">
        <w:rPr>
          <w:rFonts w:eastAsia="Times New Roman" w:cs="Arial"/>
          <w:lang w:val="en-GB"/>
        </w:rPr>
        <w:t xml:space="preserve"> (2024), the theory explains the process of individuals as well as organisations responding to stress and overcoming crisis. </w:t>
      </w:r>
      <w:r w:rsidRPr="00EF2814">
        <w:rPr>
          <w:rFonts w:eastAsia="Times New Roman" w:cs="Arial"/>
          <w:lang w:val="en-GB"/>
        </w:rPr>
        <w:lastRenderedPageBreak/>
        <w:t>Organisational support, peer management, and psychological interventions were found to promote resilience during COVID-19.</w:t>
      </w:r>
    </w:p>
    <w:p w14:paraId="78B8CE6B" w14:textId="77777777" w:rsidR="00D8209A" w:rsidRPr="00EF2814" w:rsidRDefault="00D8209A" w:rsidP="00D8209A">
      <w:pPr>
        <w:numPr>
          <w:ilvl w:val="0"/>
          <w:numId w:val="34"/>
        </w:numPr>
        <w:spacing w:before="200" w:after="0"/>
        <w:rPr>
          <w:rFonts w:eastAsia="Times New Roman" w:cs="Arial"/>
          <w:lang w:val="en-GB"/>
        </w:rPr>
      </w:pPr>
      <w:r w:rsidRPr="00EF2814">
        <w:rPr>
          <w:rFonts w:eastAsia="Times New Roman" w:cs="Arial"/>
          <w:b/>
          <w:bCs/>
          <w:lang w:val="en-GB"/>
        </w:rPr>
        <w:t>Social Support Theory</w:t>
      </w:r>
      <w:r w:rsidRPr="00EF2814">
        <w:rPr>
          <w:rFonts w:eastAsia="Times New Roman" w:cs="Arial"/>
          <w:lang w:val="en-GB"/>
        </w:rPr>
        <w:t xml:space="preserve"> - The theory hypothesises that emotional, informational, and instrumental assistance of colleagues, supervisors, and institutions decreases stress and enhances performance (Drageset, 2021).</w:t>
      </w:r>
    </w:p>
    <w:p w14:paraId="64D3CB5E" w14:textId="77777777" w:rsidR="00D8209A" w:rsidRPr="00EF2814" w:rsidRDefault="00D8209A" w:rsidP="00D8209A">
      <w:pPr>
        <w:numPr>
          <w:ilvl w:val="0"/>
          <w:numId w:val="34"/>
        </w:numPr>
        <w:spacing w:before="200" w:after="0"/>
        <w:rPr>
          <w:rFonts w:eastAsia="Times New Roman" w:cs="Arial"/>
          <w:lang w:val="en-GB"/>
        </w:rPr>
      </w:pPr>
      <w:r w:rsidRPr="00EF2814">
        <w:rPr>
          <w:rFonts w:eastAsia="Times New Roman" w:cs="Arial"/>
          <w:b/>
          <w:bCs/>
          <w:lang w:val="en-GB"/>
        </w:rPr>
        <w:t>Systems Theory</w:t>
      </w:r>
      <w:r w:rsidRPr="00EF2814">
        <w:rPr>
          <w:rFonts w:eastAsia="Times New Roman" w:cs="Arial"/>
          <w:lang w:val="en-GB"/>
        </w:rPr>
        <w:t xml:space="preserve"> - Drawing attention to the theory, it reveals the interaction of interrelated organisational systems through training programs, leadership and policy structures, in maintaining resilience (Harney, 2024).</w:t>
      </w:r>
    </w:p>
    <w:p w14:paraId="2C2DAF97"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The support systems were also determined by policy frameworks. The </w:t>
      </w:r>
      <w:r w:rsidRPr="00EF2814">
        <w:rPr>
          <w:rFonts w:eastAsia="Times New Roman" w:cs="Arial"/>
          <w:b/>
          <w:bCs/>
          <w:lang w:val="en-GB"/>
        </w:rPr>
        <w:t>NHS People Plan (2020-2024)</w:t>
      </w:r>
      <w:r w:rsidRPr="00EF2814">
        <w:rPr>
          <w:rFonts w:eastAsia="Times New Roman" w:cs="Arial"/>
          <w:lang w:val="en-GB"/>
        </w:rPr>
        <w:t xml:space="preserve"> focused on the well-being of the staff, flexible redeployment and psychological support (NHS England, 2020). Correspondingly, the </w:t>
      </w:r>
      <w:r w:rsidRPr="00EF2814">
        <w:rPr>
          <w:rFonts w:eastAsia="Times New Roman" w:cs="Arial"/>
          <w:b/>
          <w:bCs/>
          <w:lang w:val="en-GB"/>
        </w:rPr>
        <w:t xml:space="preserve">DHSC </w:t>
      </w:r>
      <w:r w:rsidRPr="00EF2814">
        <w:rPr>
          <w:rFonts w:eastAsia="Times New Roman" w:cs="Arial"/>
          <w:lang w:val="en-GB"/>
        </w:rPr>
        <w:t xml:space="preserve">and </w:t>
      </w:r>
      <w:r w:rsidRPr="00EF2814">
        <w:rPr>
          <w:rFonts w:eastAsia="Times New Roman" w:cs="Arial"/>
          <w:b/>
          <w:bCs/>
          <w:lang w:val="en-GB"/>
        </w:rPr>
        <w:t>NHS England</w:t>
      </w:r>
      <w:r w:rsidRPr="00EF2814">
        <w:rPr>
          <w:rFonts w:eastAsia="Times New Roman" w:cs="Arial"/>
          <w:lang w:val="en-GB"/>
        </w:rPr>
        <w:t xml:space="preserve"> provided emergency orders that required rapid training as well as workforce assistance measures (Parliament.uk, 2021). The </w:t>
      </w:r>
      <w:r w:rsidRPr="00EF2814">
        <w:rPr>
          <w:rFonts w:eastAsia="Times New Roman" w:cs="Arial"/>
          <w:b/>
          <w:bCs/>
          <w:lang w:val="en-GB"/>
        </w:rPr>
        <w:t>Care Act 2014</w:t>
      </w:r>
      <w:r w:rsidRPr="00EF2814">
        <w:rPr>
          <w:rFonts w:eastAsia="Times New Roman" w:cs="Arial"/>
          <w:lang w:val="en-GB"/>
        </w:rPr>
        <w:t xml:space="preserve"> enhanced the duty of health care organisations to ensure the well-being of staff (Legislation.gov.uk 2024). Besides, a temporary directive of the GMC seemed to create the ability to flexibly redeploy staff to help reduce stress and assist in resilience.</w:t>
      </w:r>
    </w:p>
    <w:p w14:paraId="6FB5F08B" w14:textId="77777777" w:rsidR="00D8209A" w:rsidRPr="00EF2814" w:rsidRDefault="00D8209A" w:rsidP="00D8209A">
      <w:pPr>
        <w:spacing w:before="200"/>
        <w:rPr>
          <w:rFonts w:eastAsia="Times New Roman" w:cs="Arial"/>
          <w:b/>
          <w:bCs/>
          <w:u w:val="single"/>
          <w:lang w:val="en-GB"/>
        </w:rPr>
      </w:pPr>
      <w:r w:rsidRPr="00EF2814">
        <w:rPr>
          <w:rFonts w:eastAsia="Times New Roman" w:cs="Arial"/>
          <w:b/>
          <w:bCs/>
          <w:u w:val="single"/>
          <w:lang w:val="en-GB"/>
        </w:rPr>
        <w:t>Examples from Papers</w:t>
      </w:r>
    </w:p>
    <w:p w14:paraId="31DA09A5" w14:textId="77777777" w:rsidR="00D8209A" w:rsidRPr="00EF2814" w:rsidRDefault="00D8209A" w:rsidP="00D8209A">
      <w:pPr>
        <w:spacing w:before="200"/>
        <w:rPr>
          <w:rFonts w:eastAsia="Times New Roman" w:cs="Arial"/>
          <w:lang w:val="en-GB"/>
        </w:rPr>
      </w:pPr>
      <w:r w:rsidRPr="00EF2814">
        <w:rPr>
          <w:rFonts w:eastAsia="Times New Roman" w:cs="Arial"/>
          <w:lang w:val="en-GB"/>
        </w:rPr>
        <w:t xml:space="preserve">According to </w:t>
      </w:r>
      <w:r w:rsidRPr="00EF2814">
        <w:rPr>
          <w:rFonts w:eastAsia="Times New Roman" w:cs="Arial"/>
          <w:b/>
          <w:bCs/>
          <w:lang w:val="en-GB"/>
        </w:rPr>
        <w:t>Walshe et al. (2024),</w:t>
      </w:r>
      <w:r w:rsidRPr="00EF2814">
        <w:rPr>
          <w:rFonts w:eastAsia="Times New Roman" w:cs="Arial"/>
          <w:lang w:val="en-GB"/>
        </w:rPr>
        <w:t xml:space="preserve"> one of the most important future health shock priorities is workforce resilience. The study has emphasised the fact that resilience is not necessarily a personal attribute, but a systemic status that is determined by organisational support, leadership, and key policies. The evidence claimed that emergency training without proper support systems fails to maintain competency. Further, it stated that resilience should be integrated into workforce planning to ensure that strategies and proactive support mechanisms are aligned. Another important contribution of the study is the link with the workforce crisis in the UK, where staff shortage and burnout resulted in reduced resiliency. This makes the supporting systems crucial to maintain competency.</w:t>
      </w:r>
    </w:p>
    <w:p w14:paraId="14B0D03E" w14:textId="77777777" w:rsidR="00D8209A" w:rsidRPr="00EF2814" w:rsidRDefault="00D8209A" w:rsidP="00D8209A">
      <w:pPr>
        <w:spacing w:before="200"/>
        <w:rPr>
          <w:rFonts w:eastAsia="Times New Roman" w:cs="Arial"/>
          <w:lang w:val="en-GB"/>
        </w:rPr>
      </w:pPr>
      <w:r w:rsidRPr="00EF2814">
        <w:rPr>
          <w:rFonts w:eastAsia="Times New Roman" w:cs="Arial"/>
          <w:b/>
          <w:bCs/>
          <w:lang w:val="en-GB"/>
        </w:rPr>
        <w:t>Bosque-Mercader et al. (2025)</w:t>
      </w:r>
      <w:r w:rsidRPr="00EF2814">
        <w:rPr>
          <w:rFonts w:eastAsia="Times New Roman" w:cs="Arial"/>
          <w:lang w:val="en-GB"/>
        </w:rPr>
        <w:t xml:space="preserve"> reviewed how the acute sector is resilient to the impact of COVID-19. The results indicated that the organisational support systems of flexible redeployment policies, peer mentoring and psychological services played a significant role in helping staff to overcome the stress of the pandemic. The researchers also observed that resilience improved when employees feel motivated through supportive leadership and have access to resources that satisfy their technical as well as emotional needs. Indicatively, hospitals that have invested in </w:t>
      </w:r>
      <w:r w:rsidRPr="00EF2814">
        <w:rPr>
          <w:rFonts w:eastAsia="Times New Roman" w:cs="Arial"/>
          <w:lang w:val="en-GB"/>
        </w:rPr>
        <w:lastRenderedPageBreak/>
        <w:t>wellbeing programs and peer support networks build confidence and competency among the staff. Hence, it can be stated that resilience is an organisation-wide practice, and organisational commitment should be aligned with systemic practices that can sustain staff during a crisis and recovery.</w:t>
      </w:r>
    </w:p>
    <w:p w14:paraId="3878284E" w14:textId="77777777" w:rsidR="00051B92" w:rsidRDefault="00051B92" w:rsidP="00D8209A">
      <w:pPr>
        <w:pStyle w:val="Heading2"/>
        <w:rPr>
          <w:lang w:val="en-GB"/>
        </w:rPr>
      </w:pPr>
      <w:bookmarkStart w:id="22" w:name="_Toc222234369"/>
      <w:bookmarkStart w:id="23" w:name="_Toc222235902"/>
    </w:p>
    <w:p w14:paraId="5E319112" w14:textId="63D9E020" w:rsidR="00D8209A" w:rsidRPr="00EF2814" w:rsidRDefault="00D8209A" w:rsidP="00D8209A">
      <w:pPr>
        <w:pStyle w:val="Heading2"/>
        <w:rPr>
          <w:lang w:val="en-GB"/>
        </w:rPr>
      </w:pPr>
      <w:r w:rsidRPr="00EF2814">
        <w:rPr>
          <w:lang w:val="en-GB"/>
        </w:rPr>
        <w:t>4.8 Chapter Conclusion</w:t>
      </w:r>
      <w:bookmarkEnd w:id="22"/>
      <w:bookmarkEnd w:id="23"/>
    </w:p>
    <w:p w14:paraId="2126C3F1" w14:textId="60948746" w:rsidR="00126B52" w:rsidRPr="00D8209A" w:rsidRDefault="00D8209A" w:rsidP="00D8209A">
      <w:pPr>
        <w:spacing w:before="200"/>
        <w:rPr>
          <w:rFonts w:eastAsia="Times New Roman" w:cs="Arial"/>
          <w:lang w:val="en-GB"/>
        </w:rPr>
      </w:pPr>
      <w:r w:rsidRPr="00EF2814">
        <w:rPr>
          <w:rFonts w:eastAsia="Times New Roman" w:cs="Arial"/>
          <w:lang w:val="en-GB"/>
        </w:rPr>
        <w:t>The chapter has discussed the findings based on a thematic analysis that informed how emergency clinical training in the face of COVID-19 affected staff competency and confidence in the UK healthcare industry. The evidence has focused on key themes, including training effectiveness, workforce flexibility, competency development, resistance to service delivery, and support systems, which showed both advantages and drawbacks of the rapid training programs. Overall, the evidence established in this chapter identifies the necessity for "emergency training", which is focused on organisational support as well as resilience strategies. Hence, it can be concluded that the findings provide insights into the research focus, which generalises the information in the next chapter and provides recommendations regarding future policies and practices</w:t>
      </w:r>
      <w:r>
        <w:rPr>
          <w:rFonts w:eastAsia="Times New Roman" w:cs="Arial"/>
          <w:lang w:val="en-GB"/>
        </w:rPr>
        <w:t>.</w:t>
      </w:r>
    </w:p>
    <w:p w14:paraId="7F4648AF" w14:textId="233050C7" w:rsidR="00126B52" w:rsidRPr="00EF2814" w:rsidRDefault="00126B52" w:rsidP="008C02E0">
      <w:pPr>
        <w:spacing w:before="240" w:after="0"/>
        <w:rPr>
          <w:rFonts w:cs="Arial"/>
          <w:b/>
          <w:bCs/>
          <w:sz w:val="28"/>
          <w:szCs w:val="28"/>
          <w:lang w:val="en-GB"/>
        </w:rPr>
      </w:pPr>
      <w:r w:rsidRPr="00EF2814">
        <w:rPr>
          <w:rFonts w:cs="Arial"/>
          <w:b/>
          <w:bCs/>
          <w:sz w:val="28"/>
          <w:szCs w:val="28"/>
          <w:lang w:val="en-GB"/>
        </w:rPr>
        <w:br w:type="page"/>
      </w:r>
    </w:p>
    <w:p w14:paraId="489BBCE1" w14:textId="0AA1E120" w:rsidR="00ED1049" w:rsidRPr="00EF2814" w:rsidRDefault="00ED1049" w:rsidP="008C02E0">
      <w:pPr>
        <w:pStyle w:val="Heading1"/>
        <w:spacing w:before="240" w:line="360" w:lineRule="auto"/>
        <w:rPr>
          <w:lang w:val="en-GB"/>
        </w:rPr>
      </w:pPr>
      <w:bookmarkStart w:id="24" w:name="_Toc222234376"/>
      <w:bookmarkStart w:id="25" w:name="_Toc222235903"/>
      <w:r w:rsidRPr="00EF2814">
        <w:rPr>
          <w:lang w:val="en-GB"/>
        </w:rPr>
        <w:lastRenderedPageBreak/>
        <w:t>References</w:t>
      </w:r>
      <w:bookmarkEnd w:id="24"/>
      <w:bookmarkEnd w:id="25"/>
    </w:p>
    <w:p w14:paraId="75FD284D" w14:textId="7B3FD6C5" w:rsidR="007F170B" w:rsidRPr="00BD7040" w:rsidRDefault="007F170B" w:rsidP="007F170B">
      <w:pPr>
        <w:spacing w:before="200"/>
        <w:rPr>
          <w:rFonts w:eastAsia="Times New Roman" w:cs="Times New Roman"/>
          <w:b/>
          <w:bCs/>
          <w:szCs w:val="24"/>
          <w:lang w:val="en-GB"/>
        </w:rPr>
      </w:pPr>
      <w:r w:rsidRPr="00BD7040">
        <w:rPr>
          <w:rFonts w:eastAsia="Times New Roman" w:cs="Times New Roman"/>
          <w:szCs w:val="24"/>
          <w:lang w:val="en-GB"/>
        </w:rPr>
        <w:t xml:space="preserve">Camilleri, M., Zhang, X., Norris, M., Monkhouse, A., Harvey, A., Wiseman, A., Sinha, P., Hemsley, A., Tang, S., Menon, A., </w:t>
      </w:r>
      <w:proofErr w:type="spellStart"/>
      <w:r w:rsidRPr="00BD7040">
        <w:rPr>
          <w:rFonts w:eastAsia="Times New Roman" w:cs="Times New Roman"/>
          <w:szCs w:val="24"/>
          <w:lang w:val="en-GB"/>
        </w:rPr>
        <w:t>Sinmayee</w:t>
      </w:r>
      <w:proofErr w:type="spellEnd"/>
      <w:r w:rsidRPr="00BD7040">
        <w:rPr>
          <w:rFonts w:eastAsia="Times New Roman" w:cs="Times New Roman"/>
          <w:szCs w:val="24"/>
          <w:lang w:val="en-GB"/>
        </w:rPr>
        <w:t xml:space="preserve">, S., Jones, M., Buckley, J., Johnson, R., Medici, T. and Corner, E. (2020) ‘Covid-19 ICU remote-learning course (CIRLC): Rapid ICU remote training for frontline health professionals during the COVID-19 pandemic in the UK.’ </w:t>
      </w:r>
      <w:r w:rsidRPr="00BD7040">
        <w:rPr>
          <w:rFonts w:eastAsia="Times New Roman" w:cs="Times New Roman"/>
          <w:i/>
          <w:iCs/>
          <w:szCs w:val="24"/>
          <w:lang w:val="en-GB"/>
        </w:rPr>
        <w:t>Journal of the Intensive Care Society</w:t>
      </w:r>
      <w:r w:rsidRPr="00BD7040">
        <w:rPr>
          <w:rFonts w:eastAsia="Times New Roman" w:cs="Times New Roman"/>
          <w:szCs w:val="24"/>
          <w:lang w:val="en-GB"/>
        </w:rPr>
        <w:t>,</w:t>
      </w:r>
      <w:r w:rsidR="00E4453F">
        <w:rPr>
          <w:rFonts w:eastAsia="Times New Roman" w:cs="Times New Roman"/>
          <w:szCs w:val="24"/>
          <w:lang w:val="en-GB"/>
        </w:rPr>
        <w:t xml:space="preserve"> </w:t>
      </w:r>
      <w:r w:rsidRPr="00BD7040">
        <w:rPr>
          <w:rFonts w:eastAsia="Times New Roman" w:cs="Times New Roman"/>
          <w:szCs w:val="24"/>
          <w:lang w:val="en-GB"/>
        </w:rPr>
        <w:t xml:space="preserve">pp.175114372097263-175114372097270. Available at:  </w:t>
      </w:r>
      <w:hyperlink r:id="rId15" w:history="1">
        <w:r w:rsidRPr="00BD7040">
          <w:rPr>
            <w:rStyle w:val="Hyperlink"/>
            <w:rFonts w:eastAsia="Times New Roman" w:cs="Times New Roman"/>
            <w:szCs w:val="24"/>
            <w:lang w:val="en-GB"/>
          </w:rPr>
          <w:t>https://doi.org/10.1177/1751143720972630</w:t>
        </w:r>
      </w:hyperlink>
    </w:p>
    <w:p w14:paraId="0C000298" w14:textId="77777777" w:rsidR="007F170B" w:rsidRPr="00BD7040" w:rsidRDefault="007F170B" w:rsidP="007F170B">
      <w:pPr>
        <w:spacing w:before="240"/>
        <w:rPr>
          <w:rFonts w:eastAsia="Times New Roman" w:cs="Times New Roman"/>
          <w:szCs w:val="24"/>
          <w:lang w:val="en-GB"/>
        </w:rPr>
      </w:pPr>
      <w:r w:rsidRPr="00BD7040">
        <w:rPr>
          <w:rFonts w:eastAsia="Times New Roman" w:cs="Times New Roman"/>
          <w:szCs w:val="24"/>
          <w:lang w:val="en-GB"/>
        </w:rPr>
        <w:t xml:space="preserve">Clarke, V. and Braun, V. (2020) ‘Thematic Analysis.’ </w:t>
      </w:r>
      <w:r w:rsidRPr="00BD7040">
        <w:rPr>
          <w:rFonts w:eastAsia="Times New Roman" w:cs="Times New Roman"/>
          <w:i/>
          <w:iCs/>
          <w:szCs w:val="24"/>
          <w:lang w:val="en-GB"/>
        </w:rPr>
        <w:t>The Journal of Positive Psychology</w:t>
      </w:r>
      <w:r w:rsidRPr="00BD7040">
        <w:rPr>
          <w:rFonts w:eastAsia="Times New Roman" w:cs="Times New Roman"/>
          <w:szCs w:val="24"/>
          <w:lang w:val="en-GB"/>
        </w:rPr>
        <w:t xml:space="preserve">, 12(3), pp.297–298. Available at: </w:t>
      </w:r>
      <w:hyperlink r:id="rId16" w:history="1">
        <w:r w:rsidRPr="00BD7040">
          <w:rPr>
            <w:rStyle w:val="Hyperlink"/>
            <w:rFonts w:eastAsia="Times New Roman" w:cs="Times New Roman"/>
            <w:szCs w:val="24"/>
            <w:lang w:val="en-GB"/>
          </w:rPr>
          <w:t>https://doi.org/10.1080/17439760.2016.1262613</w:t>
        </w:r>
      </w:hyperlink>
      <w:r w:rsidRPr="00BD7040">
        <w:rPr>
          <w:rFonts w:eastAsia="Times New Roman" w:cs="Times New Roman"/>
          <w:szCs w:val="24"/>
          <w:lang w:val="en-GB"/>
        </w:rPr>
        <w:t xml:space="preserve"> </w:t>
      </w:r>
    </w:p>
    <w:p w14:paraId="777034FE" w14:textId="77777777" w:rsidR="007F170B" w:rsidRDefault="007F170B" w:rsidP="007F170B">
      <w:pPr>
        <w:spacing w:before="240"/>
        <w:rPr>
          <w:rFonts w:eastAsia="Times New Roman" w:cs="Times New Roman"/>
          <w:szCs w:val="24"/>
          <w:lang w:val="en-GB"/>
        </w:rPr>
      </w:pPr>
      <w:proofErr w:type="spellStart"/>
      <w:r w:rsidRPr="00BD7040">
        <w:rPr>
          <w:rFonts w:eastAsia="Times New Roman" w:cs="Times New Roman"/>
          <w:szCs w:val="24"/>
          <w:lang w:val="en-GB"/>
        </w:rPr>
        <w:t>Vindrola-Padros</w:t>
      </w:r>
      <w:proofErr w:type="spellEnd"/>
      <w:r w:rsidRPr="00BD7040">
        <w:rPr>
          <w:rFonts w:eastAsia="Times New Roman" w:cs="Times New Roman"/>
          <w:szCs w:val="24"/>
          <w:lang w:val="en-GB"/>
        </w:rPr>
        <w:t xml:space="preserve">, C., Andrews, L., Dowrick, A., Djellouli, N., Fillmore, H., Bautista Gonzalez, E., Javadi, D., Lewis-Jackson, S., Manby, L., Mitchinson, L., Mulcahy Symmons, S., Martin, S., Regenold, N., Robinson, H., </w:t>
      </w:r>
      <w:proofErr w:type="spellStart"/>
      <w:r w:rsidRPr="00BD7040">
        <w:rPr>
          <w:rFonts w:eastAsia="Times New Roman" w:cs="Times New Roman"/>
          <w:szCs w:val="24"/>
          <w:lang w:val="en-GB"/>
        </w:rPr>
        <w:t>Sumray</w:t>
      </w:r>
      <w:proofErr w:type="spellEnd"/>
      <w:r w:rsidRPr="00BD7040">
        <w:rPr>
          <w:rFonts w:eastAsia="Times New Roman" w:cs="Times New Roman"/>
          <w:szCs w:val="24"/>
          <w:lang w:val="en-GB"/>
        </w:rPr>
        <w:t xml:space="preserve">, K., Singleton, G., Syversen, A., </w:t>
      </w:r>
      <w:proofErr w:type="spellStart"/>
      <w:r w:rsidRPr="00BD7040">
        <w:rPr>
          <w:rFonts w:eastAsia="Times New Roman" w:cs="Times New Roman"/>
          <w:szCs w:val="24"/>
          <w:lang w:val="en-GB"/>
        </w:rPr>
        <w:t>Vanderslott</w:t>
      </w:r>
      <w:proofErr w:type="spellEnd"/>
      <w:r w:rsidRPr="00BD7040">
        <w:rPr>
          <w:rFonts w:eastAsia="Times New Roman" w:cs="Times New Roman"/>
          <w:szCs w:val="24"/>
          <w:lang w:val="en-GB"/>
        </w:rPr>
        <w:t xml:space="preserve">, S. and Johnson, G. (2020) ‘Perceptions and Experiences of Healthcare Workers during the COVID-19 Pandemic in the UK.’ </w:t>
      </w:r>
      <w:r w:rsidRPr="00BD7040">
        <w:rPr>
          <w:rFonts w:eastAsia="Times New Roman" w:cs="Times New Roman"/>
          <w:i/>
          <w:iCs/>
          <w:szCs w:val="24"/>
          <w:lang w:val="en-GB"/>
        </w:rPr>
        <w:t>BMJ Open</w:t>
      </w:r>
      <w:r w:rsidRPr="00BD7040">
        <w:rPr>
          <w:rFonts w:eastAsia="Times New Roman" w:cs="Times New Roman"/>
          <w:szCs w:val="24"/>
          <w:lang w:val="en-GB"/>
        </w:rPr>
        <w:t xml:space="preserve">, 10(11), </w:t>
      </w:r>
      <w:proofErr w:type="gramStart"/>
      <w:r w:rsidRPr="00BD7040">
        <w:rPr>
          <w:rFonts w:eastAsia="Times New Roman" w:cs="Times New Roman"/>
          <w:szCs w:val="24"/>
          <w:lang w:val="en-GB"/>
        </w:rPr>
        <w:t>pp.e</w:t>
      </w:r>
      <w:proofErr w:type="gramEnd"/>
      <w:r w:rsidRPr="00BD7040">
        <w:rPr>
          <w:rFonts w:eastAsia="Times New Roman" w:cs="Times New Roman"/>
          <w:szCs w:val="24"/>
          <w:lang w:val="en-GB"/>
        </w:rPr>
        <w:t xml:space="preserve">040503- e040510. Available at: </w:t>
      </w:r>
      <w:hyperlink r:id="rId17" w:history="1">
        <w:r w:rsidRPr="00BD7040">
          <w:rPr>
            <w:rStyle w:val="Hyperlink"/>
            <w:rFonts w:eastAsia="Times New Roman" w:cs="Times New Roman"/>
            <w:szCs w:val="24"/>
            <w:lang w:val="en-GB"/>
          </w:rPr>
          <w:t>https://doi.org/10.1136/bmjopen-2020-040503</w:t>
        </w:r>
      </w:hyperlink>
      <w:r w:rsidRPr="00BD7040">
        <w:rPr>
          <w:rFonts w:eastAsia="Times New Roman" w:cs="Times New Roman"/>
          <w:szCs w:val="24"/>
          <w:lang w:val="en-GB"/>
        </w:rPr>
        <w:t xml:space="preserve"> </w:t>
      </w:r>
    </w:p>
    <w:p w14:paraId="26ADE1D2" w14:textId="77777777" w:rsidR="007F170B" w:rsidRDefault="007F170B" w:rsidP="007F170B">
      <w:pPr>
        <w:spacing w:before="240"/>
        <w:rPr>
          <w:rFonts w:eastAsia="Times New Roman" w:cs="Times New Roman"/>
          <w:szCs w:val="24"/>
          <w:lang w:val="en-IN"/>
        </w:rPr>
      </w:pPr>
      <w:r w:rsidRPr="009D7144">
        <w:rPr>
          <w:rFonts w:eastAsia="Times New Roman" w:cs="Times New Roman"/>
          <w:szCs w:val="24"/>
          <w:lang w:val="en-IN"/>
        </w:rPr>
        <w:t xml:space="preserve">MacKay, M., Ford, C., Grant, L.E., Papadopoulos, A. and McWhirter, J.E. (2024) </w:t>
      </w:r>
      <w:r>
        <w:rPr>
          <w:rFonts w:eastAsia="Times New Roman" w:cs="Times New Roman"/>
          <w:szCs w:val="24"/>
          <w:lang w:val="en-IN"/>
        </w:rPr>
        <w:t>‘</w:t>
      </w:r>
      <w:r w:rsidRPr="009D7144">
        <w:rPr>
          <w:rFonts w:eastAsia="Times New Roman" w:cs="Times New Roman"/>
          <w:szCs w:val="24"/>
          <w:lang w:val="en-IN"/>
        </w:rPr>
        <w:t>Developing competencies in public health: a scoping review of the literature on developing competency frameworks and student and workforce development.</w:t>
      </w:r>
      <w:r>
        <w:rPr>
          <w:rFonts w:eastAsia="Times New Roman" w:cs="Times New Roman"/>
          <w:szCs w:val="24"/>
          <w:lang w:val="en-IN"/>
        </w:rPr>
        <w:t>’</w:t>
      </w:r>
      <w:r w:rsidRPr="009D7144">
        <w:rPr>
          <w:rFonts w:eastAsia="Times New Roman" w:cs="Times New Roman"/>
          <w:szCs w:val="24"/>
          <w:lang w:val="en-IN"/>
        </w:rPr>
        <w:t xml:space="preserve"> </w:t>
      </w:r>
      <w:r w:rsidRPr="009D7144">
        <w:rPr>
          <w:rFonts w:eastAsia="Times New Roman" w:cs="Times New Roman"/>
          <w:i/>
          <w:iCs/>
          <w:szCs w:val="24"/>
          <w:lang w:val="en-IN"/>
        </w:rPr>
        <w:t>Frontiers in public health</w:t>
      </w:r>
      <w:r w:rsidRPr="009D7144">
        <w:rPr>
          <w:rFonts w:eastAsia="Times New Roman" w:cs="Times New Roman"/>
          <w:szCs w:val="24"/>
          <w:lang w:val="en-IN"/>
        </w:rPr>
        <w:t xml:space="preserve">, 12. </w:t>
      </w:r>
      <w:r w:rsidRPr="00BD7040">
        <w:rPr>
          <w:rFonts w:eastAsia="Times New Roman" w:cs="Times New Roman"/>
          <w:szCs w:val="24"/>
          <w:lang w:val="en-GB"/>
        </w:rPr>
        <w:t xml:space="preserve">Available at: </w:t>
      </w:r>
      <w:hyperlink r:id="rId18" w:history="1">
        <w:r w:rsidRPr="009D7144">
          <w:rPr>
            <w:rStyle w:val="Hyperlink"/>
            <w:rFonts w:eastAsia="Times New Roman" w:cs="Times New Roman"/>
            <w:szCs w:val="24"/>
            <w:lang w:val="en-IN"/>
          </w:rPr>
          <w:t>https://doi.org/10.3389/fpubh.2024.1332412</w:t>
        </w:r>
      </w:hyperlink>
      <w:r>
        <w:rPr>
          <w:rFonts w:eastAsia="Times New Roman" w:cs="Times New Roman"/>
          <w:szCs w:val="24"/>
          <w:lang w:val="en-IN"/>
        </w:rPr>
        <w:t xml:space="preserve"> </w:t>
      </w:r>
    </w:p>
    <w:p w14:paraId="77BCFE57" w14:textId="77777777" w:rsidR="007F170B" w:rsidRDefault="007F170B" w:rsidP="007F170B">
      <w:pPr>
        <w:spacing w:before="240"/>
        <w:rPr>
          <w:rFonts w:eastAsia="Times New Roman" w:cs="Times New Roman"/>
          <w:szCs w:val="24"/>
          <w:lang w:val="en-IN"/>
        </w:rPr>
      </w:pPr>
      <w:r w:rsidRPr="0062642E">
        <w:rPr>
          <w:rFonts w:eastAsia="Times New Roman" w:cs="Times New Roman"/>
          <w:szCs w:val="24"/>
          <w:lang w:val="en-IN"/>
        </w:rPr>
        <w:t xml:space="preserve">Gottlieb, M., Chan, T.M., Zaver, F. and </w:t>
      </w:r>
      <w:proofErr w:type="spellStart"/>
      <w:r w:rsidRPr="0062642E">
        <w:rPr>
          <w:rFonts w:eastAsia="Times New Roman" w:cs="Times New Roman"/>
          <w:szCs w:val="24"/>
          <w:lang w:val="en-IN"/>
        </w:rPr>
        <w:t>Ellaway</w:t>
      </w:r>
      <w:proofErr w:type="spellEnd"/>
      <w:r w:rsidRPr="0062642E">
        <w:rPr>
          <w:rFonts w:eastAsia="Times New Roman" w:cs="Times New Roman"/>
          <w:szCs w:val="24"/>
          <w:lang w:val="en-IN"/>
        </w:rPr>
        <w:t xml:space="preserve">, R. (2021) </w:t>
      </w:r>
      <w:r>
        <w:rPr>
          <w:rFonts w:eastAsia="Times New Roman" w:cs="Times New Roman"/>
          <w:szCs w:val="24"/>
          <w:lang w:val="en-IN"/>
        </w:rPr>
        <w:t>‘</w:t>
      </w:r>
      <w:r w:rsidRPr="0062642E">
        <w:rPr>
          <w:rFonts w:eastAsia="Times New Roman" w:cs="Times New Roman"/>
          <w:szCs w:val="24"/>
          <w:lang w:val="en-IN"/>
        </w:rPr>
        <w:t>Confidence‐competence alignment and the role of self‐confidence in medical education: A conceptual review.</w:t>
      </w:r>
      <w:r>
        <w:rPr>
          <w:rFonts w:eastAsia="Times New Roman" w:cs="Times New Roman"/>
          <w:szCs w:val="24"/>
          <w:lang w:val="en-IN"/>
        </w:rPr>
        <w:t>’</w:t>
      </w:r>
      <w:r w:rsidRPr="0062642E">
        <w:rPr>
          <w:rFonts w:eastAsia="Times New Roman" w:cs="Times New Roman"/>
          <w:szCs w:val="24"/>
          <w:lang w:val="en-IN"/>
        </w:rPr>
        <w:t xml:space="preserve"> </w:t>
      </w:r>
      <w:r w:rsidRPr="0062642E">
        <w:rPr>
          <w:rFonts w:eastAsia="Times New Roman" w:cs="Times New Roman"/>
          <w:i/>
          <w:iCs/>
          <w:szCs w:val="24"/>
          <w:lang w:val="en-IN"/>
        </w:rPr>
        <w:t>Medical Education</w:t>
      </w:r>
      <w:r w:rsidRPr="0062642E">
        <w:rPr>
          <w:rFonts w:eastAsia="Times New Roman" w:cs="Times New Roman"/>
          <w:szCs w:val="24"/>
          <w:lang w:val="en-IN"/>
        </w:rPr>
        <w:t xml:space="preserve">, [online] 56(1). </w:t>
      </w:r>
      <w:r w:rsidRPr="00BD7040">
        <w:rPr>
          <w:rFonts w:eastAsia="Times New Roman" w:cs="Times New Roman"/>
          <w:szCs w:val="24"/>
          <w:lang w:val="en-GB"/>
        </w:rPr>
        <w:t xml:space="preserve">Available at: </w:t>
      </w:r>
      <w:hyperlink r:id="rId19" w:history="1">
        <w:r w:rsidRPr="0062642E">
          <w:rPr>
            <w:rStyle w:val="Hyperlink"/>
            <w:rFonts w:eastAsia="Times New Roman" w:cs="Times New Roman"/>
            <w:szCs w:val="24"/>
            <w:lang w:val="en-IN"/>
          </w:rPr>
          <w:t>https://doi.org/10.1111/medu.14592</w:t>
        </w:r>
      </w:hyperlink>
      <w:r>
        <w:rPr>
          <w:rFonts w:eastAsia="Times New Roman" w:cs="Times New Roman"/>
          <w:szCs w:val="24"/>
          <w:lang w:val="en-IN"/>
        </w:rPr>
        <w:t xml:space="preserve"> </w:t>
      </w:r>
    </w:p>
    <w:p w14:paraId="287653A2" w14:textId="77777777" w:rsidR="007F170B" w:rsidRDefault="007F170B" w:rsidP="007F170B">
      <w:pPr>
        <w:spacing w:before="240"/>
        <w:rPr>
          <w:rFonts w:eastAsia="Times New Roman" w:cs="Times New Roman"/>
          <w:szCs w:val="24"/>
          <w:lang w:val="en-IN"/>
        </w:rPr>
      </w:pPr>
      <w:r w:rsidRPr="00A341D1">
        <w:rPr>
          <w:rFonts w:eastAsia="Times New Roman" w:cs="Times New Roman"/>
          <w:szCs w:val="24"/>
          <w:lang w:val="en-IN"/>
        </w:rPr>
        <w:t>Hyeon</w:t>
      </w:r>
      <w:r>
        <w:rPr>
          <w:rFonts w:eastAsia="Times New Roman" w:cs="Times New Roman"/>
          <w:szCs w:val="24"/>
          <w:lang w:val="en-IN"/>
        </w:rPr>
        <w:t>, Y. H.,</w:t>
      </w:r>
      <w:r w:rsidRPr="00A341D1">
        <w:rPr>
          <w:rFonts w:eastAsia="Times New Roman" w:cs="Times New Roman"/>
          <w:szCs w:val="24"/>
          <w:lang w:val="en-IN"/>
        </w:rPr>
        <w:t xml:space="preserve"> and Moon</w:t>
      </w:r>
      <w:r>
        <w:rPr>
          <w:rFonts w:eastAsia="Times New Roman" w:cs="Times New Roman"/>
          <w:szCs w:val="24"/>
          <w:lang w:val="en-IN"/>
        </w:rPr>
        <w:t>, K. J.</w:t>
      </w:r>
      <w:r w:rsidRPr="00A341D1">
        <w:rPr>
          <w:rFonts w:eastAsia="Times New Roman" w:cs="Times New Roman"/>
          <w:szCs w:val="24"/>
          <w:lang w:val="en-IN"/>
        </w:rPr>
        <w:t xml:space="preserve"> (2024) </w:t>
      </w:r>
      <w:r>
        <w:rPr>
          <w:rFonts w:eastAsia="Times New Roman" w:cs="Times New Roman"/>
          <w:szCs w:val="24"/>
          <w:lang w:val="en-IN"/>
        </w:rPr>
        <w:t>‘</w:t>
      </w:r>
      <w:r w:rsidRPr="00A341D1">
        <w:rPr>
          <w:rFonts w:eastAsia="Times New Roman" w:cs="Times New Roman"/>
          <w:szCs w:val="24"/>
          <w:lang w:val="en-IN"/>
        </w:rPr>
        <w:t>Development of an infection control competency scale for clinical nurses: an instrument design study.</w:t>
      </w:r>
      <w:r>
        <w:rPr>
          <w:rFonts w:eastAsia="Times New Roman" w:cs="Times New Roman"/>
          <w:szCs w:val="24"/>
          <w:lang w:val="en-IN"/>
        </w:rPr>
        <w:t>’</w:t>
      </w:r>
      <w:r w:rsidRPr="00A341D1">
        <w:rPr>
          <w:rFonts w:eastAsia="Times New Roman" w:cs="Times New Roman"/>
          <w:szCs w:val="24"/>
          <w:lang w:val="en-IN"/>
        </w:rPr>
        <w:t xml:space="preserve"> </w:t>
      </w:r>
      <w:r w:rsidRPr="00A341D1">
        <w:rPr>
          <w:rFonts w:eastAsia="Times New Roman" w:cs="Times New Roman"/>
          <w:i/>
          <w:iCs/>
          <w:szCs w:val="24"/>
          <w:lang w:val="en-IN"/>
        </w:rPr>
        <w:t>BMC nursing</w:t>
      </w:r>
      <w:r w:rsidRPr="00A341D1">
        <w:rPr>
          <w:rFonts w:eastAsia="Times New Roman" w:cs="Times New Roman"/>
          <w:szCs w:val="24"/>
          <w:lang w:val="en-IN"/>
        </w:rPr>
        <w:t xml:space="preserve">, 23(1). </w:t>
      </w:r>
      <w:r w:rsidRPr="00BD7040">
        <w:rPr>
          <w:rFonts w:eastAsia="Times New Roman" w:cs="Times New Roman"/>
          <w:szCs w:val="24"/>
          <w:lang w:val="en-GB"/>
        </w:rPr>
        <w:t xml:space="preserve">Available at: </w:t>
      </w:r>
      <w:hyperlink r:id="rId20" w:history="1">
        <w:r w:rsidRPr="00A341D1">
          <w:rPr>
            <w:rStyle w:val="Hyperlink"/>
            <w:rFonts w:eastAsia="Times New Roman" w:cs="Times New Roman"/>
            <w:szCs w:val="24"/>
            <w:lang w:val="en-IN"/>
          </w:rPr>
          <w:t>https://doi.org/10.1186/s12912-024-01904-1</w:t>
        </w:r>
      </w:hyperlink>
      <w:r>
        <w:rPr>
          <w:rFonts w:eastAsia="Times New Roman" w:cs="Times New Roman"/>
          <w:szCs w:val="24"/>
          <w:lang w:val="en-IN"/>
        </w:rPr>
        <w:t xml:space="preserve"> </w:t>
      </w:r>
    </w:p>
    <w:p w14:paraId="5E73236C" w14:textId="77777777" w:rsidR="007F170B" w:rsidRPr="00BC5062" w:rsidRDefault="007F170B" w:rsidP="007F170B">
      <w:pPr>
        <w:spacing w:before="240"/>
        <w:rPr>
          <w:rFonts w:eastAsia="Times New Roman" w:cs="Times New Roman"/>
          <w:szCs w:val="24"/>
          <w:lang w:val="en-IN"/>
        </w:rPr>
      </w:pPr>
      <w:r w:rsidRPr="00BC5062">
        <w:rPr>
          <w:rFonts w:eastAsia="Times New Roman" w:cs="Times New Roman"/>
          <w:szCs w:val="24"/>
          <w:lang w:val="en-IN"/>
        </w:rPr>
        <w:t xml:space="preserve">Brightwell, A. and Grant, J. (2022) </w:t>
      </w:r>
      <w:r>
        <w:rPr>
          <w:rFonts w:eastAsia="Times New Roman" w:cs="Times New Roman"/>
          <w:szCs w:val="24"/>
          <w:lang w:val="en-IN"/>
        </w:rPr>
        <w:t>‘</w:t>
      </w:r>
      <w:r w:rsidRPr="00BC5062">
        <w:rPr>
          <w:rFonts w:eastAsia="Times New Roman" w:cs="Times New Roman"/>
          <w:szCs w:val="24"/>
          <w:lang w:val="en-IN"/>
        </w:rPr>
        <w:t>Competency-based training: who benefits?</w:t>
      </w:r>
      <w:r>
        <w:rPr>
          <w:rFonts w:eastAsia="Times New Roman" w:cs="Times New Roman"/>
          <w:szCs w:val="24"/>
          <w:lang w:val="en-IN"/>
        </w:rPr>
        <w:t>’</w:t>
      </w:r>
      <w:r w:rsidRPr="00BC5062">
        <w:rPr>
          <w:rFonts w:eastAsia="Times New Roman" w:cs="Times New Roman"/>
          <w:szCs w:val="24"/>
          <w:lang w:val="en-IN"/>
        </w:rPr>
        <w:t xml:space="preserve"> </w:t>
      </w:r>
      <w:r w:rsidRPr="00BC5062">
        <w:rPr>
          <w:rFonts w:eastAsia="Times New Roman" w:cs="Times New Roman"/>
          <w:i/>
          <w:iCs/>
          <w:szCs w:val="24"/>
          <w:lang w:val="en-IN"/>
        </w:rPr>
        <w:t>Postgraduate Medical Journal</w:t>
      </w:r>
      <w:r w:rsidRPr="00BC5062">
        <w:rPr>
          <w:rFonts w:eastAsia="Times New Roman" w:cs="Times New Roman"/>
          <w:szCs w:val="24"/>
          <w:lang w:val="en-IN"/>
        </w:rPr>
        <w:t xml:space="preserve">, 89(1048), pp.107–110. </w:t>
      </w:r>
      <w:r w:rsidRPr="00BD7040">
        <w:rPr>
          <w:rFonts w:eastAsia="Times New Roman" w:cs="Times New Roman"/>
          <w:szCs w:val="24"/>
          <w:lang w:val="en-GB"/>
        </w:rPr>
        <w:t xml:space="preserve">Available at: </w:t>
      </w:r>
      <w:hyperlink r:id="rId21" w:history="1">
        <w:r w:rsidRPr="00BC5062">
          <w:rPr>
            <w:rStyle w:val="Hyperlink"/>
            <w:rFonts w:eastAsia="Times New Roman" w:cs="Times New Roman"/>
            <w:szCs w:val="24"/>
            <w:lang w:val="en-IN"/>
          </w:rPr>
          <w:t>https://doi.org/10.1136/postgradmedj-2012-130881</w:t>
        </w:r>
      </w:hyperlink>
      <w:r>
        <w:rPr>
          <w:rFonts w:eastAsia="Times New Roman" w:cs="Times New Roman"/>
          <w:szCs w:val="24"/>
          <w:lang w:val="en-IN"/>
        </w:rPr>
        <w:t xml:space="preserve"> </w:t>
      </w:r>
    </w:p>
    <w:p w14:paraId="0222E192" w14:textId="77777777" w:rsidR="007F170B" w:rsidRPr="003D6528" w:rsidRDefault="007F170B" w:rsidP="007F170B">
      <w:pPr>
        <w:spacing w:before="240"/>
        <w:rPr>
          <w:rFonts w:eastAsia="Times New Roman" w:cs="Times New Roman"/>
          <w:szCs w:val="24"/>
          <w:lang w:val="en-IN"/>
        </w:rPr>
      </w:pPr>
      <w:r w:rsidRPr="003D6528">
        <w:rPr>
          <w:rFonts w:eastAsia="Times New Roman" w:cs="Times New Roman"/>
          <w:szCs w:val="24"/>
          <w:lang w:val="en-IN"/>
        </w:rPr>
        <w:lastRenderedPageBreak/>
        <w:t xml:space="preserve">Mukhalalati, B.A. and Taylor, A. (2020) </w:t>
      </w:r>
      <w:r>
        <w:rPr>
          <w:rFonts w:eastAsia="Times New Roman" w:cs="Times New Roman"/>
          <w:szCs w:val="24"/>
          <w:lang w:val="en-IN"/>
        </w:rPr>
        <w:t>‘</w:t>
      </w:r>
      <w:r w:rsidRPr="003D6528">
        <w:rPr>
          <w:rFonts w:eastAsia="Times New Roman" w:cs="Times New Roman"/>
          <w:szCs w:val="24"/>
          <w:lang w:val="en-IN"/>
        </w:rPr>
        <w:t>Adult Learning Theories in context: a Quick Guide for Healthcare Professional Educators.</w:t>
      </w:r>
      <w:r>
        <w:rPr>
          <w:rFonts w:eastAsia="Times New Roman" w:cs="Times New Roman"/>
          <w:szCs w:val="24"/>
          <w:lang w:val="en-IN"/>
        </w:rPr>
        <w:t>’</w:t>
      </w:r>
      <w:r w:rsidRPr="003D6528">
        <w:rPr>
          <w:rFonts w:eastAsia="Times New Roman" w:cs="Times New Roman"/>
          <w:szCs w:val="24"/>
          <w:lang w:val="en-IN"/>
        </w:rPr>
        <w:t xml:space="preserve"> </w:t>
      </w:r>
      <w:r w:rsidRPr="003D6528">
        <w:rPr>
          <w:rFonts w:eastAsia="Times New Roman" w:cs="Times New Roman"/>
          <w:i/>
          <w:iCs/>
          <w:szCs w:val="24"/>
          <w:lang w:val="en-IN"/>
        </w:rPr>
        <w:t>Journal of Medical Education and Curricular Development</w:t>
      </w:r>
      <w:r w:rsidRPr="003D6528">
        <w:rPr>
          <w:rFonts w:eastAsia="Times New Roman" w:cs="Times New Roman"/>
          <w:szCs w:val="24"/>
          <w:lang w:val="en-IN"/>
        </w:rPr>
        <w:t xml:space="preserve">, 6. </w:t>
      </w:r>
      <w:r w:rsidRPr="00BD7040">
        <w:rPr>
          <w:rFonts w:eastAsia="Times New Roman" w:cs="Times New Roman"/>
          <w:szCs w:val="24"/>
          <w:lang w:val="en-GB"/>
        </w:rPr>
        <w:t xml:space="preserve">Available at: </w:t>
      </w:r>
      <w:hyperlink r:id="rId22" w:history="1">
        <w:r w:rsidRPr="003D6528">
          <w:rPr>
            <w:rStyle w:val="Hyperlink"/>
            <w:rFonts w:eastAsia="Times New Roman" w:cs="Times New Roman"/>
            <w:szCs w:val="24"/>
            <w:lang w:val="en-IN"/>
          </w:rPr>
          <w:t>https://doi.org/10.1177/2382120519840332</w:t>
        </w:r>
      </w:hyperlink>
      <w:r>
        <w:rPr>
          <w:rFonts w:eastAsia="Times New Roman" w:cs="Times New Roman"/>
          <w:szCs w:val="24"/>
          <w:lang w:val="en-IN"/>
        </w:rPr>
        <w:t xml:space="preserve"> </w:t>
      </w:r>
    </w:p>
    <w:p w14:paraId="0F3450C5" w14:textId="77777777" w:rsidR="007F170B" w:rsidRDefault="007F170B" w:rsidP="007F170B">
      <w:pPr>
        <w:spacing w:before="240"/>
        <w:rPr>
          <w:rFonts w:eastAsia="Times New Roman" w:cs="Times New Roman"/>
          <w:szCs w:val="24"/>
          <w:lang w:val="en-IN"/>
        </w:rPr>
      </w:pPr>
      <w:r w:rsidRPr="005E533D">
        <w:rPr>
          <w:rFonts w:eastAsia="Times New Roman" w:cs="Times New Roman"/>
          <w:szCs w:val="24"/>
          <w:lang w:val="en-IN"/>
        </w:rPr>
        <w:t xml:space="preserve">Zimmerman, M.A. (2023) </w:t>
      </w:r>
      <w:r>
        <w:rPr>
          <w:rFonts w:eastAsia="Times New Roman" w:cs="Times New Roman"/>
          <w:szCs w:val="24"/>
          <w:lang w:val="en-IN"/>
        </w:rPr>
        <w:t>‘</w:t>
      </w:r>
      <w:r w:rsidRPr="005E533D">
        <w:rPr>
          <w:rFonts w:eastAsia="Times New Roman" w:cs="Times New Roman"/>
          <w:szCs w:val="24"/>
          <w:lang w:val="en-IN"/>
        </w:rPr>
        <w:t xml:space="preserve">Resiliency Theory: </w:t>
      </w:r>
      <w:proofErr w:type="gramStart"/>
      <w:r w:rsidRPr="005E533D">
        <w:rPr>
          <w:rFonts w:eastAsia="Times New Roman" w:cs="Times New Roman"/>
          <w:szCs w:val="24"/>
          <w:lang w:val="en-IN"/>
        </w:rPr>
        <w:t>a</w:t>
      </w:r>
      <w:proofErr w:type="gramEnd"/>
      <w:r w:rsidRPr="005E533D">
        <w:rPr>
          <w:rFonts w:eastAsia="Times New Roman" w:cs="Times New Roman"/>
          <w:szCs w:val="24"/>
          <w:lang w:val="en-IN"/>
        </w:rPr>
        <w:t xml:space="preserve"> Strengths-Based Approach to Research and Practice for Adolescent Health.</w:t>
      </w:r>
      <w:r>
        <w:rPr>
          <w:rFonts w:eastAsia="Times New Roman" w:cs="Times New Roman"/>
          <w:szCs w:val="24"/>
          <w:lang w:val="en-IN"/>
        </w:rPr>
        <w:t>’</w:t>
      </w:r>
      <w:r w:rsidRPr="005E533D">
        <w:rPr>
          <w:rFonts w:eastAsia="Times New Roman" w:cs="Times New Roman"/>
          <w:szCs w:val="24"/>
          <w:lang w:val="en-IN"/>
        </w:rPr>
        <w:t xml:space="preserve"> </w:t>
      </w:r>
      <w:r w:rsidRPr="005E533D">
        <w:rPr>
          <w:rFonts w:eastAsia="Times New Roman" w:cs="Times New Roman"/>
          <w:i/>
          <w:iCs/>
          <w:szCs w:val="24"/>
          <w:lang w:val="en-IN"/>
        </w:rPr>
        <w:t xml:space="preserve">Health Education &amp; </w:t>
      </w:r>
      <w:proofErr w:type="spellStart"/>
      <w:r w:rsidRPr="005E533D">
        <w:rPr>
          <w:rFonts w:eastAsia="Times New Roman" w:cs="Times New Roman"/>
          <w:i/>
          <w:iCs/>
          <w:szCs w:val="24"/>
          <w:lang w:val="en-IN"/>
        </w:rPr>
        <w:t>Behavior</w:t>
      </w:r>
      <w:proofErr w:type="spellEnd"/>
      <w:r w:rsidRPr="005E533D">
        <w:rPr>
          <w:rFonts w:eastAsia="Times New Roman" w:cs="Times New Roman"/>
          <w:szCs w:val="24"/>
          <w:lang w:val="en-IN"/>
        </w:rPr>
        <w:t xml:space="preserve">, [online] 40(4), pp.381–383. </w:t>
      </w:r>
      <w:r w:rsidRPr="00BD7040">
        <w:rPr>
          <w:rFonts w:eastAsia="Times New Roman" w:cs="Times New Roman"/>
          <w:szCs w:val="24"/>
          <w:lang w:val="en-GB"/>
        </w:rPr>
        <w:t xml:space="preserve">Available at: </w:t>
      </w:r>
      <w:hyperlink r:id="rId23" w:history="1">
        <w:r w:rsidRPr="005E533D">
          <w:rPr>
            <w:rStyle w:val="Hyperlink"/>
            <w:rFonts w:eastAsia="Times New Roman" w:cs="Times New Roman"/>
            <w:szCs w:val="24"/>
            <w:lang w:val="en-IN"/>
          </w:rPr>
          <w:t>https://doi.org/10.1177/1090198113493782</w:t>
        </w:r>
      </w:hyperlink>
      <w:r>
        <w:rPr>
          <w:rFonts w:eastAsia="Times New Roman" w:cs="Times New Roman"/>
          <w:szCs w:val="24"/>
          <w:lang w:val="en-IN"/>
        </w:rPr>
        <w:t xml:space="preserve"> </w:t>
      </w:r>
    </w:p>
    <w:p w14:paraId="650B47EB" w14:textId="3CE07293" w:rsidR="007F170B" w:rsidRDefault="007F170B" w:rsidP="007F170B">
      <w:pPr>
        <w:spacing w:before="240"/>
        <w:rPr>
          <w:rFonts w:eastAsia="Times New Roman" w:cs="Times New Roman"/>
          <w:szCs w:val="24"/>
          <w:lang w:val="en-IN"/>
        </w:rPr>
      </w:pPr>
      <w:r>
        <w:rPr>
          <w:rFonts w:eastAsia="Times New Roman" w:cs="Times New Roman"/>
          <w:szCs w:val="24"/>
          <w:lang w:val="en-IN"/>
        </w:rPr>
        <w:t>L</w:t>
      </w:r>
      <w:r w:rsidRPr="00123AC9">
        <w:rPr>
          <w:rFonts w:eastAsia="Times New Roman" w:cs="Times New Roman"/>
          <w:szCs w:val="24"/>
          <w:lang w:val="en-IN"/>
        </w:rPr>
        <w:t>egislation.gov.uk</w:t>
      </w:r>
      <w:r>
        <w:rPr>
          <w:rFonts w:eastAsia="Times New Roman" w:cs="Times New Roman"/>
          <w:szCs w:val="24"/>
          <w:lang w:val="en-IN"/>
        </w:rPr>
        <w:t xml:space="preserve"> (2024)</w:t>
      </w:r>
      <w:r w:rsidRPr="00123AC9">
        <w:rPr>
          <w:rFonts w:eastAsia="Times New Roman" w:cs="Times New Roman"/>
          <w:szCs w:val="24"/>
          <w:lang w:val="en-IN"/>
        </w:rPr>
        <w:t xml:space="preserve"> </w:t>
      </w:r>
      <w:r w:rsidRPr="00123AC9">
        <w:rPr>
          <w:rFonts w:eastAsia="Times New Roman" w:cs="Times New Roman"/>
          <w:i/>
          <w:iCs/>
          <w:szCs w:val="24"/>
          <w:lang w:val="en-IN"/>
        </w:rPr>
        <w:t>Care Act 2014</w:t>
      </w:r>
      <w:r w:rsidRPr="00123AC9">
        <w:rPr>
          <w:rFonts w:eastAsia="Times New Roman" w:cs="Times New Roman"/>
          <w:szCs w:val="24"/>
          <w:lang w:val="en-IN"/>
        </w:rPr>
        <w:t xml:space="preserve">. [online] Legislation.gov.uk. Available at: </w:t>
      </w:r>
      <w:hyperlink r:id="rId24" w:history="1">
        <w:r w:rsidRPr="00123AC9">
          <w:rPr>
            <w:rStyle w:val="Hyperlink"/>
            <w:rFonts w:eastAsia="Times New Roman" w:cs="Times New Roman"/>
            <w:szCs w:val="24"/>
            <w:lang w:val="en-IN"/>
          </w:rPr>
          <w:t>https://www.legislation.gov.uk/ukpga/2014/23/contents</w:t>
        </w:r>
      </w:hyperlink>
      <w:r>
        <w:rPr>
          <w:rFonts w:eastAsia="Times New Roman" w:cs="Times New Roman"/>
          <w:szCs w:val="24"/>
          <w:lang w:val="en-IN"/>
        </w:rPr>
        <w:t xml:space="preserve"> [Accessed 1</w:t>
      </w:r>
      <w:r w:rsidR="002362B7">
        <w:rPr>
          <w:rFonts w:eastAsia="Times New Roman" w:cs="Times New Roman"/>
          <w:szCs w:val="24"/>
          <w:lang w:val="en-IN"/>
        </w:rPr>
        <w:t>4 May</w:t>
      </w:r>
      <w:r>
        <w:rPr>
          <w:rFonts w:eastAsia="Times New Roman" w:cs="Times New Roman"/>
          <w:szCs w:val="24"/>
          <w:lang w:val="en-IN"/>
        </w:rPr>
        <w:t xml:space="preserve"> 2026]</w:t>
      </w:r>
    </w:p>
    <w:p w14:paraId="7CD2F59B" w14:textId="5C904A4E" w:rsidR="007F170B" w:rsidRPr="00F020A4" w:rsidRDefault="007F170B" w:rsidP="007F170B">
      <w:pPr>
        <w:spacing w:before="240"/>
        <w:rPr>
          <w:rFonts w:eastAsia="Times New Roman" w:cs="Times New Roman"/>
          <w:szCs w:val="24"/>
          <w:lang w:val="en-IN"/>
        </w:rPr>
      </w:pPr>
      <w:r>
        <w:rPr>
          <w:rFonts w:eastAsia="Times New Roman" w:cs="Times New Roman"/>
          <w:szCs w:val="24"/>
          <w:lang w:val="en-IN"/>
        </w:rPr>
        <w:t>G</w:t>
      </w:r>
      <w:r w:rsidRPr="00F020A4">
        <w:rPr>
          <w:rFonts w:eastAsia="Times New Roman" w:cs="Times New Roman"/>
          <w:szCs w:val="24"/>
          <w:lang w:val="en-IN"/>
        </w:rPr>
        <w:t xml:space="preserve">ov.uk (2022) </w:t>
      </w:r>
      <w:r w:rsidRPr="00F020A4">
        <w:rPr>
          <w:rFonts w:eastAsia="Times New Roman" w:cs="Times New Roman"/>
          <w:i/>
          <w:iCs/>
          <w:szCs w:val="24"/>
          <w:lang w:val="en-IN"/>
        </w:rPr>
        <w:t>Health and Social Care Act 2012</w:t>
      </w:r>
      <w:r w:rsidRPr="00F020A4">
        <w:rPr>
          <w:rFonts w:eastAsia="Times New Roman" w:cs="Times New Roman"/>
          <w:szCs w:val="24"/>
          <w:lang w:val="en-IN"/>
        </w:rPr>
        <w:t xml:space="preserve">. [online] GOV.UK. Available at: </w:t>
      </w:r>
      <w:hyperlink r:id="rId25" w:history="1">
        <w:r w:rsidRPr="00F020A4">
          <w:rPr>
            <w:rStyle w:val="Hyperlink"/>
            <w:rFonts w:eastAsia="Times New Roman" w:cs="Times New Roman"/>
            <w:szCs w:val="24"/>
            <w:lang w:val="en-IN"/>
          </w:rPr>
          <w:t>https://www.gov.uk/government/publications/health-and-social-care-act-2012-fact-sheets</w:t>
        </w:r>
      </w:hyperlink>
      <w:r>
        <w:rPr>
          <w:rFonts w:eastAsia="Times New Roman" w:cs="Times New Roman"/>
          <w:szCs w:val="24"/>
          <w:lang w:val="en-IN"/>
        </w:rPr>
        <w:t xml:space="preserve"> [Accessed 1</w:t>
      </w:r>
      <w:r w:rsidR="002362B7">
        <w:rPr>
          <w:rFonts w:eastAsia="Times New Roman" w:cs="Times New Roman"/>
          <w:szCs w:val="24"/>
          <w:lang w:val="en-IN"/>
        </w:rPr>
        <w:t>4 May</w:t>
      </w:r>
      <w:r>
        <w:rPr>
          <w:rFonts w:eastAsia="Times New Roman" w:cs="Times New Roman"/>
          <w:szCs w:val="24"/>
          <w:lang w:val="en-IN"/>
        </w:rPr>
        <w:t xml:space="preserve"> 2026]</w:t>
      </w:r>
    </w:p>
    <w:p w14:paraId="44254973" w14:textId="3A04F5C7" w:rsidR="007F170B" w:rsidRDefault="007F170B" w:rsidP="007F170B">
      <w:pPr>
        <w:spacing w:before="240"/>
        <w:rPr>
          <w:rFonts w:eastAsia="Times New Roman" w:cs="Times New Roman"/>
          <w:szCs w:val="24"/>
          <w:lang w:val="en-IN"/>
        </w:rPr>
      </w:pPr>
      <w:r>
        <w:rPr>
          <w:rFonts w:eastAsia="Times New Roman" w:cs="Times New Roman"/>
          <w:szCs w:val="24"/>
        </w:rPr>
        <w:t xml:space="preserve">GMC, (2021) </w:t>
      </w:r>
      <w:r w:rsidRPr="00C52693">
        <w:rPr>
          <w:rFonts w:eastAsia="Times New Roman" w:cs="Times New Roman"/>
          <w:i/>
          <w:iCs/>
          <w:szCs w:val="24"/>
        </w:rPr>
        <w:t>The impact of service change on doctors’ training.</w:t>
      </w:r>
      <w:r>
        <w:rPr>
          <w:rFonts w:eastAsia="Times New Roman" w:cs="Times New Roman"/>
          <w:szCs w:val="24"/>
        </w:rPr>
        <w:t xml:space="preserve"> [online] </w:t>
      </w:r>
      <w:r w:rsidRPr="00F020A4">
        <w:rPr>
          <w:rFonts w:eastAsia="Times New Roman" w:cs="Times New Roman"/>
          <w:szCs w:val="24"/>
          <w:lang w:val="en-IN"/>
        </w:rPr>
        <w:t xml:space="preserve">Available at: </w:t>
      </w:r>
      <w:hyperlink r:id="rId26" w:history="1">
        <w:r w:rsidRPr="00D04434">
          <w:rPr>
            <w:rStyle w:val="Hyperlink"/>
            <w:rFonts w:eastAsia="Times New Roman" w:cs="Times New Roman"/>
            <w:szCs w:val="24"/>
            <w:lang w:val="en-IN"/>
          </w:rPr>
          <w:t>https://www.gmc-uk.org/cdn/documents/impact-of-service-change-on-doctors--training---full-report_pdf-86838768.pdf</w:t>
        </w:r>
      </w:hyperlink>
      <w:r>
        <w:rPr>
          <w:rFonts w:eastAsia="Times New Roman" w:cs="Times New Roman"/>
          <w:szCs w:val="24"/>
          <w:lang w:val="en-IN"/>
        </w:rPr>
        <w:t xml:space="preserve"> [Accessed 1</w:t>
      </w:r>
      <w:r w:rsidR="002362B7">
        <w:rPr>
          <w:rFonts w:eastAsia="Times New Roman" w:cs="Times New Roman"/>
          <w:szCs w:val="24"/>
          <w:lang w:val="en-IN"/>
        </w:rPr>
        <w:t>4 May</w:t>
      </w:r>
      <w:r>
        <w:rPr>
          <w:rFonts w:eastAsia="Times New Roman" w:cs="Times New Roman"/>
          <w:szCs w:val="24"/>
          <w:lang w:val="en-IN"/>
        </w:rPr>
        <w:t xml:space="preserve"> 2026]</w:t>
      </w:r>
    </w:p>
    <w:p w14:paraId="657F8A48" w14:textId="2B1D8327" w:rsidR="007F170B" w:rsidRPr="0062302F" w:rsidRDefault="007F170B" w:rsidP="007F170B">
      <w:pPr>
        <w:spacing w:before="240"/>
        <w:rPr>
          <w:rFonts w:eastAsia="Times New Roman" w:cs="Times New Roman"/>
          <w:szCs w:val="24"/>
          <w:lang w:val="en-IN"/>
        </w:rPr>
      </w:pPr>
      <w:r>
        <w:rPr>
          <w:rFonts w:eastAsia="Times New Roman" w:cs="Times New Roman"/>
          <w:szCs w:val="24"/>
          <w:lang w:val="en-IN"/>
        </w:rPr>
        <w:t>BMA</w:t>
      </w:r>
      <w:r w:rsidRPr="0062302F">
        <w:rPr>
          <w:rFonts w:eastAsia="Times New Roman" w:cs="Times New Roman"/>
          <w:szCs w:val="24"/>
          <w:lang w:val="en-IN"/>
        </w:rPr>
        <w:t xml:space="preserve"> (2024) </w:t>
      </w:r>
      <w:r w:rsidRPr="0062302F">
        <w:rPr>
          <w:rFonts w:eastAsia="Times New Roman" w:cs="Times New Roman"/>
          <w:i/>
          <w:iCs/>
          <w:szCs w:val="24"/>
          <w:lang w:val="en-IN"/>
        </w:rPr>
        <w:t>COVID-19: Impact of the Pandemic on Healthcare Delivery</w:t>
      </w:r>
      <w:r w:rsidRPr="0062302F">
        <w:rPr>
          <w:rFonts w:eastAsia="Times New Roman" w:cs="Times New Roman"/>
          <w:szCs w:val="24"/>
          <w:lang w:val="en-IN"/>
        </w:rPr>
        <w:t xml:space="preserve">. [online] The British Medical Association. Available at: </w:t>
      </w:r>
      <w:hyperlink r:id="rId27" w:history="1">
        <w:r w:rsidRPr="0062302F">
          <w:rPr>
            <w:rStyle w:val="Hyperlink"/>
            <w:rFonts w:eastAsia="Times New Roman" w:cs="Times New Roman"/>
            <w:szCs w:val="24"/>
            <w:lang w:val="en-IN"/>
          </w:rPr>
          <w:t>https://www.bma.org.uk/advice-and-support/covid-19/what-the-bma-is-doing/covid-19-impact-of-the-pandemic-on-healthcare-delivery</w:t>
        </w:r>
      </w:hyperlink>
      <w:r>
        <w:rPr>
          <w:rFonts w:eastAsia="Times New Roman" w:cs="Times New Roman"/>
          <w:szCs w:val="24"/>
          <w:lang w:val="en-IN"/>
        </w:rPr>
        <w:t xml:space="preserve"> [Accessed 1</w:t>
      </w:r>
      <w:r w:rsidR="002362B7">
        <w:rPr>
          <w:rFonts w:eastAsia="Times New Roman" w:cs="Times New Roman"/>
          <w:szCs w:val="24"/>
          <w:lang w:val="en-IN"/>
        </w:rPr>
        <w:t>4</w:t>
      </w:r>
      <w:r>
        <w:rPr>
          <w:rFonts w:eastAsia="Times New Roman" w:cs="Times New Roman"/>
          <w:szCs w:val="24"/>
          <w:lang w:val="en-IN"/>
        </w:rPr>
        <w:t xml:space="preserve"> </w:t>
      </w:r>
      <w:r w:rsidR="002362B7">
        <w:rPr>
          <w:rFonts w:eastAsia="Times New Roman" w:cs="Times New Roman"/>
          <w:szCs w:val="24"/>
          <w:lang w:val="en-IN"/>
        </w:rPr>
        <w:t>May</w:t>
      </w:r>
      <w:r>
        <w:rPr>
          <w:rFonts w:eastAsia="Times New Roman" w:cs="Times New Roman"/>
          <w:szCs w:val="24"/>
          <w:lang w:val="en-IN"/>
        </w:rPr>
        <w:t xml:space="preserve"> 2026]</w:t>
      </w:r>
    </w:p>
    <w:p w14:paraId="68E8CD43" w14:textId="77777777" w:rsidR="007F170B" w:rsidRDefault="007F170B" w:rsidP="007F170B">
      <w:pPr>
        <w:spacing w:before="240"/>
        <w:rPr>
          <w:rFonts w:eastAsia="Times New Roman" w:cs="Times New Roman"/>
          <w:szCs w:val="24"/>
          <w:lang w:val="en-IN"/>
        </w:rPr>
      </w:pPr>
      <w:r w:rsidRPr="00362460">
        <w:rPr>
          <w:rFonts w:eastAsia="Times New Roman" w:cs="Times New Roman"/>
          <w:szCs w:val="24"/>
          <w:lang w:val="en-IN"/>
        </w:rPr>
        <w:t xml:space="preserve">Lee, A.T., Ramasamy, R.K. and Subbarao, A. (2025) </w:t>
      </w:r>
      <w:r>
        <w:rPr>
          <w:rFonts w:eastAsia="Times New Roman" w:cs="Times New Roman"/>
          <w:szCs w:val="24"/>
          <w:lang w:val="en-IN"/>
        </w:rPr>
        <w:t>‘</w:t>
      </w:r>
      <w:r w:rsidRPr="00362460">
        <w:rPr>
          <w:rFonts w:eastAsia="Times New Roman" w:cs="Times New Roman"/>
          <w:szCs w:val="24"/>
          <w:lang w:val="en-IN"/>
        </w:rPr>
        <w:t>Barriers to and Facilitators of Technology Adoption in Emergency Departments: A Comprehensive Review.</w:t>
      </w:r>
      <w:r>
        <w:rPr>
          <w:rFonts w:eastAsia="Times New Roman" w:cs="Times New Roman"/>
          <w:szCs w:val="24"/>
          <w:lang w:val="en-IN"/>
        </w:rPr>
        <w:t>’</w:t>
      </w:r>
      <w:r w:rsidRPr="00362460">
        <w:rPr>
          <w:rFonts w:eastAsia="Times New Roman" w:cs="Times New Roman"/>
          <w:szCs w:val="24"/>
          <w:lang w:val="en-IN"/>
        </w:rPr>
        <w:t xml:space="preserve"> </w:t>
      </w:r>
      <w:r w:rsidRPr="00362460">
        <w:rPr>
          <w:rFonts w:eastAsia="Times New Roman" w:cs="Times New Roman"/>
          <w:i/>
          <w:iCs/>
          <w:szCs w:val="24"/>
          <w:lang w:val="en-IN"/>
        </w:rPr>
        <w:t>International Journal of Environmental Research and Public Health</w:t>
      </w:r>
      <w:r w:rsidRPr="00362460">
        <w:rPr>
          <w:rFonts w:eastAsia="Times New Roman" w:cs="Times New Roman"/>
          <w:szCs w:val="24"/>
          <w:lang w:val="en-IN"/>
        </w:rPr>
        <w:t xml:space="preserve">, [online] 22(4), pp.479–479. </w:t>
      </w:r>
      <w:r w:rsidRPr="00F020A4">
        <w:rPr>
          <w:rFonts w:eastAsia="Times New Roman" w:cs="Times New Roman"/>
          <w:szCs w:val="24"/>
          <w:lang w:val="en-IN"/>
        </w:rPr>
        <w:t xml:space="preserve">Available at: </w:t>
      </w:r>
      <w:hyperlink r:id="rId28" w:history="1">
        <w:r w:rsidRPr="00362460">
          <w:rPr>
            <w:rStyle w:val="Hyperlink"/>
            <w:rFonts w:eastAsia="Times New Roman" w:cs="Times New Roman"/>
            <w:szCs w:val="24"/>
            <w:lang w:val="en-IN"/>
          </w:rPr>
          <w:t>https://doi.org/10.3390/ijerph22040479</w:t>
        </w:r>
      </w:hyperlink>
      <w:r>
        <w:rPr>
          <w:rFonts w:eastAsia="Times New Roman" w:cs="Times New Roman"/>
          <w:szCs w:val="24"/>
          <w:lang w:val="en-IN"/>
        </w:rPr>
        <w:t xml:space="preserve"> </w:t>
      </w:r>
    </w:p>
    <w:p w14:paraId="46176CC4" w14:textId="77777777" w:rsidR="007F170B" w:rsidRPr="00AC675C" w:rsidRDefault="007F170B" w:rsidP="007F170B">
      <w:pPr>
        <w:spacing w:before="240"/>
        <w:rPr>
          <w:rFonts w:eastAsia="Times New Roman" w:cs="Times New Roman"/>
          <w:szCs w:val="24"/>
          <w:lang w:val="en-IN"/>
        </w:rPr>
      </w:pPr>
      <w:r w:rsidRPr="00AC675C">
        <w:rPr>
          <w:rFonts w:eastAsia="Times New Roman" w:cs="Times New Roman"/>
          <w:szCs w:val="24"/>
          <w:lang w:val="en-IN"/>
        </w:rPr>
        <w:t xml:space="preserve">Troyer, L. and Brady, W. (2020) </w:t>
      </w:r>
      <w:r>
        <w:rPr>
          <w:rFonts w:eastAsia="Times New Roman" w:cs="Times New Roman"/>
          <w:szCs w:val="24"/>
          <w:lang w:val="en-IN"/>
        </w:rPr>
        <w:t>‘</w:t>
      </w:r>
      <w:r w:rsidRPr="00AC675C">
        <w:rPr>
          <w:rFonts w:eastAsia="Times New Roman" w:cs="Times New Roman"/>
          <w:szCs w:val="24"/>
          <w:lang w:val="en-IN"/>
        </w:rPr>
        <w:t>Barriers to Effective EMS to Emergency Department Information Transfer at Patient handover: a Systematic Review.</w:t>
      </w:r>
      <w:r>
        <w:rPr>
          <w:rFonts w:eastAsia="Times New Roman" w:cs="Times New Roman"/>
          <w:szCs w:val="24"/>
          <w:lang w:val="en-IN"/>
        </w:rPr>
        <w:t>’</w:t>
      </w:r>
      <w:r w:rsidRPr="00AC675C">
        <w:rPr>
          <w:rFonts w:eastAsia="Times New Roman" w:cs="Times New Roman"/>
          <w:szCs w:val="24"/>
          <w:lang w:val="en-IN"/>
        </w:rPr>
        <w:t xml:space="preserve"> </w:t>
      </w:r>
      <w:r w:rsidRPr="00AC675C">
        <w:rPr>
          <w:rFonts w:eastAsia="Times New Roman" w:cs="Times New Roman"/>
          <w:i/>
          <w:iCs/>
          <w:szCs w:val="24"/>
          <w:lang w:val="en-IN"/>
        </w:rPr>
        <w:t>The American Journal of Emergency Medicine</w:t>
      </w:r>
      <w:r w:rsidRPr="00AC675C">
        <w:rPr>
          <w:rFonts w:eastAsia="Times New Roman" w:cs="Times New Roman"/>
          <w:szCs w:val="24"/>
          <w:lang w:val="en-IN"/>
        </w:rPr>
        <w:t xml:space="preserve">, [online] 38(7). </w:t>
      </w:r>
      <w:r w:rsidRPr="00F020A4">
        <w:rPr>
          <w:rFonts w:eastAsia="Times New Roman" w:cs="Times New Roman"/>
          <w:szCs w:val="24"/>
          <w:lang w:val="en-IN"/>
        </w:rPr>
        <w:t xml:space="preserve">Available at: </w:t>
      </w:r>
      <w:hyperlink r:id="rId29" w:history="1">
        <w:r w:rsidRPr="00AC675C">
          <w:rPr>
            <w:rStyle w:val="Hyperlink"/>
            <w:rFonts w:eastAsia="Times New Roman" w:cs="Times New Roman"/>
            <w:szCs w:val="24"/>
            <w:lang w:val="en-IN"/>
          </w:rPr>
          <w:t>https://doi.org/10.1016/j.ajem.2020.04.036</w:t>
        </w:r>
      </w:hyperlink>
      <w:r>
        <w:rPr>
          <w:rFonts w:eastAsia="Times New Roman" w:cs="Times New Roman"/>
          <w:szCs w:val="24"/>
          <w:lang w:val="en-IN"/>
        </w:rPr>
        <w:t xml:space="preserve"> </w:t>
      </w:r>
    </w:p>
    <w:p w14:paraId="0BB4647D" w14:textId="77777777" w:rsidR="007F170B" w:rsidRPr="00DE4E59" w:rsidRDefault="007F170B" w:rsidP="007F170B">
      <w:pPr>
        <w:spacing w:before="240"/>
        <w:rPr>
          <w:rFonts w:eastAsia="Times New Roman" w:cs="Times New Roman"/>
          <w:szCs w:val="24"/>
          <w:lang w:val="en-IN"/>
        </w:rPr>
      </w:pPr>
      <w:r w:rsidRPr="00DE4E59">
        <w:rPr>
          <w:rFonts w:eastAsia="Times New Roman" w:cs="Times New Roman"/>
          <w:szCs w:val="24"/>
          <w:lang w:val="en-IN"/>
        </w:rPr>
        <w:t xml:space="preserve">Houghton, C., Meskell, P., Delaney, H., </w:t>
      </w:r>
      <w:proofErr w:type="spellStart"/>
      <w:r w:rsidRPr="00DE4E59">
        <w:rPr>
          <w:rFonts w:eastAsia="Times New Roman" w:cs="Times New Roman"/>
          <w:szCs w:val="24"/>
          <w:lang w:val="en-IN"/>
        </w:rPr>
        <w:t>Smalle</w:t>
      </w:r>
      <w:proofErr w:type="spellEnd"/>
      <w:r w:rsidRPr="00DE4E59">
        <w:rPr>
          <w:rFonts w:eastAsia="Times New Roman" w:cs="Times New Roman"/>
          <w:szCs w:val="24"/>
          <w:lang w:val="en-IN"/>
        </w:rPr>
        <w:t xml:space="preserve">, M., Glenton, C., Booth, A., Chan, X.H.S., Devane, D. and </w:t>
      </w:r>
      <w:proofErr w:type="spellStart"/>
      <w:r w:rsidRPr="00DE4E59">
        <w:rPr>
          <w:rFonts w:eastAsia="Times New Roman" w:cs="Times New Roman"/>
          <w:szCs w:val="24"/>
          <w:lang w:val="en-IN"/>
        </w:rPr>
        <w:t>Biesty</w:t>
      </w:r>
      <w:proofErr w:type="spellEnd"/>
      <w:r w:rsidRPr="00DE4E59">
        <w:rPr>
          <w:rFonts w:eastAsia="Times New Roman" w:cs="Times New Roman"/>
          <w:szCs w:val="24"/>
          <w:lang w:val="en-IN"/>
        </w:rPr>
        <w:t xml:space="preserve">, L.M. (2020) </w:t>
      </w:r>
      <w:r>
        <w:rPr>
          <w:rFonts w:eastAsia="Times New Roman" w:cs="Times New Roman"/>
          <w:szCs w:val="24"/>
          <w:lang w:val="en-IN"/>
        </w:rPr>
        <w:t>‘</w:t>
      </w:r>
      <w:r w:rsidRPr="00DE4E59">
        <w:rPr>
          <w:rFonts w:eastAsia="Times New Roman" w:cs="Times New Roman"/>
          <w:szCs w:val="24"/>
          <w:lang w:val="en-IN"/>
        </w:rPr>
        <w:t xml:space="preserve">Barriers and facilitators to healthcare workers’ adherence with infection prevention and control (IPC) guidelines for respiratory infectious diseases: a rapid </w:t>
      </w:r>
      <w:r w:rsidRPr="00DE4E59">
        <w:rPr>
          <w:rFonts w:eastAsia="Times New Roman" w:cs="Times New Roman"/>
          <w:szCs w:val="24"/>
          <w:lang w:val="en-IN"/>
        </w:rPr>
        <w:lastRenderedPageBreak/>
        <w:t>qualitative evidence synthesis.</w:t>
      </w:r>
      <w:r>
        <w:rPr>
          <w:rFonts w:eastAsia="Times New Roman" w:cs="Times New Roman"/>
          <w:szCs w:val="24"/>
          <w:lang w:val="en-IN"/>
        </w:rPr>
        <w:t>’</w:t>
      </w:r>
      <w:r w:rsidRPr="00DE4E59">
        <w:rPr>
          <w:rFonts w:eastAsia="Times New Roman" w:cs="Times New Roman"/>
          <w:szCs w:val="24"/>
          <w:lang w:val="en-IN"/>
        </w:rPr>
        <w:t xml:space="preserve"> </w:t>
      </w:r>
      <w:r w:rsidRPr="00DE4E59">
        <w:rPr>
          <w:rFonts w:eastAsia="Times New Roman" w:cs="Times New Roman"/>
          <w:i/>
          <w:iCs/>
          <w:szCs w:val="24"/>
          <w:lang w:val="en-IN"/>
        </w:rPr>
        <w:t>Cochrane Database of Systematic Reviews</w:t>
      </w:r>
      <w:r w:rsidRPr="00DE4E59">
        <w:rPr>
          <w:rFonts w:eastAsia="Times New Roman" w:cs="Times New Roman"/>
          <w:szCs w:val="24"/>
          <w:lang w:val="en-IN"/>
        </w:rPr>
        <w:t xml:space="preserve">, [online] 4(4). </w:t>
      </w:r>
      <w:r w:rsidRPr="00F020A4">
        <w:rPr>
          <w:rFonts w:eastAsia="Times New Roman" w:cs="Times New Roman"/>
          <w:szCs w:val="24"/>
          <w:lang w:val="en-IN"/>
        </w:rPr>
        <w:t xml:space="preserve">Available at: </w:t>
      </w:r>
      <w:hyperlink r:id="rId30" w:history="1">
        <w:r w:rsidRPr="00DE4E59">
          <w:rPr>
            <w:rStyle w:val="Hyperlink"/>
            <w:rFonts w:eastAsia="Times New Roman" w:cs="Times New Roman"/>
            <w:szCs w:val="24"/>
            <w:lang w:val="en-IN"/>
          </w:rPr>
          <w:t>https://doi.org/10.1002/14651858.cd013582</w:t>
        </w:r>
      </w:hyperlink>
      <w:r>
        <w:rPr>
          <w:rFonts w:eastAsia="Times New Roman" w:cs="Times New Roman"/>
          <w:szCs w:val="24"/>
          <w:lang w:val="en-IN"/>
        </w:rPr>
        <w:t xml:space="preserve"> </w:t>
      </w:r>
    </w:p>
    <w:p w14:paraId="227FB540" w14:textId="77777777" w:rsidR="007F170B" w:rsidRPr="009F3FC2" w:rsidRDefault="007F170B" w:rsidP="007F170B">
      <w:pPr>
        <w:spacing w:before="240"/>
        <w:rPr>
          <w:rFonts w:eastAsia="Times New Roman" w:cs="Times New Roman"/>
          <w:szCs w:val="24"/>
          <w:lang w:val="en-IN"/>
        </w:rPr>
      </w:pPr>
      <w:r w:rsidRPr="009F3FC2">
        <w:rPr>
          <w:rFonts w:eastAsia="Times New Roman" w:cs="Times New Roman"/>
          <w:szCs w:val="24"/>
          <w:lang w:val="en-IN"/>
        </w:rPr>
        <w:t xml:space="preserve">Kempny, C., Tugba Aksakal, Yüce Yilmaz-Aslan and Brzoska, P. (2025). Competence development among healthcare professionals through an online diversity training - a scoping review. </w:t>
      </w:r>
      <w:r w:rsidRPr="009F3FC2">
        <w:rPr>
          <w:rFonts w:eastAsia="Times New Roman" w:cs="Times New Roman"/>
          <w:i/>
          <w:iCs/>
          <w:szCs w:val="24"/>
          <w:lang w:val="en-IN"/>
        </w:rPr>
        <w:t>BMC Medical Education</w:t>
      </w:r>
      <w:r w:rsidRPr="009F3FC2">
        <w:rPr>
          <w:rFonts w:eastAsia="Times New Roman" w:cs="Times New Roman"/>
          <w:szCs w:val="24"/>
          <w:lang w:val="en-IN"/>
        </w:rPr>
        <w:t xml:space="preserve">, 25(1). </w:t>
      </w:r>
      <w:r w:rsidRPr="00F020A4">
        <w:rPr>
          <w:rFonts w:eastAsia="Times New Roman" w:cs="Times New Roman"/>
          <w:szCs w:val="24"/>
          <w:lang w:val="en-IN"/>
        </w:rPr>
        <w:t>Available at:</w:t>
      </w:r>
      <w:r>
        <w:rPr>
          <w:rFonts w:eastAsia="Times New Roman" w:cs="Times New Roman"/>
          <w:szCs w:val="24"/>
          <w:lang w:val="en-IN"/>
        </w:rPr>
        <w:t xml:space="preserve"> </w:t>
      </w:r>
      <w:hyperlink r:id="rId31" w:history="1">
        <w:r w:rsidRPr="009F3FC2">
          <w:rPr>
            <w:rStyle w:val="Hyperlink"/>
            <w:rFonts w:eastAsia="Times New Roman" w:cs="Times New Roman"/>
            <w:szCs w:val="24"/>
            <w:lang w:val="en-IN"/>
          </w:rPr>
          <w:t>https://doi.org/10.1186/s12909-025-07745-z</w:t>
        </w:r>
      </w:hyperlink>
      <w:r>
        <w:rPr>
          <w:rFonts w:eastAsia="Times New Roman" w:cs="Times New Roman"/>
          <w:szCs w:val="24"/>
          <w:lang w:val="en-IN"/>
        </w:rPr>
        <w:t xml:space="preserve"> </w:t>
      </w:r>
    </w:p>
    <w:p w14:paraId="185927AD" w14:textId="77777777" w:rsidR="007F170B" w:rsidRPr="009C7E33" w:rsidRDefault="007F170B" w:rsidP="007F170B">
      <w:pPr>
        <w:spacing w:before="240"/>
        <w:rPr>
          <w:rFonts w:eastAsia="Times New Roman" w:cs="Times New Roman"/>
          <w:szCs w:val="24"/>
          <w:lang w:val="en-IN"/>
        </w:rPr>
      </w:pPr>
      <w:r w:rsidRPr="009C7E33">
        <w:rPr>
          <w:rFonts w:eastAsia="Times New Roman" w:cs="Times New Roman"/>
          <w:szCs w:val="24"/>
          <w:lang w:val="en-IN"/>
        </w:rPr>
        <w:t xml:space="preserve">Pelli, J. and Nordquist, H. (2023) </w:t>
      </w:r>
      <w:r>
        <w:rPr>
          <w:rFonts w:eastAsia="Times New Roman" w:cs="Times New Roman"/>
          <w:szCs w:val="24"/>
          <w:lang w:val="en-IN"/>
        </w:rPr>
        <w:t>‘</w:t>
      </w:r>
      <w:r w:rsidRPr="009C7E33">
        <w:rPr>
          <w:rFonts w:eastAsia="Times New Roman" w:cs="Times New Roman"/>
          <w:szCs w:val="24"/>
          <w:lang w:val="en-IN"/>
        </w:rPr>
        <w:t>Learning Lessons for Future Preparedness: Exploring Work Well-Being-Related Leadership Challenges among Paramedics during the Early Stage of the COVID-19 Pandemic—A Qualitative Study.</w:t>
      </w:r>
      <w:r>
        <w:rPr>
          <w:rFonts w:eastAsia="Times New Roman" w:cs="Times New Roman"/>
          <w:szCs w:val="24"/>
          <w:lang w:val="en-IN"/>
        </w:rPr>
        <w:t>’</w:t>
      </w:r>
      <w:r w:rsidRPr="009C7E33">
        <w:rPr>
          <w:rFonts w:eastAsia="Times New Roman" w:cs="Times New Roman"/>
          <w:szCs w:val="24"/>
          <w:lang w:val="en-IN"/>
        </w:rPr>
        <w:t xml:space="preserve"> </w:t>
      </w:r>
      <w:r w:rsidRPr="009C7E33">
        <w:rPr>
          <w:rFonts w:eastAsia="Times New Roman" w:cs="Times New Roman"/>
          <w:i/>
          <w:iCs/>
          <w:szCs w:val="24"/>
          <w:lang w:val="en-IN"/>
        </w:rPr>
        <w:t>Nursing reports</w:t>
      </w:r>
      <w:r w:rsidRPr="009C7E33">
        <w:rPr>
          <w:rFonts w:eastAsia="Times New Roman" w:cs="Times New Roman"/>
          <w:szCs w:val="24"/>
          <w:lang w:val="en-IN"/>
        </w:rPr>
        <w:t xml:space="preserve">, [online] 13(4), pp.1721–1730. </w:t>
      </w:r>
      <w:r w:rsidRPr="00F020A4">
        <w:rPr>
          <w:rFonts w:eastAsia="Times New Roman" w:cs="Times New Roman"/>
          <w:szCs w:val="24"/>
          <w:lang w:val="en-IN"/>
        </w:rPr>
        <w:t>Available at:</w:t>
      </w:r>
      <w:r>
        <w:rPr>
          <w:rFonts w:eastAsia="Times New Roman" w:cs="Times New Roman"/>
          <w:szCs w:val="24"/>
          <w:lang w:val="en-IN"/>
        </w:rPr>
        <w:t xml:space="preserve"> </w:t>
      </w:r>
      <w:hyperlink r:id="rId32" w:history="1">
        <w:r w:rsidRPr="009C7E33">
          <w:rPr>
            <w:rStyle w:val="Hyperlink"/>
            <w:rFonts w:eastAsia="Times New Roman" w:cs="Times New Roman"/>
            <w:szCs w:val="24"/>
            <w:lang w:val="en-IN"/>
          </w:rPr>
          <w:t>https://doi.org/10.3390/nursrep13040142</w:t>
        </w:r>
      </w:hyperlink>
      <w:r>
        <w:rPr>
          <w:rFonts w:eastAsia="Times New Roman" w:cs="Times New Roman"/>
          <w:szCs w:val="24"/>
          <w:lang w:val="en-IN"/>
        </w:rPr>
        <w:t xml:space="preserve"> </w:t>
      </w:r>
    </w:p>
    <w:p w14:paraId="2F53E001" w14:textId="77777777" w:rsidR="007F170B" w:rsidRPr="00AB58BB" w:rsidRDefault="007F170B" w:rsidP="007F170B">
      <w:pPr>
        <w:spacing w:before="240"/>
        <w:rPr>
          <w:rFonts w:eastAsia="Times New Roman" w:cs="Times New Roman"/>
          <w:szCs w:val="24"/>
          <w:lang w:val="en-IN"/>
        </w:rPr>
      </w:pPr>
      <w:r w:rsidRPr="00AB58BB">
        <w:rPr>
          <w:rFonts w:eastAsia="Times New Roman" w:cs="Times New Roman"/>
          <w:szCs w:val="24"/>
          <w:lang w:val="en-IN"/>
        </w:rPr>
        <w:t xml:space="preserve">Mazzetti, G., Mehmet Çetin, Guglielmi, D. and </w:t>
      </w:r>
      <w:proofErr w:type="spellStart"/>
      <w:r w:rsidRPr="00AB58BB">
        <w:rPr>
          <w:rFonts w:eastAsia="Times New Roman" w:cs="Times New Roman"/>
          <w:szCs w:val="24"/>
          <w:lang w:val="en-IN"/>
        </w:rPr>
        <w:t>Simbula</w:t>
      </w:r>
      <w:proofErr w:type="spellEnd"/>
      <w:r w:rsidRPr="00AB58BB">
        <w:rPr>
          <w:rFonts w:eastAsia="Times New Roman" w:cs="Times New Roman"/>
          <w:szCs w:val="24"/>
          <w:lang w:val="en-IN"/>
        </w:rPr>
        <w:t xml:space="preserve">, S. (2024) </w:t>
      </w:r>
      <w:r>
        <w:rPr>
          <w:rFonts w:eastAsia="Times New Roman" w:cs="Times New Roman"/>
          <w:szCs w:val="24"/>
          <w:lang w:val="en-IN"/>
        </w:rPr>
        <w:t>‘</w:t>
      </w:r>
      <w:r w:rsidRPr="00AB58BB">
        <w:rPr>
          <w:rFonts w:eastAsia="Times New Roman" w:cs="Times New Roman"/>
          <w:szCs w:val="24"/>
          <w:lang w:val="en-IN"/>
        </w:rPr>
        <w:t>Resilience and the Dynamics of Job Demands: A Diary Study on Interactions in Healthcare Professionals During the COVID‐19 Pandemic.</w:t>
      </w:r>
      <w:r>
        <w:rPr>
          <w:rFonts w:eastAsia="Times New Roman" w:cs="Times New Roman"/>
          <w:szCs w:val="24"/>
          <w:lang w:val="en-IN"/>
        </w:rPr>
        <w:t>’</w:t>
      </w:r>
      <w:r w:rsidRPr="00AB58BB">
        <w:rPr>
          <w:rFonts w:eastAsia="Times New Roman" w:cs="Times New Roman"/>
          <w:szCs w:val="24"/>
          <w:lang w:val="en-IN"/>
        </w:rPr>
        <w:t xml:space="preserve"> </w:t>
      </w:r>
      <w:r w:rsidRPr="00AB58BB">
        <w:rPr>
          <w:rFonts w:eastAsia="Times New Roman" w:cs="Times New Roman"/>
          <w:i/>
          <w:iCs/>
          <w:szCs w:val="24"/>
          <w:lang w:val="en-IN"/>
        </w:rPr>
        <w:t>Journal of Advanced Nursing</w:t>
      </w:r>
      <w:r w:rsidRPr="00AB58BB">
        <w:rPr>
          <w:rFonts w:eastAsia="Times New Roman" w:cs="Times New Roman"/>
          <w:szCs w:val="24"/>
          <w:lang w:val="en-IN"/>
        </w:rPr>
        <w:t xml:space="preserve">. </w:t>
      </w:r>
      <w:r w:rsidRPr="00F020A4">
        <w:rPr>
          <w:rFonts w:eastAsia="Times New Roman" w:cs="Times New Roman"/>
          <w:szCs w:val="24"/>
          <w:lang w:val="en-IN"/>
        </w:rPr>
        <w:t>Available at:</w:t>
      </w:r>
      <w:r>
        <w:rPr>
          <w:rFonts w:eastAsia="Times New Roman" w:cs="Times New Roman"/>
          <w:szCs w:val="24"/>
          <w:lang w:val="en-IN"/>
        </w:rPr>
        <w:t xml:space="preserve"> </w:t>
      </w:r>
      <w:hyperlink r:id="rId33" w:history="1">
        <w:r w:rsidRPr="00AB58BB">
          <w:rPr>
            <w:rStyle w:val="Hyperlink"/>
            <w:rFonts w:eastAsia="Times New Roman" w:cs="Times New Roman"/>
            <w:szCs w:val="24"/>
            <w:lang w:val="en-IN"/>
          </w:rPr>
          <w:t>https://doi.org/10.1111/jan.16629</w:t>
        </w:r>
      </w:hyperlink>
      <w:r>
        <w:rPr>
          <w:rFonts w:eastAsia="Times New Roman" w:cs="Times New Roman"/>
          <w:szCs w:val="24"/>
          <w:lang w:val="en-IN"/>
        </w:rPr>
        <w:t xml:space="preserve"> </w:t>
      </w:r>
    </w:p>
    <w:p w14:paraId="3FC55D21" w14:textId="77777777" w:rsidR="007F170B" w:rsidRPr="00053511" w:rsidRDefault="007F170B" w:rsidP="007F170B">
      <w:pPr>
        <w:spacing w:before="240"/>
        <w:rPr>
          <w:rFonts w:eastAsia="Times New Roman" w:cs="Times New Roman"/>
          <w:szCs w:val="24"/>
          <w:lang w:val="en-IN"/>
        </w:rPr>
      </w:pPr>
      <w:proofErr w:type="spellStart"/>
      <w:r w:rsidRPr="00053511">
        <w:rPr>
          <w:rFonts w:eastAsia="Times New Roman" w:cs="Times New Roman"/>
          <w:szCs w:val="24"/>
          <w:lang w:val="en-IN"/>
        </w:rPr>
        <w:t>Taherdoost</w:t>
      </w:r>
      <w:proofErr w:type="spellEnd"/>
      <w:r w:rsidRPr="00053511">
        <w:rPr>
          <w:rFonts w:eastAsia="Times New Roman" w:cs="Times New Roman"/>
          <w:szCs w:val="24"/>
          <w:lang w:val="en-IN"/>
        </w:rPr>
        <w:t xml:space="preserve">, H. (2021) </w:t>
      </w:r>
      <w:r>
        <w:rPr>
          <w:rFonts w:eastAsia="Times New Roman" w:cs="Times New Roman"/>
          <w:szCs w:val="24"/>
          <w:lang w:val="en-IN"/>
        </w:rPr>
        <w:t>‘</w:t>
      </w:r>
      <w:r w:rsidRPr="00053511">
        <w:rPr>
          <w:rFonts w:eastAsia="Times New Roman" w:cs="Times New Roman"/>
          <w:szCs w:val="24"/>
          <w:lang w:val="en-IN"/>
        </w:rPr>
        <w:t>A review of technology acceptance and adoption models and theories.</w:t>
      </w:r>
      <w:r>
        <w:rPr>
          <w:rFonts w:eastAsia="Times New Roman" w:cs="Times New Roman"/>
          <w:szCs w:val="24"/>
          <w:lang w:val="en-IN"/>
        </w:rPr>
        <w:t>’</w:t>
      </w:r>
      <w:r w:rsidRPr="00053511">
        <w:rPr>
          <w:rFonts w:eastAsia="Times New Roman" w:cs="Times New Roman"/>
          <w:szCs w:val="24"/>
          <w:lang w:val="en-IN"/>
        </w:rPr>
        <w:t xml:space="preserve"> </w:t>
      </w:r>
      <w:r w:rsidRPr="00053511">
        <w:rPr>
          <w:rFonts w:eastAsia="Times New Roman" w:cs="Times New Roman"/>
          <w:i/>
          <w:iCs/>
          <w:szCs w:val="24"/>
          <w:lang w:val="en-IN"/>
        </w:rPr>
        <w:t>Procedia Manufacturing</w:t>
      </w:r>
      <w:r w:rsidRPr="00053511">
        <w:rPr>
          <w:rFonts w:eastAsia="Times New Roman" w:cs="Times New Roman"/>
          <w:szCs w:val="24"/>
          <w:lang w:val="en-IN"/>
        </w:rPr>
        <w:t xml:space="preserve">, 22, pp.960–967. </w:t>
      </w:r>
      <w:r w:rsidRPr="00F020A4">
        <w:rPr>
          <w:rFonts w:eastAsia="Times New Roman" w:cs="Times New Roman"/>
          <w:szCs w:val="24"/>
          <w:lang w:val="en-IN"/>
        </w:rPr>
        <w:t>Available at:</w:t>
      </w:r>
      <w:r>
        <w:rPr>
          <w:rFonts w:eastAsia="Times New Roman" w:cs="Times New Roman"/>
          <w:szCs w:val="24"/>
          <w:lang w:val="en-IN"/>
        </w:rPr>
        <w:t xml:space="preserve"> </w:t>
      </w:r>
      <w:hyperlink r:id="rId34" w:history="1">
        <w:r w:rsidRPr="00053511">
          <w:rPr>
            <w:rStyle w:val="Hyperlink"/>
            <w:rFonts w:eastAsia="Times New Roman" w:cs="Times New Roman"/>
            <w:szCs w:val="24"/>
            <w:lang w:val="en-IN"/>
          </w:rPr>
          <w:t>https://doi.org/10.1016/j.promfg.2018.03.137</w:t>
        </w:r>
      </w:hyperlink>
      <w:r>
        <w:rPr>
          <w:rFonts w:eastAsia="Times New Roman" w:cs="Times New Roman"/>
          <w:szCs w:val="24"/>
          <w:lang w:val="en-IN"/>
        </w:rPr>
        <w:t xml:space="preserve"> </w:t>
      </w:r>
    </w:p>
    <w:p w14:paraId="1192A1DE" w14:textId="0B0F467F" w:rsidR="007F170B" w:rsidRDefault="007F170B" w:rsidP="007F170B">
      <w:pPr>
        <w:spacing w:before="240"/>
        <w:rPr>
          <w:rFonts w:eastAsia="Times New Roman" w:cs="Times New Roman"/>
          <w:szCs w:val="24"/>
          <w:lang w:val="en-IN"/>
        </w:rPr>
      </w:pPr>
      <w:r>
        <w:rPr>
          <w:rFonts w:eastAsia="Times New Roman" w:cs="Times New Roman"/>
          <w:szCs w:val="24"/>
        </w:rPr>
        <w:t>P</w:t>
      </w:r>
      <w:r w:rsidRPr="00985094">
        <w:rPr>
          <w:rFonts w:eastAsia="Times New Roman" w:cs="Times New Roman"/>
          <w:szCs w:val="24"/>
        </w:rPr>
        <w:t>arliament.uk</w:t>
      </w:r>
      <w:r>
        <w:rPr>
          <w:rFonts w:eastAsia="Times New Roman" w:cs="Times New Roman"/>
          <w:szCs w:val="24"/>
        </w:rPr>
        <w:t xml:space="preserve">, (2021) </w:t>
      </w:r>
      <w:r w:rsidRPr="00985094">
        <w:rPr>
          <w:rFonts w:eastAsia="Times New Roman" w:cs="Times New Roman"/>
          <w:i/>
          <w:iCs/>
          <w:szCs w:val="24"/>
        </w:rPr>
        <w:t>Department of Health and Social Care (DHSC) – Written evidence (AES0014) Lord’s Public Services Committee – Inquiry into Emergency Healthcare Services.</w:t>
      </w:r>
      <w:r>
        <w:rPr>
          <w:rFonts w:eastAsia="Times New Roman" w:cs="Times New Roman"/>
          <w:szCs w:val="24"/>
        </w:rPr>
        <w:t xml:space="preserve"> </w:t>
      </w:r>
      <w:r w:rsidRPr="00F020A4">
        <w:rPr>
          <w:rFonts w:eastAsia="Times New Roman" w:cs="Times New Roman"/>
          <w:szCs w:val="24"/>
          <w:lang w:val="en-IN"/>
        </w:rPr>
        <w:t>Available at:</w:t>
      </w:r>
      <w:r>
        <w:rPr>
          <w:rFonts w:eastAsia="Times New Roman" w:cs="Times New Roman"/>
          <w:szCs w:val="24"/>
          <w:lang w:val="en-IN"/>
        </w:rPr>
        <w:t xml:space="preserve"> </w:t>
      </w:r>
      <w:hyperlink r:id="rId35" w:history="1">
        <w:r w:rsidRPr="00D04434">
          <w:rPr>
            <w:rStyle w:val="Hyperlink"/>
            <w:rFonts w:eastAsia="Times New Roman" w:cs="Times New Roman"/>
            <w:szCs w:val="24"/>
            <w:lang w:val="en-IN"/>
          </w:rPr>
          <w:t>https://committees.parliament.uk/writtenevidence/113067/pdf/</w:t>
        </w:r>
      </w:hyperlink>
      <w:r>
        <w:rPr>
          <w:rFonts w:eastAsia="Times New Roman" w:cs="Times New Roman"/>
          <w:szCs w:val="24"/>
          <w:lang w:val="en-IN"/>
        </w:rPr>
        <w:t xml:space="preserve"> [Accessed 1</w:t>
      </w:r>
      <w:r w:rsidR="002362B7">
        <w:rPr>
          <w:rFonts w:eastAsia="Times New Roman" w:cs="Times New Roman"/>
          <w:szCs w:val="24"/>
          <w:lang w:val="en-IN"/>
        </w:rPr>
        <w:t>4</w:t>
      </w:r>
      <w:r>
        <w:rPr>
          <w:rFonts w:eastAsia="Times New Roman" w:cs="Times New Roman"/>
          <w:szCs w:val="24"/>
          <w:lang w:val="en-IN"/>
        </w:rPr>
        <w:t xml:space="preserve"> </w:t>
      </w:r>
      <w:r w:rsidR="002362B7">
        <w:rPr>
          <w:rFonts w:eastAsia="Times New Roman" w:cs="Times New Roman"/>
          <w:szCs w:val="24"/>
          <w:lang w:val="en-IN"/>
        </w:rPr>
        <w:t>May</w:t>
      </w:r>
      <w:r>
        <w:rPr>
          <w:rFonts w:eastAsia="Times New Roman" w:cs="Times New Roman"/>
          <w:szCs w:val="24"/>
          <w:lang w:val="en-IN"/>
        </w:rPr>
        <w:t xml:space="preserve"> 2026]</w:t>
      </w:r>
    </w:p>
    <w:p w14:paraId="4158842F" w14:textId="77777777" w:rsidR="007F170B" w:rsidRPr="00230D9E" w:rsidRDefault="007F170B" w:rsidP="007F170B">
      <w:pPr>
        <w:spacing w:before="240"/>
        <w:rPr>
          <w:rFonts w:eastAsia="Times New Roman" w:cs="Times New Roman"/>
          <w:szCs w:val="24"/>
          <w:lang w:val="en-IN"/>
        </w:rPr>
      </w:pPr>
      <w:r w:rsidRPr="00230D9E">
        <w:rPr>
          <w:rFonts w:eastAsia="Times New Roman" w:cs="Times New Roman"/>
          <w:szCs w:val="24"/>
          <w:lang w:val="en-IN"/>
        </w:rPr>
        <w:t xml:space="preserve">Walshe, K., Smith, J., Lamont, T. and Leary, A. (2024) </w:t>
      </w:r>
      <w:r>
        <w:rPr>
          <w:rFonts w:eastAsia="Times New Roman" w:cs="Times New Roman"/>
          <w:szCs w:val="24"/>
          <w:lang w:val="en-IN"/>
        </w:rPr>
        <w:t>‘</w:t>
      </w:r>
      <w:r w:rsidRPr="00230D9E">
        <w:rPr>
          <w:rFonts w:eastAsia="Times New Roman" w:cs="Times New Roman"/>
          <w:szCs w:val="24"/>
          <w:lang w:val="en-IN"/>
        </w:rPr>
        <w:t>Workforce research priorities for resilience to future health shocks—and the workforce crisis.</w:t>
      </w:r>
      <w:r>
        <w:rPr>
          <w:rFonts w:eastAsia="Times New Roman" w:cs="Times New Roman"/>
          <w:szCs w:val="24"/>
          <w:lang w:val="en-IN"/>
        </w:rPr>
        <w:t>’</w:t>
      </w:r>
      <w:r w:rsidRPr="00230D9E">
        <w:rPr>
          <w:rFonts w:eastAsia="Times New Roman" w:cs="Times New Roman"/>
          <w:szCs w:val="24"/>
          <w:lang w:val="en-IN"/>
        </w:rPr>
        <w:t xml:space="preserve"> </w:t>
      </w:r>
      <w:r w:rsidRPr="00230D9E">
        <w:rPr>
          <w:rFonts w:eastAsia="Times New Roman" w:cs="Times New Roman"/>
          <w:i/>
          <w:iCs/>
          <w:szCs w:val="24"/>
          <w:lang w:val="en-IN"/>
        </w:rPr>
        <w:t>BMJ</w:t>
      </w:r>
      <w:r w:rsidRPr="00230D9E">
        <w:rPr>
          <w:rFonts w:eastAsia="Times New Roman" w:cs="Times New Roman"/>
          <w:szCs w:val="24"/>
          <w:lang w:val="en-IN"/>
        </w:rPr>
        <w:t xml:space="preserve">, </w:t>
      </w:r>
      <w:proofErr w:type="gramStart"/>
      <w:r w:rsidRPr="00230D9E">
        <w:rPr>
          <w:rFonts w:eastAsia="Times New Roman" w:cs="Times New Roman"/>
          <w:szCs w:val="24"/>
          <w:lang w:val="en-IN"/>
        </w:rPr>
        <w:t>pp.e</w:t>
      </w:r>
      <w:proofErr w:type="gramEnd"/>
      <w:r w:rsidRPr="00230D9E">
        <w:rPr>
          <w:rFonts w:eastAsia="Times New Roman" w:cs="Times New Roman"/>
          <w:szCs w:val="24"/>
          <w:lang w:val="en-IN"/>
        </w:rPr>
        <w:t xml:space="preserve">078997–e078997. </w:t>
      </w:r>
      <w:r w:rsidRPr="00F020A4">
        <w:rPr>
          <w:rFonts w:eastAsia="Times New Roman" w:cs="Times New Roman"/>
          <w:szCs w:val="24"/>
          <w:lang w:val="en-IN"/>
        </w:rPr>
        <w:t>Available at:</w:t>
      </w:r>
      <w:r>
        <w:rPr>
          <w:rFonts w:eastAsia="Times New Roman" w:cs="Times New Roman"/>
          <w:szCs w:val="24"/>
          <w:lang w:val="en-IN"/>
        </w:rPr>
        <w:t xml:space="preserve"> </w:t>
      </w:r>
      <w:hyperlink r:id="rId36" w:history="1">
        <w:r w:rsidRPr="00230D9E">
          <w:rPr>
            <w:rStyle w:val="Hyperlink"/>
            <w:rFonts w:eastAsia="Times New Roman" w:cs="Times New Roman"/>
            <w:szCs w:val="24"/>
            <w:lang w:val="en-IN"/>
          </w:rPr>
          <w:t>https://doi.org/10.1136/bmj-2023-078997</w:t>
        </w:r>
      </w:hyperlink>
      <w:r>
        <w:rPr>
          <w:rFonts w:eastAsia="Times New Roman" w:cs="Times New Roman"/>
          <w:szCs w:val="24"/>
          <w:lang w:val="en-IN"/>
        </w:rPr>
        <w:t xml:space="preserve"> </w:t>
      </w:r>
    </w:p>
    <w:p w14:paraId="7BD3E44D" w14:textId="77777777" w:rsidR="007F170B" w:rsidRPr="0071078F" w:rsidRDefault="007F170B" w:rsidP="007F170B">
      <w:pPr>
        <w:spacing w:before="240"/>
        <w:rPr>
          <w:rFonts w:eastAsia="Times New Roman" w:cs="Times New Roman"/>
          <w:szCs w:val="24"/>
          <w:lang w:val="en-IN"/>
        </w:rPr>
      </w:pPr>
      <w:r w:rsidRPr="0071078F">
        <w:rPr>
          <w:rFonts w:eastAsia="Times New Roman" w:cs="Times New Roman"/>
          <w:szCs w:val="24"/>
          <w:lang w:val="en-IN"/>
        </w:rPr>
        <w:t xml:space="preserve">Bosque-Mercader, L., Conroy, S., </w:t>
      </w:r>
      <w:proofErr w:type="spellStart"/>
      <w:r w:rsidRPr="0071078F">
        <w:rPr>
          <w:rFonts w:eastAsia="Times New Roman" w:cs="Times New Roman"/>
          <w:szCs w:val="24"/>
          <w:lang w:val="en-IN"/>
        </w:rPr>
        <w:t>Lasserson</w:t>
      </w:r>
      <w:proofErr w:type="spellEnd"/>
      <w:r w:rsidRPr="0071078F">
        <w:rPr>
          <w:rFonts w:eastAsia="Times New Roman" w:cs="Times New Roman"/>
          <w:szCs w:val="24"/>
          <w:lang w:val="en-IN"/>
        </w:rPr>
        <w:t xml:space="preserve">, D., Mannion, R., Nicodemo, C. and Wittenberg, R. (2025) </w:t>
      </w:r>
      <w:r>
        <w:rPr>
          <w:rFonts w:eastAsia="Times New Roman" w:cs="Times New Roman"/>
          <w:szCs w:val="24"/>
          <w:lang w:val="en-IN"/>
        </w:rPr>
        <w:t>‘</w:t>
      </w:r>
      <w:r w:rsidRPr="0071078F">
        <w:rPr>
          <w:rFonts w:eastAsia="Times New Roman" w:cs="Times New Roman"/>
          <w:szCs w:val="24"/>
          <w:lang w:val="en-IN"/>
        </w:rPr>
        <w:t>Resilience of the acute sector in recovery from COVID-19 pressures.</w:t>
      </w:r>
      <w:r>
        <w:rPr>
          <w:rFonts w:eastAsia="Times New Roman" w:cs="Times New Roman"/>
          <w:szCs w:val="24"/>
          <w:lang w:val="en-IN"/>
        </w:rPr>
        <w:t>’</w:t>
      </w:r>
      <w:r w:rsidRPr="0071078F">
        <w:rPr>
          <w:rFonts w:eastAsia="Times New Roman" w:cs="Times New Roman"/>
          <w:szCs w:val="24"/>
          <w:lang w:val="en-IN"/>
        </w:rPr>
        <w:t xml:space="preserve"> </w:t>
      </w:r>
      <w:r w:rsidRPr="0071078F">
        <w:rPr>
          <w:rFonts w:eastAsia="Times New Roman" w:cs="Times New Roman"/>
          <w:i/>
          <w:iCs/>
          <w:szCs w:val="24"/>
          <w:lang w:val="en-IN"/>
        </w:rPr>
        <w:t>Social Science &amp; Medicine</w:t>
      </w:r>
      <w:r w:rsidRPr="0071078F">
        <w:rPr>
          <w:rFonts w:eastAsia="Times New Roman" w:cs="Times New Roman"/>
          <w:szCs w:val="24"/>
          <w:lang w:val="en-IN"/>
        </w:rPr>
        <w:t>, [online] 375, p</w:t>
      </w:r>
      <w:r>
        <w:rPr>
          <w:rFonts w:eastAsia="Times New Roman" w:cs="Times New Roman"/>
          <w:szCs w:val="24"/>
          <w:lang w:val="en-IN"/>
        </w:rPr>
        <w:t>p</w:t>
      </w:r>
      <w:r w:rsidRPr="0071078F">
        <w:rPr>
          <w:rFonts w:eastAsia="Times New Roman" w:cs="Times New Roman"/>
          <w:szCs w:val="24"/>
          <w:lang w:val="en-IN"/>
        </w:rPr>
        <w:t>.118062</w:t>
      </w:r>
      <w:r>
        <w:rPr>
          <w:rFonts w:eastAsia="Times New Roman" w:cs="Times New Roman"/>
          <w:szCs w:val="24"/>
          <w:lang w:val="en-IN"/>
        </w:rPr>
        <w:t>-</w:t>
      </w:r>
      <w:r w:rsidRPr="0071078F">
        <w:rPr>
          <w:rFonts w:eastAsia="Times New Roman" w:cs="Times New Roman"/>
          <w:szCs w:val="24"/>
          <w:lang w:val="en-IN"/>
        </w:rPr>
        <w:t>11806</w:t>
      </w:r>
      <w:r>
        <w:rPr>
          <w:rFonts w:eastAsia="Times New Roman" w:cs="Times New Roman"/>
          <w:szCs w:val="24"/>
          <w:lang w:val="en-IN"/>
        </w:rPr>
        <w:t>7</w:t>
      </w:r>
      <w:r w:rsidRPr="0071078F">
        <w:rPr>
          <w:rFonts w:eastAsia="Times New Roman" w:cs="Times New Roman"/>
          <w:szCs w:val="24"/>
          <w:lang w:val="en-IN"/>
        </w:rPr>
        <w:t xml:space="preserve">. </w:t>
      </w:r>
      <w:r w:rsidRPr="00F020A4">
        <w:rPr>
          <w:rFonts w:eastAsia="Times New Roman" w:cs="Times New Roman"/>
          <w:szCs w:val="24"/>
          <w:lang w:val="en-IN"/>
        </w:rPr>
        <w:t>Available at:</w:t>
      </w:r>
      <w:r>
        <w:rPr>
          <w:rFonts w:eastAsia="Times New Roman" w:cs="Times New Roman"/>
          <w:szCs w:val="24"/>
          <w:lang w:val="en-IN"/>
        </w:rPr>
        <w:t xml:space="preserve"> </w:t>
      </w:r>
      <w:hyperlink r:id="rId37" w:history="1">
        <w:r w:rsidRPr="0071078F">
          <w:rPr>
            <w:rStyle w:val="Hyperlink"/>
            <w:rFonts w:eastAsia="Times New Roman" w:cs="Times New Roman"/>
            <w:szCs w:val="24"/>
            <w:lang w:val="en-IN"/>
          </w:rPr>
          <w:t>https://doi.org/10.1016/j.socscimed.2025.118062</w:t>
        </w:r>
      </w:hyperlink>
      <w:r>
        <w:rPr>
          <w:rFonts w:eastAsia="Times New Roman" w:cs="Times New Roman"/>
          <w:szCs w:val="24"/>
          <w:lang w:val="en-IN"/>
        </w:rPr>
        <w:t xml:space="preserve"> </w:t>
      </w:r>
    </w:p>
    <w:p w14:paraId="0AEA4707" w14:textId="77777777" w:rsidR="007F170B" w:rsidRDefault="007F170B" w:rsidP="007F170B">
      <w:pPr>
        <w:spacing w:before="240"/>
        <w:rPr>
          <w:rFonts w:eastAsia="Times New Roman" w:cs="Times New Roman"/>
          <w:szCs w:val="24"/>
          <w:lang w:val="en-IN"/>
        </w:rPr>
      </w:pPr>
      <w:r w:rsidRPr="00EE5787">
        <w:rPr>
          <w:rFonts w:eastAsia="Times New Roman" w:cs="Times New Roman"/>
          <w:szCs w:val="24"/>
          <w:lang w:val="en-IN"/>
        </w:rPr>
        <w:lastRenderedPageBreak/>
        <w:t xml:space="preserve">Riemma, F., Buonocore, F. and de Gennaro, D. (2025) </w:t>
      </w:r>
      <w:r>
        <w:rPr>
          <w:rFonts w:eastAsia="Times New Roman" w:cs="Times New Roman"/>
          <w:szCs w:val="24"/>
          <w:lang w:val="en-IN"/>
        </w:rPr>
        <w:t>‘</w:t>
      </w:r>
      <w:r w:rsidRPr="00EE5787">
        <w:rPr>
          <w:rFonts w:eastAsia="Times New Roman" w:cs="Times New Roman"/>
          <w:szCs w:val="24"/>
          <w:lang w:val="en-IN"/>
        </w:rPr>
        <w:t>Staying afloat in the storm: coping with work-related stress in healthcare professions.</w:t>
      </w:r>
      <w:r>
        <w:rPr>
          <w:rFonts w:eastAsia="Times New Roman" w:cs="Times New Roman"/>
          <w:szCs w:val="24"/>
          <w:lang w:val="en-IN"/>
        </w:rPr>
        <w:t>’</w:t>
      </w:r>
      <w:r w:rsidRPr="00EE5787">
        <w:rPr>
          <w:rFonts w:eastAsia="Times New Roman" w:cs="Times New Roman"/>
          <w:szCs w:val="24"/>
          <w:lang w:val="en-IN"/>
        </w:rPr>
        <w:t xml:space="preserve"> </w:t>
      </w:r>
      <w:r w:rsidRPr="00EE5787">
        <w:rPr>
          <w:rFonts w:eastAsia="Times New Roman" w:cs="Times New Roman"/>
          <w:i/>
          <w:iCs/>
          <w:szCs w:val="24"/>
          <w:lang w:val="en-IN"/>
        </w:rPr>
        <w:t>Personnel Review</w:t>
      </w:r>
      <w:r w:rsidRPr="00EE5787">
        <w:rPr>
          <w:rFonts w:eastAsia="Times New Roman" w:cs="Times New Roman"/>
          <w:szCs w:val="24"/>
          <w:lang w:val="en-IN"/>
        </w:rPr>
        <w:t xml:space="preserve">, [online] 54(9), pp.2273–2285. </w:t>
      </w:r>
      <w:r w:rsidRPr="00F020A4">
        <w:rPr>
          <w:rFonts w:eastAsia="Times New Roman" w:cs="Times New Roman"/>
          <w:szCs w:val="24"/>
          <w:lang w:val="en-IN"/>
        </w:rPr>
        <w:t>Available at:</w:t>
      </w:r>
      <w:r>
        <w:rPr>
          <w:rFonts w:eastAsia="Times New Roman" w:cs="Times New Roman"/>
          <w:szCs w:val="24"/>
          <w:lang w:val="en-IN"/>
        </w:rPr>
        <w:t xml:space="preserve"> </w:t>
      </w:r>
      <w:hyperlink r:id="rId38" w:history="1">
        <w:r w:rsidRPr="00EE5787">
          <w:rPr>
            <w:rStyle w:val="Hyperlink"/>
            <w:rFonts w:eastAsia="Times New Roman" w:cs="Times New Roman"/>
            <w:szCs w:val="24"/>
            <w:lang w:val="en-IN"/>
          </w:rPr>
          <w:t>https://doi.org/10.1108/pr-04-2025-0387</w:t>
        </w:r>
      </w:hyperlink>
      <w:r>
        <w:rPr>
          <w:rFonts w:eastAsia="Times New Roman" w:cs="Times New Roman"/>
          <w:szCs w:val="24"/>
          <w:lang w:val="en-IN"/>
        </w:rPr>
        <w:t xml:space="preserve"> </w:t>
      </w:r>
    </w:p>
    <w:p w14:paraId="58B37E21" w14:textId="77777777" w:rsidR="007F170B" w:rsidRDefault="007F170B" w:rsidP="007F170B">
      <w:pPr>
        <w:spacing w:before="240"/>
        <w:rPr>
          <w:rFonts w:eastAsia="Times New Roman" w:cs="Times New Roman"/>
          <w:szCs w:val="24"/>
          <w:lang w:val="en-IN"/>
        </w:rPr>
      </w:pPr>
      <w:proofErr w:type="spellStart"/>
      <w:r w:rsidRPr="005212FF">
        <w:rPr>
          <w:rFonts w:eastAsia="Times New Roman" w:cs="Times New Roman"/>
          <w:szCs w:val="24"/>
          <w:lang w:val="en-IN"/>
        </w:rPr>
        <w:t>Sheikhrabori</w:t>
      </w:r>
      <w:proofErr w:type="spellEnd"/>
      <w:r w:rsidRPr="005212FF">
        <w:rPr>
          <w:rFonts w:eastAsia="Times New Roman" w:cs="Times New Roman"/>
          <w:szCs w:val="24"/>
          <w:lang w:val="en-IN"/>
        </w:rPr>
        <w:t xml:space="preserve">, A., </w:t>
      </w:r>
      <w:proofErr w:type="spellStart"/>
      <w:r w:rsidRPr="005212FF">
        <w:rPr>
          <w:rFonts w:eastAsia="Times New Roman" w:cs="Times New Roman"/>
          <w:szCs w:val="24"/>
          <w:lang w:val="en-IN"/>
        </w:rPr>
        <w:t>Peyrovi</w:t>
      </w:r>
      <w:proofErr w:type="spellEnd"/>
      <w:r w:rsidRPr="005212FF">
        <w:rPr>
          <w:rFonts w:eastAsia="Times New Roman" w:cs="Times New Roman"/>
          <w:szCs w:val="24"/>
          <w:lang w:val="en-IN"/>
        </w:rPr>
        <w:t xml:space="preserve">, H. and </w:t>
      </w:r>
      <w:proofErr w:type="spellStart"/>
      <w:r w:rsidRPr="005212FF">
        <w:rPr>
          <w:rFonts w:eastAsia="Times New Roman" w:cs="Times New Roman"/>
          <w:szCs w:val="24"/>
          <w:lang w:val="en-IN"/>
        </w:rPr>
        <w:t>Khankeh</w:t>
      </w:r>
      <w:proofErr w:type="spellEnd"/>
      <w:r w:rsidRPr="005212FF">
        <w:rPr>
          <w:rFonts w:eastAsia="Times New Roman" w:cs="Times New Roman"/>
          <w:szCs w:val="24"/>
          <w:lang w:val="en-IN"/>
        </w:rPr>
        <w:t xml:space="preserve">, H. (2022) </w:t>
      </w:r>
      <w:r>
        <w:rPr>
          <w:rFonts w:eastAsia="Times New Roman" w:cs="Times New Roman"/>
          <w:szCs w:val="24"/>
          <w:lang w:val="en-IN"/>
        </w:rPr>
        <w:t>‘</w:t>
      </w:r>
      <w:r w:rsidRPr="005212FF">
        <w:rPr>
          <w:rFonts w:eastAsia="Times New Roman" w:cs="Times New Roman"/>
          <w:szCs w:val="24"/>
          <w:lang w:val="en-IN"/>
        </w:rPr>
        <w:t>The Main Features of Resilience in Healthcare Providers: A Scoping Review.</w:t>
      </w:r>
      <w:r>
        <w:rPr>
          <w:rFonts w:eastAsia="Times New Roman" w:cs="Times New Roman"/>
          <w:szCs w:val="24"/>
          <w:lang w:val="en-IN"/>
        </w:rPr>
        <w:t>’</w:t>
      </w:r>
      <w:r w:rsidRPr="005212FF">
        <w:rPr>
          <w:rFonts w:eastAsia="Times New Roman" w:cs="Times New Roman"/>
          <w:szCs w:val="24"/>
          <w:lang w:val="en-IN"/>
        </w:rPr>
        <w:t xml:space="preserve"> </w:t>
      </w:r>
      <w:r w:rsidRPr="005212FF">
        <w:rPr>
          <w:rFonts w:eastAsia="Times New Roman" w:cs="Times New Roman"/>
          <w:i/>
          <w:iCs/>
          <w:szCs w:val="24"/>
          <w:lang w:val="en-IN"/>
        </w:rPr>
        <w:t>Medical Journal of The Islamic Republic of Iran</w:t>
      </w:r>
      <w:r w:rsidRPr="005212FF">
        <w:rPr>
          <w:rFonts w:eastAsia="Times New Roman" w:cs="Times New Roman"/>
          <w:szCs w:val="24"/>
          <w:lang w:val="en-IN"/>
        </w:rPr>
        <w:t xml:space="preserve">, [online] 36(3). </w:t>
      </w:r>
      <w:r w:rsidRPr="00F020A4">
        <w:rPr>
          <w:rFonts w:eastAsia="Times New Roman" w:cs="Times New Roman"/>
          <w:szCs w:val="24"/>
          <w:lang w:val="en-IN"/>
        </w:rPr>
        <w:t>Available at:</w:t>
      </w:r>
      <w:r>
        <w:rPr>
          <w:rFonts w:eastAsia="Times New Roman" w:cs="Times New Roman"/>
          <w:szCs w:val="24"/>
          <w:lang w:val="en-IN"/>
        </w:rPr>
        <w:t xml:space="preserve"> </w:t>
      </w:r>
      <w:hyperlink r:id="rId39" w:history="1">
        <w:r w:rsidRPr="005212FF">
          <w:rPr>
            <w:rStyle w:val="Hyperlink"/>
            <w:rFonts w:eastAsia="Times New Roman" w:cs="Times New Roman"/>
            <w:szCs w:val="24"/>
            <w:lang w:val="en-IN"/>
          </w:rPr>
          <w:t>https://doi.org/10.47176/mjiri.36.3</w:t>
        </w:r>
      </w:hyperlink>
      <w:r>
        <w:rPr>
          <w:rFonts w:eastAsia="Times New Roman" w:cs="Times New Roman"/>
          <w:szCs w:val="24"/>
          <w:lang w:val="en-IN"/>
        </w:rPr>
        <w:t xml:space="preserve"> </w:t>
      </w:r>
    </w:p>
    <w:p w14:paraId="78FAA6BB" w14:textId="77777777" w:rsidR="007F170B" w:rsidRDefault="007F170B" w:rsidP="007F170B">
      <w:pPr>
        <w:spacing w:before="240"/>
        <w:rPr>
          <w:rFonts w:eastAsia="Times New Roman" w:cs="Times New Roman"/>
          <w:szCs w:val="24"/>
          <w:lang w:val="en-IN"/>
        </w:rPr>
      </w:pPr>
      <w:r w:rsidRPr="00AF26C7">
        <w:rPr>
          <w:rFonts w:eastAsia="Times New Roman" w:cs="Times New Roman"/>
          <w:szCs w:val="24"/>
          <w:lang w:val="en-IN"/>
        </w:rPr>
        <w:t xml:space="preserve">Manzini, D., Oosthuizen, R. and Chikwanda, H. (2025) </w:t>
      </w:r>
      <w:r>
        <w:rPr>
          <w:rFonts w:eastAsia="Times New Roman" w:cs="Times New Roman"/>
          <w:szCs w:val="24"/>
          <w:lang w:val="en-IN"/>
        </w:rPr>
        <w:t>‘</w:t>
      </w:r>
      <w:r w:rsidRPr="00AF26C7">
        <w:rPr>
          <w:rFonts w:eastAsia="Times New Roman" w:cs="Times New Roman"/>
          <w:szCs w:val="24"/>
          <w:lang w:val="en-IN"/>
        </w:rPr>
        <w:t>Enhancing organisational resilience through systems thinking.</w:t>
      </w:r>
      <w:r>
        <w:rPr>
          <w:rFonts w:eastAsia="Times New Roman" w:cs="Times New Roman"/>
          <w:szCs w:val="24"/>
          <w:lang w:val="en-IN"/>
        </w:rPr>
        <w:t>’</w:t>
      </w:r>
      <w:r w:rsidRPr="00AF26C7">
        <w:rPr>
          <w:rFonts w:eastAsia="Times New Roman" w:cs="Times New Roman"/>
          <w:szCs w:val="24"/>
          <w:lang w:val="en-IN"/>
        </w:rPr>
        <w:t xml:space="preserve"> </w:t>
      </w:r>
      <w:r w:rsidRPr="00AF26C7">
        <w:rPr>
          <w:rFonts w:eastAsia="Times New Roman" w:cs="Times New Roman"/>
          <w:i/>
          <w:iCs/>
          <w:szCs w:val="24"/>
          <w:lang w:val="en-IN"/>
        </w:rPr>
        <w:t>Social Sciences &amp; Humanities Open</w:t>
      </w:r>
      <w:r w:rsidRPr="00AF26C7">
        <w:rPr>
          <w:rFonts w:eastAsia="Times New Roman" w:cs="Times New Roman"/>
          <w:szCs w:val="24"/>
          <w:lang w:val="en-IN"/>
        </w:rPr>
        <w:t xml:space="preserve">, [online] 12, p.101783. </w:t>
      </w:r>
      <w:r w:rsidRPr="00F020A4">
        <w:rPr>
          <w:rFonts w:eastAsia="Times New Roman" w:cs="Times New Roman"/>
          <w:szCs w:val="24"/>
          <w:lang w:val="en-IN"/>
        </w:rPr>
        <w:t>Available at:</w:t>
      </w:r>
      <w:r>
        <w:rPr>
          <w:rFonts w:eastAsia="Times New Roman" w:cs="Times New Roman"/>
          <w:szCs w:val="24"/>
          <w:lang w:val="en-IN"/>
        </w:rPr>
        <w:t xml:space="preserve"> </w:t>
      </w:r>
      <w:hyperlink r:id="rId40" w:history="1">
        <w:r w:rsidRPr="00AF26C7">
          <w:rPr>
            <w:rStyle w:val="Hyperlink"/>
            <w:rFonts w:eastAsia="Times New Roman" w:cs="Times New Roman"/>
            <w:szCs w:val="24"/>
            <w:lang w:val="en-IN"/>
          </w:rPr>
          <w:t>https://doi.org/10.1016/j.ssaho.2025.101783</w:t>
        </w:r>
      </w:hyperlink>
      <w:r>
        <w:rPr>
          <w:rFonts w:eastAsia="Times New Roman" w:cs="Times New Roman"/>
          <w:szCs w:val="24"/>
          <w:lang w:val="en-IN"/>
        </w:rPr>
        <w:t xml:space="preserve"> </w:t>
      </w:r>
    </w:p>
    <w:p w14:paraId="42DB3F9B" w14:textId="77777777" w:rsidR="007F170B" w:rsidRDefault="007F170B" w:rsidP="007F170B">
      <w:pPr>
        <w:spacing w:before="240"/>
        <w:rPr>
          <w:rFonts w:eastAsia="Times New Roman" w:cs="Times New Roman"/>
          <w:szCs w:val="24"/>
          <w:lang w:val="en-IN"/>
        </w:rPr>
      </w:pPr>
      <w:r w:rsidRPr="005813AE">
        <w:rPr>
          <w:rFonts w:eastAsia="Times New Roman" w:cs="Times New Roman"/>
          <w:szCs w:val="24"/>
          <w:lang w:val="en-IN"/>
        </w:rPr>
        <w:t xml:space="preserve">Coppens, E., Hogg, B., Greiner, B.A., Paterson, C., Lars de Winter, Mathieu, S., Cresswell-Smith, J., </w:t>
      </w:r>
      <w:proofErr w:type="spellStart"/>
      <w:r w:rsidRPr="005813AE">
        <w:rPr>
          <w:rFonts w:eastAsia="Times New Roman" w:cs="Times New Roman"/>
          <w:szCs w:val="24"/>
          <w:lang w:val="en-IN"/>
        </w:rPr>
        <w:t>Aust</w:t>
      </w:r>
      <w:proofErr w:type="spellEnd"/>
      <w:r w:rsidRPr="005813AE">
        <w:rPr>
          <w:rFonts w:eastAsia="Times New Roman" w:cs="Times New Roman"/>
          <w:szCs w:val="24"/>
          <w:lang w:val="en-IN"/>
        </w:rPr>
        <w:t xml:space="preserve">, B., Leduc, C., Chantal Van </w:t>
      </w:r>
      <w:proofErr w:type="spellStart"/>
      <w:r w:rsidRPr="005813AE">
        <w:rPr>
          <w:rFonts w:eastAsia="Times New Roman" w:cs="Times New Roman"/>
          <w:szCs w:val="24"/>
          <w:lang w:val="en-IN"/>
        </w:rPr>
        <w:t>Audenhove</w:t>
      </w:r>
      <w:proofErr w:type="spellEnd"/>
      <w:r w:rsidRPr="005813AE">
        <w:rPr>
          <w:rFonts w:eastAsia="Times New Roman" w:cs="Times New Roman"/>
          <w:szCs w:val="24"/>
          <w:lang w:val="en-IN"/>
        </w:rPr>
        <w:t xml:space="preserve">, Arlinda </w:t>
      </w:r>
      <w:proofErr w:type="spellStart"/>
      <w:r w:rsidRPr="005813AE">
        <w:rPr>
          <w:rFonts w:eastAsia="Times New Roman" w:cs="Times New Roman"/>
          <w:szCs w:val="24"/>
          <w:lang w:val="en-IN"/>
        </w:rPr>
        <w:t>Cerga</w:t>
      </w:r>
      <w:proofErr w:type="spellEnd"/>
      <w:r w:rsidRPr="005813AE">
        <w:rPr>
          <w:rFonts w:eastAsia="Times New Roman" w:cs="Times New Roman"/>
          <w:szCs w:val="24"/>
          <w:lang w:val="en-IN"/>
        </w:rPr>
        <w:t xml:space="preserve"> Pashoja, Kim, D., Reich, H., Naim Fanaj, Dushaj, A., Thomson, K., Cliodhna O’Connor, Moreno-Alcázar, A., Amann, B.L. and Arensman, E. (2023) </w:t>
      </w:r>
      <w:r>
        <w:rPr>
          <w:rFonts w:eastAsia="Times New Roman" w:cs="Times New Roman"/>
          <w:szCs w:val="24"/>
          <w:lang w:val="en-IN"/>
        </w:rPr>
        <w:t>‘</w:t>
      </w:r>
      <w:r w:rsidRPr="005813AE">
        <w:rPr>
          <w:rFonts w:eastAsia="Times New Roman" w:cs="Times New Roman"/>
          <w:szCs w:val="24"/>
          <w:lang w:val="en-IN"/>
        </w:rPr>
        <w:t>Promoting employee wellbeing and preventing non-clinical mental health problems in the workplace: a preparatory consultation survey.</w:t>
      </w:r>
      <w:r>
        <w:rPr>
          <w:rFonts w:eastAsia="Times New Roman" w:cs="Times New Roman"/>
          <w:szCs w:val="24"/>
          <w:lang w:val="en-IN"/>
        </w:rPr>
        <w:t>’</w:t>
      </w:r>
      <w:r w:rsidRPr="005813AE">
        <w:rPr>
          <w:rFonts w:eastAsia="Times New Roman" w:cs="Times New Roman"/>
          <w:szCs w:val="24"/>
          <w:lang w:val="en-IN"/>
        </w:rPr>
        <w:t xml:space="preserve"> </w:t>
      </w:r>
      <w:r w:rsidRPr="005813AE">
        <w:rPr>
          <w:rFonts w:eastAsia="Times New Roman" w:cs="Times New Roman"/>
          <w:i/>
          <w:iCs/>
          <w:szCs w:val="24"/>
          <w:lang w:val="en-IN"/>
        </w:rPr>
        <w:t>Journal of Occupational Medicine and Toxicology</w:t>
      </w:r>
      <w:r w:rsidRPr="005813AE">
        <w:rPr>
          <w:rFonts w:eastAsia="Times New Roman" w:cs="Times New Roman"/>
          <w:szCs w:val="24"/>
          <w:lang w:val="en-IN"/>
        </w:rPr>
        <w:t xml:space="preserve">, [online] 18(1). Available at: </w:t>
      </w:r>
      <w:hyperlink r:id="rId41" w:history="1">
        <w:r w:rsidRPr="00D04434">
          <w:rPr>
            <w:rStyle w:val="Hyperlink"/>
            <w:rFonts w:eastAsia="Times New Roman" w:cs="Times New Roman"/>
            <w:szCs w:val="24"/>
            <w:lang w:val="en-IN"/>
          </w:rPr>
          <w:t>https://doi.org/10.1186/s12995-023-00378-2</w:t>
        </w:r>
      </w:hyperlink>
      <w:r>
        <w:rPr>
          <w:rFonts w:eastAsia="Times New Roman" w:cs="Times New Roman"/>
          <w:szCs w:val="24"/>
          <w:lang w:val="en-IN"/>
        </w:rPr>
        <w:t xml:space="preserve"> </w:t>
      </w:r>
    </w:p>
    <w:p w14:paraId="7023F7E5" w14:textId="77777777" w:rsidR="007F170B" w:rsidRPr="000312C6" w:rsidRDefault="007F170B" w:rsidP="007F170B">
      <w:pPr>
        <w:spacing w:before="240"/>
        <w:rPr>
          <w:rFonts w:eastAsia="Times New Roman" w:cs="Times New Roman"/>
          <w:szCs w:val="24"/>
          <w:lang w:val="en-IN"/>
        </w:rPr>
      </w:pPr>
      <w:r w:rsidRPr="000312C6">
        <w:rPr>
          <w:rFonts w:eastAsia="Times New Roman" w:cs="Times New Roman"/>
          <w:szCs w:val="24"/>
          <w:lang w:val="en-IN"/>
        </w:rPr>
        <w:t xml:space="preserve">Johnson, A., Conroy, S., Thompson, D., Hassett, G., Clayton, A. and Backhouse, E. (2022) </w:t>
      </w:r>
      <w:r>
        <w:rPr>
          <w:rFonts w:eastAsia="Times New Roman" w:cs="Times New Roman"/>
          <w:szCs w:val="24"/>
          <w:lang w:val="en-IN"/>
        </w:rPr>
        <w:t>‘</w:t>
      </w:r>
      <w:r w:rsidRPr="000312C6">
        <w:rPr>
          <w:rFonts w:eastAsia="Times New Roman" w:cs="Times New Roman"/>
          <w:szCs w:val="24"/>
          <w:lang w:val="en-IN"/>
        </w:rPr>
        <w:t>Staff Experience in the NHS: A National Study—An Experience-Based Design Approach.</w:t>
      </w:r>
      <w:r>
        <w:rPr>
          <w:rFonts w:eastAsia="Times New Roman" w:cs="Times New Roman"/>
          <w:szCs w:val="24"/>
          <w:lang w:val="en-IN"/>
        </w:rPr>
        <w:t>’</w:t>
      </w:r>
      <w:r w:rsidRPr="000312C6">
        <w:rPr>
          <w:rFonts w:eastAsia="Times New Roman" w:cs="Times New Roman"/>
          <w:szCs w:val="24"/>
          <w:lang w:val="en-IN"/>
        </w:rPr>
        <w:t xml:space="preserve"> </w:t>
      </w:r>
      <w:r w:rsidRPr="000312C6">
        <w:rPr>
          <w:rFonts w:eastAsia="Times New Roman" w:cs="Times New Roman"/>
          <w:i/>
          <w:iCs/>
          <w:szCs w:val="24"/>
          <w:lang w:val="en-IN"/>
        </w:rPr>
        <w:t>Journal of Patient Experience</w:t>
      </w:r>
      <w:r w:rsidRPr="000312C6">
        <w:rPr>
          <w:rFonts w:eastAsia="Times New Roman" w:cs="Times New Roman"/>
          <w:szCs w:val="24"/>
          <w:lang w:val="en-IN"/>
        </w:rPr>
        <w:t xml:space="preserve">, [online] 9, </w:t>
      </w:r>
      <w:r>
        <w:rPr>
          <w:rFonts w:eastAsia="Times New Roman" w:cs="Times New Roman"/>
          <w:szCs w:val="24"/>
          <w:lang w:val="en-IN"/>
        </w:rPr>
        <w:t>p</w:t>
      </w:r>
      <w:r w:rsidRPr="000312C6">
        <w:rPr>
          <w:rFonts w:eastAsia="Times New Roman" w:cs="Times New Roman"/>
          <w:szCs w:val="24"/>
          <w:lang w:val="en-IN"/>
        </w:rPr>
        <w:t>p.237437352211439</w:t>
      </w:r>
      <w:r>
        <w:rPr>
          <w:rFonts w:eastAsia="Times New Roman" w:cs="Times New Roman"/>
          <w:szCs w:val="24"/>
          <w:lang w:val="en-IN"/>
        </w:rPr>
        <w:t>-</w:t>
      </w:r>
      <w:r w:rsidRPr="000312C6">
        <w:rPr>
          <w:rFonts w:eastAsia="Times New Roman" w:cs="Times New Roman"/>
          <w:szCs w:val="24"/>
          <w:lang w:val="en-IN"/>
        </w:rPr>
        <w:t>2374373522114</w:t>
      </w:r>
      <w:r>
        <w:rPr>
          <w:rFonts w:eastAsia="Times New Roman" w:cs="Times New Roman"/>
          <w:szCs w:val="24"/>
          <w:lang w:val="en-IN"/>
        </w:rPr>
        <w:t>40</w:t>
      </w:r>
      <w:r w:rsidRPr="000312C6">
        <w:rPr>
          <w:rFonts w:eastAsia="Times New Roman" w:cs="Times New Roman"/>
          <w:szCs w:val="24"/>
          <w:lang w:val="en-IN"/>
        </w:rPr>
        <w:t xml:space="preserve">. </w:t>
      </w:r>
      <w:r w:rsidRPr="005813AE">
        <w:rPr>
          <w:rFonts w:eastAsia="Times New Roman" w:cs="Times New Roman"/>
          <w:szCs w:val="24"/>
          <w:lang w:val="en-IN"/>
        </w:rPr>
        <w:t xml:space="preserve">Available at: </w:t>
      </w:r>
      <w:hyperlink r:id="rId42" w:history="1">
        <w:r w:rsidRPr="000312C6">
          <w:rPr>
            <w:rStyle w:val="Hyperlink"/>
            <w:rFonts w:eastAsia="Times New Roman" w:cs="Times New Roman"/>
            <w:szCs w:val="24"/>
            <w:lang w:val="en-IN"/>
          </w:rPr>
          <w:t>https://doi.org/10.1177/23743735221143921</w:t>
        </w:r>
      </w:hyperlink>
      <w:r>
        <w:rPr>
          <w:rFonts w:eastAsia="Times New Roman" w:cs="Times New Roman"/>
          <w:szCs w:val="24"/>
          <w:lang w:val="en-IN"/>
        </w:rPr>
        <w:t xml:space="preserve"> </w:t>
      </w:r>
    </w:p>
    <w:p w14:paraId="2EE9FD2F" w14:textId="77777777" w:rsidR="007F170B" w:rsidRPr="00224504" w:rsidRDefault="007F170B" w:rsidP="007F170B">
      <w:pPr>
        <w:spacing w:before="240"/>
        <w:rPr>
          <w:rFonts w:eastAsia="Times New Roman" w:cs="Times New Roman"/>
          <w:szCs w:val="24"/>
          <w:lang w:val="en-IN"/>
        </w:rPr>
      </w:pPr>
      <w:r w:rsidRPr="00224504">
        <w:rPr>
          <w:rFonts w:eastAsia="Times New Roman" w:cs="Times New Roman"/>
          <w:szCs w:val="24"/>
          <w:lang w:val="en-IN"/>
        </w:rPr>
        <w:t xml:space="preserve">Drageset, J. (2021) </w:t>
      </w:r>
      <w:r>
        <w:rPr>
          <w:rFonts w:eastAsia="Times New Roman" w:cs="Times New Roman"/>
          <w:szCs w:val="24"/>
          <w:lang w:val="en-IN"/>
        </w:rPr>
        <w:t>‘</w:t>
      </w:r>
      <w:r w:rsidRPr="00224504">
        <w:rPr>
          <w:rFonts w:eastAsia="Times New Roman" w:cs="Times New Roman"/>
          <w:szCs w:val="24"/>
          <w:lang w:val="en-IN"/>
        </w:rPr>
        <w:t>Social Support.</w:t>
      </w:r>
      <w:r>
        <w:rPr>
          <w:rFonts w:eastAsia="Times New Roman" w:cs="Times New Roman"/>
          <w:szCs w:val="24"/>
          <w:lang w:val="en-IN"/>
        </w:rPr>
        <w:t>’</w:t>
      </w:r>
      <w:r w:rsidRPr="00224504">
        <w:rPr>
          <w:rFonts w:eastAsia="Times New Roman" w:cs="Times New Roman"/>
          <w:szCs w:val="24"/>
          <w:lang w:val="en-IN"/>
        </w:rPr>
        <w:t xml:space="preserve"> </w:t>
      </w:r>
      <w:r w:rsidRPr="00224504">
        <w:rPr>
          <w:rFonts w:eastAsia="Times New Roman" w:cs="Times New Roman"/>
          <w:i/>
          <w:iCs/>
          <w:szCs w:val="24"/>
          <w:lang w:val="en-IN"/>
        </w:rPr>
        <w:t>Health Promotion in Health Care – Vital Theories and Research</w:t>
      </w:r>
      <w:r w:rsidRPr="00224504">
        <w:rPr>
          <w:rFonts w:eastAsia="Times New Roman" w:cs="Times New Roman"/>
          <w:szCs w:val="24"/>
          <w:lang w:val="en-IN"/>
        </w:rPr>
        <w:t xml:space="preserve">, 1(1), pp.137–144. </w:t>
      </w:r>
      <w:r w:rsidRPr="005813AE">
        <w:rPr>
          <w:rFonts w:eastAsia="Times New Roman" w:cs="Times New Roman"/>
          <w:szCs w:val="24"/>
          <w:lang w:val="en-IN"/>
        </w:rPr>
        <w:t xml:space="preserve">Available at: </w:t>
      </w:r>
      <w:hyperlink r:id="rId43" w:history="1">
        <w:r w:rsidRPr="00224504">
          <w:rPr>
            <w:rStyle w:val="Hyperlink"/>
            <w:rFonts w:eastAsia="Times New Roman" w:cs="Times New Roman"/>
            <w:szCs w:val="24"/>
            <w:lang w:val="en-IN"/>
          </w:rPr>
          <w:t>https://doi.org/10.1007/978-3-030-63135-2_11</w:t>
        </w:r>
      </w:hyperlink>
      <w:r>
        <w:rPr>
          <w:rFonts w:eastAsia="Times New Roman" w:cs="Times New Roman"/>
          <w:szCs w:val="24"/>
          <w:lang w:val="en-IN"/>
        </w:rPr>
        <w:t xml:space="preserve"> </w:t>
      </w:r>
    </w:p>
    <w:p w14:paraId="61A2CA9D" w14:textId="252173D0" w:rsidR="007F170B" w:rsidRPr="00BF416E" w:rsidRDefault="007F170B" w:rsidP="007F170B">
      <w:pPr>
        <w:spacing w:before="240"/>
        <w:rPr>
          <w:rFonts w:eastAsia="Times New Roman" w:cs="Times New Roman"/>
          <w:szCs w:val="24"/>
          <w:lang w:val="en-IN"/>
        </w:rPr>
      </w:pPr>
      <w:r w:rsidRPr="00BF416E">
        <w:rPr>
          <w:rFonts w:eastAsia="Times New Roman" w:cs="Times New Roman"/>
          <w:szCs w:val="24"/>
          <w:lang w:val="en-IN"/>
        </w:rPr>
        <w:t xml:space="preserve">Harney, B. (2024) Systems theory. </w:t>
      </w:r>
      <w:r w:rsidRPr="00BF416E">
        <w:rPr>
          <w:rFonts w:eastAsia="Times New Roman" w:cs="Times New Roman"/>
          <w:i/>
          <w:iCs/>
          <w:szCs w:val="24"/>
          <w:lang w:val="en-IN"/>
        </w:rPr>
        <w:t>Edward Elgar Publishing eBooks</w:t>
      </w:r>
      <w:r w:rsidRPr="00BF416E">
        <w:rPr>
          <w:rFonts w:eastAsia="Times New Roman" w:cs="Times New Roman"/>
          <w:szCs w:val="24"/>
          <w:lang w:val="en-IN"/>
        </w:rPr>
        <w:t xml:space="preserve">, [online] pp.312–318. Available at: </w:t>
      </w:r>
      <w:hyperlink r:id="rId44" w:history="1">
        <w:r w:rsidRPr="00BF416E">
          <w:rPr>
            <w:rStyle w:val="Hyperlink"/>
            <w:rFonts w:eastAsia="Times New Roman" w:cs="Times New Roman"/>
            <w:szCs w:val="24"/>
            <w:lang w:val="en-IN"/>
          </w:rPr>
          <w:t>https://www.researchgate.net/publication/377150769_Systems_theory</w:t>
        </w:r>
      </w:hyperlink>
      <w:r>
        <w:rPr>
          <w:rFonts w:eastAsia="Times New Roman" w:cs="Times New Roman"/>
          <w:szCs w:val="24"/>
          <w:lang w:val="en-IN"/>
        </w:rPr>
        <w:t xml:space="preserve"> [Accessed 1</w:t>
      </w:r>
      <w:r w:rsidR="002362B7">
        <w:rPr>
          <w:rFonts w:eastAsia="Times New Roman" w:cs="Times New Roman"/>
          <w:szCs w:val="24"/>
          <w:lang w:val="en-IN"/>
        </w:rPr>
        <w:t>4 May</w:t>
      </w:r>
      <w:r>
        <w:rPr>
          <w:rFonts w:eastAsia="Times New Roman" w:cs="Times New Roman"/>
          <w:szCs w:val="24"/>
          <w:lang w:val="en-IN"/>
        </w:rPr>
        <w:t xml:space="preserve"> 2026]</w:t>
      </w:r>
    </w:p>
    <w:p w14:paraId="736CB178" w14:textId="465B7B6B" w:rsidR="005259C9" w:rsidRPr="00EF2814" w:rsidRDefault="007F170B" w:rsidP="007F170B">
      <w:pPr>
        <w:spacing w:before="240" w:after="0"/>
        <w:rPr>
          <w:lang w:val="en-GB"/>
        </w:rPr>
      </w:pPr>
      <w:r w:rsidRPr="00305B6C">
        <w:rPr>
          <w:rFonts w:eastAsia="Times New Roman" w:cs="Times New Roman"/>
          <w:szCs w:val="24"/>
          <w:lang w:val="en-IN"/>
        </w:rPr>
        <w:t xml:space="preserve">NHS England (2020) </w:t>
      </w:r>
      <w:r w:rsidRPr="00305B6C">
        <w:rPr>
          <w:rFonts w:eastAsia="Times New Roman" w:cs="Times New Roman"/>
          <w:i/>
          <w:iCs/>
          <w:szCs w:val="24"/>
          <w:lang w:val="en-IN"/>
        </w:rPr>
        <w:t>WE ARE THE NHS: People Plan 2020/21 - Action for Us All</w:t>
      </w:r>
      <w:r w:rsidRPr="00305B6C">
        <w:rPr>
          <w:rFonts w:eastAsia="Times New Roman" w:cs="Times New Roman"/>
          <w:szCs w:val="24"/>
          <w:lang w:val="en-IN"/>
        </w:rPr>
        <w:t xml:space="preserve">. [online] </w:t>
      </w:r>
      <w:r w:rsidRPr="00305B6C">
        <w:rPr>
          <w:rFonts w:eastAsia="Times New Roman" w:cs="Times New Roman"/>
          <w:i/>
          <w:iCs/>
          <w:szCs w:val="24"/>
          <w:lang w:val="en-IN"/>
        </w:rPr>
        <w:t>NHS England</w:t>
      </w:r>
      <w:r w:rsidRPr="00305B6C">
        <w:rPr>
          <w:rFonts w:eastAsia="Times New Roman" w:cs="Times New Roman"/>
          <w:szCs w:val="24"/>
          <w:lang w:val="en-IN"/>
        </w:rPr>
        <w:t xml:space="preserve">. NHS England. Available at: </w:t>
      </w:r>
      <w:hyperlink r:id="rId45" w:history="1">
        <w:r w:rsidRPr="00305B6C">
          <w:rPr>
            <w:rStyle w:val="Hyperlink"/>
            <w:rFonts w:eastAsia="Times New Roman" w:cs="Times New Roman"/>
            <w:szCs w:val="24"/>
            <w:lang w:val="en-IN"/>
          </w:rPr>
          <w:t>https://www.england.nhs.uk/wp-content/uploads/2020/07/We-Are-The-NHS-Action-For-All-Of-Us-FINAL-March-21.pdf</w:t>
        </w:r>
      </w:hyperlink>
      <w:r>
        <w:rPr>
          <w:rFonts w:eastAsia="Times New Roman" w:cs="Times New Roman"/>
          <w:szCs w:val="24"/>
          <w:lang w:val="en-IN"/>
        </w:rPr>
        <w:t xml:space="preserve"> [Accessed 1</w:t>
      </w:r>
      <w:r w:rsidR="002362B7">
        <w:rPr>
          <w:rFonts w:eastAsia="Times New Roman" w:cs="Times New Roman"/>
          <w:szCs w:val="24"/>
          <w:lang w:val="en-IN"/>
        </w:rPr>
        <w:t>4 May 2026</w:t>
      </w:r>
      <w:r>
        <w:rPr>
          <w:rFonts w:eastAsia="Times New Roman" w:cs="Times New Roman"/>
          <w:szCs w:val="24"/>
          <w:lang w:val="en-IN"/>
        </w:rPr>
        <w:t>]</w:t>
      </w:r>
    </w:p>
    <w:p w14:paraId="28D9C0BF" w14:textId="77777777" w:rsidR="005F7D75" w:rsidRPr="00EF2814" w:rsidRDefault="005F7D75" w:rsidP="00AD2E14">
      <w:pPr>
        <w:spacing w:after="0"/>
        <w:rPr>
          <w:noProof/>
          <w:lang w:val="en-GB"/>
        </w:rPr>
      </w:pPr>
    </w:p>
    <w:p w14:paraId="5407F508" w14:textId="77777777" w:rsidR="005F7D75" w:rsidRPr="00EF2814" w:rsidRDefault="005F7D75" w:rsidP="00AD2E14">
      <w:pPr>
        <w:spacing w:after="0"/>
        <w:rPr>
          <w:noProof/>
          <w:lang w:val="en-GB"/>
        </w:rPr>
      </w:pPr>
    </w:p>
    <w:p w14:paraId="693D18A8" w14:textId="77777777" w:rsidR="00B932B6" w:rsidRPr="00B932B6" w:rsidRDefault="00B932B6" w:rsidP="00B932B6">
      <w:pPr>
        <w:spacing w:after="0"/>
        <w:rPr>
          <w:b/>
          <w:noProof/>
          <w:lang w:val="en-GB"/>
        </w:rPr>
      </w:pPr>
      <w:bookmarkStart w:id="26" w:name="_Toc218267706"/>
      <w:bookmarkStart w:id="27" w:name="_Toc232409302"/>
      <w:r w:rsidRPr="00B932B6">
        <w:rPr>
          <w:b/>
          <w:noProof/>
          <w:lang w:val="en-GB"/>
        </w:rPr>
        <w:lastRenderedPageBreak/>
        <w:t>Appendices</w:t>
      </w:r>
      <w:bookmarkEnd w:id="26"/>
      <w:bookmarkEnd w:id="27"/>
      <w:r w:rsidRPr="00B932B6">
        <w:rPr>
          <w:b/>
          <w:noProof/>
          <w:lang w:val="en-GB"/>
        </w:rPr>
        <w:t xml:space="preserve"> </w:t>
      </w:r>
    </w:p>
    <w:p w14:paraId="67E7C6F6" w14:textId="77777777" w:rsidR="00B932B6" w:rsidRPr="00B932B6" w:rsidRDefault="00B932B6" w:rsidP="00B932B6">
      <w:pPr>
        <w:spacing w:after="0"/>
        <w:rPr>
          <w:b/>
          <w:noProof/>
          <w:lang w:val="en-GB"/>
        </w:rPr>
      </w:pPr>
      <w:bookmarkStart w:id="28" w:name="_dqqnrht35dyq"/>
      <w:bookmarkStart w:id="29" w:name="_Toc232409303"/>
      <w:bookmarkStart w:id="30" w:name="_Toc218267707"/>
      <w:bookmarkEnd w:id="28"/>
      <w:r w:rsidRPr="00B932B6">
        <w:rPr>
          <w:b/>
          <w:noProof/>
          <w:lang w:val="en-GB"/>
        </w:rPr>
        <w:t>Appendix 1: Search Process Table</w:t>
      </w:r>
      <w:bookmarkEnd w:id="29"/>
      <w:bookmarkEnd w:id="30"/>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8"/>
        <w:gridCol w:w="2258"/>
      </w:tblGrid>
      <w:tr w:rsidR="00B932B6" w:rsidRPr="00B932B6" w14:paraId="24C9A75A"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8B4B7" w14:textId="77777777" w:rsidR="00B932B6" w:rsidRPr="00B932B6" w:rsidRDefault="00B932B6" w:rsidP="00B932B6">
            <w:pPr>
              <w:spacing w:after="0"/>
              <w:rPr>
                <w:b/>
                <w:bCs/>
                <w:noProof/>
                <w:lang w:val="en-GB"/>
              </w:rPr>
            </w:pPr>
            <w:r w:rsidRPr="00B932B6">
              <w:rPr>
                <w:b/>
                <w:bCs/>
                <w:noProof/>
                <w:lang w:val="en-GB"/>
              </w:rPr>
              <w:t>Source Category</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9B928" w14:textId="77777777" w:rsidR="00B932B6" w:rsidRPr="00B932B6" w:rsidRDefault="00B932B6" w:rsidP="00B932B6">
            <w:pPr>
              <w:spacing w:after="0"/>
              <w:rPr>
                <w:b/>
                <w:bCs/>
                <w:noProof/>
                <w:lang w:val="en-GB"/>
              </w:rPr>
            </w:pPr>
            <w:r w:rsidRPr="00B932B6">
              <w:rPr>
                <w:b/>
                <w:bCs/>
                <w:noProof/>
                <w:lang w:val="en-GB"/>
              </w:rPr>
              <w:t>Number of Sources</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103DB" w14:textId="77777777" w:rsidR="00B932B6" w:rsidRPr="00B932B6" w:rsidRDefault="00B932B6" w:rsidP="00B932B6">
            <w:pPr>
              <w:spacing w:after="0"/>
              <w:rPr>
                <w:b/>
                <w:bCs/>
                <w:noProof/>
                <w:lang w:val="en-GB"/>
              </w:rPr>
            </w:pPr>
            <w:r w:rsidRPr="00B932B6">
              <w:rPr>
                <w:b/>
                <w:bCs/>
                <w:noProof/>
                <w:lang w:val="en-GB"/>
              </w:rPr>
              <w:t>Keywords used</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DB79C" w14:textId="77777777" w:rsidR="00B932B6" w:rsidRPr="00B932B6" w:rsidRDefault="00B932B6" w:rsidP="00B932B6">
            <w:pPr>
              <w:spacing w:after="0"/>
              <w:rPr>
                <w:b/>
                <w:bCs/>
                <w:noProof/>
                <w:lang w:val="en-GB"/>
              </w:rPr>
            </w:pPr>
            <w:r w:rsidRPr="00B932B6">
              <w:rPr>
                <w:b/>
                <w:bCs/>
                <w:noProof/>
                <w:lang w:val="en-GB"/>
              </w:rPr>
              <w:t>Key Referenced Authors</w:t>
            </w:r>
          </w:p>
        </w:tc>
      </w:tr>
      <w:tr w:rsidR="00B932B6" w:rsidRPr="00B932B6" w14:paraId="3BEFCE1D" w14:textId="77777777">
        <w:trPr>
          <w:trHeight w:val="1141"/>
        </w:trPr>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5ECB4" w14:textId="77777777" w:rsidR="00B932B6" w:rsidRPr="00B932B6" w:rsidRDefault="00B932B6" w:rsidP="00B932B6">
            <w:pPr>
              <w:spacing w:after="0"/>
              <w:rPr>
                <w:noProof/>
                <w:lang w:val="en-GB"/>
              </w:rPr>
            </w:pPr>
            <w:r w:rsidRPr="00B932B6">
              <w:rPr>
                <w:noProof/>
                <w:lang w:val="en-GB"/>
              </w:rPr>
              <w:t>Emergency medicine resilience and preparedness</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69A65" w14:textId="77777777" w:rsidR="00B932B6" w:rsidRPr="00B932B6" w:rsidRDefault="00B932B6" w:rsidP="00B932B6">
            <w:pPr>
              <w:spacing w:after="0"/>
              <w:rPr>
                <w:noProof/>
                <w:lang w:val="en-GB"/>
              </w:rPr>
            </w:pPr>
            <w:r w:rsidRPr="00B932B6">
              <w:rPr>
                <w:noProof/>
                <w:lang w:val="en-GB"/>
              </w:rPr>
              <w:t>1</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DE8D5" w14:textId="77777777" w:rsidR="00B932B6" w:rsidRPr="00B932B6" w:rsidRDefault="00B932B6" w:rsidP="00B932B6">
            <w:pPr>
              <w:spacing w:after="0"/>
              <w:rPr>
                <w:noProof/>
                <w:lang w:val="en-GB"/>
              </w:rPr>
            </w:pPr>
            <w:r w:rsidRPr="00B932B6">
              <w:rPr>
                <w:noProof/>
                <w:lang w:val="en-GB"/>
              </w:rPr>
              <w:t>Resilience, preparedness, emergency training, COVID-19</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A32E9" w14:textId="77777777" w:rsidR="00B932B6" w:rsidRPr="00B932B6" w:rsidRDefault="00B932B6" w:rsidP="00B932B6">
            <w:pPr>
              <w:spacing w:after="0"/>
              <w:rPr>
                <w:noProof/>
                <w:lang w:val="en-GB"/>
              </w:rPr>
            </w:pPr>
            <w:r w:rsidRPr="00B932B6">
              <w:rPr>
                <w:noProof/>
                <w:lang w:val="en-GB"/>
              </w:rPr>
              <w:t xml:space="preserve">Goniewicz </w:t>
            </w:r>
            <w:r w:rsidRPr="00B932B6">
              <w:rPr>
                <w:i/>
                <w:noProof/>
                <w:lang w:val="en-GB"/>
              </w:rPr>
              <w:t xml:space="preserve">et al., </w:t>
            </w:r>
            <w:r w:rsidRPr="00B932B6">
              <w:rPr>
                <w:noProof/>
                <w:lang w:val="en-GB"/>
              </w:rPr>
              <w:t>(2023)</w:t>
            </w:r>
          </w:p>
        </w:tc>
      </w:tr>
      <w:tr w:rsidR="00B932B6" w:rsidRPr="00B932B6" w14:paraId="639C501C" w14:textId="77777777">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31496" w14:textId="77777777" w:rsidR="00B932B6" w:rsidRPr="00B932B6" w:rsidRDefault="00B932B6" w:rsidP="00B932B6">
            <w:pPr>
              <w:spacing w:after="0"/>
              <w:rPr>
                <w:noProof/>
                <w:lang w:val="en-GB"/>
              </w:rPr>
            </w:pPr>
            <w:r w:rsidRPr="00B932B6">
              <w:rPr>
                <w:noProof/>
                <w:lang w:val="en-GB"/>
              </w:rPr>
              <w:t>Clinical education and laboratory training</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F9A777" w14:textId="77777777" w:rsidR="00B932B6" w:rsidRPr="00B932B6" w:rsidRDefault="00B932B6" w:rsidP="00B932B6">
            <w:pPr>
              <w:spacing w:after="0"/>
              <w:rPr>
                <w:noProof/>
                <w:lang w:val="en-GB"/>
              </w:rPr>
            </w:pPr>
            <w:r w:rsidRPr="00B932B6">
              <w:rPr>
                <w:noProof/>
                <w:lang w:val="en-GB"/>
              </w:rPr>
              <w:t>1</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A6C81" w14:textId="77777777" w:rsidR="00B932B6" w:rsidRPr="00B932B6" w:rsidRDefault="00B932B6" w:rsidP="00B932B6">
            <w:pPr>
              <w:spacing w:after="0"/>
              <w:rPr>
                <w:noProof/>
                <w:lang w:val="en-GB"/>
              </w:rPr>
            </w:pPr>
            <w:r w:rsidRPr="00B932B6">
              <w:rPr>
                <w:noProof/>
                <w:lang w:val="en-GB"/>
              </w:rPr>
              <w:t>Clinical education, training progression, workforce development</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15666" w14:textId="77777777" w:rsidR="00B932B6" w:rsidRPr="00B932B6" w:rsidRDefault="00B932B6" w:rsidP="00B932B6">
            <w:pPr>
              <w:spacing w:after="0"/>
              <w:rPr>
                <w:noProof/>
                <w:lang w:val="en-GB"/>
              </w:rPr>
            </w:pPr>
            <w:r w:rsidRPr="00B932B6">
              <w:rPr>
                <w:noProof/>
                <w:lang w:val="en-GB"/>
              </w:rPr>
              <w:t>Pearse and Scott (2023)</w:t>
            </w:r>
          </w:p>
        </w:tc>
      </w:tr>
      <w:tr w:rsidR="00B932B6" w:rsidRPr="00B932B6" w14:paraId="01BBB3DC" w14:textId="77777777">
        <w:trPr>
          <w:trHeight w:val="672"/>
        </w:trPr>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BA1FD4" w14:textId="77777777" w:rsidR="00B932B6" w:rsidRPr="00B932B6" w:rsidRDefault="00B932B6" w:rsidP="00B932B6">
            <w:pPr>
              <w:spacing w:after="0"/>
              <w:rPr>
                <w:noProof/>
                <w:lang w:val="en-GB"/>
              </w:rPr>
            </w:pPr>
            <w:r w:rsidRPr="00B932B6">
              <w:rPr>
                <w:noProof/>
                <w:lang w:val="en-GB"/>
              </w:rPr>
              <w:t>Workforce redeployment and flexibility</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40A2B" w14:textId="77777777" w:rsidR="00B932B6" w:rsidRPr="00B932B6" w:rsidRDefault="00B932B6" w:rsidP="00B932B6">
            <w:pPr>
              <w:spacing w:after="0"/>
              <w:rPr>
                <w:noProof/>
                <w:lang w:val="en-GB"/>
              </w:rPr>
            </w:pPr>
            <w:r w:rsidRPr="00B932B6">
              <w:rPr>
                <w:noProof/>
                <w:lang w:val="en-GB"/>
              </w:rPr>
              <w:t>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6DABB" w14:textId="77777777" w:rsidR="00B932B6" w:rsidRPr="00B932B6" w:rsidRDefault="00B932B6" w:rsidP="00B932B6">
            <w:pPr>
              <w:spacing w:after="0"/>
              <w:rPr>
                <w:noProof/>
                <w:lang w:val="en-GB"/>
              </w:rPr>
            </w:pPr>
            <w:r w:rsidRPr="00B932B6">
              <w:rPr>
                <w:noProof/>
                <w:lang w:val="en-GB"/>
              </w:rPr>
              <w:t>Redeployment, role adaptation, workforce organisation</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1F9E0" w14:textId="77777777" w:rsidR="00B932B6" w:rsidRPr="00B932B6" w:rsidRDefault="00B932B6" w:rsidP="00B932B6">
            <w:pPr>
              <w:spacing w:after="0"/>
              <w:rPr>
                <w:noProof/>
                <w:lang w:val="en-GB"/>
              </w:rPr>
            </w:pPr>
            <w:r w:rsidRPr="00B932B6">
              <w:rPr>
                <w:noProof/>
                <w:lang w:val="en-GB"/>
              </w:rPr>
              <w:t xml:space="preserve">Faulkner-Gurstein </w:t>
            </w:r>
            <w:r w:rsidRPr="00B932B6">
              <w:rPr>
                <w:i/>
                <w:noProof/>
                <w:lang w:val="en-GB"/>
              </w:rPr>
              <w:t xml:space="preserve">et al., </w:t>
            </w:r>
            <w:r w:rsidRPr="00B932B6">
              <w:rPr>
                <w:noProof/>
                <w:lang w:val="en-GB"/>
              </w:rPr>
              <w:t>(2023)</w:t>
            </w:r>
          </w:p>
        </w:tc>
      </w:tr>
      <w:tr w:rsidR="00B932B6" w:rsidRPr="00B932B6" w14:paraId="1F4B2FBF" w14:textId="77777777">
        <w:trPr>
          <w:trHeight w:val="672"/>
        </w:trPr>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EFBC37" w14:textId="77777777" w:rsidR="00B932B6" w:rsidRPr="00B932B6" w:rsidRDefault="00B932B6" w:rsidP="00B932B6">
            <w:pPr>
              <w:spacing w:after="0"/>
              <w:rPr>
                <w:noProof/>
                <w:lang w:val="en-GB"/>
              </w:rPr>
            </w:pPr>
            <w:r w:rsidRPr="00B932B6">
              <w:rPr>
                <w:noProof/>
                <w:lang w:val="en-GB"/>
              </w:rPr>
              <w:t>Health worker education innovations</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453CA" w14:textId="77777777" w:rsidR="00B932B6" w:rsidRPr="00B932B6" w:rsidRDefault="00B932B6" w:rsidP="00B932B6">
            <w:pPr>
              <w:spacing w:after="0"/>
              <w:rPr>
                <w:noProof/>
                <w:lang w:val="en-GB"/>
              </w:rPr>
            </w:pPr>
            <w:r w:rsidRPr="00B932B6">
              <w:rPr>
                <w:noProof/>
                <w:lang w:val="en-GB"/>
              </w:rPr>
              <w:t>1</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DF33A3" w14:textId="77777777" w:rsidR="00B932B6" w:rsidRPr="00B932B6" w:rsidRDefault="00B932B6" w:rsidP="00B932B6">
            <w:pPr>
              <w:spacing w:after="0"/>
              <w:rPr>
                <w:noProof/>
                <w:lang w:val="en-GB"/>
              </w:rPr>
            </w:pPr>
            <w:r w:rsidRPr="00B932B6">
              <w:rPr>
                <w:noProof/>
                <w:lang w:val="en-GB"/>
              </w:rPr>
              <w:t>Training adaptation, digital learning, pandemic response</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CCEA74" w14:textId="77777777" w:rsidR="00B932B6" w:rsidRPr="00B932B6" w:rsidRDefault="00B932B6" w:rsidP="00B932B6">
            <w:pPr>
              <w:spacing w:after="0"/>
              <w:rPr>
                <w:noProof/>
                <w:u w:val="single"/>
                <w:lang w:val="en-GB"/>
              </w:rPr>
            </w:pPr>
            <w:r w:rsidRPr="00B932B6">
              <w:rPr>
                <w:noProof/>
                <w:lang w:val="en-GB"/>
              </w:rPr>
              <w:t xml:space="preserve">Boutros </w:t>
            </w:r>
            <w:r w:rsidRPr="00B932B6">
              <w:rPr>
                <w:i/>
                <w:noProof/>
                <w:lang w:val="en-GB"/>
              </w:rPr>
              <w:t xml:space="preserve">et al., </w:t>
            </w:r>
            <w:r w:rsidRPr="00B932B6">
              <w:rPr>
                <w:noProof/>
                <w:lang w:val="en-GB"/>
              </w:rPr>
              <w:t>(2023)</w:t>
            </w:r>
          </w:p>
        </w:tc>
      </w:tr>
      <w:tr w:rsidR="00B932B6" w:rsidRPr="00B932B6" w14:paraId="373D0227" w14:textId="77777777">
        <w:trPr>
          <w:trHeight w:val="672"/>
        </w:trPr>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3706E" w14:textId="77777777" w:rsidR="00B932B6" w:rsidRPr="00B932B6" w:rsidRDefault="00B932B6" w:rsidP="00B932B6">
            <w:pPr>
              <w:spacing w:after="0"/>
              <w:rPr>
                <w:noProof/>
                <w:lang w:val="en-GB"/>
              </w:rPr>
            </w:pPr>
            <w:r w:rsidRPr="00B932B6">
              <w:rPr>
                <w:noProof/>
                <w:lang w:val="en-GB"/>
              </w:rPr>
              <w:t>Clinical supervision and competency support</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CEEB9" w14:textId="77777777" w:rsidR="00B932B6" w:rsidRPr="00B932B6" w:rsidRDefault="00B932B6" w:rsidP="00B932B6">
            <w:pPr>
              <w:spacing w:after="0"/>
              <w:rPr>
                <w:noProof/>
                <w:lang w:val="en-GB"/>
              </w:rPr>
            </w:pPr>
            <w:r w:rsidRPr="00B932B6">
              <w:rPr>
                <w:noProof/>
                <w:lang w:val="en-GB"/>
              </w:rPr>
              <w:t>1</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4F02FB" w14:textId="77777777" w:rsidR="00B932B6" w:rsidRPr="00B932B6" w:rsidRDefault="00B932B6" w:rsidP="00B932B6">
            <w:pPr>
              <w:spacing w:after="0"/>
              <w:rPr>
                <w:noProof/>
                <w:lang w:val="en-GB"/>
              </w:rPr>
            </w:pPr>
            <w:r w:rsidRPr="00B932B6">
              <w:rPr>
                <w:noProof/>
                <w:lang w:val="en-GB"/>
              </w:rPr>
              <w:t>Supervision, competency development, workforce support</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20D82" w14:textId="77777777" w:rsidR="00B932B6" w:rsidRPr="00B932B6" w:rsidRDefault="00B932B6" w:rsidP="00B932B6">
            <w:pPr>
              <w:spacing w:after="0"/>
              <w:rPr>
                <w:noProof/>
                <w:lang w:val="en-GB"/>
              </w:rPr>
            </w:pPr>
            <w:r w:rsidRPr="00B932B6">
              <w:rPr>
                <w:noProof/>
                <w:lang w:val="en-GB"/>
              </w:rPr>
              <w:t xml:space="preserve">Martin </w:t>
            </w:r>
            <w:r w:rsidRPr="00B932B6">
              <w:rPr>
                <w:i/>
                <w:noProof/>
                <w:lang w:val="en-GB"/>
              </w:rPr>
              <w:t xml:space="preserve">et al., </w:t>
            </w:r>
            <w:r w:rsidRPr="00B932B6">
              <w:rPr>
                <w:noProof/>
                <w:lang w:val="en-GB"/>
              </w:rPr>
              <w:t>(2022)</w:t>
            </w:r>
          </w:p>
        </w:tc>
      </w:tr>
    </w:tbl>
    <w:p w14:paraId="2A4EA882" w14:textId="77777777" w:rsidR="005F7D75" w:rsidRPr="00EF2814" w:rsidRDefault="005F7D75" w:rsidP="00AD2E14">
      <w:pPr>
        <w:spacing w:after="0"/>
        <w:rPr>
          <w:noProof/>
          <w:lang w:val="en-GB"/>
        </w:rPr>
      </w:pPr>
    </w:p>
    <w:p w14:paraId="03F0D60E" w14:textId="09E1D8B5" w:rsidR="00582081" w:rsidRDefault="00582081" w:rsidP="00AD2E14">
      <w:pPr>
        <w:spacing w:after="0"/>
        <w:rPr>
          <w:rFonts w:ascii="Aptos" w:hAnsi="Aptos" w:cs="Arial"/>
          <w:sz w:val="28"/>
          <w:szCs w:val="28"/>
          <w:lang w:val="en-GB"/>
        </w:rPr>
      </w:pPr>
    </w:p>
    <w:p w14:paraId="71C3B3A8" w14:textId="77777777" w:rsidR="00B932B6" w:rsidRDefault="00B932B6" w:rsidP="00AD2E14">
      <w:pPr>
        <w:spacing w:after="0"/>
        <w:rPr>
          <w:rFonts w:ascii="Aptos" w:hAnsi="Aptos" w:cs="Arial"/>
          <w:sz w:val="28"/>
          <w:szCs w:val="28"/>
          <w:lang w:val="en-GB"/>
        </w:rPr>
      </w:pPr>
    </w:p>
    <w:p w14:paraId="7937E42B" w14:textId="77777777" w:rsidR="00B932B6" w:rsidRDefault="00B932B6" w:rsidP="00AD2E14">
      <w:pPr>
        <w:spacing w:after="0"/>
        <w:rPr>
          <w:rFonts w:ascii="Aptos" w:hAnsi="Aptos" w:cs="Arial"/>
          <w:sz w:val="28"/>
          <w:szCs w:val="28"/>
          <w:lang w:val="en-GB"/>
        </w:rPr>
      </w:pPr>
    </w:p>
    <w:p w14:paraId="5DB49E5E" w14:textId="77777777" w:rsidR="00B932B6" w:rsidRDefault="00B932B6" w:rsidP="00AD2E14">
      <w:pPr>
        <w:spacing w:after="0"/>
        <w:rPr>
          <w:rFonts w:ascii="Aptos" w:hAnsi="Aptos" w:cs="Arial"/>
          <w:sz w:val="28"/>
          <w:szCs w:val="28"/>
          <w:lang w:val="en-GB"/>
        </w:rPr>
      </w:pPr>
    </w:p>
    <w:p w14:paraId="42448D10" w14:textId="77777777" w:rsidR="00B932B6" w:rsidRDefault="00B932B6" w:rsidP="00AD2E14">
      <w:pPr>
        <w:spacing w:after="0"/>
        <w:rPr>
          <w:rFonts w:ascii="Aptos" w:hAnsi="Aptos" w:cs="Arial"/>
          <w:sz w:val="28"/>
          <w:szCs w:val="28"/>
          <w:lang w:val="en-GB"/>
        </w:rPr>
      </w:pPr>
    </w:p>
    <w:p w14:paraId="4A4F4589" w14:textId="77777777" w:rsidR="00B932B6" w:rsidRPr="00B932B6" w:rsidRDefault="00B932B6" w:rsidP="00B932B6">
      <w:pPr>
        <w:spacing w:after="0"/>
        <w:outlineLvl w:val="1"/>
        <w:rPr>
          <w:rFonts w:eastAsia="Century Schoolbook" w:cs="Times New Roman"/>
          <w:b/>
          <w:spacing w:val="10"/>
          <w:sz w:val="24"/>
          <w:lang w:val="en-GB"/>
        </w:rPr>
      </w:pPr>
      <w:bookmarkStart w:id="31" w:name="_Toc232409304"/>
      <w:r w:rsidRPr="00B932B6">
        <w:rPr>
          <w:rFonts w:eastAsia="Century Schoolbook" w:cs="Times New Roman"/>
          <w:b/>
          <w:spacing w:val="10"/>
          <w:sz w:val="24"/>
          <w:lang w:val="en-GB"/>
        </w:rPr>
        <w:lastRenderedPageBreak/>
        <w:t xml:space="preserve">Appendix 2: </w:t>
      </w:r>
      <w:r w:rsidRPr="00B932B6">
        <w:rPr>
          <w:rFonts w:eastAsia="Century Schoolbook" w:cs="Times New Roman"/>
          <w:b/>
          <w:spacing w:val="10"/>
          <w:sz w:val="24"/>
        </w:rPr>
        <w:t>Independent Project Results Summary Table</w:t>
      </w:r>
      <w:bookmarkEnd w:id="31"/>
    </w:p>
    <w:tbl>
      <w:tblPr>
        <w:tblStyle w:val="TableGrid1"/>
        <w:tblW w:w="0" w:type="auto"/>
        <w:tblInd w:w="-572" w:type="dxa"/>
        <w:tblLook w:val="04A0" w:firstRow="1" w:lastRow="0" w:firstColumn="1" w:lastColumn="0" w:noHBand="0" w:noVBand="1"/>
      </w:tblPr>
      <w:tblGrid>
        <w:gridCol w:w="1007"/>
        <w:gridCol w:w="1321"/>
        <w:gridCol w:w="1026"/>
        <w:gridCol w:w="1312"/>
        <w:gridCol w:w="1464"/>
        <w:gridCol w:w="1321"/>
        <w:gridCol w:w="1321"/>
        <w:gridCol w:w="1150"/>
      </w:tblGrid>
      <w:tr w:rsidR="00B932B6" w:rsidRPr="00B932B6" w14:paraId="270E62E3" w14:textId="77777777" w:rsidTr="00B932B6">
        <w:trPr>
          <w:trHeight w:val="1475"/>
        </w:trPr>
        <w:tc>
          <w:tcPr>
            <w:tcW w:w="1007" w:type="dxa"/>
            <w:tcBorders>
              <w:top w:val="single" w:sz="4" w:space="0" w:color="auto"/>
              <w:left w:val="single" w:sz="4" w:space="0" w:color="auto"/>
              <w:bottom w:val="single" w:sz="4" w:space="0" w:color="auto"/>
              <w:right w:val="single" w:sz="4" w:space="0" w:color="auto"/>
            </w:tcBorders>
            <w:hideMark/>
          </w:tcPr>
          <w:p w14:paraId="5E2B820B" w14:textId="77777777" w:rsidR="00B932B6" w:rsidRPr="00B932B6" w:rsidRDefault="00B932B6" w:rsidP="00B932B6">
            <w:pPr>
              <w:spacing w:after="0"/>
              <w:rPr>
                <w:b/>
                <w:lang w:val="en-GB"/>
              </w:rPr>
            </w:pPr>
            <w:r w:rsidRPr="00B932B6">
              <w:rPr>
                <w:b/>
              </w:rPr>
              <w:t>Author &amp; Year</w:t>
            </w:r>
          </w:p>
        </w:tc>
        <w:tc>
          <w:tcPr>
            <w:tcW w:w="1321" w:type="dxa"/>
            <w:tcBorders>
              <w:top w:val="single" w:sz="4" w:space="0" w:color="auto"/>
              <w:left w:val="single" w:sz="4" w:space="0" w:color="auto"/>
              <w:bottom w:val="single" w:sz="4" w:space="0" w:color="auto"/>
              <w:right w:val="single" w:sz="4" w:space="0" w:color="auto"/>
            </w:tcBorders>
            <w:hideMark/>
          </w:tcPr>
          <w:p w14:paraId="4628C1B4" w14:textId="77777777" w:rsidR="00B932B6" w:rsidRPr="00B932B6" w:rsidRDefault="00B932B6" w:rsidP="00B932B6">
            <w:pPr>
              <w:spacing w:after="0"/>
              <w:rPr>
                <w:b/>
                <w:lang w:val="en-GB"/>
              </w:rPr>
            </w:pPr>
            <w:r w:rsidRPr="00B932B6">
              <w:rPr>
                <w:b/>
              </w:rPr>
              <w:t>Article Title</w:t>
            </w:r>
          </w:p>
        </w:tc>
        <w:tc>
          <w:tcPr>
            <w:tcW w:w="1026" w:type="dxa"/>
            <w:tcBorders>
              <w:top w:val="single" w:sz="4" w:space="0" w:color="auto"/>
              <w:left w:val="single" w:sz="4" w:space="0" w:color="auto"/>
              <w:bottom w:val="single" w:sz="4" w:space="0" w:color="auto"/>
              <w:right w:val="single" w:sz="4" w:space="0" w:color="auto"/>
            </w:tcBorders>
            <w:hideMark/>
          </w:tcPr>
          <w:p w14:paraId="249BEAD6" w14:textId="77777777" w:rsidR="00B932B6" w:rsidRPr="00B932B6" w:rsidRDefault="00B932B6" w:rsidP="00B932B6">
            <w:pPr>
              <w:spacing w:after="0"/>
              <w:rPr>
                <w:b/>
                <w:lang w:val="en-GB"/>
              </w:rPr>
            </w:pPr>
            <w:r w:rsidRPr="00B932B6">
              <w:rPr>
                <w:b/>
              </w:rPr>
              <w:t>Type of Study</w:t>
            </w:r>
          </w:p>
        </w:tc>
        <w:tc>
          <w:tcPr>
            <w:tcW w:w="1312" w:type="dxa"/>
            <w:tcBorders>
              <w:top w:val="single" w:sz="4" w:space="0" w:color="auto"/>
              <w:left w:val="single" w:sz="4" w:space="0" w:color="auto"/>
              <w:bottom w:val="single" w:sz="4" w:space="0" w:color="auto"/>
              <w:right w:val="single" w:sz="4" w:space="0" w:color="auto"/>
            </w:tcBorders>
            <w:hideMark/>
          </w:tcPr>
          <w:p w14:paraId="0C8CE26C" w14:textId="77777777" w:rsidR="00B932B6" w:rsidRPr="00B932B6" w:rsidRDefault="00B932B6" w:rsidP="00B932B6">
            <w:pPr>
              <w:spacing w:after="0"/>
              <w:rPr>
                <w:b/>
                <w:lang w:val="en-GB"/>
              </w:rPr>
            </w:pPr>
            <w:r w:rsidRPr="00B932B6">
              <w:rPr>
                <w:b/>
              </w:rPr>
              <w:t>Research Method &amp; Sample Size</w:t>
            </w:r>
          </w:p>
        </w:tc>
        <w:tc>
          <w:tcPr>
            <w:tcW w:w="1464" w:type="dxa"/>
            <w:tcBorders>
              <w:top w:val="single" w:sz="4" w:space="0" w:color="auto"/>
              <w:left w:val="single" w:sz="4" w:space="0" w:color="auto"/>
              <w:bottom w:val="single" w:sz="4" w:space="0" w:color="auto"/>
              <w:right w:val="single" w:sz="4" w:space="0" w:color="auto"/>
            </w:tcBorders>
            <w:hideMark/>
          </w:tcPr>
          <w:p w14:paraId="13D6F213" w14:textId="77777777" w:rsidR="00B932B6" w:rsidRPr="00B932B6" w:rsidRDefault="00B932B6" w:rsidP="00B932B6">
            <w:pPr>
              <w:spacing w:after="0"/>
              <w:rPr>
                <w:b/>
                <w:lang w:val="en-GB"/>
              </w:rPr>
            </w:pPr>
            <w:r w:rsidRPr="00B932B6">
              <w:rPr>
                <w:b/>
              </w:rPr>
              <w:t>Strengths &amp; Limitations</w:t>
            </w:r>
          </w:p>
        </w:tc>
        <w:tc>
          <w:tcPr>
            <w:tcW w:w="1321" w:type="dxa"/>
            <w:tcBorders>
              <w:top w:val="single" w:sz="4" w:space="0" w:color="auto"/>
              <w:left w:val="single" w:sz="4" w:space="0" w:color="auto"/>
              <w:bottom w:val="single" w:sz="4" w:space="0" w:color="auto"/>
              <w:right w:val="single" w:sz="4" w:space="0" w:color="auto"/>
            </w:tcBorders>
            <w:hideMark/>
          </w:tcPr>
          <w:p w14:paraId="38117627" w14:textId="77777777" w:rsidR="00B932B6" w:rsidRPr="00B932B6" w:rsidRDefault="00B932B6" w:rsidP="00B932B6">
            <w:pPr>
              <w:spacing w:after="0"/>
              <w:rPr>
                <w:b/>
                <w:lang w:val="en-GB"/>
              </w:rPr>
            </w:pPr>
            <w:r w:rsidRPr="00B932B6">
              <w:rPr>
                <w:b/>
              </w:rPr>
              <w:t>Main Findings</w:t>
            </w:r>
          </w:p>
        </w:tc>
        <w:tc>
          <w:tcPr>
            <w:tcW w:w="1321" w:type="dxa"/>
            <w:tcBorders>
              <w:top w:val="single" w:sz="4" w:space="0" w:color="auto"/>
              <w:left w:val="single" w:sz="4" w:space="0" w:color="auto"/>
              <w:bottom w:val="single" w:sz="4" w:space="0" w:color="auto"/>
              <w:right w:val="single" w:sz="4" w:space="0" w:color="auto"/>
            </w:tcBorders>
            <w:hideMark/>
          </w:tcPr>
          <w:p w14:paraId="10EE994D" w14:textId="77777777" w:rsidR="00B932B6" w:rsidRPr="00B932B6" w:rsidRDefault="00B932B6" w:rsidP="00B932B6">
            <w:pPr>
              <w:spacing w:after="0"/>
              <w:rPr>
                <w:b/>
                <w:lang w:val="en-GB"/>
              </w:rPr>
            </w:pPr>
            <w:r w:rsidRPr="00B932B6">
              <w:rPr>
                <w:b/>
              </w:rPr>
              <w:t>Keywords &amp; Codes</w:t>
            </w:r>
          </w:p>
        </w:tc>
        <w:tc>
          <w:tcPr>
            <w:tcW w:w="1150" w:type="dxa"/>
            <w:tcBorders>
              <w:top w:val="single" w:sz="4" w:space="0" w:color="auto"/>
              <w:left w:val="single" w:sz="4" w:space="0" w:color="auto"/>
              <w:bottom w:val="single" w:sz="4" w:space="0" w:color="auto"/>
              <w:right w:val="single" w:sz="4" w:space="0" w:color="auto"/>
            </w:tcBorders>
            <w:hideMark/>
          </w:tcPr>
          <w:p w14:paraId="2C7BDE5D" w14:textId="77777777" w:rsidR="00B932B6" w:rsidRPr="00B932B6" w:rsidRDefault="00B932B6" w:rsidP="00B932B6">
            <w:pPr>
              <w:spacing w:after="0"/>
              <w:rPr>
                <w:b/>
                <w:lang w:val="en-GB"/>
              </w:rPr>
            </w:pPr>
            <w:r w:rsidRPr="00B932B6">
              <w:rPr>
                <w:b/>
              </w:rPr>
              <w:t>Notes and Comments</w:t>
            </w:r>
          </w:p>
        </w:tc>
      </w:tr>
      <w:tr w:rsidR="00B932B6" w:rsidRPr="00B932B6" w14:paraId="2173AD02" w14:textId="77777777" w:rsidTr="00B932B6">
        <w:trPr>
          <w:trHeight w:val="125"/>
        </w:trPr>
        <w:tc>
          <w:tcPr>
            <w:tcW w:w="1007" w:type="dxa"/>
            <w:tcBorders>
              <w:top w:val="single" w:sz="4" w:space="0" w:color="auto"/>
              <w:left w:val="single" w:sz="4" w:space="0" w:color="auto"/>
              <w:bottom w:val="single" w:sz="4" w:space="0" w:color="auto"/>
              <w:right w:val="single" w:sz="4" w:space="0" w:color="auto"/>
            </w:tcBorders>
            <w:hideMark/>
          </w:tcPr>
          <w:p w14:paraId="6DF474C8" w14:textId="77777777" w:rsidR="00B932B6" w:rsidRPr="00B932B6" w:rsidRDefault="00B932B6" w:rsidP="00B932B6">
            <w:pPr>
              <w:spacing w:after="0"/>
            </w:pPr>
            <w:proofErr w:type="spellStart"/>
            <w:r w:rsidRPr="00B932B6">
              <w:t>Goniewicz</w:t>
            </w:r>
            <w:proofErr w:type="spellEnd"/>
            <w:r w:rsidRPr="00B932B6">
              <w:t xml:space="preserve"> et al. (2023)</w:t>
            </w:r>
          </w:p>
        </w:tc>
        <w:tc>
          <w:tcPr>
            <w:tcW w:w="1321" w:type="dxa"/>
            <w:tcBorders>
              <w:top w:val="single" w:sz="4" w:space="0" w:color="auto"/>
              <w:left w:val="single" w:sz="4" w:space="0" w:color="auto"/>
              <w:bottom w:val="single" w:sz="4" w:space="0" w:color="auto"/>
              <w:right w:val="single" w:sz="4" w:space="0" w:color="auto"/>
            </w:tcBorders>
            <w:hideMark/>
          </w:tcPr>
          <w:p w14:paraId="56310016" w14:textId="77777777" w:rsidR="00B932B6" w:rsidRPr="00B932B6" w:rsidRDefault="00B932B6" w:rsidP="00B932B6">
            <w:pPr>
              <w:spacing w:after="0"/>
            </w:pPr>
            <w:r w:rsidRPr="00B932B6">
              <w:t>Resilience in Emergency Medicine during COVID-19</w:t>
            </w:r>
          </w:p>
        </w:tc>
        <w:tc>
          <w:tcPr>
            <w:tcW w:w="1026" w:type="dxa"/>
            <w:tcBorders>
              <w:top w:val="single" w:sz="4" w:space="0" w:color="auto"/>
              <w:left w:val="single" w:sz="4" w:space="0" w:color="auto"/>
              <w:bottom w:val="single" w:sz="4" w:space="0" w:color="auto"/>
              <w:right w:val="single" w:sz="4" w:space="0" w:color="auto"/>
            </w:tcBorders>
            <w:hideMark/>
          </w:tcPr>
          <w:p w14:paraId="30DD2755" w14:textId="77777777" w:rsidR="00B932B6" w:rsidRPr="00B932B6" w:rsidRDefault="00B932B6" w:rsidP="00B932B6">
            <w:pPr>
              <w:spacing w:after="0"/>
            </w:pPr>
            <w:r w:rsidRPr="00B932B6">
              <w:t>Empirical study</w:t>
            </w:r>
          </w:p>
        </w:tc>
        <w:tc>
          <w:tcPr>
            <w:tcW w:w="1312" w:type="dxa"/>
            <w:tcBorders>
              <w:top w:val="single" w:sz="4" w:space="0" w:color="auto"/>
              <w:left w:val="single" w:sz="4" w:space="0" w:color="auto"/>
              <w:bottom w:val="single" w:sz="4" w:space="0" w:color="auto"/>
              <w:right w:val="single" w:sz="4" w:space="0" w:color="auto"/>
            </w:tcBorders>
            <w:hideMark/>
          </w:tcPr>
          <w:p w14:paraId="2F3AAB77" w14:textId="77777777" w:rsidR="00B932B6" w:rsidRPr="00B932B6" w:rsidRDefault="00B932B6" w:rsidP="00B932B6">
            <w:pPr>
              <w:spacing w:after="0"/>
            </w:pPr>
            <w:r w:rsidRPr="00B932B6">
              <w:t xml:space="preserve">Survey-based quantitative study; emergency medicine staff </w:t>
            </w:r>
            <w:proofErr w:type="gramStart"/>
            <w:r w:rsidRPr="00B932B6">
              <w:t>(n=</w:t>
            </w:r>
            <w:proofErr w:type="gramEnd"/>
            <w:r w:rsidRPr="00B932B6">
              <w:t>not specified)</w:t>
            </w:r>
          </w:p>
        </w:tc>
        <w:tc>
          <w:tcPr>
            <w:tcW w:w="1464" w:type="dxa"/>
            <w:tcBorders>
              <w:top w:val="single" w:sz="4" w:space="0" w:color="auto"/>
              <w:left w:val="single" w:sz="4" w:space="0" w:color="auto"/>
              <w:bottom w:val="single" w:sz="4" w:space="0" w:color="auto"/>
              <w:right w:val="single" w:sz="4" w:space="0" w:color="auto"/>
            </w:tcBorders>
            <w:hideMark/>
          </w:tcPr>
          <w:p w14:paraId="78D0C7EC" w14:textId="77777777" w:rsidR="00B932B6" w:rsidRPr="00B932B6" w:rsidRDefault="00B932B6" w:rsidP="00B932B6">
            <w:pPr>
              <w:spacing w:after="0"/>
            </w:pPr>
            <w:r w:rsidRPr="00B932B6">
              <w:t>Real-world data; self-report bias</w:t>
            </w:r>
          </w:p>
        </w:tc>
        <w:tc>
          <w:tcPr>
            <w:tcW w:w="1321" w:type="dxa"/>
            <w:tcBorders>
              <w:top w:val="single" w:sz="4" w:space="0" w:color="auto"/>
              <w:left w:val="single" w:sz="4" w:space="0" w:color="auto"/>
              <w:bottom w:val="single" w:sz="4" w:space="0" w:color="auto"/>
              <w:right w:val="single" w:sz="4" w:space="0" w:color="auto"/>
            </w:tcBorders>
            <w:hideMark/>
          </w:tcPr>
          <w:p w14:paraId="7C92A4D0" w14:textId="77777777" w:rsidR="00B932B6" w:rsidRPr="00B932B6" w:rsidRDefault="00B932B6" w:rsidP="00B932B6">
            <w:pPr>
              <w:spacing w:after="0"/>
            </w:pPr>
            <w:r w:rsidRPr="00B932B6">
              <w:t>Improved preparedness and resilience</w:t>
            </w:r>
          </w:p>
        </w:tc>
        <w:tc>
          <w:tcPr>
            <w:tcW w:w="1321" w:type="dxa"/>
            <w:tcBorders>
              <w:top w:val="single" w:sz="4" w:space="0" w:color="auto"/>
              <w:left w:val="single" w:sz="4" w:space="0" w:color="auto"/>
              <w:bottom w:val="single" w:sz="4" w:space="0" w:color="auto"/>
              <w:right w:val="single" w:sz="4" w:space="0" w:color="auto"/>
            </w:tcBorders>
            <w:hideMark/>
          </w:tcPr>
          <w:p w14:paraId="20C9B7F9" w14:textId="77777777" w:rsidR="00B932B6" w:rsidRPr="00B932B6" w:rsidRDefault="00B932B6" w:rsidP="00B932B6">
            <w:pPr>
              <w:spacing w:after="0"/>
            </w:pPr>
            <w:r w:rsidRPr="00B932B6">
              <w:t>Resilience, preparedness</w:t>
            </w:r>
          </w:p>
        </w:tc>
        <w:tc>
          <w:tcPr>
            <w:tcW w:w="1150" w:type="dxa"/>
            <w:tcBorders>
              <w:top w:val="single" w:sz="4" w:space="0" w:color="auto"/>
              <w:left w:val="single" w:sz="4" w:space="0" w:color="auto"/>
              <w:bottom w:val="single" w:sz="4" w:space="0" w:color="auto"/>
              <w:right w:val="single" w:sz="4" w:space="0" w:color="auto"/>
            </w:tcBorders>
            <w:hideMark/>
          </w:tcPr>
          <w:p w14:paraId="75A3A166" w14:textId="77777777" w:rsidR="00B932B6" w:rsidRPr="00B932B6" w:rsidRDefault="00B932B6" w:rsidP="00B932B6">
            <w:pPr>
              <w:spacing w:after="0"/>
            </w:pPr>
            <w:r w:rsidRPr="00B932B6">
              <w:t>Useful for competency analysis</w:t>
            </w:r>
          </w:p>
        </w:tc>
      </w:tr>
      <w:tr w:rsidR="00B932B6" w:rsidRPr="00B932B6" w14:paraId="060CF51E" w14:textId="77777777" w:rsidTr="00B932B6">
        <w:trPr>
          <w:trHeight w:val="125"/>
        </w:trPr>
        <w:tc>
          <w:tcPr>
            <w:tcW w:w="1007" w:type="dxa"/>
            <w:tcBorders>
              <w:top w:val="single" w:sz="4" w:space="0" w:color="auto"/>
              <w:left w:val="single" w:sz="4" w:space="0" w:color="auto"/>
              <w:bottom w:val="single" w:sz="4" w:space="0" w:color="auto"/>
              <w:right w:val="single" w:sz="4" w:space="0" w:color="auto"/>
            </w:tcBorders>
            <w:hideMark/>
          </w:tcPr>
          <w:p w14:paraId="6DC0EF61" w14:textId="77777777" w:rsidR="00B932B6" w:rsidRPr="00B932B6" w:rsidRDefault="00B932B6" w:rsidP="00B932B6">
            <w:pPr>
              <w:spacing w:after="0"/>
            </w:pPr>
            <w:r w:rsidRPr="00B932B6">
              <w:t>Pearse &amp; Scott (2023)</w:t>
            </w:r>
          </w:p>
        </w:tc>
        <w:tc>
          <w:tcPr>
            <w:tcW w:w="1321" w:type="dxa"/>
            <w:tcBorders>
              <w:top w:val="single" w:sz="4" w:space="0" w:color="auto"/>
              <w:left w:val="single" w:sz="4" w:space="0" w:color="auto"/>
              <w:bottom w:val="single" w:sz="4" w:space="0" w:color="auto"/>
              <w:right w:val="single" w:sz="4" w:space="0" w:color="auto"/>
            </w:tcBorders>
            <w:hideMark/>
          </w:tcPr>
          <w:p w14:paraId="1DAC4B49" w14:textId="77777777" w:rsidR="00B932B6" w:rsidRPr="00B932B6" w:rsidRDefault="00B932B6" w:rsidP="00B932B6">
            <w:pPr>
              <w:spacing w:after="0"/>
            </w:pPr>
            <w:r w:rsidRPr="00B932B6">
              <w:t>Clinical Laboratory Education, Training and Progression</w:t>
            </w:r>
          </w:p>
        </w:tc>
        <w:tc>
          <w:tcPr>
            <w:tcW w:w="1026" w:type="dxa"/>
            <w:tcBorders>
              <w:top w:val="single" w:sz="4" w:space="0" w:color="auto"/>
              <w:left w:val="single" w:sz="4" w:space="0" w:color="auto"/>
              <w:bottom w:val="single" w:sz="4" w:space="0" w:color="auto"/>
              <w:right w:val="single" w:sz="4" w:space="0" w:color="auto"/>
            </w:tcBorders>
            <w:hideMark/>
          </w:tcPr>
          <w:p w14:paraId="75D0EA7C" w14:textId="77777777" w:rsidR="00B932B6" w:rsidRPr="00B932B6" w:rsidRDefault="00B932B6" w:rsidP="00B932B6">
            <w:pPr>
              <w:spacing w:after="0"/>
            </w:pPr>
            <w:r w:rsidRPr="00B932B6">
              <w:t>Narrative review</w:t>
            </w:r>
          </w:p>
        </w:tc>
        <w:tc>
          <w:tcPr>
            <w:tcW w:w="1312" w:type="dxa"/>
            <w:tcBorders>
              <w:top w:val="single" w:sz="4" w:space="0" w:color="auto"/>
              <w:left w:val="single" w:sz="4" w:space="0" w:color="auto"/>
              <w:bottom w:val="single" w:sz="4" w:space="0" w:color="auto"/>
              <w:right w:val="single" w:sz="4" w:space="0" w:color="auto"/>
            </w:tcBorders>
            <w:hideMark/>
          </w:tcPr>
          <w:p w14:paraId="6AC09560" w14:textId="77777777" w:rsidR="00B932B6" w:rsidRPr="00B932B6" w:rsidRDefault="00B932B6" w:rsidP="00B932B6">
            <w:pPr>
              <w:spacing w:after="0"/>
            </w:pPr>
            <w:r w:rsidRPr="00B932B6">
              <w:t>Literature review; no sample size</w:t>
            </w:r>
          </w:p>
        </w:tc>
        <w:tc>
          <w:tcPr>
            <w:tcW w:w="1464" w:type="dxa"/>
            <w:tcBorders>
              <w:top w:val="single" w:sz="4" w:space="0" w:color="auto"/>
              <w:left w:val="single" w:sz="4" w:space="0" w:color="auto"/>
              <w:bottom w:val="single" w:sz="4" w:space="0" w:color="auto"/>
              <w:right w:val="single" w:sz="4" w:space="0" w:color="auto"/>
            </w:tcBorders>
            <w:hideMark/>
          </w:tcPr>
          <w:p w14:paraId="792F674D" w14:textId="77777777" w:rsidR="00B932B6" w:rsidRPr="00B932B6" w:rsidRDefault="00B932B6" w:rsidP="00B932B6">
            <w:pPr>
              <w:spacing w:after="0"/>
            </w:pPr>
            <w:r w:rsidRPr="00B932B6">
              <w:t>Comprehensive; no primary data</w:t>
            </w:r>
          </w:p>
        </w:tc>
        <w:tc>
          <w:tcPr>
            <w:tcW w:w="1321" w:type="dxa"/>
            <w:tcBorders>
              <w:top w:val="single" w:sz="4" w:space="0" w:color="auto"/>
              <w:left w:val="single" w:sz="4" w:space="0" w:color="auto"/>
              <w:bottom w:val="single" w:sz="4" w:space="0" w:color="auto"/>
              <w:right w:val="single" w:sz="4" w:space="0" w:color="auto"/>
            </w:tcBorders>
            <w:hideMark/>
          </w:tcPr>
          <w:p w14:paraId="2A9AF69A" w14:textId="77777777" w:rsidR="00B932B6" w:rsidRPr="00B932B6" w:rsidRDefault="00B932B6" w:rsidP="00B932B6">
            <w:pPr>
              <w:spacing w:after="0"/>
            </w:pPr>
            <w:r w:rsidRPr="00B932B6">
              <w:t>Training innovations but reduced theoretical depth</w:t>
            </w:r>
          </w:p>
        </w:tc>
        <w:tc>
          <w:tcPr>
            <w:tcW w:w="1321" w:type="dxa"/>
            <w:tcBorders>
              <w:top w:val="single" w:sz="4" w:space="0" w:color="auto"/>
              <w:left w:val="single" w:sz="4" w:space="0" w:color="auto"/>
              <w:bottom w:val="single" w:sz="4" w:space="0" w:color="auto"/>
              <w:right w:val="single" w:sz="4" w:space="0" w:color="auto"/>
            </w:tcBorders>
            <w:hideMark/>
          </w:tcPr>
          <w:p w14:paraId="15F32EB7" w14:textId="77777777" w:rsidR="00B932B6" w:rsidRPr="00B932B6" w:rsidRDefault="00B932B6" w:rsidP="00B932B6">
            <w:pPr>
              <w:spacing w:after="0"/>
            </w:pPr>
            <w:r w:rsidRPr="00B932B6">
              <w:t>Education, workforce development</w:t>
            </w:r>
          </w:p>
        </w:tc>
        <w:tc>
          <w:tcPr>
            <w:tcW w:w="1150" w:type="dxa"/>
            <w:tcBorders>
              <w:top w:val="single" w:sz="4" w:space="0" w:color="auto"/>
              <w:left w:val="single" w:sz="4" w:space="0" w:color="auto"/>
              <w:bottom w:val="single" w:sz="4" w:space="0" w:color="auto"/>
              <w:right w:val="single" w:sz="4" w:space="0" w:color="auto"/>
            </w:tcBorders>
            <w:hideMark/>
          </w:tcPr>
          <w:p w14:paraId="2D53E1DF" w14:textId="77777777" w:rsidR="00B932B6" w:rsidRPr="00B932B6" w:rsidRDefault="00B932B6" w:rsidP="00B932B6">
            <w:pPr>
              <w:spacing w:after="0"/>
            </w:pPr>
            <w:r w:rsidRPr="00B932B6">
              <w:t>Long-term training implications</w:t>
            </w:r>
          </w:p>
        </w:tc>
      </w:tr>
      <w:tr w:rsidR="00B932B6" w:rsidRPr="00B932B6" w14:paraId="0D79E34E" w14:textId="77777777" w:rsidTr="00B932B6">
        <w:trPr>
          <w:trHeight w:val="125"/>
        </w:trPr>
        <w:tc>
          <w:tcPr>
            <w:tcW w:w="1007" w:type="dxa"/>
            <w:tcBorders>
              <w:top w:val="single" w:sz="4" w:space="0" w:color="auto"/>
              <w:left w:val="single" w:sz="4" w:space="0" w:color="auto"/>
              <w:bottom w:val="single" w:sz="4" w:space="0" w:color="auto"/>
              <w:right w:val="single" w:sz="4" w:space="0" w:color="auto"/>
            </w:tcBorders>
            <w:hideMark/>
          </w:tcPr>
          <w:p w14:paraId="3A242FDA" w14:textId="77777777" w:rsidR="00B932B6" w:rsidRPr="00B932B6" w:rsidRDefault="00B932B6" w:rsidP="00B932B6">
            <w:pPr>
              <w:spacing w:after="0"/>
            </w:pPr>
            <w:r w:rsidRPr="00B932B6">
              <w:t>Faulkner-</w:t>
            </w:r>
            <w:proofErr w:type="spellStart"/>
            <w:r w:rsidRPr="00B932B6">
              <w:t>Gurstein</w:t>
            </w:r>
            <w:proofErr w:type="spellEnd"/>
            <w:r w:rsidRPr="00B932B6">
              <w:t xml:space="preserve"> et al. (2022)</w:t>
            </w:r>
          </w:p>
        </w:tc>
        <w:tc>
          <w:tcPr>
            <w:tcW w:w="1321" w:type="dxa"/>
            <w:tcBorders>
              <w:top w:val="single" w:sz="4" w:space="0" w:color="auto"/>
              <w:left w:val="single" w:sz="4" w:space="0" w:color="auto"/>
              <w:bottom w:val="single" w:sz="4" w:space="0" w:color="auto"/>
              <w:right w:val="single" w:sz="4" w:space="0" w:color="auto"/>
            </w:tcBorders>
            <w:hideMark/>
          </w:tcPr>
          <w:p w14:paraId="194CA1A1" w14:textId="77777777" w:rsidR="00B932B6" w:rsidRPr="00B932B6" w:rsidRDefault="00B932B6" w:rsidP="00B932B6">
            <w:pPr>
              <w:spacing w:after="0"/>
            </w:pPr>
            <w:r w:rsidRPr="00B932B6">
              <w:t>Redeployment of Staff Members Amidst the COVID-19 Pandemic</w:t>
            </w:r>
          </w:p>
        </w:tc>
        <w:tc>
          <w:tcPr>
            <w:tcW w:w="1026" w:type="dxa"/>
            <w:tcBorders>
              <w:top w:val="single" w:sz="4" w:space="0" w:color="auto"/>
              <w:left w:val="single" w:sz="4" w:space="0" w:color="auto"/>
              <w:bottom w:val="single" w:sz="4" w:space="0" w:color="auto"/>
              <w:right w:val="single" w:sz="4" w:space="0" w:color="auto"/>
            </w:tcBorders>
            <w:hideMark/>
          </w:tcPr>
          <w:p w14:paraId="2BE15264" w14:textId="77777777" w:rsidR="00B932B6" w:rsidRPr="00B932B6" w:rsidRDefault="00B932B6" w:rsidP="00B932B6">
            <w:pPr>
              <w:spacing w:after="0"/>
            </w:pPr>
            <w:r w:rsidRPr="00B932B6">
              <w:t>Qualitative case study</w:t>
            </w:r>
          </w:p>
        </w:tc>
        <w:tc>
          <w:tcPr>
            <w:tcW w:w="1312" w:type="dxa"/>
            <w:tcBorders>
              <w:top w:val="single" w:sz="4" w:space="0" w:color="auto"/>
              <w:left w:val="single" w:sz="4" w:space="0" w:color="auto"/>
              <w:bottom w:val="single" w:sz="4" w:space="0" w:color="auto"/>
              <w:right w:val="single" w:sz="4" w:space="0" w:color="auto"/>
            </w:tcBorders>
            <w:hideMark/>
          </w:tcPr>
          <w:p w14:paraId="7E2282F1" w14:textId="77777777" w:rsidR="00B932B6" w:rsidRPr="00B932B6" w:rsidRDefault="00B932B6" w:rsidP="00B932B6">
            <w:pPr>
              <w:spacing w:after="0"/>
            </w:pPr>
            <w:r w:rsidRPr="00B932B6">
              <w:t>Interview/case study within one NHS Trust</w:t>
            </w:r>
          </w:p>
        </w:tc>
        <w:tc>
          <w:tcPr>
            <w:tcW w:w="1464" w:type="dxa"/>
            <w:tcBorders>
              <w:top w:val="single" w:sz="4" w:space="0" w:color="auto"/>
              <w:left w:val="single" w:sz="4" w:space="0" w:color="auto"/>
              <w:bottom w:val="single" w:sz="4" w:space="0" w:color="auto"/>
              <w:right w:val="single" w:sz="4" w:space="0" w:color="auto"/>
            </w:tcBorders>
            <w:hideMark/>
          </w:tcPr>
          <w:p w14:paraId="0D0655BC" w14:textId="77777777" w:rsidR="00B932B6" w:rsidRPr="00B932B6" w:rsidRDefault="00B932B6" w:rsidP="00B932B6">
            <w:pPr>
              <w:spacing w:after="0"/>
            </w:pPr>
            <w:r w:rsidRPr="00B932B6">
              <w:t>Rich data; small sample size</w:t>
            </w:r>
          </w:p>
        </w:tc>
        <w:tc>
          <w:tcPr>
            <w:tcW w:w="1321" w:type="dxa"/>
            <w:tcBorders>
              <w:top w:val="single" w:sz="4" w:space="0" w:color="auto"/>
              <w:left w:val="single" w:sz="4" w:space="0" w:color="auto"/>
              <w:bottom w:val="single" w:sz="4" w:space="0" w:color="auto"/>
              <w:right w:val="single" w:sz="4" w:space="0" w:color="auto"/>
            </w:tcBorders>
            <w:hideMark/>
          </w:tcPr>
          <w:p w14:paraId="4713BC47" w14:textId="77777777" w:rsidR="00B932B6" w:rsidRPr="00B932B6" w:rsidRDefault="00B932B6" w:rsidP="00B932B6">
            <w:pPr>
              <w:spacing w:after="0"/>
            </w:pPr>
            <w:r w:rsidRPr="00B932B6">
              <w:t>Redeployment promoted flexibility; required supervision</w:t>
            </w:r>
          </w:p>
        </w:tc>
        <w:tc>
          <w:tcPr>
            <w:tcW w:w="1321" w:type="dxa"/>
            <w:tcBorders>
              <w:top w:val="single" w:sz="4" w:space="0" w:color="auto"/>
              <w:left w:val="single" w:sz="4" w:space="0" w:color="auto"/>
              <w:bottom w:val="single" w:sz="4" w:space="0" w:color="auto"/>
              <w:right w:val="single" w:sz="4" w:space="0" w:color="auto"/>
            </w:tcBorders>
            <w:hideMark/>
          </w:tcPr>
          <w:p w14:paraId="5B2AC55C" w14:textId="77777777" w:rsidR="00B932B6" w:rsidRPr="00B932B6" w:rsidRDefault="00B932B6" w:rsidP="00B932B6">
            <w:pPr>
              <w:spacing w:after="0"/>
            </w:pPr>
            <w:r w:rsidRPr="00B932B6">
              <w:t>Redeployment and Adaptability</w:t>
            </w:r>
          </w:p>
        </w:tc>
        <w:tc>
          <w:tcPr>
            <w:tcW w:w="1150" w:type="dxa"/>
            <w:tcBorders>
              <w:top w:val="single" w:sz="4" w:space="0" w:color="auto"/>
              <w:left w:val="single" w:sz="4" w:space="0" w:color="auto"/>
              <w:bottom w:val="single" w:sz="4" w:space="0" w:color="auto"/>
              <w:right w:val="single" w:sz="4" w:space="0" w:color="auto"/>
            </w:tcBorders>
            <w:hideMark/>
          </w:tcPr>
          <w:p w14:paraId="12E244E6" w14:textId="77777777" w:rsidR="00B932B6" w:rsidRPr="00B932B6" w:rsidRDefault="00B932B6" w:rsidP="00B932B6">
            <w:pPr>
              <w:spacing w:after="0"/>
            </w:pPr>
            <w:r w:rsidRPr="00B932B6">
              <w:t>Significant in competence changes</w:t>
            </w:r>
          </w:p>
        </w:tc>
      </w:tr>
      <w:tr w:rsidR="00B932B6" w:rsidRPr="00B932B6" w14:paraId="34763A36" w14:textId="77777777" w:rsidTr="00B932B6">
        <w:trPr>
          <w:trHeight w:val="125"/>
        </w:trPr>
        <w:tc>
          <w:tcPr>
            <w:tcW w:w="1007" w:type="dxa"/>
            <w:tcBorders>
              <w:top w:val="single" w:sz="4" w:space="0" w:color="auto"/>
              <w:left w:val="single" w:sz="4" w:space="0" w:color="auto"/>
              <w:bottom w:val="single" w:sz="4" w:space="0" w:color="auto"/>
              <w:right w:val="single" w:sz="4" w:space="0" w:color="auto"/>
            </w:tcBorders>
            <w:hideMark/>
          </w:tcPr>
          <w:p w14:paraId="1811E036" w14:textId="77777777" w:rsidR="00B932B6" w:rsidRPr="00B932B6" w:rsidRDefault="00B932B6" w:rsidP="00B932B6">
            <w:pPr>
              <w:spacing w:after="0"/>
            </w:pPr>
            <w:r w:rsidRPr="00B932B6">
              <w:t>Boutros et al. (2023</w:t>
            </w:r>
          </w:p>
        </w:tc>
        <w:tc>
          <w:tcPr>
            <w:tcW w:w="1321" w:type="dxa"/>
            <w:tcBorders>
              <w:top w:val="single" w:sz="4" w:space="0" w:color="auto"/>
              <w:left w:val="single" w:sz="4" w:space="0" w:color="auto"/>
              <w:bottom w:val="single" w:sz="4" w:space="0" w:color="auto"/>
              <w:right w:val="single" w:sz="4" w:space="0" w:color="auto"/>
            </w:tcBorders>
            <w:hideMark/>
          </w:tcPr>
          <w:p w14:paraId="00D325ED" w14:textId="77777777" w:rsidR="00B932B6" w:rsidRPr="00B932B6" w:rsidRDefault="00B932B6" w:rsidP="00B932B6">
            <w:pPr>
              <w:spacing w:after="0"/>
            </w:pPr>
            <w:r w:rsidRPr="00B932B6">
              <w:t>Adaptation to Educate and Train Healthcare Professionals</w:t>
            </w:r>
          </w:p>
        </w:tc>
        <w:tc>
          <w:tcPr>
            <w:tcW w:w="1026" w:type="dxa"/>
            <w:tcBorders>
              <w:top w:val="single" w:sz="4" w:space="0" w:color="auto"/>
              <w:left w:val="single" w:sz="4" w:space="0" w:color="auto"/>
              <w:bottom w:val="single" w:sz="4" w:space="0" w:color="auto"/>
              <w:right w:val="single" w:sz="4" w:space="0" w:color="auto"/>
            </w:tcBorders>
            <w:hideMark/>
          </w:tcPr>
          <w:p w14:paraId="3F62B250" w14:textId="77777777" w:rsidR="00B932B6" w:rsidRPr="00B932B6" w:rsidRDefault="00B932B6" w:rsidP="00B932B6">
            <w:pPr>
              <w:spacing w:after="0"/>
            </w:pPr>
            <w:r w:rsidRPr="00B932B6">
              <w:t>Scoping review</w:t>
            </w:r>
          </w:p>
        </w:tc>
        <w:tc>
          <w:tcPr>
            <w:tcW w:w="1312" w:type="dxa"/>
            <w:tcBorders>
              <w:top w:val="single" w:sz="4" w:space="0" w:color="auto"/>
              <w:left w:val="single" w:sz="4" w:space="0" w:color="auto"/>
              <w:bottom w:val="single" w:sz="4" w:space="0" w:color="auto"/>
              <w:right w:val="single" w:sz="4" w:space="0" w:color="auto"/>
            </w:tcBorders>
            <w:hideMark/>
          </w:tcPr>
          <w:p w14:paraId="485F9043" w14:textId="77777777" w:rsidR="00B932B6" w:rsidRPr="00B932B6" w:rsidRDefault="00B932B6" w:rsidP="00B932B6">
            <w:pPr>
              <w:spacing w:after="0"/>
            </w:pPr>
            <w:r w:rsidRPr="00B932B6">
              <w:t>Literature Review through existing literature</w:t>
            </w:r>
          </w:p>
        </w:tc>
        <w:tc>
          <w:tcPr>
            <w:tcW w:w="1464" w:type="dxa"/>
            <w:tcBorders>
              <w:top w:val="single" w:sz="4" w:space="0" w:color="auto"/>
              <w:left w:val="single" w:sz="4" w:space="0" w:color="auto"/>
              <w:bottom w:val="single" w:sz="4" w:space="0" w:color="auto"/>
              <w:right w:val="single" w:sz="4" w:space="0" w:color="auto"/>
            </w:tcBorders>
            <w:hideMark/>
          </w:tcPr>
          <w:p w14:paraId="152E408C" w14:textId="77777777" w:rsidR="00B932B6" w:rsidRPr="00B932B6" w:rsidRDefault="00B932B6" w:rsidP="00B932B6">
            <w:pPr>
              <w:spacing w:after="0"/>
            </w:pPr>
            <w:r w:rsidRPr="00B932B6">
              <w:t>Detailed analysis; lack of comparisons</w:t>
            </w:r>
          </w:p>
        </w:tc>
        <w:tc>
          <w:tcPr>
            <w:tcW w:w="1321" w:type="dxa"/>
            <w:tcBorders>
              <w:top w:val="single" w:sz="4" w:space="0" w:color="auto"/>
              <w:left w:val="single" w:sz="4" w:space="0" w:color="auto"/>
              <w:bottom w:val="single" w:sz="4" w:space="0" w:color="auto"/>
              <w:right w:val="single" w:sz="4" w:space="0" w:color="auto"/>
            </w:tcBorders>
            <w:hideMark/>
          </w:tcPr>
          <w:p w14:paraId="2A6EE50C" w14:textId="77777777" w:rsidR="00B932B6" w:rsidRPr="00B932B6" w:rsidRDefault="00B932B6" w:rsidP="00B932B6">
            <w:pPr>
              <w:spacing w:after="0"/>
            </w:pPr>
            <w:r w:rsidRPr="00B932B6">
              <w:t>E-learning prepared healthcare professionals</w:t>
            </w:r>
          </w:p>
        </w:tc>
        <w:tc>
          <w:tcPr>
            <w:tcW w:w="1321" w:type="dxa"/>
            <w:tcBorders>
              <w:top w:val="single" w:sz="4" w:space="0" w:color="auto"/>
              <w:left w:val="single" w:sz="4" w:space="0" w:color="auto"/>
              <w:bottom w:val="single" w:sz="4" w:space="0" w:color="auto"/>
              <w:right w:val="single" w:sz="4" w:space="0" w:color="auto"/>
            </w:tcBorders>
            <w:hideMark/>
          </w:tcPr>
          <w:p w14:paraId="7B55BAF2" w14:textId="77777777" w:rsidR="00B932B6" w:rsidRPr="00B932B6" w:rsidRDefault="00B932B6" w:rsidP="00B932B6">
            <w:pPr>
              <w:spacing w:after="0"/>
            </w:pPr>
            <w:r w:rsidRPr="00B932B6">
              <w:t>E-learning and Innovations</w:t>
            </w:r>
          </w:p>
        </w:tc>
        <w:tc>
          <w:tcPr>
            <w:tcW w:w="1150" w:type="dxa"/>
            <w:tcBorders>
              <w:top w:val="single" w:sz="4" w:space="0" w:color="auto"/>
              <w:left w:val="single" w:sz="4" w:space="0" w:color="auto"/>
              <w:bottom w:val="single" w:sz="4" w:space="0" w:color="auto"/>
              <w:right w:val="single" w:sz="4" w:space="0" w:color="auto"/>
            </w:tcBorders>
            <w:hideMark/>
          </w:tcPr>
          <w:p w14:paraId="22F1E1F5" w14:textId="77777777" w:rsidR="00B932B6" w:rsidRPr="00B932B6" w:rsidRDefault="00B932B6" w:rsidP="00B932B6">
            <w:pPr>
              <w:spacing w:after="0"/>
            </w:pPr>
            <w:proofErr w:type="gramStart"/>
            <w:r w:rsidRPr="00B932B6">
              <w:t>Helps</w:t>
            </w:r>
            <w:proofErr w:type="gramEnd"/>
            <w:r w:rsidRPr="00B932B6">
              <w:t xml:space="preserve"> identify best practices</w:t>
            </w:r>
          </w:p>
        </w:tc>
      </w:tr>
      <w:tr w:rsidR="00B932B6" w:rsidRPr="00B932B6" w14:paraId="17B5BC7B" w14:textId="77777777" w:rsidTr="00B932B6">
        <w:trPr>
          <w:trHeight w:val="125"/>
        </w:trPr>
        <w:tc>
          <w:tcPr>
            <w:tcW w:w="1007" w:type="dxa"/>
            <w:tcBorders>
              <w:top w:val="single" w:sz="4" w:space="0" w:color="auto"/>
              <w:left w:val="single" w:sz="4" w:space="0" w:color="auto"/>
              <w:bottom w:val="single" w:sz="4" w:space="0" w:color="auto"/>
              <w:right w:val="single" w:sz="4" w:space="0" w:color="auto"/>
            </w:tcBorders>
            <w:hideMark/>
          </w:tcPr>
          <w:p w14:paraId="36A40B06" w14:textId="77777777" w:rsidR="00B932B6" w:rsidRPr="00B932B6" w:rsidRDefault="00B932B6" w:rsidP="00B932B6">
            <w:pPr>
              <w:spacing w:after="0"/>
            </w:pPr>
            <w:r w:rsidRPr="00B932B6">
              <w:lastRenderedPageBreak/>
              <w:t>Martin et al. (2022)</w:t>
            </w:r>
          </w:p>
        </w:tc>
        <w:tc>
          <w:tcPr>
            <w:tcW w:w="1321" w:type="dxa"/>
            <w:tcBorders>
              <w:top w:val="single" w:sz="4" w:space="0" w:color="auto"/>
              <w:left w:val="single" w:sz="4" w:space="0" w:color="auto"/>
              <w:bottom w:val="single" w:sz="4" w:space="0" w:color="auto"/>
              <w:right w:val="single" w:sz="4" w:space="0" w:color="auto"/>
            </w:tcBorders>
            <w:hideMark/>
          </w:tcPr>
          <w:p w14:paraId="4E47C41D" w14:textId="77777777" w:rsidR="00B932B6" w:rsidRPr="00B932B6" w:rsidRDefault="00B932B6" w:rsidP="00B932B6">
            <w:pPr>
              <w:spacing w:after="0"/>
            </w:pPr>
            <w:r w:rsidRPr="00B932B6">
              <w:t>Impact of COVID-19 on the Methods of Supervision within Healthcare</w:t>
            </w:r>
          </w:p>
        </w:tc>
        <w:tc>
          <w:tcPr>
            <w:tcW w:w="1026" w:type="dxa"/>
            <w:tcBorders>
              <w:top w:val="single" w:sz="4" w:space="0" w:color="auto"/>
              <w:left w:val="single" w:sz="4" w:space="0" w:color="auto"/>
              <w:bottom w:val="single" w:sz="4" w:space="0" w:color="auto"/>
              <w:right w:val="single" w:sz="4" w:space="0" w:color="auto"/>
            </w:tcBorders>
            <w:hideMark/>
          </w:tcPr>
          <w:p w14:paraId="323B6BB2" w14:textId="77777777" w:rsidR="00B932B6" w:rsidRPr="00B932B6" w:rsidRDefault="00B932B6" w:rsidP="00B932B6">
            <w:pPr>
              <w:spacing w:after="0"/>
            </w:pPr>
            <w:r w:rsidRPr="00B932B6">
              <w:t>Rapid review</w:t>
            </w:r>
          </w:p>
        </w:tc>
        <w:tc>
          <w:tcPr>
            <w:tcW w:w="1312" w:type="dxa"/>
            <w:tcBorders>
              <w:top w:val="single" w:sz="4" w:space="0" w:color="auto"/>
              <w:left w:val="single" w:sz="4" w:space="0" w:color="auto"/>
              <w:bottom w:val="single" w:sz="4" w:space="0" w:color="auto"/>
              <w:right w:val="single" w:sz="4" w:space="0" w:color="auto"/>
            </w:tcBorders>
            <w:hideMark/>
          </w:tcPr>
          <w:p w14:paraId="2C9F595E" w14:textId="77777777" w:rsidR="00B932B6" w:rsidRPr="00B932B6" w:rsidRDefault="00B932B6" w:rsidP="00B932B6">
            <w:pPr>
              <w:spacing w:after="0"/>
            </w:pPr>
            <w:r w:rsidRPr="00B932B6">
              <w:t>Literature Review focusing on Supervisory Studies</w:t>
            </w:r>
          </w:p>
        </w:tc>
        <w:tc>
          <w:tcPr>
            <w:tcW w:w="1464" w:type="dxa"/>
            <w:tcBorders>
              <w:top w:val="single" w:sz="4" w:space="0" w:color="auto"/>
              <w:left w:val="single" w:sz="4" w:space="0" w:color="auto"/>
              <w:bottom w:val="single" w:sz="4" w:space="0" w:color="auto"/>
              <w:right w:val="single" w:sz="4" w:space="0" w:color="auto"/>
            </w:tcBorders>
            <w:hideMark/>
          </w:tcPr>
          <w:p w14:paraId="78342C7C" w14:textId="77777777" w:rsidR="00B932B6" w:rsidRPr="00B932B6" w:rsidRDefault="00B932B6" w:rsidP="00B932B6">
            <w:pPr>
              <w:spacing w:after="0"/>
            </w:pPr>
            <w:r w:rsidRPr="00B932B6">
              <w:t>Up-to-date information; lacks depth</w:t>
            </w:r>
          </w:p>
        </w:tc>
        <w:tc>
          <w:tcPr>
            <w:tcW w:w="1321" w:type="dxa"/>
            <w:tcBorders>
              <w:top w:val="single" w:sz="4" w:space="0" w:color="auto"/>
              <w:left w:val="single" w:sz="4" w:space="0" w:color="auto"/>
              <w:bottom w:val="single" w:sz="4" w:space="0" w:color="auto"/>
              <w:right w:val="single" w:sz="4" w:space="0" w:color="auto"/>
            </w:tcBorders>
            <w:hideMark/>
          </w:tcPr>
          <w:p w14:paraId="049B79E0" w14:textId="77777777" w:rsidR="00B932B6" w:rsidRPr="00B932B6" w:rsidRDefault="00B932B6" w:rsidP="00B932B6">
            <w:pPr>
              <w:spacing w:after="0"/>
            </w:pPr>
            <w:r w:rsidRPr="00B932B6">
              <w:t>Changes in supervision impacted competence</w:t>
            </w:r>
          </w:p>
        </w:tc>
        <w:tc>
          <w:tcPr>
            <w:tcW w:w="1321" w:type="dxa"/>
            <w:tcBorders>
              <w:top w:val="single" w:sz="4" w:space="0" w:color="auto"/>
              <w:left w:val="single" w:sz="4" w:space="0" w:color="auto"/>
              <w:bottom w:val="single" w:sz="4" w:space="0" w:color="auto"/>
              <w:right w:val="single" w:sz="4" w:space="0" w:color="auto"/>
            </w:tcBorders>
            <w:hideMark/>
          </w:tcPr>
          <w:p w14:paraId="5B9F3E58" w14:textId="77777777" w:rsidR="00B932B6" w:rsidRPr="00B932B6" w:rsidRDefault="00B932B6" w:rsidP="00B932B6">
            <w:pPr>
              <w:spacing w:after="0"/>
            </w:pPr>
            <w:r w:rsidRPr="00B932B6">
              <w:t>Supervision and Competence</w:t>
            </w:r>
          </w:p>
        </w:tc>
        <w:tc>
          <w:tcPr>
            <w:tcW w:w="1150" w:type="dxa"/>
            <w:tcBorders>
              <w:top w:val="single" w:sz="4" w:space="0" w:color="auto"/>
              <w:left w:val="single" w:sz="4" w:space="0" w:color="auto"/>
              <w:bottom w:val="single" w:sz="4" w:space="0" w:color="auto"/>
              <w:right w:val="single" w:sz="4" w:space="0" w:color="auto"/>
            </w:tcBorders>
            <w:hideMark/>
          </w:tcPr>
          <w:p w14:paraId="0727AA1D" w14:textId="77777777" w:rsidR="00B932B6" w:rsidRPr="00B932B6" w:rsidRDefault="00B932B6" w:rsidP="00B932B6">
            <w:pPr>
              <w:spacing w:after="0"/>
            </w:pPr>
            <w:r w:rsidRPr="00B932B6">
              <w:t>Highlights the need for support</w:t>
            </w:r>
          </w:p>
        </w:tc>
      </w:tr>
    </w:tbl>
    <w:p w14:paraId="0A8AE99E" w14:textId="77777777" w:rsidR="00B932B6" w:rsidRDefault="00B932B6" w:rsidP="00AD2E14">
      <w:pPr>
        <w:spacing w:after="0"/>
        <w:rPr>
          <w:rFonts w:ascii="Aptos" w:hAnsi="Aptos" w:cs="Arial"/>
          <w:sz w:val="28"/>
          <w:szCs w:val="28"/>
          <w:lang w:val="en-GB"/>
        </w:rPr>
      </w:pPr>
    </w:p>
    <w:p w14:paraId="0C0B5969" w14:textId="77777777" w:rsidR="00B932B6" w:rsidRDefault="00B932B6" w:rsidP="00AD2E14">
      <w:pPr>
        <w:spacing w:after="0"/>
        <w:rPr>
          <w:rFonts w:ascii="Aptos" w:hAnsi="Aptos" w:cs="Arial"/>
          <w:sz w:val="28"/>
          <w:szCs w:val="28"/>
          <w:lang w:val="en-GB"/>
        </w:rPr>
      </w:pPr>
    </w:p>
    <w:p w14:paraId="68C1E2BE" w14:textId="77777777" w:rsidR="00B932B6" w:rsidRDefault="00B932B6" w:rsidP="00AD2E14">
      <w:pPr>
        <w:spacing w:after="0"/>
        <w:rPr>
          <w:rFonts w:ascii="Aptos" w:hAnsi="Aptos" w:cs="Arial"/>
          <w:sz w:val="28"/>
          <w:szCs w:val="28"/>
          <w:lang w:val="en-GB"/>
        </w:rPr>
      </w:pPr>
    </w:p>
    <w:p w14:paraId="2198BC1C" w14:textId="77777777" w:rsidR="00B932B6" w:rsidRDefault="00B932B6" w:rsidP="00AD2E14">
      <w:pPr>
        <w:spacing w:after="0"/>
        <w:rPr>
          <w:rFonts w:ascii="Aptos" w:hAnsi="Aptos" w:cs="Arial"/>
          <w:sz w:val="28"/>
          <w:szCs w:val="28"/>
          <w:lang w:val="en-GB"/>
        </w:rPr>
      </w:pPr>
    </w:p>
    <w:p w14:paraId="5B62EEF0" w14:textId="77777777" w:rsidR="00B932B6" w:rsidRDefault="00B932B6" w:rsidP="00AD2E14">
      <w:pPr>
        <w:spacing w:after="0"/>
        <w:rPr>
          <w:rFonts w:ascii="Aptos" w:hAnsi="Aptos" w:cs="Arial"/>
          <w:sz w:val="28"/>
          <w:szCs w:val="28"/>
          <w:lang w:val="en-GB"/>
        </w:rPr>
      </w:pPr>
    </w:p>
    <w:p w14:paraId="56816B2C" w14:textId="77777777" w:rsidR="00B932B6" w:rsidRDefault="00B932B6" w:rsidP="00AD2E14">
      <w:pPr>
        <w:spacing w:after="0"/>
        <w:rPr>
          <w:rFonts w:ascii="Aptos" w:hAnsi="Aptos" w:cs="Arial"/>
          <w:sz w:val="28"/>
          <w:szCs w:val="28"/>
          <w:lang w:val="en-GB"/>
        </w:rPr>
      </w:pPr>
    </w:p>
    <w:p w14:paraId="2009070D" w14:textId="77777777" w:rsidR="00B932B6" w:rsidRDefault="00B932B6" w:rsidP="00AD2E14">
      <w:pPr>
        <w:spacing w:after="0"/>
        <w:rPr>
          <w:rFonts w:ascii="Aptos" w:hAnsi="Aptos" w:cs="Arial"/>
          <w:sz w:val="28"/>
          <w:szCs w:val="28"/>
          <w:lang w:val="en-GB"/>
        </w:rPr>
      </w:pPr>
    </w:p>
    <w:p w14:paraId="29995D2E" w14:textId="77777777" w:rsidR="00B932B6" w:rsidRDefault="00B932B6" w:rsidP="00AD2E14">
      <w:pPr>
        <w:spacing w:after="0"/>
        <w:rPr>
          <w:rFonts w:ascii="Aptos" w:hAnsi="Aptos" w:cs="Arial"/>
          <w:sz w:val="28"/>
          <w:szCs w:val="28"/>
          <w:lang w:val="en-GB"/>
        </w:rPr>
      </w:pPr>
    </w:p>
    <w:p w14:paraId="222B2536" w14:textId="77777777" w:rsidR="00B932B6" w:rsidRDefault="00B932B6" w:rsidP="00AD2E14">
      <w:pPr>
        <w:spacing w:after="0"/>
        <w:rPr>
          <w:rFonts w:ascii="Aptos" w:hAnsi="Aptos" w:cs="Arial"/>
          <w:sz w:val="28"/>
          <w:szCs w:val="28"/>
          <w:lang w:val="en-GB"/>
        </w:rPr>
      </w:pPr>
    </w:p>
    <w:p w14:paraId="54AB8B74" w14:textId="77777777" w:rsidR="00B932B6" w:rsidRDefault="00B932B6" w:rsidP="00AD2E14">
      <w:pPr>
        <w:spacing w:after="0"/>
        <w:rPr>
          <w:rFonts w:ascii="Aptos" w:hAnsi="Aptos" w:cs="Arial"/>
          <w:sz w:val="28"/>
          <w:szCs w:val="28"/>
          <w:lang w:val="en-GB"/>
        </w:rPr>
      </w:pPr>
    </w:p>
    <w:p w14:paraId="4921EB21" w14:textId="77777777" w:rsidR="00B932B6" w:rsidRDefault="00B932B6" w:rsidP="00AD2E14">
      <w:pPr>
        <w:spacing w:after="0"/>
        <w:rPr>
          <w:rFonts w:ascii="Aptos" w:hAnsi="Aptos" w:cs="Arial"/>
          <w:sz w:val="28"/>
          <w:szCs w:val="28"/>
          <w:lang w:val="en-GB"/>
        </w:rPr>
      </w:pPr>
    </w:p>
    <w:p w14:paraId="2E076D35" w14:textId="77777777" w:rsidR="00B932B6" w:rsidRDefault="00B932B6" w:rsidP="00AD2E14">
      <w:pPr>
        <w:spacing w:after="0"/>
        <w:rPr>
          <w:rFonts w:ascii="Aptos" w:hAnsi="Aptos" w:cs="Arial"/>
          <w:sz w:val="28"/>
          <w:szCs w:val="28"/>
          <w:lang w:val="en-GB"/>
        </w:rPr>
      </w:pPr>
    </w:p>
    <w:p w14:paraId="752B56A5" w14:textId="77777777" w:rsidR="00B932B6" w:rsidRDefault="00B932B6" w:rsidP="00AD2E14">
      <w:pPr>
        <w:spacing w:after="0"/>
        <w:rPr>
          <w:rFonts w:ascii="Aptos" w:hAnsi="Aptos" w:cs="Arial"/>
          <w:sz w:val="28"/>
          <w:szCs w:val="28"/>
          <w:lang w:val="en-GB"/>
        </w:rPr>
      </w:pPr>
    </w:p>
    <w:p w14:paraId="5C895814" w14:textId="77777777" w:rsidR="00B932B6" w:rsidRDefault="00B932B6" w:rsidP="00AD2E14">
      <w:pPr>
        <w:spacing w:after="0"/>
        <w:rPr>
          <w:rFonts w:ascii="Aptos" w:hAnsi="Aptos" w:cs="Arial"/>
          <w:sz w:val="28"/>
          <w:szCs w:val="28"/>
          <w:lang w:val="en-GB"/>
        </w:rPr>
      </w:pPr>
    </w:p>
    <w:p w14:paraId="01682806" w14:textId="77777777" w:rsidR="00B932B6" w:rsidRDefault="00B932B6" w:rsidP="00AD2E14">
      <w:pPr>
        <w:spacing w:after="0"/>
        <w:rPr>
          <w:rFonts w:ascii="Aptos" w:hAnsi="Aptos" w:cs="Arial"/>
          <w:sz w:val="28"/>
          <w:szCs w:val="28"/>
          <w:lang w:val="en-GB"/>
        </w:rPr>
      </w:pPr>
    </w:p>
    <w:p w14:paraId="34F3ED53" w14:textId="77777777" w:rsidR="00B932B6" w:rsidRDefault="00B932B6" w:rsidP="00AD2E14">
      <w:pPr>
        <w:spacing w:after="0"/>
        <w:rPr>
          <w:rFonts w:ascii="Aptos" w:hAnsi="Aptos" w:cs="Arial"/>
          <w:sz w:val="28"/>
          <w:szCs w:val="28"/>
          <w:lang w:val="en-GB"/>
        </w:rPr>
      </w:pPr>
    </w:p>
    <w:p w14:paraId="2F5D8B77" w14:textId="77777777" w:rsidR="00B932B6" w:rsidRDefault="00B932B6" w:rsidP="00AD2E14">
      <w:pPr>
        <w:spacing w:after="0"/>
        <w:rPr>
          <w:rFonts w:ascii="Aptos" w:hAnsi="Aptos" w:cs="Arial"/>
          <w:sz w:val="28"/>
          <w:szCs w:val="28"/>
          <w:lang w:val="en-GB"/>
        </w:rPr>
      </w:pPr>
    </w:p>
    <w:p w14:paraId="057AC99D" w14:textId="77777777" w:rsidR="00B932B6" w:rsidRDefault="00B932B6" w:rsidP="00AD2E14">
      <w:pPr>
        <w:spacing w:after="0"/>
        <w:rPr>
          <w:rFonts w:ascii="Aptos" w:hAnsi="Aptos" w:cs="Arial"/>
          <w:sz w:val="28"/>
          <w:szCs w:val="28"/>
          <w:lang w:val="en-GB"/>
        </w:rPr>
      </w:pPr>
    </w:p>
    <w:p w14:paraId="684A954D" w14:textId="77777777" w:rsidR="00B932B6" w:rsidRDefault="00B932B6" w:rsidP="00AD2E14">
      <w:pPr>
        <w:spacing w:after="0"/>
        <w:rPr>
          <w:rFonts w:ascii="Aptos" w:hAnsi="Aptos" w:cs="Arial"/>
          <w:sz w:val="28"/>
          <w:szCs w:val="28"/>
          <w:lang w:val="en-GB"/>
        </w:rPr>
      </w:pPr>
    </w:p>
    <w:p w14:paraId="47B521DC" w14:textId="77777777" w:rsidR="00B932B6" w:rsidRDefault="00B932B6" w:rsidP="00AD2E14">
      <w:pPr>
        <w:spacing w:after="0"/>
        <w:rPr>
          <w:rFonts w:ascii="Aptos" w:hAnsi="Aptos" w:cs="Arial"/>
          <w:sz w:val="28"/>
          <w:szCs w:val="28"/>
          <w:lang w:val="en-GB"/>
        </w:rPr>
      </w:pPr>
    </w:p>
    <w:p w14:paraId="3FEACCCA" w14:textId="77777777" w:rsidR="00B932B6" w:rsidRPr="00B932B6" w:rsidRDefault="00B932B6" w:rsidP="00B932B6">
      <w:pPr>
        <w:spacing w:after="0"/>
        <w:rPr>
          <w:rFonts w:ascii="Aptos" w:hAnsi="Aptos" w:cs="Arial"/>
          <w:b/>
          <w:sz w:val="28"/>
          <w:szCs w:val="28"/>
        </w:rPr>
      </w:pPr>
      <w:bookmarkStart w:id="32" w:name="_Toc232409305"/>
      <w:r w:rsidRPr="00B932B6">
        <w:rPr>
          <w:rFonts w:ascii="Aptos" w:hAnsi="Aptos" w:cs="Arial"/>
          <w:b/>
          <w:sz w:val="28"/>
          <w:szCs w:val="28"/>
          <w:lang w:val="en-GB"/>
        </w:rPr>
        <w:lastRenderedPageBreak/>
        <w:t xml:space="preserve">Appendix 3: </w:t>
      </w:r>
      <w:r w:rsidRPr="00B932B6">
        <w:rPr>
          <w:rFonts w:ascii="Aptos" w:hAnsi="Aptos" w:cs="Arial"/>
          <w:b/>
          <w:sz w:val="28"/>
          <w:szCs w:val="28"/>
        </w:rPr>
        <w:t>Independent Project Source Tracking Table</w:t>
      </w:r>
      <w:bookmarkEnd w:id="32"/>
    </w:p>
    <w:tbl>
      <w:tblPr>
        <w:tblStyle w:val="TableGrid"/>
        <w:tblW w:w="0" w:type="auto"/>
        <w:tblLook w:val="04A0" w:firstRow="1" w:lastRow="0" w:firstColumn="1" w:lastColumn="0" w:noHBand="0" w:noVBand="1"/>
      </w:tblPr>
      <w:tblGrid>
        <w:gridCol w:w="1821"/>
        <w:gridCol w:w="1844"/>
        <w:gridCol w:w="1850"/>
        <w:gridCol w:w="1858"/>
        <w:gridCol w:w="1977"/>
      </w:tblGrid>
      <w:tr w:rsidR="00B932B6" w:rsidRPr="00B932B6" w14:paraId="6BF23C9B" w14:textId="77777777">
        <w:tc>
          <w:tcPr>
            <w:tcW w:w="1870" w:type="dxa"/>
            <w:tcBorders>
              <w:top w:val="single" w:sz="4" w:space="0" w:color="auto"/>
              <w:left w:val="single" w:sz="4" w:space="0" w:color="auto"/>
              <w:bottom w:val="single" w:sz="4" w:space="0" w:color="auto"/>
              <w:right w:val="single" w:sz="4" w:space="0" w:color="auto"/>
            </w:tcBorders>
          </w:tcPr>
          <w:p w14:paraId="2DBF2B57" w14:textId="77777777" w:rsidR="00B932B6" w:rsidRPr="00B932B6" w:rsidRDefault="00B932B6" w:rsidP="00B932B6">
            <w:pPr>
              <w:spacing w:after="0"/>
              <w:rPr>
                <w:rFonts w:ascii="Aptos" w:hAnsi="Aptos" w:cs="Arial"/>
                <w:sz w:val="28"/>
                <w:szCs w:val="28"/>
              </w:rPr>
            </w:pPr>
          </w:p>
        </w:tc>
        <w:tc>
          <w:tcPr>
            <w:tcW w:w="1870" w:type="dxa"/>
            <w:tcBorders>
              <w:top w:val="single" w:sz="4" w:space="0" w:color="auto"/>
              <w:left w:val="single" w:sz="4" w:space="0" w:color="auto"/>
              <w:bottom w:val="single" w:sz="4" w:space="0" w:color="auto"/>
              <w:right w:val="single" w:sz="4" w:space="0" w:color="auto"/>
            </w:tcBorders>
            <w:hideMark/>
          </w:tcPr>
          <w:p w14:paraId="19EE66CC"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Author &amp; Year</w:t>
            </w:r>
          </w:p>
        </w:tc>
        <w:tc>
          <w:tcPr>
            <w:tcW w:w="1870" w:type="dxa"/>
            <w:tcBorders>
              <w:top w:val="single" w:sz="4" w:space="0" w:color="auto"/>
              <w:left w:val="single" w:sz="4" w:space="0" w:color="auto"/>
              <w:bottom w:val="single" w:sz="4" w:space="0" w:color="auto"/>
              <w:right w:val="single" w:sz="4" w:space="0" w:color="auto"/>
            </w:tcBorders>
            <w:hideMark/>
          </w:tcPr>
          <w:p w14:paraId="69EA70CE"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Title</w:t>
            </w:r>
          </w:p>
        </w:tc>
        <w:tc>
          <w:tcPr>
            <w:tcW w:w="1870" w:type="dxa"/>
            <w:tcBorders>
              <w:top w:val="single" w:sz="4" w:space="0" w:color="auto"/>
              <w:left w:val="single" w:sz="4" w:space="0" w:color="auto"/>
              <w:bottom w:val="single" w:sz="4" w:space="0" w:color="auto"/>
              <w:right w:val="single" w:sz="4" w:space="0" w:color="auto"/>
            </w:tcBorders>
            <w:hideMark/>
          </w:tcPr>
          <w:p w14:paraId="61F680BA"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Summary</w:t>
            </w:r>
          </w:p>
        </w:tc>
        <w:tc>
          <w:tcPr>
            <w:tcW w:w="1870" w:type="dxa"/>
            <w:tcBorders>
              <w:top w:val="single" w:sz="4" w:space="0" w:color="auto"/>
              <w:left w:val="single" w:sz="4" w:space="0" w:color="auto"/>
              <w:bottom w:val="single" w:sz="4" w:space="0" w:color="auto"/>
              <w:right w:val="single" w:sz="4" w:space="0" w:color="auto"/>
            </w:tcBorders>
            <w:hideMark/>
          </w:tcPr>
          <w:p w14:paraId="48B53D01"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Keywords / Codes</w:t>
            </w:r>
          </w:p>
        </w:tc>
      </w:tr>
      <w:tr w:rsidR="00B932B6" w:rsidRPr="00B932B6" w14:paraId="5C968DD8" w14:textId="77777777">
        <w:trPr>
          <w:trHeight w:val="7631"/>
        </w:trPr>
        <w:tc>
          <w:tcPr>
            <w:tcW w:w="1870" w:type="dxa"/>
            <w:tcBorders>
              <w:top w:val="single" w:sz="4" w:space="0" w:color="auto"/>
              <w:left w:val="single" w:sz="4" w:space="0" w:color="auto"/>
              <w:bottom w:val="single" w:sz="4" w:space="0" w:color="auto"/>
              <w:right w:val="single" w:sz="4" w:space="0" w:color="auto"/>
            </w:tcBorders>
            <w:hideMark/>
          </w:tcPr>
          <w:p w14:paraId="470C0011"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1</w:t>
            </w:r>
          </w:p>
        </w:tc>
        <w:tc>
          <w:tcPr>
            <w:tcW w:w="1870" w:type="dxa"/>
            <w:tcBorders>
              <w:top w:val="single" w:sz="4" w:space="0" w:color="auto"/>
              <w:left w:val="single" w:sz="4" w:space="0" w:color="auto"/>
              <w:bottom w:val="single" w:sz="4" w:space="0" w:color="auto"/>
              <w:right w:val="single" w:sz="4" w:space="0" w:color="auto"/>
            </w:tcBorders>
            <w:hideMark/>
          </w:tcPr>
          <w:p w14:paraId="326B6C76" w14:textId="77777777" w:rsidR="00B932B6" w:rsidRPr="00B932B6" w:rsidRDefault="00B932B6" w:rsidP="00B932B6">
            <w:pPr>
              <w:spacing w:after="0"/>
              <w:rPr>
                <w:rFonts w:ascii="Aptos" w:hAnsi="Aptos" w:cs="Arial"/>
                <w:sz w:val="28"/>
                <w:szCs w:val="28"/>
              </w:rPr>
            </w:pPr>
            <w:proofErr w:type="spellStart"/>
            <w:r w:rsidRPr="00B932B6">
              <w:rPr>
                <w:rFonts w:ascii="Aptos" w:hAnsi="Aptos" w:cs="Arial"/>
                <w:sz w:val="28"/>
                <w:szCs w:val="28"/>
              </w:rPr>
              <w:t>Goniewicz</w:t>
            </w:r>
            <w:proofErr w:type="spellEnd"/>
            <w:r w:rsidRPr="00B932B6">
              <w:rPr>
                <w:rFonts w:ascii="Aptos" w:hAnsi="Aptos" w:cs="Arial"/>
                <w:sz w:val="28"/>
                <w:szCs w:val="28"/>
              </w:rPr>
              <w:t xml:space="preserve"> et al. (2023)</w:t>
            </w:r>
          </w:p>
        </w:tc>
        <w:tc>
          <w:tcPr>
            <w:tcW w:w="1870" w:type="dxa"/>
            <w:tcBorders>
              <w:top w:val="single" w:sz="4" w:space="0" w:color="auto"/>
              <w:left w:val="single" w:sz="4" w:space="0" w:color="auto"/>
              <w:bottom w:val="single" w:sz="4" w:space="0" w:color="auto"/>
              <w:right w:val="single" w:sz="4" w:space="0" w:color="auto"/>
            </w:tcBorders>
            <w:hideMark/>
          </w:tcPr>
          <w:p w14:paraId="5E2CAE00"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Resilience in Emergency Medicine during COVID-19</w:t>
            </w:r>
          </w:p>
        </w:tc>
        <w:tc>
          <w:tcPr>
            <w:tcW w:w="1870" w:type="dxa"/>
            <w:tcBorders>
              <w:top w:val="single" w:sz="4" w:space="0" w:color="auto"/>
              <w:left w:val="single" w:sz="4" w:space="0" w:color="auto"/>
              <w:bottom w:val="single" w:sz="4" w:space="0" w:color="auto"/>
              <w:right w:val="single" w:sz="4" w:space="0" w:color="auto"/>
            </w:tcBorders>
            <w:hideMark/>
          </w:tcPr>
          <w:p w14:paraId="731C2C9C"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 xml:space="preserve">This assessment focused on </w:t>
            </w:r>
            <w:proofErr w:type="spellStart"/>
            <w:r w:rsidRPr="00B932B6">
              <w:rPr>
                <w:rFonts w:ascii="Aptos" w:hAnsi="Aptos" w:cs="Arial"/>
                <w:sz w:val="28"/>
                <w:szCs w:val="28"/>
              </w:rPr>
              <w:t>analysing</w:t>
            </w:r>
            <w:proofErr w:type="spellEnd"/>
            <w:r w:rsidRPr="00B932B6">
              <w:rPr>
                <w:rFonts w:ascii="Aptos" w:hAnsi="Aptos" w:cs="Arial"/>
                <w:sz w:val="28"/>
                <w:szCs w:val="28"/>
              </w:rPr>
              <w:t xml:space="preserve"> the readiness and resilience of emergency personnel during the time of the COVID-19 pandemic. The emergency response to the COVID-19 pandemic was assisted by fast training, although the </w:t>
            </w:r>
            <w:r w:rsidRPr="00B932B6">
              <w:rPr>
                <w:rFonts w:ascii="Aptos" w:hAnsi="Aptos" w:cs="Arial"/>
                <w:sz w:val="28"/>
                <w:szCs w:val="28"/>
              </w:rPr>
              <w:lastRenderedPageBreak/>
              <w:t>levels of confidence differed.</w:t>
            </w:r>
          </w:p>
        </w:tc>
        <w:tc>
          <w:tcPr>
            <w:tcW w:w="1870" w:type="dxa"/>
            <w:tcBorders>
              <w:top w:val="single" w:sz="4" w:space="0" w:color="auto"/>
              <w:left w:val="single" w:sz="4" w:space="0" w:color="auto"/>
              <w:bottom w:val="single" w:sz="4" w:space="0" w:color="auto"/>
              <w:right w:val="single" w:sz="4" w:space="0" w:color="auto"/>
            </w:tcBorders>
            <w:hideMark/>
          </w:tcPr>
          <w:p w14:paraId="1AE84B1E"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lastRenderedPageBreak/>
              <w:t>Resilience, Preparedness, Competency, Emergency Training</w:t>
            </w:r>
          </w:p>
        </w:tc>
      </w:tr>
      <w:tr w:rsidR="00B932B6" w:rsidRPr="00B932B6" w14:paraId="2925E0A1" w14:textId="77777777">
        <w:tc>
          <w:tcPr>
            <w:tcW w:w="1870" w:type="dxa"/>
            <w:tcBorders>
              <w:top w:val="single" w:sz="4" w:space="0" w:color="auto"/>
              <w:left w:val="single" w:sz="4" w:space="0" w:color="auto"/>
              <w:bottom w:val="single" w:sz="4" w:space="0" w:color="auto"/>
              <w:right w:val="single" w:sz="4" w:space="0" w:color="auto"/>
            </w:tcBorders>
            <w:hideMark/>
          </w:tcPr>
          <w:p w14:paraId="16CC9068"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Notes</w:t>
            </w:r>
          </w:p>
        </w:tc>
        <w:tc>
          <w:tcPr>
            <w:tcW w:w="5610" w:type="dxa"/>
            <w:gridSpan w:val="3"/>
            <w:tcBorders>
              <w:top w:val="single" w:sz="4" w:space="0" w:color="auto"/>
              <w:left w:val="single" w:sz="4" w:space="0" w:color="auto"/>
              <w:bottom w:val="single" w:sz="4" w:space="0" w:color="auto"/>
              <w:right w:val="single" w:sz="4" w:space="0" w:color="auto"/>
            </w:tcBorders>
            <w:hideMark/>
          </w:tcPr>
          <w:p w14:paraId="40CC9FB3"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Current: </w:t>
            </w:r>
            <w:r w:rsidRPr="00B932B6">
              <w:rPr>
                <w:rFonts w:ascii="Aptos" w:hAnsi="Aptos" w:cs="Arial"/>
                <w:sz w:val="28"/>
                <w:szCs w:val="28"/>
              </w:rPr>
              <w:t>2023 study</w:t>
            </w:r>
          </w:p>
          <w:p w14:paraId="05177F88"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Relevant: </w:t>
            </w:r>
            <w:r w:rsidRPr="00B932B6">
              <w:rPr>
                <w:rFonts w:ascii="Aptos" w:hAnsi="Aptos" w:cs="Arial"/>
                <w:sz w:val="28"/>
                <w:szCs w:val="28"/>
              </w:rPr>
              <w:t>Emergency training</w:t>
            </w:r>
          </w:p>
          <w:p w14:paraId="71842E4A"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Authority: </w:t>
            </w:r>
            <w:r w:rsidRPr="00B932B6">
              <w:rPr>
                <w:rFonts w:ascii="Aptos" w:hAnsi="Aptos" w:cs="Arial"/>
                <w:sz w:val="28"/>
                <w:szCs w:val="28"/>
              </w:rPr>
              <w:t>International researchers</w:t>
            </w:r>
          </w:p>
          <w:p w14:paraId="76F0BB53"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Accuracy: </w:t>
            </w:r>
            <w:r w:rsidRPr="00B932B6">
              <w:rPr>
                <w:rFonts w:ascii="Aptos" w:hAnsi="Aptos" w:cs="Arial"/>
                <w:sz w:val="28"/>
                <w:szCs w:val="28"/>
              </w:rPr>
              <w:t>Peer-reviewed empirical research</w:t>
            </w:r>
          </w:p>
          <w:p w14:paraId="0C4F5578" w14:textId="77777777" w:rsidR="00B932B6" w:rsidRPr="00B932B6" w:rsidRDefault="00B932B6" w:rsidP="00B932B6">
            <w:pPr>
              <w:numPr>
                <w:ilvl w:val="0"/>
                <w:numId w:val="37"/>
              </w:numPr>
              <w:spacing w:after="0"/>
              <w:rPr>
                <w:rFonts w:ascii="Aptos" w:hAnsi="Aptos" w:cs="Arial"/>
                <w:sz w:val="28"/>
                <w:szCs w:val="28"/>
              </w:rPr>
            </w:pPr>
            <w:r w:rsidRPr="00B932B6">
              <w:rPr>
                <w:rFonts w:ascii="Aptos" w:hAnsi="Aptos" w:cs="Arial"/>
                <w:b/>
                <w:sz w:val="28"/>
                <w:szCs w:val="28"/>
              </w:rPr>
              <w:t xml:space="preserve">Purpose: </w:t>
            </w:r>
            <w:r w:rsidRPr="00B932B6">
              <w:rPr>
                <w:rFonts w:ascii="Aptos" w:hAnsi="Aptos" w:cs="Arial"/>
                <w:sz w:val="28"/>
                <w:szCs w:val="28"/>
              </w:rPr>
              <w:t>Assess preparedness and competency outcomes</w:t>
            </w:r>
          </w:p>
        </w:tc>
        <w:tc>
          <w:tcPr>
            <w:tcW w:w="1870" w:type="dxa"/>
            <w:tcBorders>
              <w:top w:val="single" w:sz="4" w:space="0" w:color="auto"/>
              <w:left w:val="single" w:sz="4" w:space="0" w:color="auto"/>
              <w:bottom w:val="single" w:sz="4" w:space="0" w:color="auto"/>
              <w:right w:val="single" w:sz="4" w:space="0" w:color="auto"/>
            </w:tcBorders>
            <w:hideMark/>
          </w:tcPr>
          <w:p w14:paraId="5A8E88E0"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Score 5/5</w:t>
            </w:r>
          </w:p>
        </w:tc>
      </w:tr>
    </w:tbl>
    <w:p w14:paraId="2D273F81" w14:textId="77777777" w:rsidR="00B932B6" w:rsidRPr="00B932B6" w:rsidRDefault="00B932B6" w:rsidP="00B932B6">
      <w:pPr>
        <w:spacing w:after="0"/>
        <w:rPr>
          <w:rFonts w:ascii="Aptos" w:hAnsi="Aptos" w:cs="Arial"/>
          <w:sz w:val="28"/>
          <w:szCs w:val="28"/>
        </w:rPr>
      </w:pPr>
    </w:p>
    <w:tbl>
      <w:tblPr>
        <w:tblW w:w="0" w:type="auto"/>
        <w:tblLook w:val="04A0" w:firstRow="1" w:lastRow="0" w:firstColumn="1" w:lastColumn="0" w:noHBand="0" w:noVBand="1"/>
      </w:tblPr>
      <w:tblGrid>
        <w:gridCol w:w="1847"/>
        <w:gridCol w:w="1846"/>
        <w:gridCol w:w="1863"/>
        <w:gridCol w:w="1868"/>
        <w:gridCol w:w="1926"/>
      </w:tblGrid>
      <w:tr w:rsidR="00B932B6" w:rsidRPr="00B932B6" w14:paraId="4CAE6327" w14:textId="77777777">
        <w:tc>
          <w:tcPr>
            <w:tcW w:w="1870" w:type="dxa"/>
            <w:tcBorders>
              <w:top w:val="single" w:sz="4" w:space="0" w:color="auto"/>
              <w:left w:val="single" w:sz="4" w:space="0" w:color="auto"/>
              <w:bottom w:val="single" w:sz="4" w:space="0" w:color="auto"/>
              <w:right w:val="single" w:sz="4" w:space="0" w:color="auto"/>
            </w:tcBorders>
          </w:tcPr>
          <w:p w14:paraId="55BC087C" w14:textId="77777777" w:rsidR="00B932B6" w:rsidRPr="00B932B6" w:rsidRDefault="00B932B6" w:rsidP="00B932B6">
            <w:pPr>
              <w:spacing w:after="0"/>
              <w:rPr>
                <w:rFonts w:ascii="Aptos" w:hAnsi="Aptos" w:cs="Arial"/>
                <w:sz w:val="28"/>
                <w:szCs w:val="28"/>
              </w:rPr>
            </w:pPr>
          </w:p>
        </w:tc>
        <w:tc>
          <w:tcPr>
            <w:tcW w:w="1870" w:type="dxa"/>
            <w:tcBorders>
              <w:top w:val="single" w:sz="4" w:space="0" w:color="auto"/>
              <w:left w:val="single" w:sz="4" w:space="0" w:color="auto"/>
              <w:bottom w:val="single" w:sz="4" w:space="0" w:color="auto"/>
              <w:right w:val="single" w:sz="4" w:space="0" w:color="auto"/>
            </w:tcBorders>
            <w:hideMark/>
          </w:tcPr>
          <w:p w14:paraId="299E67F9"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Author &amp; Year</w:t>
            </w:r>
          </w:p>
        </w:tc>
        <w:tc>
          <w:tcPr>
            <w:tcW w:w="1870" w:type="dxa"/>
            <w:tcBorders>
              <w:top w:val="single" w:sz="4" w:space="0" w:color="auto"/>
              <w:left w:val="single" w:sz="4" w:space="0" w:color="auto"/>
              <w:bottom w:val="single" w:sz="4" w:space="0" w:color="auto"/>
              <w:right w:val="single" w:sz="4" w:space="0" w:color="auto"/>
            </w:tcBorders>
            <w:hideMark/>
          </w:tcPr>
          <w:p w14:paraId="3D0776A7"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Title</w:t>
            </w:r>
          </w:p>
        </w:tc>
        <w:tc>
          <w:tcPr>
            <w:tcW w:w="1870" w:type="dxa"/>
            <w:tcBorders>
              <w:top w:val="single" w:sz="4" w:space="0" w:color="auto"/>
              <w:left w:val="single" w:sz="4" w:space="0" w:color="auto"/>
              <w:bottom w:val="single" w:sz="4" w:space="0" w:color="auto"/>
              <w:right w:val="single" w:sz="4" w:space="0" w:color="auto"/>
            </w:tcBorders>
            <w:hideMark/>
          </w:tcPr>
          <w:p w14:paraId="625FAB2C"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Summary</w:t>
            </w:r>
          </w:p>
        </w:tc>
        <w:tc>
          <w:tcPr>
            <w:tcW w:w="1870" w:type="dxa"/>
            <w:tcBorders>
              <w:top w:val="single" w:sz="4" w:space="0" w:color="auto"/>
              <w:left w:val="single" w:sz="4" w:space="0" w:color="auto"/>
              <w:bottom w:val="single" w:sz="4" w:space="0" w:color="auto"/>
              <w:right w:val="single" w:sz="4" w:space="0" w:color="auto"/>
            </w:tcBorders>
            <w:hideMark/>
          </w:tcPr>
          <w:p w14:paraId="0B36B445"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Keywords / Codes</w:t>
            </w:r>
          </w:p>
        </w:tc>
      </w:tr>
      <w:tr w:rsidR="00B932B6" w:rsidRPr="00B932B6" w14:paraId="0091AC59" w14:textId="77777777">
        <w:tc>
          <w:tcPr>
            <w:tcW w:w="1870" w:type="dxa"/>
            <w:tcBorders>
              <w:top w:val="single" w:sz="4" w:space="0" w:color="auto"/>
              <w:left w:val="single" w:sz="4" w:space="0" w:color="auto"/>
              <w:bottom w:val="single" w:sz="4" w:space="0" w:color="auto"/>
              <w:right w:val="single" w:sz="4" w:space="0" w:color="auto"/>
            </w:tcBorders>
            <w:hideMark/>
          </w:tcPr>
          <w:p w14:paraId="591EAFD3"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lastRenderedPageBreak/>
              <w:t>Article 2</w:t>
            </w:r>
          </w:p>
        </w:tc>
        <w:tc>
          <w:tcPr>
            <w:tcW w:w="1870" w:type="dxa"/>
            <w:tcBorders>
              <w:top w:val="single" w:sz="4" w:space="0" w:color="auto"/>
              <w:left w:val="single" w:sz="4" w:space="0" w:color="auto"/>
              <w:bottom w:val="single" w:sz="4" w:space="0" w:color="auto"/>
              <w:right w:val="single" w:sz="4" w:space="0" w:color="auto"/>
            </w:tcBorders>
            <w:hideMark/>
          </w:tcPr>
          <w:p w14:paraId="094C17A2"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Pearse &amp; Scott (2023)</w:t>
            </w:r>
          </w:p>
        </w:tc>
        <w:tc>
          <w:tcPr>
            <w:tcW w:w="1870" w:type="dxa"/>
            <w:tcBorders>
              <w:top w:val="single" w:sz="4" w:space="0" w:color="auto"/>
              <w:left w:val="single" w:sz="4" w:space="0" w:color="auto"/>
              <w:bottom w:val="single" w:sz="4" w:space="0" w:color="auto"/>
              <w:right w:val="single" w:sz="4" w:space="0" w:color="auto"/>
            </w:tcBorders>
            <w:hideMark/>
          </w:tcPr>
          <w:p w14:paraId="47335D7F"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Clinical Laboratory Education, Training and Progression</w:t>
            </w:r>
          </w:p>
        </w:tc>
        <w:tc>
          <w:tcPr>
            <w:tcW w:w="1870" w:type="dxa"/>
            <w:tcBorders>
              <w:top w:val="single" w:sz="4" w:space="0" w:color="auto"/>
              <w:left w:val="single" w:sz="4" w:space="0" w:color="auto"/>
              <w:bottom w:val="single" w:sz="4" w:space="0" w:color="auto"/>
              <w:right w:val="single" w:sz="4" w:space="0" w:color="auto"/>
            </w:tcBorders>
            <w:hideMark/>
          </w:tcPr>
          <w:p w14:paraId="18969B18"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 xml:space="preserve">Report looking into the implications of COVID-19 on laboratory training. It focuses on new ways of working during </w:t>
            </w:r>
            <w:proofErr w:type="gramStart"/>
            <w:r w:rsidRPr="00B932B6">
              <w:rPr>
                <w:rFonts w:ascii="Aptos" w:hAnsi="Aptos" w:cs="Arial"/>
                <w:sz w:val="28"/>
                <w:szCs w:val="28"/>
              </w:rPr>
              <w:t>a crisis situation</w:t>
            </w:r>
            <w:proofErr w:type="gramEnd"/>
            <w:r w:rsidRPr="00B932B6">
              <w:rPr>
                <w:rFonts w:ascii="Aptos" w:hAnsi="Aptos" w:cs="Arial"/>
                <w:sz w:val="28"/>
                <w:szCs w:val="28"/>
              </w:rPr>
              <w:t>, problems of the workforce and development for the future workforce.</w:t>
            </w:r>
          </w:p>
        </w:tc>
        <w:tc>
          <w:tcPr>
            <w:tcW w:w="1870" w:type="dxa"/>
            <w:tcBorders>
              <w:top w:val="single" w:sz="4" w:space="0" w:color="auto"/>
              <w:left w:val="single" w:sz="4" w:space="0" w:color="auto"/>
              <w:bottom w:val="single" w:sz="4" w:space="0" w:color="auto"/>
              <w:right w:val="single" w:sz="4" w:space="0" w:color="auto"/>
            </w:tcBorders>
            <w:hideMark/>
          </w:tcPr>
          <w:p w14:paraId="64C8A5E8"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Education, Training, Workforce Development, Laboratory Services</w:t>
            </w:r>
          </w:p>
        </w:tc>
      </w:tr>
      <w:tr w:rsidR="00B932B6" w:rsidRPr="00B932B6" w14:paraId="2FC974BA" w14:textId="77777777">
        <w:tc>
          <w:tcPr>
            <w:tcW w:w="1870" w:type="dxa"/>
            <w:tcBorders>
              <w:top w:val="single" w:sz="4" w:space="0" w:color="auto"/>
              <w:left w:val="single" w:sz="4" w:space="0" w:color="auto"/>
              <w:bottom w:val="single" w:sz="4" w:space="0" w:color="auto"/>
              <w:right w:val="single" w:sz="4" w:space="0" w:color="auto"/>
            </w:tcBorders>
            <w:hideMark/>
          </w:tcPr>
          <w:p w14:paraId="6F8D777E"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Notes</w:t>
            </w:r>
          </w:p>
        </w:tc>
        <w:tc>
          <w:tcPr>
            <w:tcW w:w="5610" w:type="dxa"/>
            <w:gridSpan w:val="3"/>
            <w:tcBorders>
              <w:top w:val="single" w:sz="4" w:space="0" w:color="auto"/>
              <w:left w:val="single" w:sz="4" w:space="0" w:color="auto"/>
              <w:bottom w:val="single" w:sz="4" w:space="0" w:color="auto"/>
              <w:right w:val="single" w:sz="4" w:space="0" w:color="auto"/>
            </w:tcBorders>
            <w:hideMark/>
          </w:tcPr>
          <w:p w14:paraId="212E2093"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Current: </w:t>
            </w:r>
            <w:r w:rsidRPr="00B932B6">
              <w:rPr>
                <w:rFonts w:ascii="Aptos" w:hAnsi="Aptos" w:cs="Arial"/>
                <w:sz w:val="28"/>
                <w:szCs w:val="28"/>
              </w:rPr>
              <w:t>Published 2023</w:t>
            </w:r>
          </w:p>
          <w:p w14:paraId="01A479E7"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Relevant: </w:t>
            </w:r>
            <w:r w:rsidRPr="00B932B6">
              <w:rPr>
                <w:rFonts w:ascii="Aptos" w:hAnsi="Aptos" w:cs="Arial"/>
                <w:sz w:val="28"/>
                <w:szCs w:val="28"/>
              </w:rPr>
              <w:t>Relevant: Healthcare education</w:t>
            </w:r>
          </w:p>
          <w:p w14:paraId="1DE545DF"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Authority: </w:t>
            </w:r>
            <w:r w:rsidRPr="00B932B6">
              <w:rPr>
                <w:rFonts w:ascii="Aptos" w:hAnsi="Aptos" w:cs="Arial"/>
                <w:sz w:val="28"/>
                <w:szCs w:val="28"/>
              </w:rPr>
              <w:t>Biomedical science experts</w:t>
            </w:r>
          </w:p>
          <w:p w14:paraId="7FB64344"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Accuracy: </w:t>
            </w:r>
            <w:r w:rsidRPr="00B932B6">
              <w:rPr>
                <w:rFonts w:ascii="Aptos" w:hAnsi="Aptos" w:cs="Arial"/>
                <w:sz w:val="28"/>
                <w:szCs w:val="28"/>
              </w:rPr>
              <w:t>Peer-reviewed review</w:t>
            </w:r>
          </w:p>
          <w:p w14:paraId="0E3F8972" w14:textId="77777777" w:rsidR="00B932B6" w:rsidRPr="00B932B6" w:rsidRDefault="00B932B6" w:rsidP="00B932B6">
            <w:pPr>
              <w:numPr>
                <w:ilvl w:val="0"/>
                <w:numId w:val="37"/>
              </w:numPr>
              <w:spacing w:after="0"/>
              <w:rPr>
                <w:rFonts w:ascii="Aptos" w:hAnsi="Aptos" w:cs="Arial"/>
                <w:sz w:val="28"/>
                <w:szCs w:val="28"/>
              </w:rPr>
            </w:pPr>
            <w:r w:rsidRPr="00B932B6">
              <w:rPr>
                <w:rFonts w:ascii="Aptos" w:hAnsi="Aptos" w:cs="Arial"/>
                <w:b/>
                <w:sz w:val="28"/>
                <w:szCs w:val="28"/>
              </w:rPr>
              <w:t xml:space="preserve">Purpose: </w:t>
            </w:r>
            <w:r w:rsidRPr="00B932B6">
              <w:rPr>
                <w:rFonts w:ascii="Aptos" w:hAnsi="Aptos" w:cs="Arial"/>
                <w:sz w:val="28"/>
                <w:szCs w:val="28"/>
              </w:rPr>
              <w:t>Explore training challenges and progression</w:t>
            </w:r>
          </w:p>
        </w:tc>
        <w:tc>
          <w:tcPr>
            <w:tcW w:w="1870" w:type="dxa"/>
            <w:tcBorders>
              <w:top w:val="single" w:sz="4" w:space="0" w:color="auto"/>
              <w:left w:val="single" w:sz="4" w:space="0" w:color="auto"/>
              <w:bottom w:val="single" w:sz="4" w:space="0" w:color="auto"/>
              <w:right w:val="single" w:sz="4" w:space="0" w:color="auto"/>
            </w:tcBorders>
            <w:hideMark/>
          </w:tcPr>
          <w:p w14:paraId="36888E57"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CRAAP Score 5/5</w:t>
            </w:r>
          </w:p>
        </w:tc>
      </w:tr>
    </w:tbl>
    <w:p w14:paraId="5E8FC43B" w14:textId="77777777" w:rsidR="00B932B6" w:rsidRPr="00B932B6" w:rsidRDefault="00B932B6" w:rsidP="00B932B6">
      <w:pPr>
        <w:spacing w:after="0"/>
        <w:rPr>
          <w:rFonts w:ascii="Aptos" w:hAnsi="Aptos" w:cs="Arial"/>
          <w:sz w:val="28"/>
          <w:szCs w:val="28"/>
        </w:rPr>
      </w:pPr>
    </w:p>
    <w:tbl>
      <w:tblPr>
        <w:tblW w:w="0" w:type="auto"/>
        <w:tblLook w:val="04A0" w:firstRow="1" w:lastRow="0" w:firstColumn="1" w:lastColumn="0" w:noHBand="0" w:noVBand="1"/>
      </w:tblPr>
      <w:tblGrid>
        <w:gridCol w:w="1669"/>
        <w:gridCol w:w="1737"/>
        <w:gridCol w:w="1980"/>
        <w:gridCol w:w="1904"/>
        <w:gridCol w:w="2060"/>
      </w:tblGrid>
      <w:tr w:rsidR="00B932B6" w:rsidRPr="00B932B6" w14:paraId="7415C399" w14:textId="77777777">
        <w:tc>
          <w:tcPr>
            <w:tcW w:w="1870" w:type="dxa"/>
            <w:tcBorders>
              <w:top w:val="single" w:sz="4" w:space="0" w:color="auto"/>
              <w:left w:val="single" w:sz="4" w:space="0" w:color="auto"/>
              <w:bottom w:val="single" w:sz="4" w:space="0" w:color="auto"/>
              <w:right w:val="single" w:sz="4" w:space="0" w:color="auto"/>
            </w:tcBorders>
          </w:tcPr>
          <w:p w14:paraId="4C680245" w14:textId="77777777" w:rsidR="00B932B6" w:rsidRPr="00B932B6" w:rsidRDefault="00B932B6" w:rsidP="00B932B6">
            <w:pPr>
              <w:spacing w:after="0"/>
              <w:rPr>
                <w:rFonts w:ascii="Aptos" w:hAnsi="Aptos" w:cs="Arial"/>
                <w:sz w:val="28"/>
                <w:szCs w:val="28"/>
              </w:rPr>
            </w:pPr>
          </w:p>
        </w:tc>
        <w:tc>
          <w:tcPr>
            <w:tcW w:w="1870" w:type="dxa"/>
            <w:tcBorders>
              <w:top w:val="single" w:sz="4" w:space="0" w:color="auto"/>
              <w:left w:val="single" w:sz="4" w:space="0" w:color="auto"/>
              <w:bottom w:val="single" w:sz="4" w:space="0" w:color="auto"/>
              <w:right w:val="single" w:sz="4" w:space="0" w:color="auto"/>
            </w:tcBorders>
            <w:hideMark/>
          </w:tcPr>
          <w:p w14:paraId="4D2BEE0D"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Author &amp; Year</w:t>
            </w:r>
          </w:p>
        </w:tc>
        <w:tc>
          <w:tcPr>
            <w:tcW w:w="1870" w:type="dxa"/>
            <w:tcBorders>
              <w:top w:val="single" w:sz="4" w:space="0" w:color="auto"/>
              <w:left w:val="single" w:sz="4" w:space="0" w:color="auto"/>
              <w:bottom w:val="single" w:sz="4" w:space="0" w:color="auto"/>
              <w:right w:val="single" w:sz="4" w:space="0" w:color="auto"/>
            </w:tcBorders>
            <w:hideMark/>
          </w:tcPr>
          <w:p w14:paraId="29585286"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Title</w:t>
            </w:r>
          </w:p>
        </w:tc>
        <w:tc>
          <w:tcPr>
            <w:tcW w:w="1870" w:type="dxa"/>
            <w:tcBorders>
              <w:top w:val="single" w:sz="4" w:space="0" w:color="auto"/>
              <w:left w:val="single" w:sz="4" w:space="0" w:color="auto"/>
              <w:bottom w:val="single" w:sz="4" w:space="0" w:color="auto"/>
              <w:right w:val="single" w:sz="4" w:space="0" w:color="auto"/>
            </w:tcBorders>
            <w:hideMark/>
          </w:tcPr>
          <w:p w14:paraId="3C62A470"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Summary</w:t>
            </w:r>
          </w:p>
        </w:tc>
        <w:tc>
          <w:tcPr>
            <w:tcW w:w="1870" w:type="dxa"/>
            <w:tcBorders>
              <w:top w:val="single" w:sz="4" w:space="0" w:color="auto"/>
              <w:left w:val="single" w:sz="4" w:space="0" w:color="auto"/>
              <w:bottom w:val="single" w:sz="4" w:space="0" w:color="auto"/>
              <w:right w:val="single" w:sz="4" w:space="0" w:color="auto"/>
            </w:tcBorders>
            <w:hideMark/>
          </w:tcPr>
          <w:p w14:paraId="2F4B3AA6"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Keywords / Codes</w:t>
            </w:r>
          </w:p>
        </w:tc>
      </w:tr>
      <w:tr w:rsidR="00B932B6" w:rsidRPr="00B932B6" w14:paraId="2084DC94" w14:textId="77777777">
        <w:tc>
          <w:tcPr>
            <w:tcW w:w="1870" w:type="dxa"/>
            <w:tcBorders>
              <w:top w:val="single" w:sz="4" w:space="0" w:color="auto"/>
              <w:left w:val="single" w:sz="4" w:space="0" w:color="auto"/>
              <w:bottom w:val="single" w:sz="4" w:space="0" w:color="auto"/>
              <w:right w:val="single" w:sz="4" w:space="0" w:color="auto"/>
            </w:tcBorders>
            <w:hideMark/>
          </w:tcPr>
          <w:p w14:paraId="01FDC7DC"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3</w:t>
            </w:r>
          </w:p>
        </w:tc>
        <w:tc>
          <w:tcPr>
            <w:tcW w:w="1870" w:type="dxa"/>
            <w:tcBorders>
              <w:top w:val="single" w:sz="4" w:space="0" w:color="auto"/>
              <w:left w:val="single" w:sz="4" w:space="0" w:color="auto"/>
              <w:bottom w:val="single" w:sz="4" w:space="0" w:color="auto"/>
              <w:right w:val="single" w:sz="4" w:space="0" w:color="auto"/>
            </w:tcBorders>
            <w:hideMark/>
          </w:tcPr>
          <w:p w14:paraId="7FE8FF63"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Faulkner-</w:t>
            </w:r>
            <w:proofErr w:type="spellStart"/>
            <w:r w:rsidRPr="00B932B6">
              <w:rPr>
                <w:rFonts w:ascii="Aptos" w:hAnsi="Aptos" w:cs="Arial"/>
                <w:sz w:val="28"/>
                <w:szCs w:val="28"/>
              </w:rPr>
              <w:t>Gurstein</w:t>
            </w:r>
            <w:proofErr w:type="spellEnd"/>
            <w:r w:rsidRPr="00B932B6">
              <w:rPr>
                <w:rFonts w:ascii="Aptos" w:hAnsi="Aptos" w:cs="Arial"/>
                <w:sz w:val="28"/>
                <w:szCs w:val="28"/>
              </w:rPr>
              <w:t xml:space="preserve"> et al. (2022)</w:t>
            </w:r>
          </w:p>
        </w:tc>
        <w:tc>
          <w:tcPr>
            <w:tcW w:w="1870" w:type="dxa"/>
            <w:tcBorders>
              <w:top w:val="single" w:sz="4" w:space="0" w:color="auto"/>
              <w:left w:val="single" w:sz="4" w:space="0" w:color="auto"/>
              <w:bottom w:val="single" w:sz="4" w:space="0" w:color="auto"/>
              <w:right w:val="single" w:sz="4" w:space="0" w:color="auto"/>
            </w:tcBorders>
            <w:hideMark/>
          </w:tcPr>
          <w:p w14:paraId="289A6936"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Workforce Redeployment during COVID-19</w:t>
            </w:r>
          </w:p>
        </w:tc>
        <w:tc>
          <w:tcPr>
            <w:tcW w:w="1870" w:type="dxa"/>
            <w:tcBorders>
              <w:top w:val="single" w:sz="4" w:space="0" w:color="auto"/>
              <w:left w:val="single" w:sz="4" w:space="0" w:color="auto"/>
              <w:bottom w:val="single" w:sz="4" w:space="0" w:color="auto"/>
              <w:right w:val="single" w:sz="4" w:space="0" w:color="auto"/>
            </w:tcBorders>
            <w:hideMark/>
          </w:tcPr>
          <w:p w14:paraId="46C30AEB"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 xml:space="preserve">Study investigating redeployment of staff in a UK hospital during the COVID-19 pandemic. It revealed that redeployment had both benefits (maintaining services) and difficulties (greater need for support and adaptation from supervisors and the </w:t>
            </w:r>
            <w:r w:rsidRPr="00B932B6">
              <w:rPr>
                <w:rFonts w:ascii="Aptos" w:hAnsi="Aptos" w:cs="Arial"/>
                <w:sz w:val="28"/>
                <w:szCs w:val="28"/>
              </w:rPr>
              <w:lastRenderedPageBreak/>
              <w:t>redeployed staff themselves).</w:t>
            </w:r>
          </w:p>
        </w:tc>
        <w:tc>
          <w:tcPr>
            <w:tcW w:w="1870" w:type="dxa"/>
            <w:tcBorders>
              <w:top w:val="single" w:sz="4" w:space="0" w:color="auto"/>
              <w:left w:val="single" w:sz="4" w:space="0" w:color="auto"/>
              <w:bottom w:val="single" w:sz="4" w:space="0" w:color="auto"/>
              <w:right w:val="single" w:sz="4" w:space="0" w:color="auto"/>
            </w:tcBorders>
            <w:hideMark/>
          </w:tcPr>
          <w:p w14:paraId="4386AC18"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lastRenderedPageBreak/>
              <w:t>Redeployment, Workforce Flexibility, Role Adaptation, Competency</w:t>
            </w:r>
          </w:p>
        </w:tc>
      </w:tr>
      <w:tr w:rsidR="00B932B6" w:rsidRPr="00B932B6" w14:paraId="5119D8A9" w14:textId="77777777">
        <w:tc>
          <w:tcPr>
            <w:tcW w:w="1870" w:type="dxa"/>
            <w:tcBorders>
              <w:top w:val="single" w:sz="4" w:space="0" w:color="auto"/>
              <w:left w:val="single" w:sz="4" w:space="0" w:color="auto"/>
              <w:bottom w:val="single" w:sz="4" w:space="0" w:color="auto"/>
              <w:right w:val="single" w:sz="4" w:space="0" w:color="auto"/>
            </w:tcBorders>
            <w:hideMark/>
          </w:tcPr>
          <w:p w14:paraId="240ED4A9"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Notes</w:t>
            </w:r>
          </w:p>
        </w:tc>
        <w:tc>
          <w:tcPr>
            <w:tcW w:w="5610" w:type="dxa"/>
            <w:gridSpan w:val="3"/>
            <w:tcBorders>
              <w:top w:val="single" w:sz="4" w:space="0" w:color="auto"/>
              <w:left w:val="single" w:sz="4" w:space="0" w:color="auto"/>
              <w:bottom w:val="single" w:sz="4" w:space="0" w:color="auto"/>
              <w:right w:val="single" w:sz="4" w:space="0" w:color="auto"/>
            </w:tcBorders>
            <w:hideMark/>
          </w:tcPr>
          <w:p w14:paraId="68012864"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Current: </w:t>
            </w:r>
            <w:r w:rsidRPr="00B932B6">
              <w:rPr>
                <w:rFonts w:ascii="Aptos" w:hAnsi="Aptos" w:cs="Arial"/>
                <w:sz w:val="28"/>
                <w:szCs w:val="28"/>
              </w:rPr>
              <w:t>2022 publication</w:t>
            </w:r>
          </w:p>
          <w:p w14:paraId="0F776BBC"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Relevant: </w:t>
            </w:r>
            <w:r w:rsidRPr="00B932B6">
              <w:rPr>
                <w:rFonts w:ascii="Aptos" w:hAnsi="Aptos" w:cs="Arial"/>
                <w:sz w:val="28"/>
                <w:szCs w:val="28"/>
              </w:rPr>
              <w:t>Workforce adaptation</w:t>
            </w:r>
          </w:p>
          <w:p w14:paraId="736CB1E2"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Authority: </w:t>
            </w:r>
            <w:r w:rsidRPr="00B932B6">
              <w:rPr>
                <w:rFonts w:ascii="Aptos" w:hAnsi="Aptos" w:cs="Arial"/>
                <w:sz w:val="28"/>
                <w:szCs w:val="28"/>
              </w:rPr>
              <w:t>UK healthcare researchers</w:t>
            </w:r>
          </w:p>
          <w:p w14:paraId="2BF119D9"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Accuracy: </w:t>
            </w:r>
            <w:r w:rsidRPr="00B932B6">
              <w:rPr>
                <w:rFonts w:ascii="Aptos" w:hAnsi="Aptos" w:cs="Arial"/>
                <w:sz w:val="28"/>
                <w:szCs w:val="28"/>
              </w:rPr>
              <w:t>Qualitative case study</w:t>
            </w:r>
          </w:p>
          <w:p w14:paraId="5B795F4A" w14:textId="4599AADB" w:rsidR="00B932B6" w:rsidRPr="00B932B6" w:rsidRDefault="00B932B6" w:rsidP="00B932B6">
            <w:pPr>
              <w:numPr>
                <w:ilvl w:val="0"/>
                <w:numId w:val="37"/>
              </w:numPr>
              <w:spacing w:after="0"/>
              <w:rPr>
                <w:rFonts w:ascii="Aptos" w:hAnsi="Aptos" w:cs="Arial"/>
                <w:sz w:val="28"/>
                <w:szCs w:val="28"/>
              </w:rPr>
            </w:pPr>
            <w:r w:rsidRPr="00B932B6">
              <w:rPr>
                <w:rFonts w:ascii="Aptos" w:hAnsi="Aptos" w:cs="Arial"/>
                <w:b/>
                <w:sz w:val="28"/>
                <w:szCs w:val="28"/>
              </w:rPr>
              <w:t>Purpose:</w:t>
            </w:r>
            <w:r>
              <w:rPr>
                <w:rFonts w:ascii="Aptos" w:hAnsi="Aptos" w:cs="Arial"/>
                <w:b/>
                <w:sz w:val="28"/>
                <w:szCs w:val="28"/>
              </w:rPr>
              <w:t xml:space="preserve"> </w:t>
            </w:r>
            <w:proofErr w:type="spellStart"/>
            <w:r w:rsidRPr="00B932B6">
              <w:rPr>
                <w:rFonts w:ascii="Aptos" w:hAnsi="Aptos" w:cs="Arial"/>
                <w:sz w:val="28"/>
                <w:szCs w:val="28"/>
              </w:rPr>
              <w:t>Analyse</w:t>
            </w:r>
            <w:proofErr w:type="spellEnd"/>
            <w:r w:rsidRPr="00B932B6">
              <w:rPr>
                <w:rFonts w:ascii="Aptos" w:hAnsi="Aptos" w:cs="Arial"/>
                <w:sz w:val="28"/>
                <w:szCs w:val="28"/>
              </w:rPr>
              <w:t xml:space="preserve"> redeployment impacts</w:t>
            </w:r>
          </w:p>
        </w:tc>
        <w:tc>
          <w:tcPr>
            <w:tcW w:w="1870" w:type="dxa"/>
            <w:tcBorders>
              <w:top w:val="single" w:sz="4" w:space="0" w:color="auto"/>
              <w:left w:val="single" w:sz="4" w:space="0" w:color="auto"/>
              <w:bottom w:val="single" w:sz="4" w:space="0" w:color="auto"/>
              <w:right w:val="single" w:sz="4" w:space="0" w:color="auto"/>
            </w:tcBorders>
            <w:hideMark/>
          </w:tcPr>
          <w:p w14:paraId="5A498255"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Score 5/5</w:t>
            </w:r>
          </w:p>
        </w:tc>
      </w:tr>
    </w:tbl>
    <w:p w14:paraId="6799A6CE" w14:textId="77777777" w:rsidR="00B932B6" w:rsidRPr="00B932B6" w:rsidRDefault="00B932B6" w:rsidP="00B932B6">
      <w:pPr>
        <w:spacing w:after="0"/>
        <w:rPr>
          <w:rFonts w:ascii="Aptos" w:hAnsi="Aptos" w:cs="Arial"/>
          <w:sz w:val="28"/>
          <w:szCs w:val="28"/>
        </w:rPr>
      </w:pPr>
    </w:p>
    <w:tbl>
      <w:tblPr>
        <w:tblW w:w="0" w:type="auto"/>
        <w:tblLook w:val="04A0" w:firstRow="1" w:lastRow="0" w:firstColumn="1" w:lastColumn="0" w:noHBand="0" w:noVBand="1"/>
      </w:tblPr>
      <w:tblGrid>
        <w:gridCol w:w="1810"/>
        <w:gridCol w:w="1815"/>
        <w:gridCol w:w="1855"/>
        <w:gridCol w:w="1893"/>
        <w:gridCol w:w="1977"/>
      </w:tblGrid>
      <w:tr w:rsidR="00B932B6" w:rsidRPr="00B932B6" w14:paraId="60F4AE6C" w14:textId="77777777">
        <w:tc>
          <w:tcPr>
            <w:tcW w:w="1870" w:type="dxa"/>
            <w:tcBorders>
              <w:top w:val="single" w:sz="4" w:space="0" w:color="auto"/>
              <w:left w:val="single" w:sz="4" w:space="0" w:color="auto"/>
              <w:bottom w:val="single" w:sz="4" w:space="0" w:color="auto"/>
              <w:right w:val="single" w:sz="4" w:space="0" w:color="auto"/>
            </w:tcBorders>
          </w:tcPr>
          <w:p w14:paraId="0CA11DC2" w14:textId="77777777" w:rsidR="00B932B6" w:rsidRPr="00B932B6" w:rsidRDefault="00B932B6" w:rsidP="00B932B6">
            <w:pPr>
              <w:spacing w:after="0"/>
              <w:rPr>
                <w:rFonts w:ascii="Aptos" w:hAnsi="Aptos" w:cs="Arial"/>
                <w:sz w:val="28"/>
                <w:szCs w:val="28"/>
              </w:rPr>
            </w:pPr>
          </w:p>
        </w:tc>
        <w:tc>
          <w:tcPr>
            <w:tcW w:w="1870" w:type="dxa"/>
            <w:tcBorders>
              <w:top w:val="single" w:sz="4" w:space="0" w:color="auto"/>
              <w:left w:val="single" w:sz="4" w:space="0" w:color="auto"/>
              <w:bottom w:val="single" w:sz="4" w:space="0" w:color="auto"/>
              <w:right w:val="single" w:sz="4" w:space="0" w:color="auto"/>
            </w:tcBorders>
            <w:hideMark/>
          </w:tcPr>
          <w:p w14:paraId="1BFF44B1"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Author &amp; Year</w:t>
            </w:r>
          </w:p>
        </w:tc>
        <w:tc>
          <w:tcPr>
            <w:tcW w:w="1870" w:type="dxa"/>
            <w:tcBorders>
              <w:top w:val="single" w:sz="4" w:space="0" w:color="auto"/>
              <w:left w:val="single" w:sz="4" w:space="0" w:color="auto"/>
              <w:bottom w:val="single" w:sz="4" w:space="0" w:color="auto"/>
              <w:right w:val="single" w:sz="4" w:space="0" w:color="auto"/>
            </w:tcBorders>
            <w:hideMark/>
          </w:tcPr>
          <w:p w14:paraId="2AFAEA08"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Title</w:t>
            </w:r>
          </w:p>
        </w:tc>
        <w:tc>
          <w:tcPr>
            <w:tcW w:w="1870" w:type="dxa"/>
            <w:tcBorders>
              <w:top w:val="single" w:sz="4" w:space="0" w:color="auto"/>
              <w:left w:val="single" w:sz="4" w:space="0" w:color="auto"/>
              <w:bottom w:val="single" w:sz="4" w:space="0" w:color="auto"/>
              <w:right w:val="single" w:sz="4" w:space="0" w:color="auto"/>
            </w:tcBorders>
            <w:hideMark/>
          </w:tcPr>
          <w:p w14:paraId="76F1036E"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Summary</w:t>
            </w:r>
          </w:p>
        </w:tc>
        <w:tc>
          <w:tcPr>
            <w:tcW w:w="1870" w:type="dxa"/>
            <w:tcBorders>
              <w:top w:val="single" w:sz="4" w:space="0" w:color="auto"/>
              <w:left w:val="single" w:sz="4" w:space="0" w:color="auto"/>
              <w:bottom w:val="single" w:sz="4" w:space="0" w:color="auto"/>
              <w:right w:val="single" w:sz="4" w:space="0" w:color="auto"/>
            </w:tcBorders>
            <w:hideMark/>
          </w:tcPr>
          <w:p w14:paraId="171D7A97"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Keywords / Codes</w:t>
            </w:r>
          </w:p>
        </w:tc>
      </w:tr>
      <w:tr w:rsidR="00B932B6" w:rsidRPr="00B932B6" w14:paraId="7DC66760" w14:textId="77777777">
        <w:tc>
          <w:tcPr>
            <w:tcW w:w="1870" w:type="dxa"/>
            <w:tcBorders>
              <w:top w:val="single" w:sz="4" w:space="0" w:color="auto"/>
              <w:left w:val="single" w:sz="4" w:space="0" w:color="auto"/>
              <w:bottom w:val="single" w:sz="4" w:space="0" w:color="auto"/>
              <w:right w:val="single" w:sz="4" w:space="0" w:color="auto"/>
            </w:tcBorders>
            <w:hideMark/>
          </w:tcPr>
          <w:p w14:paraId="25D44E96"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4</w:t>
            </w:r>
          </w:p>
        </w:tc>
        <w:tc>
          <w:tcPr>
            <w:tcW w:w="1870" w:type="dxa"/>
            <w:tcBorders>
              <w:top w:val="single" w:sz="4" w:space="0" w:color="auto"/>
              <w:left w:val="single" w:sz="4" w:space="0" w:color="auto"/>
              <w:bottom w:val="single" w:sz="4" w:space="0" w:color="auto"/>
              <w:right w:val="single" w:sz="4" w:space="0" w:color="auto"/>
            </w:tcBorders>
            <w:hideMark/>
          </w:tcPr>
          <w:p w14:paraId="5CD792CD"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Boutros et al. (2023)</w:t>
            </w:r>
          </w:p>
        </w:tc>
        <w:tc>
          <w:tcPr>
            <w:tcW w:w="1870" w:type="dxa"/>
            <w:tcBorders>
              <w:top w:val="single" w:sz="4" w:space="0" w:color="auto"/>
              <w:left w:val="single" w:sz="4" w:space="0" w:color="auto"/>
              <w:bottom w:val="single" w:sz="4" w:space="0" w:color="auto"/>
              <w:right w:val="single" w:sz="4" w:space="0" w:color="auto"/>
            </w:tcBorders>
            <w:hideMark/>
          </w:tcPr>
          <w:p w14:paraId="5527B928"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Education and Training Adaptations for Health Workers</w:t>
            </w:r>
          </w:p>
        </w:tc>
        <w:tc>
          <w:tcPr>
            <w:tcW w:w="1870" w:type="dxa"/>
            <w:tcBorders>
              <w:top w:val="single" w:sz="4" w:space="0" w:color="auto"/>
              <w:left w:val="single" w:sz="4" w:space="0" w:color="auto"/>
              <w:bottom w:val="single" w:sz="4" w:space="0" w:color="auto"/>
              <w:right w:val="single" w:sz="4" w:space="0" w:color="auto"/>
            </w:tcBorders>
            <w:hideMark/>
          </w:tcPr>
          <w:p w14:paraId="6FF728F1"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 xml:space="preserve">Examined digital learning, simulation and other innovative methods implemented in response to the COVID-19 pandemic to develop preparedness </w:t>
            </w:r>
            <w:r w:rsidRPr="00B932B6">
              <w:rPr>
                <w:rFonts w:ascii="Aptos" w:hAnsi="Aptos" w:cs="Arial"/>
                <w:sz w:val="28"/>
                <w:szCs w:val="28"/>
              </w:rPr>
              <w:lastRenderedPageBreak/>
              <w:t>of the workforce.</w:t>
            </w:r>
          </w:p>
        </w:tc>
        <w:tc>
          <w:tcPr>
            <w:tcW w:w="1870" w:type="dxa"/>
            <w:tcBorders>
              <w:top w:val="single" w:sz="4" w:space="0" w:color="auto"/>
              <w:left w:val="single" w:sz="4" w:space="0" w:color="auto"/>
              <w:bottom w:val="single" w:sz="4" w:space="0" w:color="auto"/>
              <w:right w:val="single" w:sz="4" w:space="0" w:color="auto"/>
            </w:tcBorders>
            <w:hideMark/>
          </w:tcPr>
          <w:p w14:paraId="77EA9797"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lastRenderedPageBreak/>
              <w:t>Innovation, E-learning, Preparedness, Training Adaptation</w:t>
            </w:r>
          </w:p>
        </w:tc>
      </w:tr>
      <w:tr w:rsidR="00B932B6" w:rsidRPr="00B932B6" w14:paraId="74BF1EBB" w14:textId="77777777">
        <w:tc>
          <w:tcPr>
            <w:tcW w:w="1870" w:type="dxa"/>
            <w:tcBorders>
              <w:top w:val="single" w:sz="4" w:space="0" w:color="auto"/>
              <w:left w:val="single" w:sz="4" w:space="0" w:color="auto"/>
              <w:bottom w:val="single" w:sz="4" w:space="0" w:color="auto"/>
              <w:right w:val="single" w:sz="4" w:space="0" w:color="auto"/>
            </w:tcBorders>
            <w:hideMark/>
          </w:tcPr>
          <w:p w14:paraId="3F78C0E4"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Notes</w:t>
            </w:r>
          </w:p>
        </w:tc>
        <w:tc>
          <w:tcPr>
            <w:tcW w:w="5610" w:type="dxa"/>
            <w:gridSpan w:val="3"/>
            <w:tcBorders>
              <w:top w:val="single" w:sz="4" w:space="0" w:color="auto"/>
              <w:left w:val="single" w:sz="4" w:space="0" w:color="auto"/>
              <w:bottom w:val="single" w:sz="4" w:space="0" w:color="auto"/>
              <w:right w:val="single" w:sz="4" w:space="0" w:color="auto"/>
            </w:tcBorders>
            <w:hideMark/>
          </w:tcPr>
          <w:p w14:paraId="168CBDC7"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Current: </w:t>
            </w:r>
            <w:r w:rsidRPr="00B932B6">
              <w:rPr>
                <w:rFonts w:ascii="Aptos" w:hAnsi="Aptos" w:cs="Arial"/>
                <w:sz w:val="28"/>
                <w:szCs w:val="28"/>
              </w:rPr>
              <w:t>Published 2023</w:t>
            </w:r>
          </w:p>
          <w:p w14:paraId="305931B1"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Relevant: </w:t>
            </w:r>
            <w:r w:rsidRPr="00B932B6">
              <w:rPr>
                <w:rFonts w:ascii="Aptos" w:hAnsi="Aptos" w:cs="Arial"/>
                <w:sz w:val="28"/>
                <w:szCs w:val="28"/>
              </w:rPr>
              <w:t>Emergency training adaptations</w:t>
            </w:r>
          </w:p>
          <w:p w14:paraId="68D42831"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Authority: </w:t>
            </w:r>
            <w:r w:rsidRPr="00B932B6">
              <w:rPr>
                <w:rFonts w:ascii="Aptos" w:hAnsi="Aptos" w:cs="Arial"/>
                <w:sz w:val="28"/>
                <w:szCs w:val="28"/>
              </w:rPr>
              <w:t>Multidisciplinary authors.</w:t>
            </w:r>
          </w:p>
          <w:p w14:paraId="2E16D849"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Accuracy: </w:t>
            </w:r>
            <w:r w:rsidRPr="00B932B6">
              <w:rPr>
                <w:rFonts w:ascii="Aptos" w:hAnsi="Aptos" w:cs="Arial"/>
                <w:sz w:val="28"/>
                <w:szCs w:val="28"/>
              </w:rPr>
              <w:t>Scoping review</w:t>
            </w:r>
          </w:p>
          <w:p w14:paraId="3D74455B" w14:textId="77777777" w:rsidR="00B932B6" w:rsidRPr="00B932B6" w:rsidRDefault="00B932B6" w:rsidP="00B932B6">
            <w:pPr>
              <w:numPr>
                <w:ilvl w:val="0"/>
                <w:numId w:val="37"/>
              </w:numPr>
              <w:spacing w:after="0"/>
              <w:rPr>
                <w:rFonts w:ascii="Aptos" w:hAnsi="Aptos" w:cs="Arial"/>
                <w:sz w:val="28"/>
                <w:szCs w:val="28"/>
              </w:rPr>
            </w:pPr>
            <w:r w:rsidRPr="00B932B6">
              <w:rPr>
                <w:rFonts w:ascii="Aptos" w:hAnsi="Aptos" w:cs="Arial"/>
                <w:b/>
                <w:sz w:val="28"/>
                <w:szCs w:val="28"/>
              </w:rPr>
              <w:t>Purpose:</w:t>
            </w:r>
            <w:r w:rsidRPr="00B932B6">
              <w:rPr>
                <w:rFonts w:ascii="Aptos" w:hAnsi="Aptos" w:cs="Arial"/>
                <w:sz w:val="28"/>
                <w:szCs w:val="28"/>
              </w:rPr>
              <w:t xml:space="preserve"> Identify innovations and lessons</w:t>
            </w:r>
          </w:p>
        </w:tc>
        <w:tc>
          <w:tcPr>
            <w:tcW w:w="1870" w:type="dxa"/>
            <w:tcBorders>
              <w:top w:val="single" w:sz="4" w:space="0" w:color="auto"/>
              <w:left w:val="single" w:sz="4" w:space="0" w:color="auto"/>
              <w:bottom w:val="single" w:sz="4" w:space="0" w:color="auto"/>
              <w:right w:val="single" w:sz="4" w:space="0" w:color="auto"/>
            </w:tcBorders>
            <w:hideMark/>
          </w:tcPr>
          <w:p w14:paraId="30958FEC"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Score 5/5</w:t>
            </w:r>
          </w:p>
        </w:tc>
      </w:tr>
    </w:tbl>
    <w:p w14:paraId="630AEF81" w14:textId="77777777" w:rsidR="00B932B6" w:rsidRPr="00B932B6" w:rsidRDefault="00B932B6" w:rsidP="00B932B6">
      <w:pPr>
        <w:spacing w:after="0"/>
        <w:rPr>
          <w:rFonts w:ascii="Aptos" w:hAnsi="Aptos" w:cs="Arial"/>
          <w:sz w:val="28"/>
          <w:szCs w:val="28"/>
        </w:rPr>
      </w:pPr>
    </w:p>
    <w:tbl>
      <w:tblPr>
        <w:tblW w:w="0" w:type="auto"/>
        <w:tblLook w:val="04A0" w:firstRow="1" w:lastRow="0" w:firstColumn="1" w:lastColumn="0" w:noHBand="0" w:noVBand="1"/>
      </w:tblPr>
      <w:tblGrid>
        <w:gridCol w:w="1870"/>
        <w:gridCol w:w="1870"/>
        <w:gridCol w:w="1870"/>
        <w:gridCol w:w="1870"/>
        <w:gridCol w:w="1870"/>
      </w:tblGrid>
      <w:tr w:rsidR="00B932B6" w:rsidRPr="00B932B6" w14:paraId="6C954E9D" w14:textId="77777777">
        <w:tc>
          <w:tcPr>
            <w:tcW w:w="1870" w:type="dxa"/>
            <w:tcBorders>
              <w:top w:val="single" w:sz="4" w:space="0" w:color="auto"/>
              <w:left w:val="single" w:sz="4" w:space="0" w:color="auto"/>
              <w:bottom w:val="single" w:sz="4" w:space="0" w:color="auto"/>
              <w:right w:val="single" w:sz="4" w:space="0" w:color="auto"/>
            </w:tcBorders>
          </w:tcPr>
          <w:p w14:paraId="35932691" w14:textId="77777777" w:rsidR="00B932B6" w:rsidRPr="00B932B6" w:rsidRDefault="00B932B6" w:rsidP="00B932B6">
            <w:pPr>
              <w:spacing w:after="0"/>
              <w:rPr>
                <w:rFonts w:ascii="Aptos" w:hAnsi="Aptos" w:cs="Arial"/>
                <w:sz w:val="28"/>
                <w:szCs w:val="28"/>
              </w:rPr>
            </w:pPr>
          </w:p>
        </w:tc>
        <w:tc>
          <w:tcPr>
            <w:tcW w:w="1870" w:type="dxa"/>
            <w:tcBorders>
              <w:top w:val="single" w:sz="4" w:space="0" w:color="auto"/>
              <w:left w:val="single" w:sz="4" w:space="0" w:color="auto"/>
              <w:bottom w:val="single" w:sz="4" w:space="0" w:color="auto"/>
              <w:right w:val="single" w:sz="4" w:space="0" w:color="auto"/>
            </w:tcBorders>
            <w:hideMark/>
          </w:tcPr>
          <w:p w14:paraId="693B686F"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Author &amp; Year</w:t>
            </w:r>
          </w:p>
        </w:tc>
        <w:tc>
          <w:tcPr>
            <w:tcW w:w="1870" w:type="dxa"/>
            <w:tcBorders>
              <w:top w:val="single" w:sz="4" w:space="0" w:color="auto"/>
              <w:left w:val="single" w:sz="4" w:space="0" w:color="auto"/>
              <w:bottom w:val="single" w:sz="4" w:space="0" w:color="auto"/>
              <w:right w:val="single" w:sz="4" w:space="0" w:color="auto"/>
            </w:tcBorders>
            <w:hideMark/>
          </w:tcPr>
          <w:p w14:paraId="27224969"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Title</w:t>
            </w:r>
          </w:p>
        </w:tc>
        <w:tc>
          <w:tcPr>
            <w:tcW w:w="1870" w:type="dxa"/>
            <w:tcBorders>
              <w:top w:val="single" w:sz="4" w:space="0" w:color="auto"/>
              <w:left w:val="single" w:sz="4" w:space="0" w:color="auto"/>
              <w:bottom w:val="single" w:sz="4" w:space="0" w:color="auto"/>
              <w:right w:val="single" w:sz="4" w:space="0" w:color="auto"/>
            </w:tcBorders>
            <w:hideMark/>
          </w:tcPr>
          <w:p w14:paraId="696707E0"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Summary</w:t>
            </w:r>
          </w:p>
        </w:tc>
        <w:tc>
          <w:tcPr>
            <w:tcW w:w="1870" w:type="dxa"/>
            <w:tcBorders>
              <w:top w:val="single" w:sz="4" w:space="0" w:color="auto"/>
              <w:left w:val="single" w:sz="4" w:space="0" w:color="auto"/>
              <w:bottom w:val="single" w:sz="4" w:space="0" w:color="auto"/>
              <w:right w:val="single" w:sz="4" w:space="0" w:color="auto"/>
            </w:tcBorders>
            <w:hideMark/>
          </w:tcPr>
          <w:p w14:paraId="30A60833"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Keywords / Codes</w:t>
            </w:r>
          </w:p>
        </w:tc>
      </w:tr>
      <w:tr w:rsidR="00B932B6" w:rsidRPr="00B932B6" w14:paraId="5E5B4DD4" w14:textId="77777777">
        <w:tc>
          <w:tcPr>
            <w:tcW w:w="1870" w:type="dxa"/>
            <w:tcBorders>
              <w:top w:val="single" w:sz="4" w:space="0" w:color="auto"/>
              <w:left w:val="single" w:sz="4" w:space="0" w:color="auto"/>
              <w:bottom w:val="single" w:sz="4" w:space="0" w:color="auto"/>
              <w:right w:val="single" w:sz="4" w:space="0" w:color="auto"/>
            </w:tcBorders>
            <w:hideMark/>
          </w:tcPr>
          <w:p w14:paraId="36F5BED1"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Article 5</w:t>
            </w:r>
          </w:p>
        </w:tc>
        <w:tc>
          <w:tcPr>
            <w:tcW w:w="1870" w:type="dxa"/>
            <w:tcBorders>
              <w:top w:val="single" w:sz="4" w:space="0" w:color="auto"/>
              <w:left w:val="single" w:sz="4" w:space="0" w:color="auto"/>
              <w:bottom w:val="single" w:sz="4" w:space="0" w:color="auto"/>
              <w:right w:val="single" w:sz="4" w:space="0" w:color="auto"/>
            </w:tcBorders>
            <w:hideMark/>
          </w:tcPr>
          <w:p w14:paraId="0CA6336B"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Martin et al. (2022)</w:t>
            </w:r>
          </w:p>
        </w:tc>
        <w:tc>
          <w:tcPr>
            <w:tcW w:w="1870" w:type="dxa"/>
            <w:tcBorders>
              <w:top w:val="single" w:sz="4" w:space="0" w:color="auto"/>
              <w:left w:val="single" w:sz="4" w:space="0" w:color="auto"/>
              <w:bottom w:val="single" w:sz="4" w:space="0" w:color="auto"/>
              <w:right w:val="single" w:sz="4" w:space="0" w:color="auto"/>
            </w:tcBorders>
            <w:hideMark/>
          </w:tcPr>
          <w:p w14:paraId="5F0F3B07"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Impact of COVID-19 on Clinical Supervision Practices</w:t>
            </w:r>
          </w:p>
        </w:tc>
        <w:tc>
          <w:tcPr>
            <w:tcW w:w="1870" w:type="dxa"/>
            <w:tcBorders>
              <w:top w:val="single" w:sz="4" w:space="0" w:color="auto"/>
              <w:left w:val="single" w:sz="4" w:space="0" w:color="auto"/>
              <w:bottom w:val="single" w:sz="4" w:space="0" w:color="auto"/>
              <w:right w:val="single" w:sz="4" w:space="0" w:color="auto"/>
            </w:tcBorders>
            <w:hideMark/>
          </w:tcPr>
          <w:p w14:paraId="66586D5B"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t xml:space="preserve">Examined the changes that have occurred in clinical supervision and the implications that these changes have had for the staff, their confidence, </w:t>
            </w:r>
            <w:r w:rsidRPr="00B932B6">
              <w:rPr>
                <w:rFonts w:ascii="Aptos" w:hAnsi="Aptos" w:cs="Arial"/>
                <w:sz w:val="28"/>
                <w:szCs w:val="28"/>
              </w:rPr>
              <w:lastRenderedPageBreak/>
              <w:t>competence, and the workforce competency during a crisis.</w:t>
            </w:r>
          </w:p>
        </w:tc>
        <w:tc>
          <w:tcPr>
            <w:tcW w:w="1870" w:type="dxa"/>
            <w:tcBorders>
              <w:top w:val="single" w:sz="4" w:space="0" w:color="auto"/>
              <w:left w:val="single" w:sz="4" w:space="0" w:color="auto"/>
              <w:bottom w:val="single" w:sz="4" w:space="0" w:color="auto"/>
              <w:right w:val="single" w:sz="4" w:space="0" w:color="auto"/>
            </w:tcBorders>
            <w:hideMark/>
          </w:tcPr>
          <w:p w14:paraId="696838E3" w14:textId="77777777" w:rsidR="00B932B6" w:rsidRPr="00B932B6" w:rsidRDefault="00B932B6" w:rsidP="00B932B6">
            <w:pPr>
              <w:spacing w:after="0"/>
              <w:rPr>
                <w:rFonts w:ascii="Aptos" w:hAnsi="Aptos" w:cs="Arial"/>
                <w:sz w:val="28"/>
                <w:szCs w:val="28"/>
              </w:rPr>
            </w:pPr>
            <w:r w:rsidRPr="00B932B6">
              <w:rPr>
                <w:rFonts w:ascii="Aptos" w:hAnsi="Aptos" w:cs="Arial"/>
                <w:sz w:val="28"/>
                <w:szCs w:val="28"/>
              </w:rPr>
              <w:lastRenderedPageBreak/>
              <w:t>Clinical Supervision, Competency, Confidence, Support Systems</w:t>
            </w:r>
          </w:p>
        </w:tc>
      </w:tr>
      <w:tr w:rsidR="00B932B6" w:rsidRPr="00B932B6" w14:paraId="38AFDAE8" w14:textId="77777777">
        <w:tc>
          <w:tcPr>
            <w:tcW w:w="1870" w:type="dxa"/>
            <w:tcBorders>
              <w:top w:val="single" w:sz="4" w:space="0" w:color="auto"/>
              <w:left w:val="single" w:sz="4" w:space="0" w:color="auto"/>
              <w:bottom w:val="single" w:sz="4" w:space="0" w:color="auto"/>
              <w:right w:val="single" w:sz="4" w:space="0" w:color="auto"/>
            </w:tcBorders>
            <w:hideMark/>
          </w:tcPr>
          <w:p w14:paraId="6FC5B766"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Notes</w:t>
            </w:r>
          </w:p>
        </w:tc>
        <w:tc>
          <w:tcPr>
            <w:tcW w:w="5610" w:type="dxa"/>
            <w:gridSpan w:val="3"/>
            <w:tcBorders>
              <w:top w:val="single" w:sz="4" w:space="0" w:color="auto"/>
              <w:left w:val="single" w:sz="4" w:space="0" w:color="auto"/>
              <w:bottom w:val="single" w:sz="4" w:space="0" w:color="auto"/>
              <w:right w:val="single" w:sz="4" w:space="0" w:color="auto"/>
            </w:tcBorders>
            <w:hideMark/>
          </w:tcPr>
          <w:p w14:paraId="0F19A7CA"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Current: </w:t>
            </w:r>
            <w:r w:rsidRPr="00B932B6">
              <w:rPr>
                <w:rFonts w:ascii="Aptos" w:hAnsi="Aptos" w:cs="Arial"/>
                <w:sz w:val="28"/>
                <w:szCs w:val="28"/>
              </w:rPr>
              <w:t>2022 study</w:t>
            </w:r>
          </w:p>
          <w:p w14:paraId="66469ADD"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Relevant: </w:t>
            </w:r>
            <w:r w:rsidRPr="00B932B6">
              <w:rPr>
                <w:rFonts w:ascii="Aptos" w:hAnsi="Aptos" w:cs="Arial"/>
                <w:sz w:val="28"/>
                <w:szCs w:val="28"/>
              </w:rPr>
              <w:t>Clinical supervision</w:t>
            </w:r>
          </w:p>
          <w:p w14:paraId="3DB0101D"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Authority: </w:t>
            </w:r>
            <w:r w:rsidRPr="00B932B6">
              <w:rPr>
                <w:rFonts w:ascii="Aptos" w:hAnsi="Aptos" w:cs="Arial"/>
                <w:sz w:val="28"/>
                <w:szCs w:val="28"/>
              </w:rPr>
              <w:t>Nursing researchers</w:t>
            </w:r>
          </w:p>
          <w:p w14:paraId="2666FDBB" w14:textId="77777777" w:rsidR="00B932B6" w:rsidRPr="00B932B6" w:rsidRDefault="00B932B6" w:rsidP="00B932B6">
            <w:pPr>
              <w:numPr>
                <w:ilvl w:val="0"/>
                <w:numId w:val="37"/>
              </w:numPr>
              <w:spacing w:after="0"/>
              <w:rPr>
                <w:rFonts w:ascii="Aptos" w:hAnsi="Aptos" w:cs="Arial"/>
                <w:b/>
                <w:sz w:val="28"/>
                <w:szCs w:val="28"/>
              </w:rPr>
            </w:pPr>
            <w:r w:rsidRPr="00B932B6">
              <w:rPr>
                <w:rFonts w:ascii="Aptos" w:hAnsi="Aptos" w:cs="Arial"/>
                <w:b/>
                <w:sz w:val="28"/>
                <w:szCs w:val="28"/>
              </w:rPr>
              <w:t xml:space="preserve">Accuracy: </w:t>
            </w:r>
            <w:r w:rsidRPr="00B932B6">
              <w:rPr>
                <w:rFonts w:ascii="Aptos" w:hAnsi="Aptos" w:cs="Arial"/>
                <w:sz w:val="28"/>
                <w:szCs w:val="28"/>
              </w:rPr>
              <w:t>Rapid review</w:t>
            </w:r>
          </w:p>
          <w:p w14:paraId="5820B690" w14:textId="77777777" w:rsidR="00B932B6" w:rsidRPr="00B932B6" w:rsidRDefault="00B932B6" w:rsidP="00B932B6">
            <w:pPr>
              <w:numPr>
                <w:ilvl w:val="0"/>
                <w:numId w:val="37"/>
              </w:numPr>
              <w:spacing w:after="0"/>
              <w:rPr>
                <w:rFonts w:ascii="Aptos" w:hAnsi="Aptos" w:cs="Arial"/>
                <w:sz w:val="28"/>
                <w:szCs w:val="28"/>
              </w:rPr>
            </w:pPr>
            <w:r w:rsidRPr="00B932B6">
              <w:rPr>
                <w:rFonts w:ascii="Aptos" w:hAnsi="Aptos" w:cs="Arial"/>
                <w:b/>
                <w:sz w:val="28"/>
                <w:szCs w:val="28"/>
              </w:rPr>
              <w:t>Purpose:</w:t>
            </w:r>
            <w:r w:rsidRPr="00B932B6">
              <w:rPr>
                <w:rFonts w:ascii="Aptos" w:hAnsi="Aptos" w:cs="Arial"/>
                <w:sz w:val="28"/>
                <w:szCs w:val="28"/>
              </w:rPr>
              <w:t xml:space="preserve"> Assess supervision impacts on capability</w:t>
            </w:r>
          </w:p>
        </w:tc>
        <w:tc>
          <w:tcPr>
            <w:tcW w:w="1870" w:type="dxa"/>
            <w:tcBorders>
              <w:top w:val="single" w:sz="4" w:space="0" w:color="auto"/>
              <w:left w:val="single" w:sz="4" w:space="0" w:color="auto"/>
              <w:bottom w:val="single" w:sz="4" w:space="0" w:color="auto"/>
              <w:right w:val="single" w:sz="4" w:space="0" w:color="auto"/>
            </w:tcBorders>
            <w:hideMark/>
          </w:tcPr>
          <w:p w14:paraId="7A08A506" w14:textId="77777777" w:rsidR="00B932B6" w:rsidRPr="00B932B6" w:rsidRDefault="00B932B6" w:rsidP="00B932B6">
            <w:pPr>
              <w:spacing w:after="0"/>
              <w:rPr>
                <w:rFonts w:ascii="Aptos" w:hAnsi="Aptos" w:cs="Arial"/>
                <w:b/>
                <w:sz w:val="28"/>
                <w:szCs w:val="28"/>
              </w:rPr>
            </w:pPr>
            <w:r w:rsidRPr="00B932B6">
              <w:rPr>
                <w:rFonts w:ascii="Aptos" w:hAnsi="Aptos" w:cs="Arial"/>
                <w:b/>
                <w:sz w:val="28"/>
                <w:szCs w:val="28"/>
              </w:rPr>
              <w:t>CRAAP Score 5/5</w:t>
            </w:r>
          </w:p>
        </w:tc>
      </w:tr>
    </w:tbl>
    <w:p w14:paraId="4D6DB658" w14:textId="77777777" w:rsidR="00B932B6" w:rsidRPr="00B932B6" w:rsidRDefault="00B932B6" w:rsidP="00B932B6">
      <w:pPr>
        <w:spacing w:after="0"/>
        <w:rPr>
          <w:rFonts w:ascii="Aptos" w:hAnsi="Aptos" w:cs="Arial"/>
          <w:sz w:val="28"/>
          <w:szCs w:val="28"/>
        </w:rPr>
      </w:pPr>
    </w:p>
    <w:p w14:paraId="5F8F9C91" w14:textId="77777777" w:rsidR="00B932B6" w:rsidRPr="00EF2814" w:rsidRDefault="00B932B6" w:rsidP="00AD2E14">
      <w:pPr>
        <w:spacing w:after="0"/>
        <w:rPr>
          <w:rFonts w:ascii="Aptos" w:hAnsi="Aptos" w:cs="Arial"/>
          <w:sz w:val="28"/>
          <w:szCs w:val="28"/>
          <w:lang w:val="en-GB"/>
        </w:rPr>
      </w:pPr>
    </w:p>
    <w:sectPr w:rsidR="00B932B6" w:rsidRPr="00EF2814" w:rsidSect="001E544F">
      <w:pgSz w:w="12240" w:h="15840" w:code="1"/>
      <w:pgMar w:top="1440" w:right="1440" w:bottom="1440" w:left="144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10B47" w14:textId="77777777" w:rsidR="00C63BD9" w:rsidRDefault="00C63BD9" w:rsidP="00D210FA">
      <w:pPr>
        <w:spacing w:after="0"/>
      </w:pPr>
      <w:r>
        <w:separator/>
      </w:r>
    </w:p>
  </w:endnote>
  <w:endnote w:type="continuationSeparator" w:id="0">
    <w:p w14:paraId="1CA8D2AE" w14:textId="77777777" w:rsidR="00C63BD9" w:rsidRDefault="00C63BD9"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604137"/>
      <w:docPartObj>
        <w:docPartGallery w:val="Page Numbers (Bottom of Page)"/>
        <w:docPartUnique/>
      </w:docPartObj>
    </w:sdtPr>
    <w:sdtEndPr>
      <w:rPr>
        <w:rFonts w:cs="Arial"/>
      </w:rPr>
    </w:sdtEndPr>
    <w:sdtContent>
      <w:sdt>
        <w:sdtPr>
          <w:rPr>
            <w:rFonts w:cs="Arial"/>
          </w:rPr>
          <w:id w:val="178861391"/>
          <w:docPartObj>
            <w:docPartGallery w:val="Page Numbers (Top of Page)"/>
            <w:docPartUnique/>
          </w:docPartObj>
        </w:sdtPr>
        <w:sdtContent>
          <w:p w14:paraId="012D7AE9" w14:textId="1125D79F" w:rsidR="009F715E" w:rsidRPr="00F77FF9" w:rsidRDefault="009F715E">
            <w:pPr>
              <w:pStyle w:val="Footer"/>
              <w:jc w:val="right"/>
              <w:rPr>
                <w:rFonts w:cs="Arial"/>
              </w:rPr>
            </w:pPr>
            <w:r w:rsidRPr="00F77FF9">
              <w:rPr>
                <w:rFonts w:cs="Arial"/>
              </w:rPr>
              <w:t xml:space="preserve">Page </w:t>
            </w:r>
            <w:r w:rsidRPr="00F77FF9">
              <w:rPr>
                <w:rFonts w:cs="Arial"/>
                <w:b/>
                <w:bCs/>
              </w:rPr>
              <w:fldChar w:fldCharType="begin"/>
            </w:r>
            <w:r w:rsidRPr="00F77FF9">
              <w:rPr>
                <w:rFonts w:cs="Arial"/>
                <w:b/>
                <w:bCs/>
              </w:rPr>
              <w:instrText xml:space="preserve"> PAGE </w:instrText>
            </w:r>
            <w:r w:rsidRPr="00F77FF9">
              <w:rPr>
                <w:rFonts w:cs="Arial"/>
                <w:b/>
                <w:bCs/>
              </w:rPr>
              <w:fldChar w:fldCharType="separate"/>
            </w:r>
            <w:r w:rsidR="00934A4E">
              <w:rPr>
                <w:rFonts w:cs="Arial"/>
                <w:b/>
                <w:bCs/>
                <w:noProof/>
              </w:rPr>
              <w:t>38</w:t>
            </w:r>
            <w:r w:rsidRPr="00F77FF9">
              <w:rPr>
                <w:rFonts w:cs="Arial"/>
                <w:b/>
                <w:bCs/>
              </w:rPr>
              <w:fldChar w:fldCharType="end"/>
            </w:r>
            <w:r w:rsidRPr="00F77FF9">
              <w:rPr>
                <w:rFonts w:cs="Arial"/>
              </w:rPr>
              <w:t xml:space="preserve"> of </w:t>
            </w:r>
            <w:r w:rsidRPr="00F77FF9">
              <w:rPr>
                <w:rFonts w:cs="Arial"/>
                <w:b/>
                <w:bCs/>
              </w:rPr>
              <w:fldChar w:fldCharType="begin"/>
            </w:r>
            <w:r w:rsidRPr="00F77FF9">
              <w:rPr>
                <w:rFonts w:cs="Arial"/>
                <w:b/>
                <w:bCs/>
              </w:rPr>
              <w:instrText xml:space="preserve"> NUMPAGES  </w:instrText>
            </w:r>
            <w:r w:rsidRPr="00F77FF9">
              <w:rPr>
                <w:rFonts w:cs="Arial"/>
                <w:b/>
                <w:bCs/>
              </w:rPr>
              <w:fldChar w:fldCharType="separate"/>
            </w:r>
            <w:r w:rsidR="00934A4E">
              <w:rPr>
                <w:rFonts w:cs="Arial"/>
                <w:b/>
                <w:bCs/>
                <w:noProof/>
              </w:rPr>
              <w:t>41</w:t>
            </w:r>
            <w:r w:rsidRPr="00F77FF9">
              <w:rPr>
                <w:rFonts w:cs="Arial"/>
                <w:b/>
                <w:bCs/>
              </w:rPr>
              <w:fldChar w:fldCharType="end"/>
            </w:r>
          </w:p>
        </w:sdtContent>
      </w:sdt>
    </w:sdtContent>
  </w:sdt>
  <w:p w14:paraId="4059FDA3" w14:textId="77777777" w:rsidR="009F715E" w:rsidRDefault="009F7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A840C" w14:textId="77777777" w:rsidR="00C63BD9" w:rsidRDefault="00C63BD9" w:rsidP="00D210FA">
      <w:pPr>
        <w:spacing w:after="0"/>
      </w:pPr>
      <w:r>
        <w:separator/>
      </w:r>
    </w:p>
  </w:footnote>
  <w:footnote w:type="continuationSeparator" w:id="0">
    <w:p w14:paraId="12E59B03" w14:textId="77777777" w:rsidR="00C63BD9" w:rsidRDefault="00C63BD9"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9F715E" w:rsidRDefault="009F715E">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9F715E" w:rsidRDefault="009F715E">
    <w:pPr>
      <w:pStyle w:val="Header"/>
    </w:pPr>
  </w:p>
  <w:p w14:paraId="68BF0258" w14:textId="683785A9" w:rsidR="009F715E" w:rsidRDefault="009F7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66480B"/>
    <w:multiLevelType w:val="multilevel"/>
    <w:tmpl w:val="038C8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6F3203"/>
    <w:multiLevelType w:val="hybridMultilevel"/>
    <w:tmpl w:val="B74EA5E6"/>
    <w:lvl w:ilvl="0" w:tplc="062AE98E">
      <w:numFmt w:val="bullet"/>
      <w:lvlText w:val="•"/>
      <w:lvlJc w:val="left"/>
      <w:pPr>
        <w:ind w:left="720" w:hanging="360"/>
      </w:pPr>
      <w:rPr>
        <w:rFonts w:ascii="Arial" w:eastAsiaTheme="minorHAnsi"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437641D"/>
    <w:multiLevelType w:val="multilevel"/>
    <w:tmpl w:val="D26C3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AEE7C01"/>
    <w:multiLevelType w:val="multilevel"/>
    <w:tmpl w:val="1116E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0397EBD"/>
    <w:multiLevelType w:val="multilevel"/>
    <w:tmpl w:val="C706B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6805841"/>
    <w:multiLevelType w:val="multilevel"/>
    <w:tmpl w:val="E7BCA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9CD7383"/>
    <w:multiLevelType w:val="multilevel"/>
    <w:tmpl w:val="5726E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C5775E3"/>
    <w:multiLevelType w:val="multilevel"/>
    <w:tmpl w:val="AFE80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ABF0EB1"/>
    <w:multiLevelType w:val="multilevel"/>
    <w:tmpl w:val="83968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116526D"/>
    <w:multiLevelType w:val="multilevel"/>
    <w:tmpl w:val="C5B07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125B11"/>
    <w:multiLevelType w:val="multilevel"/>
    <w:tmpl w:val="EBBAF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9202FE2"/>
    <w:multiLevelType w:val="multilevel"/>
    <w:tmpl w:val="417CB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A342CF0"/>
    <w:multiLevelType w:val="multilevel"/>
    <w:tmpl w:val="38E04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F4150AE"/>
    <w:multiLevelType w:val="hybridMultilevel"/>
    <w:tmpl w:val="CE3460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19952CE"/>
    <w:multiLevelType w:val="multilevel"/>
    <w:tmpl w:val="E90E4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B873A61"/>
    <w:multiLevelType w:val="multilevel"/>
    <w:tmpl w:val="D242E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F442F02"/>
    <w:multiLevelType w:val="multilevel"/>
    <w:tmpl w:val="3BB86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3FE4B6D"/>
    <w:multiLevelType w:val="multilevel"/>
    <w:tmpl w:val="B5063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5F41D07"/>
    <w:multiLevelType w:val="multilevel"/>
    <w:tmpl w:val="843C7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04556F8"/>
    <w:multiLevelType w:val="multilevel"/>
    <w:tmpl w:val="4C141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0B51AB8"/>
    <w:multiLevelType w:val="multilevel"/>
    <w:tmpl w:val="6336A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49E34CF"/>
    <w:multiLevelType w:val="multilevel"/>
    <w:tmpl w:val="2E1C3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654B81"/>
    <w:multiLevelType w:val="multilevel"/>
    <w:tmpl w:val="ADECC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DA04611"/>
    <w:multiLevelType w:val="multilevel"/>
    <w:tmpl w:val="9ECA4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5241584">
    <w:abstractNumId w:val="12"/>
  </w:num>
  <w:num w:numId="2" w16cid:durableId="2009284618">
    <w:abstractNumId w:val="8"/>
  </w:num>
  <w:num w:numId="3" w16cid:durableId="681320416">
    <w:abstractNumId w:val="35"/>
  </w:num>
  <w:num w:numId="4" w16cid:durableId="1331787792">
    <w:abstractNumId w:val="36"/>
  </w:num>
  <w:num w:numId="5" w16cid:durableId="655187081">
    <w:abstractNumId w:val="17"/>
  </w:num>
  <w:num w:numId="6" w16cid:durableId="255597223">
    <w:abstractNumId w:val="15"/>
  </w:num>
  <w:num w:numId="7" w16cid:durableId="678895736">
    <w:abstractNumId w:val="26"/>
  </w:num>
  <w:num w:numId="8" w16cid:durableId="47656894">
    <w:abstractNumId w:val="23"/>
  </w:num>
  <w:num w:numId="9" w16cid:durableId="1882815691">
    <w:abstractNumId w:val="5"/>
  </w:num>
  <w:num w:numId="10" w16cid:durableId="1688824110">
    <w:abstractNumId w:val="0"/>
  </w:num>
  <w:num w:numId="11" w16cid:durableId="653071595">
    <w:abstractNumId w:val="13"/>
  </w:num>
  <w:num w:numId="12" w16cid:durableId="1525485680">
    <w:abstractNumId w:val="4"/>
  </w:num>
  <w:num w:numId="13" w16cid:durableId="453602302">
    <w:abstractNumId w:val="32"/>
  </w:num>
  <w:num w:numId="14" w16cid:durableId="1362128715">
    <w:abstractNumId w:val="9"/>
  </w:num>
  <w:num w:numId="15" w16cid:durableId="457190720">
    <w:abstractNumId w:val="16"/>
  </w:num>
  <w:num w:numId="16" w16cid:durableId="728649591">
    <w:abstractNumId w:val="14"/>
  </w:num>
  <w:num w:numId="17" w16cid:durableId="944965961">
    <w:abstractNumId w:val="10"/>
  </w:num>
  <w:num w:numId="18" w16cid:durableId="1661694611">
    <w:abstractNumId w:val="24"/>
  </w:num>
  <w:num w:numId="19" w16cid:durableId="33165957">
    <w:abstractNumId w:val="11"/>
  </w:num>
  <w:num w:numId="20" w16cid:durableId="58748424">
    <w:abstractNumId w:val="31"/>
  </w:num>
  <w:num w:numId="21" w16cid:durableId="1709910050">
    <w:abstractNumId w:val="6"/>
  </w:num>
  <w:num w:numId="22" w16cid:durableId="1635674476">
    <w:abstractNumId w:val="33"/>
  </w:num>
  <w:num w:numId="23" w16cid:durableId="2074962670">
    <w:abstractNumId w:val="34"/>
  </w:num>
  <w:num w:numId="24" w16cid:durableId="611060575">
    <w:abstractNumId w:val="19"/>
  </w:num>
  <w:num w:numId="25" w16cid:durableId="1610119017">
    <w:abstractNumId w:val="28"/>
  </w:num>
  <w:num w:numId="26" w16cid:durableId="1205095360">
    <w:abstractNumId w:val="20"/>
  </w:num>
  <w:num w:numId="27" w16cid:durableId="1750073874">
    <w:abstractNumId w:val="30"/>
  </w:num>
  <w:num w:numId="28" w16cid:durableId="506019840">
    <w:abstractNumId w:val="29"/>
  </w:num>
  <w:num w:numId="29" w16cid:durableId="1574465922">
    <w:abstractNumId w:val="18"/>
  </w:num>
  <w:num w:numId="30" w16cid:durableId="612858170">
    <w:abstractNumId w:val="21"/>
  </w:num>
  <w:num w:numId="31" w16cid:durableId="676807901">
    <w:abstractNumId w:val="22"/>
  </w:num>
  <w:num w:numId="32" w16cid:durableId="1293094929">
    <w:abstractNumId w:val="7"/>
  </w:num>
  <w:num w:numId="33" w16cid:durableId="775295507">
    <w:abstractNumId w:val="27"/>
  </w:num>
  <w:num w:numId="34" w16cid:durableId="2130273155">
    <w:abstractNumId w:val="1"/>
  </w:num>
  <w:num w:numId="35" w16cid:durableId="271059344">
    <w:abstractNumId w:val="3"/>
  </w:num>
  <w:num w:numId="36" w16cid:durableId="848760858">
    <w:abstractNumId w:val="25"/>
  </w:num>
  <w:num w:numId="37" w16cid:durableId="175027076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23293"/>
    <w:rsid w:val="000317A6"/>
    <w:rsid w:val="000355AE"/>
    <w:rsid w:val="00051B92"/>
    <w:rsid w:val="00061977"/>
    <w:rsid w:val="00063B85"/>
    <w:rsid w:val="000702A0"/>
    <w:rsid w:val="0007698E"/>
    <w:rsid w:val="0008782A"/>
    <w:rsid w:val="000A065A"/>
    <w:rsid w:val="000C4A3D"/>
    <w:rsid w:val="000E56ED"/>
    <w:rsid w:val="001069CB"/>
    <w:rsid w:val="00106E4C"/>
    <w:rsid w:val="00106FC5"/>
    <w:rsid w:val="00120DEC"/>
    <w:rsid w:val="00123C19"/>
    <w:rsid w:val="00124633"/>
    <w:rsid w:val="00126B52"/>
    <w:rsid w:val="00142DC1"/>
    <w:rsid w:val="001527B8"/>
    <w:rsid w:val="00154856"/>
    <w:rsid w:val="001655AB"/>
    <w:rsid w:val="00173E41"/>
    <w:rsid w:val="0018543F"/>
    <w:rsid w:val="00186002"/>
    <w:rsid w:val="001A246A"/>
    <w:rsid w:val="001A2DAB"/>
    <w:rsid w:val="001A4E86"/>
    <w:rsid w:val="001B49A1"/>
    <w:rsid w:val="001C55B6"/>
    <w:rsid w:val="001D544E"/>
    <w:rsid w:val="001D6CC4"/>
    <w:rsid w:val="001E08AA"/>
    <w:rsid w:val="001E544F"/>
    <w:rsid w:val="001F7591"/>
    <w:rsid w:val="001F75C5"/>
    <w:rsid w:val="00203113"/>
    <w:rsid w:val="00206405"/>
    <w:rsid w:val="00211CD2"/>
    <w:rsid w:val="002167F4"/>
    <w:rsid w:val="00220699"/>
    <w:rsid w:val="002341AD"/>
    <w:rsid w:val="002362B7"/>
    <w:rsid w:val="00241566"/>
    <w:rsid w:val="002519B7"/>
    <w:rsid w:val="00253267"/>
    <w:rsid w:val="00267668"/>
    <w:rsid w:val="002823CD"/>
    <w:rsid w:val="00287787"/>
    <w:rsid w:val="00291685"/>
    <w:rsid w:val="0029329C"/>
    <w:rsid w:val="00293AF8"/>
    <w:rsid w:val="002B0A3D"/>
    <w:rsid w:val="002B1A73"/>
    <w:rsid w:val="002D1FA2"/>
    <w:rsid w:val="002D744B"/>
    <w:rsid w:val="002F26AB"/>
    <w:rsid w:val="002F2D57"/>
    <w:rsid w:val="002F6E8D"/>
    <w:rsid w:val="003007A7"/>
    <w:rsid w:val="00322850"/>
    <w:rsid w:val="003257E1"/>
    <w:rsid w:val="00325DEC"/>
    <w:rsid w:val="00342FE7"/>
    <w:rsid w:val="00346FFA"/>
    <w:rsid w:val="00362C70"/>
    <w:rsid w:val="00371AE8"/>
    <w:rsid w:val="00385494"/>
    <w:rsid w:val="00385798"/>
    <w:rsid w:val="003A3069"/>
    <w:rsid w:val="003C20B5"/>
    <w:rsid w:val="003C50AB"/>
    <w:rsid w:val="003D5E3F"/>
    <w:rsid w:val="003E545F"/>
    <w:rsid w:val="003F03D2"/>
    <w:rsid w:val="003F1E1A"/>
    <w:rsid w:val="004045E5"/>
    <w:rsid w:val="00421496"/>
    <w:rsid w:val="00421C73"/>
    <w:rsid w:val="00422C27"/>
    <w:rsid w:val="00430A01"/>
    <w:rsid w:val="0044367C"/>
    <w:rsid w:val="0044412C"/>
    <w:rsid w:val="004500EA"/>
    <w:rsid w:val="004642F0"/>
    <w:rsid w:val="00471BA1"/>
    <w:rsid w:val="00476B07"/>
    <w:rsid w:val="004869D8"/>
    <w:rsid w:val="004905BD"/>
    <w:rsid w:val="00490CC9"/>
    <w:rsid w:val="00491B19"/>
    <w:rsid w:val="004A1D43"/>
    <w:rsid w:val="004A6850"/>
    <w:rsid w:val="004C4233"/>
    <w:rsid w:val="004D4B19"/>
    <w:rsid w:val="004D68CE"/>
    <w:rsid w:val="004E1EEE"/>
    <w:rsid w:val="004E48A2"/>
    <w:rsid w:val="00500564"/>
    <w:rsid w:val="0051102B"/>
    <w:rsid w:val="00516CC0"/>
    <w:rsid w:val="005259C9"/>
    <w:rsid w:val="0053102F"/>
    <w:rsid w:val="005475F0"/>
    <w:rsid w:val="005578F0"/>
    <w:rsid w:val="00582081"/>
    <w:rsid w:val="005838BC"/>
    <w:rsid w:val="00595B72"/>
    <w:rsid w:val="005B1B4C"/>
    <w:rsid w:val="005B57E1"/>
    <w:rsid w:val="005C2540"/>
    <w:rsid w:val="005E2236"/>
    <w:rsid w:val="005E31A6"/>
    <w:rsid w:val="005E61E0"/>
    <w:rsid w:val="005F0F31"/>
    <w:rsid w:val="005F18E7"/>
    <w:rsid w:val="005F7D75"/>
    <w:rsid w:val="006024ED"/>
    <w:rsid w:val="0061793F"/>
    <w:rsid w:val="0062123A"/>
    <w:rsid w:val="0064251A"/>
    <w:rsid w:val="006529DC"/>
    <w:rsid w:val="006605F8"/>
    <w:rsid w:val="006632FC"/>
    <w:rsid w:val="006652E3"/>
    <w:rsid w:val="006676A1"/>
    <w:rsid w:val="006833BD"/>
    <w:rsid w:val="00694FE6"/>
    <w:rsid w:val="006B1FC8"/>
    <w:rsid w:val="006B271B"/>
    <w:rsid w:val="006B67A0"/>
    <w:rsid w:val="006D2642"/>
    <w:rsid w:val="006E2D42"/>
    <w:rsid w:val="006F104A"/>
    <w:rsid w:val="006F283F"/>
    <w:rsid w:val="00701C90"/>
    <w:rsid w:val="00720FEE"/>
    <w:rsid w:val="00724E15"/>
    <w:rsid w:val="00724F3A"/>
    <w:rsid w:val="00726759"/>
    <w:rsid w:val="007331C6"/>
    <w:rsid w:val="00742191"/>
    <w:rsid w:val="00745D56"/>
    <w:rsid w:val="00745EED"/>
    <w:rsid w:val="00746D97"/>
    <w:rsid w:val="00764B6F"/>
    <w:rsid w:val="00774045"/>
    <w:rsid w:val="00783D2C"/>
    <w:rsid w:val="007A33D2"/>
    <w:rsid w:val="007B69E2"/>
    <w:rsid w:val="007C3BFC"/>
    <w:rsid w:val="007C563F"/>
    <w:rsid w:val="007C7319"/>
    <w:rsid w:val="007D43B3"/>
    <w:rsid w:val="007F170B"/>
    <w:rsid w:val="007F20B4"/>
    <w:rsid w:val="007F2C45"/>
    <w:rsid w:val="007F520B"/>
    <w:rsid w:val="007F525E"/>
    <w:rsid w:val="00800407"/>
    <w:rsid w:val="00802FF1"/>
    <w:rsid w:val="00820CB5"/>
    <w:rsid w:val="00823479"/>
    <w:rsid w:val="00825397"/>
    <w:rsid w:val="0082695D"/>
    <w:rsid w:val="0083044C"/>
    <w:rsid w:val="00835FAC"/>
    <w:rsid w:val="00840100"/>
    <w:rsid w:val="00846694"/>
    <w:rsid w:val="0085182D"/>
    <w:rsid w:val="00854F07"/>
    <w:rsid w:val="00867E5F"/>
    <w:rsid w:val="008709F5"/>
    <w:rsid w:val="00877A91"/>
    <w:rsid w:val="00883427"/>
    <w:rsid w:val="00884E86"/>
    <w:rsid w:val="00890534"/>
    <w:rsid w:val="00891124"/>
    <w:rsid w:val="008918D9"/>
    <w:rsid w:val="008927FF"/>
    <w:rsid w:val="008B0F18"/>
    <w:rsid w:val="008B6379"/>
    <w:rsid w:val="008B6733"/>
    <w:rsid w:val="008C02E0"/>
    <w:rsid w:val="008C1616"/>
    <w:rsid w:val="008E3921"/>
    <w:rsid w:val="008E7F30"/>
    <w:rsid w:val="0090027B"/>
    <w:rsid w:val="0090119E"/>
    <w:rsid w:val="00905238"/>
    <w:rsid w:val="00931C60"/>
    <w:rsid w:val="00934A4E"/>
    <w:rsid w:val="0094702A"/>
    <w:rsid w:val="00953ADF"/>
    <w:rsid w:val="009553B1"/>
    <w:rsid w:val="00967DAB"/>
    <w:rsid w:val="0098500B"/>
    <w:rsid w:val="00990E76"/>
    <w:rsid w:val="00991A53"/>
    <w:rsid w:val="00996F4E"/>
    <w:rsid w:val="009C6120"/>
    <w:rsid w:val="009D2D31"/>
    <w:rsid w:val="009E2D12"/>
    <w:rsid w:val="009E7268"/>
    <w:rsid w:val="009F715E"/>
    <w:rsid w:val="009F71FE"/>
    <w:rsid w:val="009F7FCC"/>
    <w:rsid w:val="00A02049"/>
    <w:rsid w:val="00A133ED"/>
    <w:rsid w:val="00A14513"/>
    <w:rsid w:val="00A16716"/>
    <w:rsid w:val="00A24DD5"/>
    <w:rsid w:val="00A27D8D"/>
    <w:rsid w:val="00A31F33"/>
    <w:rsid w:val="00A43101"/>
    <w:rsid w:val="00A70A62"/>
    <w:rsid w:val="00A71DA8"/>
    <w:rsid w:val="00A90A7A"/>
    <w:rsid w:val="00AA3852"/>
    <w:rsid w:val="00AB1210"/>
    <w:rsid w:val="00AB5409"/>
    <w:rsid w:val="00AB770D"/>
    <w:rsid w:val="00AD2E14"/>
    <w:rsid w:val="00AD4371"/>
    <w:rsid w:val="00AD772C"/>
    <w:rsid w:val="00AF10F2"/>
    <w:rsid w:val="00AF2088"/>
    <w:rsid w:val="00AF28B1"/>
    <w:rsid w:val="00AF5FB0"/>
    <w:rsid w:val="00AF7848"/>
    <w:rsid w:val="00B0080A"/>
    <w:rsid w:val="00B0538C"/>
    <w:rsid w:val="00B13EC9"/>
    <w:rsid w:val="00B14C71"/>
    <w:rsid w:val="00B15DE2"/>
    <w:rsid w:val="00B376E4"/>
    <w:rsid w:val="00B37AB8"/>
    <w:rsid w:val="00B418DE"/>
    <w:rsid w:val="00B47985"/>
    <w:rsid w:val="00B47FE7"/>
    <w:rsid w:val="00B56361"/>
    <w:rsid w:val="00B67824"/>
    <w:rsid w:val="00B70B38"/>
    <w:rsid w:val="00B932B6"/>
    <w:rsid w:val="00BA25BC"/>
    <w:rsid w:val="00BC594A"/>
    <w:rsid w:val="00BD4469"/>
    <w:rsid w:val="00BE0794"/>
    <w:rsid w:val="00BE0A7C"/>
    <w:rsid w:val="00BE15BA"/>
    <w:rsid w:val="00BF4C80"/>
    <w:rsid w:val="00C06416"/>
    <w:rsid w:val="00C13153"/>
    <w:rsid w:val="00C15F95"/>
    <w:rsid w:val="00C20ED0"/>
    <w:rsid w:val="00C31D85"/>
    <w:rsid w:val="00C348A8"/>
    <w:rsid w:val="00C34FA0"/>
    <w:rsid w:val="00C4426F"/>
    <w:rsid w:val="00C46111"/>
    <w:rsid w:val="00C47DCC"/>
    <w:rsid w:val="00C63BD9"/>
    <w:rsid w:val="00C73CBD"/>
    <w:rsid w:val="00C80714"/>
    <w:rsid w:val="00C83332"/>
    <w:rsid w:val="00C95E04"/>
    <w:rsid w:val="00CA3CC4"/>
    <w:rsid w:val="00CA46CA"/>
    <w:rsid w:val="00CB2531"/>
    <w:rsid w:val="00CB2962"/>
    <w:rsid w:val="00CC0A8F"/>
    <w:rsid w:val="00CC24B6"/>
    <w:rsid w:val="00CD3A64"/>
    <w:rsid w:val="00CD7D0E"/>
    <w:rsid w:val="00CE08CD"/>
    <w:rsid w:val="00D02196"/>
    <w:rsid w:val="00D05236"/>
    <w:rsid w:val="00D0664A"/>
    <w:rsid w:val="00D07937"/>
    <w:rsid w:val="00D120B1"/>
    <w:rsid w:val="00D2064C"/>
    <w:rsid w:val="00D210FA"/>
    <w:rsid w:val="00D30F1D"/>
    <w:rsid w:val="00D408D7"/>
    <w:rsid w:val="00D45258"/>
    <w:rsid w:val="00D47C9D"/>
    <w:rsid w:val="00D543E3"/>
    <w:rsid w:val="00D57231"/>
    <w:rsid w:val="00D64655"/>
    <w:rsid w:val="00D667E3"/>
    <w:rsid w:val="00D8209A"/>
    <w:rsid w:val="00D87B48"/>
    <w:rsid w:val="00D91203"/>
    <w:rsid w:val="00D94FD1"/>
    <w:rsid w:val="00DA30F0"/>
    <w:rsid w:val="00DB2A48"/>
    <w:rsid w:val="00DE0C62"/>
    <w:rsid w:val="00E02977"/>
    <w:rsid w:val="00E118CF"/>
    <w:rsid w:val="00E16A54"/>
    <w:rsid w:val="00E1782A"/>
    <w:rsid w:val="00E364C9"/>
    <w:rsid w:val="00E41692"/>
    <w:rsid w:val="00E4453F"/>
    <w:rsid w:val="00E55D74"/>
    <w:rsid w:val="00E61623"/>
    <w:rsid w:val="00E66391"/>
    <w:rsid w:val="00E81234"/>
    <w:rsid w:val="00E837CB"/>
    <w:rsid w:val="00E9037E"/>
    <w:rsid w:val="00E9692B"/>
    <w:rsid w:val="00EA120D"/>
    <w:rsid w:val="00EA49C3"/>
    <w:rsid w:val="00EB0489"/>
    <w:rsid w:val="00EB5E14"/>
    <w:rsid w:val="00EB6F36"/>
    <w:rsid w:val="00ED1049"/>
    <w:rsid w:val="00EE19D9"/>
    <w:rsid w:val="00EE1D04"/>
    <w:rsid w:val="00EF26FC"/>
    <w:rsid w:val="00EF2814"/>
    <w:rsid w:val="00F0469E"/>
    <w:rsid w:val="00F20316"/>
    <w:rsid w:val="00F26D36"/>
    <w:rsid w:val="00F37523"/>
    <w:rsid w:val="00F43A60"/>
    <w:rsid w:val="00F441B8"/>
    <w:rsid w:val="00F50168"/>
    <w:rsid w:val="00F50D34"/>
    <w:rsid w:val="00F52F83"/>
    <w:rsid w:val="00F61360"/>
    <w:rsid w:val="00F77FF9"/>
    <w:rsid w:val="00FC538A"/>
    <w:rsid w:val="00FE2B9F"/>
    <w:rsid w:val="00FE4768"/>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2E0"/>
    <w:pPr>
      <w:spacing w:line="360" w:lineRule="auto"/>
      <w:jc w:val="both"/>
    </w:pPr>
    <w:rPr>
      <w:rFonts w:ascii="Arial" w:hAnsi="Arial"/>
    </w:rPr>
  </w:style>
  <w:style w:type="paragraph" w:styleId="Heading1">
    <w:name w:val="heading 1"/>
    <w:basedOn w:val="Normal"/>
    <w:next w:val="Normal"/>
    <w:link w:val="Heading1Char"/>
    <w:uiPriority w:val="9"/>
    <w:qFormat/>
    <w:rsid w:val="008C02E0"/>
    <w:pPr>
      <w:spacing w:after="0" w:line="480" w:lineRule="auto"/>
      <w:outlineLvl w:val="0"/>
    </w:pPr>
    <w:rPr>
      <w:b/>
      <w:spacing w:val="10"/>
      <w:sz w:val="28"/>
    </w:rPr>
  </w:style>
  <w:style w:type="paragraph" w:styleId="Heading2">
    <w:name w:val="heading 2"/>
    <w:basedOn w:val="Normal"/>
    <w:next w:val="Normal"/>
    <w:link w:val="Heading2Char"/>
    <w:autoRedefine/>
    <w:uiPriority w:val="9"/>
    <w:qFormat/>
    <w:rsid w:val="001F75C5"/>
    <w:pPr>
      <w:spacing w:before="240" w:after="0"/>
      <w:outlineLvl w:val="1"/>
    </w:pPr>
    <w:rPr>
      <w:b/>
      <w:spacing w:val="10"/>
      <w:sz w:val="24"/>
    </w:rPr>
  </w:style>
  <w:style w:type="paragraph" w:styleId="Heading3">
    <w:name w:val="heading 3"/>
    <w:basedOn w:val="Normal"/>
    <w:next w:val="Normal"/>
    <w:link w:val="Heading3Char"/>
    <w:uiPriority w:val="9"/>
    <w:semiHidden/>
    <w:qFormat/>
    <w:rsid w:val="00745E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8C02E0"/>
    <w:rPr>
      <w:rFonts w:ascii="Arial" w:hAnsi="Arial"/>
      <w:b/>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1F75C5"/>
    <w:rPr>
      <w:rFonts w:ascii="Arial" w:hAnsi="Arial"/>
      <w:b/>
      <w:spacing w:val="10"/>
      <w:sz w:val="24"/>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rsid w:val="00C46111"/>
    <w:pPr>
      <w:spacing w:after="0"/>
    </w:pPr>
  </w:style>
  <w:style w:type="character" w:customStyle="1" w:styleId="FooterChar">
    <w:name w:val="Footer Char"/>
    <w:basedOn w:val="DefaultParagraphFont"/>
    <w:link w:val="Footer"/>
    <w:uiPriority w:val="99"/>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unhideWhenUsed/>
    <w:rsid w:val="00A133ED"/>
    <w:pPr>
      <w:spacing w:before="100" w:beforeAutospacing="1" w:after="100" w:afterAutospacing="1"/>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106E4C"/>
    <w:rPr>
      <w:color w:val="0563C1" w:themeColor="hyperlink"/>
      <w:u w:val="single"/>
    </w:rPr>
  </w:style>
  <w:style w:type="paragraph" w:styleId="TOCHeading">
    <w:name w:val="TOC Heading"/>
    <w:basedOn w:val="Heading1"/>
    <w:next w:val="Normal"/>
    <w:uiPriority w:val="39"/>
    <w:unhideWhenUsed/>
    <w:qFormat/>
    <w:rsid w:val="00BC594A"/>
    <w:pPr>
      <w:keepNext/>
      <w:keepLines/>
      <w:spacing w:before="240" w:line="259" w:lineRule="auto"/>
      <w:outlineLvl w:val="9"/>
    </w:pPr>
    <w:rPr>
      <w:rFonts w:asciiTheme="majorHAnsi" w:eastAsiaTheme="majorEastAsia" w:hAnsiTheme="majorHAnsi" w:cstheme="majorBidi"/>
      <w:b w:val="0"/>
      <w:color w:val="2F5496" w:themeColor="accent1" w:themeShade="BF"/>
      <w:spacing w:val="0"/>
      <w:szCs w:val="32"/>
    </w:rPr>
  </w:style>
  <w:style w:type="paragraph" w:styleId="TOC1">
    <w:name w:val="toc 1"/>
    <w:basedOn w:val="Normal"/>
    <w:next w:val="Normal"/>
    <w:autoRedefine/>
    <w:uiPriority w:val="39"/>
    <w:unhideWhenUsed/>
    <w:rsid w:val="00BC594A"/>
    <w:pPr>
      <w:spacing w:after="100"/>
    </w:pPr>
  </w:style>
  <w:style w:type="paragraph" w:styleId="TOC2">
    <w:name w:val="toc 2"/>
    <w:basedOn w:val="Normal"/>
    <w:next w:val="Normal"/>
    <w:autoRedefine/>
    <w:uiPriority w:val="39"/>
    <w:unhideWhenUsed/>
    <w:rsid w:val="00BC594A"/>
    <w:pPr>
      <w:spacing w:after="100"/>
      <w:ind w:left="220"/>
    </w:pPr>
  </w:style>
  <w:style w:type="character" w:customStyle="1" w:styleId="Heading3Char">
    <w:name w:val="Heading 3 Char"/>
    <w:basedOn w:val="DefaultParagraphFont"/>
    <w:link w:val="Heading3"/>
    <w:uiPriority w:val="9"/>
    <w:semiHidden/>
    <w:rsid w:val="00745EE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F6E8D"/>
    <w:pPr>
      <w:spacing w:after="100"/>
      <w:ind w:left="440"/>
    </w:pPr>
  </w:style>
  <w:style w:type="table" w:customStyle="1" w:styleId="TableGrid1">
    <w:name w:val="Table Grid1"/>
    <w:basedOn w:val="TableNormal"/>
    <w:next w:val="TableGrid"/>
    <w:uiPriority w:val="39"/>
    <w:rsid w:val="00B932B6"/>
    <w:rPr>
      <w:rFonts w:ascii="Century Schoolbook" w:eastAsia="Century Schoolbook" w:hAnsi="Century Schoolbook"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365956473">
      <w:bodyDiv w:val="1"/>
      <w:marLeft w:val="0"/>
      <w:marRight w:val="0"/>
      <w:marTop w:val="0"/>
      <w:marBottom w:val="0"/>
      <w:divBdr>
        <w:top w:val="none" w:sz="0" w:space="0" w:color="auto"/>
        <w:left w:val="none" w:sz="0" w:space="0" w:color="auto"/>
        <w:bottom w:val="none" w:sz="0" w:space="0" w:color="auto"/>
        <w:right w:val="none" w:sz="0" w:space="0" w:color="auto"/>
      </w:divBdr>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937786641">
      <w:bodyDiv w:val="1"/>
      <w:marLeft w:val="0"/>
      <w:marRight w:val="0"/>
      <w:marTop w:val="0"/>
      <w:marBottom w:val="0"/>
      <w:divBdr>
        <w:top w:val="none" w:sz="0" w:space="0" w:color="auto"/>
        <w:left w:val="none" w:sz="0" w:space="0" w:color="auto"/>
        <w:bottom w:val="none" w:sz="0" w:space="0" w:color="auto"/>
        <w:right w:val="none" w:sz="0" w:space="0" w:color="auto"/>
      </w:divBdr>
    </w:div>
    <w:div w:id="964120208">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583879732">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oi.org/10.3389/fpubh.2024.1332412" TargetMode="External"/><Relationship Id="rId26" Type="http://schemas.openxmlformats.org/officeDocument/2006/relationships/hyperlink" Target="https://www.gmc-uk.org/cdn/documents/impact-of-service-change-on-doctors--training---full-report_pdf-86838768.pdf" TargetMode="External"/><Relationship Id="rId39" Type="http://schemas.openxmlformats.org/officeDocument/2006/relationships/hyperlink" Target="https://doi.org/10.47176/mjiri.36.3" TargetMode="External"/><Relationship Id="rId21" Type="http://schemas.openxmlformats.org/officeDocument/2006/relationships/hyperlink" Target="https://doi.org/10.1136/postgradmedj-2012-130881" TargetMode="External"/><Relationship Id="rId34" Type="http://schemas.openxmlformats.org/officeDocument/2006/relationships/hyperlink" Target="https://doi.org/10.1016/j.promfg.2018.03.137" TargetMode="External"/><Relationship Id="rId42" Type="http://schemas.openxmlformats.org/officeDocument/2006/relationships/hyperlink" Target="https://doi.org/10.1177/23743735221143921"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80/17439760.2016.1262613" TargetMode="External"/><Relationship Id="rId29" Type="http://schemas.openxmlformats.org/officeDocument/2006/relationships/hyperlink" Target="https://doi.org/10.1016/j.ajem.2020.04.03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14/23/contents" TargetMode="External"/><Relationship Id="rId32" Type="http://schemas.openxmlformats.org/officeDocument/2006/relationships/hyperlink" Target="https://doi.org/10.3390/nursrep13040142" TargetMode="External"/><Relationship Id="rId37" Type="http://schemas.openxmlformats.org/officeDocument/2006/relationships/hyperlink" Target="https://doi.org/10.1016/j.socscimed.2025.118062" TargetMode="External"/><Relationship Id="rId40" Type="http://schemas.openxmlformats.org/officeDocument/2006/relationships/hyperlink" Target="https://doi.org/10.1016/j.ssaho.2025.101783" TargetMode="External"/><Relationship Id="rId45" Type="http://schemas.openxmlformats.org/officeDocument/2006/relationships/hyperlink" Target="https://www.england.nhs.uk/wp-content/uploads/2020/07/We-Are-The-NHS-Action-For-All-Of-Us-FINAL-March-21.pdf" TargetMode="External"/><Relationship Id="rId5" Type="http://schemas.openxmlformats.org/officeDocument/2006/relationships/numbering" Target="numbering.xml"/><Relationship Id="rId15" Type="http://schemas.openxmlformats.org/officeDocument/2006/relationships/hyperlink" Target="https://doi.org/10.1177/1751143720972630" TargetMode="External"/><Relationship Id="rId23" Type="http://schemas.openxmlformats.org/officeDocument/2006/relationships/hyperlink" Target="https://doi.org/10.1177/1090198113493782" TargetMode="External"/><Relationship Id="rId28" Type="http://schemas.openxmlformats.org/officeDocument/2006/relationships/hyperlink" Target="https://doi.org/10.3390/ijerph22040479" TargetMode="External"/><Relationship Id="rId36" Type="http://schemas.openxmlformats.org/officeDocument/2006/relationships/hyperlink" Target="https://doi.org/10.1136/bmj-2023-078997" TargetMode="External"/><Relationship Id="rId10" Type="http://schemas.openxmlformats.org/officeDocument/2006/relationships/endnotes" Target="endnotes.xml"/><Relationship Id="rId19" Type="http://schemas.openxmlformats.org/officeDocument/2006/relationships/hyperlink" Target="https://doi.org/10.1111/medu.14592" TargetMode="External"/><Relationship Id="rId31" Type="http://schemas.openxmlformats.org/officeDocument/2006/relationships/hyperlink" Target="https://doi.org/10.1186/s12909-025-07745-z" TargetMode="External"/><Relationship Id="rId44" Type="http://schemas.openxmlformats.org/officeDocument/2006/relationships/hyperlink" Target="https://www.researchgate.net/publication/377150769_Systems_theo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doi.org/10.1177/2382120519840332" TargetMode="External"/><Relationship Id="rId27" Type="http://schemas.openxmlformats.org/officeDocument/2006/relationships/hyperlink" Target="https://www.bma.org.uk/advice-and-support/covid-19/what-the-bma-is-doing/covid-19-impact-of-the-pandemic-on-healthcare-delivery" TargetMode="External"/><Relationship Id="rId30" Type="http://schemas.openxmlformats.org/officeDocument/2006/relationships/hyperlink" Target="https://doi.org/10.1002/14651858.cd013582" TargetMode="External"/><Relationship Id="rId35" Type="http://schemas.openxmlformats.org/officeDocument/2006/relationships/hyperlink" Target="https://committees.parliament.uk/writtenevidence/113067/pdf/" TargetMode="External"/><Relationship Id="rId43" Type="http://schemas.openxmlformats.org/officeDocument/2006/relationships/hyperlink" Target="https://doi.org/10.1007/978-3-030-63135-2_1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doi.org/10.1136/bmjopen-2020-040503" TargetMode="External"/><Relationship Id="rId25" Type="http://schemas.openxmlformats.org/officeDocument/2006/relationships/hyperlink" Target="https://www.gov.uk/government/publications/health-and-social-care-act-2012-fact-sheets" TargetMode="External"/><Relationship Id="rId33" Type="http://schemas.openxmlformats.org/officeDocument/2006/relationships/hyperlink" Target="https://doi.org/10.1111/jan.16629" TargetMode="External"/><Relationship Id="rId38" Type="http://schemas.openxmlformats.org/officeDocument/2006/relationships/hyperlink" Target="https://doi.org/10.1108/pr-04-2025-0387" TargetMode="External"/><Relationship Id="rId46" Type="http://schemas.openxmlformats.org/officeDocument/2006/relationships/fontTable" Target="fontTable.xml"/><Relationship Id="rId20" Type="http://schemas.openxmlformats.org/officeDocument/2006/relationships/hyperlink" Target="https://doi.org/10.1186/s12912-024-01904-1" TargetMode="External"/><Relationship Id="rId41" Type="http://schemas.openxmlformats.org/officeDocument/2006/relationships/hyperlink" Target="https://doi.org/10.1186/s12995-023-0037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219A05-0E3A-4A08-9221-C162CEA176B4}">
  <ds:schemaRefs>
    <ds:schemaRef ds:uri="http://schemas.openxmlformats.org/officeDocument/2006/bibliography"/>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34</Pages>
  <Words>7551</Words>
  <Characters>43045</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2026-06-04T18:56:00Z</dcterms:created>
  <dcterms:modified xsi:type="dcterms:W3CDTF">2026-06-23T12:34:00Z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