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889F65" w14:textId="77777777" w:rsidR="00777745" w:rsidRDefault="00777745">
      <w:pPr>
        <w:jc w:val="center"/>
        <w:rPr>
          <w:rFonts w:ascii="Tahoma" w:eastAsia="Tahoma" w:hAnsi="Tahoma" w:cs="Tahoma"/>
          <w:b/>
          <w:u w:val="single"/>
        </w:rPr>
      </w:pPr>
    </w:p>
    <w:p w14:paraId="34889F66" w14:textId="77777777" w:rsidR="00777745" w:rsidRDefault="00777745">
      <w:pPr>
        <w:jc w:val="both"/>
        <w:rPr>
          <w:rFonts w:ascii="Tahoma" w:eastAsia="Tahoma" w:hAnsi="Tahoma" w:cs="Tahoma"/>
          <w:b/>
          <w:u w:val="single"/>
        </w:rPr>
      </w:pPr>
    </w:p>
    <w:p w14:paraId="34889F67" w14:textId="77777777" w:rsidR="00777745" w:rsidRDefault="00777745">
      <w:pPr>
        <w:jc w:val="both"/>
        <w:rPr>
          <w:rFonts w:ascii="Tahoma" w:eastAsia="Tahoma" w:hAnsi="Tahoma" w:cs="Tahoma"/>
          <w:b/>
          <w:u w:val="single"/>
        </w:rPr>
      </w:pPr>
    </w:p>
    <w:p w14:paraId="34889F68" w14:textId="77777777" w:rsidR="00777745" w:rsidRDefault="00491BF5">
      <w:pPr>
        <w:jc w:val="both"/>
        <w:rPr>
          <w:rFonts w:ascii="Tahoma" w:eastAsia="Tahoma" w:hAnsi="Tahoma" w:cs="Tahoma"/>
          <w:b/>
          <w:u w:val="single"/>
        </w:rPr>
      </w:pPr>
      <w:r>
        <w:rPr>
          <w:rFonts w:ascii="Tahoma" w:eastAsia="Tahoma" w:hAnsi="Tahoma" w:cs="Tahoma"/>
          <w:b/>
          <w:u w:val="single"/>
        </w:rPr>
        <w:t>LEVEL 4 – Student Journal (750 words)</w:t>
      </w:r>
    </w:p>
    <w:p w14:paraId="34889F6E" w14:textId="37491B65" w:rsidR="00777745" w:rsidRDefault="00777745">
      <w:pPr>
        <w:jc w:val="both"/>
        <w:rPr>
          <w:rFonts w:ascii="Tahoma" w:eastAsia="Tahoma" w:hAnsi="Tahoma" w:cs="Tahoma"/>
        </w:rPr>
      </w:pPr>
    </w:p>
    <w:p w14:paraId="34889F6F" w14:textId="77777777" w:rsidR="00777745" w:rsidRDefault="00777745">
      <w:pPr>
        <w:rPr>
          <w:rFonts w:ascii="Tahoma" w:eastAsia="Tahoma" w:hAnsi="Tahoma" w:cs="Tahoma"/>
          <w:sz w:val="20"/>
          <w:szCs w:val="20"/>
        </w:rPr>
      </w:pPr>
    </w:p>
    <w:tbl>
      <w:tblPr>
        <w:tblStyle w:val="a"/>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7"/>
        <w:gridCol w:w="7195"/>
      </w:tblGrid>
      <w:tr w:rsidR="00777745" w14:paraId="34889F77" w14:textId="77777777">
        <w:tc>
          <w:tcPr>
            <w:tcW w:w="3987" w:type="dxa"/>
            <w:shd w:val="clear" w:color="auto" w:fill="8DB3E2"/>
          </w:tcPr>
          <w:p w14:paraId="34889F70" w14:textId="208E787E" w:rsidR="00777745" w:rsidRDefault="00491BF5">
            <w:pPr>
              <w:rPr>
                <w:rFonts w:ascii="Tahoma" w:eastAsia="Tahoma" w:hAnsi="Tahoma" w:cs="Tahoma"/>
                <w:b/>
                <w:sz w:val="20"/>
                <w:szCs w:val="20"/>
              </w:rPr>
            </w:pPr>
            <w:r>
              <w:rPr>
                <w:rFonts w:ascii="Tahoma" w:eastAsia="Tahoma" w:hAnsi="Tahoma" w:cs="Tahoma"/>
                <w:b/>
                <w:sz w:val="20"/>
                <w:szCs w:val="20"/>
              </w:rPr>
              <w:t xml:space="preserve">Student Name: </w:t>
            </w:r>
            <w:r w:rsidR="00056464">
              <w:rPr>
                <w:rFonts w:ascii="Tahoma" w:eastAsia="Tahoma" w:hAnsi="Tahoma" w:cs="Tahoma"/>
                <w:b/>
                <w:sz w:val="20"/>
                <w:szCs w:val="20"/>
              </w:rPr>
              <w:t>Jasmin Reinhold Neidenbach</w:t>
            </w:r>
          </w:p>
          <w:p w14:paraId="34889F71" w14:textId="77777777" w:rsidR="00777745" w:rsidRDefault="00777745">
            <w:pPr>
              <w:rPr>
                <w:rFonts w:ascii="Tahoma" w:eastAsia="Tahoma" w:hAnsi="Tahoma" w:cs="Tahoma"/>
                <w:b/>
                <w:sz w:val="20"/>
                <w:szCs w:val="20"/>
              </w:rPr>
            </w:pPr>
          </w:p>
          <w:p w14:paraId="34889F72" w14:textId="094FEAE7" w:rsidR="00777745" w:rsidRDefault="00491BF5">
            <w:pPr>
              <w:rPr>
                <w:rFonts w:ascii="Tahoma" w:eastAsia="Tahoma" w:hAnsi="Tahoma" w:cs="Tahoma"/>
                <w:b/>
                <w:sz w:val="20"/>
                <w:szCs w:val="20"/>
              </w:rPr>
            </w:pPr>
            <w:r>
              <w:rPr>
                <w:rFonts w:ascii="Tahoma" w:eastAsia="Tahoma" w:hAnsi="Tahoma" w:cs="Tahoma"/>
                <w:b/>
                <w:sz w:val="20"/>
                <w:szCs w:val="20"/>
              </w:rPr>
              <w:t xml:space="preserve">Student Number: </w:t>
            </w:r>
            <w:r w:rsidR="00144A36">
              <w:rPr>
                <w:rFonts w:ascii="Tahoma" w:eastAsia="Tahoma" w:hAnsi="Tahoma" w:cs="Tahoma"/>
                <w:b/>
                <w:sz w:val="20"/>
                <w:szCs w:val="20"/>
              </w:rPr>
              <w:t>2208</w:t>
            </w:r>
            <w:r w:rsidR="00065731">
              <w:rPr>
                <w:rFonts w:ascii="Tahoma" w:eastAsia="Tahoma" w:hAnsi="Tahoma" w:cs="Tahoma"/>
                <w:b/>
                <w:sz w:val="20"/>
                <w:szCs w:val="20"/>
              </w:rPr>
              <w:t>594</w:t>
            </w:r>
          </w:p>
          <w:p w14:paraId="34889F73" w14:textId="77777777" w:rsidR="00777745" w:rsidRDefault="00777745">
            <w:pPr>
              <w:rPr>
                <w:rFonts w:ascii="Tahoma" w:eastAsia="Tahoma" w:hAnsi="Tahoma" w:cs="Tahoma"/>
                <w:b/>
                <w:sz w:val="20"/>
                <w:szCs w:val="20"/>
              </w:rPr>
            </w:pPr>
          </w:p>
        </w:tc>
        <w:tc>
          <w:tcPr>
            <w:tcW w:w="7195" w:type="dxa"/>
            <w:shd w:val="clear" w:color="auto" w:fill="8DB3E2"/>
          </w:tcPr>
          <w:p w14:paraId="34889F74" w14:textId="744FA434" w:rsidR="00777745" w:rsidRDefault="00491BF5">
            <w:pPr>
              <w:rPr>
                <w:rFonts w:ascii="Tahoma" w:eastAsia="Tahoma" w:hAnsi="Tahoma" w:cs="Tahoma"/>
                <w:b/>
                <w:sz w:val="20"/>
                <w:szCs w:val="20"/>
              </w:rPr>
            </w:pPr>
            <w:r>
              <w:rPr>
                <w:rFonts w:ascii="Tahoma" w:eastAsia="Tahoma" w:hAnsi="Tahoma" w:cs="Tahoma"/>
                <w:b/>
                <w:sz w:val="20"/>
                <w:szCs w:val="20"/>
              </w:rPr>
              <w:t xml:space="preserve">Module: </w:t>
            </w:r>
            <w:r w:rsidR="00065731">
              <w:rPr>
                <w:rFonts w:ascii="Tahoma" w:eastAsia="Tahoma" w:hAnsi="Tahoma" w:cs="Tahoma"/>
                <w:b/>
                <w:sz w:val="20"/>
                <w:szCs w:val="20"/>
              </w:rPr>
              <w:t>BMIH4002</w:t>
            </w:r>
          </w:p>
          <w:p w14:paraId="34889F75" w14:textId="77777777" w:rsidR="00777745" w:rsidRDefault="00777745">
            <w:pPr>
              <w:rPr>
                <w:rFonts w:ascii="Tahoma" w:eastAsia="Tahoma" w:hAnsi="Tahoma" w:cs="Tahoma"/>
                <w:b/>
                <w:sz w:val="20"/>
                <w:szCs w:val="20"/>
              </w:rPr>
            </w:pPr>
          </w:p>
          <w:p w14:paraId="34889F76" w14:textId="0B57B921" w:rsidR="00777745" w:rsidRDefault="00491BF5">
            <w:pPr>
              <w:rPr>
                <w:rFonts w:ascii="Tahoma" w:eastAsia="Tahoma" w:hAnsi="Tahoma" w:cs="Tahoma"/>
                <w:b/>
                <w:sz w:val="20"/>
                <w:szCs w:val="20"/>
              </w:rPr>
            </w:pPr>
            <w:r>
              <w:rPr>
                <w:rFonts w:ascii="Tahoma" w:eastAsia="Tahoma" w:hAnsi="Tahoma" w:cs="Tahoma"/>
                <w:b/>
                <w:sz w:val="20"/>
                <w:szCs w:val="20"/>
              </w:rPr>
              <w:t xml:space="preserve">Lecturer: </w:t>
            </w:r>
            <w:r w:rsidR="00C06466">
              <w:rPr>
                <w:rFonts w:ascii="Tahoma" w:eastAsia="Tahoma" w:hAnsi="Tahoma" w:cs="Tahoma"/>
                <w:b/>
                <w:sz w:val="20"/>
                <w:szCs w:val="20"/>
              </w:rPr>
              <w:t xml:space="preserve">Rohan </w:t>
            </w:r>
            <w:proofErr w:type="spellStart"/>
            <w:r w:rsidR="00C06466">
              <w:rPr>
                <w:rFonts w:ascii="Tahoma" w:eastAsia="Tahoma" w:hAnsi="Tahoma" w:cs="Tahoma"/>
                <w:b/>
                <w:sz w:val="20"/>
                <w:szCs w:val="20"/>
              </w:rPr>
              <w:t>Dubrey</w:t>
            </w:r>
            <w:proofErr w:type="spellEnd"/>
            <w:r w:rsidR="00C06466">
              <w:rPr>
                <w:rFonts w:ascii="Tahoma" w:eastAsia="Tahoma" w:hAnsi="Tahoma" w:cs="Tahoma"/>
                <w:b/>
                <w:sz w:val="20"/>
                <w:szCs w:val="20"/>
              </w:rPr>
              <w:t xml:space="preserve"> </w:t>
            </w:r>
          </w:p>
        </w:tc>
      </w:tr>
    </w:tbl>
    <w:p w14:paraId="34889F78" w14:textId="77777777" w:rsidR="00777745" w:rsidRDefault="00777745">
      <w:pPr>
        <w:rPr>
          <w:rFonts w:ascii="Tahoma" w:eastAsia="Tahoma" w:hAnsi="Tahoma" w:cs="Tahoma"/>
          <w:sz w:val="20"/>
          <w:szCs w:val="20"/>
        </w:rPr>
      </w:pPr>
    </w:p>
    <w:tbl>
      <w:tblPr>
        <w:tblStyle w:val="a0"/>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983"/>
        <w:gridCol w:w="7199"/>
      </w:tblGrid>
      <w:tr w:rsidR="00777745" w14:paraId="34889F7D" w14:textId="77777777">
        <w:tc>
          <w:tcPr>
            <w:tcW w:w="3983" w:type="dxa"/>
            <w:shd w:val="clear" w:color="auto" w:fill="FBD5B5"/>
          </w:tcPr>
          <w:p w14:paraId="34889F79" w14:textId="77777777" w:rsidR="00777745" w:rsidRDefault="00491BF5">
            <w:pPr>
              <w:rPr>
                <w:rFonts w:ascii="Tahoma" w:eastAsia="Tahoma" w:hAnsi="Tahoma" w:cs="Tahoma"/>
                <w:b/>
                <w:sz w:val="20"/>
                <w:szCs w:val="20"/>
              </w:rPr>
            </w:pPr>
            <w:r>
              <w:rPr>
                <w:rFonts w:ascii="Tahoma" w:eastAsia="Tahoma" w:hAnsi="Tahoma" w:cs="Tahoma"/>
                <w:b/>
                <w:sz w:val="20"/>
                <w:szCs w:val="20"/>
              </w:rPr>
              <w:t xml:space="preserve">Topic of choice: </w:t>
            </w:r>
          </w:p>
        </w:tc>
        <w:tc>
          <w:tcPr>
            <w:tcW w:w="7199" w:type="dxa"/>
            <w:shd w:val="clear" w:color="auto" w:fill="FBD5B5"/>
          </w:tcPr>
          <w:p w14:paraId="34889F7A" w14:textId="3676D6CA" w:rsidR="00777745" w:rsidRDefault="00C52B7D">
            <w:pPr>
              <w:rPr>
                <w:rFonts w:ascii="Tahoma" w:eastAsia="Tahoma" w:hAnsi="Tahoma" w:cs="Tahoma"/>
                <w:b/>
                <w:sz w:val="20"/>
                <w:szCs w:val="20"/>
              </w:rPr>
            </w:pPr>
            <w:r>
              <w:t>Allergies and Intolerances and the importance within the industry</w:t>
            </w:r>
          </w:p>
          <w:p w14:paraId="34889F7B" w14:textId="77777777" w:rsidR="00777745" w:rsidRDefault="00777745">
            <w:pPr>
              <w:jc w:val="center"/>
              <w:rPr>
                <w:rFonts w:ascii="Tahoma" w:eastAsia="Tahoma" w:hAnsi="Tahoma" w:cs="Tahoma"/>
                <w:b/>
                <w:sz w:val="20"/>
                <w:szCs w:val="20"/>
              </w:rPr>
            </w:pPr>
          </w:p>
          <w:p w14:paraId="34889F7C" w14:textId="77777777" w:rsidR="00777745" w:rsidRDefault="00777745">
            <w:pPr>
              <w:jc w:val="center"/>
              <w:rPr>
                <w:rFonts w:ascii="Tahoma" w:eastAsia="Tahoma" w:hAnsi="Tahoma" w:cs="Tahoma"/>
                <w:b/>
                <w:sz w:val="20"/>
                <w:szCs w:val="20"/>
              </w:rPr>
            </w:pPr>
          </w:p>
        </w:tc>
      </w:tr>
      <w:tr w:rsidR="00777745" w14:paraId="34889FA1" w14:textId="77777777">
        <w:trPr>
          <w:trHeight w:val="2494"/>
        </w:trPr>
        <w:tc>
          <w:tcPr>
            <w:tcW w:w="11182" w:type="dxa"/>
            <w:gridSpan w:val="2"/>
          </w:tcPr>
          <w:p w14:paraId="34889F7E" w14:textId="77777777" w:rsidR="00777745" w:rsidRDefault="00777745">
            <w:pPr>
              <w:rPr>
                <w:rFonts w:ascii="Tahoma" w:eastAsia="Tahoma" w:hAnsi="Tahoma" w:cs="Tahoma"/>
                <w:sz w:val="20"/>
                <w:szCs w:val="20"/>
              </w:rPr>
            </w:pPr>
          </w:p>
          <w:p w14:paraId="2C1B8284" w14:textId="111EA8AB" w:rsidR="004B1BD8" w:rsidRPr="004B1BD8" w:rsidRDefault="004B1BD8" w:rsidP="004B1BD8">
            <w:pPr>
              <w:spacing w:line="360" w:lineRule="auto"/>
              <w:jc w:val="both"/>
              <w:rPr>
                <w:rFonts w:ascii="Arial" w:eastAsia="Arial" w:hAnsi="Arial" w:cs="Arial"/>
              </w:rPr>
            </w:pPr>
            <w:r w:rsidRPr="004B1BD8">
              <w:rPr>
                <w:rFonts w:ascii="Arial" w:eastAsia="Arial" w:hAnsi="Arial" w:cs="Arial"/>
              </w:rPr>
              <w:t xml:space="preserve">Food allergies and intolerances are </w:t>
            </w:r>
            <w:r w:rsidR="00F85570">
              <w:rPr>
                <w:rFonts w:ascii="Arial" w:eastAsia="Arial" w:hAnsi="Arial" w:cs="Arial"/>
              </w:rPr>
              <w:t>prevalent</w:t>
            </w:r>
            <w:r w:rsidRPr="004B1BD8">
              <w:rPr>
                <w:rFonts w:ascii="Arial" w:eastAsia="Arial" w:hAnsi="Arial" w:cs="Arial"/>
              </w:rPr>
              <w:t xml:space="preserve"> in the service sector. Certain foods trigger unpleasant physiological responses and digestive troubles in those who are intolerant to them. You can experience tummy aches, wind, and loose stools within a few hours of eating.</w:t>
            </w:r>
          </w:p>
          <w:p w14:paraId="366ADC78" w14:textId="1AD4B76E" w:rsidR="004B1BD8" w:rsidRPr="004B1BD8" w:rsidRDefault="004B1BD8" w:rsidP="004B1BD8">
            <w:pPr>
              <w:spacing w:line="360" w:lineRule="auto"/>
              <w:jc w:val="both"/>
              <w:rPr>
                <w:rFonts w:ascii="Arial" w:eastAsia="Arial" w:hAnsi="Arial" w:cs="Arial"/>
              </w:rPr>
            </w:pPr>
            <w:r w:rsidRPr="004B1BD8">
              <w:rPr>
                <w:rFonts w:ascii="Arial" w:eastAsia="Arial" w:hAnsi="Arial" w:cs="Arial"/>
              </w:rPr>
              <w:t xml:space="preserve">The beginning of lactose intolerance symptoms correlates with the use of dairy products. Lactose intolerance is a reaction to the sugar lactose found in dairy products. Wheat is often poorly tolerated because of its high gluten content (Nhs.uk, 2022). Poisons, viruses, germs, or parasites may also </w:t>
            </w:r>
            <w:r w:rsidR="00F85570">
              <w:rPr>
                <w:rFonts w:ascii="Arial" w:eastAsia="Arial" w:hAnsi="Arial" w:cs="Arial"/>
              </w:rPr>
              <w:t>cause</w:t>
            </w:r>
            <w:r w:rsidRPr="004B1BD8">
              <w:rPr>
                <w:rFonts w:ascii="Arial" w:eastAsia="Arial" w:hAnsi="Arial" w:cs="Arial"/>
              </w:rPr>
              <w:t xml:space="preserve"> contaminated food, and these substances have been found in mushrooms, pickled foods, and alcoholic beverages. When the immune system mistakenly attacks particular foods, doctors call that a food allergy. Allergic reactions aren't typically life-threatening, but they can be. Some people are allergic to foods because their immune system mistakes harmless dietary proteins for dangerous ones. The symptoms of a food allergy can extend far into the body. An itching feeling in the mouth, throat, or ears, urticaria (also known as "hives"), and angioedema (swelling around the eyes, lips, tongue, and roof of the mouth) are also common symptoms. In adults, food allergies are common, especially to seafood, shellfish, and nuts. Milk, eggs, shellfish, peanuts, and other nuts and seeds are among the most common dietary allergens in children. There are three distinct categories of food allergies, each with its symptoms and danger period. There are three distinct categories of food allergies, each with its symptoms and danger period. The production of immunoglobulin E by the immune system is responsible for the development of the most frequent type of food allergy (IgE). Commonly, the onset of an anxiety attack coincides with the completion of a meal. Second, IgE isn't always the culprit </w:t>
            </w:r>
            <w:r w:rsidR="00F85570">
              <w:rPr>
                <w:rFonts w:ascii="Arial" w:eastAsia="Arial" w:hAnsi="Arial" w:cs="Arial"/>
              </w:rPr>
              <w:t>in</w:t>
            </w:r>
            <w:r w:rsidRPr="004B1BD8">
              <w:rPr>
                <w:rFonts w:ascii="Arial" w:eastAsia="Arial" w:hAnsi="Arial" w:cs="Arial"/>
              </w:rPr>
              <w:t xml:space="preserve"> food allergies; </w:t>
            </w:r>
            <w:r w:rsidR="00F85570" w:rsidRPr="00F85570">
              <w:rPr>
                <w:rFonts w:ascii="Arial" w:eastAsia="Arial" w:hAnsi="Arial" w:cs="Arial"/>
              </w:rPr>
              <w:t xml:space="preserve">other types of immune cells are sometimes </w:t>
            </w:r>
            <w:r w:rsidRPr="004B1BD8">
              <w:rPr>
                <w:rFonts w:ascii="Arial" w:eastAsia="Arial" w:hAnsi="Arial" w:cs="Arial"/>
              </w:rPr>
              <w:t xml:space="preserve">to blame. Because of the delayed onset of symptoms, this illness is more </w:t>
            </w:r>
            <w:r w:rsidR="0032797B">
              <w:rPr>
                <w:rFonts w:ascii="Arial" w:eastAsia="Arial" w:hAnsi="Arial" w:cs="Arial"/>
              </w:rPr>
              <w:t>challenging</w:t>
            </w:r>
            <w:r w:rsidRPr="004B1BD8">
              <w:rPr>
                <w:rFonts w:ascii="Arial" w:eastAsia="Arial" w:hAnsi="Arial" w:cs="Arial"/>
              </w:rPr>
              <w:t xml:space="preserve"> to identify. The final group consists of those who have food allergies that are either IgE-mediated or not.</w:t>
            </w:r>
          </w:p>
          <w:p w14:paraId="3C98AB41" w14:textId="768C2120" w:rsidR="004B1BD8" w:rsidRPr="004B1BD8" w:rsidRDefault="004B1BD8" w:rsidP="004B1BD8">
            <w:pPr>
              <w:spacing w:line="360" w:lineRule="auto"/>
              <w:jc w:val="both"/>
              <w:rPr>
                <w:rFonts w:ascii="Arial" w:eastAsia="Arial" w:hAnsi="Arial" w:cs="Arial"/>
              </w:rPr>
            </w:pPr>
            <w:r w:rsidRPr="004B1BD8">
              <w:rPr>
                <w:rFonts w:ascii="Arial" w:eastAsia="Arial" w:hAnsi="Arial" w:cs="Arial"/>
              </w:rPr>
              <w:t xml:space="preserve">Food service establishments </w:t>
            </w:r>
            <w:r w:rsidR="00F85570">
              <w:rPr>
                <w:rFonts w:ascii="Arial" w:eastAsia="Arial" w:hAnsi="Arial" w:cs="Arial"/>
              </w:rPr>
              <w:t>must</w:t>
            </w:r>
            <w:r w:rsidRPr="004B1BD8">
              <w:rPr>
                <w:rFonts w:ascii="Arial" w:eastAsia="Arial" w:hAnsi="Arial" w:cs="Arial"/>
              </w:rPr>
              <w:t xml:space="preserve"> learn about the severity of clients' food allergies. People with food allergies or intolerances are increasingly viewed as a threat to the safety of our food supply in modern culture (Clevelandclinic.org, 2022). The fight against food allergies requires the participation of many different groups, including manufacturers, advocacy groups, and government agencies. Several </w:t>
            </w:r>
            <w:r w:rsidRPr="004B1BD8">
              <w:rPr>
                <w:rFonts w:ascii="Arial" w:eastAsia="Arial" w:hAnsi="Arial" w:cs="Arial"/>
              </w:rPr>
              <w:lastRenderedPageBreak/>
              <w:t>domestic and global statutes acknowledge the necessity of allergy management and provide criteria that food producers must meet to safeguard consumers. By following SOPs and industry-wide guidelines, hotels and restaurants in the hospitality industry can accommodate customers with food allergies.</w:t>
            </w:r>
          </w:p>
          <w:p w14:paraId="47EEB747" w14:textId="715404D2" w:rsidR="004B1BD8" w:rsidRPr="004B1BD8" w:rsidRDefault="004B1BD8" w:rsidP="004B1BD8">
            <w:pPr>
              <w:spacing w:line="360" w:lineRule="auto"/>
              <w:jc w:val="both"/>
              <w:rPr>
                <w:rFonts w:ascii="Arial" w:eastAsia="Arial" w:hAnsi="Arial" w:cs="Arial"/>
              </w:rPr>
            </w:pPr>
            <w:r w:rsidRPr="004B1BD8">
              <w:rPr>
                <w:rFonts w:ascii="Arial" w:eastAsia="Arial" w:hAnsi="Arial" w:cs="Arial"/>
              </w:rPr>
              <w:t xml:space="preserve">According to my research, avoiding offending foods is the only approach to </w:t>
            </w:r>
            <w:r w:rsidR="0032797B">
              <w:rPr>
                <w:rFonts w:ascii="Arial" w:eastAsia="Arial" w:hAnsi="Arial" w:cs="Arial"/>
              </w:rPr>
              <w:t>managing</w:t>
            </w:r>
            <w:r w:rsidRPr="004B1BD8">
              <w:rPr>
                <w:rFonts w:ascii="Arial" w:eastAsia="Arial" w:hAnsi="Arial" w:cs="Arial"/>
              </w:rPr>
              <w:t xml:space="preserve"> food allergies and intolerances (Lavine, 2012). However, food intolerance happens when your body has an unpleasant reaction to a </w:t>
            </w:r>
            <w:r w:rsidR="0032797B">
              <w:rPr>
                <w:rFonts w:ascii="Arial" w:eastAsia="Arial" w:hAnsi="Arial" w:cs="Arial"/>
              </w:rPr>
              <w:t>particular</w:t>
            </w:r>
            <w:r w:rsidRPr="004B1BD8">
              <w:rPr>
                <w:rFonts w:ascii="Arial" w:eastAsia="Arial" w:hAnsi="Arial" w:cs="Arial"/>
              </w:rPr>
              <w:t xml:space="preserve"> meal or when that food has been contaminated with hazardous things like toxins, bacteria, or parasites. </w:t>
            </w:r>
            <w:r w:rsidR="0032797B">
              <w:rPr>
                <w:rFonts w:ascii="Arial" w:eastAsia="Arial" w:hAnsi="Arial" w:cs="Arial"/>
              </w:rPr>
              <w:t>To</w:t>
            </w:r>
            <w:r w:rsidRPr="004B1BD8">
              <w:rPr>
                <w:rFonts w:ascii="Arial" w:eastAsia="Arial" w:hAnsi="Arial" w:cs="Arial"/>
              </w:rPr>
              <w:t xml:space="preserve"> avoid this, hotels and restaurants should use only fresh, sanitary ingredients. </w:t>
            </w:r>
            <w:r w:rsidR="003F5FF2">
              <w:rPr>
                <w:rFonts w:ascii="Arial" w:eastAsia="Arial" w:hAnsi="Arial" w:cs="Arial"/>
              </w:rPr>
              <w:t>Establishments</w:t>
            </w:r>
            <w:r w:rsidRPr="004B1BD8">
              <w:rPr>
                <w:rFonts w:ascii="Arial" w:eastAsia="Arial" w:hAnsi="Arial" w:cs="Arial"/>
              </w:rPr>
              <w:t xml:space="preserve"> catering to consumers with food allergies or intolerances </w:t>
            </w:r>
            <w:r w:rsidR="0032797B">
              <w:rPr>
                <w:rFonts w:ascii="Arial" w:eastAsia="Arial" w:hAnsi="Arial" w:cs="Arial"/>
              </w:rPr>
              <w:t>must</w:t>
            </w:r>
            <w:r w:rsidRPr="004B1BD8">
              <w:rPr>
                <w:rFonts w:ascii="Arial" w:eastAsia="Arial" w:hAnsi="Arial" w:cs="Arial"/>
              </w:rPr>
              <w:t xml:space="preserve"> retain and display accurate ingredient lists. Customers with dietary restrictions or allergies must fill out a form before picking up their orders. If a new food source is employed, it is essential to ask for ingredient lists and maintain up-to-date recipe information. This is a backup plan in case anything goes wrong. The cleanliness and organisation of the kitchen is the single most critical indicator of the standard of the establishment's dining options. Distinct containers should be used to store meals modified for someone with food allergies. To dry one's hands nowadays, paper towels are the norm rather than cloth towels. The entire crew needs basic training and ongoing education about food allergies. I feel that many businesses in the hospitality industry fail to keep these standards, despite their importance in guaranteeing the satisfaction and prosperity of one's consumers. If I were a guest or diner at such a venue, I would insist that the </w:t>
            </w:r>
            <w:r w:rsidR="0032797B">
              <w:rPr>
                <w:rFonts w:ascii="Arial" w:eastAsia="Arial" w:hAnsi="Arial" w:cs="Arial"/>
              </w:rPr>
              <w:t>person</w:t>
            </w:r>
            <w:r w:rsidRPr="004B1BD8">
              <w:rPr>
                <w:rFonts w:ascii="Arial" w:eastAsia="Arial" w:hAnsi="Arial" w:cs="Arial"/>
              </w:rPr>
              <w:t xml:space="preserve"> be informed of, and take appropriate measures regarding any food allergies or intolerances I might have. New hires in the hospitality industry typically have less knowledge about food allergies and intolerances than their more seasoned counterparts, so </w:t>
            </w:r>
            <w:r w:rsidR="0032797B">
              <w:rPr>
                <w:rFonts w:ascii="Arial" w:eastAsia="Arial" w:hAnsi="Arial" w:cs="Arial"/>
              </w:rPr>
              <w:t>they must undergo</w:t>
            </w:r>
            <w:r w:rsidRPr="004B1BD8">
              <w:rPr>
                <w:rFonts w:ascii="Arial" w:eastAsia="Arial" w:hAnsi="Arial" w:cs="Arial"/>
              </w:rPr>
              <w:t xml:space="preserve"> ongoing training on the issue.</w:t>
            </w:r>
          </w:p>
          <w:p w14:paraId="34889F7F" w14:textId="2B1290F8" w:rsidR="00777745" w:rsidRDefault="004B1BD8" w:rsidP="004B1BD8">
            <w:pPr>
              <w:spacing w:line="360" w:lineRule="auto"/>
              <w:jc w:val="both"/>
              <w:rPr>
                <w:rFonts w:ascii="Arial" w:eastAsia="Arial" w:hAnsi="Arial" w:cs="Arial"/>
              </w:rPr>
            </w:pPr>
            <w:r w:rsidRPr="004B1BD8">
              <w:rPr>
                <w:rFonts w:ascii="Arial" w:eastAsia="Arial" w:hAnsi="Arial" w:cs="Arial"/>
              </w:rPr>
              <w:t xml:space="preserve">In conclusion, anyone in the hospitality business must be well-versed in and considerate of customers' religious and health-related dietary preferences and restrictions. Hotels and restaurants can thrive because they offer </w:t>
            </w:r>
            <w:r w:rsidR="0032797B" w:rsidRPr="0032797B">
              <w:rPr>
                <w:rFonts w:ascii="Arial" w:eastAsia="Arial" w:hAnsi="Arial" w:cs="Arial"/>
              </w:rPr>
              <w:t xml:space="preserve">their customers a wide range of services </w:t>
            </w:r>
            <w:r w:rsidRPr="004B1BD8">
              <w:rPr>
                <w:rFonts w:ascii="Arial" w:eastAsia="Arial" w:hAnsi="Arial" w:cs="Arial"/>
              </w:rPr>
              <w:t xml:space="preserve">(Bordelon, 2016). To ensure </w:t>
            </w:r>
            <w:r w:rsidR="0032797B" w:rsidRPr="0032797B">
              <w:rPr>
                <w:rFonts w:ascii="Arial" w:eastAsia="Arial" w:hAnsi="Arial" w:cs="Arial"/>
              </w:rPr>
              <w:t>our business's continued growth and prosperity</w:t>
            </w:r>
            <w:r w:rsidRPr="004B1BD8">
              <w:rPr>
                <w:rFonts w:ascii="Arial" w:eastAsia="Arial" w:hAnsi="Arial" w:cs="Arial"/>
              </w:rPr>
              <w:t xml:space="preserve">, we must always provide our customers with the highest quality service possible. This means that service providers in hospitality industries </w:t>
            </w:r>
            <w:r w:rsidR="0032797B">
              <w:rPr>
                <w:rFonts w:ascii="Arial" w:eastAsia="Arial" w:hAnsi="Arial" w:cs="Arial"/>
              </w:rPr>
              <w:t>must</w:t>
            </w:r>
            <w:r w:rsidRPr="004B1BD8">
              <w:rPr>
                <w:rFonts w:ascii="Arial" w:eastAsia="Arial" w:hAnsi="Arial" w:cs="Arial"/>
              </w:rPr>
              <w:t xml:space="preserve"> exercise extreme caution and safety when dealing with customers. It's </w:t>
            </w:r>
            <w:r w:rsidR="0032797B">
              <w:rPr>
                <w:rFonts w:ascii="Arial" w:eastAsia="Arial" w:hAnsi="Arial" w:cs="Arial"/>
              </w:rPr>
              <w:t>hazardous</w:t>
            </w:r>
            <w:r w:rsidRPr="004B1BD8">
              <w:rPr>
                <w:rFonts w:ascii="Arial" w:eastAsia="Arial" w:hAnsi="Arial" w:cs="Arial"/>
              </w:rPr>
              <w:t xml:space="preserve"> for businesses in this industry to have dissatisfied customers spread the word about their bad </w:t>
            </w:r>
            <w:r w:rsidR="0032797B">
              <w:rPr>
                <w:rFonts w:ascii="Arial" w:eastAsia="Arial" w:hAnsi="Arial" w:cs="Arial"/>
              </w:rPr>
              <w:t>experiences</w:t>
            </w:r>
            <w:r w:rsidRPr="004B1BD8">
              <w:rPr>
                <w:rFonts w:ascii="Arial" w:eastAsia="Arial" w:hAnsi="Arial" w:cs="Arial"/>
              </w:rPr>
              <w:t xml:space="preserve">. </w:t>
            </w:r>
            <w:r w:rsidR="00F85570">
              <w:rPr>
                <w:rFonts w:ascii="Arial" w:eastAsia="Arial" w:hAnsi="Arial" w:cs="Arial"/>
              </w:rPr>
              <w:t>By</w:t>
            </w:r>
            <w:r w:rsidRPr="004B1BD8">
              <w:rPr>
                <w:rFonts w:ascii="Arial" w:eastAsia="Arial" w:hAnsi="Arial" w:cs="Arial"/>
              </w:rPr>
              <w:t xml:space="preserve"> working in this industry and providing meals with care </w:t>
            </w:r>
            <w:r w:rsidR="0032797B" w:rsidRPr="0032797B">
              <w:rPr>
                <w:rFonts w:ascii="Arial" w:eastAsia="Arial" w:hAnsi="Arial" w:cs="Arial"/>
              </w:rPr>
              <w:t xml:space="preserve">according to the norms and rules, I will </w:t>
            </w:r>
            <w:r w:rsidRPr="004B1BD8">
              <w:rPr>
                <w:rFonts w:ascii="Arial" w:eastAsia="Arial" w:hAnsi="Arial" w:cs="Arial"/>
              </w:rPr>
              <w:t>enhance my reputation and broaden my professional horizons.</w:t>
            </w:r>
          </w:p>
          <w:p w14:paraId="34889F80" w14:textId="77777777" w:rsidR="00777745" w:rsidRDefault="00777745">
            <w:pPr>
              <w:spacing w:line="360" w:lineRule="auto"/>
              <w:jc w:val="both"/>
              <w:rPr>
                <w:rFonts w:ascii="Arial" w:eastAsia="Arial" w:hAnsi="Arial" w:cs="Arial"/>
              </w:rPr>
            </w:pPr>
          </w:p>
          <w:p w14:paraId="34889F81" w14:textId="77777777" w:rsidR="00777745" w:rsidRDefault="00777745">
            <w:pPr>
              <w:spacing w:line="360" w:lineRule="auto"/>
              <w:jc w:val="both"/>
              <w:rPr>
                <w:rFonts w:ascii="Arial" w:eastAsia="Arial" w:hAnsi="Arial" w:cs="Arial"/>
              </w:rPr>
            </w:pPr>
          </w:p>
          <w:p w14:paraId="34889F9F" w14:textId="77777777" w:rsidR="00777745" w:rsidRDefault="00777745">
            <w:pPr>
              <w:jc w:val="both"/>
              <w:rPr>
                <w:rFonts w:ascii="Tahoma" w:eastAsia="Tahoma" w:hAnsi="Tahoma" w:cs="Tahoma"/>
                <w:sz w:val="20"/>
                <w:szCs w:val="20"/>
              </w:rPr>
            </w:pPr>
          </w:p>
          <w:p w14:paraId="5A30F8D8" w14:textId="77777777" w:rsidR="003F5FF2" w:rsidRDefault="003F5FF2">
            <w:pPr>
              <w:jc w:val="both"/>
              <w:rPr>
                <w:rFonts w:ascii="Tahoma" w:eastAsia="Tahoma" w:hAnsi="Tahoma" w:cs="Tahoma"/>
                <w:sz w:val="20"/>
                <w:szCs w:val="20"/>
              </w:rPr>
            </w:pPr>
          </w:p>
          <w:p w14:paraId="34889FA0" w14:textId="77777777" w:rsidR="00777745" w:rsidRDefault="00777745">
            <w:pPr>
              <w:jc w:val="both"/>
              <w:rPr>
                <w:rFonts w:ascii="Tahoma" w:eastAsia="Tahoma" w:hAnsi="Tahoma" w:cs="Tahoma"/>
                <w:sz w:val="20"/>
                <w:szCs w:val="20"/>
              </w:rPr>
            </w:pPr>
          </w:p>
        </w:tc>
      </w:tr>
    </w:tbl>
    <w:p w14:paraId="34889FA2" w14:textId="77777777" w:rsidR="00777745" w:rsidRDefault="00777745">
      <w:pPr>
        <w:rPr>
          <w:rFonts w:ascii="Tahoma" w:eastAsia="Tahoma" w:hAnsi="Tahoma" w:cs="Tahoma"/>
          <w:b/>
        </w:rPr>
      </w:pPr>
    </w:p>
    <w:tbl>
      <w:tblPr>
        <w:tblStyle w:val="a1"/>
        <w:tblW w:w="111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910"/>
        <w:gridCol w:w="272"/>
      </w:tblGrid>
      <w:tr w:rsidR="00777745" w14:paraId="34889FA6" w14:textId="77777777">
        <w:tc>
          <w:tcPr>
            <w:tcW w:w="10910" w:type="dxa"/>
            <w:shd w:val="clear" w:color="auto" w:fill="FBD5B5"/>
          </w:tcPr>
          <w:p w14:paraId="34889FA3" w14:textId="77777777" w:rsidR="00777745" w:rsidRDefault="00491BF5">
            <w:pPr>
              <w:rPr>
                <w:rFonts w:ascii="Tahoma" w:eastAsia="Tahoma" w:hAnsi="Tahoma" w:cs="Tahoma"/>
                <w:b/>
                <w:sz w:val="20"/>
                <w:szCs w:val="20"/>
              </w:rPr>
            </w:pPr>
            <w:r>
              <w:rPr>
                <w:rFonts w:ascii="Tahoma" w:eastAsia="Tahoma" w:hAnsi="Tahoma" w:cs="Tahoma"/>
                <w:b/>
                <w:sz w:val="20"/>
                <w:szCs w:val="20"/>
              </w:rPr>
              <w:lastRenderedPageBreak/>
              <w:t>REFERENCE LIST (not included in word count)</w:t>
            </w:r>
          </w:p>
        </w:tc>
        <w:tc>
          <w:tcPr>
            <w:tcW w:w="272" w:type="dxa"/>
            <w:shd w:val="clear" w:color="auto" w:fill="FBD5B5"/>
          </w:tcPr>
          <w:p w14:paraId="34889FA4" w14:textId="77777777" w:rsidR="00777745" w:rsidRDefault="00777745">
            <w:pPr>
              <w:jc w:val="center"/>
              <w:rPr>
                <w:rFonts w:ascii="Tahoma" w:eastAsia="Tahoma" w:hAnsi="Tahoma" w:cs="Tahoma"/>
                <w:b/>
                <w:sz w:val="20"/>
                <w:szCs w:val="20"/>
              </w:rPr>
            </w:pPr>
          </w:p>
          <w:p w14:paraId="34889FA5" w14:textId="77777777" w:rsidR="00777745" w:rsidRDefault="00777745">
            <w:pPr>
              <w:jc w:val="center"/>
              <w:rPr>
                <w:rFonts w:ascii="Tahoma" w:eastAsia="Tahoma" w:hAnsi="Tahoma" w:cs="Tahoma"/>
                <w:b/>
                <w:sz w:val="20"/>
                <w:szCs w:val="20"/>
              </w:rPr>
            </w:pPr>
          </w:p>
        </w:tc>
      </w:tr>
      <w:tr w:rsidR="00777745" w14:paraId="34889FBB" w14:textId="77777777">
        <w:trPr>
          <w:trHeight w:val="2494"/>
        </w:trPr>
        <w:tc>
          <w:tcPr>
            <w:tcW w:w="11182" w:type="dxa"/>
            <w:gridSpan w:val="2"/>
          </w:tcPr>
          <w:p w14:paraId="34889FA7" w14:textId="77777777" w:rsidR="00777745" w:rsidRDefault="00777745">
            <w:pPr>
              <w:rPr>
                <w:rFonts w:ascii="Tahoma" w:eastAsia="Tahoma" w:hAnsi="Tahoma" w:cs="Tahoma"/>
                <w:sz w:val="20"/>
                <w:szCs w:val="20"/>
              </w:rPr>
            </w:pPr>
          </w:p>
          <w:p w14:paraId="34889FA8" w14:textId="77777777" w:rsidR="00777745" w:rsidRDefault="00777745">
            <w:pPr>
              <w:spacing w:line="360" w:lineRule="auto"/>
              <w:jc w:val="both"/>
              <w:rPr>
                <w:rFonts w:ascii="Arial" w:eastAsia="Arial" w:hAnsi="Arial" w:cs="Arial"/>
              </w:rPr>
            </w:pPr>
          </w:p>
          <w:p w14:paraId="16923117" w14:textId="77777777" w:rsidR="00DC52C4" w:rsidRDefault="00DC52C4" w:rsidP="00DC52C4">
            <w:pPr>
              <w:spacing w:line="360" w:lineRule="auto"/>
              <w:jc w:val="both"/>
              <w:rPr>
                <w:rFonts w:ascii="Arial" w:eastAsia="Arial" w:hAnsi="Arial" w:cs="Arial"/>
              </w:rPr>
            </w:pPr>
            <w:r w:rsidRPr="00DC52C4">
              <w:rPr>
                <w:rFonts w:ascii="Arial" w:eastAsia="Arial" w:hAnsi="Arial" w:cs="Arial"/>
              </w:rPr>
              <w:t>References:</w:t>
            </w:r>
          </w:p>
          <w:p w14:paraId="5D9DC4E7" w14:textId="7D5BBD45" w:rsidR="004624D8" w:rsidRPr="004624D8" w:rsidRDefault="004624D8" w:rsidP="004624D8">
            <w:pPr>
              <w:spacing w:line="360" w:lineRule="auto"/>
              <w:jc w:val="both"/>
              <w:rPr>
                <w:rFonts w:ascii="Arial" w:eastAsia="Arial" w:hAnsi="Arial" w:cs="Arial"/>
              </w:rPr>
            </w:pPr>
            <w:r w:rsidRPr="004624D8">
              <w:rPr>
                <w:rFonts w:ascii="Arial" w:eastAsia="Arial" w:hAnsi="Arial" w:cs="Arial"/>
              </w:rPr>
              <w:t>Bordelon, B.M., 2016. To travel or not to travel: exploring food allergy policy in the  tourism and hospitality industry.</w:t>
            </w:r>
          </w:p>
          <w:p w14:paraId="4195F5C1" w14:textId="77777777" w:rsidR="004624D8" w:rsidRPr="004624D8" w:rsidRDefault="004624D8" w:rsidP="004624D8">
            <w:pPr>
              <w:spacing w:line="360" w:lineRule="auto"/>
              <w:jc w:val="both"/>
              <w:rPr>
                <w:rFonts w:ascii="Arial" w:eastAsia="Arial" w:hAnsi="Arial" w:cs="Arial"/>
              </w:rPr>
            </w:pPr>
          </w:p>
          <w:p w14:paraId="36042A88" w14:textId="0897C60F" w:rsidR="004624D8" w:rsidRPr="004624D8" w:rsidRDefault="004624D8" w:rsidP="004624D8">
            <w:pPr>
              <w:spacing w:line="360" w:lineRule="auto"/>
              <w:jc w:val="both"/>
              <w:rPr>
                <w:rFonts w:ascii="Arial" w:eastAsia="Arial" w:hAnsi="Arial" w:cs="Arial"/>
              </w:rPr>
            </w:pPr>
            <w:r w:rsidRPr="004624D8">
              <w:rPr>
                <w:rFonts w:ascii="Arial" w:eastAsia="Arial" w:hAnsi="Arial" w:cs="Arial"/>
                <w:lang w:val="nb-NO"/>
              </w:rPr>
              <w:t xml:space="preserve">Bryan Endres, A., Endres, R. and Nižić, M.K., 2021. </w:t>
            </w:r>
            <w:r w:rsidRPr="004624D8">
              <w:rPr>
                <w:rFonts w:ascii="Arial" w:eastAsia="Arial" w:hAnsi="Arial" w:cs="Arial"/>
              </w:rPr>
              <w:t xml:space="preserve">Restaurant disclosure of food </w:t>
            </w:r>
          </w:p>
          <w:p w14:paraId="58E06E69" w14:textId="77777777" w:rsidR="004624D8" w:rsidRPr="004624D8" w:rsidRDefault="004624D8" w:rsidP="004624D8">
            <w:pPr>
              <w:spacing w:line="360" w:lineRule="auto"/>
              <w:jc w:val="both"/>
              <w:rPr>
                <w:rFonts w:ascii="Arial" w:eastAsia="Arial" w:hAnsi="Arial" w:cs="Arial"/>
              </w:rPr>
            </w:pPr>
            <w:r w:rsidRPr="004624D8">
              <w:rPr>
                <w:rFonts w:ascii="Arial" w:eastAsia="Arial" w:hAnsi="Arial" w:cs="Arial"/>
              </w:rPr>
              <w:t xml:space="preserve">allergens: Analysis and economic implications. Tourism and Hospitality </w:t>
            </w:r>
          </w:p>
          <w:p w14:paraId="1CD3651D" w14:textId="34F8852B" w:rsidR="005F5220" w:rsidRDefault="004624D8" w:rsidP="004624D8">
            <w:pPr>
              <w:spacing w:line="360" w:lineRule="auto"/>
              <w:jc w:val="both"/>
              <w:rPr>
                <w:rFonts w:ascii="Arial" w:eastAsia="Arial" w:hAnsi="Arial" w:cs="Arial"/>
              </w:rPr>
            </w:pPr>
            <w:r w:rsidRPr="004624D8">
              <w:rPr>
                <w:rFonts w:ascii="Arial" w:eastAsia="Arial" w:hAnsi="Arial" w:cs="Arial"/>
              </w:rPr>
              <w:t>Research, 21(2), pp.202-215.</w:t>
            </w:r>
          </w:p>
          <w:p w14:paraId="5C7F2103" w14:textId="77777777" w:rsidR="00DC52C4" w:rsidRPr="00DC52C4" w:rsidRDefault="00DC52C4" w:rsidP="00DC52C4">
            <w:pPr>
              <w:spacing w:line="360" w:lineRule="auto"/>
              <w:jc w:val="both"/>
              <w:rPr>
                <w:rFonts w:ascii="Arial" w:eastAsia="Arial" w:hAnsi="Arial" w:cs="Arial"/>
              </w:rPr>
            </w:pPr>
          </w:p>
          <w:p w14:paraId="23CA568D" w14:textId="77777777" w:rsidR="00DC52C4" w:rsidRPr="00DC52C4" w:rsidRDefault="00DC52C4" w:rsidP="00DC52C4">
            <w:pPr>
              <w:spacing w:line="360" w:lineRule="auto"/>
              <w:jc w:val="both"/>
              <w:rPr>
                <w:rFonts w:ascii="Arial" w:eastAsia="Arial" w:hAnsi="Arial" w:cs="Arial"/>
              </w:rPr>
            </w:pPr>
            <w:r w:rsidRPr="00DC52C4">
              <w:rPr>
                <w:rFonts w:ascii="Arial" w:eastAsia="Arial" w:hAnsi="Arial" w:cs="Arial"/>
              </w:rPr>
              <w:t xml:space="preserve">Clevelandclinic.org (2022), health [online] Available at: </w:t>
            </w:r>
          </w:p>
          <w:p w14:paraId="24671F7A" w14:textId="17774C98" w:rsidR="00DC52C4" w:rsidRDefault="00DC52C4" w:rsidP="00DC52C4">
            <w:pPr>
              <w:spacing w:line="360" w:lineRule="auto"/>
              <w:jc w:val="both"/>
              <w:rPr>
                <w:rFonts w:ascii="Arial" w:eastAsia="Arial" w:hAnsi="Arial" w:cs="Arial"/>
              </w:rPr>
            </w:pPr>
            <w:r w:rsidRPr="00DC52C4">
              <w:rPr>
                <w:rFonts w:ascii="Arial" w:eastAsia="Arial" w:hAnsi="Arial" w:cs="Arial"/>
              </w:rPr>
              <w:t xml:space="preserve">&lt;https://my.clevelandclinic.org/health/diseases/10009-food-problems-is-it-an-allergyor-intolerance&gt;, </w:t>
            </w:r>
            <w:r w:rsidR="005F5220" w:rsidRPr="005F5220">
              <w:rPr>
                <w:rFonts w:ascii="Arial" w:eastAsia="Arial" w:hAnsi="Arial" w:cs="Arial"/>
              </w:rPr>
              <w:t>Accessed on 14 February 2023].</w:t>
            </w:r>
          </w:p>
          <w:p w14:paraId="4F363061" w14:textId="77777777" w:rsidR="005F5220" w:rsidRDefault="005F5220" w:rsidP="00DC52C4">
            <w:pPr>
              <w:spacing w:line="360" w:lineRule="auto"/>
              <w:jc w:val="both"/>
              <w:rPr>
                <w:rFonts w:ascii="Arial" w:eastAsia="Arial" w:hAnsi="Arial" w:cs="Arial"/>
              </w:rPr>
            </w:pPr>
          </w:p>
          <w:p w14:paraId="340FA93B" w14:textId="12E7E461" w:rsidR="004624D8" w:rsidRDefault="004624D8" w:rsidP="00DC52C4">
            <w:pPr>
              <w:spacing w:line="360" w:lineRule="auto"/>
              <w:jc w:val="both"/>
              <w:rPr>
                <w:rFonts w:ascii="Arial" w:eastAsia="Arial" w:hAnsi="Arial" w:cs="Arial"/>
              </w:rPr>
            </w:pPr>
            <w:proofErr w:type="spellStart"/>
            <w:r w:rsidRPr="004624D8">
              <w:rPr>
                <w:rFonts w:ascii="Arial" w:eastAsia="Arial" w:hAnsi="Arial" w:cs="Arial"/>
              </w:rPr>
              <w:t>Derham</w:t>
            </w:r>
            <w:proofErr w:type="spellEnd"/>
            <w:r w:rsidRPr="004624D8">
              <w:rPr>
                <w:rFonts w:ascii="Arial" w:eastAsia="Arial" w:hAnsi="Arial" w:cs="Arial"/>
              </w:rPr>
              <w:t xml:space="preserve">, J., Victoria, M., Frost, W. and </w:t>
            </w:r>
            <w:proofErr w:type="spellStart"/>
            <w:r w:rsidRPr="004624D8">
              <w:rPr>
                <w:rFonts w:ascii="Arial" w:eastAsia="Arial" w:hAnsi="Arial" w:cs="Arial"/>
              </w:rPr>
              <w:t>Melsen</w:t>
            </w:r>
            <w:proofErr w:type="spellEnd"/>
            <w:r w:rsidRPr="004624D8">
              <w:rPr>
                <w:rFonts w:ascii="Arial" w:eastAsia="Arial" w:hAnsi="Arial" w:cs="Arial"/>
              </w:rPr>
              <w:t>, L., 2012. Travelling with food intolerances: An exploratory study. Exploring Destination Identity and Destination  Image in the New Age of Tourism: a case study of Brand Bali 18, p.131.</w:t>
            </w:r>
          </w:p>
          <w:p w14:paraId="28C7F238" w14:textId="77777777" w:rsidR="004624D8" w:rsidRDefault="004624D8" w:rsidP="00DC52C4">
            <w:pPr>
              <w:spacing w:line="360" w:lineRule="auto"/>
              <w:jc w:val="both"/>
              <w:rPr>
                <w:rFonts w:ascii="Arial" w:eastAsia="Arial" w:hAnsi="Arial" w:cs="Arial"/>
              </w:rPr>
            </w:pPr>
          </w:p>
          <w:p w14:paraId="4063B65D" w14:textId="42474C4C" w:rsidR="004624D8" w:rsidRDefault="004624D8" w:rsidP="00DC52C4">
            <w:pPr>
              <w:spacing w:line="360" w:lineRule="auto"/>
              <w:jc w:val="both"/>
              <w:rPr>
                <w:rFonts w:ascii="Arial" w:eastAsia="Arial" w:hAnsi="Arial" w:cs="Arial"/>
              </w:rPr>
            </w:pPr>
            <w:r w:rsidRPr="004624D8">
              <w:rPr>
                <w:rFonts w:ascii="Arial" w:eastAsia="Arial" w:hAnsi="Arial" w:cs="Arial"/>
              </w:rPr>
              <w:t xml:space="preserve">Lavine, E., 2012. Blood testing for sensitivity, allergy or intolerance to  food. </w:t>
            </w:r>
            <w:proofErr w:type="spellStart"/>
            <w:r w:rsidRPr="004624D8">
              <w:rPr>
                <w:rFonts w:ascii="Arial" w:eastAsia="Arial" w:hAnsi="Arial" w:cs="Arial"/>
              </w:rPr>
              <w:t>Cmaj</w:t>
            </w:r>
            <w:proofErr w:type="spellEnd"/>
            <w:r w:rsidRPr="004624D8">
              <w:rPr>
                <w:rFonts w:ascii="Arial" w:eastAsia="Arial" w:hAnsi="Arial" w:cs="Arial"/>
              </w:rPr>
              <w:t>, 184(6), pp.666-668.</w:t>
            </w:r>
          </w:p>
          <w:p w14:paraId="6AFE8A58" w14:textId="77777777" w:rsidR="004624D8" w:rsidRPr="00DC52C4" w:rsidRDefault="004624D8" w:rsidP="00DC52C4">
            <w:pPr>
              <w:spacing w:line="360" w:lineRule="auto"/>
              <w:jc w:val="both"/>
              <w:rPr>
                <w:rFonts w:ascii="Arial" w:eastAsia="Arial" w:hAnsi="Arial" w:cs="Arial"/>
              </w:rPr>
            </w:pPr>
          </w:p>
          <w:p w14:paraId="19C225D7" w14:textId="781DE4E2" w:rsidR="005F5220" w:rsidRPr="00DC52C4" w:rsidRDefault="00DC52C4" w:rsidP="00DC52C4">
            <w:pPr>
              <w:spacing w:line="360" w:lineRule="auto"/>
              <w:jc w:val="both"/>
              <w:rPr>
                <w:rFonts w:ascii="Arial" w:eastAsia="Arial" w:hAnsi="Arial" w:cs="Arial"/>
              </w:rPr>
            </w:pPr>
            <w:proofErr w:type="spellStart"/>
            <w:r w:rsidRPr="00DC52C4">
              <w:rPr>
                <w:rFonts w:ascii="Arial" w:eastAsia="Arial" w:hAnsi="Arial" w:cs="Arial"/>
              </w:rPr>
              <w:t>Mamone</w:t>
            </w:r>
            <w:proofErr w:type="spellEnd"/>
            <w:r w:rsidRPr="00DC52C4">
              <w:rPr>
                <w:rFonts w:ascii="Arial" w:eastAsia="Arial" w:hAnsi="Arial" w:cs="Arial"/>
              </w:rPr>
              <w:t xml:space="preserve">, G., </w:t>
            </w:r>
            <w:proofErr w:type="spellStart"/>
            <w:r w:rsidRPr="00DC52C4">
              <w:rPr>
                <w:rFonts w:ascii="Arial" w:eastAsia="Arial" w:hAnsi="Arial" w:cs="Arial"/>
              </w:rPr>
              <w:t>Picariello</w:t>
            </w:r>
            <w:proofErr w:type="spellEnd"/>
            <w:r w:rsidRPr="00DC52C4">
              <w:rPr>
                <w:rFonts w:ascii="Arial" w:eastAsia="Arial" w:hAnsi="Arial" w:cs="Arial"/>
              </w:rPr>
              <w:t xml:space="preserve">, G., </w:t>
            </w:r>
            <w:proofErr w:type="spellStart"/>
            <w:r w:rsidRPr="00DC52C4">
              <w:rPr>
                <w:rFonts w:ascii="Arial" w:eastAsia="Arial" w:hAnsi="Arial" w:cs="Arial"/>
              </w:rPr>
              <w:t>Addeo</w:t>
            </w:r>
            <w:proofErr w:type="spellEnd"/>
            <w:r w:rsidRPr="00DC52C4">
              <w:rPr>
                <w:rFonts w:ascii="Arial" w:eastAsia="Arial" w:hAnsi="Arial" w:cs="Arial"/>
              </w:rPr>
              <w:t>, F. and Ferranti, P., 2011. Proteomic analysis in</w:t>
            </w:r>
            <w:r w:rsidR="004624D8">
              <w:rPr>
                <w:rFonts w:ascii="Arial" w:eastAsia="Arial" w:hAnsi="Arial" w:cs="Arial"/>
              </w:rPr>
              <w:t xml:space="preserve"> </w:t>
            </w:r>
            <w:r w:rsidRPr="00DC52C4">
              <w:rPr>
                <w:rFonts w:ascii="Arial" w:eastAsia="Arial" w:hAnsi="Arial" w:cs="Arial"/>
              </w:rPr>
              <w:t>allergy and intolerance to wheat products. Expert review of proteomics, 8(1), pp.95-</w:t>
            </w:r>
            <w:r w:rsidR="005F5220">
              <w:rPr>
                <w:rFonts w:ascii="Arial" w:eastAsia="Arial" w:hAnsi="Arial" w:cs="Arial"/>
              </w:rPr>
              <w:t xml:space="preserve"> </w:t>
            </w:r>
            <w:r w:rsidRPr="00DC52C4">
              <w:rPr>
                <w:rFonts w:ascii="Arial" w:eastAsia="Arial" w:hAnsi="Arial" w:cs="Arial"/>
              </w:rPr>
              <w:t>115.</w:t>
            </w:r>
          </w:p>
          <w:p w14:paraId="5CF1A3B0" w14:textId="77777777" w:rsidR="004624D8" w:rsidRDefault="004624D8" w:rsidP="00DC52C4">
            <w:pPr>
              <w:spacing w:line="360" w:lineRule="auto"/>
              <w:jc w:val="both"/>
              <w:rPr>
                <w:rFonts w:ascii="Arial" w:eastAsia="Arial" w:hAnsi="Arial" w:cs="Arial"/>
              </w:rPr>
            </w:pPr>
          </w:p>
          <w:p w14:paraId="3AF81C4D" w14:textId="4565F48F" w:rsidR="005F5220" w:rsidRPr="00DC52C4" w:rsidRDefault="004624D8" w:rsidP="00DC52C4">
            <w:pPr>
              <w:spacing w:line="360" w:lineRule="auto"/>
              <w:jc w:val="both"/>
              <w:rPr>
                <w:rFonts w:ascii="Arial" w:eastAsia="Arial" w:hAnsi="Arial" w:cs="Arial"/>
              </w:rPr>
            </w:pPr>
            <w:r w:rsidRPr="004624D8">
              <w:rPr>
                <w:rFonts w:ascii="Arial" w:eastAsia="Arial" w:hAnsi="Arial" w:cs="Arial"/>
              </w:rPr>
              <w:t>Nhs.uk (2022), food intolerance [online] Available at:  &lt;https://www.nhs.uk/conditions/food-intolerance/&gt;, [Accessed on 14 February 2023].</w:t>
            </w:r>
          </w:p>
          <w:p w14:paraId="36362D65" w14:textId="77777777" w:rsidR="005F5220" w:rsidRPr="00DC52C4" w:rsidRDefault="005F5220" w:rsidP="00DC52C4">
            <w:pPr>
              <w:spacing w:line="360" w:lineRule="auto"/>
              <w:jc w:val="both"/>
              <w:rPr>
                <w:rFonts w:ascii="Arial" w:eastAsia="Arial" w:hAnsi="Arial" w:cs="Arial"/>
              </w:rPr>
            </w:pPr>
          </w:p>
          <w:p w14:paraId="34889FA9" w14:textId="6CC54D52" w:rsidR="00777745" w:rsidRDefault="00DC52C4" w:rsidP="00DC52C4">
            <w:pPr>
              <w:spacing w:line="360" w:lineRule="auto"/>
              <w:jc w:val="both"/>
              <w:rPr>
                <w:rFonts w:ascii="Arial" w:eastAsia="Arial" w:hAnsi="Arial" w:cs="Arial"/>
              </w:rPr>
            </w:pPr>
            <w:r w:rsidRPr="00DC52C4">
              <w:rPr>
                <w:rFonts w:ascii="Arial" w:eastAsia="Arial" w:hAnsi="Arial" w:cs="Arial"/>
              </w:rPr>
              <w:cr/>
            </w:r>
          </w:p>
          <w:p w14:paraId="34889FAA" w14:textId="77777777" w:rsidR="00777745" w:rsidRDefault="00777745">
            <w:pPr>
              <w:spacing w:line="360" w:lineRule="auto"/>
              <w:jc w:val="both"/>
              <w:rPr>
                <w:rFonts w:ascii="Arial" w:eastAsia="Arial" w:hAnsi="Arial" w:cs="Arial"/>
              </w:rPr>
            </w:pPr>
          </w:p>
          <w:p w14:paraId="34889FAB" w14:textId="77777777" w:rsidR="00777745" w:rsidRDefault="00777745">
            <w:pPr>
              <w:spacing w:line="360" w:lineRule="auto"/>
              <w:jc w:val="both"/>
              <w:rPr>
                <w:rFonts w:ascii="Arial" w:eastAsia="Arial" w:hAnsi="Arial" w:cs="Arial"/>
              </w:rPr>
            </w:pPr>
          </w:p>
          <w:p w14:paraId="34889FAC" w14:textId="77777777" w:rsidR="00777745" w:rsidRDefault="00777745">
            <w:pPr>
              <w:spacing w:line="360" w:lineRule="auto"/>
              <w:jc w:val="both"/>
              <w:rPr>
                <w:rFonts w:ascii="Arial" w:eastAsia="Arial" w:hAnsi="Arial" w:cs="Arial"/>
              </w:rPr>
            </w:pPr>
          </w:p>
          <w:p w14:paraId="34889FAD" w14:textId="77777777" w:rsidR="00777745" w:rsidRDefault="00777745">
            <w:pPr>
              <w:spacing w:line="360" w:lineRule="auto"/>
              <w:jc w:val="both"/>
              <w:rPr>
                <w:rFonts w:ascii="Arial" w:eastAsia="Arial" w:hAnsi="Arial" w:cs="Arial"/>
              </w:rPr>
            </w:pPr>
          </w:p>
          <w:p w14:paraId="34889FAE" w14:textId="77777777" w:rsidR="00777745" w:rsidRDefault="00777745">
            <w:pPr>
              <w:spacing w:line="360" w:lineRule="auto"/>
              <w:jc w:val="both"/>
              <w:rPr>
                <w:rFonts w:ascii="Arial" w:eastAsia="Arial" w:hAnsi="Arial" w:cs="Arial"/>
              </w:rPr>
            </w:pPr>
          </w:p>
          <w:p w14:paraId="34889FAF" w14:textId="77777777" w:rsidR="00777745" w:rsidRDefault="00777745">
            <w:pPr>
              <w:spacing w:line="360" w:lineRule="auto"/>
              <w:jc w:val="both"/>
              <w:rPr>
                <w:rFonts w:ascii="Arial" w:eastAsia="Arial" w:hAnsi="Arial" w:cs="Arial"/>
              </w:rPr>
            </w:pPr>
          </w:p>
          <w:p w14:paraId="34889FB0" w14:textId="77777777" w:rsidR="00777745" w:rsidRDefault="00777745">
            <w:pPr>
              <w:spacing w:line="360" w:lineRule="auto"/>
              <w:jc w:val="both"/>
              <w:rPr>
                <w:rFonts w:ascii="Arial" w:eastAsia="Arial" w:hAnsi="Arial" w:cs="Arial"/>
              </w:rPr>
            </w:pPr>
          </w:p>
          <w:p w14:paraId="34889FB1" w14:textId="77777777" w:rsidR="00777745" w:rsidRDefault="00777745">
            <w:pPr>
              <w:spacing w:line="360" w:lineRule="auto"/>
              <w:jc w:val="both"/>
              <w:rPr>
                <w:rFonts w:ascii="Arial" w:eastAsia="Arial" w:hAnsi="Arial" w:cs="Arial"/>
              </w:rPr>
            </w:pPr>
          </w:p>
          <w:p w14:paraId="34889FB2" w14:textId="77777777" w:rsidR="00777745" w:rsidRDefault="00777745">
            <w:pPr>
              <w:spacing w:line="360" w:lineRule="auto"/>
              <w:jc w:val="both"/>
              <w:rPr>
                <w:rFonts w:ascii="Arial" w:eastAsia="Arial" w:hAnsi="Arial" w:cs="Arial"/>
              </w:rPr>
            </w:pPr>
          </w:p>
          <w:p w14:paraId="34889FB3" w14:textId="77777777" w:rsidR="00777745" w:rsidRDefault="00777745">
            <w:pPr>
              <w:spacing w:line="360" w:lineRule="auto"/>
              <w:jc w:val="both"/>
              <w:rPr>
                <w:rFonts w:ascii="Arial" w:eastAsia="Arial" w:hAnsi="Arial" w:cs="Arial"/>
              </w:rPr>
            </w:pPr>
          </w:p>
          <w:p w14:paraId="34889FB4" w14:textId="77777777" w:rsidR="00777745" w:rsidRDefault="00777745">
            <w:pPr>
              <w:spacing w:line="360" w:lineRule="auto"/>
              <w:jc w:val="both"/>
              <w:rPr>
                <w:rFonts w:ascii="Arial" w:eastAsia="Arial" w:hAnsi="Arial" w:cs="Arial"/>
              </w:rPr>
            </w:pPr>
          </w:p>
          <w:p w14:paraId="34889FB5" w14:textId="77777777" w:rsidR="00777745" w:rsidRDefault="00777745">
            <w:pPr>
              <w:spacing w:line="360" w:lineRule="auto"/>
              <w:jc w:val="both"/>
              <w:rPr>
                <w:rFonts w:ascii="Arial" w:eastAsia="Arial" w:hAnsi="Arial" w:cs="Arial"/>
              </w:rPr>
            </w:pPr>
          </w:p>
          <w:p w14:paraId="34889FB6" w14:textId="77777777" w:rsidR="00777745" w:rsidRDefault="00777745">
            <w:pPr>
              <w:spacing w:line="360" w:lineRule="auto"/>
              <w:jc w:val="both"/>
              <w:rPr>
                <w:rFonts w:ascii="Arial" w:eastAsia="Arial" w:hAnsi="Arial" w:cs="Arial"/>
              </w:rPr>
            </w:pPr>
          </w:p>
          <w:p w14:paraId="34889FB7" w14:textId="77777777" w:rsidR="00777745" w:rsidRDefault="00777745">
            <w:pPr>
              <w:spacing w:line="360" w:lineRule="auto"/>
              <w:jc w:val="both"/>
              <w:rPr>
                <w:rFonts w:ascii="Arial" w:eastAsia="Arial" w:hAnsi="Arial" w:cs="Arial"/>
              </w:rPr>
            </w:pPr>
          </w:p>
          <w:p w14:paraId="34889FB8" w14:textId="77777777" w:rsidR="00777745" w:rsidRDefault="00777745">
            <w:pPr>
              <w:spacing w:line="360" w:lineRule="auto"/>
              <w:jc w:val="both"/>
              <w:rPr>
                <w:rFonts w:ascii="Arial" w:eastAsia="Arial" w:hAnsi="Arial" w:cs="Arial"/>
              </w:rPr>
            </w:pPr>
          </w:p>
          <w:p w14:paraId="34889FB9" w14:textId="77777777" w:rsidR="00777745" w:rsidRDefault="00777745">
            <w:pPr>
              <w:spacing w:line="360" w:lineRule="auto"/>
              <w:jc w:val="both"/>
              <w:rPr>
                <w:rFonts w:ascii="Arial" w:eastAsia="Arial" w:hAnsi="Arial" w:cs="Arial"/>
              </w:rPr>
            </w:pPr>
          </w:p>
          <w:p w14:paraId="34889FBA" w14:textId="77777777" w:rsidR="00777745" w:rsidRDefault="00777745">
            <w:pPr>
              <w:jc w:val="both"/>
              <w:rPr>
                <w:rFonts w:ascii="Tahoma" w:eastAsia="Tahoma" w:hAnsi="Tahoma" w:cs="Tahoma"/>
                <w:sz w:val="20"/>
                <w:szCs w:val="20"/>
              </w:rPr>
            </w:pPr>
          </w:p>
        </w:tc>
      </w:tr>
    </w:tbl>
    <w:p w14:paraId="34889FBC" w14:textId="77777777" w:rsidR="00777745" w:rsidRDefault="00777745">
      <w:pPr>
        <w:rPr>
          <w:rFonts w:ascii="Tahoma" w:eastAsia="Tahoma" w:hAnsi="Tahoma" w:cs="Tahoma"/>
          <w:b/>
        </w:rPr>
      </w:pPr>
    </w:p>
    <w:p w14:paraId="34889FBD" w14:textId="77777777" w:rsidR="00777745" w:rsidRDefault="00777745">
      <w:pPr>
        <w:rPr>
          <w:rFonts w:ascii="Tahoma" w:eastAsia="Tahoma" w:hAnsi="Tahoma" w:cs="Tahoma"/>
          <w:b/>
        </w:rPr>
      </w:pPr>
    </w:p>
    <w:p w14:paraId="34889FBE" w14:textId="77777777" w:rsidR="00777745" w:rsidRDefault="00777745">
      <w:pPr>
        <w:rPr>
          <w:rFonts w:ascii="Tahoma" w:eastAsia="Tahoma" w:hAnsi="Tahoma" w:cs="Tahoma"/>
          <w:b/>
        </w:rPr>
      </w:pPr>
    </w:p>
    <w:p w14:paraId="34889FBF" w14:textId="77777777" w:rsidR="00777745" w:rsidRDefault="00777745">
      <w:pPr>
        <w:rPr>
          <w:rFonts w:ascii="Tahoma" w:eastAsia="Tahoma" w:hAnsi="Tahoma" w:cs="Tahoma"/>
          <w:b/>
        </w:rPr>
      </w:pPr>
    </w:p>
    <w:p w14:paraId="34889FC0" w14:textId="77777777" w:rsidR="00777745" w:rsidRDefault="00777745">
      <w:pPr>
        <w:rPr>
          <w:rFonts w:ascii="Tahoma" w:eastAsia="Tahoma" w:hAnsi="Tahoma" w:cs="Tahoma"/>
          <w:b/>
        </w:rPr>
      </w:pPr>
    </w:p>
    <w:p w14:paraId="34889FC1" w14:textId="77777777" w:rsidR="00777745" w:rsidRDefault="00777745">
      <w:pPr>
        <w:rPr>
          <w:rFonts w:ascii="Tahoma" w:eastAsia="Tahoma" w:hAnsi="Tahoma" w:cs="Tahoma"/>
          <w:b/>
        </w:rPr>
      </w:pPr>
    </w:p>
    <w:p w14:paraId="34889FC2" w14:textId="77777777" w:rsidR="00777745" w:rsidRDefault="00777745">
      <w:pPr>
        <w:rPr>
          <w:rFonts w:ascii="Tahoma" w:eastAsia="Tahoma" w:hAnsi="Tahoma" w:cs="Tahoma"/>
          <w:b/>
        </w:rPr>
      </w:pPr>
    </w:p>
    <w:sectPr w:rsidR="00777745">
      <w:headerReference w:type="default" r:id="rId7"/>
      <w:footerReference w:type="default" r:id="rId8"/>
      <w:pgSz w:w="11906" w:h="16838"/>
      <w:pgMar w:top="360" w:right="357" w:bottom="0" w:left="357" w:header="709" w:footer="709"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DC1B1" w14:textId="77777777" w:rsidR="000368D7" w:rsidRDefault="000368D7">
      <w:r>
        <w:separator/>
      </w:r>
    </w:p>
  </w:endnote>
  <w:endnote w:type="continuationSeparator" w:id="0">
    <w:p w14:paraId="417215C0" w14:textId="77777777" w:rsidR="000368D7" w:rsidRDefault="000368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89FC4" w14:textId="04CE584F" w:rsidR="00777745" w:rsidRDefault="00491BF5">
    <w:pPr>
      <w:pBdr>
        <w:top w:val="nil"/>
        <w:left w:val="nil"/>
        <w:bottom w:val="nil"/>
        <w:right w:val="nil"/>
        <w:between w:val="nil"/>
      </w:pBdr>
      <w:tabs>
        <w:tab w:val="center" w:pos="4153"/>
        <w:tab w:val="right" w:pos="8306"/>
      </w:tabs>
      <w:jc w:val="right"/>
      <w:rPr>
        <w:color w:val="000000"/>
      </w:rPr>
    </w:pPr>
    <w:r>
      <w:rPr>
        <w:color w:val="000000"/>
      </w:rPr>
      <w:fldChar w:fldCharType="begin"/>
    </w:r>
    <w:r>
      <w:rPr>
        <w:color w:val="000000"/>
      </w:rPr>
      <w:instrText>PAGE</w:instrText>
    </w:r>
    <w:r>
      <w:rPr>
        <w:color w:val="000000"/>
      </w:rPr>
      <w:fldChar w:fldCharType="separate"/>
    </w:r>
    <w:r w:rsidR="00C52B7D">
      <w:rPr>
        <w:noProof/>
        <w:color w:val="000000"/>
      </w:rPr>
      <w:t>1</w:t>
    </w:r>
    <w:r>
      <w:rPr>
        <w:color w:val="000000"/>
      </w:rPr>
      <w:fldChar w:fldCharType="end"/>
    </w:r>
  </w:p>
  <w:p w14:paraId="34889FC5" w14:textId="77777777" w:rsidR="00777745" w:rsidRDefault="00777745">
    <w:pPr>
      <w:pBdr>
        <w:top w:val="nil"/>
        <w:left w:val="nil"/>
        <w:bottom w:val="nil"/>
        <w:right w:val="nil"/>
        <w:between w:val="nil"/>
      </w:pBdr>
      <w:tabs>
        <w:tab w:val="center" w:pos="4153"/>
        <w:tab w:val="right" w:pos="830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84480" w14:textId="77777777" w:rsidR="000368D7" w:rsidRDefault="000368D7">
      <w:r>
        <w:separator/>
      </w:r>
    </w:p>
  </w:footnote>
  <w:footnote w:type="continuationSeparator" w:id="0">
    <w:p w14:paraId="06A0D13D" w14:textId="77777777" w:rsidR="000368D7" w:rsidRDefault="000368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889FC3" w14:textId="77777777" w:rsidR="00777745" w:rsidRDefault="00491BF5">
    <w:pPr>
      <w:pBdr>
        <w:top w:val="nil"/>
        <w:left w:val="nil"/>
        <w:bottom w:val="nil"/>
        <w:right w:val="nil"/>
        <w:between w:val="nil"/>
      </w:pBdr>
      <w:tabs>
        <w:tab w:val="center" w:pos="4153"/>
        <w:tab w:val="right" w:pos="8306"/>
      </w:tabs>
      <w:jc w:val="right"/>
      <w:rPr>
        <w:rFonts w:ascii="Calibri" w:eastAsia="Calibri" w:hAnsi="Calibri" w:cs="Calibri"/>
        <w:color w:val="000000"/>
      </w:rPr>
    </w:pPr>
    <w:r>
      <w:rPr>
        <w:rFonts w:ascii="Calibri" w:eastAsia="Calibri" w:hAnsi="Calibri" w:cs="Calibri"/>
        <w:noProof/>
        <w:color w:val="000000"/>
      </w:rPr>
      <w:drawing>
        <wp:anchor distT="0" distB="0" distL="114300" distR="114300" simplePos="0" relativeHeight="251658240" behindDoc="0" locked="0" layoutInCell="1" hidden="0" allowOverlap="1" wp14:anchorId="34889FC6" wp14:editId="34889FC7">
          <wp:simplePos x="0" y="0"/>
          <wp:positionH relativeFrom="margin">
            <wp:posOffset>1380</wp:posOffset>
          </wp:positionH>
          <wp:positionV relativeFrom="margin">
            <wp:posOffset>-357614</wp:posOffset>
          </wp:positionV>
          <wp:extent cx="2303780" cy="765175"/>
          <wp:effectExtent l="0" t="0" r="0" b="0"/>
          <wp:wrapSquare wrapText="bothSides" distT="0" distB="0" distL="114300" distR="114300"/>
          <wp:docPr id="1" name="image1.png" descr="uwtsd-logo-bilingual"/>
          <wp:cNvGraphicFramePr/>
          <a:graphic xmlns:a="http://schemas.openxmlformats.org/drawingml/2006/main">
            <a:graphicData uri="http://schemas.openxmlformats.org/drawingml/2006/picture">
              <pic:pic xmlns:pic="http://schemas.openxmlformats.org/drawingml/2006/picture">
                <pic:nvPicPr>
                  <pic:cNvPr id="0" name="image1.png" descr="uwtsd-logo-bilingual"/>
                  <pic:cNvPicPr preferRelativeResize="0"/>
                </pic:nvPicPr>
                <pic:blipFill>
                  <a:blip r:embed="rId1"/>
                  <a:srcRect/>
                  <a:stretch>
                    <a:fillRect/>
                  </a:stretch>
                </pic:blipFill>
                <pic:spPr>
                  <a:xfrm>
                    <a:off x="0" y="0"/>
                    <a:ext cx="2303780" cy="765175"/>
                  </a:xfrm>
                  <a:prstGeom prst="rect">
                    <a:avLst/>
                  </a:prstGeom>
                  <a:ln/>
                </pic:spPr>
              </pic:pic>
            </a:graphicData>
          </a:graphic>
        </wp:anchor>
      </w:drawing>
    </w:r>
    <w:r>
      <w:rPr>
        <w:rFonts w:ascii="Calibri" w:eastAsia="Calibri" w:hAnsi="Calibri" w:cs="Calibri"/>
        <w:color w:val="000000"/>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5658AB"/>
    <w:multiLevelType w:val="multilevel"/>
    <w:tmpl w:val="C914A1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955985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7745"/>
    <w:rsid w:val="000368D7"/>
    <w:rsid w:val="00056464"/>
    <w:rsid w:val="00065731"/>
    <w:rsid w:val="00144A36"/>
    <w:rsid w:val="0032797B"/>
    <w:rsid w:val="003F5FF2"/>
    <w:rsid w:val="004624D8"/>
    <w:rsid w:val="004B1BD8"/>
    <w:rsid w:val="005F5220"/>
    <w:rsid w:val="00777745"/>
    <w:rsid w:val="00C06466"/>
    <w:rsid w:val="00C52B7D"/>
    <w:rsid w:val="00DC52C4"/>
    <w:rsid w:val="00DF60C5"/>
    <w:rsid w:val="00F85570"/>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89F65"/>
  <w15:docId w15:val="{4FB5D53C-601A-4B2C-8C33-3D5F7FAE2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80" w:after="120"/>
      <w:outlineLvl w:val="0"/>
    </w:pPr>
    <w:rPr>
      <w:b/>
      <w:sz w:val="48"/>
      <w:szCs w:val="48"/>
    </w:rPr>
  </w:style>
  <w:style w:type="paragraph" w:styleId="Titlu2">
    <w:name w:val="heading 2"/>
    <w:basedOn w:val="Normal"/>
    <w:next w:val="Normal"/>
    <w:uiPriority w:val="9"/>
    <w:semiHidden/>
    <w:unhideWhenUsed/>
    <w:qFormat/>
    <w:pPr>
      <w:keepNext/>
      <w:keepLines/>
      <w:spacing w:before="360" w:after="80"/>
      <w:outlineLvl w:val="1"/>
    </w:pPr>
    <w:rPr>
      <w:b/>
      <w:sz w:val="36"/>
      <w:szCs w:val="36"/>
    </w:rPr>
  </w:style>
  <w:style w:type="paragraph" w:styleId="Titlu3">
    <w:name w:val="heading 3"/>
    <w:basedOn w:val="Normal"/>
    <w:next w:val="Normal"/>
    <w:uiPriority w:val="9"/>
    <w:semiHidden/>
    <w:unhideWhenUsed/>
    <w:qFormat/>
    <w:pPr>
      <w:keepNext/>
      <w:keepLines/>
      <w:spacing w:before="280" w:after="80"/>
      <w:outlineLvl w:val="2"/>
    </w:pPr>
    <w:rPr>
      <w:b/>
      <w:sz w:val="28"/>
      <w:szCs w:val="28"/>
    </w:rPr>
  </w:style>
  <w:style w:type="paragraph" w:styleId="Titlu4">
    <w:name w:val="heading 4"/>
    <w:basedOn w:val="Normal"/>
    <w:next w:val="Normal"/>
    <w:uiPriority w:val="9"/>
    <w:semiHidden/>
    <w:unhideWhenUsed/>
    <w:qFormat/>
    <w:pPr>
      <w:keepNext/>
      <w:keepLines/>
      <w:spacing w:before="240" w:after="40"/>
      <w:outlineLvl w:val="3"/>
    </w:pPr>
    <w:rPr>
      <w:b/>
    </w:rPr>
  </w:style>
  <w:style w:type="paragraph" w:styleId="Titlu5">
    <w:name w:val="heading 5"/>
    <w:basedOn w:val="Normal"/>
    <w:next w:val="Normal"/>
    <w:uiPriority w:val="9"/>
    <w:semiHidden/>
    <w:unhideWhenUsed/>
    <w:qFormat/>
    <w:pPr>
      <w:keepNext/>
      <w:keepLines/>
      <w:spacing w:before="220" w:after="40"/>
      <w:outlineLvl w:val="4"/>
    </w:pPr>
    <w:rPr>
      <w:b/>
      <w:sz w:val="22"/>
      <w:szCs w:val="22"/>
    </w:rPr>
  </w:style>
  <w:style w:type="paragraph" w:styleId="Titlu6">
    <w:name w:val="heading 6"/>
    <w:basedOn w:val="Normal"/>
    <w:next w:val="Normal"/>
    <w:uiPriority w:val="9"/>
    <w:semiHidden/>
    <w:unhideWhenUsed/>
    <w:qFormat/>
    <w:pPr>
      <w:keepNext/>
      <w:keepLines/>
      <w:spacing w:before="200" w:after="40"/>
      <w:outlineLvl w:val="5"/>
    </w:pPr>
    <w:rPr>
      <w:b/>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before="480" w:after="120"/>
    </w:pPr>
    <w:rPr>
      <w:b/>
      <w:sz w:val="72"/>
      <w:szCs w:val="72"/>
    </w:rPr>
  </w:style>
  <w:style w:type="paragraph" w:styleId="Subtitlu">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elNormal"/>
    <w:tblPr>
      <w:tblStyleRowBandSize w:val="1"/>
      <w:tblStyleColBandSize w:val="1"/>
    </w:tblPr>
  </w:style>
  <w:style w:type="table" w:customStyle="1" w:styleId="a0">
    <w:basedOn w:val="TabelNormal"/>
    <w:tblPr>
      <w:tblStyleRowBandSize w:val="1"/>
      <w:tblStyleColBandSize w:val="1"/>
    </w:tblPr>
  </w:style>
  <w:style w:type="table" w:customStyle="1" w:styleId="a1">
    <w:basedOn w:val="Tabel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1016</Words>
  <Characters>5899</Characters>
  <Application>Microsoft Office Word</Application>
  <DocSecurity>0</DocSecurity>
  <Lines>49</Lines>
  <Paragraphs>13</Paragraphs>
  <ScaleCrop>false</ScaleCrop>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 Muntean</cp:lastModifiedBy>
  <cp:revision>2</cp:revision>
  <dcterms:created xsi:type="dcterms:W3CDTF">2023-02-16T10:58:00Z</dcterms:created>
  <dcterms:modified xsi:type="dcterms:W3CDTF">2023-02-16T10:58:00Z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385e2574efab7403f5702bac363b7f56d349f9e91b6f32e1b53d5000c6d636e8</vt:lpwstr>
  </property>
</Properties>
</file>