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53445" w14:textId="77777777" w:rsidR="00890AC1" w:rsidRPr="00890AC1" w:rsidRDefault="00890AC1">
      <w:pPr>
        <w:rPr>
          <w:rFonts w:cs="Times New Roman"/>
          <w:b/>
          <w:color w:val="000000" w:themeColor="text1"/>
          <w:szCs w:val="24"/>
        </w:rPr>
      </w:pPr>
    </w:p>
    <w:p w14:paraId="55173889" w14:textId="77777777" w:rsidR="00890AC1" w:rsidRPr="00890AC1" w:rsidRDefault="00890AC1">
      <w:pPr>
        <w:rPr>
          <w:rFonts w:cs="Times New Roman"/>
          <w:b/>
          <w:color w:val="000000" w:themeColor="text1"/>
          <w:szCs w:val="24"/>
        </w:rPr>
      </w:pPr>
    </w:p>
    <w:p w14:paraId="25998EB8" w14:textId="77777777" w:rsidR="00890AC1" w:rsidRPr="00890AC1" w:rsidRDefault="00890AC1">
      <w:pPr>
        <w:rPr>
          <w:rFonts w:cs="Times New Roman"/>
          <w:b/>
          <w:color w:val="000000" w:themeColor="text1"/>
          <w:szCs w:val="24"/>
        </w:rPr>
      </w:pPr>
    </w:p>
    <w:p w14:paraId="492BBFF6" w14:textId="77777777" w:rsidR="00890AC1" w:rsidRPr="00890AC1" w:rsidRDefault="00890AC1">
      <w:pPr>
        <w:rPr>
          <w:rFonts w:cs="Times New Roman"/>
          <w:b/>
          <w:color w:val="000000" w:themeColor="text1"/>
          <w:szCs w:val="24"/>
        </w:rPr>
      </w:pPr>
    </w:p>
    <w:p w14:paraId="14186B6D" w14:textId="77777777" w:rsidR="00890AC1" w:rsidRDefault="00890AC1" w:rsidP="00890AC1">
      <w:pPr>
        <w:jc w:val="center"/>
        <w:rPr>
          <w:rStyle w:val="Strong"/>
          <w:rFonts w:cs="Times New Roman"/>
          <w:color w:val="000000" w:themeColor="text1"/>
          <w:szCs w:val="24"/>
          <w:shd w:val="clear" w:color="auto" w:fill="FFFFFF"/>
        </w:rPr>
      </w:pPr>
    </w:p>
    <w:p w14:paraId="66061F1E" w14:textId="77777777" w:rsidR="00890AC1" w:rsidRDefault="00890AC1" w:rsidP="00890AC1">
      <w:pPr>
        <w:jc w:val="center"/>
        <w:rPr>
          <w:rStyle w:val="Strong"/>
          <w:rFonts w:cs="Times New Roman"/>
          <w:color w:val="000000" w:themeColor="text1"/>
          <w:szCs w:val="24"/>
          <w:shd w:val="clear" w:color="auto" w:fill="FFFFFF"/>
        </w:rPr>
      </w:pPr>
    </w:p>
    <w:p w14:paraId="1C45C4F7" w14:textId="07DDE0CF" w:rsidR="00890AC1" w:rsidRPr="00890AC1" w:rsidRDefault="00890AC1" w:rsidP="00890AC1">
      <w:pPr>
        <w:jc w:val="center"/>
        <w:rPr>
          <w:rFonts w:cs="Times New Roman"/>
          <w:b/>
          <w:color w:val="000000" w:themeColor="text1"/>
          <w:szCs w:val="24"/>
        </w:rPr>
      </w:pPr>
      <w:r w:rsidRPr="00890AC1">
        <w:rPr>
          <w:rStyle w:val="Strong"/>
          <w:rFonts w:cs="Times New Roman"/>
          <w:color w:val="000000" w:themeColor="text1"/>
          <w:szCs w:val="24"/>
          <w:shd w:val="clear" w:color="auto" w:fill="FFFFFF"/>
        </w:rPr>
        <w:t>An Evaluation of Management Accounting for Financial Decision-Making at Morrisons</w:t>
      </w:r>
    </w:p>
    <w:p w14:paraId="4F8F4D7E" w14:textId="77777777" w:rsidR="00890AC1" w:rsidRPr="00890AC1" w:rsidRDefault="00890AC1" w:rsidP="00890AC1">
      <w:pPr>
        <w:jc w:val="center"/>
        <w:rPr>
          <w:rFonts w:cs="Times New Roman"/>
          <w:b/>
          <w:color w:val="000000" w:themeColor="text1"/>
          <w:szCs w:val="24"/>
        </w:rPr>
      </w:pPr>
    </w:p>
    <w:p w14:paraId="61E0BBAC" w14:textId="77777777" w:rsidR="00890AC1" w:rsidRPr="00890AC1" w:rsidRDefault="00890AC1" w:rsidP="00890AC1">
      <w:pPr>
        <w:jc w:val="center"/>
        <w:rPr>
          <w:rFonts w:cs="Times New Roman"/>
          <w:b/>
          <w:color w:val="000000" w:themeColor="text1"/>
          <w:szCs w:val="24"/>
        </w:rPr>
      </w:pPr>
    </w:p>
    <w:p w14:paraId="7D20EC49" w14:textId="77777777" w:rsidR="00890AC1" w:rsidRPr="00890AC1" w:rsidRDefault="00890AC1" w:rsidP="00890AC1">
      <w:pPr>
        <w:jc w:val="center"/>
        <w:rPr>
          <w:rFonts w:cs="Times New Roman"/>
          <w:b/>
          <w:color w:val="000000" w:themeColor="text1"/>
          <w:szCs w:val="24"/>
        </w:rPr>
      </w:pPr>
    </w:p>
    <w:p w14:paraId="20FA8DAE" w14:textId="77777777" w:rsidR="00890AC1" w:rsidRPr="00890AC1" w:rsidRDefault="00890AC1" w:rsidP="00890AC1">
      <w:pPr>
        <w:jc w:val="center"/>
        <w:rPr>
          <w:rFonts w:cs="Times New Roman"/>
          <w:b/>
          <w:color w:val="000000" w:themeColor="text1"/>
          <w:szCs w:val="24"/>
        </w:rPr>
      </w:pPr>
    </w:p>
    <w:p w14:paraId="3C65E536" w14:textId="7315A8D3" w:rsidR="00890AC1" w:rsidRPr="00890AC1" w:rsidRDefault="00890AC1" w:rsidP="00890AC1">
      <w:pPr>
        <w:jc w:val="center"/>
        <w:rPr>
          <w:rFonts w:cs="Times New Roman"/>
          <w:bCs/>
          <w:color w:val="000000" w:themeColor="text1"/>
          <w:szCs w:val="24"/>
        </w:rPr>
      </w:pPr>
      <w:r w:rsidRPr="00890AC1">
        <w:rPr>
          <w:rFonts w:cs="Times New Roman"/>
          <w:bCs/>
          <w:color w:val="000000" w:themeColor="text1"/>
          <w:szCs w:val="24"/>
        </w:rPr>
        <w:t xml:space="preserve">Module Code: </w:t>
      </w:r>
      <w:r w:rsidR="00CC6F98" w:rsidRPr="00890AC1">
        <w:rPr>
          <w:rFonts w:cs="Times New Roman"/>
          <w:bCs/>
          <w:color w:val="000000" w:themeColor="text1"/>
          <w:szCs w:val="24"/>
        </w:rPr>
        <w:t>LCBB5010</w:t>
      </w:r>
    </w:p>
    <w:p w14:paraId="0364D77F" w14:textId="040BD3E4" w:rsidR="00890AC1" w:rsidRPr="00890AC1" w:rsidRDefault="00890AC1" w:rsidP="00890AC1">
      <w:pPr>
        <w:jc w:val="center"/>
        <w:rPr>
          <w:rFonts w:cs="Times New Roman"/>
          <w:bCs/>
          <w:color w:val="000000" w:themeColor="text1"/>
          <w:szCs w:val="24"/>
        </w:rPr>
      </w:pPr>
      <w:r w:rsidRPr="00890AC1">
        <w:rPr>
          <w:rFonts w:cs="Times New Roman"/>
          <w:bCs/>
          <w:color w:val="000000" w:themeColor="text1"/>
          <w:szCs w:val="24"/>
        </w:rPr>
        <w:t xml:space="preserve">Module Title: </w:t>
      </w:r>
      <w:r w:rsidR="00CC6F98" w:rsidRPr="00890AC1">
        <w:rPr>
          <w:rFonts w:cs="Times New Roman"/>
          <w:bCs/>
          <w:color w:val="000000" w:themeColor="text1"/>
          <w:szCs w:val="24"/>
        </w:rPr>
        <w:t>Management Accounting for Managers</w:t>
      </w:r>
    </w:p>
    <w:p w14:paraId="616E7836" w14:textId="1924C17A" w:rsidR="004E12C6" w:rsidRPr="00890AC1" w:rsidRDefault="00890AC1" w:rsidP="00890AC1">
      <w:pPr>
        <w:jc w:val="center"/>
        <w:rPr>
          <w:rFonts w:cs="Times New Roman"/>
          <w:bCs/>
          <w:color w:val="000000" w:themeColor="text1"/>
          <w:szCs w:val="24"/>
        </w:rPr>
      </w:pPr>
      <w:r w:rsidRPr="00890AC1">
        <w:rPr>
          <w:rFonts w:cs="Times New Roman"/>
          <w:bCs/>
          <w:color w:val="000000" w:themeColor="text1"/>
          <w:szCs w:val="24"/>
        </w:rPr>
        <w:t>Assignment Title: Component 1: Coursework: Individual Report</w:t>
      </w:r>
    </w:p>
    <w:p w14:paraId="321F229D" w14:textId="1F5C595F" w:rsidR="00890AC1" w:rsidRDefault="00890AC1" w:rsidP="00890AC1">
      <w:pPr>
        <w:jc w:val="center"/>
        <w:rPr>
          <w:rFonts w:cs="Times New Roman"/>
          <w:bCs/>
          <w:color w:val="000000" w:themeColor="text1"/>
          <w:szCs w:val="24"/>
        </w:rPr>
      </w:pPr>
      <w:r w:rsidRPr="00890AC1">
        <w:rPr>
          <w:rFonts w:cs="Times New Roman"/>
          <w:bCs/>
          <w:color w:val="000000" w:themeColor="text1"/>
          <w:szCs w:val="24"/>
        </w:rPr>
        <w:t>Lecturer/Module Leader: Dr Patrick Yeboah</w:t>
      </w:r>
    </w:p>
    <w:p w14:paraId="7E76562F" w14:textId="04696302" w:rsidR="004957A7" w:rsidRDefault="004957A7" w:rsidP="00890AC1">
      <w:pPr>
        <w:jc w:val="center"/>
        <w:rPr>
          <w:rFonts w:cs="Times New Roman"/>
          <w:bCs/>
          <w:color w:val="000000" w:themeColor="text1"/>
          <w:szCs w:val="24"/>
        </w:rPr>
      </w:pPr>
      <w:r>
        <w:rPr>
          <w:rFonts w:cs="Times New Roman"/>
          <w:bCs/>
          <w:color w:val="000000" w:themeColor="text1"/>
          <w:szCs w:val="24"/>
        </w:rPr>
        <w:t>Student name: Ervin Sandor Kis</w:t>
      </w:r>
    </w:p>
    <w:p w14:paraId="00ABA029" w14:textId="6314DB92" w:rsidR="004957A7" w:rsidRPr="00890AC1" w:rsidRDefault="004957A7" w:rsidP="00890AC1">
      <w:pPr>
        <w:jc w:val="center"/>
        <w:rPr>
          <w:rFonts w:cs="Times New Roman"/>
          <w:bCs/>
          <w:color w:val="000000" w:themeColor="text1"/>
          <w:szCs w:val="24"/>
        </w:rPr>
      </w:pPr>
      <w:r>
        <w:rPr>
          <w:rFonts w:cs="Times New Roman"/>
          <w:bCs/>
          <w:color w:val="000000" w:themeColor="text1"/>
          <w:szCs w:val="24"/>
        </w:rPr>
        <w:t>Student nr:2331457</w:t>
      </w:r>
    </w:p>
    <w:p w14:paraId="34DD63C9" w14:textId="77777777" w:rsidR="00890AC1" w:rsidRPr="00890AC1" w:rsidRDefault="00890AC1">
      <w:pPr>
        <w:rPr>
          <w:rFonts w:cs="Times New Roman"/>
          <w:b/>
          <w:color w:val="000000" w:themeColor="text1"/>
          <w:szCs w:val="24"/>
        </w:rPr>
      </w:pPr>
    </w:p>
    <w:p w14:paraId="0AAA2069" w14:textId="77777777" w:rsidR="00890AC1" w:rsidRPr="00890AC1" w:rsidRDefault="00890AC1">
      <w:pPr>
        <w:rPr>
          <w:rFonts w:cs="Times New Roman"/>
          <w:b/>
          <w:color w:val="000000" w:themeColor="text1"/>
          <w:szCs w:val="24"/>
        </w:rPr>
      </w:pPr>
    </w:p>
    <w:p w14:paraId="4B6C02BF" w14:textId="77777777" w:rsidR="004E12C6" w:rsidRPr="00890AC1" w:rsidRDefault="004E12C6">
      <w:pPr>
        <w:spacing w:line="259" w:lineRule="auto"/>
        <w:jc w:val="left"/>
        <w:rPr>
          <w:rFonts w:cs="Times New Roman"/>
          <w:b/>
          <w:color w:val="000000" w:themeColor="text1"/>
          <w:szCs w:val="24"/>
        </w:rPr>
      </w:pPr>
      <w:r w:rsidRPr="00890AC1">
        <w:rPr>
          <w:rFonts w:cs="Times New Roman"/>
          <w:b/>
          <w:color w:val="000000" w:themeColor="text1"/>
          <w:szCs w:val="24"/>
        </w:rPr>
        <w:br w:type="page"/>
      </w:r>
    </w:p>
    <w:p w14:paraId="5D2D0C5D" w14:textId="69EE13D0" w:rsidR="001216F4" w:rsidRPr="00890AC1" w:rsidRDefault="00EE38BF" w:rsidP="00EE38BF">
      <w:pPr>
        <w:pStyle w:val="Heading1"/>
        <w:rPr>
          <w:rFonts w:cs="Times New Roman"/>
          <w:color w:val="000000" w:themeColor="text1"/>
          <w:szCs w:val="24"/>
        </w:rPr>
      </w:pPr>
      <w:r w:rsidRPr="00890AC1">
        <w:rPr>
          <w:rFonts w:cs="Times New Roman"/>
          <w:color w:val="000000" w:themeColor="text1"/>
          <w:szCs w:val="24"/>
        </w:rPr>
        <w:lastRenderedPageBreak/>
        <w:t xml:space="preserve">Introduction </w:t>
      </w:r>
    </w:p>
    <w:p w14:paraId="25A87995" w14:textId="20BD503A" w:rsidR="00912AA6" w:rsidRPr="00890AC1" w:rsidRDefault="00912AA6" w:rsidP="00912AA6">
      <w:pPr>
        <w:rPr>
          <w:rFonts w:cs="Times New Roman"/>
          <w:color w:val="000000" w:themeColor="text1"/>
          <w:szCs w:val="24"/>
        </w:rPr>
      </w:pPr>
      <w:r w:rsidRPr="00890AC1">
        <w:rPr>
          <w:rFonts w:cs="Times New Roman"/>
          <w:color w:val="000000" w:themeColor="text1"/>
          <w:szCs w:val="24"/>
        </w:rPr>
        <w:t>Morrison supermarkets limited is the trading name of Wm Morrison Supermarkets Limited which is one of the largest chains of supermarkets in United Kingdom which has been unique in its industry in terms of its strong emphasis on vertical integration. In contrast to a range of competitors, Morrisons own and run a large share of its food manufacturing and processing plants, a concept that is based on its history as a market stall and then expansion. This structure is a core of its business activities as it is positioned with a special mixture of retail and production business. The complexity of the operations of this company due to its size and a long chain of operations, including manufacturing, distribution, and retail, provides a complex environment with respect to the operations</w:t>
      </w:r>
      <w:r w:rsidR="00890AC1" w:rsidRPr="00890AC1">
        <w:rPr>
          <w:rFonts w:cs="Times New Roman"/>
          <w:color w:val="000000" w:themeColor="text1"/>
          <w:szCs w:val="24"/>
        </w:rPr>
        <w:t>,</w:t>
      </w:r>
      <w:r w:rsidRPr="00890AC1">
        <w:rPr>
          <w:rFonts w:cs="Times New Roman"/>
          <w:color w:val="000000" w:themeColor="text1"/>
          <w:szCs w:val="24"/>
        </w:rPr>
        <w:t xml:space="preserve"> where accurate financial management is not only an advantage but a key to survival and further development.</w:t>
      </w:r>
    </w:p>
    <w:p w14:paraId="6D7B1383" w14:textId="1D15DAE2" w:rsidR="00912AA6" w:rsidRPr="00890AC1" w:rsidRDefault="00912AA6" w:rsidP="00912AA6">
      <w:pPr>
        <w:rPr>
          <w:rFonts w:cs="Times New Roman"/>
          <w:color w:val="000000" w:themeColor="text1"/>
          <w:szCs w:val="24"/>
        </w:rPr>
      </w:pPr>
      <w:r w:rsidRPr="00890AC1">
        <w:rPr>
          <w:rFonts w:cs="Times New Roman"/>
          <w:color w:val="000000" w:themeColor="text1"/>
          <w:szCs w:val="24"/>
        </w:rPr>
        <w:t xml:space="preserve">Management accounting is one of the most important functions in the modern business environment, which is dynamic and highly competitive in nature. It goes beyond the past-oriented, compliance-oriented nature of financial accounting as a source of forward-looking information and analytical systems that were specifically created to aid the decision-making process of the managers within the </w:t>
      </w:r>
      <w:r w:rsidR="00890AC1" w:rsidRPr="00890AC1">
        <w:rPr>
          <w:rFonts w:cs="Times New Roman"/>
          <w:color w:val="000000" w:themeColor="text1"/>
          <w:szCs w:val="24"/>
        </w:rPr>
        <w:t>organisation</w:t>
      </w:r>
      <w:r w:rsidRPr="00890AC1">
        <w:rPr>
          <w:rFonts w:cs="Times New Roman"/>
          <w:color w:val="000000" w:themeColor="text1"/>
          <w:szCs w:val="24"/>
        </w:rPr>
        <w:t xml:space="preserve"> (Otley, 2016). In </w:t>
      </w:r>
      <w:r w:rsidR="00890AC1" w:rsidRPr="00890AC1">
        <w:rPr>
          <w:rFonts w:cs="Times New Roman"/>
          <w:color w:val="000000" w:themeColor="text1"/>
          <w:szCs w:val="24"/>
        </w:rPr>
        <w:t xml:space="preserve">the </w:t>
      </w:r>
      <w:r w:rsidRPr="00890AC1">
        <w:rPr>
          <w:rFonts w:cs="Times New Roman"/>
          <w:color w:val="000000" w:themeColor="text1"/>
          <w:szCs w:val="24"/>
        </w:rPr>
        <w:t xml:space="preserve">case of a complex </w:t>
      </w:r>
      <w:r w:rsidR="00890AC1" w:rsidRPr="00890AC1">
        <w:rPr>
          <w:rFonts w:cs="Times New Roman"/>
          <w:color w:val="000000" w:themeColor="text1"/>
          <w:szCs w:val="24"/>
        </w:rPr>
        <w:t>organisation</w:t>
      </w:r>
      <w:r w:rsidRPr="00890AC1">
        <w:rPr>
          <w:rFonts w:cs="Times New Roman"/>
          <w:color w:val="000000" w:themeColor="text1"/>
          <w:szCs w:val="24"/>
        </w:rPr>
        <w:t xml:space="preserve"> such as Morrisons, management accounting cannot be done without. It also gives the structure in which the cost of products is understood, the budget is planned to undertake the activities in future and also the performance </w:t>
      </w:r>
      <w:r w:rsidR="00890AC1" w:rsidRPr="00890AC1">
        <w:rPr>
          <w:rFonts w:cs="Times New Roman"/>
          <w:color w:val="000000" w:themeColor="text1"/>
          <w:szCs w:val="24"/>
        </w:rPr>
        <w:t xml:space="preserve">is </w:t>
      </w:r>
      <w:r w:rsidRPr="00890AC1">
        <w:rPr>
          <w:rFonts w:cs="Times New Roman"/>
          <w:color w:val="000000" w:themeColor="text1"/>
          <w:szCs w:val="24"/>
        </w:rPr>
        <w:t>measured against the strategic goals. The current report will assess the application of management accounting tools and techniques to a business environment</w:t>
      </w:r>
      <w:r w:rsidR="00890AC1" w:rsidRPr="00890AC1">
        <w:rPr>
          <w:rFonts w:cs="Times New Roman"/>
          <w:color w:val="000000" w:themeColor="text1"/>
          <w:szCs w:val="24"/>
        </w:rPr>
        <w:t>,</w:t>
      </w:r>
      <w:r w:rsidRPr="00890AC1">
        <w:rPr>
          <w:rFonts w:cs="Times New Roman"/>
          <w:color w:val="000000" w:themeColor="text1"/>
          <w:szCs w:val="24"/>
        </w:rPr>
        <w:t xml:space="preserve"> such as that of Morrisons</w:t>
      </w:r>
      <w:r w:rsidR="00890AC1" w:rsidRPr="00890AC1">
        <w:rPr>
          <w:rFonts w:cs="Times New Roman"/>
          <w:color w:val="000000" w:themeColor="text1"/>
          <w:szCs w:val="24"/>
        </w:rPr>
        <w:t>,</w:t>
      </w:r>
      <w:r w:rsidRPr="00890AC1">
        <w:rPr>
          <w:rFonts w:cs="Times New Roman"/>
          <w:color w:val="000000" w:themeColor="text1"/>
          <w:szCs w:val="24"/>
        </w:rPr>
        <w:t xml:space="preserve"> to aid its sound financial decision-making through peer-reviewed literature to investigate cost analysis, financial planning, performance measurement, and </w:t>
      </w:r>
      <w:r w:rsidR="00890AC1" w:rsidRPr="00890AC1">
        <w:rPr>
          <w:rFonts w:cs="Times New Roman"/>
          <w:color w:val="000000" w:themeColor="text1"/>
          <w:szCs w:val="24"/>
        </w:rPr>
        <w:t xml:space="preserve">the </w:t>
      </w:r>
      <w:r w:rsidRPr="00890AC1">
        <w:rPr>
          <w:rFonts w:cs="Times New Roman"/>
          <w:color w:val="000000" w:themeColor="text1"/>
          <w:szCs w:val="24"/>
        </w:rPr>
        <w:t>application of sustainability.</w:t>
      </w:r>
    </w:p>
    <w:p w14:paraId="2E9618EF" w14:textId="1E72FAAC" w:rsidR="00EE38BF" w:rsidRPr="00890AC1" w:rsidRDefault="00EE38BF" w:rsidP="00EE38BF">
      <w:pPr>
        <w:pStyle w:val="Heading1"/>
        <w:rPr>
          <w:rFonts w:cs="Times New Roman"/>
          <w:color w:val="000000" w:themeColor="text1"/>
          <w:szCs w:val="24"/>
        </w:rPr>
      </w:pPr>
      <w:r w:rsidRPr="00890AC1">
        <w:rPr>
          <w:rFonts w:cs="Times New Roman"/>
          <w:color w:val="000000" w:themeColor="text1"/>
          <w:szCs w:val="24"/>
        </w:rPr>
        <w:t xml:space="preserve">Cost Analysis and Business Model </w:t>
      </w:r>
    </w:p>
    <w:p w14:paraId="000821E3" w14:textId="70B87D3B" w:rsidR="00EE113D" w:rsidRPr="00890AC1" w:rsidRDefault="00EE113D" w:rsidP="00EE113D">
      <w:pPr>
        <w:rPr>
          <w:rFonts w:cs="Times New Roman"/>
          <w:color w:val="000000" w:themeColor="text1"/>
          <w:szCs w:val="24"/>
        </w:rPr>
      </w:pPr>
      <w:r w:rsidRPr="00890AC1">
        <w:rPr>
          <w:rFonts w:cs="Times New Roman"/>
          <w:color w:val="000000" w:themeColor="text1"/>
          <w:szCs w:val="24"/>
        </w:rPr>
        <w:t xml:space="preserve">Effective management accounting in any organisation is built on proper knowledge of its cost structures and how they will relate with its revenue model. In the case of a supermarket chain like Morrisons the revenue model is complex, and it consists of different income streams combining the main retail stores in its stores chain, online home shopping services, and its convenience stores chain. Other sources of revenue are its wholesale supply contracts with other retailers and in-store cafes and, traditionally, petrol stations. To effectively allocate the revenue </w:t>
      </w:r>
      <w:r w:rsidRPr="00890AC1">
        <w:rPr>
          <w:rFonts w:cs="Times New Roman"/>
          <w:color w:val="000000" w:themeColor="text1"/>
          <w:szCs w:val="24"/>
        </w:rPr>
        <w:lastRenderedPageBreak/>
        <w:t>and evaluate the profitability of each channel, this diversification is to be treated with advanced accounting (Messner, 2016).</w:t>
      </w:r>
    </w:p>
    <w:p w14:paraId="0F715A78" w14:textId="77777777" w:rsidR="00EE113D" w:rsidRPr="00890AC1" w:rsidRDefault="00EE113D" w:rsidP="00EE113D">
      <w:pPr>
        <w:rPr>
          <w:rFonts w:cs="Times New Roman"/>
          <w:color w:val="000000" w:themeColor="text1"/>
          <w:szCs w:val="24"/>
        </w:rPr>
      </w:pPr>
      <w:r w:rsidRPr="00890AC1">
        <w:rPr>
          <w:rFonts w:cs="Times New Roman"/>
          <w:color w:val="000000" w:themeColor="text1"/>
          <w:szCs w:val="24"/>
        </w:rPr>
        <w:t>Cost structure analysis is the core of management accounting and entails grouping costs in order to facilitate planning, management and decision making. The basic difference is the fixed cost and variable cost (van der Stede, 2024). This dichotomy is most clear in a vertically integrated business such as Morrisons:</w:t>
      </w:r>
    </w:p>
    <w:p w14:paraId="6B706DBC" w14:textId="0A013A14" w:rsidR="00864E9C" w:rsidRPr="00890AC1" w:rsidRDefault="00EE113D" w:rsidP="00864E9C">
      <w:pPr>
        <w:pStyle w:val="ListParagraph"/>
        <w:numPr>
          <w:ilvl w:val="0"/>
          <w:numId w:val="2"/>
        </w:numPr>
        <w:rPr>
          <w:rFonts w:cs="Times New Roman"/>
          <w:color w:val="000000" w:themeColor="text1"/>
          <w:szCs w:val="24"/>
        </w:rPr>
      </w:pPr>
      <w:r w:rsidRPr="00890AC1">
        <w:rPr>
          <w:rFonts w:cs="Times New Roman"/>
          <w:b/>
          <w:bCs/>
          <w:i/>
          <w:iCs/>
          <w:color w:val="000000" w:themeColor="text1"/>
          <w:szCs w:val="24"/>
        </w:rPr>
        <w:t>Fixed Costs:</w:t>
      </w:r>
      <w:r w:rsidRPr="00890AC1">
        <w:rPr>
          <w:rFonts w:cs="Times New Roman"/>
          <w:color w:val="000000" w:themeColor="text1"/>
          <w:szCs w:val="24"/>
        </w:rPr>
        <w:t xml:space="preserve"> These are costs which do not vary greatly in amount over a range of activity regardless of the level of sales. Under Morrisons, substantial fixed costs would be the depreciation of the stores and manufacturing facilities that it owns, the business rates that it pays to local authorities and salaries of the permanent management and the administrative team. The </w:t>
      </w:r>
      <w:r w:rsidR="00890AC1" w:rsidRPr="00890AC1">
        <w:rPr>
          <w:rFonts w:cs="Times New Roman"/>
          <w:color w:val="000000" w:themeColor="text1"/>
          <w:szCs w:val="24"/>
        </w:rPr>
        <w:t>company's strategy of having a high percentage of its store estate translates into high operating leverage, i.e., a higher percentage of the company's costs</w:t>
      </w:r>
      <w:r w:rsidRPr="00890AC1">
        <w:rPr>
          <w:rFonts w:cs="Times New Roman"/>
          <w:color w:val="000000" w:themeColor="text1"/>
          <w:szCs w:val="24"/>
        </w:rPr>
        <w:t xml:space="preserve"> are fixed. This increases the sensitivity of sales variation on profitability; an equivalent sales increase can result in a greater increase in profit, and vice versa, a decrease in sales can, therefore, quickly decrease profits (Banker and Byzalov, 2019).</w:t>
      </w:r>
    </w:p>
    <w:p w14:paraId="3C075301" w14:textId="2B222D9B" w:rsidR="00EE113D" w:rsidRPr="00890AC1" w:rsidRDefault="00EE113D" w:rsidP="00864E9C">
      <w:pPr>
        <w:pStyle w:val="ListParagraph"/>
        <w:numPr>
          <w:ilvl w:val="0"/>
          <w:numId w:val="2"/>
        </w:numPr>
        <w:rPr>
          <w:rFonts w:cs="Times New Roman"/>
          <w:color w:val="000000" w:themeColor="text1"/>
          <w:szCs w:val="24"/>
        </w:rPr>
      </w:pPr>
      <w:r w:rsidRPr="00890AC1">
        <w:rPr>
          <w:rFonts w:cs="Times New Roman"/>
          <w:b/>
          <w:bCs/>
          <w:i/>
          <w:iCs/>
          <w:color w:val="000000" w:themeColor="text1"/>
          <w:szCs w:val="24"/>
        </w:rPr>
        <w:t>Variable Costs:</w:t>
      </w:r>
      <w:r w:rsidRPr="00890AC1">
        <w:rPr>
          <w:rFonts w:cs="Times New Roman"/>
          <w:color w:val="000000" w:themeColor="text1"/>
          <w:szCs w:val="24"/>
        </w:rPr>
        <w:t xml:space="preserve"> These costs are in direct proportion to </w:t>
      </w:r>
      <w:r w:rsidR="00890AC1" w:rsidRPr="00890AC1">
        <w:rPr>
          <w:rFonts w:cs="Times New Roman"/>
          <w:color w:val="000000" w:themeColor="text1"/>
          <w:szCs w:val="24"/>
        </w:rPr>
        <w:t xml:space="preserve">a </w:t>
      </w:r>
      <w:r w:rsidRPr="00890AC1">
        <w:rPr>
          <w:rFonts w:cs="Times New Roman"/>
          <w:color w:val="000000" w:themeColor="text1"/>
          <w:szCs w:val="24"/>
        </w:rPr>
        <w:t xml:space="preserve">change </w:t>
      </w:r>
      <w:r w:rsidR="00890AC1" w:rsidRPr="00890AC1">
        <w:rPr>
          <w:rFonts w:cs="Times New Roman"/>
          <w:color w:val="000000" w:themeColor="text1"/>
          <w:szCs w:val="24"/>
        </w:rPr>
        <w:t>in</w:t>
      </w:r>
      <w:r w:rsidRPr="00890AC1">
        <w:rPr>
          <w:rFonts w:cs="Times New Roman"/>
          <w:color w:val="000000" w:themeColor="text1"/>
          <w:szCs w:val="24"/>
        </w:rPr>
        <w:t xml:space="preserve"> activity or </w:t>
      </w:r>
      <w:r w:rsidR="00890AC1" w:rsidRPr="00890AC1">
        <w:rPr>
          <w:rFonts w:cs="Times New Roman"/>
          <w:color w:val="000000" w:themeColor="text1"/>
          <w:szCs w:val="24"/>
        </w:rPr>
        <w:t xml:space="preserve">an </w:t>
      </w:r>
      <w:r w:rsidRPr="00890AC1">
        <w:rPr>
          <w:rFonts w:cs="Times New Roman"/>
          <w:color w:val="000000" w:themeColor="text1"/>
          <w:szCs w:val="24"/>
        </w:rPr>
        <w:t>increase in volume of sales. In the case of Morrisons, the cost of goods sold (COGS)</w:t>
      </w:r>
      <w:r w:rsidR="00890AC1" w:rsidRPr="00890AC1">
        <w:rPr>
          <w:rFonts w:cs="Times New Roman"/>
          <w:color w:val="000000" w:themeColor="text1"/>
          <w:szCs w:val="24"/>
        </w:rPr>
        <w:t>,</w:t>
      </w:r>
      <w:r w:rsidRPr="00890AC1">
        <w:rPr>
          <w:rFonts w:cs="Times New Roman"/>
          <w:color w:val="000000" w:themeColor="text1"/>
          <w:szCs w:val="24"/>
        </w:rPr>
        <w:t xml:space="preserve"> which is the price that it paid on the products sold to the customers</w:t>
      </w:r>
      <w:r w:rsidR="00890AC1" w:rsidRPr="00890AC1">
        <w:rPr>
          <w:rFonts w:cs="Times New Roman"/>
          <w:color w:val="000000" w:themeColor="text1"/>
          <w:szCs w:val="24"/>
        </w:rPr>
        <w:t>,</w:t>
      </w:r>
      <w:r w:rsidRPr="00890AC1">
        <w:rPr>
          <w:rFonts w:cs="Times New Roman"/>
          <w:color w:val="000000" w:themeColor="text1"/>
          <w:szCs w:val="24"/>
        </w:rPr>
        <w:t xml:space="preserve"> is the </w:t>
      </w:r>
      <w:r w:rsidR="00890AC1" w:rsidRPr="00890AC1">
        <w:rPr>
          <w:rFonts w:cs="Times New Roman"/>
          <w:color w:val="000000" w:themeColor="text1"/>
          <w:szCs w:val="24"/>
        </w:rPr>
        <w:t>highest</w:t>
      </w:r>
      <w:r w:rsidRPr="00890AC1">
        <w:rPr>
          <w:rFonts w:cs="Times New Roman"/>
          <w:color w:val="000000" w:themeColor="text1"/>
          <w:szCs w:val="24"/>
        </w:rPr>
        <w:t xml:space="preserve"> variable cost. Other variable expenses are the wages of hourly-paid store colleagues, which tend to be planned depending on the expected customer footfall, and the energy costs of </w:t>
      </w:r>
      <w:r w:rsidR="00890AC1" w:rsidRPr="00890AC1">
        <w:rPr>
          <w:rFonts w:cs="Times New Roman"/>
          <w:color w:val="000000" w:themeColor="text1"/>
          <w:szCs w:val="24"/>
        </w:rPr>
        <w:t>operating</w:t>
      </w:r>
      <w:r w:rsidRPr="00890AC1">
        <w:rPr>
          <w:rFonts w:cs="Times New Roman"/>
          <w:color w:val="000000" w:themeColor="text1"/>
          <w:szCs w:val="24"/>
        </w:rPr>
        <w:t xml:space="preserve"> the stores, and these are different according to the opening hours and sales activity. The distribution costs, especially fuel used in its delivery team, are also more of a variable </w:t>
      </w:r>
      <w:r w:rsidR="00890AC1" w:rsidRPr="00890AC1">
        <w:rPr>
          <w:rFonts w:cs="Times New Roman"/>
          <w:color w:val="000000" w:themeColor="text1"/>
          <w:szCs w:val="24"/>
        </w:rPr>
        <w:t xml:space="preserve">in </w:t>
      </w:r>
      <w:r w:rsidRPr="00890AC1">
        <w:rPr>
          <w:rFonts w:cs="Times New Roman"/>
          <w:color w:val="000000" w:themeColor="text1"/>
          <w:szCs w:val="24"/>
        </w:rPr>
        <w:t>pricing, as they increase and decrease as the number of goods shipped increases (Grabner and Moers, 2021).</w:t>
      </w:r>
    </w:p>
    <w:p w14:paraId="7A40230E" w14:textId="2A9F517C" w:rsidR="00864E9C" w:rsidRPr="00890AC1" w:rsidRDefault="00864E9C" w:rsidP="00EE113D">
      <w:pPr>
        <w:rPr>
          <w:rFonts w:cs="Times New Roman"/>
          <w:color w:val="000000" w:themeColor="text1"/>
          <w:szCs w:val="24"/>
        </w:rPr>
      </w:pPr>
      <w:r w:rsidRPr="00890AC1">
        <w:rPr>
          <w:rFonts w:cs="Times New Roman"/>
          <w:color w:val="000000" w:themeColor="text1"/>
          <w:szCs w:val="24"/>
        </w:rPr>
        <w:t>This knowledge is applied by management accounting to compute the important measures</w:t>
      </w:r>
      <w:r w:rsidR="00890AC1" w:rsidRPr="00890AC1">
        <w:rPr>
          <w:rFonts w:cs="Times New Roman"/>
          <w:color w:val="000000" w:themeColor="text1"/>
          <w:szCs w:val="24"/>
        </w:rPr>
        <w:t>,</w:t>
      </w:r>
      <w:r w:rsidRPr="00890AC1">
        <w:rPr>
          <w:rFonts w:cs="Times New Roman"/>
          <w:color w:val="000000" w:themeColor="text1"/>
          <w:szCs w:val="24"/>
        </w:rPr>
        <w:t xml:space="preserve"> such as the contribution margin (sales revenue minus all variable costs). The margin of contribution shows the level of revenue under which to </w:t>
      </w:r>
      <w:r w:rsidR="00890AC1" w:rsidRPr="00890AC1">
        <w:rPr>
          <w:rFonts w:cs="Times New Roman"/>
          <w:color w:val="000000" w:themeColor="text1"/>
          <w:szCs w:val="24"/>
        </w:rPr>
        <w:t>cover</w:t>
      </w:r>
      <w:r w:rsidRPr="00890AC1">
        <w:rPr>
          <w:rFonts w:cs="Times New Roman"/>
          <w:color w:val="000000" w:themeColor="text1"/>
          <w:szCs w:val="24"/>
        </w:rPr>
        <w:t xml:space="preserve"> the fixed costs to eventually make a profit (Hoque, 2018). In the case of a strategic decision like introducing a new line of private-label products, the management accountants of Morrisons would examine its proposed selling price and all the variable costs (raw materials, direct labour, and variable production overheads) </w:t>
      </w:r>
      <w:r w:rsidRPr="00890AC1">
        <w:rPr>
          <w:rFonts w:cs="Times New Roman"/>
          <w:color w:val="000000" w:themeColor="text1"/>
          <w:szCs w:val="24"/>
        </w:rPr>
        <w:lastRenderedPageBreak/>
        <w:t>against it to see its unit contribution. This would then be utilized to obtain the break-even point- the quantity of units that has to be sold to offset the fixed costs attached to the new line of products. This type of analysis is essential to de- risk new ventures and ensure that they are consistent with overall corporate profitability goals. The vertical integration of the company, which owns its manufacturing plants, is what makes the difference between a variable purchase of competitors and a complicated composite of fixed and variable production costs, a complex mix that requires an even more granular application of cost accounting methods such as activity-based costing, to find out the real cost and profitability of their products (Maas and Matejka, 2022).</w:t>
      </w:r>
    </w:p>
    <w:p w14:paraId="3D220006" w14:textId="558522F5" w:rsidR="00EE38BF" w:rsidRPr="00890AC1" w:rsidRDefault="00EE38BF" w:rsidP="00EE38BF">
      <w:pPr>
        <w:pStyle w:val="Heading1"/>
        <w:rPr>
          <w:rFonts w:cs="Times New Roman"/>
          <w:color w:val="000000" w:themeColor="text1"/>
          <w:szCs w:val="24"/>
        </w:rPr>
      </w:pPr>
      <w:r w:rsidRPr="00890AC1">
        <w:rPr>
          <w:rFonts w:cs="Times New Roman"/>
          <w:color w:val="000000" w:themeColor="text1"/>
          <w:szCs w:val="24"/>
        </w:rPr>
        <w:t>Budgeting and Financial Planning</w:t>
      </w:r>
    </w:p>
    <w:p w14:paraId="6F9AFF5F" w14:textId="0A967CE8" w:rsidR="00EE113D" w:rsidRPr="00890AC1" w:rsidRDefault="00EE113D" w:rsidP="00EE113D">
      <w:pPr>
        <w:rPr>
          <w:rFonts w:cs="Times New Roman"/>
          <w:color w:val="000000" w:themeColor="text1"/>
          <w:szCs w:val="24"/>
        </w:rPr>
      </w:pPr>
      <w:r w:rsidRPr="00890AC1">
        <w:rPr>
          <w:rFonts w:cs="Times New Roman"/>
          <w:color w:val="000000" w:themeColor="text1"/>
          <w:szCs w:val="24"/>
        </w:rPr>
        <w:t xml:space="preserve">Budgeting is a key component of financial planning and control in large organisations that represents the actions that have been planned by the management over a future period quantitatively and acts as an important coordination, communication, and resource allocation mechanism (Becker, Mahlendorf and Schaeffer, 2016). Budgeting in a company like Morrisons is the process of converting the long-term strategic goals, such as increasing market share, increasing margin and expansion into convenience sector, into short term financial goals. The store operations, logistics, manufacturing, and marketing departments must also develop aligned budgets in line with the corporate strategy overall, hence, creating cross-functional coordination and ensuring that the promotional activities are in line with the supply chain capacity and staffing (Lukka and Vinnari, 2022). Additionally, budgeting provides a systematic control and performance measurement tool by creating a variance analysis which compares actual performance with the set up financial goals (Sageder and Feldbauer-Durstmuller, 2019). Where the actual labour costs are higher than the budgeted costs, the management is interested to find out whether this is a result of increased customer foot fall or the result of inefficiencies like raise in wage costs or time schedule, indicating an adverse volume variance, or indicates an adverse expenditure variance. The ability to pinpoint the causes of variance facilitates the correction or a wise update of the budget in cases where the cost turns out to be a structural necessity (Halla and Sandner, 2021). In addition, budgeting allows it to be responsive to external pressures that are common in the retail industry, such as policy changes, wage laws, inflation and changes in consumer confidence. Forecasts of these macroeconomic variables are included in annual budgets whereas flexible budgeting recalculates the estimate costs in terms of the actual activity </w:t>
      </w:r>
      <w:r w:rsidRPr="00890AC1">
        <w:rPr>
          <w:rFonts w:cs="Times New Roman"/>
          <w:color w:val="000000" w:themeColor="text1"/>
          <w:szCs w:val="24"/>
        </w:rPr>
        <w:lastRenderedPageBreak/>
        <w:t>levels to increase the level of evaluation accuracy (Krische, 2019). This would help the management make the appropriate control efforts by distinguishing uncontrollable external effects and internal operational efficiency so that instead of blaming the external forces that cause cost increases, they could focus their control efforts in areas like route optimisation in the face of increased fuel prices (Ax and Greve, 2017).</w:t>
      </w:r>
    </w:p>
    <w:p w14:paraId="56F753B9" w14:textId="5EBA112A" w:rsidR="00EE38BF" w:rsidRPr="00890AC1" w:rsidRDefault="00EE38BF" w:rsidP="00EE38BF">
      <w:pPr>
        <w:pStyle w:val="Heading1"/>
        <w:rPr>
          <w:rFonts w:cs="Times New Roman"/>
          <w:color w:val="000000" w:themeColor="text1"/>
          <w:szCs w:val="24"/>
        </w:rPr>
      </w:pPr>
      <w:r w:rsidRPr="00890AC1">
        <w:rPr>
          <w:rFonts w:cs="Times New Roman"/>
          <w:color w:val="000000" w:themeColor="text1"/>
          <w:szCs w:val="24"/>
        </w:rPr>
        <w:t>Performance Measurement and Decision-Making</w:t>
      </w:r>
    </w:p>
    <w:p w14:paraId="23317398" w14:textId="6604882B" w:rsidR="00EE113D" w:rsidRPr="00890AC1" w:rsidRDefault="00EE113D" w:rsidP="00EE113D">
      <w:pPr>
        <w:rPr>
          <w:rFonts w:cs="Times New Roman"/>
          <w:color w:val="000000" w:themeColor="text1"/>
          <w:szCs w:val="24"/>
        </w:rPr>
      </w:pPr>
      <w:r w:rsidRPr="00890AC1">
        <w:rPr>
          <w:rFonts w:cs="Times New Roman"/>
          <w:color w:val="000000" w:themeColor="text1"/>
          <w:szCs w:val="24"/>
        </w:rPr>
        <w:t xml:space="preserve">To perform successfully in a very competitive retailing environment, Morrisons relies on a well-developed performance measurement system that helps to ensure effective strategic implementation and well-informed decision-making. Financial indicators are considered to be crucial, but they are normally retrogressive and can encourage short-term decision-making when used alone. Modern-day management accounting would thus suggest an integrated model constituting both financial and non-financial key performance indicators (KPIs) to offer a more holistic and proactive approach to organisational performance (Franco-Santos and Otley, 2018). In the case of Morrisons, the main financial KPIs would be the increase in revenues, gross profit margin, and the operating profit, which combine to express profitability and financial stability in general. These steps are reinforced by non-financial KPIs as leading indicators of financial performance in the future, including the levels of customer satisfaction, employee turnover, measures of supply chain efficiency, including on-time delivery, and product quality and availability indicators (Chen, Matsumura and Shin, 2022). KPIs selection is a very delicate task since they influence management focus and behaviour. As an illustration, ongoing negative changes in customer satisfaction rates obtained via surveys or digital platforms can indicate the lack of service or quality, and the management can invest in the training of the staff or re-design fresh food supply chain operations. Such interventions can decrease short-term profits, but in the long run, they can lead to increased brand loyalty and guarantee revenue growth (Micheli and Mura, 2017). It is especially helpful to combine the financial and non-financial measures in the evaluation of strategic projects, including the introduction of a loyalty card programme. The cost of implementation and expected revenue increase would be estimated with the help of financial predictions, whereas operational performance would be measured with non-financial measures such as enrolment rates, frequency of use, and purchasing data and the individual marketing and product development strategies would be designed (Malmi and Granlund, 2021). Also, the sales per square foot and like-for-like sales growth measures should be used to inform capital </w:t>
      </w:r>
      <w:r w:rsidRPr="00890AC1">
        <w:rPr>
          <w:rFonts w:cs="Times New Roman"/>
          <w:color w:val="000000" w:themeColor="text1"/>
          <w:szCs w:val="24"/>
        </w:rPr>
        <w:lastRenderedPageBreak/>
        <w:t>investment decisions to ensure the most efficient allocation of organisational resources (Pavlatos and Kostakis, 2018).</w:t>
      </w:r>
    </w:p>
    <w:p w14:paraId="7B0F20A2" w14:textId="77777777" w:rsidR="009A410A" w:rsidRPr="00890AC1" w:rsidRDefault="00EE38BF" w:rsidP="00EE38BF">
      <w:pPr>
        <w:pStyle w:val="Heading1"/>
        <w:rPr>
          <w:rFonts w:cs="Times New Roman"/>
          <w:color w:val="000000" w:themeColor="text1"/>
          <w:szCs w:val="24"/>
        </w:rPr>
      </w:pPr>
      <w:r w:rsidRPr="00890AC1">
        <w:rPr>
          <w:rFonts w:cs="Times New Roman"/>
          <w:color w:val="000000" w:themeColor="text1"/>
          <w:szCs w:val="24"/>
        </w:rPr>
        <w:t>Sustainability and Ethical Considerations</w:t>
      </w:r>
    </w:p>
    <w:p w14:paraId="7AF71AEF" w14:textId="77777777" w:rsidR="009A410A" w:rsidRPr="00890AC1" w:rsidRDefault="009A410A" w:rsidP="009A410A">
      <w:pPr>
        <w:rPr>
          <w:rFonts w:cs="Times New Roman"/>
          <w:color w:val="000000" w:themeColor="text1"/>
          <w:szCs w:val="24"/>
        </w:rPr>
      </w:pPr>
      <w:r w:rsidRPr="00890AC1">
        <w:rPr>
          <w:rFonts w:cs="Times New Roman"/>
          <w:color w:val="000000" w:themeColor="text1"/>
          <w:szCs w:val="24"/>
        </w:rPr>
        <w:t>Management accounting is also moving beyond traditional financial reporting with the aim of considering the environmental, social, and governance issues as part of organisational strategy. Companies are currently under the expectation to incorporate sustainability in their core decision making processes, and management accounting offers the necessary instruments to implement sustainability in the process. Sustainability oriented accounting practices are specifically applicable in the face of a large retailer like Morrisons whose activities contribute greatly to the food production and the supply chains. An example of such a system is environmental management accounting (EMA), which allows organisations to measure, identify, and analyse environmental performance indicators and costs (Schaltegger, Burritt and Christ, 2017). This can involve determining the economic impact of energy and water use within the retail stores and manufacturing facilities and determining the economic impact of food waste along the value chain. Opening up the environmental costs will enable the management to explore opportunities that can help them save costs and at the same time minimize the destruction of the environment. The investments in the technologies representing the environmentally-friendly strategies like the development of the enhanced refrigeration systems can show how the sustainability measures can make the electricity bills cheaper and decrease the emissions of the harmful gases, thus offering a strong financial argument in support of the responsible investment choices (Gibassier and Alcouffe, 2018).</w:t>
      </w:r>
    </w:p>
    <w:p w14:paraId="42EFEB99" w14:textId="189B3106" w:rsidR="00EE38BF" w:rsidRPr="00890AC1" w:rsidRDefault="009A410A" w:rsidP="009A410A">
      <w:pPr>
        <w:rPr>
          <w:rFonts w:cs="Times New Roman"/>
          <w:color w:val="000000" w:themeColor="text1"/>
          <w:szCs w:val="24"/>
        </w:rPr>
      </w:pPr>
      <w:r w:rsidRPr="00890AC1">
        <w:rPr>
          <w:rFonts w:cs="Times New Roman"/>
          <w:color w:val="000000" w:themeColor="text1"/>
          <w:szCs w:val="24"/>
        </w:rPr>
        <w:t xml:space="preserve">Besides this, management accounting assists in making long-term strategic decisions where sustainability is considered in investment appraisal methods. Although the classic methods take into consideration the net present value or the internal rate of return, the modern method also considers regulatory risks, reputational benefits, and stability in the face of varying energy prices (Lueg and Radlach, 2016). These wider analyses can have a major impact on the results of capital budgeting, preferring the projects that have a high sustainability score to those that are motivated by the profitability of the short-term (Hartmann and Vachon, 2018). Ethics also occupy center stage especially in cost management and pricing policies. The management accountants should make sure that the price of the products should reflect the entire cost of ethical sourcing and fair labour standards within the supply chains (Fassin and Gosselin, 2021). </w:t>
      </w:r>
      <w:r w:rsidRPr="00890AC1">
        <w:rPr>
          <w:rFonts w:cs="Times New Roman"/>
          <w:color w:val="000000" w:themeColor="text1"/>
          <w:szCs w:val="24"/>
        </w:rPr>
        <w:lastRenderedPageBreak/>
        <w:t>Supplier pressure may force suppliers to engage in unhealthy behaviours, and it is crucial to include ethical measures in supplier rating and performance scorecards to protect organisational values and image (Stein, 2020).</w:t>
      </w:r>
      <w:r w:rsidR="00EE38BF" w:rsidRPr="00890AC1">
        <w:rPr>
          <w:rFonts w:cs="Times New Roman"/>
          <w:color w:val="000000" w:themeColor="text1"/>
          <w:szCs w:val="24"/>
        </w:rPr>
        <w:t xml:space="preserve"> </w:t>
      </w:r>
    </w:p>
    <w:p w14:paraId="308ED258" w14:textId="07DC7738" w:rsidR="00EE38BF" w:rsidRPr="00890AC1" w:rsidRDefault="00EE38BF" w:rsidP="00EE38BF">
      <w:pPr>
        <w:pStyle w:val="Heading1"/>
        <w:rPr>
          <w:rFonts w:cs="Times New Roman"/>
          <w:color w:val="000000" w:themeColor="text1"/>
          <w:szCs w:val="24"/>
        </w:rPr>
      </w:pPr>
      <w:r w:rsidRPr="00890AC1">
        <w:rPr>
          <w:rFonts w:cs="Times New Roman"/>
          <w:color w:val="000000" w:themeColor="text1"/>
          <w:szCs w:val="24"/>
        </w:rPr>
        <w:t xml:space="preserve">Conclusion and Recommendations </w:t>
      </w:r>
    </w:p>
    <w:p w14:paraId="2FD64256" w14:textId="69E06DE8" w:rsidR="00EE38BF" w:rsidRPr="00890AC1" w:rsidRDefault="009A410A" w:rsidP="00EE38BF">
      <w:pPr>
        <w:rPr>
          <w:rFonts w:cs="Times New Roman"/>
          <w:color w:val="000000" w:themeColor="text1"/>
          <w:szCs w:val="24"/>
        </w:rPr>
      </w:pPr>
      <w:r w:rsidRPr="00890AC1">
        <w:rPr>
          <w:rFonts w:cs="Times New Roman"/>
          <w:color w:val="000000" w:themeColor="text1"/>
          <w:szCs w:val="24"/>
        </w:rPr>
        <w:t>Contemporary management accounting instruments are necessary to aid the strategic planning, operating management, and performance assessment in corporations like Morrisons. The cost analysis makes the behaviour of fixed and variable costs more understandable to aid in decision-making of pricing or profitability</w:t>
      </w:r>
      <w:r w:rsidR="006B7919" w:rsidRPr="00890AC1">
        <w:rPr>
          <w:rFonts w:cs="Times New Roman"/>
          <w:color w:val="000000" w:themeColor="text1"/>
          <w:szCs w:val="24"/>
        </w:rPr>
        <w:t>,</w:t>
      </w:r>
      <w:r w:rsidRPr="00890AC1">
        <w:rPr>
          <w:rFonts w:cs="Times New Roman"/>
          <w:color w:val="000000" w:themeColor="text1"/>
          <w:szCs w:val="24"/>
        </w:rPr>
        <w:t xml:space="preserve"> whereas budgeting and variance analysis enhance financial planning and dynamic nature. Combined financial and non-financial KPIs in performance measurement systems, balanced strategic actions, and the incorporation of sustainability and ethics </w:t>
      </w:r>
      <w:r w:rsidR="006B7919" w:rsidRPr="00890AC1">
        <w:rPr>
          <w:rFonts w:cs="Times New Roman"/>
          <w:color w:val="000000" w:themeColor="text1"/>
          <w:szCs w:val="24"/>
        </w:rPr>
        <w:t>increase</w:t>
      </w:r>
      <w:r w:rsidRPr="00890AC1">
        <w:rPr>
          <w:rFonts w:cs="Times New Roman"/>
          <w:color w:val="000000" w:themeColor="text1"/>
          <w:szCs w:val="24"/>
        </w:rPr>
        <w:t xml:space="preserve"> value creation in the long term and corporate image.</w:t>
      </w:r>
    </w:p>
    <w:p w14:paraId="3D355382" w14:textId="77777777" w:rsidR="00854B7A" w:rsidRPr="00890AC1" w:rsidRDefault="00854B7A" w:rsidP="00854B7A">
      <w:pPr>
        <w:pStyle w:val="ListParagraph"/>
        <w:numPr>
          <w:ilvl w:val="0"/>
          <w:numId w:val="1"/>
        </w:numPr>
        <w:rPr>
          <w:rFonts w:cs="Times New Roman"/>
          <w:color w:val="000000" w:themeColor="text1"/>
          <w:szCs w:val="24"/>
        </w:rPr>
      </w:pPr>
      <w:r w:rsidRPr="00890AC1">
        <w:rPr>
          <w:rFonts w:cs="Times New Roman"/>
          <w:b/>
          <w:bCs/>
          <w:color w:val="000000" w:themeColor="text1"/>
          <w:szCs w:val="24"/>
        </w:rPr>
        <w:t>Recommendation 1:</w:t>
      </w:r>
      <w:r w:rsidRPr="00890AC1">
        <w:rPr>
          <w:rFonts w:cs="Times New Roman"/>
          <w:color w:val="000000" w:themeColor="text1"/>
          <w:szCs w:val="24"/>
        </w:rPr>
        <w:t xml:space="preserve"> Implement Activity-Based Costing (ABC) in key operations to improve cost accuracy, product profitability analysis, and pricing decisions, potentially revealing hidden cross-subsidies (Maas and Matejka, 2022). </w:t>
      </w:r>
    </w:p>
    <w:p w14:paraId="1DB3BCCA" w14:textId="77777777" w:rsidR="00854B7A" w:rsidRPr="00890AC1" w:rsidRDefault="00854B7A" w:rsidP="00854B7A">
      <w:pPr>
        <w:pStyle w:val="ListParagraph"/>
        <w:numPr>
          <w:ilvl w:val="0"/>
          <w:numId w:val="1"/>
        </w:numPr>
        <w:rPr>
          <w:rFonts w:cs="Times New Roman"/>
          <w:color w:val="000000" w:themeColor="text1"/>
          <w:szCs w:val="24"/>
        </w:rPr>
      </w:pPr>
      <w:r w:rsidRPr="00890AC1">
        <w:rPr>
          <w:rFonts w:cs="Times New Roman"/>
          <w:b/>
          <w:bCs/>
          <w:color w:val="000000" w:themeColor="text1"/>
          <w:szCs w:val="24"/>
        </w:rPr>
        <w:t>Recommendation 2:</w:t>
      </w:r>
      <w:r w:rsidRPr="00890AC1">
        <w:rPr>
          <w:rFonts w:cs="Times New Roman"/>
          <w:color w:val="000000" w:themeColor="text1"/>
          <w:szCs w:val="24"/>
        </w:rPr>
        <w:t xml:space="preserve"> Adopt a Balanced Scorecard with enhanced ESG metrics to align financial objectives with stakeholder expectations and link sustainability measures to performance rewards (Franco-Santos and Otley, 2018). </w:t>
      </w:r>
    </w:p>
    <w:p w14:paraId="41758EFE" w14:textId="12C9D56D" w:rsidR="009A410A" w:rsidRPr="00890AC1" w:rsidRDefault="00854B7A" w:rsidP="00854B7A">
      <w:pPr>
        <w:pStyle w:val="ListParagraph"/>
        <w:numPr>
          <w:ilvl w:val="0"/>
          <w:numId w:val="1"/>
        </w:numPr>
        <w:rPr>
          <w:rFonts w:cs="Times New Roman"/>
          <w:b/>
          <w:bCs/>
          <w:color w:val="000000" w:themeColor="text1"/>
          <w:szCs w:val="24"/>
        </w:rPr>
      </w:pPr>
      <w:r w:rsidRPr="00890AC1">
        <w:rPr>
          <w:rFonts w:cs="Times New Roman"/>
          <w:b/>
          <w:bCs/>
          <w:color w:val="000000" w:themeColor="text1"/>
          <w:szCs w:val="24"/>
        </w:rPr>
        <w:t>Recommendation 3:</w:t>
      </w:r>
      <w:r w:rsidRPr="00890AC1">
        <w:rPr>
          <w:rFonts w:cs="Times New Roman"/>
          <w:color w:val="000000" w:themeColor="text1"/>
          <w:szCs w:val="24"/>
        </w:rPr>
        <w:t xml:space="preserve"> Integrate sustainability into major investment appraisals to embed environmental and social considerations into financial decision-making processes (Schaltegger, Burritt and Christ, 2017).</w:t>
      </w:r>
    </w:p>
    <w:p w14:paraId="640D68B9" w14:textId="7307A185" w:rsidR="0046539C" w:rsidRPr="00890AC1" w:rsidRDefault="0046539C">
      <w:pPr>
        <w:spacing w:line="259" w:lineRule="auto"/>
        <w:jc w:val="left"/>
        <w:rPr>
          <w:rFonts w:cs="Times New Roman"/>
          <w:color w:val="000000" w:themeColor="text1"/>
          <w:szCs w:val="24"/>
        </w:rPr>
      </w:pPr>
      <w:r w:rsidRPr="00890AC1">
        <w:rPr>
          <w:rFonts w:cs="Times New Roman"/>
          <w:color w:val="000000" w:themeColor="text1"/>
          <w:szCs w:val="24"/>
        </w:rPr>
        <w:br w:type="page"/>
      </w:r>
    </w:p>
    <w:p w14:paraId="06CC6CB9" w14:textId="4BE4637A" w:rsidR="0046539C" w:rsidRPr="00890AC1" w:rsidRDefault="0046539C" w:rsidP="0046539C">
      <w:pPr>
        <w:pStyle w:val="Heading1"/>
        <w:rPr>
          <w:rFonts w:cs="Times New Roman"/>
          <w:color w:val="000000" w:themeColor="text1"/>
          <w:szCs w:val="24"/>
        </w:rPr>
      </w:pPr>
      <w:r w:rsidRPr="00890AC1">
        <w:rPr>
          <w:rFonts w:cs="Times New Roman"/>
          <w:color w:val="000000" w:themeColor="text1"/>
          <w:szCs w:val="24"/>
        </w:rPr>
        <w:lastRenderedPageBreak/>
        <w:t xml:space="preserve">References </w:t>
      </w:r>
    </w:p>
    <w:p w14:paraId="5D55A172" w14:textId="77777777" w:rsidR="0046539C" w:rsidRPr="00890AC1" w:rsidRDefault="0046539C" w:rsidP="0046539C">
      <w:pPr>
        <w:ind w:left="720" w:hanging="720"/>
        <w:rPr>
          <w:rFonts w:cs="Times New Roman"/>
          <w:color w:val="000000" w:themeColor="text1"/>
          <w:szCs w:val="24"/>
        </w:rPr>
      </w:pPr>
      <w:r w:rsidRPr="00890AC1">
        <w:rPr>
          <w:rFonts w:cs="Times New Roman"/>
          <w:color w:val="000000" w:themeColor="text1"/>
          <w:szCs w:val="24"/>
        </w:rPr>
        <w:t>Ax, C. and Greve, J. (2017) 'Adoption of management accounting innovations: Organizational culture compatibility and perceived outcomes', </w:t>
      </w:r>
      <w:r w:rsidRPr="00890AC1">
        <w:rPr>
          <w:rStyle w:val="Emphasis"/>
          <w:rFonts w:cs="Times New Roman"/>
          <w:color w:val="000000" w:themeColor="text1"/>
          <w:szCs w:val="24"/>
        </w:rPr>
        <w:t>Management Accounting Research</w:t>
      </w:r>
      <w:r w:rsidRPr="00890AC1">
        <w:rPr>
          <w:rFonts w:cs="Times New Roman"/>
          <w:color w:val="000000" w:themeColor="text1"/>
          <w:szCs w:val="24"/>
        </w:rPr>
        <w:t>, 34, pp. 59-74.</w:t>
      </w:r>
    </w:p>
    <w:p w14:paraId="34D7E285" w14:textId="77777777" w:rsidR="0046539C" w:rsidRPr="00890AC1" w:rsidRDefault="0046539C" w:rsidP="0046539C">
      <w:pPr>
        <w:ind w:left="720" w:hanging="720"/>
        <w:rPr>
          <w:rFonts w:cs="Times New Roman"/>
          <w:color w:val="000000" w:themeColor="text1"/>
          <w:szCs w:val="24"/>
        </w:rPr>
      </w:pPr>
      <w:r w:rsidRPr="00890AC1">
        <w:rPr>
          <w:rFonts w:cs="Times New Roman"/>
          <w:color w:val="000000" w:themeColor="text1"/>
          <w:szCs w:val="24"/>
        </w:rPr>
        <w:t>Banker, R.D. and Byzalov, D. (2019) 'Asymmetric cost behavior', </w:t>
      </w:r>
      <w:r w:rsidRPr="00890AC1">
        <w:rPr>
          <w:rStyle w:val="Emphasis"/>
          <w:rFonts w:cs="Times New Roman"/>
          <w:color w:val="000000" w:themeColor="text1"/>
          <w:szCs w:val="24"/>
        </w:rPr>
        <w:t>Journal of Management Accounting Research</w:t>
      </w:r>
      <w:r w:rsidRPr="00890AC1">
        <w:rPr>
          <w:rFonts w:cs="Times New Roman"/>
          <w:color w:val="000000" w:themeColor="text1"/>
          <w:szCs w:val="24"/>
        </w:rPr>
        <w:t>, 31(2), pp. 1-26.</w:t>
      </w:r>
    </w:p>
    <w:p w14:paraId="12F24945" w14:textId="77777777" w:rsidR="0046539C" w:rsidRPr="00890AC1" w:rsidRDefault="0046539C" w:rsidP="0046539C">
      <w:pPr>
        <w:ind w:left="720" w:hanging="720"/>
        <w:rPr>
          <w:rFonts w:cs="Times New Roman"/>
          <w:color w:val="000000" w:themeColor="text1"/>
          <w:szCs w:val="24"/>
        </w:rPr>
      </w:pPr>
      <w:r w:rsidRPr="00890AC1">
        <w:rPr>
          <w:rFonts w:cs="Times New Roman"/>
          <w:color w:val="000000" w:themeColor="text1"/>
          <w:szCs w:val="24"/>
        </w:rPr>
        <w:t>Becker, S.D., Mahlendorf, M.D. and Schäffer, U. (2016) 'Budgeting in times of economic crisis', </w:t>
      </w:r>
      <w:r w:rsidRPr="00890AC1">
        <w:rPr>
          <w:rStyle w:val="Emphasis"/>
          <w:rFonts w:cs="Times New Roman"/>
          <w:color w:val="000000" w:themeColor="text1"/>
          <w:szCs w:val="24"/>
        </w:rPr>
        <w:t>Contemporary Accounting Research</w:t>
      </w:r>
      <w:r w:rsidRPr="00890AC1">
        <w:rPr>
          <w:rFonts w:cs="Times New Roman"/>
          <w:color w:val="000000" w:themeColor="text1"/>
          <w:szCs w:val="24"/>
        </w:rPr>
        <w:t>, 33(3), pp. 1149-1177.</w:t>
      </w:r>
    </w:p>
    <w:p w14:paraId="3BC4120D" w14:textId="77777777" w:rsidR="0046539C" w:rsidRPr="00890AC1" w:rsidRDefault="0046539C" w:rsidP="0046539C">
      <w:pPr>
        <w:ind w:left="720" w:hanging="720"/>
        <w:rPr>
          <w:rFonts w:cs="Times New Roman"/>
          <w:color w:val="000000" w:themeColor="text1"/>
          <w:szCs w:val="24"/>
        </w:rPr>
      </w:pPr>
      <w:r w:rsidRPr="00890AC1">
        <w:rPr>
          <w:rFonts w:cs="Times New Roman"/>
          <w:color w:val="000000" w:themeColor="text1"/>
          <w:szCs w:val="24"/>
        </w:rPr>
        <w:t>Chen, C.X., Matsumura, E.M. and Shin, J.Y. (2022) 'The effect of non-financial performance measures on employee motivation and performance', </w:t>
      </w:r>
      <w:r w:rsidRPr="00890AC1">
        <w:rPr>
          <w:rStyle w:val="Emphasis"/>
          <w:rFonts w:cs="Times New Roman"/>
          <w:color w:val="000000" w:themeColor="text1"/>
          <w:szCs w:val="24"/>
        </w:rPr>
        <w:t>The Accounting Review</w:t>
      </w:r>
      <w:r w:rsidRPr="00890AC1">
        <w:rPr>
          <w:rFonts w:cs="Times New Roman"/>
          <w:color w:val="000000" w:themeColor="text1"/>
          <w:szCs w:val="24"/>
        </w:rPr>
        <w:t>, 97(3), pp. 123-148.</w:t>
      </w:r>
    </w:p>
    <w:p w14:paraId="5538D08D" w14:textId="77777777" w:rsidR="0046539C" w:rsidRPr="00890AC1" w:rsidRDefault="0046539C" w:rsidP="0046539C">
      <w:pPr>
        <w:ind w:left="720" w:hanging="720"/>
        <w:rPr>
          <w:rFonts w:cs="Times New Roman"/>
          <w:color w:val="000000" w:themeColor="text1"/>
          <w:szCs w:val="24"/>
        </w:rPr>
      </w:pPr>
      <w:r w:rsidRPr="00890AC1">
        <w:rPr>
          <w:rFonts w:cs="Times New Roman"/>
          <w:color w:val="000000" w:themeColor="text1"/>
          <w:szCs w:val="24"/>
        </w:rPr>
        <w:t>Fassin, Y. and Gosselin, M. (2021) 'Ethics in management accounting: A systematic literature review', </w:t>
      </w:r>
      <w:r w:rsidRPr="00890AC1">
        <w:rPr>
          <w:rStyle w:val="Emphasis"/>
          <w:rFonts w:cs="Times New Roman"/>
          <w:color w:val="000000" w:themeColor="text1"/>
          <w:szCs w:val="24"/>
        </w:rPr>
        <w:t>Journal of Business Ethics</w:t>
      </w:r>
      <w:r w:rsidRPr="00890AC1">
        <w:rPr>
          <w:rFonts w:cs="Times New Roman"/>
          <w:color w:val="000000" w:themeColor="text1"/>
          <w:szCs w:val="24"/>
        </w:rPr>
        <w:t>, 172(3), pp. 521-540.</w:t>
      </w:r>
    </w:p>
    <w:p w14:paraId="471A660A" w14:textId="77777777" w:rsidR="0046539C" w:rsidRPr="00890AC1" w:rsidRDefault="0046539C" w:rsidP="0046539C">
      <w:pPr>
        <w:ind w:left="720" w:hanging="720"/>
        <w:rPr>
          <w:rFonts w:cs="Times New Roman"/>
          <w:color w:val="000000" w:themeColor="text1"/>
          <w:szCs w:val="24"/>
        </w:rPr>
      </w:pPr>
      <w:r w:rsidRPr="00890AC1">
        <w:rPr>
          <w:rFonts w:cs="Times New Roman"/>
          <w:color w:val="000000" w:themeColor="text1"/>
          <w:szCs w:val="24"/>
        </w:rPr>
        <w:t>Franco-Santos, M. and Otley, D. (2018) 'Reviewing and theorizing the unintended consequences of performance management systems', </w:t>
      </w:r>
      <w:r w:rsidRPr="00890AC1">
        <w:rPr>
          <w:rStyle w:val="Emphasis"/>
          <w:rFonts w:cs="Times New Roman"/>
          <w:color w:val="000000" w:themeColor="text1"/>
          <w:szCs w:val="24"/>
        </w:rPr>
        <w:t>International Journal of Management Reviews</w:t>
      </w:r>
      <w:r w:rsidRPr="00890AC1">
        <w:rPr>
          <w:rFonts w:cs="Times New Roman"/>
          <w:color w:val="000000" w:themeColor="text1"/>
          <w:szCs w:val="24"/>
        </w:rPr>
        <w:t>, 20(3), pp. 696-730.</w:t>
      </w:r>
    </w:p>
    <w:p w14:paraId="328D623C" w14:textId="77777777" w:rsidR="0046539C" w:rsidRPr="00890AC1" w:rsidRDefault="0046539C" w:rsidP="0046539C">
      <w:pPr>
        <w:ind w:left="720" w:hanging="720"/>
        <w:rPr>
          <w:rFonts w:cs="Times New Roman"/>
          <w:color w:val="000000" w:themeColor="text1"/>
          <w:szCs w:val="24"/>
        </w:rPr>
      </w:pPr>
      <w:r w:rsidRPr="00890AC1">
        <w:rPr>
          <w:rFonts w:cs="Times New Roman"/>
          <w:color w:val="000000" w:themeColor="text1"/>
          <w:szCs w:val="24"/>
        </w:rPr>
        <w:t>Gibassier, D. and Alcouffe, S. (2018) 'Environmental management accounting: The missing link to sustainability', </w:t>
      </w:r>
      <w:r w:rsidRPr="00890AC1">
        <w:rPr>
          <w:rStyle w:val="Emphasis"/>
          <w:rFonts w:cs="Times New Roman"/>
          <w:color w:val="000000" w:themeColor="text1"/>
          <w:szCs w:val="24"/>
        </w:rPr>
        <w:t>Sustainability Accounting, Management and Policy Journal</w:t>
      </w:r>
      <w:r w:rsidRPr="00890AC1">
        <w:rPr>
          <w:rFonts w:cs="Times New Roman"/>
          <w:color w:val="000000" w:themeColor="text1"/>
          <w:szCs w:val="24"/>
        </w:rPr>
        <w:t>, 9(4), pp. 456-479.</w:t>
      </w:r>
    </w:p>
    <w:p w14:paraId="69E813BE" w14:textId="77777777" w:rsidR="0046539C" w:rsidRPr="00890AC1" w:rsidRDefault="0046539C" w:rsidP="0046539C">
      <w:pPr>
        <w:ind w:left="720" w:hanging="720"/>
        <w:rPr>
          <w:rFonts w:cs="Times New Roman"/>
          <w:color w:val="000000" w:themeColor="text1"/>
          <w:szCs w:val="24"/>
        </w:rPr>
      </w:pPr>
      <w:r w:rsidRPr="00890AC1">
        <w:rPr>
          <w:rFonts w:cs="Times New Roman"/>
          <w:color w:val="000000" w:themeColor="text1"/>
          <w:szCs w:val="24"/>
        </w:rPr>
        <w:t>Grabner, I. and Moers, F. (2021) 'The use of management control systems for managing innovation', </w:t>
      </w:r>
      <w:r w:rsidRPr="00890AC1">
        <w:rPr>
          <w:rStyle w:val="Emphasis"/>
          <w:rFonts w:cs="Times New Roman"/>
          <w:color w:val="000000" w:themeColor="text1"/>
          <w:szCs w:val="24"/>
        </w:rPr>
        <w:t>Accounting, Organizations and Society</w:t>
      </w:r>
      <w:r w:rsidRPr="00890AC1">
        <w:rPr>
          <w:rFonts w:cs="Times New Roman"/>
          <w:color w:val="000000" w:themeColor="text1"/>
          <w:szCs w:val="24"/>
        </w:rPr>
        <w:t>, 89, 101196.</w:t>
      </w:r>
    </w:p>
    <w:p w14:paraId="5BAB20C5" w14:textId="77777777" w:rsidR="0046539C" w:rsidRPr="00890AC1" w:rsidRDefault="0046539C" w:rsidP="0046539C">
      <w:pPr>
        <w:ind w:left="720" w:hanging="720"/>
        <w:rPr>
          <w:rFonts w:cs="Times New Roman"/>
          <w:color w:val="000000" w:themeColor="text1"/>
          <w:szCs w:val="24"/>
        </w:rPr>
      </w:pPr>
      <w:r w:rsidRPr="00890AC1">
        <w:rPr>
          <w:rFonts w:cs="Times New Roman"/>
          <w:color w:val="000000" w:themeColor="text1"/>
          <w:szCs w:val="24"/>
        </w:rPr>
        <w:t>Halla, M. and Sandner, K. (2021) 'Flexible budgeting and organizational performance', </w:t>
      </w:r>
      <w:r w:rsidRPr="00890AC1">
        <w:rPr>
          <w:rStyle w:val="Emphasis"/>
          <w:rFonts w:cs="Times New Roman"/>
          <w:color w:val="000000" w:themeColor="text1"/>
          <w:szCs w:val="24"/>
        </w:rPr>
        <w:t>Journal of Management Control</w:t>
      </w:r>
      <w:r w:rsidRPr="00890AC1">
        <w:rPr>
          <w:rFonts w:cs="Times New Roman"/>
          <w:color w:val="000000" w:themeColor="text1"/>
          <w:szCs w:val="24"/>
        </w:rPr>
        <w:t>, 32(2), pp. 189-214.</w:t>
      </w:r>
    </w:p>
    <w:p w14:paraId="3BBD0C55" w14:textId="77777777" w:rsidR="0046539C" w:rsidRPr="00890AC1" w:rsidRDefault="0046539C" w:rsidP="0046539C">
      <w:pPr>
        <w:ind w:left="720" w:hanging="720"/>
        <w:rPr>
          <w:rFonts w:cs="Times New Roman"/>
          <w:color w:val="000000" w:themeColor="text1"/>
          <w:szCs w:val="24"/>
        </w:rPr>
      </w:pPr>
      <w:r w:rsidRPr="00890AC1">
        <w:rPr>
          <w:rFonts w:cs="Times New Roman"/>
          <w:color w:val="000000" w:themeColor="text1"/>
          <w:szCs w:val="24"/>
        </w:rPr>
        <w:t>Hartmann, J. and Vachon, S. (2018) 'Linking environmental management accounting to green supply chain management', </w:t>
      </w:r>
      <w:r w:rsidRPr="00890AC1">
        <w:rPr>
          <w:rStyle w:val="Emphasis"/>
          <w:rFonts w:cs="Times New Roman"/>
          <w:color w:val="000000" w:themeColor="text1"/>
          <w:szCs w:val="24"/>
        </w:rPr>
        <w:t>Journal of Cleaner Production</w:t>
      </w:r>
      <w:r w:rsidRPr="00890AC1">
        <w:rPr>
          <w:rFonts w:cs="Times New Roman"/>
          <w:color w:val="000000" w:themeColor="text1"/>
          <w:szCs w:val="24"/>
        </w:rPr>
        <w:t>, 172, pp. 3892-3902.</w:t>
      </w:r>
    </w:p>
    <w:p w14:paraId="707A97FC" w14:textId="77777777" w:rsidR="0046539C" w:rsidRPr="00890AC1" w:rsidRDefault="0046539C" w:rsidP="0046539C">
      <w:pPr>
        <w:ind w:left="720" w:hanging="720"/>
        <w:rPr>
          <w:rFonts w:cs="Times New Roman"/>
          <w:color w:val="000000" w:themeColor="text1"/>
          <w:szCs w:val="24"/>
        </w:rPr>
      </w:pPr>
      <w:r w:rsidRPr="00890AC1">
        <w:rPr>
          <w:rFonts w:cs="Times New Roman"/>
          <w:color w:val="000000" w:themeColor="text1"/>
          <w:szCs w:val="24"/>
        </w:rPr>
        <w:t>Hoque, Z. (2018) '20 years of the </w:t>
      </w:r>
      <w:r w:rsidRPr="00890AC1">
        <w:rPr>
          <w:rStyle w:val="Emphasis"/>
          <w:rFonts w:cs="Times New Roman"/>
          <w:color w:val="000000" w:themeColor="text1"/>
          <w:szCs w:val="24"/>
        </w:rPr>
        <w:t>Journal of Accounting &amp; Organizational Change</w:t>
      </w:r>
      <w:r w:rsidRPr="00890AC1">
        <w:rPr>
          <w:rFonts w:cs="Times New Roman"/>
          <w:color w:val="000000" w:themeColor="text1"/>
          <w:szCs w:val="24"/>
        </w:rPr>
        <w:t>: A bibliometric analysis', </w:t>
      </w:r>
      <w:r w:rsidRPr="00890AC1">
        <w:rPr>
          <w:rStyle w:val="Emphasis"/>
          <w:rFonts w:cs="Times New Roman"/>
          <w:color w:val="000000" w:themeColor="text1"/>
          <w:szCs w:val="24"/>
        </w:rPr>
        <w:t>Journal of Accounting &amp; Organizational Change</w:t>
      </w:r>
      <w:r w:rsidRPr="00890AC1">
        <w:rPr>
          <w:rFonts w:cs="Times New Roman"/>
          <w:color w:val="000000" w:themeColor="text1"/>
          <w:szCs w:val="24"/>
        </w:rPr>
        <w:t>, 14(4), pp. 402-427.</w:t>
      </w:r>
    </w:p>
    <w:p w14:paraId="7A5F0F99" w14:textId="77777777" w:rsidR="0046539C" w:rsidRPr="00890AC1" w:rsidRDefault="0046539C" w:rsidP="0046539C">
      <w:pPr>
        <w:ind w:left="720" w:hanging="720"/>
        <w:rPr>
          <w:rFonts w:cs="Times New Roman"/>
          <w:color w:val="000000" w:themeColor="text1"/>
          <w:szCs w:val="24"/>
        </w:rPr>
      </w:pPr>
      <w:r w:rsidRPr="00890AC1">
        <w:rPr>
          <w:rFonts w:cs="Times New Roman"/>
          <w:color w:val="000000" w:themeColor="text1"/>
          <w:szCs w:val="24"/>
        </w:rPr>
        <w:lastRenderedPageBreak/>
        <w:t>Krische, S.D. (2019) 'Investment variance analysis and capital budgeting', </w:t>
      </w:r>
      <w:r w:rsidRPr="00890AC1">
        <w:rPr>
          <w:rStyle w:val="Emphasis"/>
          <w:rFonts w:cs="Times New Roman"/>
          <w:color w:val="000000" w:themeColor="text1"/>
          <w:szCs w:val="24"/>
        </w:rPr>
        <w:t>Journal of Management Accounting Research</w:t>
      </w:r>
      <w:r w:rsidRPr="00890AC1">
        <w:rPr>
          <w:rFonts w:cs="Times New Roman"/>
          <w:color w:val="000000" w:themeColor="text1"/>
          <w:szCs w:val="24"/>
        </w:rPr>
        <w:t>, 31(3), pp. 97-115.</w:t>
      </w:r>
    </w:p>
    <w:p w14:paraId="4CA0B5CE" w14:textId="77777777" w:rsidR="0046539C" w:rsidRPr="00890AC1" w:rsidRDefault="0046539C" w:rsidP="0046539C">
      <w:pPr>
        <w:ind w:left="720" w:hanging="720"/>
        <w:rPr>
          <w:rFonts w:cs="Times New Roman"/>
          <w:color w:val="000000" w:themeColor="text1"/>
          <w:szCs w:val="24"/>
        </w:rPr>
      </w:pPr>
      <w:r w:rsidRPr="00890AC1">
        <w:rPr>
          <w:rFonts w:cs="Times New Roman"/>
          <w:color w:val="000000" w:themeColor="text1"/>
          <w:szCs w:val="24"/>
        </w:rPr>
        <w:t>Lueg, R. and Radlach, R. (2016) 'Managing sustainable development with management control systems: A literature review', </w:t>
      </w:r>
      <w:r w:rsidRPr="00890AC1">
        <w:rPr>
          <w:rStyle w:val="Emphasis"/>
          <w:rFonts w:cs="Times New Roman"/>
          <w:color w:val="000000" w:themeColor="text1"/>
          <w:szCs w:val="24"/>
        </w:rPr>
        <w:t>European Management Journal</w:t>
      </w:r>
      <w:r w:rsidRPr="00890AC1">
        <w:rPr>
          <w:rFonts w:cs="Times New Roman"/>
          <w:color w:val="000000" w:themeColor="text1"/>
          <w:szCs w:val="24"/>
        </w:rPr>
        <w:t>, 34(2), pp. 158-171.</w:t>
      </w:r>
    </w:p>
    <w:p w14:paraId="79AB16DC" w14:textId="77777777" w:rsidR="0046539C" w:rsidRPr="00890AC1" w:rsidRDefault="0046539C" w:rsidP="0046539C">
      <w:pPr>
        <w:ind w:left="720" w:hanging="720"/>
        <w:rPr>
          <w:rFonts w:cs="Times New Roman"/>
          <w:color w:val="000000" w:themeColor="text1"/>
          <w:szCs w:val="24"/>
        </w:rPr>
      </w:pPr>
      <w:r w:rsidRPr="00890AC1">
        <w:rPr>
          <w:rFonts w:cs="Times New Roman"/>
          <w:color w:val="000000" w:themeColor="text1"/>
          <w:szCs w:val="24"/>
        </w:rPr>
        <w:t>Lukka, K. and Vinnari, E. (2022) 'Domain theory and method theory in management accounting research', </w:t>
      </w:r>
      <w:r w:rsidRPr="00890AC1">
        <w:rPr>
          <w:rStyle w:val="Emphasis"/>
          <w:rFonts w:cs="Times New Roman"/>
          <w:color w:val="000000" w:themeColor="text1"/>
          <w:szCs w:val="24"/>
        </w:rPr>
        <w:t>Accounting, Auditing &amp; Accountability Journal</w:t>
      </w:r>
      <w:r w:rsidRPr="00890AC1">
        <w:rPr>
          <w:rFonts w:cs="Times New Roman"/>
          <w:color w:val="000000" w:themeColor="text1"/>
          <w:szCs w:val="24"/>
        </w:rPr>
        <w:t>, 35(3), pp. 816-842.</w:t>
      </w:r>
    </w:p>
    <w:p w14:paraId="6BA47776" w14:textId="77777777" w:rsidR="0046539C" w:rsidRPr="00890AC1" w:rsidRDefault="0046539C" w:rsidP="0046539C">
      <w:pPr>
        <w:ind w:left="720" w:hanging="720"/>
        <w:rPr>
          <w:rFonts w:cs="Times New Roman"/>
          <w:color w:val="000000" w:themeColor="text1"/>
          <w:szCs w:val="24"/>
        </w:rPr>
      </w:pPr>
      <w:r w:rsidRPr="00890AC1">
        <w:rPr>
          <w:rFonts w:cs="Times New Roman"/>
          <w:color w:val="000000" w:themeColor="text1"/>
          <w:szCs w:val="24"/>
        </w:rPr>
        <w:t>Maas, V.S. and Matejka, M. (2022) 'Activity-based costing and organizational performance', </w:t>
      </w:r>
      <w:r w:rsidRPr="00890AC1">
        <w:rPr>
          <w:rStyle w:val="Emphasis"/>
          <w:rFonts w:cs="Times New Roman"/>
          <w:color w:val="000000" w:themeColor="text1"/>
          <w:szCs w:val="24"/>
        </w:rPr>
        <w:t>Journal of Management Accounting Research</w:t>
      </w:r>
      <w:r w:rsidRPr="00890AC1">
        <w:rPr>
          <w:rFonts w:cs="Times New Roman"/>
          <w:color w:val="000000" w:themeColor="text1"/>
          <w:szCs w:val="24"/>
        </w:rPr>
        <w:t>, 34(1), pp. 67-89.</w:t>
      </w:r>
    </w:p>
    <w:p w14:paraId="5BEBB484" w14:textId="77777777" w:rsidR="0046539C" w:rsidRPr="00890AC1" w:rsidRDefault="0046539C" w:rsidP="0046539C">
      <w:pPr>
        <w:ind w:left="720" w:hanging="720"/>
        <w:rPr>
          <w:rFonts w:cs="Times New Roman"/>
          <w:color w:val="000000" w:themeColor="text1"/>
          <w:szCs w:val="24"/>
        </w:rPr>
      </w:pPr>
      <w:r w:rsidRPr="00890AC1">
        <w:rPr>
          <w:rFonts w:cs="Times New Roman"/>
          <w:color w:val="000000" w:themeColor="text1"/>
          <w:szCs w:val="24"/>
        </w:rPr>
        <w:t>Malmi, T. and Granlund, M. (2021) 'Management accounting and digitalization', </w:t>
      </w:r>
      <w:r w:rsidRPr="00890AC1">
        <w:rPr>
          <w:rStyle w:val="Emphasis"/>
          <w:rFonts w:cs="Times New Roman"/>
          <w:color w:val="000000" w:themeColor="text1"/>
          <w:szCs w:val="24"/>
        </w:rPr>
        <w:t>Contemporary Accounting Research</w:t>
      </w:r>
      <w:r w:rsidRPr="00890AC1">
        <w:rPr>
          <w:rFonts w:cs="Times New Roman"/>
          <w:color w:val="000000" w:themeColor="text1"/>
          <w:szCs w:val="24"/>
        </w:rPr>
        <w:t>, 38(4), pp. 2778-2811.</w:t>
      </w:r>
    </w:p>
    <w:p w14:paraId="29970FAA" w14:textId="77777777" w:rsidR="0046539C" w:rsidRPr="00890AC1" w:rsidRDefault="0046539C" w:rsidP="0046539C">
      <w:pPr>
        <w:ind w:left="720" w:hanging="720"/>
        <w:rPr>
          <w:rFonts w:cs="Times New Roman"/>
          <w:color w:val="000000" w:themeColor="text1"/>
          <w:szCs w:val="24"/>
        </w:rPr>
      </w:pPr>
      <w:r w:rsidRPr="00890AC1">
        <w:rPr>
          <w:rFonts w:cs="Times New Roman"/>
          <w:color w:val="000000" w:themeColor="text1"/>
          <w:szCs w:val="24"/>
        </w:rPr>
        <w:t>Messner, M. (2016) 'The limits of accountability', </w:t>
      </w:r>
      <w:r w:rsidRPr="00890AC1">
        <w:rPr>
          <w:rStyle w:val="Emphasis"/>
          <w:rFonts w:cs="Times New Roman"/>
          <w:color w:val="000000" w:themeColor="text1"/>
          <w:szCs w:val="24"/>
        </w:rPr>
        <w:t>Accounting, Organizations and Society</w:t>
      </w:r>
      <w:r w:rsidRPr="00890AC1">
        <w:rPr>
          <w:rFonts w:cs="Times New Roman"/>
          <w:color w:val="000000" w:themeColor="text1"/>
          <w:szCs w:val="24"/>
        </w:rPr>
        <w:t>, 51, pp. 66-82.</w:t>
      </w:r>
    </w:p>
    <w:p w14:paraId="1B2EEEDD" w14:textId="77777777" w:rsidR="0046539C" w:rsidRPr="00890AC1" w:rsidRDefault="0046539C" w:rsidP="0046539C">
      <w:pPr>
        <w:ind w:left="720" w:hanging="720"/>
        <w:rPr>
          <w:rFonts w:cs="Times New Roman"/>
          <w:color w:val="000000" w:themeColor="text1"/>
          <w:szCs w:val="24"/>
        </w:rPr>
      </w:pPr>
      <w:r w:rsidRPr="00890AC1">
        <w:rPr>
          <w:rFonts w:cs="Times New Roman"/>
          <w:color w:val="000000" w:themeColor="text1"/>
          <w:szCs w:val="24"/>
        </w:rPr>
        <w:t>Micheli, P. and Mura, M. (2017) 'Executing strategy through comprehensive performance measurement systems', </w:t>
      </w:r>
      <w:r w:rsidRPr="00890AC1">
        <w:rPr>
          <w:rStyle w:val="Emphasis"/>
          <w:rFonts w:cs="Times New Roman"/>
          <w:color w:val="000000" w:themeColor="text1"/>
          <w:szCs w:val="24"/>
        </w:rPr>
        <w:t>International Journal of Operations &amp; Production Management</w:t>
      </w:r>
      <w:r w:rsidRPr="00890AC1">
        <w:rPr>
          <w:rFonts w:cs="Times New Roman"/>
          <w:color w:val="000000" w:themeColor="text1"/>
          <w:szCs w:val="24"/>
        </w:rPr>
        <w:t>, 37(4), pp. 492-515.</w:t>
      </w:r>
    </w:p>
    <w:p w14:paraId="7ECF0160" w14:textId="77777777" w:rsidR="0046539C" w:rsidRPr="00890AC1" w:rsidRDefault="0046539C" w:rsidP="0046539C">
      <w:pPr>
        <w:ind w:left="720" w:hanging="720"/>
        <w:rPr>
          <w:rFonts w:cs="Times New Roman"/>
          <w:color w:val="000000" w:themeColor="text1"/>
          <w:szCs w:val="24"/>
        </w:rPr>
      </w:pPr>
      <w:r w:rsidRPr="00890AC1">
        <w:rPr>
          <w:rFonts w:cs="Times New Roman"/>
          <w:color w:val="000000" w:themeColor="text1"/>
          <w:szCs w:val="24"/>
        </w:rPr>
        <w:t>Otley, D. (2016) 'The contingency theory of management accounting and control: 1980–2014', </w:t>
      </w:r>
      <w:r w:rsidRPr="00890AC1">
        <w:rPr>
          <w:rStyle w:val="Emphasis"/>
          <w:rFonts w:cs="Times New Roman"/>
          <w:color w:val="000000" w:themeColor="text1"/>
          <w:szCs w:val="24"/>
        </w:rPr>
        <w:t>Management Accounting Research</w:t>
      </w:r>
      <w:r w:rsidRPr="00890AC1">
        <w:rPr>
          <w:rFonts w:cs="Times New Roman"/>
          <w:color w:val="000000" w:themeColor="text1"/>
          <w:szCs w:val="24"/>
        </w:rPr>
        <w:t>, 31, pp. 45-62.</w:t>
      </w:r>
    </w:p>
    <w:p w14:paraId="24C36D2C" w14:textId="77777777" w:rsidR="0046539C" w:rsidRPr="00890AC1" w:rsidRDefault="0046539C" w:rsidP="0046539C">
      <w:pPr>
        <w:ind w:left="720" w:hanging="720"/>
        <w:rPr>
          <w:rFonts w:cs="Times New Roman"/>
          <w:color w:val="000000" w:themeColor="text1"/>
          <w:szCs w:val="24"/>
        </w:rPr>
      </w:pPr>
      <w:r w:rsidRPr="00890AC1">
        <w:rPr>
          <w:rFonts w:cs="Times New Roman"/>
          <w:color w:val="000000" w:themeColor="text1"/>
          <w:szCs w:val="24"/>
        </w:rPr>
        <w:t>Pavlatos, O. and Kostakis, H. (2018) 'The impact of top management team characteristics on cost system sophistication', </w:t>
      </w:r>
      <w:r w:rsidRPr="00890AC1">
        <w:rPr>
          <w:rStyle w:val="Emphasis"/>
          <w:rFonts w:cs="Times New Roman"/>
          <w:color w:val="000000" w:themeColor="text1"/>
          <w:szCs w:val="24"/>
        </w:rPr>
        <w:t>Journal of Applied Accounting Research</w:t>
      </w:r>
      <w:r w:rsidRPr="00890AC1">
        <w:rPr>
          <w:rFonts w:cs="Times New Roman"/>
          <w:color w:val="000000" w:themeColor="text1"/>
          <w:szCs w:val="24"/>
        </w:rPr>
        <w:t>, 19(3), pp. 386-405.</w:t>
      </w:r>
    </w:p>
    <w:p w14:paraId="07DD86D1" w14:textId="77777777" w:rsidR="0046539C" w:rsidRPr="00890AC1" w:rsidRDefault="0046539C" w:rsidP="0046539C">
      <w:pPr>
        <w:ind w:left="720" w:hanging="720"/>
        <w:rPr>
          <w:rFonts w:cs="Times New Roman"/>
          <w:color w:val="000000" w:themeColor="text1"/>
          <w:szCs w:val="24"/>
        </w:rPr>
      </w:pPr>
      <w:r w:rsidRPr="00890AC1">
        <w:rPr>
          <w:rFonts w:cs="Times New Roman"/>
          <w:color w:val="000000" w:themeColor="text1"/>
          <w:szCs w:val="24"/>
        </w:rPr>
        <w:t>Sageder, M. and Feldbauer-Durstmüller, B. (2019) 'Management control in family firms: A systematic review', </w:t>
      </w:r>
      <w:r w:rsidRPr="00890AC1">
        <w:rPr>
          <w:rStyle w:val="Emphasis"/>
          <w:rFonts w:cs="Times New Roman"/>
          <w:color w:val="000000" w:themeColor="text1"/>
          <w:szCs w:val="24"/>
        </w:rPr>
        <w:t>Journal of Small Business Management</w:t>
      </w:r>
      <w:r w:rsidRPr="00890AC1">
        <w:rPr>
          <w:rFonts w:cs="Times New Roman"/>
          <w:color w:val="000000" w:themeColor="text1"/>
          <w:szCs w:val="24"/>
        </w:rPr>
        <w:t>, 57(3), pp. 1026-1049.</w:t>
      </w:r>
    </w:p>
    <w:p w14:paraId="44C42F1A" w14:textId="77777777" w:rsidR="0046539C" w:rsidRPr="00890AC1" w:rsidRDefault="0046539C" w:rsidP="0046539C">
      <w:pPr>
        <w:ind w:left="720" w:hanging="720"/>
        <w:rPr>
          <w:rFonts w:cs="Times New Roman"/>
          <w:color w:val="000000" w:themeColor="text1"/>
          <w:szCs w:val="24"/>
        </w:rPr>
      </w:pPr>
      <w:r w:rsidRPr="00890AC1">
        <w:rPr>
          <w:rFonts w:cs="Times New Roman"/>
          <w:color w:val="000000" w:themeColor="text1"/>
          <w:szCs w:val="24"/>
        </w:rPr>
        <w:t>Schaltegger, S., Burritt, R.L. and Christ, K.L. (2017) 'Environmental management accounting: Current state and future prospects', </w:t>
      </w:r>
      <w:r w:rsidRPr="00890AC1">
        <w:rPr>
          <w:rStyle w:val="Emphasis"/>
          <w:rFonts w:cs="Times New Roman"/>
          <w:color w:val="000000" w:themeColor="text1"/>
          <w:szCs w:val="24"/>
        </w:rPr>
        <w:t>Journal of Management Control</w:t>
      </w:r>
      <w:r w:rsidRPr="00890AC1">
        <w:rPr>
          <w:rFonts w:cs="Times New Roman"/>
          <w:color w:val="000000" w:themeColor="text1"/>
          <w:szCs w:val="24"/>
        </w:rPr>
        <w:t>, 28(1), pp. 1-7.</w:t>
      </w:r>
    </w:p>
    <w:p w14:paraId="3005E0F2" w14:textId="77777777" w:rsidR="0046539C" w:rsidRPr="00890AC1" w:rsidRDefault="0046539C" w:rsidP="0046539C">
      <w:pPr>
        <w:ind w:left="720" w:hanging="720"/>
        <w:rPr>
          <w:rFonts w:cs="Times New Roman"/>
          <w:color w:val="000000" w:themeColor="text1"/>
          <w:szCs w:val="24"/>
        </w:rPr>
      </w:pPr>
      <w:r w:rsidRPr="00890AC1">
        <w:rPr>
          <w:rFonts w:cs="Times New Roman"/>
          <w:color w:val="000000" w:themeColor="text1"/>
          <w:szCs w:val="24"/>
        </w:rPr>
        <w:t>Stein, M.J. (2020) 'Ethical dimensions of management accounting and control', </w:t>
      </w:r>
      <w:r w:rsidRPr="00890AC1">
        <w:rPr>
          <w:rStyle w:val="Emphasis"/>
          <w:rFonts w:cs="Times New Roman"/>
          <w:color w:val="000000" w:themeColor="text1"/>
          <w:szCs w:val="24"/>
        </w:rPr>
        <w:t>Critical Perspectives on Accounting</w:t>
      </w:r>
      <w:r w:rsidRPr="00890AC1">
        <w:rPr>
          <w:rFonts w:cs="Times New Roman"/>
          <w:color w:val="000000" w:themeColor="text1"/>
          <w:szCs w:val="24"/>
        </w:rPr>
        <w:t>, 67-68, 102081.</w:t>
      </w:r>
    </w:p>
    <w:p w14:paraId="13C920CE" w14:textId="1EA394BC" w:rsidR="0046539C" w:rsidRPr="00890AC1" w:rsidRDefault="0046539C" w:rsidP="0046539C">
      <w:pPr>
        <w:ind w:left="720" w:hanging="720"/>
        <w:rPr>
          <w:rFonts w:cs="Times New Roman"/>
          <w:color w:val="000000" w:themeColor="text1"/>
          <w:szCs w:val="24"/>
        </w:rPr>
      </w:pPr>
      <w:r w:rsidRPr="00890AC1">
        <w:rPr>
          <w:rFonts w:cs="Times New Roman"/>
          <w:color w:val="000000" w:themeColor="text1"/>
          <w:szCs w:val="24"/>
        </w:rPr>
        <w:t>van der Stede, W.A. (2024) 'Management accounting and control systems: A contemporary perspective', </w:t>
      </w:r>
      <w:r w:rsidRPr="00890AC1">
        <w:rPr>
          <w:rStyle w:val="Emphasis"/>
          <w:rFonts w:cs="Times New Roman"/>
          <w:color w:val="000000" w:themeColor="text1"/>
          <w:szCs w:val="24"/>
        </w:rPr>
        <w:t>Journal of Management Accounting Research</w:t>
      </w:r>
      <w:r w:rsidRPr="00890AC1">
        <w:rPr>
          <w:rFonts w:cs="Times New Roman"/>
          <w:color w:val="000000" w:themeColor="text1"/>
          <w:szCs w:val="24"/>
        </w:rPr>
        <w:t>, 36(1), pp. 1-18.</w:t>
      </w:r>
    </w:p>
    <w:sectPr w:rsidR="0046539C" w:rsidRPr="00890AC1" w:rsidSect="00890AC1">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70DC4" w14:textId="77777777" w:rsidR="00C65620" w:rsidRDefault="00C65620" w:rsidP="008C6A66">
      <w:pPr>
        <w:spacing w:after="0" w:line="240" w:lineRule="auto"/>
      </w:pPr>
      <w:r>
        <w:separator/>
      </w:r>
    </w:p>
  </w:endnote>
  <w:endnote w:type="continuationSeparator" w:id="0">
    <w:p w14:paraId="454FD9F7" w14:textId="77777777" w:rsidR="00C65620" w:rsidRDefault="00C65620" w:rsidP="008C6A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2A8B4" w14:textId="77777777" w:rsidR="008C6A66" w:rsidRDefault="008C6A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DBAA3" w14:textId="77777777" w:rsidR="008C6A66" w:rsidRDefault="008C6A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AC6CF" w14:textId="77777777" w:rsidR="008C6A66" w:rsidRDefault="008C6A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72345" w14:textId="77777777" w:rsidR="00C65620" w:rsidRDefault="00C65620" w:rsidP="008C6A66">
      <w:pPr>
        <w:spacing w:after="0" w:line="240" w:lineRule="auto"/>
      </w:pPr>
      <w:r>
        <w:separator/>
      </w:r>
    </w:p>
  </w:footnote>
  <w:footnote w:type="continuationSeparator" w:id="0">
    <w:p w14:paraId="18626726" w14:textId="77777777" w:rsidR="00C65620" w:rsidRDefault="00C65620" w:rsidP="008C6A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30331" w14:textId="77777777" w:rsidR="008C6A66" w:rsidRDefault="008C6A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CB379" w14:textId="77777777" w:rsidR="008C6A66" w:rsidRDefault="008C6A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9D57C" w14:textId="77777777" w:rsidR="008C6A66" w:rsidRDefault="008C6A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90B1D"/>
    <w:multiLevelType w:val="hybridMultilevel"/>
    <w:tmpl w:val="EEEA0C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F151E1"/>
    <w:multiLevelType w:val="hybridMultilevel"/>
    <w:tmpl w:val="D48EF1F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4717467">
    <w:abstractNumId w:val="1"/>
  </w:num>
  <w:num w:numId="2" w16cid:durableId="600335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C6F98"/>
    <w:rsid w:val="001216F4"/>
    <w:rsid w:val="0046539C"/>
    <w:rsid w:val="004957A7"/>
    <w:rsid w:val="004E12C6"/>
    <w:rsid w:val="0056453A"/>
    <w:rsid w:val="00686C82"/>
    <w:rsid w:val="00690060"/>
    <w:rsid w:val="006B7919"/>
    <w:rsid w:val="00753110"/>
    <w:rsid w:val="00854B7A"/>
    <w:rsid w:val="00864E9C"/>
    <w:rsid w:val="00890AC1"/>
    <w:rsid w:val="008C6A66"/>
    <w:rsid w:val="00912AA6"/>
    <w:rsid w:val="009A410A"/>
    <w:rsid w:val="00C65620"/>
    <w:rsid w:val="00CC6F98"/>
    <w:rsid w:val="00EE113D"/>
    <w:rsid w:val="00EE38BF"/>
    <w:rsid w:val="00F41F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802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FCF"/>
    <w:pPr>
      <w:spacing w:line="360" w:lineRule="auto"/>
      <w:jc w:val="both"/>
    </w:pPr>
    <w:rPr>
      <w:rFonts w:ascii="Times New Roman" w:hAnsi="Times New Roman" w:cs="Calibri"/>
      <w:color w:val="000000"/>
      <w:sz w:val="24"/>
      <w:lang w:val="en-GB" w:eastAsia="en-GB"/>
    </w:rPr>
  </w:style>
  <w:style w:type="paragraph" w:styleId="Heading1">
    <w:name w:val="heading 1"/>
    <w:basedOn w:val="Normal"/>
    <w:next w:val="Normal"/>
    <w:link w:val="Heading1Char"/>
    <w:uiPriority w:val="9"/>
    <w:qFormat/>
    <w:rsid w:val="00690060"/>
    <w:pPr>
      <w:keepNext/>
      <w:keepLines/>
      <w:spacing w:before="240" w:after="0" w:line="240" w:lineRule="auto"/>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690060"/>
    <w:pPr>
      <w:keepNext/>
      <w:keepLines/>
      <w:spacing w:before="40" w:after="0" w:line="240" w:lineRule="auto"/>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753110"/>
    <w:pPr>
      <w:keepNext/>
      <w:keepLines/>
      <w:spacing w:before="40" w:after="0" w:line="240" w:lineRule="auto"/>
      <w:outlineLvl w:val="2"/>
    </w:pPr>
    <w:rPr>
      <w:rFonts w:eastAsiaTheme="majorEastAsia" w:cstheme="majorBidi"/>
      <w:b/>
      <w: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060"/>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semiHidden/>
    <w:rsid w:val="00690060"/>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semiHidden/>
    <w:rsid w:val="00753110"/>
    <w:rPr>
      <w:rFonts w:ascii="Times New Roman" w:eastAsiaTheme="majorEastAsia" w:hAnsi="Times New Roman" w:cstheme="majorBidi"/>
      <w:b/>
      <w:i/>
      <w:color w:val="1F3763" w:themeColor="accent1" w:themeShade="7F"/>
      <w:sz w:val="24"/>
      <w:szCs w:val="24"/>
    </w:rPr>
  </w:style>
  <w:style w:type="paragraph" w:styleId="ListParagraph">
    <w:name w:val="List Paragraph"/>
    <w:basedOn w:val="Normal"/>
    <w:uiPriority w:val="34"/>
    <w:qFormat/>
    <w:rsid w:val="00854B7A"/>
    <w:pPr>
      <w:ind w:left="720"/>
      <w:contextualSpacing/>
    </w:pPr>
  </w:style>
  <w:style w:type="paragraph" w:customStyle="1" w:styleId="ds-markdown-paragraph">
    <w:name w:val="ds-markdown-paragraph"/>
    <w:basedOn w:val="Normal"/>
    <w:rsid w:val="0046539C"/>
    <w:pPr>
      <w:spacing w:before="100" w:beforeAutospacing="1" w:after="100" w:afterAutospacing="1" w:line="240" w:lineRule="auto"/>
      <w:jc w:val="left"/>
    </w:pPr>
    <w:rPr>
      <w:rFonts w:eastAsia="Times New Roman" w:cs="Times New Roman"/>
      <w:color w:val="auto"/>
      <w:szCs w:val="24"/>
      <w:lang w:val="en-US" w:eastAsia="en-US"/>
    </w:rPr>
  </w:style>
  <w:style w:type="character" w:styleId="Emphasis">
    <w:name w:val="Emphasis"/>
    <w:basedOn w:val="DefaultParagraphFont"/>
    <w:uiPriority w:val="20"/>
    <w:qFormat/>
    <w:rsid w:val="0046539C"/>
    <w:rPr>
      <w:i/>
      <w:iCs/>
    </w:rPr>
  </w:style>
  <w:style w:type="character" w:styleId="Strong">
    <w:name w:val="Strong"/>
    <w:basedOn w:val="DefaultParagraphFont"/>
    <w:uiPriority w:val="22"/>
    <w:qFormat/>
    <w:rsid w:val="00890AC1"/>
    <w:rPr>
      <w:b/>
      <w:bCs/>
    </w:rPr>
  </w:style>
  <w:style w:type="paragraph" w:styleId="Header">
    <w:name w:val="header"/>
    <w:basedOn w:val="Normal"/>
    <w:link w:val="HeaderChar"/>
    <w:uiPriority w:val="99"/>
    <w:unhideWhenUsed/>
    <w:rsid w:val="008C6A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6A66"/>
    <w:rPr>
      <w:rFonts w:ascii="Times New Roman" w:hAnsi="Times New Roman" w:cs="Calibri"/>
      <w:color w:val="000000"/>
      <w:sz w:val="24"/>
      <w:lang w:val="en-GB" w:eastAsia="en-GB"/>
    </w:rPr>
  </w:style>
  <w:style w:type="paragraph" w:styleId="Footer">
    <w:name w:val="footer"/>
    <w:basedOn w:val="Normal"/>
    <w:link w:val="FooterChar"/>
    <w:uiPriority w:val="99"/>
    <w:unhideWhenUsed/>
    <w:rsid w:val="008C6A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6A66"/>
    <w:rPr>
      <w:rFonts w:ascii="Times New Roman" w:hAnsi="Times New Roman" w:cs="Calibri"/>
      <w:color w:val="000000"/>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7928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2851</Words>
  <Characters>16257</Characters>
  <Application>Microsoft Office Word</Application>
  <DocSecurity>0</DocSecurity>
  <Lines>135</Lines>
  <Paragraphs>38</Paragraphs>
  <ScaleCrop>false</ScaleCrop>
  <LinksUpToDate>false</LinksUpToDate>
  <CharactersWithSpaces>19070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2026-02-27T07:32:00Z</dcterms:created>
  <dcterms:modified xsi:type="dcterms:W3CDTF">2026-02-28T14:22:00Z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070e4b94-d5d1-4417-b9e6-d350425af727</vt:lpwstr>
  </property>
</Properties>
</file>