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CFD87" w14:textId="77777777" w:rsidR="00F378DA" w:rsidRDefault="00F378DA" w:rsidP="00F378DA">
      <w:pPr>
        <w:pStyle w:val="Normal1"/>
        <w:spacing w:line="360" w:lineRule="auto"/>
        <w:jc w:val="right"/>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lang w:val="en-US"/>
        </w:rPr>
        <w:drawing>
          <wp:inline distT="114300" distB="114300" distL="114300" distR="114300" wp14:anchorId="3A07137A" wp14:editId="3C831047">
            <wp:extent cx="2609850" cy="1019175"/>
            <wp:effectExtent l="0" t="0" r="0" b="0"/>
            <wp:docPr id="1" name="image1.png" descr="A close-up of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up of black text&#10;&#10;Description automatically generated"/>
                    <pic:cNvPicPr preferRelativeResize="0"/>
                  </pic:nvPicPr>
                  <pic:blipFill>
                    <a:blip r:embed="rId4"/>
                    <a:srcRect/>
                    <a:stretch>
                      <a:fillRect/>
                    </a:stretch>
                  </pic:blipFill>
                  <pic:spPr>
                    <a:xfrm>
                      <a:off x="0" y="0"/>
                      <a:ext cx="2609850" cy="1019175"/>
                    </a:xfrm>
                    <a:prstGeom prst="rect">
                      <a:avLst/>
                    </a:prstGeom>
                    <a:ln/>
                  </pic:spPr>
                </pic:pic>
              </a:graphicData>
            </a:graphic>
          </wp:inline>
        </w:drawing>
      </w:r>
    </w:p>
    <w:p w14:paraId="35B6EAED" w14:textId="77777777" w:rsidR="00F378DA" w:rsidRDefault="00F378DA" w:rsidP="00F378DA">
      <w:pPr>
        <w:pStyle w:val="Normal1"/>
        <w:spacing w:line="360" w:lineRule="auto"/>
        <w:jc w:val="right"/>
        <w:rPr>
          <w:rFonts w:ascii="Times New Roman" w:eastAsia="Times New Roman" w:hAnsi="Times New Roman" w:cs="Times New Roman"/>
          <w:b/>
          <w:sz w:val="32"/>
          <w:szCs w:val="32"/>
        </w:rPr>
      </w:pPr>
    </w:p>
    <w:p w14:paraId="455F597E" w14:textId="77777777" w:rsidR="00F378DA" w:rsidRDefault="00F378DA" w:rsidP="00F378DA">
      <w:pPr>
        <w:pStyle w:val="Normal1"/>
        <w:spacing w:line="360" w:lineRule="auto"/>
        <w:jc w:val="center"/>
        <w:rPr>
          <w:rFonts w:ascii="Times New Roman" w:eastAsia="Times New Roman" w:hAnsi="Times New Roman" w:cs="Times New Roman"/>
          <w:b/>
          <w:sz w:val="32"/>
          <w:szCs w:val="32"/>
        </w:rPr>
      </w:pPr>
    </w:p>
    <w:p w14:paraId="75F916FA" w14:textId="77777777" w:rsidR="00F378DA" w:rsidRDefault="00F378DA" w:rsidP="00F378DA">
      <w:pPr>
        <w:pStyle w:val="Normal1"/>
        <w:spacing w:line="360" w:lineRule="auto"/>
        <w:jc w:val="center"/>
        <w:rPr>
          <w:rFonts w:ascii="Times New Roman" w:eastAsia="Times New Roman" w:hAnsi="Times New Roman" w:cs="Times New Roman"/>
          <w:b/>
          <w:sz w:val="32"/>
          <w:szCs w:val="32"/>
        </w:rPr>
      </w:pPr>
    </w:p>
    <w:p w14:paraId="6FF37DB6" w14:textId="77777777" w:rsidR="00F378DA" w:rsidRDefault="00F378DA" w:rsidP="00F378DA">
      <w:pPr>
        <w:pStyle w:val="Normal1"/>
        <w:spacing w:line="360" w:lineRule="auto"/>
        <w:jc w:val="center"/>
        <w:rPr>
          <w:rFonts w:ascii="Times New Roman" w:eastAsia="Times New Roman" w:hAnsi="Times New Roman" w:cs="Times New Roman"/>
          <w:b/>
          <w:sz w:val="32"/>
          <w:szCs w:val="32"/>
        </w:rPr>
      </w:pPr>
    </w:p>
    <w:p w14:paraId="6B2AA9EC" w14:textId="77777777" w:rsidR="00F378DA" w:rsidRDefault="00F378DA" w:rsidP="00F378D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 BUSINESS MANAGEMENT (LEVEL 5) - LCBB5005 PROJECT MANAGEMENT - COMPONENT 1: ESSAY - PROJECT PLAN</w:t>
      </w:r>
    </w:p>
    <w:p w14:paraId="5EC5B7D9" w14:textId="77777777" w:rsidR="00F378DA" w:rsidRDefault="00F378DA" w:rsidP="00F378DA">
      <w:pPr>
        <w:pStyle w:val="Normal1"/>
        <w:spacing w:line="360" w:lineRule="auto"/>
        <w:jc w:val="center"/>
        <w:rPr>
          <w:rFonts w:ascii="Times New Roman" w:eastAsia="Times New Roman" w:hAnsi="Times New Roman" w:cs="Times New Roman"/>
          <w:b/>
          <w:sz w:val="32"/>
          <w:szCs w:val="32"/>
        </w:rPr>
      </w:pPr>
    </w:p>
    <w:p w14:paraId="622AD613"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2063735E"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224D962C"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1586D23B"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703BD668"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429D3DBB"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255602C8"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 Laura-</w:t>
      </w:r>
      <w:proofErr w:type="spellStart"/>
      <w:r>
        <w:rPr>
          <w:rFonts w:ascii="Times New Roman" w:eastAsia="Times New Roman" w:hAnsi="Times New Roman" w:cs="Times New Roman"/>
          <w:b/>
          <w:sz w:val="28"/>
          <w:szCs w:val="28"/>
        </w:rPr>
        <w:t>Andreea</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Doru</w:t>
      </w:r>
      <w:proofErr w:type="spellEnd"/>
      <w:r>
        <w:rPr>
          <w:rFonts w:ascii="Times New Roman" w:eastAsia="Times New Roman" w:hAnsi="Times New Roman" w:cs="Times New Roman"/>
          <w:b/>
          <w:sz w:val="28"/>
          <w:szCs w:val="28"/>
        </w:rPr>
        <w:t xml:space="preserve"> </w:t>
      </w:r>
    </w:p>
    <w:p w14:paraId="6FB56FF2"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ID: 2125338</w:t>
      </w:r>
    </w:p>
    <w:p w14:paraId="1E948716" w14:textId="77777777" w:rsidR="00F378DA" w:rsidRDefault="00F378DA" w:rsidP="00F378DA">
      <w:pPr>
        <w:pStyle w:val="Normal1"/>
        <w:spacing w:line="360" w:lineRule="auto"/>
        <w:jc w:val="right"/>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Lecturer(s): </w:t>
      </w:r>
      <w:r w:rsidRPr="00D221B2">
        <w:rPr>
          <w:rFonts w:ascii="Times New Roman" w:eastAsia="Times New Roman" w:hAnsi="Times New Roman" w:cs="Times New Roman"/>
          <w:b/>
          <w:bCs/>
          <w:sz w:val="28"/>
          <w:szCs w:val="28"/>
        </w:rPr>
        <w:t>Anupam Mazumdar</w:t>
      </w:r>
    </w:p>
    <w:p w14:paraId="430F0752"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p>
    <w:p w14:paraId="3298B4B3" w14:textId="77777777" w:rsidR="00F378DA" w:rsidRDefault="00F378DA" w:rsidP="00F378DA">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b w:val="0"/>
          <w:bCs w:val="0"/>
          <w:color w:val="auto"/>
          <w:sz w:val="22"/>
          <w:szCs w:val="22"/>
          <w:lang w:val="en-GB" w:bidi="bn-IN"/>
        </w:rPr>
        <w:id w:val="2297695"/>
        <w:docPartObj>
          <w:docPartGallery w:val="Table of Contents"/>
          <w:docPartUnique/>
        </w:docPartObj>
      </w:sdtPr>
      <w:sdtContent>
        <w:p w14:paraId="2758FDB0" w14:textId="77777777" w:rsidR="00F378DA" w:rsidRPr="009D67EA" w:rsidRDefault="00F378DA" w:rsidP="00F378DA">
          <w:pPr>
            <w:pStyle w:val="TOCHeading"/>
            <w:spacing w:line="360" w:lineRule="auto"/>
            <w:jc w:val="center"/>
            <w:rPr>
              <w:rFonts w:ascii="Times New Roman" w:hAnsi="Times New Roman" w:cs="Times New Roman"/>
              <w:color w:val="auto"/>
              <w:sz w:val="24"/>
              <w:szCs w:val="24"/>
            </w:rPr>
          </w:pPr>
          <w:r w:rsidRPr="009D67EA">
            <w:rPr>
              <w:rFonts w:ascii="Times New Roman" w:hAnsi="Times New Roman" w:cs="Times New Roman"/>
              <w:color w:val="auto"/>
              <w:sz w:val="24"/>
              <w:szCs w:val="24"/>
            </w:rPr>
            <w:t>Table of Contents</w:t>
          </w:r>
        </w:p>
        <w:p w14:paraId="1C09076E"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r w:rsidRPr="009D67EA">
            <w:rPr>
              <w:rFonts w:ascii="Times New Roman" w:hAnsi="Times New Roman" w:cs="Times New Roman"/>
              <w:sz w:val="24"/>
              <w:szCs w:val="24"/>
            </w:rPr>
            <w:fldChar w:fldCharType="begin"/>
          </w:r>
          <w:r w:rsidRPr="009D67EA">
            <w:rPr>
              <w:rFonts w:ascii="Times New Roman" w:hAnsi="Times New Roman" w:cs="Times New Roman"/>
              <w:sz w:val="24"/>
              <w:szCs w:val="24"/>
            </w:rPr>
            <w:instrText xml:space="preserve"> TOC \o "1-3" \h \z \u </w:instrText>
          </w:r>
          <w:r w:rsidRPr="009D67EA">
            <w:rPr>
              <w:rFonts w:ascii="Times New Roman" w:hAnsi="Times New Roman" w:cs="Times New Roman"/>
              <w:sz w:val="24"/>
              <w:szCs w:val="24"/>
            </w:rPr>
            <w:fldChar w:fldCharType="separate"/>
          </w:r>
          <w:hyperlink w:anchor="_Toc152252196" w:history="1">
            <w:r w:rsidRPr="009D67EA">
              <w:rPr>
                <w:rStyle w:val="Hyperlink"/>
                <w:rFonts w:ascii="Times New Roman" w:hAnsi="Times New Roman" w:cs="Times New Roman"/>
                <w:noProof/>
                <w:sz w:val="24"/>
                <w:szCs w:val="24"/>
              </w:rPr>
              <w:t>Introduction</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_Toc152252196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3</w:t>
            </w:r>
            <w:r w:rsidRPr="009D67EA">
              <w:rPr>
                <w:rFonts w:ascii="Times New Roman" w:hAnsi="Times New Roman" w:cs="Times New Roman"/>
                <w:noProof/>
                <w:webHidden/>
                <w:sz w:val="24"/>
                <w:szCs w:val="24"/>
              </w:rPr>
              <w:fldChar w:fldCharType="end"/>
            </w:r>
          </w:hyperlink>
        </w:p>
        <w:p w14:paraId="216ECD2C"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197" w:history="1">
            <w:r w:rsidRPr="009D67EA">
              <w:rPr>
                <w:rStyle w:val="Hyperlink"/>
                <w:rFonts w:ascii="Times New Roman" w:hAnsi="Times New Roman" w:cs="Times New Roman"/>
                <w:noProof/>
                <w:sz w:val="24"/>
                <w:szCs w:val="24"/>
              </w:rPr>
              <w:t>Budget</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_Toc152252197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3</w:t>
            </w:r>
            <w:r w:rsidRPr="009D67EA">
              <w:rPr>
                <w:rFonts w:ascii="Times New Roman" w:hAnsi="Times New Roman" w:cs="Times New Roman"/>
                <w:noProof/>
                <w:webHidden/>
                <w:sz w:val="24"/>
                <w:szCs w:val="24"/>
              </w:rPr>
              <w:fldChar w:fldCharType="end"/>
            </w:r>
          </w:hyperlink>
        </w:p>
        <w:p w14:paraId="32C1CC07"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198" w:history="1">
            <w:r w:rsidRPr="009D67EA">
              <w:rPr>
                <w:rStyle w:val="Hyperlink"/>
                <w:rFonts w:ascii="Times New Roman" w:hAnsi="Times New Roman" w:cs="Times New Roman"/>
                <w:noProof/>
                <w:sz w:val="24"/>
                <w:szCs w:val="24"/>
              </w:rPr>
              <w:t>Time</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_Toc152252198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4</w:t>
            </w:r>
            <w:r w:rsidRPr="009D67EA">
              <w:rPr>
                <w:rFonts w:ascii="Times New Roman" w:hAnsi="Times New Roman" w:cs="Times New Roman"/>
                <w:noProof/>
                <w:webHidden/>
                <w:sz w:val="24"/>
                <w:szCs w:val="24"/>
              </w:rPr>
              <w:fldChar w:fldCharType="end"/>
            </w:r>
          </w:hyperlink>
        </w:p>
        <w:p w14:paraId="4FBD077A"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199" w:history="1">
            <w:r w:rsidRPr="009D67EA">
              <w:rPr>
                <w:rStyle w:val="Hyperlink"/>
                <w:rFonts w:ascii="Times New Roman" w:hAnsi="Times New Roman" w:cs="Times New Roman"/>
                <w:noProof/>
                <w:sz w:val="24"/>
                <w:szCs w:val="24"/>
              </w:rPr>
              <w:t>Quality Stakeholders</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_Toc152252199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5</w:t>
            </w:r>
            <w:r w:rsidRPr="009D67EA">
              <w:rPr>
                <w:rFonts w:ascii="Times New Roman" w:hAnsi="Times New Roman" w:cs="Times New Roman"/>
                <w:noProof/>
                <w:webHidden/>
                <w:sz w:val="24"/>
                <w:szCs w:val="24"/>
              </w:rPr>
              <w:fldChar w:fldCharType="end"/>
            </w:r>
          </w:hyperlink>
        </w:p>
        <w:p w14:paraId="21D4B27B"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200" w:history="1">
            <w:r w:rsidRPr="009D67EA">
              <w:rPr>
                <w:rStyle w:val="Hyperlink"/>
                <w:rFonts w:ascii="Times New Roman" w:hAnsi="Times New Roman" w:cs="Times New Roman"/>
                <w:noProof/>
                <w:sz w:val="24"/>
                <w:szCs w:val="24"/>
              </w:rPr>
              <w:t>Risk Factors</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_Toc152252200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6</w:t>
            </w:r>
            <w:r w:rsidRPr="009D67EA">
              <w:rPr>
                <w:rFonts w:ascii="Times New Roman" w:hAnsi="Times New Roman" w:cs="Times New Roman"/>
                <w:noProof/>
                <w:webHidden/>
                <w:sz w:val="24"/>
                <w:szCs w:val="24"/>
              </w:rPr>
              <w:fldChar w:fldCharType="end"/>
            </w:r>
          </w:hyperlink>
        </w:p>
        <w:p w14:paraId="77CFE662"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201" w:history="1">
            <w:r w:rsidRPr="009D67EA">
              <w:rPr>
                <w:rStyle w:val="Hyperlink"/>
                <w:rFonts w:ascii="Times New Roman" w:hAnsi="Times New Roman" w:cs="Times New Roman"/>
                <w:noProof/>
                <w:sz w:val="24"/>
                <w:szCs w:val="24"/>
              </w:rPr>
              <w:t>Project Plan Evaluation</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_Toc152252201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12</w:t>
            </w:r>
            <w:r w:rsidRPr="009D67EA">
              <w:rPr>
                <w:rFonts w:ascii="Times New Roman" w:hAnsi="Times New Roman" w:cs="Times New Roman"/>
                <w:noProof/>
                <w:webHidden/>
                <w:sz w:val="24"/>
                <w:szCs w:val="24"/>
              </w:rPr>
              <w:fldChar w:fldCharType="end"/>
            </w:r>
          </w:hyperlink>
        </w:p>
        <w:p w14:paraId="7DC6254D"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202" w:history="1">
            <w:r w:rsidRPr="009D67EA">
              <w:rPr>
                <w:rStyle w:val="Hyperlink"/>
                <w:rFonts w:ascii="Times New Roman" w:hAnsi="Times New Roman" w:cs="Times New Roman"/>
                <w:noProof/>
                <w:sz w:val="24"/>
                <w:szCs w:val="24"/>
              </w:rPr>
              <w:t>Conclusions</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_Toc152252202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13</w:t>
            </w:r>
            <w:r w:rsidRPr="009D67EA">
              <w:rPr>
                <w:rFonts w:ascii="Times New Roman" w:hAnsi="Times New Roman" w:cs="Times New Roman"/>
                <w:noProof/>
                <w:webHidden/>
                <w:sz w:val="24"/>
                <w:szCs w:val="24"/>
              </w:rPr>
              <w:fldChar w:fldCharType="end"/>
            </w:r>
          </w:hyperlink>
        </w:p>
        <w:p w14:paraId="3591E3CC" w14:textId="77777777" w:rsidR="00F378DA" w:rsidRPr="009D67EA" w:rsidRDefault="00F378DA" w:rsidP="00F378DA">
          <w:pPr>
            <w:pStyle w:val="TOC1"/>
            <w:tabs>
              <w:tab w:val="right" w:leader="dot" w:pos="9350"/>
            </w:tabs>
            <w:spacing w:line="360" w:lineRule="auto"/>
            <w:jc w:val="both"/>
            <w:rPr>
              <w:rFonts w:ascii="Times New Roman" w:hAnsi="Times New Roman" w:cs="Times New Roman"/>
              <w:noProof/>
              <w:sz w:val="24"/>
              <w:szCs w:val="24"/>
            </w:rPr>
          </w:pPr>
          <w:hyperlink w:anchor="_Toc152252203" w:history="1">
            <w:r w:rsidRPr="009D67EA">
              <w:rPr>
                <w:rStyle w:val="Hyperlink"/>
                <w:rFonts w:ascii="Times New Roman" w:hAnsi="Times New Roman" w:cs="Times New Roman"/>
                <w:noProof/>
                <w:sz w:val="24"/>
                <w:szCs w:val="24"/>
              </w:rPr>
              <w:t>References</w:t>
            </w:r>
            <w:r w:rsidRPr="009D67EA">
              <w:rPr>
                <w:rFonts w:ascii="Times New Roman" w:hAnsi="Times New Roman" w:cs="Times New Roman"/>
                <w:noProof/>
                <w:webHidden/>
                <w:sz w:val="24"/>
                <w:szCs w:val="24"/>
              </w:rPr>
              <w:tab/>
            </w:r>
            <w:r w:rsidRPr="009D67EA">
              <w:rPr>
                <w:rFonts w:ascii="Times New Roman" w:hAnsi="Times New Roman" w:cs="Times New Roman"/>
                <w:noProof/>
                <w:webHidden/>
                <w:sz w:val="24"/>
                <w:szCs w:val="24"/>
              </w:rPr>
              <w:fldChar w:fldCharType="begin"/>
            </w:r>
            <w:r w:rsidRPr="009D67EA">
              <w:rPr>
                <w:rFonts w:ascii="Times New Roman" w:hAnsi="Times New Roman" w:cs="Times New Roman"/>
                <w:noProof/>
                <w:webHidden/>
                <w:sz w:val="24"/>
                <w:szCs w:val="24"/>
              </w:rPr>
              <w:instrText xml:space="preserve"> PAGEREF _Toc152252203 \h </w:instrText>
            </w:r>
            <w:r w:rsidRPr="009D67EA">
              <w:rPr>
                <w:rFonts w:ascii="Times New Roman" w:hAnsi="Times New Roman" w:cs="Times New Roman"/>
                <w:noProof/>
                <w:webHidden/>
                <w:sz w:val="24"/>
                <w:szCs w:val="24"/>
              </w:rPr>
            </w:r>
            <w:r w:rsidRPr="009D67EA">
              <w:rPr>
                <w:rFonts w:ascii="Times New Roman" w:hAnsi="Times New Roman" w:cs="Times New Roman"/>
                <w:noProof/>
                <w:webHidden/>
                <w:sz w:val="24"/>
                <w:szCs w:val="24"/>
              </w:rPr>
              <w:fldChar w:fldCharType="separate"/>
            </w:r>
            <w:r w:rsidRPr="009D67EA">
              <w:rPr>
                <w:rFonts w:ascii="Times New Roman" w:hAnsi="Times New Roman" w:cs="Times New Roman"/>
                <w:noProof/>
                <w:webHidden/>
                <w:sz w:val="24"/>
                <w:szCs w:val="24"/>
              </w:rPr>
              <w:t>15</w:t>
            </w:r>
            <w:r w:rsidRPr="009D67EA">
              <w:rPr>
                <w:rFonts w:ascii="Times New Roman" w:hAnsi="Times New Roman" w:cs="Times New Roman"/>
                <w:noProof/>
                <w:webHidden/>
                <w:sz w:val="24"/>
                <w:szCs w:val="24"/>
              </w:rPr>
              <w:fldChar w:fldCharType="end"/>
            </w:r>
          </w:hyperlink>
        </w:p>
        <w:p w14:paraId="38DCE772" w14:textId="77777777" w:rsidR="00F378DA" w:rsidRDefault="00F378DA" w:rsidP="00F378DA">
          <w:pPr>
            <w:spacing w:line="360" w:lineRule="auto"/>
            <w:jc w:val="both"/>
          </w:pPr>
          <w:r w:rsidRPr="009D67EA">
            <w:rPr>
              <w:rFonts w:ascii="Times New Roman" w:hAnsi="Times New Roman" w:cs="Times New Roman"/>
              <w:sz w:val="24"/>
              <w:szCs w:val="24"/>
            </w:rPr>
            <w:fldChar w:fldCharType="end"/>
          </w:r>
        </w:p>
      </w:sdtContent>
    </w:sdt>
    <w:p w14:paraId="0DA7CE31" w14:textId="77777777" w:rsidR="00F378DA" w:rsidRDefault="00F378DA" w:rsidP="00F378DA">
      <w:pPr>
        <w:pStyle w:val="Normal1"/>
        <w:spacing w:line="360" w:lineRule="auto"/>
        <w:jc w:val="right"/>
        <w:rPr>
          <w:rFonts w:ascii="Times New Roman" w:eastAsia="Times New Roman" w:hAnsi="Times New Roman" w:cs="Times New Roman"/>
          <w:b/>
          <w:sz w:val="28"/>
          <w:szCs w:val="28"/>
        </w:rPr>
      </w:pPr>
      <w:r>
        <w:br w:type="page"/>
      </w:r>
    </w:p>
    <w:p w14:paraId="799DF61A" w14:textId="77777777" w:rsidR="00F378DA" w:rsidRDefault="00F378DA" w:rsidP="00F378DA">
      <w:pPr>
        <w:pStyle w:val="Heading1"/>
      </w:pPr>
      <w:bookmarkStart w:id="0" w:name="_Toc152252196"/>
      <w:r>
        <w:lastRenderedPageBreak/>
        <w:t>Introduction</w:t>
      </w:r>
      <w:bookmarkEnd w:id="0"/>
      <w:r>
        <w:t xml:space="preserve"> </w:t>
      </w:r>
    </w:p>
    <w:p w14:paraId="3BF74E83" w14:textId="3DF47A58"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King's Cross, London, stands as a vital undertaking within the realm of innovative corporate infrastructure and systems. Valued at £1 billion, this project has set to launch its new headquarters, spanning over 60,400 square meters, nurturing a landscape to accommodate up to 4,500 people across its 11 stories building (Gillespies.co.uk, 2023). Equipping enhanced sustainability, the construction has also characterized a rooftop garden designed to cover 300 meters, replete with zones for multiple tasks and activities, which have also reflected Google’s dedication to nurturing such a dynamic workplace. With Bjarke </w:t>
      </w:r>
      <w:r>
        <w:rPr>
          <w:rFonts w:ascii="Times New Roman" w:eastAsia="Times New Roman" w:hAnsi="Times New Roman" w:cs="Times New Roman"/>
          <w:sz w:val="24"/>
          <w:szCs w:val="24"/>
        </w:rPr>
        <w:t>Ingles</w:t>
      </w:r>
      <w:r>
        <w:rPr>
          <w:rFonts w:ascii="Times New Roman" w:eastAsia="Times New Roman" w:hAnsi="Times New Roman" w:cs="Times New Roman"/>
          <w:sz w:val="24"/>
          <w:szCs w:val="24"/>
        </w:rPr>
        <w:t xml:space="preserve"> Group as well as Heatherwick Studio at the architectural helm, this project venture not only redefines office infrastructure but also signifies a major stride within nurturing a knowledge-oriented data and economy in this dynamic King's Cross district. This study has scrutinized and assessed the crucial components of this specific ambitious project, consisting of budget, time, quality, stakeholders, along risk factors, aiming to deliver a comprehensive account of this multifaceted approach. </w:t>
      </w:r>
    </w:p>
    <w:p w14:paraId="198BD63A" w14:textId="77777777" w:rsidR="00F378DA" w:rsidRDefault="00F378DA" w:rsidP="00F378DA">
      <w:pPr>
        <w:pStyle w:val="Heading1"/>
      </w:pPr>
      <w:bookmarkStart w:id="1" w:name="_Toc152252197"/>
      <w:r>
        <w:t>Budget</w:t>
      </w:r>
      <w:bookmarkEnd w:id="1"/>
    </w:p>
    <w:p w14:paraId="24A6325C" w14:textId="545CE5E8"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budget allocation for the Google Headquarters Project in King's Cross, London, demonstrates a colossal economic dedication, standing at an impressive £1bn. This significant investment has also signified the magnitude and ambition of Google's business venture to develop a </w:t>
      </w:r>
      <w:r>
        <w:rPr>
          <w:rFonts w:ascii="Times New Roman" w:eastAsia="Times New Roman" w:hAnsi="Times New Roman" w:cs="Times New Roman"/>
          <w:sz w:val="24"/>
          <w:szCs w:val="24"/>
        </w:rPr>
        <w:t>ground-breaking</w:t>
      </w:r>
      <w:r>
        <w:rPr>
          <w:rFonts w:ascii="Times New Roman" w:eastAsia="Times New Roman" w:hAnsi="Times New Roman" w:cs="Times New Roman"/>
          <w:sz w:val="24"/>
          <w:szCs w:val="24"/>
        </w:rPr>
        <w:t xml:space="preserve">, purpose-built headquarters outside the US. The allocation stage has mainly encompassed multiple facets, such as construction expenditures, architectural design, sustainable characteristics, as well as successful creation of such a pioneering rooftop garden, embracing Google's commitment to technological advancements and employee health with well-being (Gillespie, 2020). </w:t>
      </w:r>
    </w:p>
    <w:p w14:paraId="16E6AB3F" w14:textId="4A026124"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substantial segment of this budget has also been highly attributed to the construction of the headquarters itself, encompassing over 60,400 square meters of prime office space disseminated across 11 stories (Gillespie, 2020). This complex structural design, implementing cutting-edge architectural components from recognized companies such as Bjarke </w:t>
      </w:r>
      <w:r>
        <w:rPr>
          <w:rFonts w:ascii="Times New Roman" w:eastAsia="Times New Roman" w:hAnsi="Times New Roman" w:cs="Times New Roman"/>
          <w:sz w:val="24"/>
          <w:szCs w:val="24"/>
        </w:rPr>
        <w:t>Ingles</w:t>
      </w:r>
      <w:r>
        <w:rPr>
          <w:rFonts w:ascii="Times New Roman" w:eastAsia="Times New Roman" w:hAnsi="Times New Roman" w:cs="Times New Roman"/>
          <w:sz w:val="24"/>
          <w:szCs w:val="24"/>
        </w:rPr>
        <w:t xml:space="preserve"> Group (BIG) and Heatherwick Studio, supports the overall expenditure. In addition to this, the successful integration of Google’s healthy materials campaign, embracing sustainable as well as environment-friendly construction materials, amplifies the budgetary considerations, aligning properly with the organization’s dedication to environmental consciousness (Blackwood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w:t>
      </w:r>
    </w:p>
    <w:p w14:paraId="2A444FBA"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One of the standout characteristics adding towards this economic outlay is the successful creation of an expansive 300-meter-long rooftop garden. This innovative space, divided into multiple zones like open lawns, wooden decking, wild meadows, as well as a specialized running track, necessitates considerable investment in landscaping, installation, and maintenance (Blackwood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This dedication to ensuring a dynamic, nature-inspired landscape for workers has reflected Google’s business ethos of nurturing passion, creativity, health, and well-being, as well as engaged workplace culture. </w:t>
      </w:r>
    </w:p>
    <w:p w14:paraId="19B3631F"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the successful integration of ancillary facilities in the headquarters, such as cafes, a gym, a multi-use games area (MUGA), pool facilities, as well as performance spaces, adds another dimension to the budget. These amenities, aimed at increasing staff work experience and collaboration, need meticulous planning and economic resources to deliver their hassle-free integration within this workspace. The ambitious scope of the project, including architectural technology, sustainability, as well as staff-oriented design, underscores the substantial economic dedication made by Google (Goodman and Powles, 2019). As this project progresses, proper adherence to the allocated cost turns vital, delivering the realization of such a pioneering and functional workplace while ensuring the promise of such an iconic Google headquarters (HQ) in the centre of King's Cross, UK. </w:t>
      </w:r>
    </w:p>
    <w:p w14:paraId="11EE59DB" w14:textId="77777777" w:rsidR="00F378DA" w:rsidRDefault="00F378DA" w:rsidP="00F378DA">
      <w:pPr>
        <w:pStyle w:val="Heading1"/>
      </w:pPr>
      <w:bookmarkStart w:id="2" w:name="_Toc152252198"/>
      <w:r>
        <w:t>Time</w:t>
      </w:r>
      <w:bookmarkEnd w:id="2"/>
    </w:p>
    <w:p w14:paraId="7FF9E5DF" w14:textId="6758D4B9"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temporal aspect of the Google HQ project in King's Cross, UK, equips a meticulous timeframe and strategic planning to carry out this monumental venture to fruition. The project’s schedule has been underpinned by multifaceted aspects that embody multiple construction stages, design intricacies, as well as the implementation of sustainable characteristics, all culminating in the successful creation of such a </w:t>
      </w:r>
      <w:proofErr w:type="spellStart"/>
      <w:r>
        <w:rPr>
          <w:rFonts w:ascii="Times New Roman" w:eastAsia="Times New Roman" w:hAnsi="Times New Roman" w:cs="Times New Roman"/>
          <w:sz w:val="24"/>
          <w:szCs w:val="24"/>
        </w:rPr>
        <w:t>groundbreaking</w:t>
      </w:r>
      <w:proofErr w:type="spellEnd"/>
      <w:r>
        <w:rPr>
          <w:rFonts w:ascii="Times New Roman" w:eastAsia="Times New Roman" w:hAnsi="Times New Roman" w:cs="Times New Roman"/>
          <w:sz w:val="24"/>
          <w:szCs w:val="24"/>
        </w:rPr>
        <w:t xml:space="preserve"> workplace. Started with ambitious aspirations, the project's timeframe has depicted a comprehensive schedule to develop an 11-storey headquarters spread over an expansive area of 60,400 square meters (Goodman and Powles, 2019). The growth started with architectural companies, Bjarke </w:t>
      </w:r>
      <w:r>
        <w:rPr>
          <w:rFonts w:ascii="Times New Roman" w:eastAsia="Times New Roman" w:hAnsi="Times New Roman" w:cs="Times New Roman"/>
          <w:sz w:val="24"/>
          <w:szCs w:val="24"/>
        </w:rPr>
        <w:t>Ingles</w:t>
      </w:r>
      <w:r>
        <w:rPr>
          <w:rFonts w:ascii="Times New Roman" w:eastAsia="Times New Roman" w:hAnsi="Times New Roman" w:cs="Times New Roman"/>
          <w:sz w:val="24"/>
          <w:szCs w:val="24"/>
        </w:rPr>
        <w:t xml:space="preserve"> Group (BIG) and Heatherwick Studio, taking charge of establishing a different and sustainable design. The architects' vision, intricately woven within the construction timeframe, delivers the design innovation must align properly with the estimated completion of the headquarters. </w:t>
      </w:r>
    </w:p>
    <w:p w14:paraId="30F48882" w14:textId="6623E330"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Crucial towards that project’s temporal framework has been considered the successful creation of a 300-meter-long rooftop garden, an innovative space customized for Google workers’ well-being and environmental sustainability. This garden, designed by </w:t>
      </w:r>
      <w:r>
        <w:rPr>
          <w:rFonts w:ascii="Times New Roman" w:eastAsia="Times New Roman" w:hAnsi="Times New Roman" w:cs="Times New Roman"/>
          <w:sz w:val="24"/>
          <w:szCs w:val="24"/>
        </w:rPr>
        <w:t>Gillespie’s</w:t>
      </w:r>
      <w:r>
        <w:rPr>
          <w:rFonts w:ascii="Times New Roman" w:eastAsia="Times New Roman" w:hAnsi="Times New Roman" w:cs="Times New Roman"/>
          <w:sz w:val="24"/>
          <w:szCs w:val="24"/>
        </w:rPr>
        <w:t xml:space="preserve">, has mainly necessitated a meticulous schedule for landscaping, vegetation cultivation, as well as the installation of recreational zones. The coordination of tasks, such as the planting of large trees, the establishment of open lawns, and the creation of a 200-meter "trim trail," expects accurate scheduling to gain the envisioned space in this designated timeline (Chandel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Moreover, the integration and application of ancillary facilities in that headquarters, like cafes, a gym, a multi-use games area (MUGA), and pool facilities, add more layers of difficulties to such temporal considerations. This synchronized planning and system of such amenities alongside the construction stages must need a finely tuned timeframe to deliver their completion within tandem with the major project milestones. </w:t>
      </w:r>
    </w:p>
    <w:p w14:paraId="3025BDAB"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project’s schedule also encompasses key considerations for adhering to Google's stringent quality standards, environmental campaigns, and key sustainability benchmarks. Integration of healthy materials sourced through Google’s initiative and a dedication to inducing a knowledge-oriented economy in King's Cross adds depth as well as breadth to the temporal planning and system (Chandel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While adhering to an intricate schedule, this project has also experienced potential risks and issues that might influence its temporal framework, like weather disruptions, logistical difficulties, or any kind of unforeseen regulatory hurdles. Directing these issues needs a flexible aspect in that developed schedule to resolve any further delays and deliver this project’s successful completion in the stipulated timeline. </w:t>
      </w:r>
    </w:p>
    <w:p w14:paraId="32EA05D0" w14:textId="77777777" w:rsidR="00F378DA" w:rsidRDefault="00F378DA" w:rsidP="00F378DA">
      <w:pPr>
        <w:pStyle w:val="Heading1"/>
      </w:pPr>
      <w:bookmarkStart w:id="3" w:name="_Toc152252199"/>
      <w:r>
        <w:t>Quality Stakeholders</w:t>
      </w:r>
      <w:bookmarkEnd w:id="3"/>
    </w:p>
    <w:p w14:paraId="56EDDB59" w14:textId="7C8B8402"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in King's Cross, UK, collaborates with a wide range of stakeholders, all playing a vital role in delivering this project's quality, success, and alignment with wider societal and economic purposes. These stakeholders have encompassed a wide spectrum, ranging from architectural firms as well as construction contractors to regional bodies, environmental agencies, and the society at large. At the heart of this venture lie the architectural companies, Bjarke </w:t>
      </w:r>
      <w:r>
        <w:rPr>
          <w:rFonts w:ascii="Times New Roman" w:eastAsia="Times New Roman" w:hAnsi="Times New Roman" w:cs="Times New Roman"/>
          <w:sz w:val="24"/>
          <w:szCs w:val="24"/>
        </w:rPr>
        <w:t>Ingles</w:t>
      </w:r>
      <w:r>
        <w:rPr>
          <w:rFonts w:ascii="Times New Roman" w:eastAsia="Times New Roman" w:hAnsi="Times New Roman" w:cs="Times New Roman"/>
          <w:sz w:val="24"/>
          <w:szCs w:val="24"/>
        </w:rPr>
        <w:t xml:space="preserve"> Group (BIG) and Heatherwick Studio, entrusted with conceptualizing and ensuring an iconic design for the headquarters (Chandel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Their skills, innovative </w:t>
      </w:r>
      <w:r>
        <w:rPr>
          <w:rFonts w:ascii="Times New Roman" w:eastAsia="Times New Roman" w:hAnsi="Times New Roman" w:cs="Times New Roman"/>
          <w:sz w:val="24"/>
          <w:szCs w:val="24"/>
        </w:rPr>
        <w:lastRenderedPageBreak/>
        <w:t xml:space="preserve">aspects, and dedication to sustainability are highly instrumental in shaping the architectural vision that also underpins the quality standards and uniqueness of the same project. </w:t>
      </w:r>
    </w:p>
    <w:p w14:paraId="7E04B68D"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Engagement with major construction contractors and engineering organizations generates another critical facet of delivering quality within this project's execution and delivery. Those same stakeholders are also accountable for translating the architectural blueprints into tangible structures while upholding construction standards, safety protocols, as well as key environmental considerations (Chandel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Their skills and adherence to stringent quality control actions are highly imperative in ensuring a structurally sound and aesthetically pleasing headquarters. Beyond the construction realm, collaboration with regional agencies and regulatory bodies is fundamental to safeguarding permits, delivering legal compliance with building codes, and directing ethical frameworks (Pham-Duc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These stakeholders have also induced a seamless and lawful progression of the project, aligning it properly with the wider urban development objectives and rules set forth by this city. </w:t>
      </w:r>
    </w:p>
    <w:p w14:paraId="15DC3B88"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Environmental agencies and sustainability advocates also hold a stake in this project's quality, embracing the implementation of environment-friendly characteristics, adherence to green building measures, and the promotion of sustainable approaches. Engagement with these stakeholders has also reinforced Google’s dedication to environmental stewardship, nurturing a workplace that also harmonizes with the surroundings and reduces ecological influence (Pham-Duc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2023). Furthermore, the society surrounding the project site constitutes a major stakeholder group. Collaborating with regional people, companies, and interest groups is essential to consider issues, garner support, and deliver a project that aligns properly with society’s actual needs and aspirations. Inducing a dialogue and implementing consistent community feedback might support this project’s corporate social responsibility (CSR) and acceptance in this whole neighbourhood (Gillespies.co.uk, 2023). </w:t>
      </w:r>
    </w:p>
    <w:p w14:paraId="3CE49112" w14:textId="77777777" w:rsidR="00F378DA" w:rsidRDefault="00F378DA" w:rsidP="00F378DA">
      <w:pPr>
        <w:pStyle w:val="Heading1"/>
      </w:pPr>
      <w:bookmarkStart w:id="4" w:name="_Toc152252200"/>
      <w:r>
        <w:t>Risk Factors</w:t>
      </w:r>
      <w:bookmarkEnd w:id="4"/>
      <w:r>
        <w:t xml:space="preserve"> </w:t>
      </w:r>
    </w:p>
    <w:p w14:paraId="279E3004"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Google headquarters project at King's Cross, London, is an ambitious undertaking which comes with inherent risks that are spanning various dimensions. In this discussion, the study delved into the identified risk factors, their descriptions, and proposed mitigation strategies, providing a comprehensive understanding of the measures in place to ensure the success of the project. </w:t>
      </w: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39"/>
        <w:gridCol w:w="1671"/>
        <w:gridCol w:w="1727"/>
        <w:gridCol w:w="1361"/>
        <w:gridCol w:w="1067"/>
        <w:gridCol w:w="1875"/>
      </w:tblGrid>
      <w:tr w:rsidR="00F378DA" w14:paraId="5D0535C1" w14:textId="77777777" w:rsidTr="00320173">
        <w:trPr>
          <w:cantSplit/>
          <w:tblHeader/>
        </w:trPr>
        <w:tc>
          <w:tcPr>
            <w:tcW w:w="0" w:type="auto"/>
            <w:shd w:val="clear" w:color="auto" w:fill="auto"/>
            <w:tcMar>
              <w:top w:w="100" w:type="dxa"/>
              <w:left w:w="100" w:type="dxa"/>
              <w:bottom w:w="100" w:type="dxa"/>
              <w:right w:w="100" w:type="dxa"/>
            </w:tcMar>
          </w:tcPr>
          <w:p w14:paraId="7AA4C013"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Risk types </w:t>
            </w:r>
          </w:p>
        </w:tc>
        <w:tc>
          <w:tcPr>
            <w:tcW w:w="0" w:type="auto"/>
            <w:shd w:val="clear" w:color="auto" w:fill="auto"/>
            <w:tcMar>
              <w:top w:w="100" w:type="dxa"/>
              <w:left w:w="100" w:type="dxa"/>
              <w:bottom w:w="100" w:type="dxa"/>
              <w:right w:w="100" w:type="dxa"/>
            </w:tcMar>
          </w:tcPr>
          <w:p w14:paraId="1D6982B4"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Risk factor </w:t>
            </w:r>
          </w:p>
        </w:tc>
        <w:tc>
          <w:tcPr>
            <w:tcW w:w="0" w:type="auto"/>
            <w:shd w:val="clear" w:color="auto" w:fill="auto"/>
            <w:tcMar>
              <w:top w:w="100" w:type="dxa"/>
              <w:left w:w="100" w:type="dxa"/>
              <w:bottom w:w="100" w:type="dxa"/>
              <w:right w:w="100" w:type="dxa"/>
            </w:tcMar>
          </w:tcPr>
          <w:p w14:paraId="73C7F925"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Description </w:t>
            </w:r>
          </w:p>
        </w:tc>
        <w:tc>
          <w:tcPr>
            <w:tcW w:w="0" w:type="auto"/>
            <w:shd w:val="clear" w:color="auto" w:fill="auto"/>
            <w:tcMar>
              <w:top w:w="100" w:type="dxa"/>
              <w:left w:w="100" w:type="dxa"/>
              <w:bottom w:w="100" w:type="dxa"/>
              <w:right w:w="100" w:type="dxa"/>
            </w:tcMar>
          </w:tcPr>
          <w:p w14:paraId="59AE04C3"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Probability </w:t>
            </w:r>
          </w:p>
        </w:tc>
        <w:tc>
          <w:tcPr>
            <w:tcW w:w="0" w:type="auto"/>
            <w:shd w:val="clear" w:color="auto" w:fill="auto"/>
            <w:tcMar>
              <w:top w:w="100" w:type="dxa"/>
              <w:left w:w="100" w:type="dxa"/>
              <w:bottom w:w="100" w:type="dxa"/>
              <w:right w:w="100" w:type="dxa"/>
            </w:tcMar>
          </w:tcPr>
          <w:p w14:paraId="03F9A4A7"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Severity </w:t>
            </w:r>
          </w:p>
        </w:tc>
        <w:tc>
          <w:tcPr>
            <w:tcW w:w="0" w:type="auto"/>
            <w:shd w:val="clear" w:color="auto" w:fill="auto"/>
            <w:tcMar>
              <w:top w:w="100" w:type="dxa"/>
              <w:left w:w="100" w:type="dxa"/>
              <w:bottom w:w="100" w:type="dxa"/>
              <w:right w:w="100" w:type="dxa"/>
            </w:tcMar>
          </w:tcPr>
          <w:p w14:paraId="1B2E5F28"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Mitigation strategies </w:t>
            </w:r>
          </w:p>
        </w:tc>
      </w:tr>
      <w:tr w:rsidR="00F378DA" w14:paraId="5855E5CD" w14:textId="77777777" w:rsidTr="00320173">
        <w:trPr>
          <w:cantSplit/>
          <w:tblHeader/>
        </w:trPr>
        <w:tc>
          <w:tcPr>
            <w:tcW w:w="0" w:type="auto"/>
            <w:shd w:val="clear" w:color="auto" w:fill="auto"/>
            <w:tcMar>
              <w:top w:w="100" w:type="dxa"/>
              <w:left w:w="100" w:type="dxa"/>
              <w:bottom w:w="100" w:type="dxa"/>
              <w:right w:w="100" w:type="dxa"/>
            </w:tcMar>
          </w:tcPr>
          <w:p w14:paraId="2BEC1E1B"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Supply Chain Disruptions</w:t>
            </w:r>
          </w:p>
        </w:tc>
        <w:tc>
          <w:tcPr>
            <w:tcW w:w="0" w:type="auto"/>
            <w:shd w:val="clear" w:color="auto" w:fill="auto"/>
            <w:tcMar>
              <w:top w:w="100" w:type="dxa"/>
              <w:left w:w="100" w:type="dxa"/>
              <w:bottom w:w="100" w:type="dxa"/>
              <w:right w:w="100" w:type="dxa"/>
            </w:tcMar>
          </w:tcPr>
          <w:p w14:paraId="1C4BC85A"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disruptions in the supply chain, which includes delays in the delivery of construction materials, that can impact the project timeline.</w:t>
            </w:r>
          </w:p>
        </w:tc>
        <w:tc>
          <w:tcPr>
            <w:tcW w:w="0" w:type="auto"/>
            <w:shd w:val="clear" w:color="auto" w:fill="auto"/>
            <w:tcMar>
              <w:top w:w="100" w:type="dxa"/>
              <w:left w:w="100" w:type="dxa"/>
              <w:bottom w:w="100" w:type="dxa"/>
              <w:right w:w="100" w:type="dxa"/>
            </w:tcMar>
          </w:tcPr>
          <w:p w14:paraId="2251F6AB"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Large-scale construction projects are susceptible to disruptions in the supply chain, which can lead to delays as well as increased costs. Delays in material delivery can have a cascading effect on construction timelines which can potentially affect the overall project schedule.</w:t>
            </w:r>
          </w:p>
        </w:tc>
        <w:tc>
          <w:tcPr>
            <w:tcW w:w="0" w:type="auto"/>
            <w:shd w:val="clear" w:color="auto" w:fill="FF9900"/>
            <w:tcMar>
              <w:top w:w="100" w:type="dxa"/>
              <w:left w:w="100" w:type="dxa"/>
              <w:bottom w:w="100" w:type="dxa"/>
              <w:right w:w="100" w:type="dxa"/>
            </w:tcMar>
          </w:tcPr>
          <w:p w14:paraId="3D70CD05"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Medium </w:t>
            </w:r>
          </w:p>
        </w:tc>
        <w:tc>
          <w:tcPr>
            <w:tcW w:w="0" w:type="auto"/>
            <w:shd w:val="clear" w:color="auto" w:fill="FF0000"/>
            <w:tcMar>
              <w:top w:w="100" w:type="dxa"/>
              <w:left w:w="100" w:type="dxa"/>
              <w:bottom w:w="100" w:type="dxa"/>
              <w:right w:w="100" w:type="dxa"/>
            </w:tcMar>
          </w:tcPr>
          <w:p w14:paraId="2B761CEC"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c>
          <w:tcPr>
            <w:tcW w:w="0" w:type="auto"/>
            <w:shd w:val="clear" w:color="auto" w:fill="auto"/>
            <w:tcMar>
              <w:top w:w="100" w:type="dxa"/>
              <w:left w:w="100" w:type="dxa"/>
              <w:bottom w:w="100" w:type="dxa"/>
              <w:right w:w="100" w:type="dxa"/>
            </w:tcMar>
          </w:tcPr>
          <w:p w14:paraId="6D4056FC"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team at Google needs to recognize the need for a resilient supply chain. Thorough assessments of suppliers are conducted which evaluate their reliability and capacity. Diversification of the supply chain through engagement with multiple suppliers is a pivotal strategy which ensures the project is not overly reliant on a single source (Nicholas and Steyn, 2020). The implementation of just-in-time inventory management </w:t>
            </w:r>
            <w:r>
              <w:rPr>
                <w:rFonts w:ascii="Times New Roman" w:eastAsia="Times New Roman" w:hAnsi="Times New Roman" w:cs="Times New Roman"/>
                <w:sz w:val="24"/>
                <w:szCs w:val="24"/>
              </w:rPr>
              <w:lastRenderedPageBreak/>
              <w:t>practices minimizes storage requirements as well as mitigates the impact of delays. Continuous monitoring of the supply chain facilitates early identification along with the resolution of potential issues.</w:t>
            </w:r>
          </w:p>
        </w:tc>
      </w:tr>
      <w:tr w:rsidR="00F378DA" w14:paraId="691CCCE2" w14:textId="77777777" w:rsidTr="00320173">
        <w:trPr>
          <w:cantSplit/>
          <w:tblHeader/>
        </w:trPr>
        <w:tc>
          <w:tcPr>
            <w:tcW w:w="0" w:type="auto"/>
            <w:shd w:val="clear" w:color="auto" w:fill="auto"/>
            <w:tcMar>
              <w:top w:w="100" w:type="dxa"/>
              <w:left w:w="100" w:type="dxa"/>
              <w:bottom w:w="100" w:type="dxa"/>
              <w:right w:w="100" w:type="dxa"/>
            </w:tcMar>
          </w:tcPr>
          <w:p w14:paraId="725DC4CF"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Regulatory Compliance Challenges</w:t>
            </w:r>
          </w:p>
        </w:tc>
        <w:tc>
          <w:tcPr>
            <w:tcW w:w="0" w:type="auto"/>
            <w:shd w:val="clear" w:color="auto" w:fill="auto"/>
            <w:tcMar>
              <w:top w:w="100" w:type="dxa"/>
              <w:left w:w="100" w:type="dxa"/>
              <w:bottom w:w="100" w:type="dxa"/>
              <w:right w:w="100" w:type="dxa"/>
            </w:tcMar>
          </w:tcPr>
          <w:p w14:paraId="12542327"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Evolving or stringent regulations that are related to construction permits as well as environmental compliance may pose significant challenges and lead to delays.</w:t>
            </w:r>
          </w:p>
        </w:tc>
        <w:tc>
          <w:tcPr>
            <w:tcW w:w="0" w:type="auto"/>
            <w:shd w:val="clear" w:color="auto" w:fill="auto"/>
            <w:tcMar>
              <w:top w:w="100" w:type="dxa"/>
              <w:left w:w="100" w:type="dxa"/>
              <w:bottom w:w="100" w:type="dxa"/>
              <w:right w:w="100" w:type="dxa"/>
            </w:tcMar>
          </w:tcPr>
          <w:p w14:paraId="40D53CA6"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construction industry is subject to complex, ever evolving and dynamic regulatory environments. Changes in regulations, permit requirements, or environmental compliance standards can introduce uncertainties which essentially causes potential delays.</w:t>
            </w:r>
          </w:p>
        </w:tc>
        <w:tc>
          <w:tcPr>
            <w:tcW w:w="0" w:type="auto"/>
            <w:shd w:val="clear" w:color="auto" w:fill="FF9900"/>
            <w:tcMar>
              <w:top w:w="100" w:type="dxa"/>
              <w:left w:w="100" w:type="dxa"/>
              <w:bottom w:w="100" w:type="dxa"/>
              <w:right w:w="100" w:type="dxa"/>
            </w:tcMar>
          </w:tcPr>
          <w:p w14:paraId="4F848FF5"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c>
          <w:tcPr>
            <w:tcW w:w="0" w:type="auto"/>
            <w:shd w:val="clear" w:color="auto" w:fill="FF0000"/>
            <w:tcMar>
              <w:top w:w="100" w:type="dxa"/>
              <w:left w:w="100" w:type="dxa"/>
              <w:bottom w:w="100" w:type="dxa"/>
              <w:right w:w="100" w:type="dxa"/>
            </w:tcMar>
          </w:tcPr>
          <w:p w14:paraId="2B939A2C"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High </w:t>
            </w:r>
          </w:p>
        </w:tc>
        <w:tc>
          <w:tcPr>
            <w:tcW w:w="0" w:type="auto"/>
            <w:shd w:val="clear" w:color="auto" w:fill="auto"/>
            <w:tcMar>
              <w:top w:w="100" w:type="dxa"/>
              <w:left w:w="100" w:type="dxa"/>
              <w:bottom w:w="100" w:type="dxa"/>
              <w:right w:w="100" w:type="dxa"/>
            </w:tcMar>
          </w:tcPr>
          <w:p w14:paraId="588E609A"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 team Google needs to adopt a proactive approach to regulatory compliance, an early and consistent engagement with regulatory authorities is a pivotal strategy which allows for a clear understanding of compliance requirements and potential challenges (Kerzner, 2019). Allocating resources for legal and regulatory expertise ensures that the project team for navigating complexities is well-equipped. </w:t>
            </w:r>
            <w:r>
              <w:rPr>
                <w:rFonts w:ascii="Times New Roman" w:eastAsia="Times New Roman" w:hAnsi="Times New Roman" w:cs="Times New Roman"/>
                <w:sz w:val="24"/>
                <w:szCs w:val="24"/>
              </w:rPr>
              <w:lastRenderedPageBreak/>
              <w:t>Contingency plans are established to address unexpected regulatory changes which allow for adjustments in project timelines, resource allocation, and modifications to the project plan to maintain compliance (Pinto, 2020).</w:t>
            </w:r>
          </w:p>
        </w:tc>
      </w:tr>
      <w:tr w:rsidR="00F378DA" w14:paraId="6D91FAD0" w14:textId="77777777" w:rsidTr="00320173">
        <w:trPr>
          <w:cantSplit/>
          <w:tblHeader/>
        </w:trPr>
        <w:tc>
          <w:tcPr>
            <w:tcW w:w="0" w:type="auto"/>
            <w:shd w:val="clear" w:color="auto" w:fill="auto"/>
            <w:tcMar>
              <w:top w:w="100" w:type="dxa"/>
              <w:left w:w="100" w:type="dxa"/>
              <w:bottom w:w="100" w:type="dxa"/>
              <w:right w:w="100" w:type="dxa"/>
            </w:tcMar>
          </w:tcPr>
          <w:p w14:paraId="10ECEB3F"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Labour Shortages and Skill Gaps</w:t>
            </w:r>
          </w:p>
        </w:tc>
        <w:tc>
          <w:tcPr>
            <w:tcW w:w="0" w:type="auto"/>
            <w:shd w:val="clear" w:color="auto" w:fill="auto"/>
            <w:tcMar>
              <w:top w:w="100" w:type="dxa"/>
              <w:left w:w="100" w:type="dxa"/>
              <w:bottom w:w="100" w:type="dxa"/>
              <w:right w:w="100" w:type="dxa"/>
            </w:tcMar>
          </w:tcPr>
          <w:p w14:paraId="6C098E00"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shortage of skilled labour in the construction industry essentially leads to delays and affects the overall quality of work which affects reputation and revenue generation.</w:t>
            </w:r>
          </w:p>
        </w:tc>
        <w:tc>
          <w:tcPr>
            <w:tcW w:w="0" w:type="auto"/>
            <w:shd w:val="clear" w:color="auto" w:fill="auto"/>
            <w:tcMar>
              <w:top w:w="100" w:type="dxa"/>
              <w:left w:w="100" w:type="dxa"/>
              <w:bottom w:w="100" w:type="dxa"/>
              <w:right w:w="100" w:type="dxa"/>
            </w:tcMar>
          </w:tcPr>
          <w:p w14:paraId="45998618"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construction industry often faces challenges that are related to labour shortages and skill gaps. These challenges can impact project timelines as well as the quality of work delivered.</w:t>
            </w:r>
          </w:p>
        </w:tc>
        <w:tc>
          <w:tcPr>
            <w:tcW w:w="0" w:type="auto"/>
            <w:shd w:val="clear" w:color="auto" w:fill="FF9900"/>
            <w:tcMar>
              <w:top w:w="100" w:type="dxa"/>
              <w:left w:w="100" w:type="dxa"/>
              <w:bottom w:w="100" w:type="dxa"/>
              <w:right w:w="100" w:type="dxa"/>
            </w:tcMar>
          </w:tcPr>
          <w:p w14:paraId="2DBA165E"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Medium </w:t>
            </w:r>
          </w:p>
        </w:tc>
        <w:tc>
          <w:tcPr>
            <w:tcW w:w="0" w:type="auto"/>
            <w:shd w:val="clear" w:color="auto" w:fill="FF9900"/>
            <w:tcMar>
              <w:top w:w="100" w:type="dxa"/>
              <w:left w:w="100" w:type="dxa"/>
              <w:bottom w:w="100" w:type="dxa"/>
              <w:right w:w="100" w:type="dxa"/>
            </w:tcMar>
          </w:tcPr>
          <w:p w14:paraId="56F8F135"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Medium </w:t>
            </w:r>
          </w:p>
        </w:tc>
        <w:tc>
          <w:tcPr>
            <w:tcW w:w="0" w:type="auto"/>
            <w:shd w:val="clear" w:color="auto" w:fill="auto"/>
            <w:tcMar>
              <w:top w:w="100" w:type="dxa"/>
              <w:left w:w="100" w:type="dxa"/>
              <w:bottom w:w="100" w:type="dxa"/>
              <w:right w:w="100" w:type="dxa"/>
            </w:tcMar>
          </w:tcPr>
          <w:p w14:paraId="274A6F06"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address labour shortages and skill gaps, the project team of Google needs to take a multifaceted approach. Partnering with local trade schools and vocational programs promotes training as well as attracts talented and skilled individuals to the construction industry. Additionally, cross-training programs within the existing workforce ensure versatility. Contingency plans for labour shortages include </w:t>
            </w:r>
            <w:r>
              <w:rPr>
                <w:rFonts w:ascii="Times New Roman" w:eastAsia="Times New Roman" w:hAnsi="Times New Roman" w:cs="Times New Roman"/>
                <w:sz w:val="24"/>
                <w:szCs w:val="24"/>
              </w:rPr>
              <w:lastRenderedPageBreak/>
              <w:t>options such as outsourcing certain tasks or adjusting project timelines based on workforce availability. Continuous engagement with industry associations provides insights into emerging trends and potential solutions to address labour challenges.</w:t>
            </w:r>
          </w:p>
        </w:tc>
      </w:tr>
      <w:tr w:rsidR="00F378DA" w14:paraId="4DE95CA2" w14:textId="77777777" w:rsidTr="00320173">
        <w:trPr>
          <w:cantSplit/>
          <w:tblHeader/>
        </w:trPr>
        <w:tc>
          <w:tcPr>
            <w:tcW w:w="0" w:type="auto"/>
            <w:shd w:val="clear" w:color="auto" w:fill="auto"/>
            <w:tcMar>
              <w:top w:w="100" w:type="dxa"/>
              <w:left w:w="100" w:type="dxa"/>
              <w:bottom w:w="100" w:type="dxa"/>
              <w:right w:w="100" w:type="dxa"/>
            </w:tcMar>
          </w:tcPr>
          <w:p w14:paraId="14500243"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Technological Risks</w:t>
            </w:r>
          </w:p>
        </w:tc>
        <w:tc>
          <w:tcPr>
            <w:tcW w:w="0" w:type="auto"/>
            <w:shd w:val="clear" w:color="auto" w:fill="auto"/>
            <w:tcMar>
              <w:top w:w="100" w:type="dxa"/>
              <w:left w:w="100" w:type="dxa"/>
              <w:bottom w:w="100" w:type="dxa"/>
              <w:right w:w="100" w:type="dxa"/>
            </w:tcMar>
          </w:tcPr>
          <w:p w14:paraId="5C739230"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Dependency on cutting-edge technologies can introduce risks related to system failures, cybersecurity threats, or compatibility issues.</w:t>
            </w:r>
          </w:p>
        </w:tc>
        <w:tc>
          <w:tcPr>
            <w:tcW w:w="0" w:type="auto"/>
            <w:shd w:val="clear" w:color="auto" w:fill="auto"/>
            <w:tcMar>
              <w:top w:w="100" w:type="dxa"/>
              <w:left w:w="100" w:type="dxa"/>
              <w:bottom w:w="100" w:type="dxa"/>
              <w:right w:w="100" w:type="dxa"/>
            </w:tcMar>
          </w:tcPr>
          <w:p w14:paraId="58BC3113"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incorporation of cutting-edge technologies introduces the risk of system failures, cybersecurity threats, or compatibility issues which can impact the success of the project.</w:t>
            </w:r>
          </w:p>
        </w:tc>
        <w:tc>
          <w:tcPr>
            <w:tcW w:w="0" w:type="auto"/>
            <w:shd w:val="clear" w:color="auto" w:fill="00FF00"/>
            <w:tcMar>
              <w:top w:w="100" w:type="dxa"/>
              <w:left w:w="100" w:type="dxa"/>
              <w:bottom w:w="100" w:type="dxa"/>
              <w:right w:w="100" w:type="dxa"/>
            </w:tcMar>
          </w:tcPr>
          <w:p w14:paraId="46B3867C"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Low </w:t>
            </w:r>
          </w:p>
        </w:tc>
        <w:tc>
          <w:tcPr>
            <w:tcW w:w="0" w:type="auto"/>
            <w:shd w:val="clear" w:color="auto" w:fill="FF9900"/>
            <w:tcMar>
              <w:top w:w="100" w:type="dxa"/>
              <w:left w:w="100" w:type="dxa"/>
              <w:bottom w:w="100" w:type="dxa"/>
              <w:right w:w="100" w:type="dxa"/>
            </w:tcMar>
          </w:tcPr>
          <w:p w14:paraId="703B220E"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Medium</w:t>
            </w:r>
          </w:p>
        </w:tc>
        <w:tc>
          <w:tcPr>
            <w:tcW w:w="0" w:type="auto"/>
            <w:shd w:val="clear" w:color="auto" w:fill="auto"/>
            <w:tcMar>
              <w:top w:w="100" w:type="dxa"/>
              <w:left w:w="100" w:type="dxa"/>
              <w:bottom w:w="100" w:type="dxa"/>
              <w:right w:w="100" w:type="dxa"/>
            </w:tcMar>
          </w:tcPr>
          <w:p w14:paraId="27965937" w14:textId="77777777" w:rsidR="00F378DA" w:rsidRDefault="00F378DA" w:rsidP="00320173">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project team of Google needs to prioritize technological risk management. Regular cybersecurity audits and robust security measures are needed to be implemented to safeguard against potential threats. Technologies are tested and validated before full-scale implementation to identify compatibility issues as well system failures in a controlled environment (</w:t>
            </w:r>
            <w:proofErr w:type="spellStart"/>
            <w:r>
              <w:rPr>
                <w:rFonts w:ascii="Times New Roman" w:eastAsia="Times New Roman" w:hAnsi="Times New Roman" w:cs="Times New Roman"/>
                <w:sz w:val="24"/>
                <w:szCs w:val="24"/>
              </w:rPr>
              <w:t>Dinnik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2019). Furthermore, maintaining a </w:t>
            </w:r>
            <w:r>
              <w:rPr>
                <w:rFonts w:ascii="Times New Roman" w:eastAsia="Times New Roman" w:hAnsi="Times New Roman" w:cs="Times New Roman"/>
                <w:sz w:val="24"/>
                <w:szCs w:val="24"/>
              </w:rPr>
              <w:lastRenderedPageBreak/>
              <w:t>flexible IT infrastructure ensures adaptability to emerging technologies, and contingency plans for technology-related issues, for instance backup systems or alternative solutions which contribute to proactive risk management.</w:t>
            </w:r>
          </w:p>
        </w:tc>
      </w:tr>
    </w:tbl>
    <w:p w14:paraId="0C93A1E6" w14:textId="77777777" w:rsidR="00F378DA" w:rsidRDefault="00F378DA" w:rsidP="00F378DA">
      <w:pPr>
        <w:pStyle w:val="Heading1"/>
      </w:pPr>
      <w:bookmarkStart w:id="5" w:name="_Toc152252201"/>
      <w:r>
        <w:lastRenderedPageBreak/>
        <w:t>Project Plan Evaluation</w:t>
      </w:r>
      <w:bookmarkEnd w:id="5"/>
      <w:r>
        <w:t xml:space="preserve"> </w:t>
      </w:r>
    </w:p>
    <w:p w14:paraId="16B6AF60"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Google headquarters project at King's Cross, London progresses toward its inauguration, a critical aspect of its management involves the ongoing evaluation of the project plan. This assessment aims to scrutinize key elements, ensuring that the project remains aligned with its objectives and is well-positioned for successful completion. The holistic evaluation encompasses various dimensions, including budget, time management, quality, stakeholders, and risk factors.</w:t>
      </w:r>
    </w:p>
    <w:p w14:paraId="7972BFE7" w14:textId="77777777" w:rsidR="00F378DA" w:rsidRDefault="00F378DA" w:rsidP="00F378D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1. Budget Evaluation:</w:t>
      </w:r>
    </w:p>
    <w:p w14:paraId="4238EC71"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fundamental pillars of project management is the budget. A comprehensive evaluation of the project's financial landscape is pivotal to ensure fiscal responsibility as well as the successful execution of all project phases. The initial budget of one billion pounds is a substantial investment that demands meticulous scrutiny. The evaluation involves an examination of budget allocations against actual expenses, identification of any variations, as well an understanding of the factors </w:t>
      </w:r>
      <w:r>
        <w:rPr>
          <w:rFonts w:ascii="Times New Roman" w:eastAsia="Times New Roman" w:hAnsi="Times New Roman" w:cs="Times New Roman"/>
          <w:sz w:val="24"/>
          <w:szCs w:val="24"/>
        </w:rPr>
        <w:lastRenderedPageBreak/>
        <w:t>that are influencing these changes (Nicholas and Steyn, 2020). Additionally, it explores the way the budget aligns with the nature, scope, and scale of the project. Continuous monitoring as well as control mechanisms are crucial for preventing overruns and ensuring financial efficiency. This scrutiny ensures that the project remains within the defined financial boundaries that help in maintaining accountability as well as transparency.</w:t>
      </w:r>
    </w:p>
    <w:p w14:paraId="1CD377B4" w14:textId="77777777" w:rsidR="00F378DA" w:rsidRDefault="00F378DA" w:rsidP="00F378D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2. Time Management:</w:t>
      </w:r>
    </w:p>
    <w:p w14:paraId="77A40742"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evaluation of time management involves a meticulous analysis of the project timeline facing the planned schedule. Delays or accelerations are assessed for understanding the factors that are influencing project duration. A critical examination of the critical path and dependencies provides insights into the temporal aspects of the project. Effective time management is paramount to meeting deadlines and deliverables (Kerzner, 2019). The assessment aims to identify any deviations from the initial schedule, providing an opportunity for proactive adjustments. Timely interventions to address potential delays are essential to keep the project on track for completion on time.</w:t>
      </w:r>
    </w:p>
    <w:p w14:paraId="6AB76B21" w14:textId="77777777" w:rsidR="00F378DA" w:rsidRDefault="00F378DA" w:rsidP="00F378D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3. Quality Assessment:</w:t>
      </w:r>
    </w:p>
    <w:p w14:paraId="1995D072"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quality assessment delves into the standards set for this specific project. It examines how well these standards are being adhered to in the phases of construction and development (Pinto, 2020). Quality control measures which include inspections and certifications, are scrutinized to ensure that the final product meets or exceeds industry standards. Addressing potential risks to quality is imperative, as well as the assessment explores strategies in place to mitigate such risks. High-quality construction is not only a marker of excellence as well as it also ensures the longevity and functionality of the new headquarters, thus, maintaining stringent quality standards remains a focal point of the evaluation of the project plan.</w:t>
      </w:r>
    </w:p>
    <w:p w14:paraId="236A57C5" w14:textId="77777777" w:rsidR="00F378DA" w:rsidRDefault="00F378DA" w:rsidP="00F378D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4. Stakeholder Engagement:</w:t>
      </w:r>
    </w:p>
    <w:p w14:paraId="41B5D671"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Engagement and collaboration with stakeholders are essential to project success. This evaluation assesses the involvement of key stakeholders which includes government bodies, local communities, and Google itself. Effective communication and collaboration between these stakeholders as well as the project team are examined. Success in managing stakeholder expectations and relationships is pivotal for a project of this magnitude (</w:t>
      </w:r>
      <w:proofErr w:type="spellStart"/>
      <w:r>
        <w:rPr>
          <w:rFonts w:ascii="Times New Roman" w:eastAsia="Times New Roman" w:hAnsi="Times New Roman" w:cs="Times New Roman"/>
          <w:sz w:val="24"/>
          <w:szCs w:val="24"/>
        </w:rPr>
        <w:t>Arefazar</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Any challenges or successes in this area are identified to ensure that the project aligns with diverse </w:t>
      </w:r>
      <w:r>
        <w:rPr>
          <w:rFonts w:ascii="Times New Roman" w:eastAsia="Times New Roman" w:hAnsi="Times New Roman" w:cs="Times New Roman"/>
          <w:sz w:val="24"/>
          <w:szCs w:val="24"/>
        </w:rPr>
        <w:lastRenderedPageBreak/>
        <w:t>interests as well as expectations. Recognizing and addressing stakeholder concerns contribute to a positive project environment.</w:t>
      </w:r>
    </w:p>
    <w:p w14:paraId="77F07787" w14:textId="77777777" w:rsidR="00F378DA" w:rsidRDefault="00F378DA" w:rsidP="00F378DA">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5. Risk Factors:</w:t>
      </w:r>
    </w:p>
    <w:p w14:paraId="5F266503"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integral part of the evaluation involves a thorough and detailed examination of risk factors. Risks, both internal and external, can critically impact the successful completion of the project. The assessment identifies potential risks as well as evaluates the effectiveness of existing risk management strategies (Nicholas and Steyn, 2020). This proactive approach allows for adjustments to risk mitigation plans which ensure the resilience of the project against uncertainties. Recognizing and addressing risks promptly is pivotal to avoiding potential disruptions and setbacks.</w:t>
      </w:r>
    </w:p>
    <w:p w14:paraId="5EFDFE60" w14:textId="77777777" w:rsidR="00F378DA" w:rsidRDefault="00F378DA" w:rsidP="00F378DA">
      <w:pPr>
        <w:pStyle w:val="Heading1"/>
      </w:pPr>
      <w:bookmarkStart w:id="6" w:name="_Toc152252202"/>
      <w:r>
        <w:t>Conclusions</w:t>
      </w:r>
      <w:bookmarkEnd w:id="6"/>
      <w:r>
        <w:t xml:space="preserve"> </w:t>
      </w:r>
    </w:p>
    <w:p w14:paraId="5114A45B" w14:textId="77777777" w:rsidR="00F378DA" w:rsidRDefault="00F378DA" w:rsidP="00F378DA">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In conclusion, the ongoing project plan evaluation for the Google headquarters at King's Cross is instrumental in maintaining the trajectory of the project as well as its health. This detailed assessment ensures that the project remains within budgetary constraints, adheres to timelines, upholds quality standards, fosters stakeholder engagement, as well as effectively mitigates risks. By addressing these core elements, the project is poised for success which contributes not only to the global footprint of Google but also to the knowledge-based economy of King's Cross. Continuous refinement of the project plan based on these evaluations is imperative, which allows for agility and adaptability in the dynamic landscape of large-scale construction projects. The commitment to regular evaluation reflects a dedication to excellence as well as a strategic approach to overcome challenges which ultimately ensure the successful realization of the iconic headquarters of Google.</w:t>
      </w:r>
      <w:r>
        <w:br w:type="page"/>
      </w:r>
    </w:p>
    <w:p w14:paraId="1FF21E16" w14:textId="77777777" w:rsidR="00F378DA" w:rsidRDefault="00F378DA" w:rsidP="00F378DA">
      <w:pPr>
        <w:pStyle w:val="Heading1"/>
      </w:pPr>
      <w:bookmarkStart w:id="7" w:name="_Toc152252203"/>
      <w:r>
        <w:lastRenderedPageBreak/>
        <w:t>References</w:t>
      </w:r>
      <w:bookmarkEnd w:id="7"/>
      <w:r>
        <w:t xml:space="preserve"> </w:t>
      </w:r>
    </w:p>
    <w:p w14:paraId="26790278" w14:textId="77777777" w:rsidR="00F378DA" w:rsidRDefault="00F378DA" w:rsidP="00F378DA">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Arefazar</w:t>
      </w:r>
      <w:proofErr w:type="spellEnd"/>
      <w:r>
        <w:rPr>
          <w:rFonts w:ascii="Times New Roman" w:eastAsia="Times New Roman" w:hAnsi="Times New Roman" w:cs="Times New Roman"/>
          <w:color w:val="222222"/>
          <w:sz w:val="24"/>
          <w:szCs w:val="24"/>
          <w:highlight w:val="white"/>
        </w:rPr>
        <w:t xml:space="preserve">, Y., Nazari, A., </w:t>
      </w:r>
      <w:proofErr w:type="spellStart"/>
      <w:r>
        <w:rPr>
          <w:rFonts w:ascii="Times New Roman" w:eastAsia="Times New Roman" w:hAnsi="Times New Roman" w:cs="Times New Roman"/>
          <w:color w:val="222222"/>
          <w:sz w:val="24"/>
          <w:szCs w:val="24"/>
          <w:highlight w:val="white"/>
        </w:rPr>
        <w:t>Hafezi</w:t>
      </w:r>
      <w:proofErr w:type="spellEnd"/>
      <w:r>
        <w:rPr>
          <w:rFonts w:ascii="Times New Roman" w:eastAsia="Times New Roman" w:hAnsi="Times New Roman" w:cs="Times New Roman"/>
          <w:color w:val="222222"/>
          <w:sz w:val="24"/>
          <w:szCs w:val="24"/>
          <w:highlight w:val="white"/>
        </w:rPr>
        <w:t xml:space="preserve">, M.R. and </w:t>
      </w:r>
      <w:proofErr w:type="spellStart"/>
      <w:r>
        <w:rPr>
          <w:rFonts w:ascii="Times New Roman" w:eastAsia="Times New Roman" w:hAnsi="Times New Roman" w:cs="Times New Roman"/>
          <w:color w:val="222222"/>
          <w:sz w:val="24"/>
          <w:szCs w:val="24"/>
          <w:highlight w:val="white"/>
        </w:rPr>
        <w:t>Maghool</w:t>
      </w:r>
      <w:proofErr w:type="spellEnd"/>
      <w:r>
        <w:rPr>
          <w:rFonts w:ascii="Times New Roman" w:eastAsia="Times New Roman" w:hAnsi="Times New Roman" w:cs="Times New Roman"/>
          <w:color w:val="222222"/>
          <w:sz w:val="24"/>
          <w:szCs w:val="24"/>
          <w:highlight w:val="white"/>
        </w:rPr>
        <w:t xml:space="preserve">, S.A.H., 2022. Prioritizing agile project management strategies as a change management tool in construction projects. </w:t>
      </w:r>
      <w:r>
        <w:rPr>
          <w:rFonts w:ascii="Times New Roman" w:eastAsia="Times New Roman" w:hAnsi="Times New Roman" w:cs="Times New Roman"/>
          <w:i/>
          <w:color w:val="222222"/>
          <w:sz w:val="24"/>
          <w:szCs w:val="24"/>
          <w:highlight w:val="white"/>
        </w:rPr>
        <w:t>International Journal of Construction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(4), pp.678-689.</w:t>
      </w:r>
    </w:p>
    <w:p w14:paraId="0B606C38" w14:textId="77777777" w:rsidR="00F378DA" w:rsidRDefault="00F378DA" w:rsidP="00F378D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Blackwood, L., Renaud, F.G. and Gillespie, S., 2022. Nature-based solutions as climate change adaptation measures for rail infrastructure. </w:t>
      </w:r>
      <w:r>
        <w:rPr>
          <w:rFonts w:ascii="Times New Roman" w:eastAsia="Times New Roman" w:hAnsi="Times New Roman" w:cs="Times New Roman"/>
          <w:i/>
          <w:sz w:val="24"/>
          <w:szCs w:val="24"/>
          <w:highlight w:val="white"/>
        </w:rPr>
        <w:t>Nature-Based Solutions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w:t>
      </w:r>
      <w:r>
        <w:rPr>
          <w:rFonts w:ascii="Times New Roman" w:eastAsia="Times New Roman" w:hAnsi="Times New Roman" w:cs="Times New Roman"/>
          <w:sz w:val="24"/>
          <w:szCs w:val="24"/>
          <w:highlight w:val="white"/>
        </w:rPr>
        <w:t xml:space="preserve">, p.100013. </w:t>
      </w:r>
    </w:p>
    <w:p w14:paraId="0D2463C8" w14:textId="77777777" w:rsidR="00F378DA" w:rsidRDefault="00F378DA" w:rsidP="00F378D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Chandel, S., </w:t>
      </w:r>
      <w:proofErr w:type="spellStart"/>
      <w:r>
        <w:rPr>
          <w:rFonts w:ascii="Times New Roman" w:eastAsia="Times New Roman" w:hAnsi="Times New Roman" w:cs="Times New Roman"/>
          <w:sz w:val="24"/>
          <w:szCs w:val="24"/>
          <w:highlight w:val="white"/>
        </w:rPr>
        <w:t>Jingji</w:t>
      </w:r>
      <w:proofErr w:type="spellEnd"/>
      <w:r>
        <w:rPr>
          <w:rFonts w:ascii="Times New Roman" w:eastAsia="Times New Roman" w:hAnsi="Times New Roman" w:cs="Times New Roman"/>
          <w:sz w:val="24"/>
          <w:szCs w:val="24"/>
          <w:highlight w:val="white"/>
        </w:rPr>
        <w:t xml:space="preserve">, Z., Yunnan, Y., </w:t>
      </w:r>
      <w:proofErr w:type="spellStart"/>
      <w:r>
        <w:rPr>
          <w:rFonts w:ascii="Times New Roman" w:eastAsia="Times New Roman" w:hAnsi="Times New Roman" w:cs="Times New Roman"/>
          <w:sz w:val="24"/>
          <w:szCs w:val="24"/>
          <w:highlight w:val="white"/>
        </w:rPr>
        <w:t>Jingyao</w:t>
      </w:r>
      <w:proofErr w:type="spellEnd"/>
      <w:r>
        <w:rPr>
          <w:rFonts w:ascii="Times New Roman" w:eastAsia="Times New Roman" w:hAnsi="Times New Roman" w:cs="Times New Roman"/>
          <w:sz w:val="24"/>
          <w:szCs w:val="24"/>
          <w:highlight w:val="white"/>
        </w:rPr>
        <w:t xml:space="preserve">, S. and </w:t>
      </w:r>
      <w:proofErr w:type="spellStart"/>
      <w:r>
        <w:rPr>
          <w:rFonts w:ascii="Times New Roman" w:eastAsia="Times New Roman" w:hAnsi="Times New Roman" w:cs="Times New Roman"/>
          <w:sz w:val="24"/>
          <w:szCs w:val="24"/>
          <w:highlight w:val="white"/>
        </w:rPr>
        <w:t>Zhipeng</w:t>
      </w:r>
      <w:proofErr w:type="spellEnd"/>
      <w:r>
        <w:rPr>
          <w:rFonts w:ascii="Times New Roman" w:eastAsia="Times New Roman" w:hAnsi="Times New Roman" w:cs="Times New Roman"/>
          <w:sz w:val="24"/>
          <w:szCs w:val="24"/>
          <w:highlight w:val="white"/>
        </w:rPr>
        <w:t xml:space="preserve">, Z., 2019, October. The golden shield project of </w:t>
      </w:r>
      <w:proofErr w:type="spellStart"/>
      <w:r>
        <w:rPr>
          <w:rFonts w:ascii="Times New Roman" w:eastAsia="Times New Roman" w:hAnsi="Times New Roman" w:cs="Times New Roman"/>
          <w:sz w:val="24"/>
          <w:szCs w:val="24"/>
          <w:highlight w:val="white"/>
        </w:rPr>
        <w:t>china</w:t>
      </w:r>
      <w:proofErr w:type="spellEnd"/>
      <w:r>
        <w:rPr>
          <w:rFonts w:ascii="Times New Roman" w:eastAsia="Times New Roman" w:hAnsi="Times New Roman" w:cs="Times New Roman"/>
          <w:sz w:val="24"/>
          <w:szCs w:val="24"/>
          <w:highlight w:val="white"/>
        </w:rPr>
        <w:t xml:space="preserve">: A decade later—an in-depth study of the great firewall. In </w:t>
      </w:r>
      <w:r>
        <w:rPr>
          <w:rFonts w:ascii="Times New Roman" w:eastAsia="Times New Roman" w:hAnsi="Times New Roman" w:cs="Times New Roman"/>
          <w:i/>
          <w:sz w:val="24"/>
          <w:szCs w:val="24"/>
          <w:highlight w:val="white"/>
        </w:rPr>
        <w:t>2019 International Conference on Cyber-Enabled Distributed Computing and Knowledge Discovery (</w:t>
      </w:r>
      <w:proofErr w:type="spellStart"/>
      <w:r>
        <w:rPr>
          <w:rFonts w:ascii="Times New Roman" w:eastAsia="Times New Roman" w:hAnsi="Times New Roman" w:cs="Times New Roman"/>
          <w:i/>
          <w:sz w:val="24"/>
          <w:szCs w:val="24"/>
          <w:highlight w:val="white"/>
        </w:rPr>
        <w:t>CyberC</w:t>
      </w:r>
      <w:proofErr w:type="spellEnd"/>
      <w:r>
        <w:rPr>
          <w:rFonts w:ascii="Times New Roman" w:eastAsia="Times New Roman" w:hAnsi="Times New Roman" w:cs="Times New Roman"/>
          <w:i/>
          <w:sz w:val="24"/>
          <w:szCs w:val="24"/>
          <w:highlight w:val="white"/>
        </w:rPr>
        <w:t>)</w:t>
      </w:r>
      <w:r>
        <w:rPr>
          <w:rFonts w:ascii="Times New Roman" w:eastAsia="Times New Roman" w:hAnsi="Times New Roman" w:cs="Times New Roman"/>
          <w:sz w:val="24"/>
          <w:szCs w:val="24"/>
          <w:highlight w:val="white"/>
        </w:rPr>
        <w:t xml:space="preserve"> (pp. 111-119). IEEE. </w:t>
      </w:r>
    </w:p>
    <w:p w14:paraId="4814B56A" w14:textId="77777777" w:rsidR="00F378DA" w:rsidRDefault="00F378DA" w:rsidP="00F378DA">
      <w:pPr>
        <w:pStyle w:val="Normal1"/>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Dinnik</w:t>
      </w:r>
      <w:proofErr w:type="spellEnd"/>
      <w:r>
        <w:rPr>
          <w:rFonts w:ascii="Times New Roman" w:eastAsia="Times New Roman" w:hAnsi="Times New Roman" w:cs="Times New Roman"/>
          <w:color w:val="222222"/>
          <w:sz w:val="24"/>
          <w:szCs w:val="24"/>
          <w:highlight w:val="white"/>
        </w:rPr>
        <w:t xml:space="preserve">, D.I., </w:t>
      </w:r>
      <w:proofErr w:type="spellStart"/>
      <w:r>
        <w:rPr>
          <w:rFonts w:ascii="Times New Roman" w:eastAsia="Times New Roman" w:hAnsi="Times New Roman" w:cs="Times New Roman"/>
          <w:color w:val="222222"/>
          <w:sz w:val="24"/>
          <w:szCs w:val="24"/>
          <w:highlight w:val="white"/>
        </w:rPr>
        <w:t>Grigoryeva</w:t>
      </w:r>
      <w:proofErr w:type="spellEnd"/>
      <w:r>
        <w:rPr>
          <w:rFonts w:ascii="Times New Roman" w:eastAsia="Times New Roman" w:hAnsi="Times New Roman" w:cs="Times New Roman"/>
          <w:color w:val="222222"/>
          <w:sz w:val="24"/>
          <w:szCs w:val="24"/>
          <w:highlight w:val="white"/>
        </w:rPr>
        <w:t xml:space="preserve">, N.S. and </w:t>
      </w:r>
      <w:proofErr w:type="spellStart"/>
      <w:r>
        <w:rPr>
          <w:rFonts w:ascii="Times New Roman" w:eastAsia="Times New Roman" w:hAnsi="Times New Roman" w:cs="Times New Roman"/>
          <w:color w:val="222222"/>
          <w:sz w:val="24"/>
          <w:szCs w:val="24"/>
          <w:highlight w:val="white"/>
        </w:rPr>
        <w:t>Galoyan</w:t>
      </w:r>
      <w:proofErr w:type="spellEnd"/>
      <w:r>
        <w:rPr>
          <w:rFonts w:ascii="Times New Roman" w:eastAsia="Times New Roman" w:hAnsi="Times New Roman" w:cs="Times New Roman"/>
          <w:color w:val="222222"/>
          <w:sz w:val="24"/>
          <w:szCs w:val="24"/>
          <w:highlight w:val="white"/>
        </w:rPr>
        <w:t xml:space="preserve">, Y.E., 2019, August. Improving project management of socio-economic development of the region with the use of soft computing. In </w:t>
      </w:r>
      <w:r>
        <w:rPr>
          <w:rFonts w:ascii="Times New Roman" w:eastAsia="Times New Roman" w:hAnsi="Times New Roman" w:cs="Times New Roman"/>
          <w:i/>
          <w:color w:val="222222"/>
          <w:sz w:val="24"/>
          <w:szCs w:val="24"/>
          <w:highlight w:val="white"/>
        </w:rPr>
        <w:t>International Conference on Theory and Application of Soft Computing, Computing with Words and Perceptions</w:t>
      </w:r>
      <w:r>
        <w:rPr>
          <w:rFonts w:ascii="Times New Roman" w:eastAsia="Times New Roman" w:hAnsi="Times New Roman" w:cs="Times New Roman"/>
          <w:color w:val="222222"/>
          <w:sz w:val="24"/>
          <w:szCs w:val="24"/>
          <w:highlight w:val="white"/>
        </w:rPr>
        <w:t xml:space="preserve"> (pp. 214-220). Cham: Springer International Publishing.</w:t>
      </w:r>
    </w:p>
    <w:p w14:paraId="5D808177" w14:textId="77777777" w:rsidR="00F378DA" w:rsidRDefault="00F378DA" w:rsidP="00F378D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Gillespie, J., 2020. CALL research: Where are we now? </w:t>
      </w:r>
      <w:proofErr w:type="spellStart"/>
      <w:r>
        <w:rPr>
          <w:rFonts w:ascii="Times New Roman" w:eastAsia="Times New Roman" w:hAnsi="Times New Roman" w:cs="Times New Roman"/>
          <w:i/>
          <w:sz w:val="24"/>
          <w:szCs w:val="24"/>
          <w:highlight w:val="white"/>
        </w:rPr>
        <w:t>ReCALL</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w:t>
      </w:r>
      <w:r>
        <w:rPr>
          <w:rFonts w:ascii="Times New Roman" w:eastAsia="Times New Roman" w:hAnsi="Times New Roman" w:cs="Times New Roman"/>
          <w:sz w:val="24"/>
          <w:szCs w:val="24"/>
          <w:highlight w:val="white"/>
        </w:rPr>
        <w:t xml:space="preserve">(2), pp.127-144. </w:t>
      </w:r>
    </w:p>
    <w:p w14:paraId="25F3A9E5" w14:textId="77777777" w:rsidR="00F378DA" w:rsidRDefault="00F378DA" w:rsidP="00F378DA">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Gillespies.co.uk, 2023, </w:t>
      </w:r>
      <w:r>
        <w:rPr>
          <w:rFonts w:ascii="Times New Roman" w:eastAsia="Times New Roman" w:hAnsi="Times New Roman" w:cs="Times New Roman"/>
          <w:i/>
          <w:sz w:val="24"/>
          <w:szCs w:val="24"/>
        </w:rPr>
        <w:t>Projects - Google Headquarters</w:t>
      </w:r>
      <w:r>
        <w:rPr>
          <w:rFonts w:ascii="Times New Roman" w:eastAsia="Times New Roman" w:hAnsi="Times New Roman" w:cs="Times New Roman"/>
          <w:sz w:val="24"/>
          <w:szCs w:val="24"/>
        </w:rPr>
        <w:t xml:space="preserve">, Available through: </w:t>
      </w:r>
      <w:hyperlink r:id="rId5">
        <w:r>
          <w:rPr>
            <w:rFonts w:ascii="Times New Roman" w:eastAsia="Times New Roman" w:hAnsi="Times New Roman" w:cs="Times New Roman"/>
            <w:color w:val="1155CC"/>
            <w:sz w:val="24"/>
            <w:szCs w:val="24"/>
            <w:u w:val="single"/>
          </w:rPr>
          <w:t>https://www.gillespies.co.uk/projects/google-headquarters</w:t>
        </w:r>
      </w:hyperlink>
      <w:r>
        <w:rPr>
          <w:rFonts w:ascii="Times New Roman" w:eastAsia="Times New Roman" w:hAnsi="Times New Roman" w:cs="Times New Roman"/>
          <w:sz w:val="24"/>
          <w:szCs w:val="24"/>
        </w:rPr>
        <w:t xml:space="preserve"> [Last accessed on 30th November 2023] </w:t>
      </w:r>
    </w:p>
    <w:p w14:paraId="0FC96CBE" w14:textId="77777777" w:rsidR="00F378DA" w:rsidRDefault="00F378DA" w:rsidP="00F378D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Goodman, E.P. and Powles, J., 2019. Urbanism under google lessons from sidewalk Toronto. </w:t>
      </w:r>
      <w:r>
        <w:rPr>
          <w:rFonts w:ascii="Times New Roman" w:eastAsia="Times New Roman" w:hAnsi="Times New Roman" w:cs="Times New Roman"/>
          <w:i/>
          <w:sz w:val="24"/>
          <w:szCs w:val="24"/>
          <w:highlight w:val="white"/>
        </w:rPr>
        <w:t>Fordham L. Rev.</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88</w:t>
      </w:r>
      <w:r>
        <w:rPr>
          <w:rFonts w:ascii="Times New Roman" w:eastAsia="Times New Roman" w:hAnsi="Times New Roman" w:cs="Times New Roman"/>
          <w:sz w:val="24"/>
          <w:szCs w:val="24"/>
          <w:highlight w:val="white"/>
        </w:rPr>
        <w:t xml:space="preserve">, p.457. </w:t>
      </w:r>
    </w:p>
    <w:p w14:paraId="3D5D717E" w14:textId="77777777" w:rsidR="00F378DA" w:rsidRDefault="00F378DA" w:rsidP="00F378D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Kerzner, H., 2019. </w:t>
      </w:r>
      <w:r>
        <w:rPr>
          <w:rFonts w:ascii="Times New Roman" w:eastAsia="Times New Roman" w:hAnsi="Times New Roman" w:cs="Times New Roman"/>
          <w:i/>
          <w:color w:val="222222"/>
          <w:sz w:val="24"/>
          <w:szCs w:val="24"/>
          <w:highlight w:val="white"/>
        </w:rPr>
        <w:t>Using the project management maturity model: strategic planning for project management</w:t>
      </w:r>
      <w:r>
        <w:rPr>
          <w:rFonts w:ascii="Times New Roman" w:eastAsia="Times New Roman" w:hAnsi="Times New Roman" w:cs="Times New Roman"/>
          <w:color w:val="222222"/>
          <w:sz w:val="24"/>
          <w:szCs w:val="24"/>
          <w:highlight w:val="white"/>
        </w:rPr>
        <w:t>. John Wiley &amp; Sons.</w:t>
      </w:r>
    </w:p>
    <w:p w14:paraId="44D7B8A7" w14:textId="77777777" w:rsidR="00F378DA" w:rsidRDefault="00F378DA" w:rsidP="00F378D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Nicholas, J.M. and Steyn, H., 2020. </w:t>
      </w:r>
      <w:r>
        <w:rPr>
          <w:rFonts w:ascii="Times New Roman" w:eastAsia="Times New Roman" w:hAnsi="Times New Roman" w:cs="Times New Roman"/>
          <w:i/>
          <w:color w:val="222222"/>
          <w:sz w:val="24"/>
          <w:szCs w:val="24"/>
          <w:highlight w:val="white"/>
        </w:rPr>
        <w:t>Project management for engineering, business, and technology</w:t>
      </w:r>
      <w:r>
        <w:rPr>
          <w:rFonts w:ascii="Times New Roman" w:eastAsia="Times New Roman" w:hAnsi="Times New Roman" w:cs="Times New Roman"/>
          <w:color w:val="222222"/>
          <w:sz w:val="24"/>
          <w:szCs w:val="24"/>
          <w:highlight w:val="white"/>
        </w:rPr>
        <w:t>. Routledge.</w:t>
      </w:r>
    </w:p>
    <w:p w14:paraId="22D3BC41" w14:textId="77777777" w:rsidR="00F378DA" w:rsidRDefault="00F378DA" w:rsidP="00F378DA">
      <w:pPr>
        <w:pStyle w:val="Normal1"/>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Pham-Duc, B., Nguyen, H., Phan, H. and Tran-Anh, Q., 2023. Trends and applications of google earth engine in remote sensing and earth science research: a bibliometric analysis using </w:t>
      </w:r>
      <w:proofErr w:type="spellStart"/>
      <w:r>
        <w:rPr>
          <w:rFonts w:ascii="Times New Roman" w:eastAsia="Times New Roman" w:hAnsi="Times New Roman" w:cs="Times New Roman"/>
          <w:sz w:val="24"/>
          <w:szCs w:val="24"/>
          <w:highlight w:val="white"/>
        </w:rPr>
        <w:t>scopus</w:t>
      </w:r>
      <w:proofErr w:type="spellEnd"/>
      <w:r>
        <w:rPr>
          <w:rFonts w:ascii="Times New Roman" w:eastAsia="Times New Roman" w:hAnsi="Times New Roman" w:cs="Times New Roman"/>
          <w:sz w:val="24"/>
          <w:szCs w:val="24"/>
          <w:highlight w:val="white"/>
        </w:rPr>
        <w:t xml:space="preserve"> database. </w:t>
      </w:r>
      <w:r>
        <w:rPr>
          <w:rFonts w:ascii="Times New Roman" w:eastAsia="Times New Roman" w:hAnsi="Times New Roman" w:cs="Times New Roman"/>
          <w:i/>
          <w:sz w:val="24"/>
          <w:szCs w:val="24"/>
          <w:highlight w:val="white"/>
        </w:rPr>
        <w:t>Earth Science Informatics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16</w:t>
      </w:r>
      <w:r>
        <w:rPr>
          <w:rFonts w:ascii="Times New Roman" w:eastAsia="Times New Roman" w:hAnsi="Times New Roman" w:cs="Times New Roman"/>
          <w:sz w:val="24"/>
          <w:szCs w:val="24"/>
          <w:highlight w:val="white"/>
        </w:rPr>
        <w:t xml:space="preserve">(3), pp.2355-2371. </w:t>
      </w:r>
    </w:p>
    <w:p w14:paraId="2FE9DE6F" w14:textId="77777777" w:rsidR="00F378DA" w:rsidRDefault="00F378DA" w:rsidP="00F378DA">
      <w:pPr>
        <w:pStyle w:val="Normal1"/>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Pinto, J.K., 2020. </w:t>
      </w:r>
      <w:r>
        <w:rPr>
          <w:rFonts w:ascii="Times New Roman" w:eastAsia="Times New Roman" w:hAnsi="Times New Roman" w:cs="Times New Roman"/>
          <w:i/>
          <w:color w:val="222222"/>
          <w:sz w:val="24"/>
          <w:szCs w:val="24"/>
          <w:highlight w:val="white"/>
        </w:rPr>
        <w:t>Project management: achieving competitive advantage</w:t>
      </w:r>
      <w:r>
        <w:rPr>
          <w:rFonts w:ascii="Times New Roman" w:eastAsia="Times New Roman" w:hAnsi="Times New Roman" w:cs="Times New Roman"/>
          <w:color w:val="222222"/>
          <w:sz w:val="24"/>
          <w:szCs w:val="24"/>
          <w:highlight w:val="white"/>
        </w:rPr>
        <w:t>. Pearson.</w:t>
      </w:r>
    </w:p>
    <w:p w14:paraId="0A1321CB" w14:textId="77777777" w:rsidR="00F378DA" w:rsidRDefault="00F378DA"/>
    <w:sectPr w:rsidR="00F378DA" w:rsidSect="009D67EA">
      <w:footerReference w:type="default" r:id="rId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97694"/>
      <w:docPartObj>
        <w:docPartGallery w:val="Page Numbers (Bottom of Page)"/>
        <w:docPartUnique/>
      </w:docPartObj>
    </w:sdtPr>
    <w:sdtContent>
      <w:p w14:paraId="0B144F49" w14:textId="77777777" w:rsidR="009D67E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324EAE" w14:textId="77777777" w:rsidR="009D67EA"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8DA"/>
    <w:rsid w:val="00F378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4276CB"/>
  <w15:chartTrackingRefBased/>
  <w15:docId w15:val="{2B1C26C6-FAA9-B54A-A1FB-7956CD266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8DA"/>
    <w:pPr>
      <w:spacing w:line="276" w:lineRule="auto"/>
    </w:pPr>
    <w:rPr>
      <w:rFonts w:ascii="Arial" w:eastAsia="Arial" w:hAnsi="Arial" w:cs="Arial"/>
      <w:kern w:val="0"/>
      <w:sz w:val="22"/>
      <w:szCs w:val="22"/>
      <w:lang w:bidi="bn-IN"/>
      <w14:ligatures w14:val="none"/>
    </w:rPr>
  </w:style>
  <w:style w:type="paragraph" w:styleId="Heading1">
    <w:name w:val="heading 1"/>
    <w:basedOn w:val="Normal1"/>
    <w:next w:val="Normal1"/>
    <w:link w:val="Heading1Char"/>
    <w:rsid w:val="00F378DA"/>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78DA"/>
    <w:rPr>
      <w:rFonts w:ascii="Times New Roman" w:eastAsia="Arial" w:hAnsi="Times New Roman" w:cs="Arial"/>
      <w:b/>
      <w:kern w:val="0"/>
      <w:szCs w:val="40"/>
      <w:lang w:bidi="bn-IN"/>
      <w14:ligatures w14:val="none"/>
    </w:rPr>
  </w:style>
  <w:style w:type="paragraph" w:customStyle="1" w:styleId="Normal1">
    <w:name w:val="Normal1"/>
    <w:rsid w:val="00F378DA"/>
    <w:pPr>
      <w:spacing w:line="276" w:lineRule="auto"/>
    </w:pPr>
    <w:rPr>
      <w:rFonts w:ascii="Arial" w:eastAsia="Arial" w:hAnsi="Arial" w:cs="Arial"/>
      <w:kern w:val="0"/>
      <w:sz w:val="22"/>
      <w:szCs w:val="22"/>
      <w:lang w:bidi="bn-IN"/>
      <w14:ligatures w14:val="none"/>
    </w:rPr>
  </w:style>
  <w:style w:type="paragraph" w:styleId="Footer">
    <w:name w:val="footer"/>
    <w:basedOn w:val="Normal"/>
    <w:link w:val="FooterChar"/>
    <w:uiPriority w:val="99"/>
    <w:unhideWhenUsed/>
    <w:rsid w:val="00F378DA"/>
    <w:pPr>
      <w:tabs>
        <w:tab w:val="center" w:pos="4680"/>
        <w:tab w:val="right" w:pos="9360"/>
      </w:tabs>
      <w:spacing w:line="240" w:lineRule="auto"/>
    </w:pPr>
    <w:rPr>
      <w:szCs w:val="28"/>
    </w:rPr>
  </w:style>
  <w:style w:type="character" w:customStyle="1" w:styleId="FooterChar">
    <w:name w:val="Footer Char"/>
    <w:basedOn w:val="DefaultParagraphFont"/>
    <w:link w:val="Footer"/>
    <w:uiPriority w:val="99"/>
    <w:rsid w:val="00F378DA"/>
    <w:rPr>
      <w:rFonts w:ascii="Arial" w:eastAsia="Arial" w:hAnsi="Arial" w:cs="Arial"/>
      <w:kern w:val="0"/>
      <w:sz w:val="22"/>
      <w:szCs w:val="28"/>
      <w:lang w:bidi="bn-IN"/>
      <w14:ligatures w14:val="none"/>
    </w:rPr>
  </w:style>
  <w:style w:type="paragraph" w:styleId="TOCHeading">
    <w:name w:val="TOC Heading"/>
    <w:basedOn w:val="Heading1"/>
    <w:next w:val="Normal"/>
    <w:uiPriority w:val="39"/>
    <w:semiHidden/>
    <w:unhideWhenUsed/>
    <w:qFormat/>
    <w:rsid w:val="00F378DA"/>
    <w:pPr>
      <w:spacing w:before="480" w:after="0" w:line="276" w:lineRule="auto"/>
      <w:jc w:val="left"/>
      <w:outlineLvl w:val="9"/>
    </w:pPr>
    <w:rPr>
      <w:rFonts w:asciiTheme="majorHAnsi" w:eastAsiaTheme="majorEastAsia" w:hAnsiTheme="majorHAnsi" w:cstheme="majorBidi"/>
      <w:bCs/>
      <w:color w:val="2F5496" w:themeColor="accent1" w:themeShade="BF"/>
      <w:sz w:val="28"/>
      <w:szCs w:val="28"/>
      <w:lang w:val="en-US" w:bidi="ar-SA"/>
    </w:rPr>
  </w:style>
  <w:style w:type="paragraph" w:styleId="TOC1">
    <w:name w:val="toc 1"/>
    <w:basedOn w:val="Normal"/>
    <w:next w:val="Normal"/>
    <w:autoRedefine/>
    <w:uiPriority w:val="39"/>
    <w:unhideWhenUsed/>
    <w:rsid w:val="00F378DA"/>
    <w:pPr>
      <w:spacing w:after="100"/>
    </w:pPr>
    <w:rPr>
      <w:szCs w:val="28"/>
    </w:rPr>
  </w:style>
  <w:style w:type="character" w:styleId="Hyperlink">
    <w:name w:val="Hyperlink"/>
    <w:basedOn w:val="DefaultParagraphFont"/>
    <w:uiPriority w:val="99"/>
    <w:unhideWhenUsed/>
    <w:rsid w:val="00F378D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yperlink" Target="https://www.gillespies.co.uk/projects/google-headquarter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18</Pages>
  <Words>3396</Words>
  <Characters>19359</Characters>
  <Application>Microsoft Office Word</Application>
  <DocSecurity>0</DocSecurity>
  <Lines>161</Lines>
  <Paragraphs>45</Paragraphs>
  <ScaleCrop>false</ScaleCrop>
  <Company/>
  <LinksUpToDate>false</LinksUpToDate>
  <CharactersWithSpaces>22710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Andreea Doru (2125338)</dc:creator>
  <cp:keywords/>
  <dc:description/>
  <cp:lastModifiedBy>Laura Andreea Doru (2125338)</cp:lastModifiedBy>
  <cp:revision>1</cp:revision>
  <dcterms:created xsi:type="dcterms:W3CDTF">2023-12-01T09:23:00Z</dcterms:created>
  <dcterms:modified xsi:type="dcterms:W3CDTF">2023-12-01T09:31:00Z</dcterms:modified>
</cp:coreProperties>
</file>