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C4C2A" w14:textId="77777777" w:rsidR="003A3F12" w:rsidRDefault="003A3F12" w:rsidP="00FD5A24">
      <w:pPr>
        <w:spacing w:line="360" w:lineRule="auto"/>
        <w:jc w:val="center"/>
        <w:rPr>
          <w:rFonts w:ascii="Arial" w:hAnsi="Arial" w:cs="Arial"/>
          <w:b/>
          <w:bCs/>
          <w:sz w:val="32"/>
          <w:szCs w:val="32"/>
        </w:rPr>
      </w:pPr>
    </w:p>
    <w:p w14:paraId="2950CDF8" w14:textId="77777777" w:rsidR="003A3F12" w:rsidRDefault="003A3F12" w:rsidP="00FD5A24">
      <w:pPr>
        <w:spacing w:line="360" w:lineRule="auto"/>
        <w:jc w:val="center"/>
        <w:rPr>
          <w:rFonts w:ascii="Arial" w:hAnsi="Arial" w:cs="Arial"/>
          <w:b/>
          <w:bCs/>
          <w:sz w:val="32"/>
          <w:szCs w:val="32"/>
        </w:rPr>
      </w:pPr>
    </w:p>
    <w:p w14:paraId="705613FF" w14:textId="77777777" w:rsidR="003A3F12" w:rsidRDefault="003A3F12" w:rsidP="00FD5A24">
      <w:pPr>
        <w:spacing w:line="360" w:lineRule="auto"/>
        <w:jc w:val="center"/>
        <w:rPr>
          <w:rFonts w:ascii="Arial" w:hAnsi="Arial" w:cs="Arial"/>
          <w:b/>
          <w:bCs/>
          <w:sz w:val="32"/>
          <w:szCs w:val="32"/>
        </w:rPr>
      </w:pPr>
    </w:p>
    <w:p w14:paraId="0436898B" w14:textId="77777777" w:rsidR="003A3F12" w:rsidRDefault="003A3F12" w:rsidP="00FD5A24">
      <w:pPr>
        <w:spacing w:line="360" w:lineRule="auto"/>
        <w:jc w:val="center"/>
        <w:rPr>
          <w:rFonts w:ascii="Arial" w:hAnsi="Arial" w:cs="Arial"/>
          <w:b/>
          <w:bCs/>
          <w:sz w:val="32"/>
          <w:szCs w:val="32"/>
        </w:rPr>
      </w:pPr>
    </w:p>
    <w:p w14:paraId="3BE1C14A" w14:textId="77777777" w:rsidR="003A3F12" w:rsidRDefault="003A3F12" w:rsidP="00FD5A24">
      <w:pPr>
        <w:spacing w:line="360" w:lineRule="auto"/>
        <w:jc w:val="center"/>
        <w:rPr>
          <w:rFonts w:ascii="Arial" w:hAnsi="Arial" w:cs="Arial"/>
          <w:b/>
          <w:bCs/>
          <w:sz w:val="32"/>
          <w:szCs w:val="32"/>
        </w:rPr>
      </w:pPr>
    </w:p>
    <w:p w14:paraId="2F6921AF" w14:textId="77777777" w:rsidR="003A3F12" w:rsidRDefault="003A3F12" w:rsidP="00FD5A24">
      <w:pPr>
        <w:spacing w:line="360" w:lineRule="auto"/>
        <w:jc w:val="center"/>
        <w:rPr>
          <w:rFonts w:ascii="Arial" w:hAnsi="Arial" w:cs="Arial"/>
          <w:b/>
          <w:bCs/>
          <w:sz w:val="32"/>
          <w:szCs w:val="32"/>
        </w:rPr>
      </w:pPr>
    </w:p>
    <w:p w14:paraId="3016E172" w14:textId="5EC10EFE" w:rsidR="00FD5A24" w:rsidRPr="00FD5A24" w:rsidRDefault="00FD5A24" w:rsidP="00FD5A24">
      <w:pPr>
        <w:spacing w:line="360" w:lineRule="auto"/>
        <w:jc w:val="center"/>
        <w:rPr>
          <w:rFonts w:ascii="Arial" w:hAnsi="Arial" w:cs="Arial"/>
          <w:b/>
          <w:bCs/>
          <w:sz w:val="32"/>
          <w:szCs w:val="32"/>
        </w:rPr>
      </w:pPr>
      <w:r w:rsidRPr="00FD5A24">
        <w:rPr>
          <w:rFonts w:ascii="Arial" w:hAnsi="Arial" w:cs="Arial"/>
          <w:b/>
          <w:bCs/>
          <w:sz w:val="32"/>
          <w:szCs w:val="32"/>
        </w:rPr>
        <w:t>How to Engage Employees through Employee Lifecycle</w:t>
      </w:r>
    </w:p>
    <w:p w14:paraId="66FABF88" w14:textId="3C92AD3B" w:rsidR="00FD5A24" w:rsidRDefault="00FD5A24" w:rsidP="00FD5A24">
      <w:pPr>
        <w:spacing w:line="360" w:lineRule="auto"/>
        <w:jc w:val="center"/>
        <w:rPr>
          <w:rFonts w:ascii="Arial" w:hAnsi="Arial" w:cs="Arial"/>
          <w:b/>
          <w:bCs/>
        </w:rPr>
      </w:pPr>
    </w:p>
    <w:p w14:paraId="620C8EB1" w14:textId="03ECE47D" w:rsidR="00FD5A24" w:rsidRPr="003A3F12" w:rsidRDefault="00FD5A24" w:rsidP="00FD5A24">
      <w:pPr>
        <w:spacing w:line="360" w:lineRule="auto"/>
        <w:jc w:val="center"/>
        <w:rPr>
          <w:rFonts w:ascii="Arial" w:hAnsi="Arial" w:cs="Arial"/>
          <w:sz w:val="22"/>
          <w:szCs w:val="22"/>
        </w:rPr>
      </w:pPr>
      <w:r w:rsidRPr="003A3F12">
        <w:rPr>
          <w:rFonts w:ascii="Arial" w:hAnsi="Arial" w:cs="Arial"/>
          <w:sz w:val="22"/>
          <w:szCs w:val="22"/>
        </w:rPr>
        <w:t>Student Name: Danila Iulia Lacramioara</w:t>
      </w:r>
    </w:p>
    <w:p w14:paraId="32064E93" w14:textId="59168118" w:rsidR="00FD5A24" w:rsidRPr="003A3F12" w:rsidRDefault="00FD5A24" w:rsidP="00FD5A24">
      <w:pPr>
        <w:spacing w:line="360" w:lineRule="auto"/>
        <w:jc w:val="center"/>
        <w:rPr>
          <w:rFonts w:ascii="Arial" w:hAnsi="Arial" w:cs="Arial"/>
          <w:sz w:val="22"/>
          <w:szCs w:val="22"/>
        </w:rPr>
      </w:pPr>
      <w:r w:rsidRPr="003A3F12">
        <w:rPr>
          <w:rFonts w:ascii="Arial" w:hAnsi="Arial" w:cs="Arial"/>
          <w:sz w:val="22"/>
          <w:szCs w:val="22"/>
        </w:rPr>
        <w:t>Student ID Number: 2108673</w:t>
      </w:r>
    </w:p>
    <w:p w14:paraId="4F635B9F" w14:textId="50CBF400" w:rsidR="00FD5A24" w:rsidRPr="003A3F12" w:rsidRDefault="00FD5A24" w:rsidP="00FD5A24">
      <w:pPr>
        <w:spacing w:line="360" w:lineRule="auto"/>
        <w:jc w:val="center"/>
        <w:rPr>
          <w:rFonts w:ascii="Arial" w:hAnsi="Arial" w:cs="Arial"/>
          <w:sz w:val="22"/>
          <w:szCs w:val="22"/>
        </w:rPr>
      </w:pPr>
      <w:r w:rsidRPr="003A3F12">
        <w:rPr>
          <w:rFonts w:ascii="Arial" w:hAnsi="Arial" w:cs="Arial"/>
          <w:sz w:val="22"/>
          <w:szCs w:val="22"/>
        </w:rPr>
        <w:t>E-mail: 2108673@student</w:t>
      </w:r>
      <w:r w:rsidR="003A3F12" w:rsidRPr="003A3F12">
        <w:rPr>
          <w:rFonts w:ascii="Arial" w:hAnsi="Arial" w:cs="Arial"/>
          <w:sz w:val="22"/>
          <w:szCs w:val="22"/>
        </w:rPr>
        <w:t>.uwtsd.ac.uk</w:t>
      </w:r>
    </w:p>
    <w:p w14:paraId="6DC85824" w14:textId="330BEE63" w:rsidR="00FD5A24" w:rsidRPr="003A3F12" w:rsidRDefault="00FD5A24" w:rsidP="00FD5A24">
      <w:pPr>
        <w:spacing w:line="360" w:lineRule="auto"/>
        <w:jc w:val="center"/>
        <w:rPr>
          <w:rFonts w:ascii="Arial" w:hAnsi="Arial" w:cs="Arial"/>
          <w:sz w:val="22"/>
          <w:szCs w:val="22"/>
        </w:rPr>
      </w:pPr>
      <w:r w:rsidRPr="003A3F12">
        <w:rPr>
          <w:rFonts w:ascii="Arial" w:hAnsi="Arial" w:cs="Arial"/>
          <w:sz w:val="22"/>
          <w:szCs w:val="22"/>
        </w:rPr>
        <w:t>Personnel Resourcing &amp;Development: BMIH5005</w:t>
      </w:r>
    </w:p>
    <w:p w14:paraId="6BC52C3F" w14:textId="3B5C7D17" w:rsidR="00FD5A24" w:rsidRPr="003A3F12" w:rsidRDefault="00FD5A24" w:rsidP="00FD5A24">
      <w:pPr>
        <w:spacing w:line="360" w:lineRule="auto"/>
        <w:jc w:val="center"/>
        <w:rPr>
          <w:rFonts w:ascii="Arial" w:hAnsi="Arial" w:cs="Arial"/>
          <w:sz w:val="22"/>
          <w:szCs w:val="22"/>
        </w:rPr>
      </w:pPr>
      <w:r w:rsidRPr="003A3F12">
        <w:rPr>
          <w:rFonts w:ascii="Arial" w:hAnsi="Arial" w:cs="Arial"/>
          <w:sz w:val="22"/>
          <w:szCs w:val="22"/>
        </w:rPr>
        <w:t>Lecturer: Emma Roberts</w:t>
      </w:r>
    </w:p>
    <w:p w14:paraId="6637B412" w14:textId="4045619A" w:rsidR="003A3F12" w:rsidRPr="003A3F12" w:rsidRDefault="003A3F12" w:rsidP="00FD5A24">
      <w:pPr>
        <w:spacing w:line="360" w:lineRule="auto"/>
        <w:jc w:val="center"/>
        <w:rPr>
          <w:rFonts w:ascii="Arial" w:hAnsi="Arial" w:cs="Arial"/>
          <w:sz w:val="22"/>
          <w:szCs w:val="22"/>
        </w:rPr>
      </w:pPr>
      <w:r w:rsidRPr="003A3F12">
        <w:rPr>
          <w:rFonts w:ascii="Arial" w:hAnsi="Arial" w:cs="Arial"/>
          <w:sz w:val="22"/>
          <w:szCs w:val="22"/>
        </w:rPr>
        <w:t>E-mail: e.roberts@uwtsd.ac.uk</w:t>
      </w:r>
    </w:p>
    <w:p w14:paraId="58F21F71" w14:textId="77777777" w:rsidR="00FD5A24" w:rsidRPr="003A3F12" w:rsidRDefault="00FD5A24" w:rsidP="00FD5A24">
      <w:pPr>
        <w:spacing w:line="360" w:lineRule="auto"/>
        <w:jc w:val="center"/>
        <w:rPr>
          <w:rFonts w:ascii="Arial" w:hAnsi="Arial" w:cs="Arial"/>
          <w:sz w:val="22"/>
          <w:szCs w:val="22"/>
        </w:rPr>
      </w:pPr>
    </w:p>
    <w:p w14:paraId="08D0160B" w14:textId="428B451A" w:rsidR="00FD5A24" w:rsidRPr="003A3F12" w:rsidRDefault="00FD5A24" w:rsidP="00FD5A24">
      <w:pPr>
        <w:spacing w:line="360" w:lineRule="auto"/>
        <w:jc w:val="center"/>
        <w:rPr>
          <w:rFonts w:ascii="Arial" w:hAnsi="Arial" w:cs="Arial"/>
          <w:b/>
          <w:bCs/>
          <w:sz w:val="22"/>
          <w:szCs w:val="22"/>
        </w:rPr>
      </w:pPr>
    </w:p>
    <w:p w14:paraId="6A959426" w14:textId="77777777" w:rsidR="003A3F12" w:rsidRDefault="003A3F12" w:rsidP="003A3F12">
      <w:pPr>
        <w:spacing w:line="360" w:lineRule="auto"/>
        <w:ind w:firstLine="720"/>
        <w:rPr>
          <w:rFonts w:ascii="Arial" w:hAnsi="Arial" w:cs="Arial"/>
        </w:rPr>
      </w:pPr>
    </w:p>
    <w:p w14:paraId="40946C64" w14:textId="77777777" w:rsidR="003A3F12" w:rsidRDefault="003A3F12" w:rsidP="003A3F12">
      <w:pPr>
        <w:spacing w:line="360" w:lineRule="auto"/>
        <w:ind w:firstLine="720"/>
        <w:rPr>
          <w:rFonts w:ascii="Arial" w:hAnsi="Arial" w:cs="Arial"/>
        </w:rPr>
      </w:pPr>
    </w:p>
    <w:p w14:paraId="6F926BD0" w14:textId="77777777" w:rsidR="003A3F12" w:rsidRDefault="003A3F12" w:rsidP="003A3F12">
      <w:pPr>
        <w:spacing w:line="360" w:lineRule="auto"/>
        <w:ind w:firstLine="720"/>
        <w:rPr>
          <w:rFonts w:ascii="Arial" w:hAnsi="Arial" w:cs="Arial"/>
        </w:rPr>
      </w:pPr>
    </w:p>
    <w:p w14:paraId="0CC13EAA" w14:textId="77777777" w:rsidR="003A3F12" w:rsidRDefault="003A3F12" w:rsidP="003A3F12">
      <w:pPr>
        <w:spacing w:line="360" w:lineRule="auto"/>
        <w:ind w:firstLine="720"/>
        <w:rPr>
          <w:rFonts w:ascii="Arial" w:hAnsi="Arial" w:cs="Arial"/>
        </w:rPr>
      </w:pPr>
    </w:p>
    <w:p w14:paraId="15E216C9" w14:textId="77777777" w:rsidR="003A3F12" w:rsidRDefault="003A3F12" w:rsidP="003A3F12">
      <w:pPr>
        <w:spacing w:line="360" w:lineRule="auto"/>
        <w:ind w:firstLine="720"/>
        <w:rPr>
          <w:rFonts w:ascii="Arial" w:hAnsi="Arial" w:cs="Arial"/>
        </w:rPr>
      </w:pPr>
    </w:p>
    <w:p w14:paraId="5B783D52" w14:textId="77777777" w:rsidR="003A3F12" w:rsidRDefault="003A3F12" w:rsidP="003A3F12">
      <w:pPr>
        <w:spacing w:line="360" w:lineRule="auto"/>
        <w:ind w:firstLine="720"/>
        <w:rPr>
          <w:rFonts w:ascii="Arial" w:hAnsi="Arial" w:cs="Arial"/>
        </w:rPr>
      </w:pPr>
    </w:p>
    <w:p w14:paraId="481D4BD5" w14:textId="77777777" w:rsidR="003A3F12" w:rsidRDefault="003A3F12" w:rsidP="003A3F12">
      <w:pPr>
        <w:spacing w:line="360" w:lineRule="auto"/>
        <w:ind w:firstLine="720"/>
        <w:rPr>
          <w:rFonts w:ascii="Arial" w:hAnsi="Arial" w:cs="Arial"/>
        </w:rPr>
      </w:pPr>
    </w:p>
    <w:p w14:paraId="54462665" w14:textId="77777777" w:rsidR="003A3F12" w:rsidRDefault="003A3F12" w:rsidP="003A3F12">
      <w:pPr>
        <w:spacing w:line="360" w:lineRule="auto"/>
        <w:ind w:firstLine="720"/>
        <w:rPr>
          <w:rFonts w:ascii="Arial" w:hAnsi="Arial" w:cs="Arial"/>
        </w:rPr>
      </w:pPr>
    </w:p>
    <w:p w14:paraId="6AB8D65E" w14:textId="77777777" w:rsidR="003A3F12" w:rsidRDefault="003A3F12" w:rsidP="003A3F12">
      <w:pPr>
        <w:spacing w:line="360" w:lineRule="auto"/>
        <w:ind w:firstLine="720"/>
        <w:rPr>
          <w:rFonts w:ascii="Arial" w:hAnsi="Arial" w:cs="Arial"/>
        </w:rPr>
      </w:pPr>
    </w:p>
    <w:p w14:paraId="64AF4E3A" w14:textId="77777777" w:rsidR="003A3F12" w:rsidRDefault="003A3F12" w:rsidP="003A3F12">
      <w:pPr>
        <w:spacing w:line="360" w:lineRule="auto"/>
        <w:ind w:firstLine="720"/>
        <w:rPr>
          <w:rFonts w:ascii="Arial" w:hAnsi="Arial" w:cs="Arial"/>
        </w:rPr>
      </w:pPr>
    </w:p>
    <w:p w14:paraId="53E3B7D8" w14:textId="77777777" w:rsidR="003A3F12" w:rsidRDefault="003A3F12" w:rsidP="003A3F12">
      <w:pPr>
        <w:spacing w:line="360" w:lineRule="auto"/>
        <w:ind w:firstLine="720"/>
        <w:rPr>
          <w:rFonts w:ascii="Arial" w:hAnsi="Arial" w:cs="Arial"/>
        </w:rPr>
      </w:pPr>
    </w:p>
    <w:p w14:paraId="39BB0155" w14:textId="77777777" w:rsidR="003A3F12" w:rsidRDefault="003A3F12" w:rsidP="003A3F12">
      <w:pPr>
        <w:spacing w:line="360" w:lineRule="auto"/>
        <w:ind w:firstLine="720"/>
        <w:rPr>
          <w:rFonts w:ascii="Arial" w:hAnsi="Arial" w:cs="Arial"/>
        </w:rPr>
      </w:pPr>
    </w:p>
    <w:p w14:paraId="60D2FC54" w14:textId="77777777" w:rsidR="003A3F12" w:rsidRDefault="003A3F12" w:rsidP="003A3F12">
      <w:pPr>
        <w:spacing w:line="360" w:lineRule="auto"/>
        <w:ind w:firstLine="720"/>
        <w:rPr>
          <w:rFonts w:ascii="Arial" w:hAnsi="Arial" w:cs="Arial"/>
        </w:rPr>
      </w:pPr>
    </w:p>
    <w:p w14:paraId="076703D7" w14:textId="77777777" w:rsidR="003A3F12" w:rsidRDefault="003A3F12" w:rsidP="003A3F12">
      <w:pPr>
        <w:spacing w:line="360" w:lineRule="auto"/>
        <w:ind w:firstLine="720"/>
        <w:rPr>
          <w:rFonts w:ascii="Arial" w:hAnsi="Arial" w:cs="Arial"/>
        </w:rPr>
      </w:pPr>
    </w:p>
    <w:p w14:paraId="3CF0BC83" w14:textId="77777777" w:rsidR="003A3F12" w:rsidRDefault="003A3F12" w:rsidP="003A3F12">
      <w:pPr>
        <w:spacing w:line="360" w:lineRule="auto"/>
        <w:ind w:firstLine="720"/>
        <w:rPr>
          <w:rFonts w:ascii="Arial" w:hAnsi="Arial" w:cs="Arial"/>
        </w:rPr>
      </w:pPr>
    </w:p>
    <w:p w14:paraId="1F0A2380" w14:textId="77777777" w:rsidR="003A3F12" w:rsidRDefault="003A3F12" w:rsidP="003A3F12">
      <w:pPr>
        <w:spacing w:line="360" w:lineRule="auto"/>
        <w:ind w:firstLine="720"/>
        <w:rPr>
          <w:rFonts w:ascii="Arial" w:hAnsi="Arial" w:cs="Arial"/>
        </w:rPr>
      </w:pPr>
    </w:p>
    <w:p w14:paraId="29107F76" w14:textId="77777777" w:rsidR="003A3F12" w:rsidRDefault="003A3F12" w:rsidP="003A3F12">
      <w:pPr>
        <w:spacing w:line="360" w:lineRule="auto"/>
        <w:ind w:firstLine="720"/>
        <w:rPr>
          <w:rFonts w:ascii="Arial" w:hAnsi="Arial" w:cs="Arial"/>
        </w:rPr>
      </w:pPr>
    </w:p>
    <w:p w14:paraId="25240A1B" w14:textId="77777777" w:rsidR="003A3F12" w:rsidRDefault="003A3F12" w:rsidP="003A3F12">
      <w:pPr>
        <w:spacing w:line="360" w:lineRule="auto"/>
        <w:ind w:firstLine="720"/>
        <w:rPr>
          <w:rFonts w:ascii="Arial" w:hAnsi="Arial" w:cs="Arial"/>
        </w:rPr>
      </w:pPr>
    </w:p>
    <w:p w14:paraId="2C5F43B4" w14:textId="77777777" w:rsidR="003A3F12" w:rsidRDefault="003A3F12" w:rsidP="003A3F12">
      <w:pPr>
        <w:spacing w:line="360" w:lineRule="auto"/>
        <w:ind w:firstLine="720"/>
        <w:rPr>
          <w:rFonts w:ascii="Arial" w:hAnsi="Arial" w:cs="Arial"/>
        </w:rPr>
      </w:pPr>
    </w:p>
    <w:p w14:paraId="07B5070B" w14:textId="77777777" w:rsidR="003A3F12" w:rsidRDefault="003A3F12" w:rsidP="003A3F12">
      <w:pPr>
        <w:spacing w:line="360" w:lineRule="auto"/>
        <w:ind w:firstLine="720"/>
        <w:rPr>
          <w:rFonts w:ascii="Arial" w:hAnsi="Arial" w:cs="Arial"/>
        </w:rPr>
      </w:pPr>
    </w:p>
    <w:p w14:paraId="7DF27AF4" w14:textId="77777777" w:rsidR="003A3F12" w:rsidRDefault="003A3F12" w:rsidP="003A3F12">
      <w:pPr>
        <w:spacing w:line="360" w:lineRule="auto"/>
        <w:ind w:firstLine="720"/>
        <w:rPr>
          <w:rFonts w:ascii="Arial" w:hAnsi="Arial" w:cs="Arial"/>
        </w:rPr>
      </w:pPr>
    </w:p>
    <w:p w14:paraId="41E8EDE9" w14:textId="77777777" w:rsidR="003A3F12" w:rsidRDefault="003A3F12" w:rsidP="003A3F12">
      <w:pPr>
        <w:spacing w:line="360" w:lineRule="auto"/>
        <w:ind w:firstLine="720"/>
        <w:rPr>
          <w:rFonts w:ascii="Arial" w:hAnsi="Arial" w:cs="Arial"/>
        </w:rPr>
      </w:pPr>
    </w:p>
    <w:p w14:paraId="1B615BC0" w14:textId="77777777" w:rsidR="003A3F12" w:rsidRDefault="003A3F12" w:rsidP="003A3F12">
      <w:pPr>
        <w:spacing w:line="360" w:lineRule="auto"/>
        <w:ind w:firstLine="720"/>
        <w:rPr>
          <w:rFonts w:ascii="Arial" w:hAnsi="Arial" w:cs="Arial"/>
        </w:rPr>
      </w:pPr>
    </w:p>
    <w:p w14:paraId="154A86A5" w14:textId="36375BA9" w:rsidR="003A3F12" w:rsidRDefault="003A3F12" w:rsidP="003A3F12">
      <w:pPr>
        <w:spacing w:line="360" w:lineRule="auto"/>
        <w:ind w:firstLine="720"/>
        <w:rPr>
          <w:rFonts w:ascii="Arial" w:hAnsi="Arial" w:cs="Arial"/>
        </w:rPr>
      </w:pPr>
      <w:r>
        <w:rPr>
          <w:rFonts w:ascii="Arial" w:hAnsi="Arial" w:cs="Arial"/>
        </w:rPr>
        <w:t xml:space="preserve">The employee life cycle is an organizational method that visualizes how employees engage with their company. It is a model encompassing all stages of an employee's experience with a company. Employee engagement describes the emotional and mental connection employees develop towards their work, the teams they work with, and the organization they work for. According to Sun &amp; Bunchapattanasakda (2019), employees who develop a certain level of connection to their organization tend to put in a lot more work, work for the organization for longer, and even go to the extent of motivating others to do the same. According to studies, more than 90% of business executives actively believe that engaged employees perform better, which boosts both team success and general organization outcome (Ewing, Men &amp; O’Neil, 2019). This paper does an in-depth look at engaging employees through the employee lifecycle, using the example of Hilton Hotels, which successfully implements an employee life cycle strategy. </w:t>
      </w:r>
    </w:p>
    <w:p w14:paraId="671C3125" w14:textId="77B4D68D" w:rsidR="003A3F12" w:rsidRDefault="003A3F12" w:rsidP="003A3F12">
      <w:pPr>
        <w:spacing w:line="360" w:lineRule="auto"/>
        <w:rPr>
          <w:rFonts w:ascii="Arial" w:hAnsi="Arial" w:cs="Arial"/>
        </w:rPr>
      </w:pPr>
      <w:r>
        <w:rPr>
          <w:rFonts w:ascii="Arial" w:hAnsi="Arial" w:cs="Arial"/>
        </w:rPr>
        <w:tab/>
        <w:t xml:space="preserve">The hospitality industry is driven by customer service, making the employees the sole brand ambassadors (Book, Gattling &amp; Kim, 2019). A single slip-up could differentiate between a happy customer and an irate one (Kurtzman, 2017). For any organization, even in international hotel management, employee engagement is a big issue and even more significant for human resources (Mayne, 2017). Statistics show that a minimal 15% of the global workforce is engaged in their work, revealing a worldwide employee engagement crisis (Mayne, 2017). These statistics are eye-opening, showing why employee engagement is a big deal for a company's leadership and HR. They also show why jobs on employee engagement are on the rise, consultancy services, and research. The question then remains, what does HR have to do with this? </w:t>
      </w:r>
    </w:p>
    <w:p w14:paraId="3F96440A" w14:textId="3D8300C2" w:rsidR="003A3F12" w:rsidRDefault="003A3F12" w:rsidP="003A3F12">
      <w:pPr>
        <w:spacing w:line="360" w:lineRule="auto"/>
        <w:ind w:firstLine="720"/>
        <w:rPr>
          <w:rFonts w:ascii="Arial" w:hAnsi="Arial" w:cs="Arial"/>
        </w:rPr>
      </w:pPr>
      <w:r>
        <w:rPr>
          <w:rFonts w:ascii="Arial" w:hAnsi="Arial" w:cs="Arial"/>
        </w:rPr>
        <w:t xml:space="preserve">For starters, the role of HR in employee engagement is nothing but pivotal on all levels (Half, 2022). Despite the numerous employee engagement initiatives and functions, for everyone working in HR, employee engagement is something to think </w:t>
      </w:r>
      <w:r>
        <w:rPr>
          <w:rFonts w:ascii="Arial" w:hAnsi="Arial" w:cs="Arial"/>
        </w:rPr>
        <w:lastRenderedPageBreak/>
        <w:t xml:space="preserve">about. for optimum levels of employee engagement to be achieved, the fundamentals of HR need to be gotten right (Bhardwaj &amp; Kalia, 2021). Because employee engagement touches on almost every aspect of HR, it becomes a much more complex topic than one may initially think. </w:t>
      </w:r>
    </w:p>
    <w:p w14:paraId="02BD072F" w14:textId="77777777" w:rsidR="003A3F12" w:rsidRDefault="003A3F12" w:rsidP="003A3F12">
      <w:pPr>
        <w:spacing w:line="360" w:lineRule="auto"/>
        <w:ind w:firstLine="720"/>
        <w:rPr>
          <w:rFonts w:ascii="Arial" w:hAnsi="Arial" w:cs="Arial"/>
        </w:rPr>
      </w:pPr>
      <w:r>
        <w:rPr>
          <w:rFonts w:ascii="Arial" w:hAnsi="Arial" w:cs="Arial"/>
        </w:rPr>
        <w:t xml:space="preserve">Further, HR has to keep developing employees to maintain the created levels of employee engagement. It has to ensure that the progression paths of the employees' careers are clear (Sun &amp; Bunchapattanasakda, 2019). Engaged employees know precisely what is needed of them and work towards their goals and those of the organization (Rabiul et al., 2021) </w:t>
      </w:r>
    </w:p>
    <w:p w14:paraId="28C9377E" w14:textId="2FD9308E" w:rsidR="003A3F12" w:rsidRDefault="003A3F12" w:rsidP="003A3F12">
      <w:pPr>
        <w:spacing w:line="360" w:lineRule="auto"/>
        <w:ind w:firstLine="720"/>
        <w:rPr>
          <w:rFonts w:ascii="Arial" w:hAnsi="Arial" w:cs="Arial"/>
        </w:rPr>
      </w:pPr>
      <w:r>
        <w:rPr>
          <w:rFonts w:ascii="Arial" w:hAnsi="Arial" w:cs="Arial"/>
        </w:rPr>
        <w:t xml:space="preserve"> According to George, Omuudu &amp; Francis (2020), the top way to engage employees is by keeping them connected to the company. If crucial company information is not shared, whether intentional or not, employees will be forced to come up with their conclusion regarding the company. It is thus vital that every time it is reasonable, staff should be given updates regarding aspects like the company's financial performance, the goals in place, and why this information is important to them (George, Omuudu &amp; Francis, 2020). Keeping the team in the loop develops a connection to the company. </w:t>
      </w:r>
    </w:p>
    <w:p w14:paraId="4A62B710" w14:textId="77777777" w:rsidR="003A3F12" w:rsidRDefault="003A3F12" w:rsidP="003A3F12">
      <w:pPr>
        <w:spacing w:line="360" w:lineRule="auto"/>
        <w:ind w:firstLine="720"/>
        <w:rPr>
          <w:rFonts w:ascii="Arial" w:hAnsi="Arial" w:cs="Arial"/>
        </w:rPr>
      </w:pPr>
      <w:r>
        <w:rPr>
          <w:rFonts w:ascii="Arial" w:hAnsi="Arial" w:cs="Arial"/>
        </w:rPr>
        <w:t xml:space="preserve">A straightforward definition of employee expectations is also a significant selling point in employee engagement (Sun &amp; Bunchapattanasakda, 2019). For instance, it may be hard for employees to get excited about a project if they lack an understanding of what they are doing and how to do it. Whenever the company's staff is given an assignment, every possible detail should be spelled out to them, with the instructions and expectations verified. How the project fits into the bigger picture of the company's goals should be explained, and a chance to ask questions for additional information should be provided too. McBain (2007) explains that because not all projects may be pleasant, sugarcoating unpleasant ones should be avoided at all costs. When such assignments are handed out, the company should be straightforward regarding the scope of the task. The last thing an organization wants is to appear as being untruthful and dishonest about the work they are doing. </w:t>
      </w:r>
    </w:p>
    <w:p w14:paraId="4815CCEF" w14:textId="77777777" w:rsidR="003A3F12" w:rsidRDefault="003A3F12" w:rsidP="003A3F12">
      <w:pPr>
        <w:spacing w:line="360" w:lineRule="auto"/>
        <w:ind w:firstLine="720"/>
        <w:rPr>
          <w:rFonts w:ascii="Arial" w:hAnsi="Arial" w:cs="Arial"/>
        </w:rPr>
      </w:pPr>
      <w:r>
        <w:rPr>
          <w:rFonts w:ascii="Arial" w:hAnsi="Arial" w:cs="Arial"/>
        </w:rPr>
        <w:t xml:space="preserve">Consistency is crucial in the workplace, especially in matters dealing with employees. Every employee is to be treated as an employee, and the company should tailor its approach to their needs (Pandey, Gupta &amp; Hassan, 2020). The consistency aspect comes in treating all employees the same way. Management that </w:t>
      </w:r>
      <w:r>
        <w:rPr>
          <w:rFonts w:ascii="Arial" w:hAnsi="Arial" w:cs="Arial"/>
        </w:rPr>
        <w:lastRenderedPageBreak/>
        <w:t xml:space="preserve">appears to turn to their favorites may be disliked. This aspect of hoping to engage the company's employees goes hand in hand with setting a good example. </w:t>
      </w:r>
    </w:p>
    <w:p w14:paraId="0763CACA" w14:textId="77777777" w:rsidR="003A3F12" w:rsidRDefault="003A3F12" w:rsidP="003A3F12">
      <w:pPr>
        <w:spacing w:line="360" w:lineRule="auto"/>
        <w:ind w:firstLine="720"/>
        <w:rPr>
          <w:rFonts w:ascii="Arial" w:hAnsi="Arial" w:cs="Arial"/>
        </w:rPr>
      </w:pPr>
      <w:r>
        <w:rPr>
          <w:rFonts w:ascii="Arial" w:hAnsi="Arial" w:cs="Arial"/>
        </w:rPr>
        <w:t xml:space="preserve">Herman (2022) goes deeper into explaining more benefits that come with engaged employees. Reduced absenteeism is one of the significant benefits, and despite every organization having its unique nature, absenteeism at work is not an uncommon problem. It is not seen as an individual problem but rather one with management. If not addressed, it could spiral out of control and become extremely costly for the business. According to Herman (2022), in the fight against absenteeism, staff motivation, satisfaction, and engagement should be considered. He explains that research has shown that improving employee engagement can reduce absenteeism by up to 40%. This could lead to improved results in the organization by improving employee experience (Anthony-McMannn et al., 2017) </w:t>
      </w:r>
    </w:p>
    <w:p w14:paraId="1A675252" w14:textId="3A2877A6" w:rsidR="003A3F12" w:rsidRDefault="003A3F12" w:rsidP="003A3F12">
      <w:pPr>
        <w:spacing w:line="360" w:lineRule="auto"/>
        <w:ind w:firstLine="720"/>
        <w:rPr>
          <w:rFonts w:ascii="Arial" w:hAnsi="Arial" w:cs="Arial"/>
        </w:rPr>
      </w:pPr>
      <w:r>
        <w:rPr>
          <w:rFonts w:ascii="Arial" w:hAnsi="Arial" w:cs="Arial"/>
        </w:rPr>
        <w:t xml:space="preserve">Employee safety is among the benefits of proper employee engagement (Herman, 2022). The explanation of how this benefit is achieved is relatively simple – employees with the will to show up and consistently engage in the work environment tend to have a much greater commitment to working safety and quality (Hinzman, Rasticova &amp; Sacha, 2019). When working for a more stable and dependable organization, engaged employees tend to be more proactive, reducing safety incidents by up to 70% (Herman, 2022). One of the world's leading hotels, Hilton Hotels is a perfect base example of how organizations in the hospitality sector undertake employee engagement. </w:t>
      </w:r>
    </w:p>
    <w:p w14:paraId="08CDCA57" w14:textId="77777777" w:rsidR="003A3F12" w:rsidRDefault="003A3F12" w:rsidP="003A3F12">
      <w:pPr>
        <w:spacing w:line="360" w:lineRule="auto"/>
        <w:ind w:firstLine="720"/>
        <w:rPr>
          <w:rFonts w:ascii="Arial" w:hAnsi="Arial" w:cs="Arial"/>
        </w:rPr>
      </w:pPr>
      <w:r>
        <w:rPr>
          <w:rFonts w:ascii="Arial" w:hAnsi="Arial" w:cs="Arial"/>
        </w:rPr>
        <w:t xml:space="preserve">Hilton Hotels Corporation, now Hilton Worldwide Holdings, manages a broad portfolio of hotels with a firm footing in the United Kingdom. There are at least 162 Hilton Hotels in the UK, and according to Hilton (n.d.), they are in the business of people serving people. The company invests in its team members to ensure their continued success. The company engages team members across the UK to support their careers. Further, according to the hotel, they train their members on social issues that support their 2030 goals. In 2017, </w:t>
      </w:r>
      <w:r>
        <w:rPr>
          <w:rFonts w:ascii="Arial" w:hAnsi="Arial" w:cs="Arial"/>
          <w:i/>
          <w:iCs/>
        </w:rPr>
        <w:t xml:space="preserve">Thrive at Hilton </w:t>
      </w:r>
      <w:r>
        <w:rPr>
          <w:rFonts w:ascii="Arial" w:hAnsi="Arial" w:cs="Arial"/>
        </w:rPr>
        <w:t xml:space="preserve">was launched as a promise to the team members to "help them grow and flourish in body, mind, and spirit." (Hilton, n.d.). Hilton explains that since all team members deserve a great career, the company provides tools and resources that help them grow personally and professionally. For instance, team members of Hilton get free online learning and an additional six-part course through Hilton University. This makes the hotel </w:t>
      </w:r>
      <w:r>
        <w:rPr>
          <w:rFonts w:ascii="Arial" w:hAnsi="Arial" w:cs="Arial"/>
        </w:rPr>
        <w:lastRenderedPageBreak/>
        <w:t xml:space="preserve">giant the perfect example of how to treat employees and make them feel like a prized possession. </w:t>
      </w:r>
    </w:p>
    <w:p w14:paraId="59D82812" w14:textId="77777777" w:rsidR="003A3F12" w:rsidRDefault="003A3F12" w:rsidP="003A3F12">
      <w:pPr>
        <w:spacing w:line="360" w:lineRule="auto"/>
        <w:ind w:firstLine="720"/>
        <w:rPr>
          <w:rFonts w:ascii="Arial" w:hAnsi="Arial" w:cs="Arial"/>
        </w:rPr>
      </w:pPr>
      <w:r>
        <w:rPr>
          <w:rFonts w:ascii="Arial" w:hAnsi="Arial" w:cs="Arial"/>
        </w:rPr>
        <w:t>In understanding employee engagement, Hilton Hotels must comprehend staff progression in the employee life cycle (ELC), which is inevitable, like the change of seasons. Through the cycle, human resources leaders can help employees to realize their full potential. On the other hand, having full awareness of the cycle assists companies in gaining an understanding of the risk of staff turnover and ultimately managing it (Personio, 2022). The employee life cycle model identifies and expresses different critical stages employees go through during their engagement with the company. In every step of the employee life cycle, Hilton strives for the best results.</w:t>
      </w:r>
    </w:p>
    <w:p w14:paraId="54862AC8" w14:textId="77777777" w:rsidR="003A3F12" w:rsidRDefault="003A3F12" w:rsidP="003A3F12">
      <w:pPr>
        <w:spacing w:line="360" w:lineRule="auto"/>
        <w:ind w:firstLine="720"/>
        <w:rPr>
          <w:rFonts w:ascii="Arial" w:hAnsi="Arial" w:cs="Arial"/>
        </w:rPr>
      </w:pPr>
      <w:r>
        <w:rPr>
          <w:rFonts w:ascii="Arial" w:hAnsi="Arial" w:cs="Arial"/>
        </w:rPr>
        <w:t xml:space="preserve">Attraction is the first step when employees are exposed to their employer's brand (Nguyen, Malik &amp; Sharma, 2021). Getting attracted to Hilton is easy – the hotel's popularity worldwide is unmatched, and whenever there is an opening at Hilton, the top talent applies for this. The financial model of the hotel ensures that its growth is profitable. Recruitment is the next step in the cycle and describes the process in which a person stops being an applicant and becomes a full-on employee. How prospective employees are treated during this journey forever influences their perception of the company. At Hilton, recruitment and selection in Hilton Hotels are made by HR, and it is a process involving interviews, psychometric testing, and general assessment of a potential employee (Vincent, 2009). The recruitment process in the hotel also uses group activities, role play, and tray exercises. It is a process done through careful management decisions, with the employed having to match the hotel's culture and ethics. </w:t>
      </w:r>
    </w:p>
    <w:p w14:paraId="3A24183E" w14:textId="77777777" w:rsidR="003A3F12" w:rsidRDefault="003A3F12" w:rsidP="003A3F12">
      <w:pPr>
        <w:spacing w:line="360" w:lineRule="auto"/>
        <w:ind w:firstLine="720"/>
        <w:rPr>
          <w:rFonts w:ascii="Arial" w:hAnsi="Arial" w:cs="Arial"/>
        </w:rPr>
      </w:pPr>
      <w:r>
        <w:rPr>
          <w:rFonts w:ascii="Arial" w:hAnsi="Arial" w:cs="Arial"/>
        </w:rPr>
        <w:t xml:space="preserve">The third step in the cycle is onboarding (Sekhar, 2021). This step involves helping employees understand and blend with the organization's culture. This is the ideal time to make them feel welcome and at home, and when gotten right, it helps recruits think that they can make their mark at the company. At Hilton, the organizational culture is that the hotel is divided into departments that are in charge of different tasks. During recruitment, the employees are trained to meet their department's expectations. These are just some of the techniques used by the hotel for optimum customer satisfaction. </w:t>
      </w:r>
    </w:p>
    <w:p w14:paraId="15C2D758" w14:textId="55B096C1" w:rsidR="003A3F12" w:rsidRDefault="003A3F12" w:rsidP="003A3F12">
      <w:pPr>
        <w:spacing w:line="360" w:lineRule="auto"/>
        <w:ind w:firstLine="720"/>
        <w:rPr>
          <w:rFonts w:ascii="Arial" w:hAnsi="Arial" w:cs="Arial"/>
        </w:rPr>
      </w:pPr>
      <w:r>
        <w:rPr>
          <w:rFonts w:ascii="Arial" w:hAnsi="Arial" w:cs="Arial"/>
        </w:rPr>
        <w:t xml:space="preserve">Retention is the fourth step that involves making top talent stick (Adeyemi, 2018). It is a crucial stage in the employee life cycle because once an employee has </w:t>
      </w:r>
      <w:r>
        <w:rPr>
          <w:rFonts w:ascii="Arial" w:hAnsi="Arial" w:cs="Arial"/>
        </w:rPr>
        <w:lastRenderedPageBreak/>
        <w:t xml:space="preserve">been working for a particular company for a while, there is a chance the employers might take them for granted (Chan, Hooi &amp; Ngui, 2021). Thorny issues like rewards and recognition should be addressed soon, ensuring employees know what to do to achieve their goals (Osborne &amp; Hammoud, 2017). Being a hotel that operates globally, every branch part of the Hilton chain works to be the greatest above the rest. The company has an internal awards and recognition program that recognizes the top talent as part of the Hilton (Hilton, n.d.). </w:t>
      </w:r>
    </w:p>
    <w:p w14:paraId="6ECC161F" w14:textId="77777777" w:rsidR="003A3F12" w:rsidRDefault="003A3F12" w:rsidP="003A3F12">
      <w:pPr>
        <w:spacing w:line="360" w:lineRule="auto"/>
        <w:ind w:firstLine="720"/>
        <w:rPr>
          <w:rFonts w:ascii="Arial" w:hAnsi="Arial" w:cs="Arial"/>
        </w:rPr>
      </w:pPr>
      <w:r>
        <w:rPr>
          <w:rFonts w:ascii="Arial" w:hAnsi="Arial" w:cs="Arial"/>
        </w:rPr>
        <w:t xml:space="preserve">Career development is the next step that ordinarily helps employees improve their positions through various initiatives (Han, Wang &amp; Yan, 2019). An organization must consider multiple ways strategic development can help the company get the best out of its employees. Like all good things, employment ends, and this is the final step in the cycle – separation (Personio, 2022). Eventually, an employee will decide to move on, and many factors are at play during this cycle stage. Reflection is essential, and it is recommended that employees have an excellent offboarding process that will help them understand where there is room for improvement. Like every other company, the company has internal by-laws that allow smooth sailing whenever an employee resigns from their post or is fired. Despite this information not being publicly available, answers from previous employees have not expressed undergoing tedious processes when their time to move on finally arrived. The examples </w:t>
      </w:r>
    </w:p>
    <w:p w14:paraId="26798439" w14:textId="77777777" w:rsidR="003A3F12" w:rsidRDefault="003A3F12" w:rsidP="003A3F12">
      <w:pPr>
        <w:spacing w:line="360" w:lineRule="auto"/>
        <w:ind w:firstLine="720"/>
        <w:rPr>
          <w:rFonts w:ascii="Arial" w:hAnsi="Arial" w:cs="Arial"/>
        </w:rPr>
      </w:pPr>
      <w:r>
        <w:rPr>
          <w:rFonts w:ascii="Arial" w:hAnsi="Arial" w:cs="Arial"/>
        </w:rPr>
        <w:t xml:space="preserve">Learning how to engage employees ensures smooth sailing during the entire life cycle, and as a hotelier, I want my employees to feel proud of what they do in the company. After determining the areas needing reinforcement, I would use the following strategies to help drive the company to success. Getting to know the employees is the first step I would take, as this is as simple as it sounds. An easy and effective way of engaging employees is by spending time with them. Here, I would learn about their personal stories to enable me to develop a stronger rapport with them. The next step I would take is to provide them with success tools to ensure they know what they are doing, which is an excellent step toward raising engagement levels. Other measures I would employ are letting the employees know the direction the company is taking, giving them a chance to grow, fully supporting them, recognizing their hard work, letting them know I value them, creating a robust team environment, and rewarding them with rewards.  </w:t>
      </w:r>
    </w:p>
    <w:p w14:paraId="1ED233FC" w14:textId="77777777" w:rsidR="003A3F12" w:rsidRDefault="003A3F12" w:rsidP="003A3F12">
      <w:pPr>
        <w:spacing w:line="360" w:lineRule="auto"/>
        <w:ind w:firstLine="720"/>
        <w:rPr>
          <w:rFonts w:ascii="Arial" w:hAnsi="Arial" w:cs="Arial"/>
        </w:rPr>
      </w:pPr>
      <w:r>
        <w:rPr>
          <w:rFonts w:ascii="Arial" w:hAnsi="Arial" w:cs="Arial"/>
        </w:rPr>
        <w:lastRenderedPageBreak/>
        <w:t xml:space="preserve">An employee engagement model serves as a blueprint to understand what makes employees happy and productive at work. The Zinger model is a perfect choice focusing on the managers' actions for employee engagement (Sun &amp; Bunchapattanasakda, 2019). In creating a culture fit to last at Hilton, Bengougam  (2019) explains that Hilton Hotels use this model in their employee engagement. This method follows a pyramid structure putting a strong emphasis on the importance of employee engagement. In implementing this model, the focus should be on the essentials a person needs to do good work. This forms the bottom row, with company unity in the second row (Pandey, Gupta &amp; Hassan, 2020). It builds on the essentials for connecting the employees, and critical actions to be taken are building relationships and fostering recognition. The third row involves boosting performance and turning individual building blocks into the communal engagement. The main focus for the company would be tracking progress and performance maximization (Liu et al., 2022). On the top row of the pyramid is achieving results. Engaged employees contributing to enhanced profitability and productivity are the end goal of any engagement initiative. To ensure these results are achieved, a company should define its objectives for strategic engagement as they start the journey of employee engagement (Ewing, Men &amp; O’Neil, 2019). </w:t>
      </w:r>
    </w:p>
    <w:p w14:paraId="180CD907" w14:textId="77777777" w:rsidR="00F43B62" w:rsidRDefault="00F43B62" w:rsidP="00F43B62">
      <w:pPr>
        <w:spacing w:line="360" w:lineRule="auto"/>
        <w:jc w:val="center"/>
        <w:rPr>
          <w:rFonts w:ascii="Arial" w:hAnsi="Arial" w:cs="Arial"/>
          <w:b/>
          <w:bCs/>
        </w:rPr>
      </w:pPr>
    </w:p>
    <w:p w14:paraId="3F5ECC69" w14:textId="77777777" w:rsidR="00F43B62" w:rsidRDefault="00F43B62" w:rsidP="00F43B62">
      <w:pPr>
        <w:spacing w:line="360" w:lineRule="auto"/>
        <w:jc w:val="center"/>
        <w:rPr>
          <w:rFonts w:ascii="Arial" w:hAnsi="Arial" w:cs="Arial"/>
          <w:b/>
          <w:bCs/>
        </w:rPr>
      </w:pPr>
    </w:p>
    <w:p w14:paraId="2463C63B" w14:textId="77777777" w:rsidR="00F43B62" w:rsidRDefault="00F43B62" w:rsidP="00F43B62">
      <w:pPr>
        <w:spacing w:line="360" w:lineRule="auto"/>
        <w:jc w:val="center"/>
        <w:rPr>
          <w:rFonts w:ascii="Arial" w:hAnsi="Arial" w:cs="Arial"/>
          <w:b/>
          <w:bCs/>
        </w:rPr>
      </w:pPr>
    </w:p>
    <w:p w14:paraId="1BD7DF3D" w14:textId="77777777" w:rsidR="00F43B62" w:rsidRDefault="00F43B62" w:rsidP="00F43B62">
      <w:pPr>
        <w:spacing w:line="360" w:lineRule="auto"/>
        <w:jc w:val="center"/>
        <w:rPr>
          <w:rFonts w:ascii="Arial" w:hAnsi="Arial" w:cs="Arial"/>
          <w:b/>
          <w:bCs/>
        </w:rPr>
      </w:pPr>
    </w:p>
    <w:p w14:paraId="4FDFB134" w14:textId="77777777" w:rsidR="00F43B62" w:rsidRDefault="00F43B62" w:rsidP="00F43B62">
      <w:pPr>
        <w:spacing w:line="360" w:lineRule="auto"/>
        <w:jc w:val="center"/>
        <w:rPr>
          <w:rFonts w:ascii="Arial" w:hAnsi="Arial" w:cs="Arial"/>
          <w:b/>
          <w:bCs/>
        </w:rPr>
      </w:pPr>
    </w:p>
    <w:p w14:paraId="6B699A76" w14:textId="77777777" w:rsidR="00F43B62" w:rsidRDefault="00F43B62" w:rsidP="00F43B62">
      <w:pPr>
        <w:spacing w:line="360" w:lineRule="auto"/>
        <w:jc w:val="center"/>
        <w:rPr>
          <w:rFonts w:ascii="Arial" w:hAnsi="Arial" w:cs="Arial"/>
          <w:b/>
          <w:bCs/>
        </w:rPr>
      </w:pPr>
    </w:p>
    <w:p w14:paraId="30DD19FC" w14:textId="77777777" w:rsidR="00F43B62" w:rsidRDefault="00F43B62" w:rsidP="00F43B62">
      <w:pPr>
        <w:spacing w:line="360" w:lineRule="auto"/>
        <w:jc w:val="center"/>
        <w:rPr>
          <w:rFonts w:ascii="Arial" w:hAnsi="Arial" w:cs="Arial"/>
          <w:b/>
          <w:bCs/>
        </w:rPr>
      </w:pPr>
    </w:p>
    <w:p w14:paraId="40B1E7F0" w14:textId="77777777" w:rsidR="00F43B62" w:rsidRDefault="00F43B62" w:rsidP="00F43B62">
      <w:pPr>
        <w:spacing w:line="360" w:lineRule="auto"/>
        <w:jc w:val="center"/>
        <w:rPr>
          <w:rFonts w:ascii="Arial" w:hAnsi="Arial" w:cs="Arial"/>
          <w:b/>
          <w:bCs/>
        </w:rPr>
      </w:pPr>
    </w:p>
    <w:p w14:paraId="36A48EBE" w14:textId="77777777" w:rsidR="00F43B62" w:rsidRDefault="00F43B62" w:rsidP="00F43B62">
      <w:pPr>
        <w:spacing w:line="360" w:lineRule="auto"/>
        <w:jc w:val="center"/>
        <w:rPr>
          <w:rFonts w:ascii="Arial" w:hAnsi="Arial" w:cs="Arial"/>
          <w:b/>
          <w:bCs/>
        </w:rPr>
      </w:pPr>
    </w:p>
    <w:p w14:paraId="6FF368A3" w14:textId="77777777" w:rsidR="00F43B62" w:rsidRDefault="00F43B62" w:rsidP="00F43B62">
      <w:pPr>
        <w:spacing w:line="360" w:lineRule="auto"/>
        <w:jc w:val="center"/>
        <w:rPr>
          <w:rFonts w:ascii="Arial" w:hAnsi="Arial" w:cs="Arial"/>
          <w:b/>
          <w:bCs/>
        </w:rPr>
      </w:pPr>
    </w:p>
    <w:p w14:paraId="36E505C3" w14:textId="77777777" w:rsidR="00F43B62" w:rsidRDefault="00F43B62" w:rsidP="00F43B62">
      <w:pPr>
        <w:spacing w:line="360" w:lineRule="auto"/>
        <w:jc w:val="center"/>
        <w:rPr>
          <w:rFonts w:ascii="Arial" w:hAnsi="Arial" w:cs="Arial"/>
          <w:b/>
          <w:bCs/>
        </w:rPr>
      </w:pPr>
    </w:p>
    <w:p w14:paraId="1E981EAC" w14:textId="77777777" w:rsidR="00F43B62" w:rsidRDefault="00F43B62" w:rsidP="00F43B62">
      <w:pPr>
        <w:spacing w:line="360" w:lineRule="auto"/>
        <w:jc w:val="center"/>
        <w:rPr>
          <w:rFonts w:ascii="Arial" w:hAnsi="Arial" w:cs="Arial"/>
          <w:b/>
          <w:bCs/>
        </w:rPr>
      </w:pPr>
    </w:p>
    <w:p w14:paraId="68CD5774" w14:textId="77777777" w:rsidR="00F43B62" w:rsidRDefault="00F43B62" w:rsidP="00F43B62">
      <w:pPr>
        <w:spacing w:line="360" w:lineRule="auto"/>
        <w:jc w:val="center"/>
        <w:rPr>
          <w:rFonts w:ascii="Arial" w:hAnsi="Arial" w:cs="Arial"/>
          <w:b/>
          <w:bCs/>
        </w:rPr>
      </w:pPr>
    </w:p>
    <w:p w14:paraId="3F443742" w14:textId="77777777" w:rsidR="00F43B62" w:rsidRDefault="00F43B62" w:rsidP="00F43B62">
      <w:pPr>
        <w:spacing w:line="360" w:lineRule="auto"/>
        <w:jc w:val="center"/>
        <w:rPr>
          <w:rFonts w:ascii="Arial" w:hAnsi="Arial" w:cs="Arial"/>
          <w:b/>
          <w:bCs/>
        </w:rPr>
      </w:pPr>
    </w:p>
    <w:p w14:paraId="64EED85D" w14:textId="77777777" w:rsidR="00F43B62" w:rsidRDefault="00F43B62" w:rsidP="00F43B62">
      <w:pPr>
        <w:spacing w:line="360" w:lineRule="auto"/>
        <w:jc w:val="center"/>
        <w:rPr>
          <w:rFonts w:ascii="Arial" w:hAnsi="Arial" w:cs="Arial"/>
          <w:b/>
          <w:bCs/>
        </w:rPr>
      </w:pPr>
    </w:p>
    <w:p w14:paraId="2C72F4C1" w14:textId="77777777" w:rsidR="00F43B62" w:rsidRDefault="00F43B62" w:rsidP="00F43B62">
      <w:pPr>
        <w:spacing w:line="360" w:lineRule="auto"/>
        <w:jc w:val="center"/>
        <w:rPr>
          <w:rFonts w:ascii="Arial" w:hAnsi="Arial" w:cs="Arial"/>
          <w:b/>
          <w:bCs/>
        </w:rPr>
      </w:pPr>
    </w:p>
    <w:p w14:paraId="79331327" w14:textId="77777777" w:rsidR="00F43B62" w:rsidRDefault="00F43B62" w:rsidP="00F43B62">
      <w:pPr>
        <w:spacing w:line="360" w:lineRule="auto"/>
        <w:jc w:val="center"/>
        <w:rPr>
          <w:rFonts w:ascii="Arial" w:hAnsi="Arial" w:cs="Arial"/>
          <w:b/>
          <w:bCs/>
        </w:rPr>
      </w:pPr>
    </w:p>
    <w:p w14:paraId="547A3722" w14:textId="5124508D" w:rsidR="00F43B62" w:rsidRDefault="00F43B62" w:rsidP="00F43B62">
      <w:pPr>
        <w:spacing w:line="360" w:lineRule="auto"/>
        <w:jc w:val="center"/>
        <w:rPr>
          <w:rFonts w:ascii="Arial" w:hAnsi="Arial" w:cs="Arial"/>
          <w:b/>
          <w:bCs/>
        </w:rPr>
      </w:pPr>
      <w:r>
        <w:rPr>
          <w:rFonts w:ascii="Arial" w:hAnsi="Arial" w:cs="Arial"/>
          <w:b/>
          <w:bCs/>
        </w:rPr>
        <w:t>References</w:t>
      </w:r>
    </w:p>
    <w:p w14:paraId="6FA1FA86" w14:textId="1E833071" w:rsidR="00F43B62" w:rsidRDefault="00F43B62" w:rsidP="00F43B62">
      <w:pPr>
        <w:spacing w:line="360" w:lineRule="auto"/>
        <w:rPr>
          <w:rFonts w:ascii="Arial" w:hAnsi="Arial" w:cs="Arial"/>
        </w:rPr>
      </w:pPr>
      <w:r>
        <w:rPr>
          <w:rFonts w:ascii="Arial" w:hAnsi="Arial" w:cs="Arial"/>
        </w:rPr>
        <w:t xml:space="preserve">          </w:t>
      </w:r>
      <w:r w:rsidRPr="00533864">
        <w:rPr>
          <w:rFonts w:ascii="Arial" w:hAnsi="Arial" w:cs="Arial"/>
        </w:rPr>
        <w:t>Adeyemi, A. (2018). </w:t>
      </w:r>
      <w:r w:rsidRPr="00533864">
        <w:rPr>
          <w:rFonts w:ascii="Arial" w:hAnsi="Arial" w:cs="Arial"/>
          <w:i/>
          <w:iCs/>
        </w:rPr>
        <w:t>Business managers use strategies to engage chemical industry</w:t>
      </w:r>
      <w:r w:rsidRPr="00533864">
        <w:rPr>
          <w:rFonts w:ascii="Arial" w:hAnsi="Arial" w:cs="Arial"/>
        </w:rPr>
        <w:t xml:space="preserve"> employees (Doctoral dissertation, Walden University).</w:t>
      </w:r>
    </w:p>
    <w:p w14:paraId="3414EB74" w14:textId="77777777" w:rsidR="00F43B62" w:rsidRDefault="00F43B62" w:rsidP="00F43B62">
      <w:pPr>
        <w:spacing w:line="360" w:lineRule="auto"/>
        <w:rPr>
          <w:rFonts w:ascii="Arial" w:hAnsi="Arial" w:cs="Arial"/>
        </w:rPr>
      </w:pPr>
      <w:r w:rsidRPr="00D66A33">
        <w:rPr>
          <w:rFonts w:ascii="Arial" w:hAnsi="Arial" w:cs="Arial"/>
        </w:rPr>
        <w:t>Anthony</w:t>
      </w:r>
      <w:r w:rsidRPr="00D66A33">
        <w:rPr>
          <w:rFonts w:ascii="Cambria Math" w:hAnsi="Cambria Math" w:cs="Cambria Math"/>
        </w:rPr>
        <w:t>‐</w:t>
      </w:r>
      <w:r w:rsidRPr="00D66A33">
        <w:rPr>
          <w:rFonts w:ascii="Arial" w:hAnsi="Arial" w:cs="Arial"/>
        </w:rPr>
        <w:t xml:space="preserve">McMann, P. E., Ellinger, A. D., Astakhova, M., &amp; Halbesleben, J. R. (2017). </w:t>
      </w:r>
      <w:r>
        <w:rPr>
          <w:rFonts w:ascii="Arial" w:hAnsi="Arial" w:cs="Arial"/>
        </w:rPr>
        <w:tab/>
      </w:r>
      <w:r w:rsidRPr="00D66A33">
        <w:rPr>
          <w:rFonts w:ascii="Arial" w:hAnsi="Arial" w:cs="Arial"/>
        </w:rPr>
        <w:t>Exploring different operationalizations of employee engagement and their relationships with workplace stress and burnout. </w:t>
      </w:r>
      <w:r w:rsidRPr="00D66A33">
        <w:rPr>
          <w:rFonts w:ascii="Arial" w:hAnsi="Arial" w:cs="Arial"/>
          <w:i/>
          <w:iCs/>
        </w:rPr>
        <w:t xml:space="preserve">Human Resource </w:t>
      </w:r>
      <w:r>
        <w:rPr>
          <w:rFonts w:ascii="Arial" w:hAnsi="Arial" w:cs="Arial"/>
          <w:i/>
          <w:iCs/>
        </w:rPr>
        <w:tab/>
      </w:r>
      <w:r w:rsidRPr="00D66A33">
        <w:rPr>
          <w:rFonts w:ascii="Arial" w:hAnsi="Arial" w:cs="Arial"/>
          <w:i/>
          <w:iCs/>
        </w:rPr>
        <w:t>Development Quarterly</w:t>
      </w:r>
      <w:r w:rsidRPr="00D66A33">
        <w:rPr>
          <w:rFonts w:ascii="Arial" w:hAnsi="Arial" w:cs="Arial"/>
        </w:rPr>
        <w:t>, </w:t>
      </w:r>
      <w:r w:rsidRPr="00D66A33">
        <w:rPr>
          <w:rFonts w:ascii="Arial" w:hAnsi="Arial" w:cs="Arial"/>
          <w:i/>
          <w:iCs/>
        </w:rPr>
        <w:t>28</w:t>
      </w:r>
      <w:r w:rsidRPr="00D66A33">
        <w:rPr>
          <w:rFonts w:ascii="Arial" w:hAnsi="Arial" w:cs="Arial"/>
        </w:rPr>
        <w:t>(2), 163-195.</w:t>
      </w:r>
    </w:p>
    <w:p w14:paraId="45A3F4F3" w14:textId="77777777" w:rsidR="00F43B62" w:rsidRDefault="00F43B62" w:rsidP="00F43B62">
      <w:pPr>
        <w:spacing w:line="360" w:lineRule="auto"/>
        <w:rPr>
          <w:rFonts w:ascii="Arial" w:hAnsi="Arial" w:cs="Arial"/>
          <w:i/>
          <w:iCs/>
        </w:rPr>
      </w:pPr>
      <w:r>
        <w:rPr>
          <w:rFonts w:ascii="Arial" w:hAnsi="Arial" w:cs="Arial"/>
        </w:rPr>
        <w:t xml:space="preserve">           </w:t>
      </w:r>
      <w:r>
        <w:rPr>
          <w:rFonts w:ascii="Arial" w:hAnsi="Arial" w:cs="Arial"/>
        </w:rPr>
        <w:t xml:space="preserve">Bengougam, B. (2019, September 6). Creating a culture fit to last at Hilton. </w:t>
      </w:r>
      <w:r>
        <w:rPr>
          <w:rFonts w:ascii="Arial" w:hAnsi="Arial" w:cs="Arial"/>
          <w:i/>
          <w:iCs/>
        </w:rPr>
        <w:t xml:space="preserve">HR </w:t>
      </w:r>
      <w:r>
        <w:rPr>
          <w:rFonts w:ascii="Arial" w:hAnsi="Arial" w:cs="Arial"/>
          <w:i/>
          <w:iCs/>
        </w:rPr>
        <w:tab/>
      </w:r>
    </w:p>
    <w:p w14:paraId="219995E3" w14:textId="6142B775" w:rsidR="00F43B62" w:rsidRPr="00EB097B" w:rsidRDefault="00F43B62" w:rsidP="00F43B62">
      <w:pPr>
        <w:spacing w:line="360" w:lineRule="auto"/>
        <w:rPr>
          <w:rFonts w:ascii="Arial" w:hAnsi="Arial" w:cs="Arial"/>
        </w:rPr>
      </w:pPr>
      <w:r>
        <w:rPr>
          <w:rFonts w:ascii="Arial" w:hAnsi="Arial" w:cs="Arial"/>
          <w:i/>
          <w:iCs/>
        </w:rPr>
        <w:t xml:space="preserve">         </w:t>
      </w:r>
      <w:r w:rsidRPr="00F43B62">
        <w:rPr>
          <w:rFonts w:ascii="Arial" w:hAnsi="Arial" w:cs="Arial"/>
        </w:rPr>
        <w:t>Magazine.</w:t>
      </w:r>
      <w:r>
        <w:rPr>
          <w:rFonts w:ascii="Arial" w:hAnsi="Arial" w:cs="Arial"/>
          <w:i/>
          <w:iCs/>
        </w:rPr>
        <w:t xml:space="preserve"> </w:t>
      </w:r>
      <w:r>
        <w:rPr>
          <w:rFonts w:ascii="Arial" w:hAnsi="Arial" w:cs="Arial"/>
        </w:rPr>
        <w:t xml:space="preserve">Accessed on </w:t>
      </w:r>
      <w:r>
        <w:rPr>
          <w:rFonts w:ascii="Arial" w:hAnsi="Arial" w:cs="Arial"/>
        </w:rPr>
        <w:t>20</w:t>
      </w:r>
      <w:r w:rsidRPr="00EB097B">
        <w:rPr>
          <w:rFonts w:ascii="Arial" w:hAnsi="Arial" w:cs="Arial"/>
          <w:vertAlign w:val="superscript"/>
        </w:rPr>
        <w:t>th</w:t>
      </w:r>
      <w:r>
        <w:rPr>
          <w:rFonts w:ascii="Arial" w:hAnsi="Arial" w:cs="Arial"/>
        </w:rPr>
        <w:t xml:space="preserve"> October 2022 from </w:t>
      </w:r>
      <w:r w:rsidRPr="00F43B62">
        <w:rPr>
          <w:rFonts w:ascii="Arial" w:hAnsi="Arial" w:cs="Arial"/>
        </w:rPr>
        <w:t>https://www.hrmagazine.co.uk/content/features/creating-a-culture-fit-to-last-at-Hilton</w:t>
      </w:r>
      <w:r>
        <w:rPr>
          <w:rFonts w:ascii="Arial" w:hAnsi="Arial" w:cs="Arial"/>
        </w:rPr>
        <w:t xml:space="preserve"> </w:t>
      </w:r>
    </w:p>
    <w:p w14:paraId="1C17E9A7" w14:textId="794B7BFA" w:rsidR="00F43B62" w:rsidRDefault="00F43B62" w:rsidP="00F43B62">
      <w:pPr>
        <w:spacing w:line="360" w:lineRule="auto"/>
        <w:rPr>
          <w:rFonts w:ascii="Arial" w:hAnsi="Arial" w:cs="Arial"/>
        </w:rPr>
      </w:pPr>
      <w:r>
        <w:rPr>
          <w:rFonts w:ascii="Arial" w:hAnsi="Arial" w:cs="Arial"/>
        </w:rPr>
        <w:t xml:space="preserve">         </w:t>
      </w:r>
      <w:r w:rsidRPr="00747684">
        <w:rPr>
          <w:rFonts w:ascii="Arial" w:hAnsi="Arial" w:cs="Arial"/>
        </w:rPr>
        <w:t xml:space="preserve">Bhardwaj, B., &amp; Kalia, N. (2021). Contextual and task performance: role of employee engagement and organizational culture in the hospitality industry. </w:t>
      </w:r>
      <w:r w:rsidRPr="00747684">
        <w:rPr>
          <w:rFonts w:ascii="Arial" w:hAnsi="Arial" w:cs="Arial"/>
          <w:i/>
          <w:iCs/>
        </w:rPr>
        <w:t>Vilakshan-</w:t>
      </w:r>
      <w:r>
        <w:rPr>
          <w:rFonts w:ascii="Arial" w:hAnsi="Arial" w:cs="Arial"/>
          <w:i/>
          <w:iCs/>
        </w:rPr>
        <w:tab/>
      </w:r>
      <w:r w:rsidRPr="00747684">
        <w:rPr>
          <w:rFonts w:ascii="Arial" w:hAnsi="Arial" w:cs="Arial"/>
          <w:i/>
          <w:iCs/>
        </w:rPr>
        <w:t>XIMB</w:t>
      </w:r>
      <w:r>
        <w:rPr>
          <w:rFonts w:ascii="Arial" w:hAnsi="Arial" w:cs="Arial"/>
          <w:i/>
          <w:iCs/>
        </w:rPr>
        <w:tab/>
      </w:r>
      <w:r w:rsidRPr="00747684">
        <w:rPr>
          <w:rFonts w:ascii="Arial" w:hAnsi="Arial" w:cs="Arial"/>
          <w:i/>
          <w:iCs/>
        </w:rPr>
        <w:t>Journal of Management</w:t>
      </w:r>
      <w:r w:rsidRPr="00747684">
        <w:rPr>
          <w:rFonts w:ascii="Arial" w:hAnsi="Arial" w:cs="Arial"/>
        </w:rPr>
        <w:t>.</w:t>
      </w:r>
    </w:p>
    <w:p w14:paraId="5C6B6A62" w14:textId="01613099" w:rsidR="00F43B62" w:rsidRDefault="00F43B62" w:rsidP="00F43B62">
      <w:pPr>
        <w:spacing w:line="360" w:lineRule="auto"/>
        <w:rPr>
          <w:rFonts w:ascii="Arial" w:hAnsi="Arial" w:cs="Arial"/>
        </w:rPr>
      </w:pPr>
      <w:r>
        <w:rPr>
          <w:rFonts w:ascii="Arial" w:hAnsi="Arial" w:cs="Arial"/>
        </w:rPr>
        <w:t xml:space="preserve">         </w:t>
      </w:r>
      <w:r w:rsidRPr="00747684">
        <w:rPr>
          <w:rFonts w:ascii="Arial" w:hAnsi="Arial" w:cs="Arial"/>
        </w:rPr>
        <w:t>Book, L., Gatling, A., &amp; Kim, J. (2019). The effects of leadership satisfaction on employee engagement, loyalty, and retention in the hospitality industry. </w:t>
      </w:r>
      <w:r w:rsidRPr="00747684">
        <w:rPr>
          <w:rFonts w:ascii="Arial" w:hAnsi="Arial" w:cs="Arial"/>
          <w:i/>
          <w:iCs/>
        </w:rPr>
        <w:t>Journal of Human Resources in Hospitality &amp; Tourism</w:t>
      </w:r>
      <w:r w:rsidRPr="00747684">
        <w:rPr>
          <w:rFonts w:ascii="Arial" w:hAnsi="Arial" w:cs="Arial"/>
        </w:rPr>
        <w:t>, </w:t>
      </w:r>
      <w:r w:rsidRPr="00747684">
        <w:rPr>
          <w:rFonts w:ascii="Arial" w:hAnsi="Arial" w:cs="Arial"/>
          <w:i/>
          <w:iCs/>
        </w:rPr>
        <w:t>18</w:t>
      </w:r>
      <w:r w:rsidRPr="00747684">
        <w:rPr>
          <w:rFonts w:ascii="Arial" w:hAnsi="Arial" w:cs="Arial"/>
        </w:rPr>
        <w:t>(3), 368–393.</w:t>
      </w:r>
    </w:p>
    <w:p w14:paraId="1FDD0CB7" w14:textId="7A7FA894" w:rsidR="00F43B62" w:rsidRDefault="00F43B62" w:rsidP="00F43B62">
      <w:pPr>
        <w:spacing w:line="360" w:lineRule="auto"/>
        <w:rPr>
          <w:rFonts w:ascii="Arial" w:hAnsi="Arial" w:cs="Arial"/>
        </w:rPr>
      </w:pPr>
      <w:r>
        <w:rPr>
          <w:rFonts w:ascii="Arial" w:hAnsi="Arial" w:cs="Arial"/>
        </w:rPr>
        <w:t xml:space="preserve">         </w:t>
      </w:r>
      <w:r w:rsidRPr="004D2DCE">
        <w:rPr>
          <w:rFonts w:ascii="Arial" w:hAnsi="Arial" w:cs="Arial"/>
        </w:rPr>
        <w:t xml:space="preserve">Chan, A. J., Hooi, L. W., &amp; Ngui, K. S. (2021). Do digital literacies matter in employee engagement in the digitalized workplace? </w:t>
      </w:r>
      <w:r w:rsidRPr="004D2DCE">
        <w:rPr>
          <w:rFonts w:ascii="Arial" w:hAnsi="Arial" w:cs="Arial"/>
          <w:i/>
          <w:iCs/>
        </w:rPr>
        <w:t>Journal of Asia Business Studies</w:t>
      </w:r>
      <w:r w:rsidRPr="004D2DCE">
        <w:rPr>
          <w:rFonts w:ascii="Arial" w:hAnsi="Arial" w:cs="Arial"/>
        </w:rPr>
        <w:t>.</w:t>
      </w:r>
    </w:p>
    <w:p w14:paraId="7E3D9D85" w14:textId="6691E194" w:rsidR="00F43B62" w:rsidRPr="00F43B62" w:rsidRDefault="00F43B62" w:rsidP="00F43B62">
      <w:pPr>
        <w:spacing w:line="360" w:lineRule="auto"/>
        <w:rPr>
          <w:rFonts w:ascii="Arial" w:hAnsi="Arial" w:cs="Arial"/>
          <w:i/>
          <w:iCs/>
        </w:rPr>
      </w:pPr>
      <w:r>
        <w:rPr>
          <w:rFonts w:ascii="Arial" w:hAnsi="Arial" w:cs="Arial"/>
        </w:rPr>
        <w:t xml:space="preserve">         </w:t>
      </w:r>
      <w:r w:rsidRPr="00AD101A">
        <w:rPr>
          <w:rFonts w:ascii="Arial" w:hAnsi="Arial" w:cs="Arial"/>
        </w:rPr>
        <w:t xml:space="preserve">Ewing, M., Men, L. R., &amp; O’Neil, J. (2019). Using social media to engage employees: </w:t>
      </w:r>
      <w:r>
        <w:rPr>
          <w:rFonts w:ascii="Arial" w:hAnsi="Arial" w:cs="Arial"/>
        </w:rPr>
        <w:tab/>
      </w:r>
      <w:r w:rsidRPr="00AD101A">
        <w:rPr>
          <w:rFonts w:ascii="Arial" w:hAnsi="Arial" w:cs="Arial"/>
        </w:rPr>
        <w:t>Insights from internal communication managers. </w:t>
      </w:r>
      <w:r w:rsidRPr="00AD101A">
        <w:rPr>
          <w:rFonts w:ascii="Arial" w:hAnsi="Arial" w:cs="Arial"/>
          <w:i/>
          <w:iCs/>
        </w:rPr>
        <w:t>International Journal of Strategic Communication</w:t>
      </w:r>
      <w:r w:rsidRPr="00AD101A">
        <w:rPr>
          <w:rFonts w:ascii="Arial" w:hAnsi="Arial" w:cs="Arial"/>
        </w:rPr>
        <w:t>, </w:t>
      </w:r>
      <w:r w:rsidRPr="00AD101A">
        <w:rPr>
          <w:rFonts w:ascii="Arial" w:hAnsi="Arial" w:cs="Arial"/>
          <w:i/>
          <w:iCs/>
        </w:rPr>
        <w:t>13</w:t>
      </w:r>
      <w:r w:rsidRPr="00AD101A">
        <w:rPr>
          <w:rFonts w:ascii="Arial" w:hAnsi="Arial" w:cs="Arial"/>
        </w:rPr>
        <w:t>(2), 110–132.</w:t>
      </w:r>
    </w:p>
    <w:p w14:paraId="1CD0FDBE" w14:textId="05CAF9EC" w:rsidR="00F43B62" w:rsidRDefault="00F43B62" w:rsidP="00F43B62">
      <w:pPr>
        <w:spacing w:line="360" w:lineRule="auto"/>
        <w:rPr>
          <w:rFonts w:ascii="Arial" w:hAnsi="Arial" w:cs="Arial"/>
        </w:rPr>
      </w:pPr>
      <w:r>
        <w:rPr>
          <w:rFonts w:ascii="Arial" w:hAnsi="Arial" w:cs="Arial"/>
        </w:rPr>
        <w:t xml:space="preserve">        </w:t>
      </w:r>
      <w:r w:rsidRPr="003E0FE7">
        <w:rPr>
          <w:rFonts w:ascii="Arial" w:hAnsi="Arial" w:cs="Arial"/>
        </w:rPr>
        <w:t>George, C., Omuudu, O. S., &amp; Francis, K. (2020). Employee engagement: a mediator between organizational inducements and industry loyalty among workers in the hospitality industry in Uganda. </w:t>
      </w:r>
      <w:r w:rsidRPr="003E0FE7">
        <w:rPr>
          <w:rFonts w:ascii="Arial" w:hAnsi="Arial" w:cs="Arial"/>
          <w:i/>
          <w:iCs/>
        </w:rPr>
        <w:t xml:space="preserve">Journal of Human Resources in </w:t>
      </w:r>
      <w:r>
        <w:rPr>
          <w:rFonts w:ascii="Arial" w:hAnsi="Arial" w:cs="Arial"/>
          <w:i/>
          <w:iCs/>
        </w:rPr>
        <w:tab/>
      </w:r>
      <w:r w:rsidRPr="003E0FE7">
        <w:rPr>
          <w:rFonts w:ascii="Arial" w:hAnsi="Arial" w:cs="Arial"/>
          <w:i/>
          <w:iCs/>
        </w:rPr>
        <w:t>Hospitality &amp; Tourism</w:t>
      </w:r>
      <w:r w:rsidRPr="003E0FE7">
        <w:rPr>
          <w:rFonts w:ascii="Arial" w:hAnsi="Arial" w:cs="Arial"/>
        </w:rPr>
        <w:t>, </w:t>
      </w:r>
      <w:r w:rsidRPr="003E0FE7">
        <w:rPr>
          <w:rFonts w:ascii="Arial" w:hAnsi="Arial" w:cs="Arial"/>
          <w:i/>
          <w:iCs/>
        </w:rPr>
        <w:t>19</w:t>
      </w:r>
      <w:r w:rsidRPr="003E0FE7">
        <w:rPr>
          <w:rFonts w:ascii="Arial" w:hAnsi="Arial" w:cs="Arial"/>
        </w:rPr>
        <w:t>(2), 220-251.</w:t>
      </w:r>
    </w:p>
    <w:p w14:paraId="18A31068" w14:textId="7A981BC3" w:rsidR="00F43B62" w:rsidRPr="00CA7672" w:rsidRDefault="00F43B62" w:rsidP="00F43B62">
      <w:pPr>
        <w:spacing w:line="360" w:lineRule="auto"/>
        <w:rPr>
          <w:rFonts w:ascii="Arial" w:hAnsi="Arial" w:cs="Arial"/>
        </w:rPr>
      </w:pPr>
      <w:r>
        <w:rPr>
          <w:rFonts w:ascii="Arial" w:hAnsi="Arial" w:cs="Arial"/>
        </w:rPr>
        <w:t xml:space="preserve">       </w:t>
      </w:r>
      <w:r>
        <w:rPr>
          <w:rFonts w:ascii="Arial" w:hAnsi="Arial" w:cs="Arial"/>
        </w:rPr>
        <w:t xml:space="preserve">Half, R. (2022). Motivating your team: 25 ways to increase employee engagement. </w:t>
      </w:r>
      <w:r>
        <w:rPr>
          <w:rFonts w:ascii="Arial" w:hAnsi="Arial" w:cs="Arial"/>
        </w:rPr>
        <w:tab/>
      </w:r>
      <w:r>
        <w:rPr>
          <w:rFonts w:ascii="Arial" w:hAnsi="Arial" w:cs="Arial"/>
          <w:i/>
          <w:iCs/>
        </w:rPr>
        <w:t xml:space="preserve">Robert Half® Talent </w:t>
      </w:r>
      <w:r>
        <w:rPr>
          <w:rFonts w:ascii="Arial" w:hAnsi="Arial" w:cs="Arial"/>
          <w:i/>
          <w:iCs/>
        </w:rPr>
        <w:tab/>
        <w:t xml:space="preserve">Solutions. </w:t>
      </w:r>
      <w:r>
        <w:rPr>
          <w:rFonts w:ascii="Arial" w:hAnsi="Arial" w:cs="Arial"/>
        </w:rPr>
        <w:t xml:space="preserve">Accessed on </w:t>
      </w:r>
      <w:r>
        <w:rPr>
          <w:rFonts w:ascii="Arial" w:hAnsi="Arial" w:cs="Arial"/>
        </w:rPr>
        <w:t>22</w:t>
      </w:r>
      <w:r>
        <w:rPr>
          <w:rFonts w:ascii="Arial" w:hAnsi="Arial" w:cs="Arial"/>
          <w:vertAlign w:val="superscript"/>
        </w:rPr>
        <w:t>nd</w:t>
      </w:r>
      <w:r>
        <w:rPr>
          <w:rFonts w:ascii="Arial" w:hAnsi="Arial" w:cs="Arial"/>
        </w:rPr>
        <w:t xml:space="preserve"> </w:t>
      </w:r>
      <w:r>
        <w:rPr>
          <w:rFonts w:ascii="Arial" w:hAnsi="Arial" w:cs="Arial"/>
        </w:rPr>
        <w:t xml:space="preserve">October, 2022 from </w:t>
      </w:r>
      <w:r>
        <w:rPr>
          <w:rFonts w:ascii="Arial" w:hAnsi="Arial" w:cs="Arial"/>
        </w:rPr>
        <w:tab/>
      </w:r>
      <w:r>
        <w:rPr>
          <w:rFonts w:ascii="Arial" w:hAnsi="Arial" w:cs="Arial"/>
        </w:rPr>
        <w:t xml:space="preserve"> </w:t>
      </w:r>
      <w:hyperlink r:id="rId4" w:history="1">
        <w:r w:rsidRPr="00AD5B6C">
          <w:rPr>
            <w:rStyle w:val="Hyperlink"/>
            <w:rFonts w:ascii="Arial" w:hAnsi="Arial" w:cs="Arial"/>
          </w:rPr>
          <w:t>https://www.roberthalf.co.uk/advice/people-</w:t>
        </w:r>
        <w:r w:rsidRPr="00AD5B6C">
          <w:rPr>
            <w:rStyle w:val="Hyperlink"/>
            <w:rFonts w:ascii="Arial" w:hAnsi="Arial" w:cs="Arial"/>
          </w:rPr>
          <w:tab/>
          <w:t>management/motivating-your-</w:t>
        </w:r>
        <w:r w:rsidRPr="00AD5B6C">
          <w:rPr>
            <w:rStyle w:val="Hyperlink"/>
            <w:rFonts w:ascii="Arial" w:hAnsi="Arial" w:cs="Arial"/>
          </w:rPr>
          <w:tab/>
          <w:t>team-25-ways-increase-employee-</w:t>
        </w:r>
        <w:r w:rsidRPr="00AD5B6C">
          <w:rPr>
            <w:rStyle w:val="Hyperlink"/>
            <w:rFonts w:ascii="Arial" w:hAnsi="Arial" w:cs="Arial"/>
          </w:rPr>
          <w:tab/>
          <w:t>engagement</w:t>
        </w:r>
      </w:hyperlink>
      <w:r>
        <w:rPr>
          <w:rFonts w:ascii="Arial" w:hAnsi="Arial" w:cs="Arial"/>
        </w:rPr>
        <w:t xml:space="preserve"> </w:t>
      </w:r>
    </w:p>
    <w:p w14:paraId="42B929F7" w14:textId="799AC8CF" w:rsidR="00F43B62" w:rsidRDefault="00F43B62" w:rsidP="00F43B62">
      <w:pPr>
        <w:spacing w:line="360" w:lineRule="auto"/>
        <w:rPr>
          <w:rFonts w:ascii="Arial" w:hAnsi="Arial" w:cs="Arial"/>
        </w:rPr>
      </w:pPr>
      <w:r>
        <w:rPr>
          <w:rFonts w:ascii="Arial" w:hAnsi="Arial" w:cs="Arial"/>
        </w:rPr>
        <w:lastRenderedPageBreak/>
        <w:t xml:space="preserve">      </w:t>
      </w:r>
      <w:r w:rsidRPr="00093D78">
        <w:rPr>
          <w:rFonts w:ascii="Arial" w:hAnsi="Arial" w:cs="Arial"/>
        </w:rPr>
        <w:t xml:space="preserve">Han, Z., Wang, Q., &amp; Yan, X. (2019). How responsible leadership motivates employees to engage in organizational citizenship behavior for the environment: A double-mediation model: </w:t>
      </w:r>
      <w:r w:rsidRPr="00093D78">
        <w:rPr>
          <w:rFonts w:ascii="Arial" w:hAnsi="Arial" w:cs="Arial"/>
          <w:i/>
          <w:iCs/>
        </w:rPr>
        <w:t>Sustainability</w:t>
      </w:r>
      <w:r w:rsidRPr="00093D78">
        <w:rPr>
          <w:rFonts w:ascii="Arial" w:hAnsi="Arial" w:cs="Arial"/>
        </w:rPr>
        <w:t>, </w:t>
      </w:r>
      <w:r w:rsidRPr="00093D78">
        <w:rPr>
          <w:rFonts w:ascii="Arial" w:hAnsi="Arial" w:cs="Arial"/>
          <w:i/>
          <w:iCs/>
        </w:rPr>
        <w:t>11</w:t>
      </w:r>
      <w:r w:rsidRPr="00093D78">
        <w:rPr>
          <w:rFonts w:ascii="Arial" w:hAnsi="Arial" w:cs="Arial"/>
        </w:rPr>
        <w:t>(3), 605.</w:t>
      </w:r>
    </w:p>
    <w:p w14:paraId="548BCDCF" w14:textId="1318EAEE" w:rsidR="00F43B62" w:rsidRDefault="00F43B62" w:rsidP="00F43B62">
      <w:pPr>
        <w:spacing w:line="360" w:lineRule="auto"/>
        <w:rPr>
          <w:rFonts w:ascii="Arial" w:hAnsi="Arial" w:cs="Arial"/>
        </w:rPr>
      </w:pPr>
      <w:r>
        <w:rPr>
          <w:rFonts w:ascii="Arial" w:hAnsi="Arial" w:cs="Arial"/>
        </w:rPr>
        <w:t xml:space="preserve">       </w:t>
      </w:r>
      <w:r w:rsidRPr="00A63973">
        <w:rPr>
          <w:rFonts w:ascii="Arial" w:hAnsi="Arial" w:cs="Arial"/>
        </w:rPr>
        <w:t xml:space="preserve">Hinzmann, R. A., Rašticová, M., &amp; Šácha, J. (2019). Factors of employee engagement at the workplace. Do years of service count? </w:t>
      </w:r>
      <w:r w:rsidRPr="00A63973">
        <w:rPr>
          <w:rFonts w:ascii="Arial" w:hAnsi="Arial" w:cs="Arial"/>
          <w:i/>
          <w:iCs/>
        </w:rPr>
        <w:t>Acta Universitatis Agriculturae et Silviculturae Mendelianae Brunensis</w:t>
      </w:r>
      <w:r w:rsidRPr="00A63973">
        <w:rPr>
          <w:rFonts w:ascii="Arial" w:hAnsi="Arial" w:cs="Arial"/>
        </w:rPr>
        <w:t>.</w:t>
      </w:r>
    </w:p>
    <w:p w14:paraId="12635951" w14:textId="59E1498B" w:rsidR="00F43B62" w:rsidRPr="00445B07" w:rsidRDefault="00F43B62" w:rsidP="00F43B62">
      <w:pPr>
        <w:spacing w:line="360" w:lineRule="auto"/>
        <w:rPr>
          <w:rFonts w:ascii="Arial" w:hAnsi="Arial" w:cs="Arial"/>
          <w:i/>
          <w:iCs/>
        </w:rPr>
      </w:pPr>
      <w:r>
        <w:rPr>
          <w:rFonts w:ascii="Arial" w:hAnsi="Arial" w:cs="Arial"/>
        </w:rPr>
        <w:t xml:space="preserve">       </w:t>
      </w:r>
      <w:r>
        <w:rPr>
          <w:rFonts w:ascii="Arial" w:hAnsi="Arial" w:cs="Arial"/>
        </w:rPr>
        <w:t xml:space="preserve">Kurtzman, J. (2017). Why is employee engagement in the hospitality industry meaningful? </w:t>
      </w:r>
      <w:r>
        <w:rPr>
          <w:rFonts w:ascii="Arial" w:hAnsi="Arial" w:cs="Arial"/>
          <w:i/>
          <w:iCs/>
        </w:rPr>
        <w:t xml:space="preserve">Rewardian. </w:t>
      </w:r>
    </w:p>
    <w:p w14:paraId="0866271C" w14:textId="70204B0E" w:rsidR="00F43B62" w:rsidRDefault="00F43B62" w:rsidP="00F43B62">
      <w:pPr>
        <w:spacing w:line="360" w:lineRule="auto"/>
        <w:rPr>
          <w:rFonts w:ascii="Arial" w:hAnsi="Arial" w:cs="Arial"/>
        </w:rPr>
      </w:pPr>
      <w:r>
        <w:rPr>
          <w:rFonts w:ascii="Arial" w:hAnsi="Arial" w:cs="Arial"/>
        </w:rPr>
        <w:t xml:space="preserve">       </w:t>
      </w:r>
      <w:r w:rsidRPr="00417BA5">
        <w:rPr>
          <w:rFonts w:ascii="Arial" w:hAnsi="Arial" w:cs="Arial"/>
        </w:rPr>
        <w:t>Liu, X. R., Yu, J. J., Guo, Q., &amp; Li, J. J. (2022). Employee engagement, its antecedents, and effects on business performance in the hospitality industry: a</w:t>
      </w:r>
      <w:r w:rsidR="001E3C22">
        <w:rPr>
          <w:rFonts w:ascii="Arial" w:hAnsi="Arial" w:cs="Arial"/>
        </w:rPr>
        <w:t xml:space="preserve"> </w:t>
      </w:r>
      <w:r w:rsidRPr="00417BA5">
        <w:rPr>
          <w:rFonts w:ascii="Arial" w:hAnsi="Arial" w:cs="Arial"/>
        </w:rPr>
        <w:t>multilevel analysis. </w:t>
      </w:r>
      <w:r w:rsidRPr="00417BA5">
        <w:rPr>
          <w:rFonts w:ascii="Arial" w:hAnsi="Arial" w:cs="Arial"/>
          <w:i/>
          <w:iCs/>
        </w:rPr>
        <w:t xml:space="preserve">International Journal of Contemporary Hospitality </w:t>
      </w:r>
      <w:r>
        <w:rPr>
          <w:rFonts w:ascii="Arial" w:hAnsi="Arial" w:cs="Arial"/>
          <w:i/>
          <w:iCs/>
        </w:rPr>
        <w:tab/>
      </w:r>
      <w:r w:rsidR="001E3C22">
        <w:rPr>
          <w:rFonts w:ascii="Arial" w:hAnsi="Arial" w:cs="Arial"/>
          <w:i/>
          <w:iCs/>
        </w:rPr>
        <w:t xml:space="preserve">    </w:t>
      </w:r>
      <w:r w:rsidRPr="00417BA5">
        <w:rPr>
          <w:rFonts w:ascii="Arial" w:hAnsi="Arial" w:cs="Arial"/>
          <w:i/>
          <w:iCs/>
        </w:rPr>
        <w:t>Management</w:t>
      </w:r>
      <w:r w:rsidRPr="00417BA5">
        <w:rPr>
          <w:rFonts w:ascii="Arial" w:hAnsi="Arial" w:cs="Arial"/>
        </w:rPr>
        <w:t>, (</w:t>
      </w:r>
    </w:p>
    <w:p w14:paraId="51F716DE" w14:textId="35BF3D78" w:rsidR="00F43B62" w:rsidRPr="00445B07" w:rsidRDefault="00F43B62" w:rsidP="00F43B62">
      <w:pPr>
        <w:spacing w:line="360" w:lineRule="auto"/>
        <w:rPr>
          <w:rFonts w:ascii="Arial" w:hAnsi="Arial" w:cs="Arial"/>
        </w:rPr>
      </w:pPr>
      <w:r>
        <w:rPr>
          <w:rFonts w:ascii="Arial" w:hAnsi="Arial" w:cs="Arial"/>
        </w:rPr>
        <w:t xml:space="preserve">Mayne, T. (2017). What is HR's role in employee engagement? </w:t>
      </w:r>
      <w:r>
        <w:rPr>
          <w:rFonts w:ascii="Arial" w:hAnsi="Arial" w:cs="Arial"/>
          <w:i/>
          <w:iCs/>
        </w:rPr>
        <w:t xml:space="preserve">DPG. </w:t>
      </w:r>
      <w:r>
        <w:rPr>
          <w:rFonts w:ascii="Arial" w:hAnsi="Arial" w:cs="Arial"/>
        </w:rPr>
        <w:t xml:space="preserve">Accessed on </w:t>
      </w:r>
      <w:r w:rsidR="001E3C22">
        <w:rPr>
          <w:rFonts w:ascii="Arial" w:hAnsi="Arial" w:cs="Arial"/>
        </w:rPr>
        <w:t>24</w:t>
      </w:r>
      <w:r w:rsidRPr="00445B07">
        <w:rPr>
          <w:rFonts w:ascii="Arial" w:hAnsi="Arial" w:cs="Arial"/>
          <w:vertAlign w:val="superscript"/>
        </w:rPr>
        <w:t>th</w:t>
      </w:r>
      <w:r>
        <w:rPr>
          <w:rFonts w:ascii="Arial" w:hAnsi="Arial" w:cs="Arial"/>
        </w:rPr>
        <w:t xml:space="preserve"> October, 2022 from </w:t>
      </w:r>
      <w:hyperlink r:id="rId5" w:anchor=":~:text=HR%20has%20to%20ensure%20employees,what%20i s%20expected%20of%20them" w:history="1">
        <w:r w:rsidRPr="00EA3F5C">
          <w:rPr>
            <w:rStyle w:val="Hyperlink"/>
            <w:rFonts w:ascii="Arial" w:hAnsi="Arial" w:cs="Arial"/>
          </w:rPr>
          <w:t>https://dpglearn.co.uk/blog/human-resources/what-is-</w:t>
        </w:r>
        <w:r w:rsidRPr="00EA3F5C">
          <w:rPr>
            <w:rStyle w:val="Hyperlink"/>
            <w:rFonts w:ascii="Arial" w:hAnsi="Arial" w:cs="Arial"/>
          </w:rPr>
          <w:tab/>
          <w:t>hr-s-role-in-employee-</w:t>
        </w:r>
        <w:r w:rsidRPr="00EA3F5C">
          <w:rPr>
            <w:rStyle w:val="Hyperlink"/>
            <w:rFonts w:ascii="Arial" w:hAnsi="Arial" w:cs="Arial"/>
          </w:rPr>
          <w:tab/>
          <w:t>engagement/#:~:text=HR%20has%20to%20ensure%20employees,what%20i</w:t>
        </w:r>
        <w:r w:rsidRPr="00EA3F5C">
          <w:rPr>
            <w:rStyle w:val="Hyperlink"/>
            <w:rFonts w:ascii="Arial" w:hAnsi="Arial" w:cs="Arial"/>
          </w:rPr>
          <w:tab/>
          <w:t>s%20expected%20of%20them</w:t>
        </w:r>
      </w:hyperlink>
      <w:r w:rsidRPr="00445B07">
        <w:rPr>
          <w:rFonts w:ascii="Arial" w:hAnsi="Arial" w:cs="Arial"/>
        </w:rPr>
        <w:t>.</w:t>
      </w:r>
      <w:r>
        <w:rPr>
          <w:rFonts w:ascii="Arial" w:hAnsi="Arial" w:cs="Arial"/>
        </w:rPr>
        <w:t xml:space="preserve"> </w:t>
      </w:r>
    </w:p>
    <w:p w14:paraId="0F35173F" w14:textId="2D7702BD" w:rsidR="00F43B62" w:rsidRDefault="00F43B62" w:rsidP="00F43B62">
      <w:pPr>
        <w:spacing w:line="360" w:lineRule="auto"/>
        <w:rPr>
          <w:rFonts w:ascii="Arial" w:hAnsi="Arial" w:cs="Arial"/>
        </w:rPr>
      </w:pPr>
      <w:r>
        <w:rPr>
          <w:rFonts w:ascii="Arial" w:hAnsi="Arial" w:cs="Arial"/>
        </w:rPr>
        <w:t xml:space="preserve">      </w:t>
      </w:r>
      <w:r w:rsidRPr="00F1357D">
        <w:rPr>
          <w:rFonts w:ascii="Arial" w:hAnsi="Arial" w:cs="Arial"/>
        </w:rPr>
        <w:t>Nguyen, M., Malik, A., &amp; Sharma, P. (2021). How to motivate employees to engage</w:t>
      </w:r>
      <w:r>
        <w:rPr>
          <w:rFonts w:ascii="Arial" w:hAnsi="Arial" w:cs="Arial"/>
        </w:rPr>
        <w:t xml:space="preserve"> </w:t>
      </w:r>
      <w:r w:rsidRPr="00F1357D">
        <w:rPr>
          <w:rFonts w:ascii="Arial" w:hAnsi="Arial" w:cs="Arial"/>
        </w:rPr>
        <w:t>in online knowledge sharing? Differences between posters and lurkers. </w:t>
      </w:r>
      <w:r w:rsidRPr="00F1357D">
        <w:rPr>
          <w:rFonts w:ascii="Arial" w:hAnsi="Arial" w:cs="Arial"/>
          <w:i/>
          <w:iCs/>
        </w:rPr>
        <w:t>Journal of Knowledge Management</w:t>
      </w:r>
      <w:r w:rsidRPr="00F1357D">
        <w:rPr>
          <w:rFonts w:ascii="Arial" w:hAnsi="Arial" w:cs="Arial"/>
        </w:rPr>
        <w:t>.</w:t>
      </w:r>
    </w:p>
    <w:p w14:paraId="02C98224" w14:textId="10D5F43F" w:rsidR="00F43B62" w:rsidRPr="00F43B62" w:rsidRDefault="00F43B62" w:rsidP="00F43B62">
      <w:pPr>
        <w:spacing w:line="360" w:lineRule="auto"/>
        <w:rPr>
          <w:rFonts w:ascii="Arial" w:hAnsi="Arial" w:cs="Arial"/>
          <w:i/>
          <w:iCs/>
        </w:rPr>
      </w:pPr>
      <w:r>
        <w:rPr>
          <w:rFonts w:ascii="Arial" w:hAnsi="Arial" w:cs="Arial"/>
        </w:rPr>
        <w:t xml:space="preserve">      </w:t>
      </w:r>
      <w:r w:rsidRPr="00E10963">
        <w:rPr>
          <w:rFonts w:ascii="Arial" w:hAnsi="Arial" w:cs="Arial"/>
        </w:rPr>
        <w:t>Osborne, S., &amp; Hammoud, M. S. (2017). Effective employee engagement in the workplace. </w:t>
      </w:r>
      <w:r w:rsidRPr="00E10963">
        <w:rPr>
          <w:rFonts w:ascii="Arial" w:hAnsi="Arial" w:cs="Arial"/>
          <w:i/>
          <w:iCs/>
        </w:rPr>
        <w:t>International Journal of Applied Management and Technology</w:t>
      </w:r>
      <w:r w:rsidRPr="00E10963">
        <w:rPr>
          <w:rFonts w:ascii="Arial" w:hAnsi="Arial" w:cs="Arial"/>
        </w:rPr>
        <w:t>, </w:t>
      </w:r>
      <w:r w:rsidRPr="00E10963">
        <w:rPr>
          <w:rFonts w:ascii="Arial" w:hAnsi="Arial" w:cs="Arial"/>
          <w:i/>
          <w:iCs/>
        </w:rPr>
        <w:t>16</w:t>
      </w:r>
      <w:r w:rsidRPr="00E10963">
        <w:rPr>
          <w:rFonts w:ascii="Arial" w:hAnsi="Arial" w:cs="Arial"/>
        </w:rPr>
        <w:t>(1), 4.</w:t>
      </w:r>
    </w:p>
    <w:p w14:paraId="07923FAD" w14:textId="6473C406" w:rsidR="00F43B62" w:rsidRDefault="00F43B62" w:rsidP="00F43B62">
      <w:pPr>
        <w:spacing w:line="360" w:lineRule="auto"/>
        <w:rPr>
          <w:rFonts w:ascii="Arial" w:hAnsi="Arial" w:cs="Arial"/>
        </w:rPr>
      </w:pPr>
      <w:r>
        <w:rPr>
          <w:rFonts w:ascii="Arial" w:hAnsi="Arial" w:cs="Arial"/>
        </w:rPr>
        <w:t xml:space="preserve">       </w:t>
      </w:r>
      <w:r w:rsidRPr="00F5214B">
        <w:rPr>
          <w:rFonts w:ascii="Arial" w:hAnsi="Arial" w:cs="Arial"/>
        </w:rPr>
        <w:t xml:space="preserve">Pandey, J., Gupta, M., &amp; Hassan, Y. (2020). Intrapreneurship to engage employees: </w:t>
      </w:r>
      <w:r>
        <w:rPr>
          <w:rFonts w:ascii="Arial" w:hAnsi="Arial" w:cs="Arial"/>
        </w:rPr>
        <w:tab/>
      </w:r>
      <w:r w:rsidRPr="00F5214B">
        <w:rPr>
          <w:rFonts w:ascii="Arial" w:hAnsi="Arial" w:cs="Arial"/>
        </w:rPr>
        <w:t>role of psychological capital. </w:t>
      </w:r>
      <w:r w:rsidRPr="00F5214B">
        <w:rPr>
          <w:rFonts w:ascii="Arial" w:hAnsi="Arial" w:cs="Arial"/>
          <w:i/>
          <w:iCs/>
        </w:rPr>
        <w:t>Management Decision</w:t>
      </w:r>
      <w:r w:rsidRPr="00F5214B">
        <w:rPr>
          <w:rFonts w:ascii="Arial" w:hAnsi="Arial" w:cs="Arial"/>
        </w:rPr>
        <w:t>.</w:t>
      </w:r>
    </w:p>
    <w:p w14:paraId="0DEB610F" w14:textId="77777777" w:rsidR="00F43B62" w:rsidRDefault="00F43B62" w:rsidP="00F43B62">
      <w:pPr>
        <w:spacing w:line="360" w:lineRule="auto"/>
        <w:rPr>
          <w:rFonts w:ascii="Arial" w:hAnsi="Arial" w:cs="Arial"/>
        </w:rPr>
      </w:pPr>
      <w:r>
        <w:rPr>
          <w:rFonts w:ascii="Arial" w:hAnsi="Arial" w:cs="Arial"/>
        </w:rPr>
        <w:t xml:space="preserve">Personio. (2022). </w:t>
      </w:r>
    </w:p>
    <w:p w14:paraId="10A183DA" w14:textId="598E6977" w:rsidR="00F43B62" w:rsidRPr="00445B07" w:rsidRDefault="00F43B62" w:rsidP="00F43B62">
      <w:pPr>
        <w:spacing w:line="360" w:lineRule="auto"/>
        <w:rPr>
          <w:rFonts w:ascii="Arial" w:hAnsi="Arial" w:cs="Arial"/>
        </w:rPr>
      </w:pPr>
      <w:r>
        <w:rPr>
          <w:rFonts w:ascii="Arial" w:hAnsi="Arial" w:cs="Arial"/>
        </w:rPr>
        <w:t xml:space="preserve">         </w:t>
      </w:r>
      <w:r>
        <w:rPr>
          <w:rFonts w:ascii="Arial" w:hAnsi="Arial" w:cs="Arial"/>
        </w:rPr>
        <w:t xml:space="preserve">The employee life cycle. Success in 6 stages. Accessed on </w:t>
      </w:r>
      <w:r w:rsidR="001E3C22">
        <w:rPr>
          <w:rFonts w:ascii="Arial" w:hAnsi="Arial" w:cs="Arial"/>
        </w:rPr>
        <w:t>25</w:t>
      </w:r>
      <w:r w:rsidRPr="00445B07">
        <w:rPr>
          <w:rFonts w:ascii="Arial" w:hAnsi="Arial" w:cs="Arial"/>
          <w:vertAlign w:val="superscript"/>
        </w:rPr>
        <w:t>th</w:t>
      </w:r>
      <w:r>
        <w:rPr>
          <w:rFonts w:ascii="Arial" w:hAnsi="Arial" w:cs="Arial"/>
        </w:rPr>
        <w:t xml:space="preserve"> </w:t>
      </w:r>
      <w:r>
        <w:rPr>
          <w:rFonts w:ascii="Arial" w:hAnsi="Arial" w:cs="Arial"/>
        </w:rPr>
        <w:tab/>
        <w:t xml:space="preserve">October, 2022 from </w:t>
      </w:r>
      <w:hyperlink r:id="rId6" w:anchor=":~:text=Employee%20Life%20Cycle%3F- ,What%20is%20the%20Employee%20Life%20Cycle%3F,%2C%20developm ent%2C%20retention%20and%20separation" w:history="1">
        <w:r w:rsidRPr="00EA3F5C">
          <w:rPr>
            <w:rStyle w:val="Hyperlink"/>
            <w:rFonts w:ascii="Arial" w:hAnsi="Arial" w:cs="Arial"/>
          </w:rPr>
          <w:t>https://www.personio.com/hr-lexicon/employee-life-cycle-</w:t>
        </w:r>
        <w:r w:rsidRPr="00EA3F5C">
          <w:rPr>
            <w:rStyle w:val="Hyperlink"/>
            <w:rFonts w:ascii="Arial" w:hAnsi="Arial" w:cs="Arial"/>
          </w:rPr>
          <w:tab/>
          <w:t>model-UK/#:~:text=Employee%20Life%20Cycle%3F-</w:t>
        </w:r>
        <w:r w:rsidRPr="00EA3F5C">
          <w:rPr>
            <w:rStyle w:val="Hyperlink"/>
            <w:rFonts w:ascii="Arial" w:hAnsi="Arial" w:cs="Arial"/>
          </w:rPr>
          <w:tab/>
          <w:t>,What%20is%20the%20Employee%20Life%20Cycle%3F,%2C%20developm</w:t>
        </w:r>
        <w:r w:rsidRPr="00EA3F5C">
          <w:rPr>
            <w:rStyle w:val="Hyperlink"/>
            <w:rFonts w:ascii="Arial" w:hAnsi="Arial" w:cs="Arial"/>
          </w:rPr>
          <w:tab/>
          <w:t>ent%2C%20retention%20and%20separation</w:t>
        </w:r>
      </w:hyperlink>
      <w:r w:rsidRPr="00445B07">
        <w:rPr>
          <w:rFonts w:ascii="Arial" w:hAnsi="Arial" w:cs="Arial"/>
        </w:rPr>
        <w:t>.</w:t>
      </w:r>
      <w:r>
        <w:rPr>
          <w:rFonts w:ascii="Arial" w:hAnsi="Arial" w:cs="Arial"/>
        </w:rPr>
        <w:t xml:space="preserve"> </w:t>
      </w:r>
    </w:p>
    <w:p w14:paraId="1F4C0EEA" w14:textId="77777777" w:rsidR="00F43B62" w:rsidRDefault="00F43B62" w:rsidP="00F43B62">
      <w:pPr>
        <w:spacing w:line="360" w:lineRule="auto"/>
        <w:rPr>
          <w:rFonts w:ascii="Arial" w:hAnsi="Arial" w:cs="Arial"/>
        </w:rPr>
      </w:pPr>
      <w:r w:rsidRPr="003E0FE7">
        <w:rPr>
          <w:rFonts w:ascii="Arial" w:hAnsi="Arial" w:cs="Arial"/>
        </w:rPr>
        <w:t xml:space="preserve">Rabiul, M. K., Mohamed, A. E., Patwary, A. K., Yean, T. F., &amp; Osman, S. Z. (2021). </w:t>
      </w:r>
      <w:r>
        <w:rPr>
          <w:rFonts w:ascii="Arial" w:hAnsi="Arial" w:cs="Arial"/>
        </w:rPr>
        <w:tab/>
      </w:r>
      <w:r w:rsidRPr="003E0FE7">
        <w:rPr>
          <w:rFonts w:ascii="Arial" w:hAnsi="Arial" w:cs="Arial"/>
        </w:rPr>
        <w:t>Linking human resources practices to employee engagement in the hospitality industry: the mediating influences of psychological safety, availability, and meaningfulness. </w:t>
      </w:r>
      <w:r w:rsidRPr="003E0FE7">
        <w:rPr>
          <w:rFonts w:ascii="Arial" w:hAnsi="Arial" w:cs="Arial"/>
          <w:i/>
          <w:iCs/>
        </w:rPr>
        <w:t>European Journal of Management and Business Economics</w:t>
      </w:r>
      <w:r w:rsidRPr="003E0FE7">
        <w:rPr>
          <w:rFonts w:ascii="Arial" w:hAnsi="Arial" w:cs="Arial"/>
        </w:rPr>
        <w:t>.</w:t>
      </w:r>
    </w:p>
    <w:p w14:paraId="43E4F199" w14:textId="77777777" w:rsidR="00F43B62" w:rsidRDefault="00F43B62" w:rsidP="00F43B62">
      <w:pPr>
        <w:spacing w:line="360" w:lineRule="auto"/>
        <w:rPr>
          <w:rFonts w:ascii="Arial" w:hAnsi="Arial" w:cs="Arial"/>
        </w:rPr>
      </w:pPr>
      <w:r w:rsidRPr="00530921">
        <w:rPr>
          <w:rFonts w:ascii="Arial" w:hAnsi="Arial" w:cs="Arial"/>
        </w:rPr>
        <w:lastRenderedPageBreak/>
        <w:t xml:space="preserve">Sekhar, C. (2021). Do high-commitment work systems engage employees? </w:t>
      </w:r>
      <w:r>
        <w:rPr>
          <w:rFonts w:ascii="Arial" w:hAnsi="Arial" w:cs="Arial"/>
        </w:rPr>
        <w:tab/>
      </w:r>
      <w:r w:rsidRPr="00530921">
        <w:rPr>
          <w:rFonts w:ascii="Arial" w:hAnsi="Arial" w:cs="Arial"/>
        </w:rPr>
        <w:t>Mediating role of psychological capital. </w:t>
      </w:r>
      <w:r w:rsidRPr="00530921">
        <w:rPr>
          <w:rFonts w:ascii="Arial" w:hAnsi="Arial" w:cs="Arial"/>
          <w:i/>
          <w:iCs/>
        </w:rPr>
        <w:t xml:space="preserve">International Journal of Organizational </w:t>
      </w:r>
      <w:r>
        <w:rPr>
          <w:rFonts w:ascii="Arial" w:hAnsi="Arial" w:cs="Arial"/>
          <w:i/>
          <w:iCs/>
        </w:rPr>
        <w:tab/>
      </w:r>
      <w:r w:rsidRPr="00530921">
        <w:rPr>
          <w:rFonts w:ascii="Arial" w:hAnsi="Arial" w:cs="Arial"/>
          <w:i/>
          <w:iCs/>
        </w:rPr>
        <w:t>Analysis</w:t>
      </w:r>
      <w:r w:rsidRPr="00530921">
        <w:rPr>
          <w:rFonts w:ascii="Arial" w:hAnsi="Arial" w:cs="Arial"/>
        </w:rPr>
        <w:t>.</w:t>
      </w:r>
    </w:p>
    <w:p w14:paraId="411560D2" w14:textId="77777777" w:rsidR="00F43B62" w:rsidRPr="00222B5D" w:rsidRDefault="00F43B62" w:rsidP="00F43B62">
      <w:pPr>
        <w:spacing w:line="360" w:lineRule="auto"/>
        <w:rPr>
          <w:rFonts w:ascii="Arial" w:hAnsi="Arial" w:cs="Arial"/>
        </w:rPr>
      </w:pPr>
      <w:r w:rsidRPr="00222B5D">
        <w:rPr>
          <w:rFonts w:ascii="Arial" w:hAnsi="Arial" w:cs="Arial"/>
        </w:rPr>
        <w:t>Sun, L., &amp; Bunchapattanasakda, C. (2019). Employee engagement: A literature review. </w:t>
      </w:r>
      <w:r w:rsidRPr="00222B5D">
        <w:rPr>
          <w:rFonts w:ascii="Arial" w:hAnsi="Arial" w:cs="Arial"/>
          <w:i/>
          <w:iCs/>
        </w:rPr>
        <w:t>International Journal of Human Resource Studies</w:t>
      </w:r>
      <w:r w:rsidRPr="00222B5D">
        <w:rPr>
          <w:rFonts w:ascii="Arial" w:hAnsi="Arial" w:cs="Arial"/>
        </w:rPr>
        <w:t>, </w:t>
      </w:r>
      <w:r w:rsidRPr="00222B5D">
        <w:rPr>
          <w:rFonts w:ascii="Arial" w:hAnsi="Arial" w:cs="Arial"/>
          <w:i/>
          <w:iCs/>
        </w:rPr>
        <w:t>9</w:t>
      </w:r>
      <w:r w:rsidRPr="00222B5D">
        <w:rPr>
          <w:rFonts w:ascii="Arial" w:hAnsi="Arial" w:cs="Arial"/>
        </w:rPr>
        <w:t>(1), 63–80.</w:t>
      </w:r>
    </w:p>
    <w:p w14:paraId="70459E83" w14:textId="77777777" w:rsidR="001D7988" w:rsidRDefault="001D7988"/>
    <w:sectPr w:rsidR="001D79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A24"/>
    <w:rsid w:val="001D7988"/>
    <w:rsid w:val="001E3C22"/>
    <w:rsid w:val="003A3F12"/>
    <w:rsid w:val="00817F6C"/>
    <w:rsid w:val="00D00B6B"/>
    <w:rsid w:val="00F43B62"/>
    <w:rsid w:val="00FD5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7B2A3"/>
  <w15:chartTrackingRefBased/>
  <w15:docId w15:val="{388A8022-656E-405E-8939-E09AF41EB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A24"/>
    <w:pPr>
      <w:spacing w:after="0" w:line="240" w:lineRule="auto"/>
    </w:pPr>
    <w:rPr>
      <w:rFonts w:ascii="Times New Roman" w:hAnsi="Times New Roman" w:cs="Times New Roman (Body 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3B62"/>
    <w:rPr>
      <w:color w:val="0563C1" w:themeColor="hyperlink"/>
      <w:u w:val="single"/>
    </w:rPr>
  </w:style>
  <w:style w:type="character" w:styleId="UnresolvedMention">
    <w:name w:val="Unresolved Mention"/>
    <w:basedOn w:val="DefaultParagraphFont"/>
    <w:uiPriority w:val="99"/>
    <w:semiHidden/>
    <w:unhideWhenUsed/>
    <w:rsid w:val="00F43B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ersonio.com/hr-lexicon/employee-life-cycle-%09model-uk/" TargetMode="External"/><Relationship Id="rId5" Type="http://schemas.openxmlformats.org/officeDocument/2006/relationships/hyperlink" Target="https://dpglearn.co.uk/blog/human-resources/what-is-%09hr-s-role-in-employee-%09engagement/" TargetMode="External"/><Relationship Id="rId4" Type="http://schemas.openxmlformats.org/officeDocument/2006/relationships/hyperlink" Target="https://www.roberthalf.co.uk/advice/people-%09management/motivating-your-%09team-25-ways-increase-employee-%09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2828</Words>
  <Characters>16122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Danila (2108673)</dc:creator>
  <cp:keywords/>
  <dc:description/>
  <cp:lastModifiedBy>Iulia Danila (2108673)</cp:lastModifiedBy>
  <cp:revision>1</cp:revision>
  <dcterms:created xsi:type="dcterms:W3CDTF">2022-10-26T10:30:00Z</dcterms:created>
  <dcterms:modified xsi:type="dcterms:W3CDTF">2022-10-26T11:03:00Z</dcterms:modified>
</cp:coreProperties>
</file>