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FC0E234"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A5D43">
        <w:rPr>
          <w:rFonts w:asciiTheme="minorBidi" w:hAnsiTheme="minorBidi"/>
          <w:sz w:val="28"/>
          <w:szCs w:val="28"/>
        </w:rPr>
        <w:t>SABRINA ISLAM</w:t>
      </w:r>
    </w:p>
    <w:p w14:paraId="485B6F49" w14:textId="650F23CF"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BA5D43">
        <w:rPr>
          <w:rFonts w:asciiTheme="minorBidi" w:hAnsiTheme="minorBidi"/>
          <w:sz w:val="28"/>
          <w:szCs w:val="28"/>
        </w:rPr>
        <w:t>2539402</w:t>
      </w:r>
    </w:p>
    <w:p w14:paraId="3C1E7A20" w14:textId="7D0B69C3"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BA5D43">
        <w:rPr>
          <w:rFonts w:asciiTheme="minorBidi" w:hAnsiTheme="minorBidi"/>
          <w:sz w:val="28"/>
          <w:szCs w:val="28"/>
        </w:rPr>
        <w:t>LCHS 4001</w:t>
      </w:r>
    </w:p>
    <w:p w14:paraId="4EEB2DA3" w14:textId="46EA6D7C"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A5D43">
        <w:rPr>
          <w:rFonts w:asciiTheme="minorBidi" w:hAnsiTheme="minorBidi"/>
          <w:sz w:val="28"/>
          <w:szCs w:val="28"/>
        </w:rPr>
        <w:t>A</w:t>
      </w:r>
      <w:r w:rsidR="002458F4">
        <w:rPr>
          <w:rFonts w:asciiTheme="minorBidi" w:hAnsiTheme="minorBidi"/>
          <w:sz w:val="28"/>
          <w:szCs w:val="28"/>
        </w:rPr>
        <w:t xml:space="preserve">cademic and Employability skills </w:t>
      </w:r>
    </w:p>
    <w:p w14:paraId="6988A1DC" w14:textId="1376BC14"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2458F4">
        <w:rPr>
          <w:rFonts w:asciiTheme="minorBidi" w:hAnsiTheme="minorBidi"/>
          <w:sz w:val="28"/>
          <w:szCs w:val="28"/>
        </w:rPr>
        <w:t xml:space="preserve">Oluwadamilola Tayo </w:t>
      </w: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69DF346"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2458F4">
        <w:rPr>
          <w:rFonts w:asciiTheme="minorBidi" w:hAnsiTheme="minorBidi"/>
          <w:sz w:val="28"/>
          <w:szCs w:val="28"/>
        </w:rPr>
        <w:t>21 August 2026</w:t>
      </w:r>
    </w:p>
    <w:p w14:paraId="3C6FB008"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6700FADE" w14:textId="77777777" w:rsidR="005A11B0" w:rsidRDefault="005A11B0" w:rsidP="00ED5964">
      <w:pPr>
        <w:jc w:val="both"/>
        <w:rPr>
          <w:rFonts w:asciiTheme="minorBidi" w:hAnsiTheme="minorBidi"/>
          <w:sz w:val="28"/>
          <w:szCs w:val="28"/>
        </w:rPr>
      </w:pPr>
    </w:p>
    <w:p w14:paraId="7719FE7C" w14:textId="77777777" w:rsidR="005A11B0" w:rsidRDefault="005A11B0" w:rsidP="00ED5964">
      <w:pPr>
        <w:jc w:val="both"/>
        <w:rPr>
          <w:rFonts w:asciiTheme="minorBidi" w:hAnsiTheme="minorBidi"/>
          <w:sz w:val="28"/>
          <w:szCs w:val="28"/>
        </w:rPr>
      </w:pPr>
    </w:p>
    <w:p w14:paraId="5B963841" w14:textId="77777777" w:rsidR="005A11B0" w:rsidRDefault="005A11B0" w:rsidP="00ED5964">
      <w:pPr>
        <w:jc w:val="both"/>
        <w:rPr>
          <w:rFonts w:asciiTheme="minorBidi" w:hAnsiTheme="minorBidi"/>
          <w:sz w:val="28"/>
          <w:szCs w:val="28"/>
        </w:rPr>
      </w:pPr>
    </w:p>
    <w:p w14:paraId="673D4D55" w14:textId="77777777" w:rsidR="005A11B0" w:rsidRDefault="005A11B0" w:rsidP="00ED5964">
      <w:pPr>
        <w:jc w:val="both"/>
        <w:rPr>
          <w:rFonts w:asciiTheme="minorBidi" w:hAnsiTheme="minorBidi"/>
          <w:sz w:val="28"/>
          <w:szCs w:val="28"/>
        </w:rPr>
      </w:pPr>
    </w:p>
    <w:p w14:paraId="087240D1" w14:textId="77777777" w:rsidR="005A11B0" w:rsidRDefault="005A11B0"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4D61DB74"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C7659D">
              <w:rPr>
                <w:rStyle w:val="Hyperlink"/>
              </w:rPr>
              <w:t xml:space="preserve">Care home assistan </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6F4C4CB7"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C7659D">
              <w:rPr>
                <w:rStyle w:val="Hyperlink"/>
              </w:rPr>
              <w:t xml:space="preserve">care home assistan </w:t>
            </w:r>
            <w:r w:rsidRPr="0CF501EC">
              <w:rPr>
                <w:rStyle w:val="Hyperlink"/>
              </w:rPr>
              <w:t>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27C32E13" w:rsidR="00824CB1" w:rsidRDefault="0CF501EC" w:rsidP="0CF501EC">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C7659D">
              <w:rPr>
                <w:rStyle w:val="Hyperlink"/>
              </w:rPr>
              <w:t xml:space="preserve">Care home assistan </w:t>
            </w:r>
            <w:r w:rsidRPr="0CF501EC">
              <w:rPr>
                <w:rStyle w:val="Hyperlink"/>
              </w:rPr>
              <w:t>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05D1714E"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C7659D">
              <w:rPr>
                <w:rStyle w:val="Hyperlink"/>
              </w:rPr>
              <w:t xml:space="preserve">Care home assistan </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41178CF2"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C7659D">
              <w:rPr>
                <w:rStyle w:val="Hyperlink"/>
              </w:rPr>
              <w:t xml:space="preserve">care home assistan </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0" w:name="_Toc695233283"/>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29E25448" w14:textId="77777777" w:rsidR="00A46127" w:rsidRPr="00A46127" w:rsidRDefault="00A46127" w:rsidP="00A46127">
      <w:pPr>
        <w:spacing w:after="0"/>
        <w:jc w:val="both"/>
        <w:rPr>
          <w:rFonts w:ascii="Arial" w:hAnsi="Arial" w:cs="Arial"/>
          <w:sz w:val="22"/>
        </w:rPr>
      </w:pPr>
    </w:p>
    <w:p w14:paraId="4CC61BC1" w14:textId="6AC81689" w:rsidR="00F36ADC" w:rsidRDefault="00A46127" w:rsidP="00A46127">
      <w:pPr>
        <w:spacing w:after="0"/>
        <w:jc w:val="both"/>
        <w:rPr>
          <w:rFonts w:ascii="Arial" w:hAnsi="Arial" w:cs="Arial"/>
          <w:sz w:val="22"/>
        </w:rPr>
      </w:pPr>
      <w:r w:rsidRPr="00A46127">
        <w:rPr>
          <w:rFonts w:ascii="Arial" w:hAnsi="Arial" w:cs="Arial"/>
          <w:sz w:val="22"/>
        </w:rPr>
        <w:t>Health and social care services needed skilled person to provide consistent support to who needs the support. Care home assistants are a key part of this workforce as they provide daily support to older people, disabled adults and persons with long term health conditions. Their support helps people to maintain dignity, comfort, and independence thereby improving the quality of their lives. This report describes the work of a care home assistant and improve key skills that inform effective support. Strategies to develop these skills will also be considered and it will end with a conclusion with reference list.</w:t>
      </w:r>
    </w:p>
    <w:p w14:paraId="19BBA2CC" w14:textId="77777777" w:rsidR="00A46127" w:rsidRPr="00A46127" w:rsidRDefault="00A46127" w:rsidP="00A46127">
      <w:pPr>
        <w:spacing w:after="0"/>
        <w:jc w:val="both"/>
        <w:rPr>
          <w:rFonts w:ascii="Arial" w:hAnsi="Arial" w:cs="Arial"/>
          <w:sz w:val="22"/>
        </w:rPr>
      </w:pPr>
    </w:p>
    <w:p w14:paraId="64F36E68" w14:textId="465883E1" w:rsidR="3C659699" w:rsidRDefault="3C659699" w:rsidP="0CF501EC">
      <w:pPr>
        <w:pStyle w:val="Heading2"/>
        <w:rPr>
          <w:color w:val="4472C4" w:themeColor="accent1"/>
        </w:rPr>
      </w:pPr>
      <w:bookmarkStart w:id="1" w:name="_Toc1915621813"/>
      <w:r w:rsidRPr="0CF501EC">
        <w:rPr>
          <w:color w:val="4471C4"/>
        </w:rPr>
        <w:t xml:space="preserve">2 </w:t>
      </w:r>
      <w:r w:rsidR="00435B9A">
        <w:rPr>
          <w:color w:val="4471C4"/>
        </w:rPr>
        <w:t xml:space="preserve">Care home </w:t>
      </w:r>
      <w:r w:rsidR="00A46127">
        <w:rPr>
          <w:color w:val="4471C4"/>
        </w:rPr>
        <w:t xml:space="preserve">Assistant </w:t>
      </w:r>
      <w:r w:rsidRPr="0CF501EC">
        <w:rPr>
          <w:color w:val="4471C4"/>
        </w:rPr>
        <w:t>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3B250797"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A46127">
        <w:rPr>
          <w:color w:val="4471C4"/>
        </w:rPr>
        <w:t xml:space="preserve">Care </w:t>
      </w:r>
      <w:r w:rsidR="00C0292D">
        <w:rPr>
          <w:color w:val="4471C4"/>
        </w:rPr>
        <w:t>H</w:t>
      </w:r>
      <w:r w:rsidR="00435B9A">
        <w:rPr>
          <w:color w:val="4471C4"/>
        </w:rPr>
        <w:t xml:space="preserve">ome </w:t>
      </w:r>
      <w:r w:rsidR="00A46127">
        <w:rPr>
          <w:color w:val="4471C4"/>
        </w:rPr>
        <w:t>Assistant</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3C97AE39" w14:textId="77777777" w:rsidR="00435B9A" w:rsidRPr="002458F4" w:rsidRDefault="00435B9A" w:rsidP="00435B9A">
      <w:pPr>
        <w:rPr>
          <w:rFonts w:ascii="Arial" w:hAnsi="Arial" w:cs="Arial"/>
          <w:sz w:val="22"/>
        </w:rPr>
      </w:pPr>
      <w:r w:rsidRPr="002458F4">
        <w:rPr>
          <w:rFonts w:ascii="Arial" w:hAnsi="Arial" w:cs="Arial"/>
          <w:sz w:val="22"/>
        </w:rPr>
        <w:t>A care home assistant is a health and social care worker who assists older or vulnerable people living in care homes. These individuals may require assistance with washing, dressing, or even eating. They may need help with mobility and toileting. They may also need social and emotional support. According to the Care Quality Commission (CQC, 2023), social care should be safe, effective, caring, and responsive. Care home assistants help meet these standards within care homes by maintaining contact with residents. As care home assistants work closely with residents, they spend more time with them, and can notice any changes in their health, which they report to the managers.</w:t>
      </w:r>
    </w:p>
    <w:p w14:paraId="26E0D1A5" w14:textId="6DAA4C54" w:rsidR="0156E134" w:rsidRPr="002458F4" w:rsidRDefault="00435B9A" w:rsidP="002458F4">
      <w:pPr>
        <w:rPr>
          <w:rFonts w:ascii="Arial" w:hAnsi="Arial" w:cs="Arial"/>
          <w:sz w:val="22"/>
        </w:rPr>
      </w:pPr>
      <w:r w:rsidRPr="002458F4">
        <w:rPr>
          <w:rFonts w:ascii="Arial" w:hAnsi="Arial" w:cs="Arial"/>
          <w:sz w:val="22"/>
        </w:rPr>
        <w:t>The primary duties of a care home assistant are assisting residents with personal care, supporting nutrition and hydration, helping movement, preventing pressure damage, ensuring a safety environment, recording care given, and protecting people from harm or abuse. The care assistant also promotes dignity, privacy, independence, and choice. The key competencies include clear communication, compassion, and good observation with an understanding of safeguarding issues. This is important because a care home assistant must know what residents want, respond appropriately, and accurately report any risks to ensure residents receive safe and person-centred care.</w:t>
      </w:r>
    </w:p>
    <w:p w14:paraId="4010C35E" w14:textId="45B277CE"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eeded for</w:t>
      </w:r>
      <w:r w:rsidR="00435B9A">
        <w:rPr>
          <w:color w:val="4471C4"/>
        </w:rPr>
        <w:t xml:space="preserve"> </w:t>
      </w:r>
      <w:r w:rsidR="00C0292D">
        <w:rPr>
          <w:color w:val="4471C4"/>
        </w:rPr>
        <w:t>C</w:t>
      </w:r>
      <w:r w:rsidR="00435B9A">
        <w:rPr>
          <w:color w:val="4471C4"/>
        </w:rPr>
        <w:t xml:space="preserve">are </w:t>
      </w:r>
      <w:r w:rsidR="00C0292D">
        <w:rPr>
          <w:color w:val="4471C4"/>
        </w:rPr>
        <w:t>H</w:t>
      </w:r>
      <w:r w:rsidR="00435B9A">
        <w:rPr>
          <w:color w:val="4471C4"/>
        </w:rPr>
        <w:t xml:space="preserve">ome Assistant </w:t>
      </w:r>
      <w:r w:rsidR="00435B9A" w:rsidRPr="0CF501EC">
        <w:rPr>
          <w:color w:val="4471C4"/>
        </w:rPr>
        <w:t>in</w:t>
      </w:r>
      <w:r w:rsidR="007138EF" w:rsidRPr="0CF501EC">
        <w:rPr>
          <w:color w:val="4471C4"/>
        </w:rPr>
        <w:t xml:space="preserve"> Health</w:t>
      </w:r>
      <w:r w:rsidR="655ACEAB" w:rsidRPr="0CF501EC">
        <w:rPr>
          <w:color w:val="4471C4"/>
        </w:rPr>
        <w:t xml:space="preserve"> and Social C</w:t>
      </w:r>
      <w:r w:rsidR="007138EF" w:rsidRPr="0CF501EC">
        <w:rPr>
          <w:color w:val="4471C4"/>
        </w:rPr>
        <w:t>are</w:t>
      </w:r>
      <w:bookmarkEnd w:id="3"/>
    </w:p>
    <w:p w14:paraId="0D36FE14" w14:textId="77777777" w:rsidR="00435B9A" w:rsidRPr="002458F4" w:rsidRDefault="00435B9A" w:rsidP="00435B9A">
      <w:pPr>
        <w:rPr>
          <w:rFonts w:ascii="Arial" w:hAnsi="Arial" w:cs="Arial"/>
          <w:sz w:val="22"/>
        </w:rPr>
      </w:pPr>
      <w:r w:rsidRPr="002458F4">
        <w:rPr>
          <w:rFonts w:ascii="Arial" w:hAnsi="Arial" w:cs="Arial"/>
          <w:sz w:val="22"/>
        </w:rPr>
        <w:t>Many residents have complex needs such as hearing impairments, speech disorders, dementia, learning disabilities or high levels of stress. As a result, a care assistant must speak in a way that is easy to understand, wait for responses and change their method to suit each specific resident. The ability of a care home assistant to exchange information is a critical requirement because the safety of residents relies on accurate comprehension and precise data sharing. The Care Certificate lists communication as a primary requirement for health plus social care workers. It states that care workers must listen with full attention, write down information without errors and report worries to the relevant colleagues (HEE, 2015; Skills for Care, 2024). In a workplace setting, an assistant might describe every action before they help a resident to clean themselves. They use brief sentences when speaking with a resident who has dementia - but the assistant also informs a senior carer if a resident consumes a small amount of food during the midday meal. The use of precise language prevents errors in understanding and ensures that staff members deliver care that does not vary.</w:t>
      </w:r>
    </w:p>
    <w:p w14:paraId="11BDEC9B" w14:textId="77777777" w:rsidR="00435B9A" w:rsidRPr="002458F4" w:rsidRDefault="00435B9A" w:rsidP="00435B9A">
      <w:pPr>
        <w:rPr>
          <w:rFonts w:ascii="Arial" w:hAnsi="Arial" w:cs="Arial"/>
          <w:sz w:val="22"/>
        </w:rPr>
      </w:pPr>
      <w:r w:rsidRPr="002458F4">
        <w:rPr>
          <w:rFonts w:ascii="Arial" w:hAnsi="Arial" w:cs="Arial"/>
          <w:sz w:val="22"/>
        </w:rPr>
        <w:lastRenderedPageBreak/>
        <w:t>Also, the ability to act with compassion is a functional requirement because assistants in care homes assist residents during moments that are private, physically exposed or emotionally difficult. They should act with compassion treating residents with patience and considering the emotional states of those residents. CQC (2023) requires that providers allow residents to maintain their self-respect this includes protecting the privacy of the residents, helping residents to perform tasks for themselves and allowing residents to choose the details of their own medical treatment. To illustrate this, an assistant closes window coverings and doors before helping with hygiene, asks a resident to select specific garments plus speaks calmly if a resident experiences shame or disorientation. It is vital to use compassion when caring for residents with dementia because National Institute for Health and Care Excellence (NICE) guidelines prioritize the individual those guidelines state that assistants must recognize the personal history and specific choices of a resident. With this skill the residents are secure and know that the assistants appreciate them.</w:t>
      </w:r>
    </w:p>
    <w:p w14:paraId="3E2AB7A6" w14:textId="77777777" w:rsidR="00435B9A" w:rsidRPr="002458F4" w:rsidRDefault="00435B9A" w:rsidP="00435B9A">
      <w:pPr>
        <w:rPr>
          <w:rFonts w:ascii="Arial" w:hAnsi="Arial" w:cs="Arial"/>
          <w:sz w:val="22"/>
        </w:rPr>
      </w:pPr>
      <w:r w:rsidRPr="002458F4">
        <w:rPr>
          <w:rFonts w:ascii="Arial" w:hAnsi="Arial" w:cs="Arial"/>
          <w:sz w:val="22"/>
        </w:rPr>
        <w:t>The care home assistants need to be able to observe and ascertain risks because the ones who are prone to injuries cannot explain their difficulties as they present with physical signs, such as colour or texture changes on the skin surface, decrease in mass or the ability to move. According to Care Act statutory guidance, safeguarding is the work required to achieve that an adult is protected from abuse or neglect resulting in living in an unsafe environment (DHSC, 2023). Also, for the protection of adults in a residential institution from mistreatment, the personnel should report suspected occurrences of intentional harm (NICE, 2021). Therefore, if a client stops interacting with others and has mark indications on the skin with unknown reason, it is the responsibility of the personnel to document each aspect witnessed and notify the supervisor immediately. This helps safeguard patients and maintain organisation safety.</w:t>
      </w:r>
    </w:p>
    <w:p w14:paraId="204DBCE1" w14:textId="50B8438C" w:rsidR="0156E134" w:rsidRPr="002458F4" w:rsidRDefault="00435B9A" w:rsidP="00BA5D43">
      <w:pPr>
        <w:rPr>
          <w:rFonts w:ascii="Arial" w:hAnsi="Arial" w:cs="Arial"/>
          <w:sz w:val="22"/>
        </w:rPr>
      </w:pPr>
      <w:r w:rsidRPr="002458F4">
        <w:rPr>
          <w:rFonts w:ascii="Arial" w:hAnsi="Arial" w:cs="Arial"/>
          <w:sz w:val="22"/>
        </w:rPr>
        <w:t>The lack of communication, compassion and safeguarding skills, may cause the residents to receive poor and unsafe care. Ineffective communication can result in the failure to provide appropriate care to the residents or pass important information to them. Lack of compassion can lead to residents feeling unsupported. In addition, poor observation and safeguarding awareness can contribute to neglect, abuse, leading to poorer health outcomes. It is evident that without communication, compassion and safeguarding skills, the residents can experience serious health and social problems. Indeed, the failure of care homes to deliver safe care has led to frail and vulnerable adults being placed at risk of abuse and neglect. Hence, communication, compassion and safeguarding skills are vital in health and social service delivery.</w:t>
      </w:r>
    </w:p>
    <w:p w14:paraId="7338813D" w14:textId="77777777" w:rsidR="00C85A7C" w:rsidRPr="00242974" w:rsidRDefault="00C85A7C" w:rsidP="00C85A7C">
      <w:pPr>
        <w:spacing w:after="0" w:line="240" w:lineRule="auto"/>
        <w:jc w:val="both"/>
        <w:rPr>
          <w:sz w:val="21"/>
          <w:szCs w:val="21"/>
        </w:rPr>
      </w:pPr>
    </w:p>
    <w:p w14:paraId="2CAEA1EC" w14:textId="33F19008" w:rsidR="002370CE" w:rsidRPr="002976D4" w:rsidRDefault="1F09BC6E" w:rsidP="0CF501EC">
      <w:pPr>
        <w:pStyle w:val="Heading2"/>
        <w:rPr>
          <w:color w:val="4472C4" w:themeColor="accent1"/>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4"/>
      <w:r w:rsidR="00435B9A" w:rsidRPr="00556F53">
        <w:rPr>
          <w:rFonts w:ascii="Arial" w:hAnsi="Arial" w:cs="Arial"/>
          <w:sz w:val="24"/>
          <w:szCs w:val="24"/>
        </w:rPr>
        <w:t>Care Home Assistant</w:t>
      </w:r>
    </w:p>
    <w:p w14:paraId="533323D8" w14:textId="552F46CB" w:rsidR="00500295" w:rsidRPr="00D676C3" w:rsidRDefault="0C5D0C5C" w:rsidP="00435B9A">
      <w:pPr>
        <w:pStyle w:val="Heading2"/>
        <w:rPr>
          <w:sz w:val="22"/>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435B9A">
        <w:rPr>
          <w:color w:val="4471C4"/>
        </w:rPr>
        <w:t>care home Assistant</w:t>
      </w:r>
    </w:p>
    <w:p w14:paraId="3C6EB308" w14:textId="77777777" w:rsidR="00BA5D43" w:rsidRPr="002458F4" w:rsidRDefault="00BA5D43" w:rsidP="00BA5D43">
      <w:pPr>
        <w:rPr>
          <w:rFonts w:ascii="Arial" w:hAnsi="Arial" w:cs="Arial"/>
          <w:sz w:val="22"/>
        </w:rPr>
      </w:pPr>
      <w:r w:rsidRPr="002458F4">
        <w:rPr>
          <w:rFonts w:ascii="Arial" w:hAnsi="Arial" w:cs="Arial"/>
          <w:sz w:val="22"/>
        </w:rPr>
        <w:t>Communication skills can be enhanced by implementing communication training that incorporates role play, feedback, and practice within realistic care home scenarios. This works through giving care home assistants an opportunity to build their proficiency in asking questions, engaging in active listening, non-verbal communication, and adaptive communication for people with dementia, or other challenging conditions. The Care Certificate facilitates this objective by encouraging carers to develop an understanding of communication barriers and ways of overcoming them (Skills for Health, 2024). For instance, in the setting of a care home, a care home assistant can participate in a role-play activity designed to practice communicating with a confused resident who refuses to accept personal care. The carer’s performance can be evaluated, and feedback can be provided by a trainer or senior care worker.</w:t>
      </w:r>
    </w:p>
    <w:p w14:paraId="7DD718C3" w14:textId="77777777" w:rsidR="00BA5D43" w:rsidRPr="002458F4" w:rsidRDefault="00BA5D43" w:rsidP="00BA5D43">
      <w:pPr>
        <w:rPr>
          <w:rFonts w:ascii="Arial" w:hAnsi="Arial" w:cs="Arial"/>
          <w:sz w:val="22"/>
        </w:rPr>
      </w:pPr>
      <w:r w:rsidRPr="002458F4">
        <w:rPr>
          <w:rFonts w:ascii="Arial" w:hAnsi="Arial" w:cs="Arial"/>
          <w:sz w:val="22"/>
        </w:rPr>
        <w:lastRenderedPageBreak/>
        <w:t>Compassion can be enhanced through reflective practice and supervision to build care workers’ abilities to reflect on the impact of an interaction on the resident and use the insights to select interventions that would be most appropriate and effective. Thus, Gibbs’ Reflective Cycle offers a useful framework that enables care workers to describe, explore feelings, evaluate actions, analyse experiences, draw conclusions, and formulate action plans based on care-related interactions (Gibbs, 1988). Supervision can also be used to facilitate reflective practice by giving carers an opportunity to openly discuss challenging scenarios during the allocated time with a senior worker. A care worker who had to deal with an upsetting interaction with a resident who became agitated due to continence care can have an opportunity to describe the situation and openly discuss whether the needs for privacy, reassurance, and choice were adequately met. Compassion-focused strategies facilitate the ability of care workers to make compassionate choices in their professional conduct on an everyday basis while being mindful of the impact of their conduct on residents.</w:t>
      </w:r>
    </w:p>
    <w:p w14:paraId="3FDDEF65" w14:textId="77777777" w:rsidR="00BA5D43" w:rsidRPr="002458F4" w:rsidRDefault="00BA5D43" w:rsidP="00BA5D43">
      <w:pPr>
        <w:rPr>
          <w:rFonts w:ascii="Arial" w:hAnsi="Arial" w:cs="Arial"/>
          <w:sz w:val="22"/>
        </w:rPr>
      </w:pPr>
      <w:r w:rsidRPr="002458F4">
        <w:rPr>
          <w:rFonts w:ascii="Arial" w:hAnsi="Arial" w:cs="Arial"/>
          <w:sz w:val="22"/>
        </w:rPr>
        <w:t>The enhancement of observation and safeguarding awareness can be achieved through safeguarding training and procedures for reporting unsafe practices. According to the NICE guidelines (2021), to prevent abuse and neglect in care homes, care workers must receive safeguarding training to understand the signs and the appropriate action to take when safeguarding concerns arise. For instance, a course on safeguarding can entail the discussion of scenarios where a care worker discovers signs of abuse or neglect, such as an elderly person with pressure ulcers and an elderly person who expresses suicidal intentions. After analysing the situation, the carer must identify the relevant documentation like an incident report and take proper steps to address the concern. This is important because detecting a potential issue is not enough, rather specific protocols must be followed to ensure that the problem is documented and resolved.</w:t>
      </w:r>
    </w:p>
    <w:p w14:paraId="4F9C0E3F" w14:textId="480429FA" w:rsidR="00BA5D43" w:rsidRPr="002458F4" w:rsidRDefault="00BA5D43" w:rsidP="00BA5D43">
      <w:pPr>
        <w:rPr>
          <w:rFonts w:ascii="Arial" w:hAnsi="Arial" w:cs="Arial"/>
          <w:sz w:val="22"/>
        </w:rPr>
      </w:pPr>
      <w:r w:rsidRPr="002458F4">
        <w:rPr>
          <w:rFonts w:ascii="Arial" w:hAnsi="Arial" w:cs="Arial"/>
          <w:sz w:val="22"/>
        </w:rPr>
        <w:t>Although communication can be reinforced through handover discussions and day-to-day interactions while reflection can be built through regular supervision and open discussion however, these strategies are best implemented within the framework of a continuous educational process that transcends individual training sessions. This ensures that the culture of professional conduct can be continuously reinforced on-the-job through reporting, documentation, and daily tasks within the care home setting. This approach promotes lifelong learning and development in health and social care, because it equips staff with the essential skills and knowledge to provide safe and effective care (Skills for Care, 2024).</w:t>
      </w: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36F62FBE" w14:textId="77777777" w:rsidR="00BA5D43" w:rsidRPr="002458F4" w:rsidRDefault="00BA5D43" w:rsidP="00BA5D43">
      <w:pPr>
        <w:rPr>
          <w:rFonts w:ascii="Arial" w:hAnsi="Arial" w:cs="Arial"/>
          <w:sz w:val="22"/>
        </w:rPr>
      </w:pPr>
      <w:r w:rsidRPr="002458F4">
        <w:rPr>
          <w:rFonts w:ascii="Arial" w:hAnsi="Arial" w:cs="Arial"/>
          <w:sz w:val="22"/>
        </w:rPr>
        <w:t>Care home assistants hold the critical position of being able to influence the wellbeing of people who are dependent on them and require support in managing complex health problems. This report, evidence the central role of communication, compassion, and observation with safeguarding awareness in the care home assistant’s role. These skills contribute to the provision of safe and effective care, through the analysis of the potential consequences of a deficient approach causing patient harm. The outlined strategies of communication training, reflective practice, supervision, and safeguarding training can be applied in care settings to address the areas in need of improvement. Effective communication, compassion, and observation with safeguarding awareness can enable care home assistants to provide the residents with safe and dignified care.</w:t>
      </w:r>
    </w:p>
    <w:p w14:paraId="5155B0ED" w14:textId="77777777" w:rsidR="00D676C3" w:rsidRPr="002458F4" w:rsidRDefault="00D676C3" w:rsidP="00D676C3">
      <w:pPr>
        <w:pStyle w:val="ListParagraph"/>
        <w:spacing w:after="0" w:line="240" w:lineRule="auto"/>
        <w:rPr>
          <w:sz w:val="22"/>
        </w:rPr>
      </w:pPr>
    </w:p>
    <w:p w14:paraId="6C4B494D" w14:textId="3FD9A722" w:rsidR="00226D31" w:rsidRPr="002458F4" w:rsidRDefault="00226D31" w:rsidP="0156E134">
      <w:pPr>
        <w:pStyle w:val="Heading2"/>
        <w:rPr>
          <w:color w:val="4472C4" w:themeColor="accent1"/>
          <w:sz w:val="22"/>
          <w:szCs w:val="22"/>
        </w:rPr>
      </w:pPr>
      <w:bookmarkStart w:id="7" w:name="_Toc1911583216"/>
      <w:r w:rsidRPr="002458F4">
        <w:rPr>
          <w:color w:val="4471C4"/>
          <w:sz w:val="22"/>
          <w:szCs w:val="22"/>
        </w:rPr>
        <w:lastRenderedPageBreak/>
        <w:t>5 Reference List</w:t>
      </w:r>
      <w:bookmarkEnd w:id="7"/>
    </w:p>
    <w:p w14:paraId="74C99CB5" w14:textId="77777777" w:rsidR="00BA5D43" w:rsidRPr="002458F4" w:rsidRDefault="00BA5D43" w:rsidP="00BA5D43">
      <w:pPr>
        <w:rPr>
          <w:rFonts w:ascii="Arial" w:hAnsi="Arial" w:cs="Arial"/>
          <w:sz w:val="22"/>
        </w:rPr>
      </w:pPr>
      <w:r w:rsidRPr="002458F4">
        <w:rPr>
          <w:rFonts w:ascii="Arial" w:hAnsi="Arial" w:cs="Arial"/>
          <w:sz w:val="22"/>
        </w:rPr>
        <w:t>Care Quality Commission CQC (2023) The fundamental standards. Available at: https://www.cqc.org.uk/what-we-do/how-we-do-our-job/fundamental-standards (Accessed: 10 August 2026).</w:t>
      </w:r>
    </w:p>
    <w:p w14:paraId="758DBF40" w14:textId="77777777" w:rsidR="00BA5D43" w:rsidRPr="002458F4" w:rsidRDefault="00BA5D43" w:rsidP="00BA5D43">
      <w:pPr>
        <w:rPr>
          <w:rFonts w:ascii="Arial" w:hAnsi="Arial" w:cs="Arial"/>
          <w:sz w:val="22"/>
        </w:rPr>
      </w:pPr>
      <w:r w:rsidRPr="002458F4">
        <w:rPr>
          <w:rFonts w:ascii="Arial" w:hAnsi="Arial" w:cs="Arial"/>
          <w:sz w:val="22"/>
        </w:rPr>
        <w:t>Department of Health and Social Care DHSC (2023) Care and support statutory guidance. Available at: https://www.gov.uk/government/publications/care-act-statutory-guidance/care-and-support-statutory-guidance (Accessed: 10 August 2026).</w:t>
      </w:r>
    </w:p>
    <w:p w14:paraId="59EEDFA0" w14:textId="77777777" w:rsidR="00BA5D43" w:rsidRPr="002458F4" w:rsidRDefault="00BA5D43" w:rsidP="00BA5D43">
      <w:pPr>
        <w:rPr>
          <w:rFonts w:ascii="Arial" w:hAnsi="Arial" w:cs="Arial"/>
          <w:sz w:val="22"/>
        </w:rPr>
      </w:pPr>
      <w:r w:rsidRPr="002458F4">
        <w:rPr>
          <w:rFonts w:ascii="Arial" w:hAnsi="Arial" w:cs="Arial"/>
          <w:sz w:val="22"/>
        </w:rPr>
        <w:t>Francis, R. (2013) Report of the Mid Staffordshire NHS Foundation Trust Public Inquiry. London: The Stationery Office.</w:t>
      </w:r>
    </w:p>
    <w:p w14:paraId="3C05F430" w14:textId="77777777" w:rsidR="00BA5D43" w:rsidRPr="002458F4" w:rsidRDefault="00BA5D43" w:rsidP="00BA5D43">
      <w:pPr>
        <w:rPr>
          <w:rFonts w:ascii="Arial" w:hAnsi="Arial" w:cs="Arial"/>
          <w:sz w:val="22"/>
        </w:rPr>
      </w:pPr>
      <w:r w:rsidRPr="002458F4">
        <w:rPr>
          <w:rFonts w:ascii="Arial" w:hAnsi="Arial" w:cs="Arial"/>
          <w:sz w:val="22"/>
        </w:rPr>
        <w:t>Gibbs, G. (1988) Learning by doing: A guide to teaching and learning methods. Oxford: Further Education Unit, Oxford Polytechnic.</w:t>
      </w:r>
    </w:p>
    <w:p w14:paraId="4B75A0F7" w14:textId="77777777" w:rsidR="00BA5D43" w:rsidRPr="002458F4" w:rsidRDefault="00BA5D43" w:rsidP="00BA5D43">
      <w:pPr>
        <w:rPr>
          <w:rFonts w:ascii="Arial" w:hAnsi="Arial" w:cs="Arial"/>
          <w:sz w:val="22"/>
        </w:rPr>
      </w:pPr>
      <w:r w:rsidRPr="002458F4">
        <w:rPr>
          <w:rFonts w:ascii="Arial" w:hAnsi="Arial" w:cs="Arial"/>
          <w:sz w:val="22"/>
        </w:rPr>
        <w:t>Health Education England, HEE (2015) The Care Certificate Standards. Available at: https://www.skillsforcare.org.uk/resources/documents/Developing-your-workforce/Care-Certificate/Care-Certificate-Standards.pdf (Accessed: 10 August 2026).</w:t>
      </w:r>
    </w:p>
    <w:p w14:paraId="7AAD012A" w14:textId="040EC7DD" w:rsidR="00BA5D43" w:rsidRPr="002458F4" w:rsidRDefault="00BA5D43" w:rsidP="00BA5D43">
      <w:pPr>
        <w:rPr>
          <w:rFonts w:ascii="Arial" w:hAnsi="Arial" w:cs="Arial"/>
          <w:sz w:val="22"/>
        </w:rPr>
      </w:pPr>
      <w:r w:rsidRPr="002458F4">
        <w:rPr>
          <w:rFonts w:ascii="Arial" w:hAnsi="Arial" w:cs="Arial"/>
          <w:sz w:val="22"/>
        </w:rPr>
        <w:t xml:space="preserve">National NICE (2018) Dementia: assessment, management and support for people living with dementia and their </w:t>
      </w:r>
      <w:r w:rsidRPr="002458F4">
        <w:rPr>
          <w:rFonts w:ascii="Arial" w:hAnsi="Arial" w:cs="Arial"/>
          <w:sz w:val="22"/>
        </w:rPr>
        <w:t>careers</w:t>
      </w:r>
      <w:r w:rsidRPr="002458F4">
        <w:rPr>
          <w:rFonts w:ascii="Arial" w:hAnsi="Arial" w:cs="Arial"/>
          <w:sz w:val="22"/>
        </w:rPr>
        <w:t>. NICE guideline NG97. Available at: https://www.nice.org.uk/guidance/ng97 (Accessed: 10 August 2026).</w:t>
      </w:r>
    </w:p>
    <w:p w14:paraId="5A129581" w14:textId="77777777" w:rsidR="00BA5D43" w:rsidRPr="002458F4" w:rsidRDefault="00BA5D43" w:rsidP="00BA5D43">
      <w:pPr>
        <w:rPr>
          <w:rFonts w:ascii="Arial" w:hAnsi="Arial" w:cs="Arial"/>
          <w:sz w:val="22"/>
        </w:rPr>
      </w:pPr>
      <w:r w:rsidRPr="002458F4">
        <w:rPr>
          <w:rFonts w:ascii="Arial" w:hAnsi="Arial" w:cs="Arial"/>
          <w:sz w:val="22"/>
        </w:rPr>
        <w:t>NICE (2021) Safeguarding adults in care homes. NICE guideline NG189. Available at: https://www.nice.org.uk/guidance/ng189 (Accessed: 10 August 2026).</w:t>
      </w:r>
    </w:p>
    <w:p w14:paraId="15FE4969" w14:textId="77777777" w:rsidR="00BA5D43" w:rsidRPr="002458F4" w:rsidRDefault="00BA5D43" w:rsidP="00BA5D43">
      <w:pPr>
        <w:rPr>
          <w:rFonts w:ascii="Arial" w:hAnsi="Arial" w:cs="Arial"/>
          <w:sz w:val="22"/>
        </w:rPr>
      </w:pPr>
      <w:r w:rsidRPr="002458F4">
        <w:rPr>
          <w:rFonts w:ascii="Arial" w:hAnsi="Arial" w:cs="Arial"/>
          <w:sz w:val="22"/>
        </w:rPr>
        <w:t>Skills for Care (2024) Learning and development. Available at: https://www.skillsforcare.org.uk/Developing-your-workforce/Learning-and-development/Learning-and-development.aspx (Accessed: 10 August 2026).</w:t>
      </w:r>
    </w:p>
    <w:p w14:paraId="575308ED" w14:textId="77777777" w:rsidR="00BA5D43" w:rsidRPr="002458F4" w:rsidRDefault="00BA5D43" w:rsidP="00BA5D43">
      <w:pPr>
        <w:rPr>
          <w:rFonts w:ascii="Arial" w:hAnsi="Arial" w:cs="Arial"/>
          <w:sz w:val="22"/>
        </w:rPr>
      </w:pPr>
    </w:p>
    <w:p w14:paraId="1D0F2D59" w14:textId="04FD5966" w:rsidR="004552CE" w:rsidRPr="002458F4" w:rsidRDefault="004552CE" w:rsidP="005E44B5">
      <w:pPr>
        <w:rPr>
          <w:rFonts w:ascii="Arial" w:hAnsi="Arial" w:cs="Arial"/>
          <w:color w:val="FF0000"/>
          <w:sz w:val="22"/>
        </w:rPr>
      </w:pPr>
    </w:p>
    <w:sectPr w:rsidR="004552CE" w:rsidRPr="002458F4"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56C71F" w14:textId="77777777" w:rsidR="00CD32ED" w:rsidRDefault="00CD32ED" w:rsidP="003C7C97">
      <w:pPr>
        <w:spacing w:after="0" w:line="240" w:lineRule="auto"/>
      </w:pPr>
      <w:r>
        <w:separator/>
      </w:r>
    </w:p>
  </w:endnote>
  <w:endnote w:type="continuationSeparator" w:id="0">
    <w:p w14:paraId="08DAB593" w14:textId="77777777" w:rsidR="00CD32ED" w:rsidRDefault="00CD32E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E1F128" w14:textId="77777777" w:rsidR="00CD32ED" w:rsidRDefault="00CD32ED" w:rsidP="003C7C97">
      <w:pPr>
        <w:spacing w:after="0" w:line="240" w:lineRule="auto"/>
      </w:pPr>
      <w:r>
        <w:separator/>
      </w:r>
    </w:p>
  </w:footnote>
  <w:footnote w:type="continuationSeparator" w:id="0">
    <w:p w14:paraId="4B5EB0C1" w14:textId="77777777" w:rsidR="00CD32ED" w:rsidRDefault="00CD32ED"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C8342324"/>
    <w:lvl w:ilvl="0" w:tplc="5CD2756C">
      <w:start w:val="1"/>
      <w:numFmt w:val="bullet"/>
      <w:lvlText w:val=""/>
      <w:lvlJc w:val="left"/>
      <w:pPr>
        <w:ind w:left="720" w:hanging="360"/>
      </w:pPr>
      <w:rPr>
        <w:rFonts w:ascii="Symbol" w:hAnsi="Symbol" w:hint="default"/>
      </w:rPr>
    </w:lvl>
    <w:lvl w:ilvl="1" w:tplc="3D5C6A52">
      <w:start w:val="1"/>
      <w:numFmt w:val="bullet"/>
      <w:lvlText w:val="o"/>
      <w:lvlJc w:val="left"/>
      <w:pPr>
        <w:ind w:left="1440" w:hanging="360"/>
      </w:pPr>
      <w:rPr>
        <w:rFonts w:ascii="Courier New" w:hAnsi="Courier New" w:hint="default"/>
      </w:rPr>
    </w:lvl>
    <w:lvl w:ilvl="2" w:tplc="6CF8F23A">
      <w:start w:val="1"/>
      <w:numFmt w:val="bullet"/>
      <w:lvlText w:val=""/>
      <w:lvlJc w:val="left"/>
      <w:pPr>
        <w:ind w:left="2160" w:hanging="360"/>
      </w:pPr>
      <w:rPr>
        <w:rFonts w:ascii="Wingdings" w:hAnsi="Wingdings" w:hint="default"/>
      </w:rPr>
    </w:lvl>
    <w:lvl w:ilvl="3" w:tplc="228A944E">
      <w:start w:val="1"/>
      <w:numFmt w:val="bullet"/>
      <w:lvlText w:val=""/>
      <w:lvlJc w:val="left"/>
      <w:pPr>
        <w:ind w:left="2880" w:hanging="360"/>
      </w:pPr>
      <w:rPr>
        <w:rFonts w:ascii="Symbol" w:hAnsi="Symbol" w:hint="default"/>
      </w:rPr>
    </w:lvl>
    <w:lvl w:ilvl="4" w:tplc="FBD4762E">
      <w:start w:val="1"/>
      <w:numFmt w:val="bullet"/>
      <w:lvlText w:val="o"/>
      <w:lvlJc w:val="left"/>
      <w:pPr>
        <w:ind w:left="3600" w:hanging="360"/>
      </w:pPr>
      <w:rPr>
        <w:rFonts w:ascii="Courier New" w:hAnsi="Courier New" w:hint="default"/>
      </w:rPr>
    </w:lvl>
    <w:lvl w:ilvl="5" w:tplc="276CB88C">
      <w:start w:val="1"/>
      <w:numFmt w:val="bullet"/>
      <w:lvlText w:val=""/>
      <w:lvlJc w:val="left"/>
      <w:pPr>
        <w:ind w:left="4320" w:hanging="360"/>
      </w:pPr>
      <w:rPr>
        <w:rFonts w:ascii="Wingdings" w:hAnsi="Wingdings" w:hint="default"/>
      </w:rPr>
    </w:lvl>
    <w:lvl w:ilvl="6" w:tplc="62BA1126">
      <w:start w:val="1"/>
      <w:numFmt w:val="bullet"/>
      <w:lvlText w:val=""/>
      <w:lvlJc w:val="left"/>
      <w:pPr>
        <w:ind w:left="5040" w:hanging="360"/>
      </w:pPr>
      <w:rPr>
        <w:rFonts w:ascii="Symbol" w:hAnsi="Symbol" w:hint="default"/>
      </w:rPr>
    </w:lvl>
    <w:lvl w:ilvl="7" w:tplc="26D8B63E">
      <w:start w:val="1"/>
      <w:numFmt w:val="bullet"/>
      <w:lvlText w:val="o"/>
      <w:lvlJc w:val="left"/>
      <w:pPr>
        <w:ind w:left="5760" w:hanging="360"/>
      </w:pPr>
      <w:rPr>
        <w:rFonts w:ascii="Courier New" w:hAnsi="Courier New" w:hint="default"/>
      </w:rPr>
    </w:lvl>
    <w:lvl w:ilvl="8" w:tplc="F2A65B88">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DBB44C4A"/>
    <w:lvl w:ilvl="0" w:tplc="10C25444">
      <w:start w:val="1"/>
      <w:numFmt w:val="bullet"/>
      <w:lvlText w:val=""/>
      <w:lvlJc w:val="left"/>
      <w:pPr>
        <w:ind w:left="720" w:hanging="360"/>
      </w:pPr>
      <w:rPr>
        <w:rFonts w:ascii="Symbol" w:hAnsi="Symbol" w:hint="default"/>
      </w:rPr>
    </w:lvl>
    <w:lvl w:ilvl="1" w:tplc="49022F4C">
      <w:start w:val="1"/>
      <w:numFmt w:val="bullet"/>
      <w:lvlText w:val="o"/>
      <w:lvlJc w:val="left"/>
      <w:pPr>
        <w:ind w:left="1440" w:hanging="360"/>
      </w:pPr>
      <w:rPr>
        <w:rFonts w:ascii="Courier New" w:hAnsi="Courier New" w:hint="default"/>
      </w:rPr>
    </w:lvl>
    <w:lvl w:ilvl="2" w:tplc="CD3055D4">
      <w:start w:val="1"/>
      <w:numFmt w:val="bullet"/>
      <w:lvlText w:val=""/>
      <w:lvlJc w:val="left"/>
      <w:pPr>
        <w:ind w:left="2160" w:hanging="360"/>
      </w:pPr>
      <w:rPr>
        <w:rFonts w:ascii="Wingdings" w:hAnsi="Wingdings" w:hint="default"/>
      </w:rPr>
    </w:lvl>
    <w:lvl w:ilvl="3" w:tplc="0362220E">
      <w:start w:val="1"/>
      <w:numFmt w:val="bullet"/>
      <w:lvlText w:val=""/>
      <w:lvlJc w:val="left"/>
      <w:pPr>
        <w:ind w:left="2880" w:hanging="360"/>
      </w:pPr>
      <w:rPr>
        <w:rFonts w:ascii="Symbol" w:hAnsi="Symbol" w:hint="default"/>
      </w:rPr>
    </w:lvl>
    <w:lvl w:ilvl="4" w:tplc="B63CAEC6">
      <w:start w:val="1"/>
      <w:numFmt w:val="bullet"/>
      <w:lvlText w:val="o"/>
      <w:lvlJc w:val="left"/>
      <w:pPr>
        <w:ind w:left="3600" w:hanging="360"/>
      </w:pPr>
      <w:rPr>
        <w:rFonts w:ascii="Courier New" w:hAnsi="Courier New" w:hint="default"/>
      </w:rPr>
    </w:lvl>
    <w:lvl w:ilvl="5" w:tplc="742E979C">
      <w:start w:val="1"/>
      <w:numFmt w:val="bullet"/>
      <w:lvlText w:val=""/>
      <w:lvlJc w:val="left"/>
      <w:pPr>
        <w:ind w:left="4320" w:hanging="360"/>
      </w:pPr>
      <w:rPr>
        <w:rFonts w:ascii="Wingdings" w:hAnsi="Wingdings" w:hint="default"/>
      </w:rPr>
    </w:lvl>
    <w:lvl w:ilvl="6" w:tplc="DB4A54EA">
      <w:start w:val="1"/>
      <w:numFmt w:val="bullet"/>
      <w:lvlText w:val=""/>
      <w:lvlJc w:val="left"/>
      <w:pPr>
        <w:ind w:left="5040" w:hanging="360"/>
      </w:pPr>
      <w:rPr>
        <w:rFonts w:ascii="Symbol" w:hAnsi="Symbol" w:hint="default"/>
      </w:rPr>
    </w:lvl>
    <w:lvl w:ilvl="7" w:tplc="2910AC7E">
      <w:start w:val="1"/>
      <w:numFmt w:val="bullet"/>
      <w:lvlText w:val="o"/>
      <w:lvlJc w:val="left"/>
      <w:pPr>
        <w:ind w:left="5760" w:hanging="360"/>
      </w:pPr>
      <w:rPr>
        <w:rFonts w:ascii="Courier New" w:hAnsi="Courier New" w:hint="default"/>
      </w:rPr>
    </w:lvl>
    <w:lvl w:ilvl="8" w:tplc="E5684D94">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7778AA9E"/>
    <w:lvl w:ilvl="0" w:tplc="E000DDAA">
      <w:start w:val="1"/>
      <w:numFmt w:val="bullet"/>
      <w:lvlText w:val=""/>
      <w:lvlJc w:val="left"/>
      <w:pPr>
        <w:ind w:left="720" w:hanging="360"/>
      </w:pPr>
      <w:rPr>
        <w:rFonts w:ascii="Symbol" w:hAnsi="Symbol" w:hint="default"/>
      </w:rPr>
    </w:lvl>
    <w:lvl w:ilvl="1" w:tplc="7F1CDFC0">
      <w:start w:val="1"/>
      <w:numFmt w:val="bullet"/>
      <w:lvlText w:val="o"/>
      <w:lvlJc w:val="left"/>
      <w:pPr>
        <w:ind w:left="1440" w:hanging="360"/>
      </w:pPr>
      <w:rPr>
        <w:rFonts w:ascii="Courier New" w:hAnsi="Courier New" w:hint="default"/>
      </w:rPr>
    </w:lvl>
    <w:lvl w:ilvl="2" w:tplc="81F8AE6A">
      <w:start w:val="1"/>
      <w:numFmt w:val="bullet"/>
      <w:lvlText w:val=""/>
      <w:lvlJc w:val="left"/>
      <w:pPr>
        <w:ind w:left="2160" w:hanging="360"/>
      </w:pPr>
      <w:rPr>
        <w:rFonts w:ascii="Wingdings" w:hAnsi="Wingdings" w:hint="default"/>
      </w:rPr>
    </w:lvl>
    <w:lvl w:ilvl="3" w:tplc="B344A560">
      <w:start w:val="1"/>
      <w:numFmt w:val="bullet"/>
      <w:lvlText w:val=""/>
      <w:lvlJc w:val="left"/>
      <w:pPr>
        <w:ind w:left="2880" w:hanging="360"/>
      </w:pPr>
      <w:rPr>
        <w:rFonts w:ascii="Symbol" w:hAnsi="Symbol" w:hint="default"/>
      </w:rPr>
    </w:lvl>
    <w:lvl w:ilvl="4" w:tplc="C4965AB6">
      <w:start w:val="1"/>
      <w:numFmt w:val="bullet"/>
      <w:lvlText w:val="o"/>
      <w:lvlJc w:val="left"/>
      <w:pPr>
        <w:ind w:left="3600" w:hanging="360"/>
      </w:pPr>
      <w:rPr>
        <w:rFonts w:ascii="Courier New" w:hAnsi="Courier New" w:hint="default"/>
      </w:rPr>
    </w:lvl>
    <w:lvl w:ilvl="5" w:tplc="4DF88556">
      <w:start w:val="1"/>
      <w:numFmt w:val="bullet"/>
      <w:lvlText w:val=""/>
      <w:lvlJc w:val="left"/>
      <w:pPr>
        <w:ind w:left="4320" w:hanging="360"/>
      </w:pPr>
      <w:rPr>
        <w:rFonts w:ascii="Wingdings" w:hAnsi="Wingdings" w:hint="default"/>
      </w:rPr>
    </w:lvl>
    <w:lvl w:ilvl="6" w:tplc="A7B42F90">
      <w:start w:val="1"/>
      <w:numFmt w:val="bullet"/>
      <w:lvlText w:val=""/>
      <w:lvlJc w:val="left"/>
      <w:pPr>
        <w:ind w:left="5040" w:hanging="360"/>
      </w:pPr>
      <w:rPr>
        <w:rFonts w:ascii="Symbol" w:hAnsi="Symbol" w:hint="default"/>
      </w:rPr>
    </w:lvl>
    <w:lvl w:ilvl="7" w:tplc="32543708">
      <w:start w:val="1"/>
      <w:numFmt w:val="bullet"/>
      <w:lvlText w:val="o"/>
      <w:lvlJc w:val="left"/>
      <w:pPr>
        <w:ind w:left="5760" w:hanging="360"/>
      </w:pPr>
      <w:rPr>
        <w:rFonts w:ascii="Courier New" w:hAnsi="Courier New" w:hint="default"/>
      </w:rPr>
    </w:lvl>
    <w:lvl w:ilvl="8" w:tplc="8632C31A">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075CBAA6"/>
    <w:lvl w:ilvl="0" w:tplc="F19ED6E4">
      <w:start w:val="1"/>
      <w:numFmt w:val="bullet"/>
      <w:lvlText w:val=""/>
      <w:lvlJc w:val="left"/>
      <w:pPr>
        <w:ind w:left="720" w:hanging="360"/>
      </w:pPr>
      <w:rPr>
        <w:rFonts w:ascii="Symbol" w:hAnsi="Symbol" w:hint="default"/>
      </w:rPr>
    </w:lvl>
    <w:lvl w:ilvl="1" w:tplc="75CC9706">
      <w:start w:val="1"/>
      <w:numFmt w:val="bullet"/>
      <w:lvlText w:val="o"/>
      <w:lvlJc w:val="left"/>
      <w:pPr>
        <w:ind w:left="1440" w:hanging="360"/>
      </w:pPr>
      <w:rPr>
        <w:rFonts w:ascii="Courier New" w:hAnsi="Courier New" w:hint="default"/>
      </w:rPr>
    </w:lvl>
    <w:lvl w:ilvl="2" w:tplc="58C4C756">
      <w:start w:val="1"/>
      <w:numFmt w:val="bullet"/>
      <w:lvlText w:val=""/>
      <w:lvlJc w:val="left"/>
      <w:pPr>
        <w:ind w:left="2160" w:hanging="360"/>
      </w:pPr>
      <w:rPr>
        <w:rFonts w:ascii="Wingdings" w:hAnsi="Wingdings" w:hint="default"/>
      </w:rPr>
    </w:lvl>
    <w:lvl w:ilvl="3" w:tplc="C162421E">
      <w:start w:val="1"/>
      <w:numFmt w:val="bullet"/>
      <w:lvlText w:val=""/>
      <w:lvlJc w:val="left"/>
      <w:pPr>
        <w:ind w:left="2880" w:hanging="360"/>
      </w:pPr>
      <w:rPr>
        <w:rFonts w:ascii="Symbol" w:hAnsi="Symbol" w:hint="default"/>
      </w:rPr>
    </w:lvl>
    <w:lvl w:ilvl="4" w:tplc="F69202F8">
      <w:start w:val="1"/>
      <w:numFmt w:val="bullet"/>
      <w:lvlText w:val="o"/>
      <w:lvlJc w:val="left"/>
      <w:pPr>
        <w:ind w:left="3600" w:hanging="360"/>
      </w:pPr>
      <w:rPr>
        <w:rFonts w:ascii="Courier New" w:hAnsi="Courier New" w:hint="default"/>
      </w:rPr>
    </w:lvl>
    <w:lvl w:ilvl="5" w:tplc="6366AF7E">
      <w:start w:val="1"/>
      <w:numFmt w:val="bullet"/>
      <w:lvlText w:val=""/>
      <w:lvlJc w:val="left"/>
      <w:pPr>
        <w:ind w:left="4320" w:hanging="360"/>
      </w:pPr>
      <w:rPr>
        <w:rFonts w:ascii="Wingdings" w:hAnsi="Wingdings" w:hint="default"/>
      </w:rPr>
    </w:lvl>
    <w:lvl w:ilvl="6" w:tplc="E42CE836">
      <w:start w:val="1"/>
      <w:numFmt w:val="bullet"/>
      <w:lvlText w:val=""/>
      <w:lvlJc w:val="left"/>
      <w:pPr>
        <w:ind w:left="5040" w:hanging="360"/>
      </w:pPr>
      <w:rPr>
        <w:rFonts w:ascii="Symbol" w:hAnsi="Symbol" w:hint="default"/>
      </w:rPr>
    </w:lvl>
    <w:lvl w:ilvl="7" w:tplc="142C1A78">
      <w:start w:val="1"/>
      <w:numFmt w:val="bullet"/>
      <w:lvlText w:val="o"/>
      <w:lvlJc w:val="left"/>
      <w:pPr>
        <w:ind w:left="5760" w:hanging="360"/>
      </w:pPr>
      <w:rPr>
        <w:rFonts w:ascii="Courier New" w:hAnsi="Courier New" w:hint="default"/>
      </w:rPr>
    </w:lvl>
    <w:lvl w:ilvl="8" w:tplc="C750E350">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30861598"/>
    <w:lvl w:ilvl="0" w:tplc="B94AC7EA">
      <w:start w:val="1"/>
      <w:numFmt w:val="bullet"/>
      <w:lvlText w:val=""/>
      <w:lvlJc w:val="left"/>
      <w:pPr>
        <w:ind w:left="720" w:hanging="360"/>
      </w:pPr>
      <w:rPr>
        <w:rFonts w:ascii="Symbol" w:hAnsi="Symbol" w:hint="default"/>
      </w:rPr>
    </w:lvl>
    <w:lvl w:ilvl="1" w:tplc="D772C9C8">
      <w:start w:val="1"/>
      <w:numFmt w:val="bullet"/>
      <w:lvlText w:val="o"/>
      <w:lvlJc w:val="left"/>
      <w:pPr>
        <w:ind w:left="1440" w:hanging="360"/>
      </w:pPr>
      <w:rPr>
        <w:rFonts w:ascii="Courier New" w:hAnsi="Courier New" w:hint="default"/>
      </w:rPr>
    </w:lvl>
    <w:lvl w:ilvl="2" w:tplc="7A7095EE">
      <w:start w:val="1"/>
      <w:numFmt w:val="bullet"/>
      <w:lvlText w:val=""/>
      <w:lvlJc w:val="left"/>
      <w:pPr>
        <w:ind w:left="2160" w:hanging="360"/>
      </w:pPr>
      <w:rPr>
        <w:rFonts w:ascii="Wingdings" w:hAnsi="Wingdings" w:hint="default"/>
      </w:rPr>
    </w:lvl>
    <w:lvl w:ilvl="3" w:tplc="72EEA12C">
      <w:start w:val="1"/>
      <w:numFmt w:val="bullet"/>
      <w:lvlText w:val=""/>
      <w:lvlJc w:val="left"/>
      <w:pPr>
        <w:ind w:left="2880" w:hanging="360"/>
      </w:pPr>
      <w:rPr>
        <w:rFonts w:ascii="Symbol" w:hAnsi="Symbol" w:hint="default"/>
      </w:rPr>
    </w:lvl>
    <w:lvl w:ilvl="4" w:tplc="97868FF8">
      <w:start w:val="1"/>
      <w:numFmt w:val="bullet"/>
      <w:lvlText w:val="o"/>
      <w:lvlJc w:val="left"/>
      <w:pPr>
        <w:ind w:left="3600" w:hanging="360"/>
      </w:pPr>
      <w:rPr>
        <w:rFonts w:ascii="Courier New" w:hAnsi="Courier New" w:hint="default"/>
      </w:rPr>
    </w:lvl>
    <w:lvl w:ilvl="5" w:tplc="A67EE35A">
      <w:start w:val="1"/>
      <w:numFmt w:val="bullet"/>
      <w:lvlText w:val=""/>
      <w:lvlJc w:val="left"/>
      <w:pPr>
        <w:ind w:left="4320" w:hanging="360"/>
      </w:pPr>
      <w:rPr>
        <w:rFonts w:ascii="Wingdings" w:hAnsi="Wingdings" w:hint="default"/>
      </w:rPr>
    </w:lvl>
    <w:lvl w:ilvl="6" w:tplc="74D472AC">
      <w:start w:val="1"/>
      <w:numFmt w:val="bullet"/>
      <w:lvlText w:val=""/>
      <w:lvlJc w:val="left"/>
      <w:pPr>
        <w:ind w:left="5040" w:hanging="360"/>
      </w:pPr>
      <w:rPr>
        <w:rFonts w:ascii="Symbol" w:hAnsi="Symbol" w:hint="default"/>
      </w:rPr>
    </w:lvl>
    <w:lvl w:ilvl="7" w:tplc="A2004A20">
      <w:start w:val="1"/>
      <w:numFmt w:val="bullet"/>
      <w:lvlText w:val="o"/>
      <w:lvlJc w:val="left"/>
      <w:pPr>
        <w:ind w:left="5760" w:hanging="360"/>
      </w:pPr>
      <w:rPr>
        <w:rFonts w:ascii="Courier New" w:hAnsi="Courier New" w:hint="default"/>
      </w:rPr>
    </w:lvl>
    <w:lvl w:ilvl="8" w:tplc="1C5C34DA">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B150D0A8"/>
    <w:lvl w:ilvl="0" w:tplc="59625814">
      <w:start w:val="1"/>
      <w:numFmt w:val="bullet"/>
      <w:lvlText w:val=""/>
      <w:lvlJc w:val="left"/>
      <w:pPr>
        <w:ind w:left="720" w:hanging="360"/>
      </w:pPr>
      <w:rPr>
        <w:rFonts w:ascii="Symbol" w:hAnsi="Symbol" w:hint="default"/>
      </w:rPr>
    </w:lvl>
    <w:lvl w:ilvl="1" w:tplc="66EC078A">
      <w:start w:val="1"/>
      <w:numFmt w:val="bullet"/>
      <w:lvlText w:val="o"/>
      <w:lvlJc w:val="left"/>
      <w:pPr>
        <w:ind w:left="1440" w:hanging="360"/>
      </w:pPr>
      <w:rPr>
        <w:rFonts w:ascii="Courier New" w:hAnsi="Courier New" w:hint="default"/>
      </w:rPr>
    </w:lvl>
    <w:lvl w:ilvl="2" w:tplc="85AC7BB2">
      <w:start w:val="1"/>
      <w:numFmt w:val="bullet"/>
      <w:lvlText w:val=""/>
      <w:lvlJc w:val="left"/>
      <w:pPr>
        <w:ind w:left="2160" w:hanging="360"/>
      </w:pPr>
      <w:rPr>
        <w:rFonts w:ascii="Wingdings" w:hAnsi="Wingdings" w:hint="default"/>
      </w:rPr>
    </w:lvl>
    <w:lvl w:ilvl="3" w:tplc="C304EDF0">
      <w:start w:val="1"/>
      <w:numFmt w:val="bullet"/>
      <w:lvlText w:val=""/>
      <w:lvlJc w:val="left"/>
      <w:pPr>
        <w:ind w:left="2880" w:hanging="360"/>
      </w:pPr>
      <w:rPr>
        <w:rFonts w:ascii="Symbol" w:hAnsi="Symbol" w:hint="default"/>
      </w:rPr>
    </w:lvl>
    <w:lvl w:ilvl="4" w:tplc="A2ECC2F8">
      <w:start w:val="1"/>
      <w:numFmt w:val="bullet"/>
      <w:lvlText w:val="o"/>
      <w:lvlJc w:val="left"/>
      <w:pPr>
        <w:ind w:left="3600" w:hanging="360"/>
      </w:pPr>
      <w:rPr>
        <w:rFonts w:ascii="Courier New" w:hAnsi="Courier New" w:hint="default"/>
      </w:rPr>
    </w:lvl>
    <w:lvl w:ilvl="5" w:tplc="36026410">
      <w:start w:val="1"/>
      <w:numFmt w:val="bullet"/>
      <w:lvlText w:val=""/>
      <w:lvlJc w:val="left"/>
      <w:pPr>
        <w:ind w:left="4320" w:hanging="360"/>
      </w:pPr>
      <w:rPr>
        <w:rFonts w:ascii="Wingdings" w:hAnsi="Wingdings" w:hint="default"/>
      </w:rPr>
    </w:lvl>
    <w:lvl w:ilvl="6" w:tplc="55D2C19C">
      <w:start w:val="1"/>
      <w:numFmt w:val="bullet"/>
      <w:lvlText w:val=""/>
      <w:lvlJc w:val="left"/>
      <w:pPr>
        <w:ind w:left="5040" w:hanging="360"/>
      </w:pPr>
      <w:rPr>
        <w:rFonts w:ascii="Symbol" w:hAnsi="Symbol" w:hint="default"/>
      </w:rPr>
    </w:lvl>
    <w:lvl w:ilvl="7" w:tplc="24F2AA54">
      <w:start w:val="1"/>
      <w:numFmt w:val="bullet"/>
      <w:lvlText w:val="o"/>
      <w:lvlJc w:val="left"/>
      <w:pPr>
        <w:ind w:left="5760" w:hanging="360"/>
      </w:pPr>
      <w:rPr>
        <w:rFonts w:ascii="Courier New" w:hAnsi="Courier New" w:hint="default"/>
      </w:rPr>
    </w:lvl>
    <w:lvl w:ilvl="8" w:tplc="CE808114">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3282461">
    <w:abstractNumId w:val="11"/>
  </w:num>
  <w:num w:numId="2" w16cid:durableId="1662193901">
    <w:abstractNumId w:val="12"/>
  </w:num>
  <w:num w:numId="3" w16cid:durableId="614018353">
    <w:abstractNumId w:val="1"/>
  </w:num>
  <w:num w:numId="4" w16cid:durableId="611984286">
    <w:abstractNumId w:val="3"/>
  </w:num>
  <w:num w:numId="5" w16cid:durableId="574974317">
    <w:abstractNumId w:val="15"/>
  </w:num>
  <w:num w:numId="6" w16cid:durableId="542711280">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40216"/>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458F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35B9A"/>
    <w:rsid w:val="004466C3"/>
    <w:rsid w:val="004552CE"/>
    <w:rsid w:val="00481FF7"/>
    <w:rsid w:val="00500295"/>
    <w:rsid w:val="00501AAF"/>
    <w:rsid w:val="00527AFA"/>
    <w:rsid w:val="005419DA"/>
    <w:rsid w:val="005678AC"/>
    <w:rsid w:val="005679BD"/>
    <w:rsid w:val="005709B1"/>
    <w:rsid w:val="00572B3B"/>
    <w:rsid w:val="005836D2"/>
    <w:rsid w:val="00587C58"/>
    <w:rsid w:val="005A11B0"/>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6F7346"/>
    <w:rsid w:val="007138EF"/>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C7E52"/>
    <w:rsid w:val="009E4934"/>
    <w:rsid w:val="009F40A7"/>
    <w:rsid w:val="009F5CE6"/>
    <w:rsid w:val="00A035CD"/>
    <w:rsid w:val="00A46127"/>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A5D43"/>
    <w:rsid w:val="00BD03D5"/>
    <w:rsid w:val="00BD6080"/>
    <w:rsid w:val="00C0292D"/>
    <w:rsid w:val="00C3215E"/>
    <w:rsid w:val="00C45272"/>
    <w:rsid w:val="00C47770"/>
    <w:rsid w:val="00C75856"/>
    <w:rsid w:val="00C7659D"/>
    <w:rsid w:val="00C85A7C"/>
    <w:rsid w:val="00C95214"/>
    <w:rsid w:val="00CC3F59"/>
    <w:rsid w:val="00CD32ED"/>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2042</Words>
  <Characters>11644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Sabrina Islam (2539402)</cp:lastModifiedBy>
  <cp:revision>2</cp:revision>
  <dcterms:created xsi:type="dcterms:W3CDTF">2026-08-11T12:35:00Z</dcterms:created>
  <dcterms:modified xsi:type="dcterms:W3CDTF">2026-08-11T12:35:00Z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