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403E6" w14:textId="77777777" w:rsidR="00BE727C" w:rsidRDefault="00BE727C"/>
    <w:p w14:paraId="4A55A778" w14:textId="77777777" w:rsidR="00562FE6" w:rsidRPr="00382332" w:rsidRDefault="00562FE6" w:rsidP="009C3999">
      <w:pPr>
        <w:spacing w:line="360" w:lineRule="auto"/>
        <w:jc w:val="both"/>
        <w:rPr>
          <w:rFonts w:ascii="Arial" w:hAnsi="Arial" w:cs="Arial"/>
          <w:sz w:val="22"/>
          <w:szCs w:val="22"/>
        </w:rPr>
      </w:pPr>
    </w:p>
    <w:p w14:paraId="3FF67115"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Name: Jawaheer Atta</w:t>
      </w:r>
    </w:p>
    <w:p w14:paraId="6C5D1442"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Student number: 2230701</w:t>
      </w:r>
    </w:p>
    <w:p w14:paraId="49DF1BD1"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 Module code: </w:t>
      </w:r>
      <w:r w:rsidRPr="00382332">
        <w:rPr>
          <w:rFonts w:ascii="Arial" w:hAnsi="Arial" w:cs="Arial"/>
          <w:bCs/>
          <w:sz w:val="22"/>
          <w:szCs w:val="22"/>
        </w:rPr>
        <w:t>BMHP5016</w:t>
      </w:r>
    </w:p>
    <w:p w14:paraId="0F3AF3E0" w14:textId="77777777" w:rsidR="00562FE6" w:rsidRPr="00382332" w:rsidRDefault="00562FE6" w:rsidP="009C3999">
      <w:pPr>
        <w:spacing w:before="120" w:after="120" w:line="360" w:lineRule="auto"/>
        <w:jc w:val="both"/>
        <w:rPr>
          <w:rFonts w:ascii="Arial" w:hAnsi="Arial" w:cs="Arial"/>
          <w:b/>
          <w:sz w:val="22"/>
          <w:szCs w:val="22"/>
        </w:rPr>
      </w:pPr>
      <w:r w:rsidRPr="00382332">
        <w:rPr>
          <w:rFonts w:ascii="Arial" w:hAnsi="Arial" w:cs="Arial"/>
          <w:sz w:val="22"/>
          <w:szCs w:val="22"/>
        </w:rPr>
        <w:t xml:space="preserve">Module title: </w:t>
      </w:r>
      <w:r w:rsidRPr="00382332">
        <w:rPr>
          <w:rFonts w:ascii="Arial" w:hAnsi="Arial" w:cs="Arial"/>
          <w:bCs/>
          <w:sz w:val="22"/>
          <w:szCs w:val="22"/>
        </w:rPr>
        <w:t>Principles of Health and Social Care Practice</w:t>
      </w:r>
    </w:p>
    <w:p w14:paraId="63AA8EC5"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Lecturer’s name:</w:t>
      </w:r>
      <w:r w:rsidRPr="00382332">
        <w:rPr>
          <w:rFonts w:ascii="Arial" w:hAnsi="Arial" w:cs="Arial"/>
          <w:color w:val="1D2125"/>
          <w:sz w:val="22"/>
          <w:szCs w:val="22"/>
          <w:shd w:val="clear" w:color="auto" w:fill="FFFFFF"/>
        </w:rPr>
        <w:t xml:space="preserve"> </w:t>
      </w:r>
      <w:r w:rsidRPr="00382332">
        <w:rPr>
          <w:rFonts w:ascii="Arial" w:hAnsi="Arial" w:cs="Arial"/>
          <w:sz w:val="22"/>
          <w:szCs w:val="22"/>
        </w:rPr>
        <w:t>Rizwan Nadim</w:t>
      </w:r>
    </w:p>
    <w:p w14:paraId="213416D3" w14:textId="00EE3E5D" w:rsidR="00562FE6" w:rsidRPr="00382332" w:rsidRDefault="00562FE6" w:rsidP="57F60AE8">
      <w:pPr>
        <w:spacing w:line="360" w:lineRule="auto"/>
        <w:jc w:val="both"/>
        <w:rPr>
          <w:rFonts w:ascii="Arial" w:hAnsi="Arial" w:cs="Arial"/>
          <w:sz w:val="22"/>
          <w:szCs w:val="22"/>
        </w:rPr>
      </w:pPr>
      <w:r w:rsidRPr="57F60AE8">
        <w:rPr>
          <w:rFonts w:ascii="Arial" w:hAnsi="Arial" w:cs="Arial"/>
          <w:sz w:val="22"/>
          <w:szCs w:val="22"/>
        </w:rPr>
        <w:t xml:space="preserve"> Assignment title: Component 2: </w:t>
      </w:r>
      <w:r w:rsidR="199A385D" w:rsidRPr="57F60AE8">
        <w:rPr>
          <w:rFonts w:ascii="Arial" w:hAnsi="Arial" w:cs="Arial"/>
          <w:sz w:val="22"/>
          <w:szCs w:val="22"/>
        </w:rPr>
        <w:t>Written report</w:t>
      </w:r>
      <w:r w:rsidRPr="57F60AE8">
        <w:rPr>
          <w:rFonts w:ascii="Arial" w:hAnsi="Arial" w:cs="Arial"/>
          <w:sz w:val="22"/>
          <w:szCs w:val="22"/>
        </w:rPr>
        <w:t xml:space="preserve"> Assignment </w:t>
      </w:r>
    </w:p>
    <w:p w14:paraId="6887FC45" w14:textId="77777777" w:rsidR="00C75F80" w:rsidRPr="00382332" w:rsidRDefault="00C75F80" w:rsidP="009C3999">
      <w:pPr>
        <w:spacing w:line="360" w:lineRule="auto"/>
        <w:jc w:val="both"/>
        <w:rPr>
          <w:rFonts w:ascii="Arial" w:hAnsi="Arial" w:cs="Arial"/>
          <w:bCs/>
          <w:sz w:val="22"/>
          <w:szCs w:val="22"/>
        </w:rPr>
      </w:pPr>
    </w:p>
    <w:p w14:paraId="607E5717" w14:textId="77777777" w:rsidR="00C75F80" w:rsidRPr="00382332" w:rsidRDefault="00C75F80" w:rsidP="009C3999">
      <w:pPr>
        <w:spacing w:line="360" w:lineRule="auto"/>
        <w:jc w:val="both"/>
        <w:rPr>
          <w:rFonts w:ascii="Arial" w:hAnsi="Arial" w:cs="Arial"/>
          <w:bCs/>
          <w:sz w:val="22"/>
          <w:szCs w:val="22"/>
        </w:rPr>
      </w:pPr>
    </w:p>
    <w:p w14:paraId="4D817D2A" w14:textId="77777777" w:rsidR="00C75F80" w:rsidRPr="00382332" w:rsidRDefault="00C75F80" w:rsidP="009C3999">
      <w:pPr>
        <w:spacing w:line="360" w:lineRule="auto"/>
        <w:jc w:val="both"/>
        <w:rPr>
          <w:rFonts w:ascii="Arial" w:hAnsi="Arial" w:cs="Arial"/>
          <w:bCs/>
          <w:sz w:val="22"/>
          <w:szCs w:val="22"/>
        </w:rPr>
      </w:pPr>
    </w:p>
    <w:p w14:paraId="7F042BEC" w14:textId="77777777" w:rsidR="00C75F80" w:rsidRPr="00382332" w:rsidRDefault="00C75F80" w:rsidP="009C3999">
      <w:pPr>
        <w:spacing w:line="360" w:lineRule="auto"/>
        <w:jc w:val="both"/>
        <w:rPr>
          <w:rFonts w:ascii="Arial" w:hAnsi="Arial" w:cs="Arial"/>
          <w:bCs/>
          <w:sz w:val="22"/>
          <w:szCs w:val="22"/>
        </w:rPr>
      </w:pPr>
    </w:p>
    <w:p w14:paraId="0E3EC1CC" w14:textId="77777777" w:rsidR="00C75F80" w:rsidRPr="00382332" w:rsidRDefault="00C75F80" w:rsidP="009C3999">
      <w:pPr>
        <w:spacing w:line="360" w:lineRule="auto"/>
        <w:jc w:val="both"/>
        <w:rPr>
          <w:rFonts w:ascii="Arial" w:hAnsi="Arial" w:cs="Arial"/>
          <w:bCs/>
          <w:sz w:val="22"/>
          <w:szCs w:val="22"/>
        </w:rPr>
      </w:pPr>
    </w:p>
    <w:p w14:paraId="6A6B742F" w14:textId="77777777" w:rsidR="00C75F80" w:rsidRPr="00382332" w:rsidRDefault="00C75F80" w:rsidP="009C3999">
      <w:pPr>
        <w:spacing w:line="360" w:lineRule="auto"/>
        <w:jc w:val="both"/>
        <w:rPr>
          <w:rFonts w:ascii="Arial" w:hAnsi="Arial" w:cs="Arial"/>
          <w:bCs/>
          <w:sz w:val="22"/>
          <w:szCs w:val="22"/>
        </w:rPr>
      </w:pPr>
    </w:p>
    <w:p w14:paraId="5A56E4B7" w14:textId="77777777" w:rsidR="00C75F80" w:rsidRPr="00382332" w:rsidRDefault="00C75F80" w:rsidP="009C3999">
      <w:pPr>
        <w:spacing w:line="360" w:lineRule="auto"/>
        <w:jc w:val="both"/>
        <w:rPr>
          <w:rFonts w:ascii="Arial" w:hAnsi="Arial" w:cs="Arial"/>
          <w:bCs/>
          <w:sz w:val="22"/>
          <w:szCs w:val="22"/>
        </w:rPr>
      </w:pPr>
    </w:p>
    <w:p w14:paraId="22F0B5DF" w14:textId="77777777" w:rsidR="00C75F80" w:rsidRPr="00382332" w:rsidRDefault="00C75F80" w:rsidP="009C3999">
      <w:pPr>
        <w:spacing w:line="360" w:lineRule="auto"/>
        <w:jc w:val="both"/>
        <w:rPr>
          <w:rFonts w:ascii="Arial" w:hAnsi="Arial" w:cs="Arial"/>
          <w:bCs/>
          <w:sz w:val="22"/>
          <w:szCs w:val="22"/>
        </w:rPr>
      </w:pPr>
    </w:p>
    <w:p w14:paraId="02C87207" w14:textId="77777777" w:rsidR="00C75F80" w:rsidRPr="00382332" w:rsidRDefault="00C75F80" w:rsidP="009C3999">
      <w:pPr>
        <w:spacing w:line="360" w:lineRule="auto"/>
        <w:jc w:val="both"/>
        <w:rPr>
          <w:rFonts w:ascii="Arial" w:hAnsi="Arial" w:cs="Arial"/>
          <w:bCs/>
          <w:sz w:val="22"/>
          <w:szCs w:val="22"/>
        </w:rPr>
      </w:pPr>
    </w:p>
    <w:p w14:paraId="30CA8E01" w14:textId="77777777" w:rsidR="00C75F80" w:rsidRPr="00382332" w:rsidRDefault="00C75F80" w:rsidP="009C3999">
      <w:pPr>
        <w:spacing w:line="360" w:lineRule="auto"/>
        <w:jc w:val="both"/>
        <w:rPr>
          <w:rFonts w:ascii="Arial" w:hAnsi="Arial" w:cs="Arial"/>
          <w:bCs/>
          <w:sz w:val="22"/>
          <w:szCs w:val="22"/>
        </w:rPr>
      </w:pPr>
    </w:p>
    <w:p w14:paraId="266E346E" w14:textId="77777777" w:rsidR="00C75F80" w:rsidRPr="00382332" w:rsidRDefault="00C75F80" w:rsidP="009C3999">
      <w:pPr>
        <w:spacing w:line="360" w:lineRule="auto"/>
        <w:jc w:val="both"/>
        <w:rPr>
          <w:rFonts w:ascii="Arial" w:hAnsi="Arial" w:cs="Arial"/>
          <w:bCs/>
          <w:sz w:val="22"/>
          <w:szCs w:val="22"/>
        </w:rPr>
      </w:pPr>
    </w:p>
    <w:p w14:paraId="21542211" w14:textId="77777777" w:rsidR="00C75F80" w:rsidRPr="00382332" w:rsidRDefault="00C75F80" w:rsidP="009C3999">
      <w:pPr>
        <w:spacing w:line="360" w:lineRule="auto"/>
        <w:jc w:val="both"/>
        <w:rPr>
          <w:rFonts w:ascii="Arial" w:hAnsi="Arial" w:cs="Arial"/>
          <w:bCs/>
          <w:sz w:val="22"/>
          <w:szCs w:val="22"/>
        </w:rPr>
      </w:pPr>
    </w:p>
    <w:p w14:paraId="5926EDDB" w14:textId="77777777" w:rsidR="00C75F80" w:rsidRPr="00382332" w:rsidRDefault="00C75F80" w:rsidP="009C3999">
      <w:pPr>
        <w:spacing w:line="360" w:lineRule="auto"/>
        <w:jc w:val="both"/>
        <w:rPr>
          <w:rFonts w:ascii="Arial" w:hAnsi="Arial" w:cs="Arial"/>
          <w:bCs/>
          <w:sz w:val="22"/>
          <w:szCs w:val="22"/>
        </w:rPr>
      </w:pPr>
    </w:p>
    <w:p w14:paraId="5405730D" w14:textId="77777777" w:rsidR="00C75F80" w:rsidRPr="00382332" w:rsidRDefault="00C75F80" w:rsidP="009C3999">
      <w:pPr>
        <w:spacing w:line="360" w:lineRule="auto"/>
        <w:jc w:val="both"/>
        <w:rPr>
          <w:rFonts w:ascii="Arial" w:hAnsi="Arial" w:cs="Arial"/>
          <w:bCs/>
          <w:sz w:val="22"/>
          <w:szCs w:val="22"/>
        </w:rPr>
      </w:pPr>
    </w:p>
    <w:p w14:paraId="6CF8CCFB" w14:textId="77777777" w:rsidR="00C75F80" w:rsidRPr="00382332" w:rsidRDefault="00C75F80" w:rsidP="009C3999">
      <w:pPr>
        <w:spacing w:line="360" w:lineRule="auto"/>
        <w:jc w:val="both"/>
        <w:rPr>
          <w:rFonts w:ascii="Arial" w:hAnsi="Arial" w:cs="Arial"/>
          <w:bCs/>
          <w:sz w:val="22"/>
          <w:szCs w:val="22"/>
        </w:rPr>
      </w:pPr>
    </w:p>
    <w:p w14:paraId="71B55D3A" w14:textId="77777777" w:rsidR="00C75F80" w:rsidRPr="00382332" w:rsidRDefault="00C75F80" w:rsidP="009C3999">
      <w:pPr>
        <w:spacing w:line="360" w:lineRule="auto"/>
        <w:jc w:val="both"/>
        <w:rPr>
          <w:rFonts w:ascii="Arial" w:hAnsi="Arial" w:cs="Arial"/>
          <w:bCs/>
          <w:sz w:val="22"/>
          <w:szCs w:val="22"/>
        </w:rPr>
      </w:pPr>
    </w:p>
    <w:p w14:paraId="38005BC4" w14:textId="77777777" w:rsidR="00C75F80" w:rsidRPr="00382332" w:rsidRDefault="00C75F80" w:rsidP="009C3999">
      <w:pPr>
        <w:spacing w:line="360" w:lineRule="auto"/>
        <w:jc w:val="both"/>
        <w:rPr>
          <w:rFonts w:ascii="Arial" w:hAnsi="Arial" w:cs="Arial"/>
          <w:bCs/>
          <w:sz w:val="22"/>
          <w:szCs w:val="22"/>
        </w:rPr>
      </w:pPr>
    </w:p>
    <w:p w14:paraId="5AB6E92E" w14:textId="77777777" w:rsidR="00C75F80" w:rsidRPr="00382332" w:rsidRDefault="00C75F80" w:rsidP="009C3999">
      <w:pPr>
        <w:spacing w:line="360" w:lineRule="auto"/>
        <w:jc w:val="both"/>
        <w:rPr>
          <w:rFonts w:ascii="Arial" w:hAnsi="Arial" w:cs="Arial"/>
          <w:bCs/>
          <w:sz w:val="22"/>
          <w:szCs w:val="22"/>
        </w:rPr>
      </w:pPr>
    </w:p>
    <w:p w14:paraId="7CD8B630" w14:textId="77777777" w:rsidR="00C75F80" w:rsidRPr="00382332" w:rsidRDefault="00C75F80" w:rsidP="009C3999">
      <w:pPr>
        <w:spacing w:line="360" w:lineRule="auto"/>
        <w:jc w:val="both"/>
        <w:rPr>
          <w:rFonts w:ascii="Arial" w:hAnsi="Arial" w:cs="Arial"/>
          <w:bCs/>
          <w:sz w:val="22"/>
          <w:szCs w:val="22"/>
        </w:rPr>
      </w:pPr>
    </w:p>
    <w:p w14:paraId="28465471" w14:textId="77777777" w:rsidR="00C75F80" w:rsidRPr="00382332" w:rsidRDefault="00C75F80" w:rsidP="009C3999">
      <w:pPr>
        <w:spacing w:line="360" w:lineRule="auto"/>
        <w:jc w:val="both"/>
        <w:rPr>
          <w:rFonts w:ascii="Arial" w:hAnsi="Arial" w:cs="Arial"/>
          <w:bCs/>
          <w:sz w:val="22"/>
          <w:szCs w:val="22"/>
        </w:rPr>
      </w:pPr>
    </w:p>
    <w:p w14:paraId="752B3D30" w14:textId="77777777" w:rsidR="002D207A" w:rsidRPr="00382332" w:rsidRDefault="002D207A" w:rsidP="009C3999">
      <w:pPr>
        <w:spacing w:line="360" w:lineRule="auto"/>
        <w:jc w:val="both"/>
        <w:rPr>
          <w:rFonts w:ascii="Arial" w:hAnsi="Arial" w:cs="Arial"/>
          <w:b/>
          <w:sz w:val="22"/>
          <w:szCs w:val="22"/>
        </w:rPr>
      </w:pPr>
      <w:r w:rsidRPr="00382332">
        <w:rPr>
          <w:rFonts w:ascii="Arial" w:hAnsi="Arial" w:cs="Arial"/>
          <w:b/>
          <w:sz w:val="22"/>
          <w:szCs w:val="22"/>
        </w:rPr>
        <w:t>CONTAIN PAGE</w:t>
      </w:r>
    </w:p>
    <w:p w14:paraId="62D376F8" w14:textId="249C7A25" w:rsidR="002D207A" w:rsidRPr="00382332" w:rsidRDefault="002D207A" w:rsidP="009C3999">
      <w:pPr>
        <w:spacing w:line="360" w:lineRule="auto"/>
        <w:jc w:val="both"/>
        <w:rPr>
          <w:rFonts w:ascii="Arial" w:hAnsi="Arial" w:cs="Arial"/>
          <w:b/>
          <w:sz w:val="22"/>
          <w:szCs w:val="22"/>
        </w:rPr>
      </w:pPr>
      <w:r w:rsidRPr="00382332">
        <w:rPr>
          <w:rFonts w:ascii="Arial" w:hAnsi="Arial" w:cs="Arial"/>
          <w:b/>
          <w:sz w:val="22"/>
          <w:szCs w:val="22"/>
        </w:rPr>
        <w:t>COVER PAGE……………………………………………………………………………………….1</w:t>
      </w:r>
    </w:p>
    <w:p w14:paraId="4D4B513F" w14:textId="762AFCE7" w:rsidR="002D207A" w:rsidRPr="00382332" w:rsidRDefault="002D207A" w:rsidP="009C3999">
      <w:pPr>
        <w:spacing w:line="360" w:lineRule="auto"/>
        <w:jc w:val="both"/>
        <w:rPr>
          <w:rFonts w:ascii="Arial" w:hAnsi="Arial" w:cs="Arial"/>
          <w:b/>
          <w:sz w:val="22"/>
          <w:szCs w:val="22"/>
        </w:rPr>
      </w:pPr>
      <w:r w:rsidRPr="00382332">
        <w:rPr>
          <w:rFonts w:ascii="Arial" w:hAnsi="Arial" w:cs="Arial"/>
          <w:b/>
          <w:sz w:val="22"/>
          <w:szCs w:val="22"/>
        </w:rPr>
        <w:t>CONTAIN PAGE…………………………………………………………………………………….2</w:t>
      </w:r>
    </w:p>
    <w:p w14:paraId="177504C8" w14:textId="0E899589" w:rsidR="002D207A" w:rsidRPr="00382332" w:rsidRDefault="002D207A" w:rsidP="009C3999">
      <w:pPr>
        <w:spacing w:line="360" w:lineRule="auto"/>
        <w:jc w:val="both"/>
        <w:rPr>
          <w:rFonts w:ascii="Arial" w:hAnsi="Arial" w:cs="Arial"/>
          <w:b/>
          <w:bCs/>
          <w:sz w:val="22"/>
          <w:szCs w:val="22"/>
        </w:rPr>
      </w:pPr>
      <w:r w:rsidRPr="00382332">
        <w:rPr>
          <w:rFonts w:ascii="Arial" w:hAnsi="Arial" w:cs="Arial"/>
          <w:b/>
          <w:bCs/>
          <w:sz w:val="22"/>
          <w:szCs w:val="22"/>
        </w:rPr>
        <w:t>ABSTRAC……………………………………………………………………………………</w:t>
      </w:r>
      <w:r w:rsidR="009C3999">
        <w:rPr>
          <w:rFonts w:ascii="Arial" w:hAnsi="Arial" w:cs="Arial"/>
          <w:b/>
          <w:bCs/>
          <w:sz w:val="22"/>
          <w:szCs w:val="22"/>
        </w:rPr>
        <w:t>………</w:t>
      </w:r>
      <w:r w:rsidRPr="00382332">
        <w:rPr>
          <w:rFonts w:ascii="Arial" w:hAnsi="Arial" w:cs="Arial"/>
          <w:b/>
          <w:bCs/>
          <w:sz w:val="22"/>
          <w:szCs w:val="22"/>
        </w:rPr>
        <w:t>3</w:t>
      </w:r>
    </w:p>
    <w:p w14:paraId="286D5DAA" w14:textId="33075B64" w:rsidR="002D207A" w:rsidRPr="00382332" w:rsidRDefault="002D207A" w:rsidP="009C3999">
      <w:pPr>
        <w:spacing w:line="360" w:lineRule="auto"/>
        <w:jc w:val="both"/>
        <w:rPr>
          <w:rFonts w:ascii="Arial" w:hAnsi="Arial" w:cs="Arial"/>
          <w:b/>
          <w:bCs/>
          <w:sz w:val="22"/>
          <w:szCs w:val="22"/>
        </w:rPr>
      </w:pPr>
      <w:r w:rsidRPr="00382332">
        <w:rPr>
          <w:rFonts w:ascii="Arial" w:hAnsi="Arial" w:cs="Arial"/>
          <w:b/>
          <w:bCs/>
          <w:sz w:val="22"/>
          <w:szCs w:val="22"/>
        </w:rPr>
        <w:t>INTRODUCTION……………………………………………………………………………</w:t>
      </w:r>
      <w:r w:rsidR="009C3999">
        <w:rPr>
          <w:rFonts w:ascii="Arial" w:hAnsi="Arial" w:cs="Arial"/>
          <w:b/>
          <w:bCs/>
          <w:sz w:val="22"/>
          <w:szCs w:val="22"/>
        </w:rPr>
        <w:t>……….</w:t>
      </w:r>
      <w:r w:rsidRPr="00382332">
        <w:rPr>
          <w:rFonts w:ascii="Arial" w:hAnsi="Arial" w:cs="Arial"/>
          <w:b/>
          <w:bCs/>
          <w:sz w:val="22"/>
          <w:szCs w:val="22"/>
        </w:rPr>
        <w:t>4</w:t>
      </w:r>
    </w:p>
    <w:p w14:paraId="456A9B5B" w14:textId="788B7165" w:rsidR="002D207A" w:rsidRPr="00382332" w:rsidRDefault="002D207A" w:rsidP="009C3999">
      <w:pPr>
        <w:spacing w:line="360" w:lineRule="auto"/>
        <w:jc w:val="both"/>
        <w:rPr>
          <w:rFonts w:ascii="Arial" w:hAnsi="Arial" w:cs="Arial"/>
          <w:b/>
          <w:bCs/>
          <w:sz w:val="22"/>
          <w:szCs w:val="22"/>
        </w:rPr>
      </w:pPr>
      <w:r w:rsidRPr="00382332">
        <w:rPr>
          <w:rFonts w:ascii="Arial" w:hAnsi="Arial" w:cs="Arial"/>
          <w:b/>
          <w:bCs/>
          <w:sz w:val="22"/>
          <w:szCs w:val="22"/>
        </w:rPr>
        <w:t>PERSON-CENTRED CARE……………………………………………………………</w:t>
      </w:r>
      <w:r w:rsidR="009C3999">
        <w:rPr>
          <w:rFonts w:ascii="Arial" w:hAnsi="Arial" w:cs="Arial"/>
          <w:b/>
          <w:bCs/>
          <w:sz w:val="22"/>
          <w:szCs w:val="22"/>
        </w:rPr>
        <w:t>………….</w:t>
      </w:r>
      <w:r w:rsidRPr="00382332">
        <w:rPr>
          <w:rFonts w:ascii="Arial" w:hAnsi="Arial" w:cs="Arial"/>
          <w:b/>
          <w:bCs/>
          <w:sz w:val="22"/>
          <w:szCs w:val="22"/>
        </w:rPr>
        <w:t>5</w:t>
      </w:r>
    </w:p>
    <w:p w14:paraId="25F162C2" w14:textId="4012454E" w:rsidR="002D207A" w:rsidRPr="00382332" w:rsidRDefault="002D207A" w:rsidP="009C3999">
      <w:pPr>
        <w:spacing w:line="360" w:lineRule="auto"/>
        <w:jc w:val="both"/>
        <w:rPr>
          <w:rFonts w:ascii="Arial" w:hAnsi="Arial" w:cs="Arial"/>
          <w:b/>
          <w:bCs/>
          <w:sz w:val="22"/>
          <w:szCs w:val="22"/>
        </w:rPr>
      </w:pPr>
      <w:r w:rsidRPr="00382332">
        <w:rPr>
          <w:rFonts w:ascii="Arial" w:hAnsi="Arial" w:cs="Arial"/>
          <w:b/>
          <w:bCs/>
          <w:sz w:val="22"/>
          <w:szCs w:val="22"/>
        </w:rPr>
        <w:t>ERG THEORY AND PERSON-CENTRED CARE…………………………………</w:t>
      </w:r>
      <w:r w:rsidR="009C3999">
        <w:rPr>
          <w:rFonts w:ascii="Arial" w:hAnsi="Arial" w:cs="Arial"/>
          <w:b/>
          <w:bCs/>
          <w:sz w:val="22"/>
          <w:szCs w:val="22"/>
        </w:rPr>
        <w:t>………….</w:t>
      </w:r>
      <w:r w:rsidRPr="00382332">
        <w:rPr>
          <w:rFonts w:ascii="Arial" w:hAnsi="Arial" w:cs="Arial"/>
          <w:b/>
          <w:bCs/>
          <w:sz w:val="22"/>
          <w:szCs w:val="22"/>
        </w:rPr>
        <w:t>6/7</w:t>
      </w:r>
    </w:p>
    <w:p w14:paraId="4071E21C" w14:textId="17914748" w:rsidR="002D207A" w:rsidRPr="00382332" w:rsidRDefault="002D207A" w:rsidP="009C3999">
      <w:pPr>
        <w:spacing w:line="360" w:lineRule="auto"/>
        <w:jc w:val="both"/>
        <w:rPr>
          <w:rFonts w:ascii="Arial" w:hAnsi="Arial" w:cs="Arial"/>
          <w:b/>
          <w:bCs/>
          <w:sz w:val="22"/>
          <w:szCs w:val="22"/>
        </w:rPr>
      </w:pPr>
      <w:r w:rsidRPr="00382332">
        <w:rPr>
          <w:rFonts w:ascii="Arial" w:hAnsi="Arial" w:cs="Arial"/>
          <w:b/>
          <w:bCs/>
          <w:sz w:val="22"/>
          <w:szCs w:val="22"/>
        </w:rPr>
        <w:t>ETHICAL FUNDAMENTALS……………………………………………………………</w:t>
      </w:r>
      <w:r w:rsidR="00324BF5">
        <w:rPr>
          <w:rFonts w:ascii="Arial" w:hAnsi="Arial" w:cs="Arial"/>
          <w:b/>
          <w:bCs/>
          <w:sz w:val="22"/>
          <w:szCs w:val="22"/>
        </w:rPr>
        <w:t>…………</w:t>
      </w:r>
      <w:r w:rsidRPr="00382332">
        <w:rPr>
          <w:rFonts w:ascii="Arial" w:hAnsi="Arial" w:cs="Arial"/>
          <w:b/>
          <w:bCs/>
          <w:sz w:val="22"/>
          <w:szCs w:val="22"/>
        </w:rPr>
        <w:t>8</w:t>
      </w:r>
    </w:p>
    <w:p w14:paraId="67A74A6F" w14:textId="47CCCEC1" w:rsidR="00692594" w:rsidRPr="00382332" w:rsidRDefault="00692594" w:rsidP="009C3999">
      <w:pPr>
        <w:spacing w:line="360" w:lineRule="auto"/>
        <w:jc w:val="both"/>
        <w:rPr>
          <w:rFonts w:ascii="Arial" w:hAnsi="Arial" w:cs="Arial"/>
          <w:b/>
          <w:bCs/>
          <w:sz w:val="22"/>
          <w:szCs w:val="22"/>
        </w:rPr>
      </w:pPr>
      <w:r w:rsidRPr="00382332">
        <w:rPr>
          <w:rFonts w:ascii="Arial" w:hAnsi="Arial" w:cs="Arial"/>
          <w:b/>
          <w:bCs/>
          <w:sz w:val="22"/>
          <w:szCs w:val="22"/>
        </w:rPr>
        <w:t>EVALUATION OF PARTNERSHIP WORKING………………………………………</w:t>
      </w:r>
      <w:r w:rsidR="00324BF5">
        <w:rPr>
          <w:rFonts w:ascii="Arial" w:hAnsi="Arial" w:cs="Arial"/>
          <w:b/>
          <w:bCs/>
          <w:sz w:val="22"/>
          <w:szCs w:val="22"/>
        </w:rPr>
        <w:t>………….</w:t>
      </w:r>
      <w:r w:rsidRPr="00382332">
        <w:rPr>
          <w:rFonts w:ascii="Arial" w:hAnsi="Arial" w:cs="Arial"/>
          <w:b/>
          <w:bCs/>
          <w:sz w:val="22"/>
          <w:szCs w:val="22"/>
        </w:rPr>
        <w:t>9</w:t>
      </w:r>
    </w:p>
    <w:p w14:paraId="6A5CE64E" w14:textId="03495859" w:rsidR="00692594" w:rsidRPr="00382332" w:rsidRDefault="00692594" w:rsidP="009C3999">
      <w:pPr>
        <w:spacing w:line="360" w:lineRule="auto"/>
        <w:jc w:val="both"/>
        <w:rPr>
          <w:rFonts w:ascii="Arial" w:hAnsi="Arial" w:cs="Arial"/>
          <w:b/>
          <w:bCs/>
          <w:sz w:val="22"/>
          <w:szCs w:val="22"/>
        </w:rPr>
      </w:pPr>
      <w:r w:rsidRPr="00382332">
        <w:rPr>
          <w:rFonts w:ascii="Arial" w:hAnsi="Arial" w:cs="Arial"/>
          <w:b/>
          <w:bCs/>
          <w:sz w:val="22"/>
          <w:szCs w:val="22"/>
        </w:rPr>
        <w:t>POLICY AND LEGISLATION……………………………………………………………</w:t>
      </w:r>
      <w:r w:rsidR="00324BF5">
        <w:rPr>
          <w:rFonts w:ascii="Arial" w:hAnsi="Arial" w:cs="Arial"/>
          <w:b/>
          <w:bCs/>
          <w:sz w:val="22"/>
          <w:szCs w:val="22"/>
        </w:rPr>
        <w:t>………..</w:t>
      </w:r>
      <w:r w:rsidRPr="00382332">
        <w:rPr>
          <w:rFonts w:ascii="Arial" w:hAnsi="Arial" w:cs="Arial"/>
          <w:b/>
          <w:bCs/>
          <w:sz w:val="22"/>
          <w:szCs w:val="22"/>
        </w:rPr>
        <w:t>10</w:t>
      </w:r>
    </w:p>
    <w:p w14:paraId="002748CF" w14:textId="00917353" w:rsidR="00692594" w:rsidRPr="00382332" w:rsidRDefault="00692594" w:rsidP="009C3999">
      <w:pPr>
        <w:spacing w:line="360" w:lineRule="auto"/>
        <w:jc w:val="both"/>
        <w:rPr>
          <w:rFonts w:ascii="Arial" w:hAnsi="Arial" w:cs="Arial"/>
          <w:b/>
          <w:bCs/>
          <w:sz w:val="22"/>
          <w:szCs w:val="22"/>
        </w:rPr>
      </w:pPr>
      <w:r w:rsidRPr="00382332">
        <w:rPr>
          <w:rFonts w:ascii="Arial" w:hAnsi="Arial" w:cs="Arial"/>
          <w:b/>
          <w:bCs/>
          <w:sz w:val="22"/>
          <w:szCs w:val="22"/>
        </w:rPr>
        <w:t>RECOMMENDATIONS……………………………………………………………………</w:t>
      </w:r>
      <w:r w:rsidR="00324BF5">
        <w:rPr>
          <w:rFonts w:ascii="Arial" w:hAnsi="Arial" w:cs="Arial"/>
          <w:b/>
          <w:bCs/>
          <w:sz w:val="22"/>
          <w:szCs w:val="22"/>
        </w:rPr>
        <w:t>………</w:t>
      </w:r>
      <w:r w:rsidRPr="00382332">
        <w:rPr>
          <w:rFonts w:ascii="Arial" w:hAnsi="Arial" w:cs="Arial"/>
          <w:b/>
          <w:bCs/>
          <w:sz w:val="22"/>
          <w:szCs w:val="22"/>
        </w:rPr>
        <w:t>11</w:t>
      </w:r>
    </w:p>
    <w:p w14:paraId="7C0FECCC" w14:textId="3ADBEBA3" w:rsidR="00692594" w:rsidRPr="00382332" w:rsidRDefault="00692594" w:rsidP="009C3999">
      <w:pPr>
        <w:spacing w:line="360" w:lineRule="auto"/>
        <w:jc w:val="both"/>
        <w:rPr>
          <w:rFonts w:ascii="Arial" w:hAnsi="Arial" w:cs="Arial"/>
          <w:b/>
          <w:bCs/>
          <w:sz w:val="22"/>
          <w:szCs w:val="22"/>
        </w:rPr>
      </w:pPr>
      <w:r w:rsidRPr="00382332">
        <w:rPr>
          <w:rFonts w:ascii="Arial" w:hAnsi="Arial" w:cs="Arial"/>
          <w:b/>
          <w:bCs/>
          <w:sz w:val="22"/>
          <w:szCs w:val="22"/>
        </w:rPr>
        <w:t>CONCLUSION………………………………………………………………………………</w:t>
      </w:r>
      <w:r w:rsidR="00324BF5">
        <w:rPr>
          <w:rFonts w:ascii="Arial" w:hAnsi="Arial" w:cs="Arial"/>
          <w:b/>
          <w:bCs/>
          <w:sz w:val="22"/>
          <w:szCs w:val="22"/>
        </w:rPr>
        <w:t>……...</w:t>
      </w:r>
      <w:r w:rsidRPr="00382332">
        <w:rPr>
          <w:rFonts w:ascii="Arial" w:hAnsi="Arial" w:cs="Arial"/>
          <w:b/>
          <w:bCs/>
          <w:sz w:val="22"/>
          <w:szCs w:val="22"/>
        </w:rPr>
        <w:t>12</w:t>
      </w:r>
    </w:p>
    <w:p w14:paraId="7B04AF09" w14:textId="6BA7AB47" w:rsidR="00692594" w:rsidRPr="00382332" w:rsidRDefault="00692594" w:rsidP="009C3999">
      <w:pPr>
        <w:spacing w:line="360" w:lineRule="auto"/>
        <w:jc w:val="both"/>
        <w:rPr>
          <w:rFonts w:ascii="Arial" w:hAnsi="Arial" w:cs="Arial"/>
          <w:b/>
          <w:bCs/>
          <w:sz w:val="22"/>
          <w:szCs w:val="22"/>
        </w:rPr>
      </w:pPr>
      <w:r w:rsidRPr="00382332">
        <w:rPr>
          <w:rFonts w:ascii="Arial" w:hAnsi="Arial" w:cs="Arial"/>
          <w:b/>
          <w:bCs/>
          <w:sz w:val="22"/>
          <w:szCs w:val="22"/>
        </w:rPr>
        <w:t>REFERENCE LIST………………………………………………………………………</w:t>
      </w:r>
      <w:r w:rsidR="00391ADA">
        <w:rPr>
          <w:rFonts w:ascii="Arial" w:hAnsi="Arial" w:cs="Arial"/>
          <w:b/>
          <w:bCs/>
          <w:sz w:val="22"/>
          <w:szCs w:val="22"/>
        </w:rPr>
        <w:t>……..</w:t>
      </w:r>
      <w:r w:rsidRPr="00382332">
        <w:rPr>
          <w:rFonts w:ascii="Arial" w:hAnsi="Arial" w:cs="Arial"/>
          <w:b/>
          <w:bCs/>
          <w:sz w:val="22"/>
          <w:szCs w:val="22"/>
        </w:rPr>
        <w:t>13/14</w:t>
      </w:r>
    </w:p>
    <w:p w14:paraId="5A7CA64D" w14:textId="77777777" w:rsidR="00692594" w:rsidRPr="00382332" w:rsidRDefault="00692594" w:rsidP="009C3999">
      <w:pPr>
        <w:spacing w:line="360" w:lineRule="auto"/>
        <w:jc w:val="both"/>
        <w:rPr>
          <w:rFonts w:ascii="Arial" w:hAnsi="Arial" w:cs="Arial"/>
          <w:b/>
          <w:bCs/>
          <w:sz w:val="22"/>
          <w:szCs w:val="22"/>
        </w:rPr>
      </w:pPr>
    </w:p>
    <w:p w14:paraId="436AC7F5" w14:textId="77777777" w:rsidR="00692594" w:rsidRPr="00382332" w:rsidRDefault="00692594" w:rsidP="009C3999">
      <w:pPr>
        <w:spacing w:line="360" w:lineRule="auto"/>
        <w:jc w:val="both"/>
        <w:rPr>
          <w:rFonts w:ascii="Arial" w:hAnsi="Arial" w:cs="Arial"/>
          <w:b/>
          <w:bCs/>
          <w:sz w:val="22"/>
          <w:szCs w:val="22"/>
        </w:rPr>
      </w:pPr>
    </w:p>
    <w:p w14:paraId="0503C101" w14:textId="77777777" w:rsidR="00692594" w:rsidRPr="00382332" w:rsidRDefault="00692594" w:rsidP="009C3999">
      <w:pPr>
        <w:spacing w:line="360" w:lineRule="auto"/>
        <w:jc w:val="both"/>
        <w:rPr>
          <w:rFonts w:ascii="Arial" w:hAnsi="Arial" w:cs="Arial"/>
          <w:b/>
          <w:bCs/>
          <w:sz w:val="22"/>
          <w:szCs w:val="22"/>
        </w:rPr>
      </w:pPr>
    </w:p>
    <w:p w14:paraId="591DB98D" w14:textId="77777777" w:rsidR="00692594" w:rsidRPr="00382332" w:rsidRDefault="00692594" w:rsidP="009C3999">
      <w:pPr>
        <w:spacing w:line="360" w:lineRule="auto"/>
        <w:jc w:val="both"/>
        <w:rPr>
          <w:rFonts w:ascii="Arial" w:hAnsi="Arial" w:cs="Arial"/>
          <w:b/>
          <w:bCs/>
          <w:sz w:val="22"/>
          <w:szCs w:val="22"/>
        </w:rPr>
      </w:pPr>
    </w:p>
    <w:p w14:paraId="263CA8DF" w14:textId="77777777" w:rsidR="00692594" w:rsidRPr="00382332" w:rsidRDefault="00692594" w:rsidP="009C3999">
      <w:pPr>
        <w:spacing w:line="360" w:lineRule="auto"/>
        <w:jc w:val="both"/>
        <w:rPr>
          <w:rFonts w:ascii="Arial" w:hAnsi="Arial" w:cs="Arial"/>
          <w:b/>
          <w:bCs/>
          <w:sz w:val="22"/>
          <w:szCs w:val="22"/>
        </w:rPr>
      </w:pPr>
    </w:p>
    <w:p w14:paraId="0E000C74" w14:textId="77777777" w:rsidR="00692594" w:rsidRPr="00382332" w:rsidRDefault="00692594" w:rsidP="009C3999">
      <w:pPr>
        <w:spacing w:line="360" w:lineRule="auto"/>
        <w:jc w:val="both"/>
        <w:rPr>
          <w:rFonts w:ascii="Arial" w:hAnsi="Arial" w:cs="Arial"/>
          <w:b/>
          <w:bCs/>
          <w:sz w:val="22"/>
          <w:szCs w:val="22"/>
        </w:rPr>
      </w:pPr>
    </w:p>
    <w:p w14:paraId="24C4336D" w14:textId="77777777" w:rsidR="00692594" w:rsidRPr="00382332" w:rsidRDefault="00692594" w:rsidP="009C3999">
      <w:pPr>
        <w:spacing w:line="360" w:lineRule="auto"/>
        <w:jc w:val="both"/>
        <w:rPr>
          <w:rFonts w:ascii="Arial" w:hAnsi="Arial" w:cs="Arial"/>
          <w:b/>
          <w:bCs/>
          <w:sz w:val="22"/>
          <w:szCs w:val="22"/>
        </w:rPr>
      </w:pPr>
    </w:p>
    <w:p w14:paraId="79CBAA43" w14:textId="77777777" w:rsidR="00692594" w:rsidRPr="00382332" w:rsidRDefault="00692594" w:rsidP="009C3999">
      <w:pPr>
        <w:spacing w:line="360" w:lineRule="auto"/>
        <w:jc w:val="both"/>
        <w:rPr>
          <w:rFonts w:ascii="Arial" w:hAnsi="Arial" w:cs="Arial"/>
          <w:b/>
          <w:bCs/>
          <w:sz w:val="22"/>
          <w:szCs w:val="22"/>
        </w:rPr>
      </w:pPr>
    </w:p>
    <w:p w14:paraId="3C3180AA" w14:textId="77777777" w:rsidR="00692594" w:rsidRPr="00382332" w:rsidRDefault="00692594" w:rsidP="009C3999">
      <w:pPr>
        <w:spacing w:line="360" w:lineRule="auto"/>
        <w:jc w:val="both"/>
        <w:rPr>
          <w:rFonts w:ascii="Arial" w:hAnsi="Arial" w:cs="Arial"/>
          <w:b/>
          <w:bCs/>
          <w:sz w:val="22"/>
          <w:szCs w:val="22"/>
        </w:rPr>
      </w:pPr>
    </w:p>
    <w:p w14:paraId="4DD8A79F" w14:textId="77777777" w:rsidR="00692594" w:rsidRPr="00382332" w:rsidRDefault="00692594" w:rsidP="009C3999">
      <w:pPr>
        <w:spacing w:line="360" w:lineRule="auto"/>
        <w:jc w:val="both"/>
        <w:rPr>
          <w:rFonts w:ascii="Arial" w:hAnsi="Arial" w:cs="Arial"/>
          <w:b/>
          <w:bCs/>
          <w:sz w:val="22"/>
          <w:szCs w:val="22"/>
        </w:rPr>
      </w:pPr>
    </w:p>
    <w:p w14:paraId="783ACDB9" w14:textId="78A3D6BC" w:rsidR="002D207A" w:rsidRPr="00382332" w:rsidRDefault="002D207A" w:rsidP="009C3999">
      <w:pPr>
        <w:spacing w:line="360" w:lineRule="auto"/>
        <w:jc w:val="both"/>
        <w:rPr>
          <w:rFonts w:ascii="Arial" w:hAnsi="Arial" w:cs="Arial"/>
          <w:b/>
          <w:bCs/>
          <w:sz w:val="22"/>
          <w:szCs w:val="22"/>
        </w:rPr>
      </w:pPr>
    </w:p>
    <w:p w14:paraId="5930EF26" w14:textId="664787B1"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ABSTRACT</w:t>
      </w:r>
    </w:p>
    <w:p w14:paraId="45535F8B" w14:textId="6BCFC2A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This report evaluates the role of person-centred care (PCC) and partnership working (PW) within dementia care homes, examining how these approaches contribute to high-quality, individualised care. It defines PCC and explores its key principles, including dignity, respect, shared decision-making, and effective communication, while considering the challenges associated with implementing personalised care in practice. The report critically analyses Alderfer's ERG Theory and evaluates its contribution to person-centred dementia care, highlighting both its strengths and limitations. Ethical principles, including autonomy, beneficence, non-maleficence, and justice, are explored to demonstrate their influence on care decisions and partnership working. The report also evaluates the importance of collaborative working between health and social care professionals, families, and residents, alongside the legislative framework supporting these approaches. It concludes that effective dementia care requires personalised, coordinated care supported by skilled professionals, effective communication, and collaborative partnerships. Recommendations include enhancing dementia-specific staff training, improving multidisciplinary communication, and increasing the use of digital technologies to support continuity of care and better outcomes for people living with dementia.</w:t>
      </w:r>
      <w:r w:rsidR="00DC134F" w:rsidRPr="00DC134F">
        <w:t xml:space="preserve"> </w:t>
      </w:r>
      <w:proofErr w:type="gramStart"/>
      <w:r w:rsidR="00DC134F">
        <w:t>(</w:t>
      </w:r>
      <w:r w:rsidR="00DC134F" w:rsidRPr="00E7174A">
        <w:t xml:space="preserve"> </w:t>
      </w:r>
      <w:r w:rsidR="00DC134F" w:rsidRPr="002630FC">
        <w:t>Alderfer's</w:t>
      </w:r>
      <w:proofErr w:type="gramEnd"/>
      <w:r w:rsidR="00DC134F" w:rsidRPr="002630FC">
        <w:t xml:space="preserve"> ERG Theory</w:t>
      </w:r>
      <w:r w:rsidR="00DC134F">
        <w:t xml:space="preserve"> 1969)</w:t>
      </w:r>
    </w:p>
    <w:p w14:paraId="17BCA783" w14:textId="77777777" w:rsidR="00D81F34" w:rsidRPr="00382332" w:rsidRDefault="00D81F34" w:rsidP="009C3999">
      <w:pPr>
        <w:spacing w:line="360" w:lineRule="auto"/>
        <w:jc w:val="both"/>
        <w:rPr>
          <w:rFonts w:ascii="Arial" w:hAnsi="Arial" w:cs="Arial"/>
          <w:b/>
          <w:bCs/>
          <w:sz w:val="22"/>
          <w:szCs w:val="22"/>
        </w:rPr>
      </w:pPr>
    </w:p>
    <w:p w14:paraId="47071024" w14:textId="77777777" w:rsidR="00D81F34" w:rsidRPr="00382332" w:rsidRDefault="00D81F34" w:rsidP="009C3999">
      <w:pPr>
        <w:spacing w:line="360" w:lineRule="auto"/>
        <w:jc w:val="both"/>
        <w:rPr>
          <w:rFonts w:ascii="Arial" w:hAnsi="Arial" w:cs="Arial"/>
          <w:b/>
          <w:bCs/>
          <w:sz w:val="22"/>
          <w:szCs w:val="22"/>
        </w:rPr>
      </w:pPr>
    </w:p>
    <w:p w14:paraId="0F15B96E" w14:textId="77777777" w:rsidR="00D81F34" w:rsidRPr="00382332" w:rsidRDefault="00D81F34" w:rsidP="009C3999">
      <w:pPr>
        <w:spacing w:line="360" w:lineRule="auto"/>
        <w:jc w:val="both"/>
        <w:rPr>
          <w:rFonts w:ascii="Arial" w:hAnsi="Arial" w:cs="Arial"/>
          <w:b/>
          <w:bCs/>
          <w:sz w:val="22"/>
          <w:szCs w:val="22"/>
        </w:rPr>
      </w:pPr>
    </w:p>
    <w:p w14:paraId="31CAF491" w14:textId="77777777" w:rsidR="00D81F34" w:rsidRPr="00382332" w:rsidRDefault="00D81F34" w:rsidP="009C3999">
      <w:pPr>
        <w:spacing w:line="360" w:lineRule="auto"/>
        <w:jc w:val="both"/>
        <w:rPr>
          <w:rFonts w:ascii="Arial" w:hAnsi="Arial" w:cs="Arial"/>
          <w:b/>
          <w:bCs/>
          <w:sz w:val="22"/>
          <w:szCs w:val="22"/>
        </w:rPr>
      </w:pPr>
    </w:p>
    <w:p w14:paraId="13FAA80F" w14:textId="77777777" w:rsidR="00D81F34" w:rsidRPr="00382332" w:rsidRDefault="00D81F34" w:rsidP="009C3999">
      <w:pPr>
        <w:spacing w:line="360" w:lineRule="auto"/>
        <w:jc w:val="both"/>
        <w:rPr>
          <w:rFonts w:ascii="Arial" w:hAnsi="Arial" w:cs="Arial"/>
          <w:b/>
          <w:bCs/>
          <w:sz w:val="22"/>
          <w:szCs w:val="22"/>
        </w:rPr>
      </w:pPr>
    </w:p>
    <w:p w14:paraId="3D99A52F" w14:textId="77777777" w:rsidR="00D81F34" w:rsidRPr="00382332" w:rsidRDefault="00D81F34" w:rsidP="009C3999">
      <w:pPr>
        <w:spacing w:line="360" w:lineRule="auto"/>
        <w:jc w:val="both"/>
        <w:rPr>
          <w:rFonts w:ascii="Arial" w:hAnsi="Arial" w:cs="Arial"/>
          <w:b/>
          <w:bCs/>
          <w:sz w:val="22"/>
          <w:szCs w:val="22"/>
        </w:rPr>
      </w:pPr>
    </w:p>
    <w:p w14:paraId="4BC98E49" w14:textId="77777777" w:rsidR="00D81F34" w:rsidRPr="00382332" w:rsidRDefault="00D81F34" w:rsidP="009C3999">
      <w:pPr>
        <w:spacing w:line="360" w:lineRule="auto"/>
        <w:jc w:val="both"/>
        <w:rPr>
          <w:rFonts w:ascii="Arial" w:hAnsi="Arial" w:cs="Arial"/>
          <w:b/>
          <w:bCs/>
          <w:sz w:val="22"/>
          <w:szCs w:val="22"/>
        </w:rPr>
      </w:pPr>
    </w:p>
    <w:p w14:paraId="3AA6888B" w14:textId="77777777" w:rsidR="00D81F34" w:rsidRPr="00382332" w:rsidRDefault="00D81F34" w:rsidP="009C3999">
      <w:pPr>
        <w:spacing w:line="360" w:lineRule="auto"/>
        <w:jc w:val="both"/>
        <w:rPr>
          <w:rFonts w:ascii="Arial" w:hAnsi="Arial" w:cs="Arial"/>
          <w:b/>
          <w:bCs/>
          <w:sz w:val="22"/>
          <w:szCs w:val="22"/>
        </w:rPr>
      </w:pPr>
    </w:p>
    <w:p w14:paraId="6E3E684F" w14:textId="77777777" w:rsidR="00D81F34" w:rsidRPr="00382332" w:rsidRDefault="00D81F34" w:rsidP="009C3999">
      <w:pPr>
        <w:spacing w:line="360" w:lineRule="auto"/>
        <w:jc w:val="both"/>
        <w:rPr>
          <w:rFonts w:ascii="Arial" w:hAnsi="Arial" w:cs="Arial"/>
          <w:b/>
          <w:bCs/>
          <w:sz w:val="22"/>
          <w:szCs w:val="22"/>
        </w:rPr>
      </w:pPr>
    </w:p>
    <w:p w14:paraId="4E2F45EF" w14:textId="77777777" w:rsidR="002D207A" w:rsidRPr="00382332" w:rsidRDefault="002D207A" w:rsidP="009C3999">
      <w:pPr>
        <w:spacing w:line="360" w:lineRule="auto"/>
        <w:jc w:val="both"/>
        <w:rPr>
          <w:rFonts w:ascii="Arial" w:hAnsi="Arial" w:cs="Arial"/>
          <w:b/>
          <w:bCs/>
          <w:sz w:val="22"/>
          <w:szCs w:val="22"/>
        </w:rPr>
      </w:pPr>
    </w:p>
    <w:p w14:paraId="77EAA844" w14:textId="77777777" w:rsidR="002D207A" w:rsidRPr="00382332" w:rsidRDefault="002D207A" w:rsidP="009C3999">
      <w:pPr>
        <w:spacing w:line="360" w:lineRule="auto"/>
        <w:jc w:val="both"/>
        <w:rPr>
          <w:rFonts w:ascii="Arial" w:hAnsi="Arial" w:cs="Arial"/>
          <w:b/>
          <w:bCs/>
          <w:sz w:val="22"/>
          <w:szCs w:val="22"/>
        </w:rPr>
      </w:pPr>
    </w:p>
    <w:p w14:paraId="1E083060" w14:textId="77777777" w:rsidR="002D207A" w:rsidRPr="00382332" w:rsidRDefault="002D207A" w:rsidP="009C3999">
      <w:pPr>
        <w:spacing w:line="360" w:lineRule="auto"/>
        <w:jc w:val="both"/>
        <w:rPr>
          <w:rFonts w:ascii="Arial" w:hAnsi="Arial" w:cs="Arial"/>
          <w:b/>
          <w:bCs/>
          <w:sz w:val="22"/>
          <w:szCs w:val="22"/>
        </w:rPr>
      </w:pPr>
    </w:p>
    <w:p w14:paraId="6DC77490" w14:textId="77777777" w:rsidR="002D207A" w:rsidRPr="00382332" w:rsidRDefault="002D207A" w:rsidP="009C3999">
      <w:pPr>
        <w:spacing w:line="360" w:lineRule="auto"/>
        <w:jc w:val="both"/>
        <w:rPr>
          <w:rFonts w:ascii="Arial" w:hAnsi="Arial" w:cs="Arial"/>
          <w:b/>
          <w:bCs/>
          <w:sz w:val="22"/>
          <w:szCs w:val="22"/>
        </w:rPr>
      </w:pPr>
    </w:p>
    <w:p w14:paraId="2A853010" w14:textId="0B397F1A"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INTRODUCTION</w:t>
      </w:r>
    </w:p>
    <w:p w14:paraId="5291A41D" w14:textId="4AF52792"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This report evaluates person-centred care (PCC) and partnership working (PW) within dementia care homes. It defines PCC, examines its benefits and limitations, and critically analyses Alderfer's ERG Theory as a framework supporting person-centred practice. Ethical principles influencing decision-making are explored before evaluating the role of partnership working in delivering coordinated care. Finally, the report considers relevant legislation and provides evidence-based recommendations for improving PCC and PW within UK dementia care </w:t>
      </w:r>
      <w:r w:rsidR="00203991" w:rsidRPr="00382332">
        <w:rPr>
          <w:rFonts w:ascii="Arial" w:hAnsi="Arial" w:cs="Arial"/>
          <w:sz w:val="22"/>
          <w:szCs w:val="22"/>
        </w:rPr>
        <w:t>services</w:t>
      </w:r>
      <w:r w:rsidR="005F73F8">
        <w:rPr>
          <w:rFonts w:ascii="Arial" w:hAnsi="Arial" w:cs="Arial"/>
          <w:sz w:val="22"/>
          <w:szCs w:val="22"/>
        </w:rPr>
        <w:t>.</w:t>
      </w:r>
    </w:p>
    <w:p w14:paraId="58098BFB" w14:textId="77777777" w:rsidR="00D81F34" w:rsidRPr="00382332" w:rsidRDefault="00D81F34" w:rsidP="009C3999">
      <w:pPr>
        <w:spacing w:line="360" w:lineRule="auto"/>
        <w:jc w:val="both"/>
        <w:rPr>
          <w:rFonts w:ascii="Arial" w:hAnsi="Arial" w:cs="Arial"/>
          <w:b/>
          <w:bCs/>
          <w:sz w:val="22"/>
          <w:szCs w:val="22"/>
        </w:rPr>
      </w:pPr>
    </w:p>
    <w:p w14:paraId="5BD382B6" w14:textId="77777777" w:rsidR="00D81F34" w:rsidRPr="00382332" w:rsidRDefault="00D81F34" w:rsidP="009C3999">
      <w:pPr>
        <w:spacing w:line="360" w:lineRule="auto"/>
        <w:jc w:val="both"/>
        <w:rPr>
          <w:rFonts w:ascii="Arial" w:hAnsi="Arial" w:cs="Arial"/>
          <w:b/>
          <w:bCs/>
          <w:sz w:val="22"/>
          <w:szCs w:val="22"/>
        </w:rPr>
      </w:pPr>
    </w:p>
    <w:p w14:paraId="2BEE2331" w14:textId="77777777" w:rsidR="00D81F34" w:rsidRPr="00382332" w:rsidRDefault="00D81F34" w:rsidP="009C3999">
      <w:pPr>
        <w:spacing w:line="360" w:lineRule="auto"/>
        <w:jc w:val="both"/>
        <w:rPr>
          <w:rFonts w:ascii="Arial" w:hAnsi="Arial" w:cs="Arial"/>
          <w:b/>
          <w:bCs/>
          <w:sz w:val="22"/>
          <w:szCs w:val="22"/>
        </w:rPr>
      </w:pPr>
    </w:p>
    <w:p w14:paraId="5AA317FC" w14:textId="77777777" w:rsidR="00D81F34" w:rsidRPr="00382332" w:rsidRDefault="00D81F34" w:rsidP="009C3999">
      <w:pPr>
        <w:spacing w:line="360" w:lineRule="auto"/>
        <w:jc w:val="both"/>
        <w:rPr>
          <w:rFonts w:ascii="Arial" w:hAnsi="Arial" w:cs="Arial"/>
          <w:b/>
          <w:bCs/>
          <w:sz w:val="22"/>
          <w:szCs w:val="22"/>
        </w:rPr>
      </w:pPr>
    </w:p>
    <w:p w14:paraId="3A47E5F9" w14:textId="77777777" w:rsidR="00D81F34" w:rsidRPr="00382332" w:rsidRDefault="00D81F34" w:rsidP="009C3999">
      <w:pPr>
        <w:spacing w:line="360" w:lineRule="auto"/>
        <w:jc w:val="both"/>
        <w:rPr>
          <w:rFonts w:ascii="Arial" w:hAnsi="Arial" w:cs="Arial"/>
          <w:b/>
          <w:bCs/>
          <w:sz w:val="22"/>
          <w:szCs w:val="22"/>
        </w:rPr>
      </w:pPr>
    </w:p>
    <w:p w14:paraId="2184139A" w14:textId="77777777" w:rsidR="00D81F34" w:rsidRPr="00382332" w:rsidRDefault="00D81F34" w:rsidP="009C3999">
      <w:pPr>
        <w:spacing w:line="360" w:lineRule="auto"/>
        <w:jc w:val="both"/>
        <w:rPr>
          <w:rFonts w:ascii="Arial" w:hAnsi="Arial" w:cs="Arial"/>
          <w:b/>
          <w:bCs/>
          <w:sz w:val="22"/>
          <w:szCs w:val="22"/>
        </w:rPr>
      </w:pPr>
    </w:p>
    <w:p w14:paraId="4723AE1D" w14:textId="77777777" w:rsidR="00D81F34" w:rsidRPr="00382332" w:rsidRDefault="00D81F34" w:rsidP="009C3999">
      <w:pPr>
        <w:spacing w:line="360" w:lineRule="auto"/>
        <w:jc w:val="both"/>
        <w:rPr>
          <w:rFonts w:ascii="Arial" w:hAnsi="Arial" w:cs="Arial"/>
          <w:b/>
          <w:bCs/>
          <w:sz w:val="22"/>
          <w:szCs w:val="22"/>
        </w:rPr>
      </w:pPr>
    </w:p>
    <w:p w14:paraId="006E5180" w14:textId="77777777" w:rsidR="00D81F34" w:rsidRPr="00382332" w:rsidRDefault="00D81F34" w:rsidP="009C3999">
      <w:pPr>
        <w:spacing w:line="360" w:lineRule="auto"/>
        <w:jc w:val="both"/>
        <w:rPr>
          <w:rFonts w:ascii="Arial" w:hAnsi="Arial" w:cs="Arial"/>
          <w:b/>
          <w:bCs/>
          <w:sz w:val="22"/>
          <w:szCs w:val="22"/>
        </w:rPr>
      </w:pPr>
    </w:p>
    <w:p w14:paraId="6AD684A0" w14:textId="77777777" w:rsidR="00D81F34" w:rsidRPr="00382332" w:rsidRDefault="00D81F34" w:rsidP="009C3999">
      <w:pPr>
        <w:spacing w:line="360" w:lineRule="auto"/>
        <w:jc w:val="both"/>
        <w:rPr>
          <w:rFonts w:ascii="Arial" w:hAnsi="Arial" w:cs="Arial"/>
          <w:b/>
          <w:bCs/>
          <w:sz w:val="22"/>
          <w:szCs w:val="22"/>
        </w:rPr>
      </w:pPr>
    </w:p>
    <w:p w14:paraId="3164FB4C" w14:textId="77777777" w:rsidR="00D81F34" w:rsidRPr="00382332" w:rsidRDefault="00D81F34" w:rsidP="009C3999">
      <w:pPr>
        <w:spacing w:line="360" w:lineRule="auto"/>
        <w:jc w:val="both"/>
        <w:rPr>
          <w:rFonts w:ascii="Arial" w:hAnsi="Arial" w:cs="Arial"/>
          <w:b/>
          <w:bCs/>
          <w:sz w:val="22"/>
          <w:szCs w:val="22"/>
        </w:rPr>
      </w:pPr>
    </w:p>
    <w:p w14:paraId="26E5A5B3" w14:textId="77777777" w:rsidR="00D81F34" w:rsidRPr="00382332" w:rsidRDefault="00D81F34" w:rsidP="009C3999">
      <w:pPr>
        <w:spacing w:line="360" w:lineRule="auto"/>
        <w:jc w:val="both"/>
        <w:rPr>
          <w:rFonts w:ascii="Arial" w:hAnsi="Arial" w:cs="Arial"/>
          <w:b/>
          <w:bCs/>
          <w:sz w:val="22"/>
          <w:szCs w:val="22"/>
        </w:rPr>
      </w:pPr>
    </w:p>
    <w:p w14:paraId="0B8447BB" w14:textId="77777777" w:rsidR="00D81F34" w:rsidRPr="00382332" w:rsidRDefault="00D81F34" w:rsidP="009C3999">
      <w:pPr>
        <w:spacing w:line="360" w:lineRule="auto"/>
        <w:jc w:val="both"/>
        <w:rPr>
          <w:rFonts w:ascii="Arial" w:hAnsi="Arial" w:cs="Arial"/>
          <w:b/>
          <w:bCs/>
          <w:sz w:val="22"/>
          <w:szCs w:val="22"/>
        </w:rPr>
      </w:pPr>
    </w:p>
    <w:p w14:paraId="307963C2" w14:textId="77777777" w:rsidR="00D81F34" w:rsidRPr="00382332" w:rsidRDefault="00D81F34" w:rsidP="009C3999">
      <w:pPr>
        <w:spacing w:line="360" w:lineRule="auto"/>
        <w:jc w:val="both"/>
        <w:rPr>
          <w:rFonts w:ascii="Arial" w:hAnsi="Arial" w:cs="Arial"/>
          <w:b/>
          <w:bCs/>
          <w:sz w:val="22"/>
          <w:szCs w:val="22"/>
        </w:rPr>
      </w:pPr>
    </w:p>
    <w:p w14:paraId="3A77067B" w14:textId="77777777" w:rsidR="00D81F34" w:rsidRPr="00382332" w:rsidRDefault="00D81F34" w:rsidP="009C3999">
      <w:pPr>
        <w:spacing w:line="360" w:lineRule="auto"/>
        <w:jc w:val="both"/>
        <w:rPr>
          <w:rFonts w:ascii="Arial" w:hAnsi="Arial" w:cs="Arial"/>
          <w:b/>
          <w:bCs/>
          <w:sz w:val="22"/>
          <w:szCs w:val="22"/>
        </w:rPr>
      </w:pPr>
    </w:p>
    <w:p w14:paraId="5A800AD1" w14:textId="77777777" w:rsidR="00D81F34" w:rsidRPr="00382332" w:rsidRDefault="00D81F34" w:rsidP="009C3999">
      <w:pPr>
        <w:spacing w:line="360" w:lineRule="auto"/>
        <w:jc w:val="both"/>
        <w:rPr>
          <w:rFonts w:ascii="Arial" w:hAnsi="Arial" w:cs="Arial"/>
          <w:b/>
          <w:bCs/>
          <w:sz w:val="22"/>
          <w:szCs w:val="22"/>
        </w:rPr>
      </w:pPr>
    </w:p>
    <w:p w14:paraId="1692A916" w14:textId="77777777" w:rsidR="00D81F34" w:rsidRPr="00382332" w:rsidRDefault="00D81F34" w:rsidP="009C3999">
      <w:pPr>
        <w:spacing w:line="360" w:lineRule="auto"/>
        <w:jc w:val="both"/>
        <w:rPr>
          <w:rFonts w:ascii="Arial" w:hAnsi="Arial" w:cs="Arial"/>
          <w:b/>
          <w:bCs/>
          <w:sz w:val="22"/>
          <w:szCs w:val="22"/>
        </w:rPr>
      </w:pPr>
    </w:p>
    <w:p w14:paraId="66A2E20A" w14:textId="77777777" w:rsidR="00D81F34" w:rsidRPr="00382332" w:rsidRDefault="00D81F34" w:rsidP="009C3999">
      <w:pPr>
        <w:spacing w:line="360" w:lineRule="auto"/>
        <w:jc w:val="both"/>
        <w:rPr>
          <w:rFonts w:ascii="Arial" w:hAnsi="Arial" w:cs="Arial"/>
          <w:b/>
          <w:bCs/>
          <w:sz w:val="22"/>
          <w:szCs w:val="22"/>
        </w:rPr>
      </w:pPr>
    </w:p>
    <w:p w14:paraId="08EC10BB" w14:textId="77777777" w:rsidR="00D81F34" w:rsidRPr="00382332" w:rsidRDefault="00D81F34" w:rsidP="009C3999">
      <w:pPr>
        <w:spacing w:line="360" w:lineRule="auto"/>
        <w:jc w:val="both"/>
        <w:rPr>
          <w:rFonts w:ascii="Arial" w:hAnsi="Arial" w:cs="Arial"/>
          <w:b/>
          <w:bCs/>
          <w:sz w:val="22"/>
          <w:szCs w:val="22"/>
        </w:rPr>
      </w:pPr>
    </w:p>
    <w:p w14:paraId="3E9486A9" w14:textId="77777777" w:rsidR="00D81F34" w:rsidRPr="00382332" w:rsidRDefault="00D81F34" w:rsidP="009C3999">
      <w:pPr>
        <w:spacing w:line="360" w:lineRule="auto"/>
        <w:jc w:val="both"/>
        <w:rPr>
          <w:rFonts w:ascii="Arial" w:hAnsi="Arial" w:cs="Arial"/>
          <w:b/>
          <w:bCs/>
          <w:sz w:val="22"/>
          <w:szCs w:val="22"/>
        </w:rPr>
      </w:pPr>
    </w:p>
    <w:p w14:paraId="7A0512AB" w14:textId="77777777" w:rsidR="00391ADA" w:rsidRDefault="00391ADA" w:rsidP="009C3999">
      <w:pPr>
        <w:spacing w:line="360" w:lineRule="auto"/>
        <w:jc w:val="both"/>
        <w:rPr>
          <w:rFonts w:ascii="Arial" w:hAnsi="Arial" w:cs="Arial"/>
          <w:b/>
          <w:bCs/>
          <w:sz w:val="22"/>
          <w:szCs w:val="22"/>
        </w:rPr>
      </w:pPr>
    </w:p>
    <w:p w14:paraId="3851BF42" w14:textId="1C797187"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PERSON-CENTRED CARE</w:t>
      </w:r>
    </w:p>
    <w:p w14:paraId="33230ED5"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The World Health Organization (2016) defines person-centred care as an approach that consciously adopts the perspectives of individuals, families, carers, and communities to ensure health services respond to their needs and preferences in a holistic and respectful manner. Within dementia care homes, PCC recognises residents as individuals with unique identities, values, preferences, and life experiences rather than defining them by their diagnosis.</w:t>
      </w:r>
    </w:p>
    <w:p w14:paraId="62FCE2A2"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Key principles of PCC include respect, empathy, effective communication, active listening, shared decision-making, and involving family members in care planning. These principles help develop trusting relationships between residents and staff while encouraging individuals to remain involved in decisions affecting their care. Active listening is particularly important in dementia care, as it enables staff to recognise verbal and non-verbal communication, ensuring residents continue to feel valued despite cognitive decline. Hibbard and Greene (2013) found that people actively involved in their care are more likely to achieve improved health outcomes and engage with recommended treatment.</w:t>
      </w:r>
    </w:p>
    <w:p w14:paraId="1A8F5837"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Despite its benefits, implementing PCC within dementia care homes presents several challenges. Staffing shortages and increasing workloads can reduce opportunities to develop meaningful relationships with residents, resulting in care becoming task-focused rather than person-focused. Effective PCC also depends on staff receiving appropriate dementia-specific training to understand changing communication needs and behaviours. In addition, professionals must balance promoting independence with maintaining safety. For example, supporting a resident's wish to mobilise independently may increase the risk of falls, requiring careful risk assessment while respecting individual choice. Financial pressures and limited resources can further restrict the delivery of fully personalised care.</w:t>
      </w:r>
    </w:p>
    <w:p w14:paraId="5AAA8985" w14:textId="77777777" w:rsidR="002D207A" w:rsidRPr="00382332" w:rsidRDefault="002D207A" w:rsidP="009C3999">
      <w:pPr>
        <w:spacing w:line="360" w:lineRule="auto"/>
        <w:jc w:val="both"/>
        <w:rPr>
          <w:rFonts w:ascii="Arial" w:hAnsi="Arial" w:cs="Arial"/>
          <w:b/>
          <w:bCs/>
          <w:sz w:val="22"/>
          <w:szCs w:val="22"/>
        </w:rPr>
      </w:pPr>
    </w:p>
    <w:p w14:paraId="23D270E4" w14:textId="77777777" w:rsidR="002D207A" w:rsidRPr="00382332" w:rsidRDefault="002D207A" w:rsidP="009C3999">
      <w:pPr>
        <w:spacing w:line="360" w:lineRule="auto"/>
        <w:jc w:val="both"/>
        <w:rPr>
          <w:rFonts w:ascii="Arial" w:hAnsi="Arial" w:cs="Arial"/>
          <w:b/>
          <w:bCs/>
          <w:sz w:val="22"/>
          <w:szCs w:val="22"/>
        </w:rPr>
      </w:pPr>
    </w:p>
    <w:p w14:paraId="6E1FCE32" w14:textId="77777777" w:rsidR="00692594" w:rsidRPr="00382332" w:rsidRDefault="00692594" w:rsidP="009C3999">
      <w:pPr>
        <w:spacing w:line="360" w:lineRule="auto"/>
        <w:jc w:val="both"/>
        <w:rPr>
          <w:rFonts w:ascii="Arial" w:hAnsi="Arial" w:cs="Arial"/>
          <w:b/>
          <w:bCs/>
          <w:sz w:val="22"/>
          <w:szCs w:val="22"/>
        </w:rPr>
      </w:pPr>
    </w:p>
    <w:p w14:paraId="1FB712D4" w14:textId="77777777" w:rsidR="00692594" w:rsidRPr="00382332" w:rsidRDefault="00692594" w:rsidP="009C3999">
      <w:pPr>
        <w:spacing w:line="360" w:lineRule="auto"/>
        <w:jc w:val="both"/>
        <w:rPr>
          <w:rFonts w:ascii="Arial" w:hAnsi="Arial" w:cs="Arial"/>
          <w:b/>
          <w:bCs/>
          <w:sz w:val="22"/>
          <w:szCs w:val="22"/>
        </w:rPr>
      </w:pPr>
    </w:p>
    <w:p w14:paraId="11608A79" w14:textId="77777777" w:rsidR="00692594" w:rsidRPr="00382332" w:rsidRDefault="00692594" w:rsidP="009C3999">
      <w:pPr>
        <w:spacing w:line="360" w:lineRule="auto"/>
        <w:jc w:val="both"/>
        <w:rPr>
          <w:rFonts w:ascii="Arial" w:hAnsi="Arial" w:cs="Arial"/>
          <w:b/>
          <w:bCs/>
          <w:sz w:val="22"/>
          <w:szCs w:val="22"/>
        </w:rPr>
      </w:pPr>
    </w:p>
    <w:p w14:paraId="6C96ECB9" w14:textId="77777777" w:rsidR="00692594" w:rsidRPr="00382332" w:rsidRDefault="00692594" w:rsidP="009C3999">
      <w:pPr>
        <w:spacing w:line="360" w:lineRule="auto"/>
        <w:jc w:val="both"/>
        <w:rPr>
          <w:rFonts w:ascii="Arial" w:hAnsi="Arial" w:cs="Arial"/>
          <w:b/>
          <w:bCs/>
          <w:sz w:val="22"/>
          <w:szCs w:val="22"/>
        </w:rPr>
      </w:pPr>
    </w:p>
    <w:p w14:paraId="4458CEA7" w14:textId="77777777" w:rsidR="00692594" w:rsidRPr="00382332" w:rsidRDefault="00692594" w:rsidP="009C3999">
      <w:pPr>
        <w:spacing w:line="360" w:lineRule="auto"/>
        <w:jc w:val="both"/>
        <w:rPr>
          <w:rFonts w:ascii="Arial" w:hAnsi="Arial" w:cs="Arial"/>
          <w:b/>
          <w:bCs/>
          <w:sz w:val="22"/>
          <w:szCs w:val="22"/>
        </w:rPr>
      </w:pPr>
    </w:p>
    <w:p w14:paraId="010F80A1" w14:textId="77777777" w:rsidR="00692594" w:rsidRPr="00382332" w:rsidRDefault="00692594" w:rsidP="009C3999">
      <w:pPr>
        <w:spacing w:line="360" w:lineRule="auto"/>
        <w:jc w:val="both"/>
        <w:rPr>
          <w:rFonts w:ascii="Arial" w:hAnsi="Arial" w:cs="Arial"/>
          <w:b/>
          <w:bCs/>
          <w:sz w:val="22"/>
          <w:szCs w:val="22"/>
        </w:rPr>
      </w:pPr>
    </w:p>
    <w:p w14:paraId="0837F706" w14:textId="4AC65550"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ERG THEORY AND PERSON-CENTRED CARE</w:t>
      </w:r>
    </w:p>
    <w:p w14:paraId="660C47C4"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Theories provide a framework for understanding human behaviour and support healthcare professionals in delivering individualised care. Alderfer's ERG Theory (1969), developed from Maslow's Hierarchy of Needs, groups human needs into three categories: Existence, Relatedness, and Growth. Unlike Maslow's model, ERG Theory suggests that these needs can occur simultaneously rather than following a strict hierarchy, making it more flexible when applied to health and social care.</w:t>
      </w:r>
    </w:p>
    <w:p w14:paraId="002A18F4"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Existence needs refer to fundamental physical requirements such as nutrition, hydration, comfort, safety, and healthcare. Within dementia care homes, these needs are essential because residents may experience difficulties communicating pain, hunger, or discomfort. Staff must therefore rely on observation, knowledge of the individual, and professional judgement to identify unmet needs. Kitwood (1997) argues that behaviours such as agitation or distress may represent attempts to communicate unmet physical or emotional needs rather than symptoms of dementia alone.</w:t>
      </w:r>
    </w:p>
    <w:p w14:paraId="6A0BE795"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Relatedness needs emphasise the importance of relationships, belonging, and social connection. This strongly aligns with person-centred care, as meaningful relationships between residents, families, and care staff enable professionals to understand an individual's preferences, personality, and life history. Kitwood (1997) highlights that preserving personhood through positive relationships is fundamental to maintaining identity and emotional wellbeing for people living with dementia.</w:t>
      </w:r>
    </w:p>
    <w:p w14:paraId="65C04001"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Growth needs relate to achievement, independence, and maintaining a sense of purpose. Although dementia may affect cognitive function, individuals can continue to experience fulfilment through meaningful activities adapted to their abilities and interests. Encouraging participation in hobbies, social activities, or daily routines supports dignity and independence while promoting quality of life (Brooker, 2007).</w:t>
      </w:r>
    </w:p>
    <w:p w14:paraId="1B645EC7"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ERG Theory provides several strengths when applied to person-centred dementia care. By recognising that individuals have physical, emotional, and social needs, it encourages a holistic approach that extends beyond clinical care. This supports the aims of PCC by promoting dignity, maintaining identity, and improving overall wellbeing.</w:t>
      </w:r>
    </w:p>
    <w:p w14:paraId="7494A7CB"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However, the theory also has limitations. ERG Theory was developed as a general theory of human motivation rather than a dementia-specific framework. Consequently, it does not fully address challenges associated with cognitive decline, communication difficulties, changing capacity, or the progressive nature of dementia. In practice, dementia care often requires </w:t>
      </w:r>
      <w:r w:rsidRPr="00382332">
        <w:rPr>
          <w:rFonts w:ascii="Arial" w:hAnsi="Arial" w:cs="Arial"/>
          <w:sz w:val="22"/>
          <w:szCs w:val="22"/>
        </w:rPr>
        <w:lastRenderedPageBreak/>
        <w:t>approaches that specifically focus on preserving personhood and adapting communication, such as Kitwood's person-centred model.</w:t>
      </w:r>
    </w:p>
    <w:p w14:paraId="05F61D19"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Furthermore, although ERG Theory categorises needs into three broad areas, the needs of people living with dementia are often dynamic and interconnected. For example, emotional distress may arise from unmet social needs rather than unmet physical needs alone. This highlights the importance of continuous assessment and flexible care planning to ensure support remains responsive to changing circumstances.</w:t>
      </w:r>
    </w:p>
    <w:p w14:paraId="4DC6EF6B"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Overall, ERG Theory provides a valuable foundation for understanding holistic care and supports many principles of person-centred practice. Nevertheless, it is most effective when combined with dementia-specific approaches that recognise the importance of identity, relationships, and personhood throughout the progression of the condition.</w:t>
      </w:r>
    </w:p>
    <w:p w14:paraId="3E36B103" w14:textId="77777777" w:rsidR="007706C9" w:rsidRPr="00382332" w:rsidRDefault="007706C9" w:rsidP="009C3999">
      <w:pPr>
        <w:spacing w:line="360" w:lineRule="auto"/>
        <w:jc w:val="both"/>
        <w:rPr>
          <w:rFonts w:ascii="Arial" w:hAnsi="Arial" w:cs="Arial"/>
          <w:b/>
          <w:bCs/>
          <w:sz w:val="22"/>
          <w:szCs w:val="22"/>
        </w:rPr>
      </w:pPr>
    </w:p>
    <w:p w14:paraId="2DEE7389" w14:textId="77777777" w:rsidR="007706C9" w:rsidRPr="00382332" w:rsidRDefault="007706C9" w:rsidP="009C3999">
      <w:pPr>
        <w:spacing w:line="360" w:lineRule="auto"/>
        <w:jc w:val="both"/>
        <w:rPr>
          <w:rFonts w:ascii="Arial" w:hAnsi="Arial" w:cs="Arial"/>
          <w:b/>
          <w:bCs/>
          <w:sz w:val="22"/>
          <w:szCs w:val="22"/>
        </w:rPr>
      </w:pPr>
    </w:p>
    <w:p w14:paraId="5045D750" w14:textId="77777777" w:rsidR="007706C9" w:rsidRPr="00382332" w:rsidRDefault="007706C9" w:rsidP="009C3999">
      <w:pPr>
        <w:spacing w:line="360" w:lineRule="auto"/>
        <w:jc w:val="both"/>
        <w:rPr>
          <w:rFonts w:ascii="Arial" w:hAnsi="Arial" w:cs="Arial"/>
          <w:b/>
          <w:bCs/>
          <w:sz w:val="22"/>
          <w:szCs w:val="22"/>
        </w:rPr>
      </w:pPr>
    </w:p>
    <w:p w14:paraId="22D4B93B" w14:textId="77777777" w:rsidR="007706C9" w:rsidRPr="00382332" w:rsidRDefault="007706C9" w:rsidP="009C3999">
      <w:pPr>
        <w:spacing w:line="360" w:lineRule="auto"/>
        <w:jc w:val="both"/>
        <w:rPr>
          <w:rFonts w:ascii="Arial" w:hAnsi="Arial" w:cs="Arial"/>
          <w:b/>
          <w:bCs/>
          <w:sz w:val="22"/>
          <w:szCs w:val="22"/>
        </w:rPr>
      </w:pPr>
    </w:p>
    <w:p w14:paraId="12389263" w14:textId="77777777" w:rsidR="007706C9" w:rsidRPr="00382332" w:rsidRDefault="007706C9" w:rsidP="009C3999">
      <w:pPr>
        <w:spacing w:line="360" w:lineRule="auto"/>
        <w:jc w:val="both"/>
        <w:rPr>
          <w:rFonts w:ascii="Arial" w:hAnsi="Arial" w:cs="Arial"/>
          <w:b/>
          <w:bCs/>
          <w:sz w:val="22"/>
          <w:szCs w:val="22"/>
        </w:rPr>
      </w:pPr>
    </w:p>
    <w:p w14:paraId="0C13576E" w14:textId="77777777" w:rsidR="007706C9" w:rsidRPr="00382332" w:rsidRDefault="007706C9" w:rsidP="009C3999">
      <w:pPr>
        <w:spacing w:line="360" w:lineRule="auto"/>
        <w:jc w:val="both"/>
        <w:rPr>
          <w:rFonts w:ascii="Arial" w:hAnsi="Arial" w:cs="Arial"/>
          <w:b/>
          <w:bCs/>
          <w:sz w:val="22"/>
          <w:szCs w:val="22"/>
        </w:rPr>
      </w:pPr>
    </w:p>
    <w:p w14:paraId="77B6DE5A" w14:textId="77777777" w:rsidR="007706C9" w:rsidRPr="00382332" w:rsidRDefault="007706C9" w:rsidP="009C3999">
      <w:pPr>
        <w:spacing w:line="360" w:lineRule="auto"/>
        <w:jc w:val="both"/>
        <w:rPr>
          <w:rFonts w:ascii="Arial" w:hAnsi="Arial" w:cs="Arial"/>
          <w:b/>
          <w:bCs/>
          <w:sz w:val="22"/>
          <w:szCs w:val="22"/>
        </w:rPr>
      </w:pPr>
    </w:p>
    <w:p w14:paraId="05125EE9" w14:textId="77777777" w:rsidR="007706C9" w:rsidRPr="00382332" w:rsidRDefault="007706C9" w:rsidP="009C3999">
      <w:pPr>
        <w:spacing w:line="360" w:lineRule="auto"/>
        <w:jc w:val="both"/>
        <w:rPr>
          <w:rFonts w:ascii="Arial" w:hAnsi="Arial" w:cs="Arial"/>
          <w:b/>
          <w:bCs/>
          <w:sz w:val="22"/>
          <w:szCs w:val="22"/>
        </w:rPr>
      </w:pPr>
    </w:p>
    <w:p w14:paraId="36DDAAE1" w14:textId="77777777" w:rsidR="007706C9" w:rsidRPr="00382332" w:rsidRDefault="007706C9" w:rsidP="009C3999">
      <w:pPr>
        <w:spacing w:line="360" w:lineRule="auto"/>
        <w:jc w:val="both"/>
        <w:rPr>
          <w:rFonts w:ascii="Arial" w:hAnsi="Arial" w:cs="Arial"/>
          <w:b/>
          <w:bCs/>
          <w:sz w:val="22"/>
          <w:szCs w:val="22"/>
        </w:rPr>
      </w:pPr>
    </w:p>
    <w:p w14:paraId="725FE61F" w14:textId="77777777" w:rsidR="007706C9" w:rsidRPr="00382332" w:rsidRDefault="007706C9" w:rsidP="009C3999">
      <w:pPr>
        <w:spacing w:line="360" w:lineRule="auto"/>
        <w:jc w:val="both"/>
        <w:rPr>
          <w:rFonts w:ascii="Arial" w:hAnsi="Arial" w:cs="Arial"/>
          <w:b/>
          <w:bCs/>
          <w:sz w:val="22"/>
          <w:szCs w:val="22"/>
        </w:rPr>
      </w:pPr>
    </w:p>
    <w:p w14:paraId="3F259BC2" w14:textId="77777777" w:rsidR="007706C9" w:rsidRPr="00382332" w:rsidRDefault="007706C9" w:rsidP="009C3999">
      <w:pPr>
        <w:spacing w:line="360" w:lineRule="auto"/>
        <w:jc w:val="both"/>
        <w:rPr>
          <w:rFonts w:ascii="Arial" w:hAnsi="Arial" w:cs="Arial"/>
          <w:b/>
          <w:bCs/>
          <w:sz w:val="22"/>
          <w:szCs w:val="22"/>
        </w:rPr>
      </w:pPr>
    </w:p>
    <w:p w14:paraId="3073B709" w14:textId="77777777" w:rsidR="007706C9" w:rsidRPr="00382332" w:rsidRDefault="007706C9" w:rsidP="009C3999">
      <w:pPr>
        <w:spacing w:line="360" w:lineRule="auto"/>
        <w:jc w:val="both"/>
        <w:rPr>
          <w:rFonts w:ascii="Arial" w:hAnsi="Arial" w:cs="Arial"/>
          <w:b/>
          <w:bCs/>
          <w:sz w:val="22"/>
          <w:szCs w:val="22"/>
        </w:rPr>
      </w:pPr>
    </w:p>
    <w:p w14:paraId="0D8D50AA" w14:textId="77777777" w:rsidR="007706C9" w:rsidRPr="00382332" w:rsidRDefault="007706C9" w:rsidP="009C3999">
      <w:pPr>
        <w:spacing w:line="360" w:lineRule="auto"/>
        <w:jc w:val="both"/>
        <w:rPr>
          <w:rFonts w:ascii="Arial" w:hAnsi="Arial" w:cs="Arial"/>
          <w:b/>
          <w:bCs/>
          <w:sz w:val="22"/>
          <w:szCs w:val="22"/>
        </w:rPr>
      </w:pPr>
    </w:p>
    <w:p w14:paraId="4CB9C08B" w14:textId="77777777" w:rsidR="007706C9" w:rsidRPr="00382332" w:rsidRDefault="007706C9" w:rsidP="009C3999">
      <w:pPr>
        <w:spacing w:line="360" w:lineRule="auto"/>
        <w:jc w:val="both"/>
        <w:rPr>
          <w:rFonts w:ascii="Arial" w:hAnsi="Arial" w:cs="Arial"/>
          <w:b/>
          <w:bCs/>
          <w:sz w:val="22"/>
          <w:szCs w:val="22"/>
        </w:rPr>
      </w:pPr>
    </w:p>
    <w:p w14:paraId="176B4EC0" w14:textId="77777777" w:rsidR="007706C9" w:rsidRPr="00382332" w:rsidRDefault="007706C9" w:rsidP="009C3999">
      <w:pPr>
        <w:spacing w:line="360" w:lineRule="auto"/>
        <w:jc w:val="both"/>
        <w:rPr>
          <w:rFonts w:ascii="Arial" w:hAnsi="Arial" w:cs="Arial"/>
          <w:b/>
          <w:bCs/>
          <w:sz w:val="22"/>
          <w:szCs w:val="22"/>
        </w:rPr>
      </w:pPr>
    </w:p>
    <w:p w14:paraId="717C5883" w14:textId="77777777" w:rsidR="007706C9" w:rsidRPr="00382332" w:rsidRDefault="007706C9" w:rsidP="009C3999">
      <w:pPr>
        <w:spacing w:line="360" w:lineRule="auto"/>
        <w:jc w:val="both"/>
        <w:rPr>
          <w:rFonts w:ascii="Arial" w:hAnsi="Arial" w:cs="Arial"/>
          <w:b/>
          <w:bCs/>
          <w:sz w:val="22"/>
          <w:szCs w:val="22"/>
        </w:rPr>
      </w:pPr>
    </w:p>
    <w:p w14:paraId="3081FBF3" w14:textId="77777777" w:rsidR="00391ADA" w:rsidRDefault="00391ADA" w:rsidP="009C3999">
      <w:pPr>
        <w:spacing w:line="360" w:lineRule="auto"/>
        <w:jc w:val="both"/>
        <w:rPr>
          <w:rFonts w:ascii="Arial" w:hAnsi="Arial" w:cs="Arial"/>
          <w:b/>
          <w:bCs/>
          <w:sz w:val="22"/>
          <w:szCs w:val="22"/>
        </w:rPr>
      </w:pPr>
    </w:p>
    <w:p w14:paraId="37A0A967" w14:textId="42E6EF95"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ETHICAL FUNDAMENTALS</w:t>
      </w:r>
    </w:p>
    <w:p w14:paraId="298FA6EA"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Ethical principles underpin person-centred care (PCC) and partnership working (PW) by ensuring care is delivered in a way that respects individuals' rights, dignity, and wellbeing. The four key principles—autonomy, beneficence, non-maleficence, and justice—guide decision-making within dementia care and help professionals balance individual preferences with legal and professional responsibilities.</w:t>
      </w:r>
    </w:p>
    <w:p w14:paraId="07033853"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Autonomy recognises an individual's right to make informed decisions about their care and supports shared decision-making wherever possible. Beneficence requires healthcare professionals to act in the person's best interests, while non-maleficence aims to prevent unnecessary harm. Justice ensures people with dementia receive fair and equitable access to services regardless of age or disability.</w:t>
      </w:r>
    </w:p>
    <w:p w14:paraId="21948F69"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An ethical dilemma may arise when a resident with dementia refuses essential medication despite professionals and family members believing it is necessary. While encouraging treatment may reflect beneficence and non-maleficence, forcing medication could compromise the individual's autonomy. Dementia does not automatically remove decision-making capacity; therefore, under the Mental Capacity Act (2005), capacity must be assessed in relation to the specific decision.</w:t>
      </w:r>
    </w:p>
    <w:p w14:paraId="5B4E7F04"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Partnership working is essential when resolving such dilemmas. Care staff, healthcare professionals, the resident, and family members should work collaboratively to identify reasons for refusal, such as fear, discomfort, or misunderstanding. A person-centred approach may involve adjusting how medication is offered or exploring alternative treatments while ensuring any decision made on behalf of a person lacking capacity is in their best interests. This demonstrates the need to balance individual choice with safeguarding responsibilities while respecting the person's values and dignity.</w:t>
      </w:r>
    </w:p>
    <w:p w14:paraId="172A2CEA" w14:textId="77777777" w:rsidR="007706C9" w:rsidRPr="00382332" w:rsidRDefault="007706C9" w:rsidP="009C3999">
      <w:pPr>
        <w:spacing w:line="360" w:lineRule="auto"/>
        <w:jc w:val="both"/>
        <w:rPr>
          <w:rFonts w:ascii="Arial" w:hAnsi="Arial" w:cs="Arial"/>
          <w:b/>
          <w:bCs/>
          <w:sz w:val="22"/>
          <w:szCs w:val="22"/>
        </w:rPr>
      </w:pPr>
    </w:p>
    <w:p w14:paraId="3B88AB6E" w14:textId="77777777" w:rsidR="007706C9" w:rsidRPr="00382332" w:rsidRDefault="007706C9" w:rsidP="009C3999">
      <w:pPr>
        <w:spacing w:line="360" w:lineRule="auto"/>
        <w:jc w:val="both"/>
        <w:rPr>
          <w:rFonts w:ascii="Arial" w:hAnsi="Arial" w:cs="Arial"/>
          <w:b/>
          <w:bCs/>
          <w:sz w:val="22"/>
          <w:szCs w:val="22"/>
        </w:rPr>
      </w:pPr>
    </w:p>
    <w:p w14:paraId="0AD8F8CF" w14:textId="77777777" w:rsidR="007706C9" w:rsidRPr="00382332" w:rsidRDefault="007706C9" w:rsidP="009C3999">
      <w:pPr>
        <w:spacing w:line="360" w:lineRule="auto"/>
        <w:jc w:val="both"/>
        <w:rPr>
          <w:rFonts w:ascii="Arial" w:hAnsi="Arial" w:cs="Arial"/>
          <w:b/>
          <w:bCs/>
          <w:sz w:val="22"/>
          <w:szCs w:val="22"/>
        </w:rPr>
      </w:pPr>
    </w:p>
    <w:p w14:paraId="344F5D10" w14:textId="77777777" w:rsidR="007706C9" w:rsidRPr="00382332" w:rsidRDefault="007706C9" w:rsidP="009C3999">
      <w:pPr>
        <w:spacing w:line="360" w:lineRule="auto"/>
        <w:jc w:val="both"/>
        <w:rPr>
          <w:rFonts w:ascii="Arial" w:hAnsi="Arial" w:cs="Arial"/>
          <w:b/>
          <w:bCs/>
          <w:sz w:val="22"/>
          <w:szCs w:val="22"/>
        </w:rPr>
      </w:pPr>
    </w:p>
    <w:p w14:paraId="3D0EC25A" w14:textId="77777777" w:rsidR="007706C9" w:rsidRPr="00382332" w:rsidRDefault="007706C9" w:rsidP="009C3999">
      <w:pPr>
        <w:spacing w:line="360" w:lineRule="auto"/>
        <w:jc w:val="both"/>
        <w:rPr>
          <w:rFonts w:ascii="Arial" w:hAnsi="Arial" w:cs="Arial"/>
          <w:b/>
          <w:bCs/>
          <w:sz w:val="22"/>
          <w:szCs w:val="22"/>
        </w:rPr>
      </w:pPr>
    </w:p>
    <w:p w14:paraId="71A87988" w14:textId="77777777" w:rsidR="007706C9" w:rsidRPr="00382332" w:rsidRDefault="007706C9" w:rsidP="009C3999">
      <w:pPr>
        <w:spacing w:line="360" w:lineRule="auto"/>
        <w:jc w:val="both"/>
        <w:rPr>
          <w:rFonts w:ascii="Arial" w:hAnsi="Arial" w:cs="Arial"/>
          <w:b/>
          <w:bCs/>
          <w:sz w:val="22"/>
          <w:szCs w:val="22"/>
        </w:rPr>
      </w:pPr>
    </w:p>
    <w:p w14:paraId="4EFEBF29" w14:textId="77777777" w:rsidR="007706C9" w:rsidRPr="00382332" w:rsidRDefault="007706C9" w:rsidP="009C3999">
      <w:pPr>
        <w:spacing w:line="360" w:lineRule="auto"/>
        <w:jc w:val="both"/>
        <w:rPr>
          <w:rFonts w:ascii="Arial" w:hAnsi="Arial" w:cs="Arial"/>
          <w:b/>
          <w:bCs/>
          <w:sz w:val="22"/>
          <w:szCs w:val="22"/>
        </w:rPr>
      </w:pPr>
    </w:p>
    <w:p w14:paraId="5F2E7F6C" w14:textId="77777777" w:rsidR="007706C9" w:rsidRPr="00382332" w:rsidRDefault="007706C9" w:rsidP="009C3999">
      <w:pPr>
        <w:spacing w:line="360" w:lineRule="auto"/>
        <w:jc w:val="both"/>
        <w:rPr>
          <w:rFonts w:ascii="Arial" w:hAnsi="Arial" w:cs="Arial"/>
          <w:b/>
          <w:bCs/>
          <w:sz w:val="22"/>
          <w:szCs w:val="22"/>
        </w:rPr>
      </w:pPr>
    </w:p>
    <w:p w14:paraId="6D6BAE6B" w14:textId="676D3481"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EVALUATION OF PARTNERSHIP WORKING</w:t>
      </w:r>
    </w:p>
    <w:p w14:paraId="570F2346"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Partnership working refers to collaboration between professionals, organisations, individuals, and families to deliver coordinated, person-centred care. It is particularly important within dementia care because residents often have complex physical, psychological, and social needs that require input from multiple services.</w:t>
      </w:r>
    </w:p>
    <w:p w14:paraId="7AC91D8D"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The introduction of Integrated Care Systems (ICSs) in England has strengthened partnership working by encouraging NHS organisations, local authorities, and care providers to collaborate in planning and delivering services. This integrated approach aims to improve continuity of care, reduce service fragmentation, and achieve better outcomes for individuals.</w:t>
      </w:r>
    </w:p>
    <w:p w14:paraId="107FA45C"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A major strength of partnership working is improved communication between professionals, allowing care plans to reflect residents' changing needs. Collaboration between care home staff, GPs, social workers, nurses, therapists, residents, and family members supports holistic care by addressing physical health alongside emotional and social wellbeing. Early identification of concerns can also reduce avoidable hospital admissions and improve continuity of care.</w:t>
      </w:r>
    </w:p>
    <w:p w14:paraId="0BD113E6"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However, effective partnership working is not without challenges. Communication barriers, incompatible documentation systems, and differing organisational priorities may delay decision-making or create inconsistencies in care delivery. Unclear professional roles and increasing workforce pressures can further affect collaboration, potentially reducing the effectiveness of integrated care.</w:t>
      </w:r>
    </w:p>
    <w:p w14:paraId="6EF5140D"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Overall, successful partnership working enhances person-centred dementia care by promoting coordinated decision-making and ensuring residents receive support that reflects their individual needs. However, its effectiveness depends upon clear communication, mutual trust, and shared professional responsibility.</w:t>
      </w:r>
    </w:p>
    <w:p w14:paraId="687479A9" w14:textId="77777777" w:rsidR="000417E4" w:rsidRPr="00382332" w:rsidRDefault="000417E4" w:rsidP="009C3999">
      <w:pPr>
        <w:spacing w:line="360" w:lineRule="auto"/>
        <w:jc w:val="both"/>
        <w:rPr>
          <w:rFonts w:ascii="Arial" w:hAnsi="Arial" w:cs="Arial"/>
          <w:b/>
          <w:bCs/>
          <w:sz w:val="22"/>
          <w:szCs w:val="22"/>
        </w:rPr>
      </w:pPr>
    </w:p>
    <w:p w14:paraId="6EEDB57A" w14:textId="77777777" w:rsidR="000417E4" w:rsidRPr="00382332" w:rsidRDefault="000417E4" w:rsidP="009C3999">
      <w:pPr>
        <w:spacing w:line="360" w:lineRule="auto"/>
        <w:jc w:val="both"/>
        <w:rPr>
          <w:rFonts w:ascii="Arial" w:hAnsi="Arial" w:cs="Arial"/>
          <w:b/>
          <w:bCs/>
          <w:sz w:val="22"/>
          <w:szCs w:val="22"/>
        </w:rPr>
      </w:pPr>
    </w:p>
    <w:p w14:paraId="3B52B85C" w14:textId="77777777" w:rsidR="000417E4" w:rsidRPr="00382332" w:rsidRDefault="000417E4" w:rsidP="009C3999">
      <w:pPr>
        <w:spacing w:line="360" w:lineRule="auto"/>
        <w:jc w:val="both"/>
        <w:rPr>
          <w:rFonts w:ascii="Arial" w:hAnsi="Arial" w:cs="Arial"/>
          <w:b/>
          <w:bCs/>
          <w:sz w:val="22"/>
          <w:szCs w:val="22"/>
        </w:rPr>
      </w:pPr>
    </w:p>
    <w:p w14:paraId="553F30D5" w14:textId="77777777" w:rsidR="000417E4" w:rsidRPr="00382332" w:rsidRDefault="000417E4" w:rsidP="009C3999">
      <w:pPr>
        <w:spacing w:line="360" w:lineRule="auto"/>
        <w:jc w:val="both"/>
        <w:rPr>
          <w:rFonts w:ascii="Arial" w:hAnsi="Arial" w:cs="Arial"/>
          <w:b/>
          <w:bCs/>
          <w:sz w:val="22"/>
          <w:szCs w:val="22"/>
        </w:rPr>
      </w:pPr>
    </w:p>
    <w:p w14:paraId="03A0C2A9" w14:textId="77777777" w:rsidR="000417E4" w:rsidRPr="00382332" w:rsidRDefault="000417E4" w:rsidP="009C3999">
      <w:pPr>
        <w:spacing w:line="360" w:lineRule="auto"/>
        <w:jc w:val="both"/>
        <w:rPr>
          <w:rFonts w:ascii="Arial" w:hAnsi="Arial" w:cs="Arial"/>
          <w:b/>
          <w:bCs/>
          <w:sz w:val="22"/>
          <w:szCs w:val="22"/>
        </w:rPr>
      </w:pPr>
    </w:p>
    <w:p w14:paraId="615AD371" w14:textId="77777777" w:rsidR="000417E4" w:rsidRPr="00382332" w:rsidRDefault="000417E4" w:rsidP="009C3999">
      <w:pPr>
        <w:spacing w:line="360" w:lineRule="auto"/>
        <w:jc w:val="both"/>
        <w:rPr>
          <w:rFonts w:ascii="Arial" w:hAnsi="Arial" w:cs="Arial"/>
          <w:b/>
          <w:bCs/>
          <w:sz w:val="22"/>
          <w:szCs w:val="22"/>
        </w:rPr>
      </w:pPr>
    </w:p>
    <w:p w14:paraId="0EB2E81F" w14:textId="77777777" w:rsidR="00391ADA" w:rsidRDefault="00391ADA" w:rsidP="009C3999">
      <w:pPr>
        <w:spacing w:line="360" w:lineRule="auto"/>
        <w:jc w:val="both"/>
        <w:rPr>
          <w:rFonts w:ascii="Arial" w:hAnsi="Arial" w:cs="Arial"/>
          <w:b/>
          <w:bCs/>
          <w:sz w:val="22"/>
          <w:szCs w:val="22"/>
        </w:rPr>
      </w:pPr>
    </w:p>
    <w:p w14:paraId="4B0F2B16" w14:textId="4ABB4E2D"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POLICY AND LEGISLATION</w:t>
      </w:r>
    </w:p>
    <w:p w14:paraId="1FF4C848"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Legislation provides the legal framework that supports person-centred care and partnership working while protecting the rights of people living with dementia.</w:t>
      </w:r>
    </w:p>
    <w:p w14:paraId="0CB42B1B"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The Care Act 2014 promotes wellbeing, dignity, independence, and personalised care by requiring local authorities and care providers to place individuals at the centre of decision-making. Within dementia care homes, this supports the development of personalised care plans based on residents' preferences, abilities, and life experiences while encouraging collaboration between professionals and families.</w:t>
      </w:r>
    </w:p>
    <w:p w14:paraId="76E66014" w14:textId="0D1A273C"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The Health and Care Act 2022 further </w:t>
      </w:r>
      <w:r w:rsidR="00692594" w:rsidRPr="00382332">
        <w:rPr>
          <w:rFonts w:ascii="Arial" w:hAnsi="Arial" w:cs="Arial"/>
          <w:sz w:val="22"/>
          <w:szCs w:val="22"/>
        </w:rPr>
        <w:t>strengthen</w:t>
      </w:r>
      <w:r w:rsidRPr="00382332">
        <w:rPr>
          <w:rFonts w:ascii="Arial" w:hAnsi="Arial" w:cs="Arial"/>
          <w:sz w:val="22"/>
          <w:szCs w:val="22"/>
        </w:rPr>
        <w:t xml:space="preserve"> partnership working through the establishment of Integrated Care Systems, promoting greater collaboration between health and social care organisations. Although this has improved service integration, implementation may still be affected by workforce shortages, limited resources, and communication challenges across organisations.</w:t>
      </w:r>
    </w:p>
    <w:p w14:paraId="7F00E516"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The Human Rights Act 1998 protects fundamental rights, including dignity, privacy, and respect for family life, while the Equality Act 2010 requires services to make reasonable adjustments that prevent discrimination against individuals with disabilities, including dementia. For example, adapting communication methods or providing accessible information enables residents to remain involved in decisions about their care.</w:t>
      </w:r>
    </w:p>
    <w:p w14:paraId="606166B7"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Together, these legislative frameworks support the delivery of person-centred, rights-based care. However, effective implementation relies on professional judgement, appropriate staff training, and ongoing collaboration to balance individual autonomy with safeguarding responsibilities.</w:t>
      </w:r>
    </w:p>
    <w:p w14:paraId="7C90678C" w14:textId="77777777" w:rsidR="000417E4" w:rsidRPr="00382332" w:rsidRDefault="000417E4" w:rsidP="009C3999">
      <w:pPr>
        <w:spacing w:line="360" w:lineRule="auto"/>
        <w:jc w:val="both"/>
        <w:rPr>
          <w:rFonts w:ascii="Arial" w:hAnsi="Arial" w:cs="Arial"/>
          <w:b/>
          <w:bCs/>
          <w:sz w:val="22"/>
          <w:szCs w:val="22"/>
        </w:rPr>
      </w:pPr>
    </w:p>
    <w:p w14:paraId="4299D6A1" w14:textId="77777777" w:rsidR="000417E4" w:rsidRPr="00382332" w:rsidRDefault="000417E4" w:rsidP="009C3999">
      <w:pPr>
        <w:spacing w:line="360" w:lineRule="auto"/>
        <w:jc w:val="both"/>
        <w:rPr>
          <w:rFonts w:ascii="Arial" w:hAnsi="Arial" w:cs="Arial"/>
          <w:b/>
          <w:bCs/>
          <w:sz w:val="22"/>
          <w:szCs w:val="22"/>
        </w:rPr>
      </w:pPr>
    </w:p>
    <w:p w14:paraId="7E6DC909" w14:textId="77777777" w:rsidR="000417E4" w:rsidRPr="00382332" w:rsidRDefault="000417E4" w:rsidP="009C3999">
      <w:pPr>
        <w:spacing w:line="360" w:lineRule="auto"/>
        <w:jc w:val="both"/>
        <w:rPr>
          <w:rFonts w:ascii="Arial" w:hAnsi="Arial" w:cs="Arial"/>
          <w:b/>
          <w:bCs/>
          <w:sz w:val="22"/>
          <w:szCs w:val="22"/>
        </w:rPr>
      </w:pPr>
    </w:p>
    <w:p w14:paraId="57C18989" w14:textId="77777777" w:rsidR="000417E4" w:rsidRPr="00382332" w:rsidRDefault="000417E4" w:rsidP="009C3999">
      <w:pPr>
        <w:spacing w:line="360" w:lineRule="auto"/>
        <w:jc w:val="both"/>
        <w:rPr>
          <w:rFonts w:ascii="Arial" w:hAnsi="Arial" w:cs="Arial"/>
          <w:b/>
          <w:bCs/>
          <w:sz w:val="22"/>
          <w:szCs w:val="22"/>
        </w:rPr>
      </w:pPr>
    </w:p>
    <w:p w14:paraId="6BEC1305" w14:textId="77777777" w:rsidR="000417E4" w:rsidRPr="00382332" w:rsidRDefault="000417E4" w:rsidP="009C3999">
      <w:pPr>
        <w:spacing w:line="360" w:lineRule="auto"/>
        <w:jc w:val="both"/>
        <w:rPr>
          <w:rFonts w:ascii="Arial" w:hAnsi="Arial" w:cs="Arial"/>
          <w:b/>
          <w:bCs/>
          <w:sz w:val="22"/>
          <w:szCs w:val="22"/>
        </w:rPr>
      </w:pPr>
    </w:p>
    <w:p w14:paraId="2C7E2189" w14:textId="77777777" w:rsidR="000417E4" w:rsidRPr="00382332" w:rsidRDefault="000417E4" w:rsidP="009C3999">
      <w:pPr>
        <w:spacing w:line="360" w:lineRule="auto"/>
        <w:jc w:val="both"/>
        <w:rPr>
          <w:rFonts w:ascii="Arial" w:hAnsi="Arial" w:cs="Arial"/>
          <w:b/>
          <w:bCs/>
          <w:sz w:val="22"/>
          <w:szCs w:val="22"/>
        </w:rPr>
      </w:pPr>
    </w:p>
    <w:p w14:paraId="12552ECB" w14:textId="77777777" w:rsidR="000417E4" w:rsidRPr="00382332" w:rsidRDefault="000417E4" w:rsidP="009C3999">
      <w:pPr>
        <w:spacing w:line="360" w:lineRule="auto"/>
        <w:jc w:val="both"/>
        <w:rPr>
          <w:rFonts w:ascii="Arial" w:hAnsi="Arial" w:cs="Arial"/>
          <w:b/>
          <w:bCs/>
          <w:sz w:val="22"/>
          <w:szCs w:val="22"/>
        </w:rPr>
      </w:pPr>
    </w:p>
    <w:p w14:paraId="7B6CEF26" w14:textId="77777777" w:rsidR="000417E4" w:rsidRPr="00382332" w:rsidRDefault="000417E4" w:rsidP="009C3999">
      <w:pPr>
        <w:spacing w:line="360" w:lineRule="auto"/>
        <w:jc w:val="both"/>
        <w:rPr>
          <w:rFonts w:ascii="Arial" w:hAnsi="Arial" w:cs="Arial"/>
          <w:b/>
          <w:bCs/>
          <w:sz w:val="22"/>
          <w:szCs w:val="22"/>
        </w:rPr>
      </w:pPr>
    </w:p>
    <w:p w14:paraId="084362BA" w14:textId="77777777" w:rsidR="00391ADA" w:rsidRDefault="00391ADA" w:rsidP="009C3999">
      <w:pPr>
        <w:spacing w:line="360" w:lineRule="auto"/>
        <w:jc w:val="both"/>
        <w:rPr>
          <w:rFonts w:ascii="Arial" w:hAnsi="Arial" w:cs="Arial"/>
          <w:b/>
          <w:bCs/>
          <w:sz w:val="22"/>
          <w:szCs w:val="22"/>
        </w:rPr>
      </w:pPr>
    </w:p>
    <w:p w14:paraId="13AE5FB6" w14:textId="350B297D"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RECOMMENDATIONS</w:t>
      </w:r>
    </w:p>
    <w:p w14:paraId="239A8BCE"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Although person-centred care and partnership working are recognised as best practice, further improvements are required to ensure consistent implementation within dementia care homes.</w:t>
      </w:r>
    </w:p>
    <w:p w14:paraId="7AF22AA2"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A key priority is increasing dementia-specific training for care staff. Education focusing on communication, recognising behaviours as expressions of unmet need, and applying person-centred approaches would improve staff confidence and the quality of care delivered. Research by Chenoweth </w:t>
      </w:r>
      <w:r w:rsidRPr="00382332">
        <w:rPr>
          <w:rFonts w:ascii="Arial" w:hAnsi="Arial" w:cs="Arial"/>
          <w:i/>
          <w:iCs/>
          <w:sz w:val="22"/>
          <w:szCs w:val="22"/>
        </w:rPr>
        <w:t>et al.</w:t>
      </w:r>
      <w:r w:rsidRPr="00382332">
        <w:rPr>
          <w:rFonts w:ascii="Arial" w:hAnsi="Arial" w:cs="Arial"/>
          <w:sz w:val="22"/>
          <w:szCs w:val="22"/>
        </w:rPr>
        <w:t xml:space="preserve"> (2009) found that person-centred interventions can improve quality of life while reducing agitation in people living with dementia. However, investment in training may be limited by staffing shortages and financial constraints.</w:t>
      </w:r>
    </w:p>
    <w:p w14:paraId="375A9006"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Improving multidisciplinary communication is also essential. Regular meetings involving healthcare professionals, care staff, residents, and family members would encourage shared decision-making and ensure care plans remain responsive to changing needs. Strengthening communication between organisations would further reduce fragmented care and improve continuity of support.</w:t>
      </w:r>
    </w:p>
    <w:p w14:paraId="285403BB"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Greater use of digital technology could also enhance partnership working. Electronic care records and secure communication systems would allow professionals to access up-to-date information, reducing duplication and improving coordination across services. Nevertheless, successful implementation requires adequate staff training, investment in technology, and robust data protection measures.</w:t>
      </w:r>
    </w:p>
    <w:p w14:paraId="3A1FF6B3"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Overall, improving dementia care requires continued investment in workforce development, integrated communication systems, and collaborative practice. Although resource pressures remain a significant challenge, these developments would strengthen both person-centred care and partnership working, ultimately improving outcomes and quality of life for people living with dementia.</w:t>
      </w:r>
    </w:p>
    <w:p w14:paraId="1309E5F6" w14:textId="77777777" w:rsidR="000417E4" w:rsidRPr="00382332" w:rsidRDefault="000417E4" w:rsidP="009C3999">
      <w:pPr>
        <w:spacing w:line="360" w:lineRule="auto"/>
        <w:jc w:val="both"/>
        <w:rPr>
          <w:rFonts w:ascii="Arial" w:hAnsi="Arial" w:cs="Arial"/>
          <w:b/>
          <w:bCs/>
          <w:sz w:val="22"/>
          <w:szCs w:val="22"/>
        </w:rPr>
      </w:pPr>
    </w:p>
    <w:p w14:paraId="73FCA649" w14:textId="77777777" w:rsidR="000417E4" w:rsidRPr="00382332" w:rsidRDefault="000417E4" w:rsidP="009C3999">
      <w:pPr>
        <w:spacing w:line="360" w:lineRule="auto"/>
        <w:jc w:val="both"/>
        <w:rPr>
          <w:rFonts w:ascii="Arial" w:hAnsi="Arial" w:cs="Arial"/>
          <w:b/>
          <w:bCs/>
          <w:sz w:val="22"/>
          <w:szCs w:val="22"/>
        </w:rPr>
      </w:pPr>
    </w:p>
    <w:p w14:paraId="6E5C3F82" w14:textId="77777777" w:rsidR="000417E4" w:rsidRPr="00382332" w:rsidRDefault="000417E4" w:rsidP="009C3999">
      <w:pPr>
        <w:spacing w:line="360" w:lineRule="auto"/>
        <w:jc w:val="both"/>
        <w:rPr>
          <w:rFonts w:ascii="Arial" w:hAnsi="Arial" w:cs="Arial"/>
          <w:b/>
          <w:bCs/>
          <w:sz w:val="22"/>
          <w:szCs w:val="22"/>
        </w:rPr>
      </w:pPr>
    </w:p>
    <w:p w14:paraId="09339E43" w14:textId="77777777" w:rsidR="000417E4" w:rsidRPr="00382332" w:rsidRDefault="000417E4" w:rsidP="009C3999">
      <w:pPr>
        <w:spacing w:line="360" w:lineRule="auto"/>
        <w:jc w:val="both"/>
        <w:rPr>
          <w:rFonts w:ascii="Arial" w:hAnsi="Arial" w:cs="Arial"/>
          <w:b/>
          <w:bCs/>
          <w:sz w:val="22"/>
          <w:szCs w:val="22"/>
        </w:rPr>
      </w:pPr>
    </w:p>
    <w:p w14:paraId="2B9B29AE" w14:textId="77777777" w:rsidR="000417E4" w:rsidRPr="00382332" w:rsidRDefault="000417E4" w:rsidP="009C3999">
      <w:pPr>
        <w:spacing w:line="360" w:lineRule="auto"/>
        <w:jc w:val="both"/>
        <w:rPr>
          <w:rFonts w:ascii="Arial" w:hAnsi="Arial" w:cs="Arial"/>
          <w:b/>
          <w:bCs/>
          <w:sz w:val="22"/>
          <w:szCs w:val="22"/>
        </w:rPr>
      </w:pPr>
    </w:p>
    <w:p w14:paraId="5772E774" w14:textId="77777777" w:rsidR="00391ADA" w:rsidRDefault="00391ADA" w:rsidP="009C3999">
      <w:pPr>
        <w:spacing w:line="360" w:lineRule="auto"/>
        <w:jc w:val="both"/>
        <w:rPr>
          <w:rFonts w:ascii="Arial" w:hAnsi="Arial" w:cs="Arial"/>
          <w:b/>
          <w:bCs/>
          <w:sz w:val="22"/>
          <w:szCs w:val="22"/>
        </w:rPr>
      </w:pPr>
    </w:p>
    <w:p w14:paraId="4C52B315" w14:textId="77777777" w:rsidR="00391ADA" w:rsidRDefault="00391ADA" w:rsidP="009C3999">
      <w:pPr>
        <w:spacing w:line="360" w:lineRule="auto"/>
        <w:jc w:val="both"/>
        <w:rPr>
          <w:rFonts w:ascii="Arial" w:hAnsi="Arial" w:cs="Arial"/>
          <w:b/>
          <w:bCs/>
          <w:sz w:val="22"/>
          <w:szCs w:val="22"/>
        </w:rPr>
      </w:pPr>
    </w:p>
    <w:p w14:paraId="3DDA30ED" w14:textId="6E263F2E"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CONCLUSION</w:t>
      </w:r>
    </w:p>
    <w:p w14:paraId="7693CD56"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This report has evaluated the importance of person-centred care (PCC) and partnership working (PW) within dementia care homes, demonstrating how both approaches contribute to delivering high-quality, holistic care. It has shown that PCC promotes dignity, autonomy, and individualised support by recognising residents as people with unique needs, values, and life experiences rather than focusing solely on their diagnosis. The report also highlighted how partnership working enables professionals, families, and residents to collaborate in developing coordinated care that improves continuity and supports better outcomes.</w:t>
      </w:r>
    </w:p>
    <w:p w14:paraId="1F3942E5"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The critical analysis of Alderfer's ERG Theory demonstrated that, although it provides a useful framework for understanding the physical, social, and emotional needs of individuals, it should be used alongside dementia-specific approaches that address communication difficulties, personhood, and cognitive decline. The report also demonstrated that ethical principles and legislation, including the Care Act 2014 and the Mental Capacity Act 2005, provide an essential framework for balancing individual autonomy with safeguarding responsibilities.</w:t>
      </w:r>
    </w:p>
    <w:p w14:paraId="72C81F55"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Overall, the findings suggest that effective dementia care depends upon skilled professionals, collaborative partnerships, and consistent application of person-centred principles. Continued investment in dementia-specific training, stronger multidisciplinary communication, and greater use of digital technologies will support more personalised, coordinated, and responsive care, ensuring people living with dementia remain central to all decisions affecting their health and wellbeing.</w:t>
      </w:r>
    </w:p>
    <w:p w14:paraId="3B8833CA" w14:textId="77777777" w:rsidR="000417E4" w:rsidRPr="00382332" w:rsidRDefault="000417E4" w:rsidP="009C3999">
      <w:pPr>
        <w:spacing w:line="360" w:lineRule="auto"/>
        <w:jc w:val="both"/>
        <w:rPr>
          <w:rFonts w:ascii="Arial" w:hAnsi="Arial" w:cs="Arial"/>
          <w:b/>
          <w:bCs/>
          <w:sz w:val="22"/>
          <w:szCs w:val="22"/>
        </w:rPr>
      </w:pPr>
    </w:p>
    <w:p w14:paraId="37F97580" w14:textId="77777777" w:rsidR="000417E4" w:rsidRPr="00382332" w:rsidRDefault="000417E4" w:rsidP="009C3999">
      <w:pPr>
        <w:spacing w:line="360" w:lineRule="auto"/>
        <w:jc w:val="both"/>
        <w:rPr>
          <w:rFonts w:ascii="Arial" w:hAnsi="Arial" w:cs="Arial"/>
          <w:b/>
          <w:bCs/>
          <w:sz w:val="22"/>
          <w:szCs w:val="22"/>
        </w:rPr>
      </w:pPr>
    </w:p>
    <w:p w14:paraId="21781147" w14:textId="77777777" w:rsidR="000417E4" w:rsidRPr="00382332" w:rsidRDefault="000417E4" w:rsidP="009C3999">
      <w:pPr>
        <w:spacing w:line="360" w:lineRule="auto"/>
        <w:jc w:val="both"/>
        <w:rPr>
          <w:rFonts w:ascii="Arial" w:hAnsi="Arial" w:cs="Arial"/>
          <w:b/>
          <w:bCs/>
          <w:sz w:val="22"/>
          <w:szCs w:val="22"/>
        </w:rPr>
      </w:pPr>
    </w:p>
    <w:p w14:paraId="075BF991" w14:textId="77777777" w:rsidR="000417E4" w:rsidRPr="00382332" w:rsidRDefault="000417E4" w:rsidP="009C3999">
      <w:pPr>
        <w:spacing w:line="360" w:lineRule="auto"/>
        <w:jc w:val="both"/>
        <w:rPr>
          <w:rFonts w:ascii="Arial" w:hAnsi="Arial" w:cs="Arial"/>
          <w:b/>
          <w:bCs/>
          <w:sz w:val="22"/>
          <w:szCs w:val="22"/>
        </w:rPr>
      </w:pPr>
    </w:p>
    <w:p w14:paraId="06A0F01B" w14:textId="77777777" w:rsidR="000417E4" w:rsidRPr="00382332" w:rsidRDefault="000417E4" w:rsidP="009C3999">
      <w:pPr>
        <w:spacing w:line="360" w:lineRule="auto"/>
        <w:jc w:val="both"/>
        <w:rPr>
          <w:rFonts w:ascii="Arial" w:hAnsi="Arial" w:cs="Arial"/>
          <w:b/>
          <w:bCs/>
          <w:sz w:val="22"/>
          <w:szCs w:val="22"/>
        </w:rPr>
      </w:pPr>
    </w:p>
    <w:p w14:paraId="00252B71" w14:textId="77777777" w:rsidR="000417E4" w:rsidRPr="00382332" w:rsidRDefault="000417E4" w:rsidP="009C3999">
      <w:pPr>
        <w:spacing w:line="360" w:lineRule="auto"/>
        <w:jc w:val="both"/>
        <w:rPr>
          <w:rFonts w:ascii="Arial" w:hAnsi="Arial" w:cs="Arial"/>
          <w:b/>
          <w:bCs/>
          <w:sz w:val="22"/>
          <w:szCs w:val="22"/>
        </w:rPr>
      </w:pPr>
    </w:p>
    <w:p w14:paraId="7ACB0D26" w14:textId="77777777" w:rsidR="000417E4" w:rsidRPr="00382332" w:rsidRDefault="000417E4" w:rsidP="009C3999">
      <w:pPr>
        <w:spacing w:line="360" w:lineRule="auto"/>
        <w:jc w:val="both"/>
        <w:rPr>
          <w:rFonts w:ascii="Arial" w:hAnsi="Arial" w:cs="Arial"/>
          <w:b/>
          <w:bCs/>
          <w:sz w:val="22"/>
          <w:szCs w:val="22"/>
        </w:rPr>
      </w:pPr>
    </w:p>
    <w:p w14:paraId="3B1F0AED" w14:textId="77777777" w:rsidR="000417E4" w:rsidRPr="00382332" w:rsidRDefault="000417E4" w:rsidP="009C3999">
      <w:pPr>
        <w:spacing w:line="360" w:lineRule="auto"/>
        <w:jc w:val="both"/>
        <w:rPr>
          <w:rFonts w:ascii="Arial" w:hAnsi="Arial" w:cs="Arial"/>
          <w:b/>
          <w:bCs/>
          <w:sz w:val="22"/>
          <w:szCs w:val="22"/>
        </w:rPr>
      </w:pPr>
    </w:p>
    <w:p w14:paraId="7188B771" w14:textId="77777777" w:rsidR="000417E4" w:rsidRPr="00382332" w:rsidRDefault="000417E4" w:rsidP="009C3999">
      <w:pPr>
        <w:spacing w:line="360" w:lineRule="auto"/>
        <w:jc w:val="both"/>
        <w:rPr>
          <w:rFonts w:ascii="Arial" w:hAnsi="Arial" w:cs="Arial"/>
          <w:b/>
          <w:bCs/>
          <w:sz w:val="22"/>
          <w:szCs w:val="22"/>
        </w:rPr>
      </w:pPr>
    </w:p>
    <w:p w14:paraId="4FC46CCA" w14:textId="77777777" w:rsidR="000417E4" w:rsidRPr="00382332" w:rsidRDefault="000417E4" w:rsidP="009C3999">
      <w:pPr>
        <w:spacing w:line="360" w:lineRule="auto"/>
        <w:jc w:val="both"/>
        <w:rPr>
          <w:rFonts w:ascii="Arial" w:hAnsi="Arial" w:cs="Arial"/>
          <w:b/>
          <w:bCs/>
          <w:sz w:val="22"/>
          <w:szCs w:val="22"/>
        </w:rPr>
      </w:pPr>
    </w:p>
    <w:p w14:paraId="598D27DE" w14:textId="77777777" w:rsidR="00391ADA" w:rsidRDefault="00391ADA" w:rsidP="009C3999">
      <w:pPr>
        <w:spacing w:line="360" w:lineRule="auto"/>
        <w:jc w:val="both"/>
        <w:rPr>
          <w:rFonts w:ascii="Arial" w:hAnsi="Arial" w:cs="Arial"/>
          <w:b/>
          <w:bCs/>
          <w:sz w:val="22"/>
          <w:szCs w:val="22"/>
        </w:rPr>
      </w:pPr>
    </w:p>
    <w:p w14:paraId="44B99208" w14:textId="1BAD11B6" w:rsidR="00562FE6" w:rsidRPr="00382332" w:rsidRDefault="00562FE6" w:rsidP="009C3999">
      <w:pPr>
        <w:spacing w:line="360" w:lineRule="auto"/>
        <w:jc w:val="both"/>
        <w:rPr>
          <w:rFonts w:ascii="Arial" w:hAnsi="Arial" w:cs="Arial"/>
          <w:b/>
          <w:bCs/>
          <w:sz w:val="22"/>
          <w:szCs w:val="22"/>
        </w:rPr>
      </w:pPr>
      <w:r w:rsidRPr="00382332">
        <w:rPr>
          <w:rFonts w:ascii="Arial" w:hAnsi="Arial" w:cs="Arial"/>
          <w:b/>
          <w:bCs/>
          <w:sz w:val="22"/>
          <w:szCs w:val="22"/>
        </w:rPr>
        <w:lastRenderedPageBreak/>
        <w:t>REFERENCE LIST</w:t>
      </w:r>
    </w:p>
    <w:p w14:paraId="7AAAB8F6" w14:textId="77777777" w:rsidR="005C2ED2" w:rsidRDefault="00562FE6" w:rsidP="009C3999">
      <w:pPr>
        <w:spacing w:line="360" w:lineRule="auto"/>
        <w:jc w:val="both"/>
        <w:rPr>
          <w:rFonts w:ascii="Arial" w:hAnsi="Arial" w:cs="Arial"/>
          <w:i/>
          <w:iCs/>
          <w:sz w:val="22"/>
          <w:szCs w:val="22"/>
        </w:rPr>
      </w:pPr>
      <w:r w:rsidRPr="00382332">
        <w:rPr>
          <w:rFonts w:ascii="Arial" w:hAnsi="Arial" w:cs="Arial"/>
          <w:sz w:val="22"/>
          <w:szCs w:val="22"/>
        </w:rPr>
        <w:t xml:space="preserve">Alderfer, C.P. (1969) ‘An empirical test of a new theory of human needs’, </w:t>
      </w:r>
      <w:r w:rsidRPr="00382332">
        <w:rPr>
          <w:rFonts w:ascii="Arial" w:hAnsi="Arial" w:cs="Arial"/>
          <w:i/>
          <w:iCs/>
          <w:sz w:val="22"/>
          <w:szCs w:val="22"/>
        </w:rPr>
        <w:t xml:space="preserve">Organizational </w:t>
      </w:r>
    </w:p>
    <w:p w14:paraId="1E2406DD" w14:textId="11AD6055" w:rsidR="00562FE6" w:rsidRPr="00382332" w:rsidRDefault="00562FE6" w:rsidP="009C3999">
      <w:pPr>
        <w:spacing w:line="360" w:lineRule="auto"/>
        <w:jc w:val="both"/>
        <w:rPr>
          <w:rFonts w:ascii="Arial" w:hAnsi="Arial" w:cs="Arial"/>
          <w:sz w:val="22"/>
          <w:szCs w:val="22"/>
        </w:rPr>
      </w:pPr>
      <w:r w:rsidRPr="00382332">
        <w:rPr>
          <w:rFonts w:ascii="Arial" w:hAnsi="Arial" w:cs="Arial"/>
          <w:i/>
          <w:iCs/>
          <w:sz w:val="22"/>
          <w:szCs w:val="22"/>
        </w:rPr>
        <w:t>Behavior</w:t>
      </w:r>
      <w:r w:rsidR="005536E5">
        <w:rPr>
          <w:rFonts w:ascii="Arial" w:hAnsi="Arial" w:cs="Arial"/>
          <w:i/>
          <w:iCs/>
          <w:sz w:val="22"/>
          <w:szCs w:val="22"/>
        </w:rPr>
        <w:t>.</w:t>
      </w:r>
      <w:r w:rsidRPr="00382332">
        <w:rPr>
          <w:rFonts w:ascii="Arial" w:hAnsi="Arial" w:cs="Arial"/>
          <w:i/>
          <w:iCs/>
          <w:sz w:val="22"/>
          <w:szCs w:val="22"/>
        </w:rPr>
        <w:t>and</w:t>
      </w:r>
      <w:r w:rsidR="005536E5">
        <w:rPr>
          <w:rFonts w:ascii="Arial" w:hAnsi="Arial" w:cs="Arial"/>
          <w:i/>
          <w:iCs/>
          <w:sz w:val="22"/>
          <w:szCs w:val="22"/>
        </w:rPr>
        <w:t>.</w:t>
      </w:r>
      <w:r w:rsidRPr="00382332">
        <w:rPr>
          <w:rFonts w:ascii="Arial" w:hAnsi="Arial" w:cs="Arial"/>
          <w:i/>
          <w:iCs/>
          <w:sz w:val="22"/>
          <w:szCs w:val="22"/>
        </w:rPr>
        <w:t>Human</w:t>
      </w:r>
      <w:r w:rsidR="005536E5">
        <w:rPr>
          <w:rFonts w:ascii="Arial" w:hAnsi="Arial" w:cs="Arial"/>
          <w:i/>
          <w:iCs/>
          <w:sz w:val="22"/>
          <w:szCs w:val="22"/>
        </w:rPr>
        <w:t>.</w:t>
      </w:r>
      <w:r w:rsidRPr="00382332">
        <w:rPr>
          <w:rFonts w:ascii="Arial" w:hAnsi="Arial" w:cs="Arial"/>
          <w:i/>
          <w:iCs/>
          <w:sz w:val="22"/>
          <w:szCs w:val="22"/>
        </w:rPr>
        <w:t>Performance</w:t>
      </w:r>
      <w:r w:rsidRPr="00382332">
        <w:rPr>
          <w:rFonts w:ascii="Arial" w:hAnsi="Arial" w:cs="Arial"/>
          <w:sz w:val="22"/>
          <w:szCs w:val="22"/>
        </w:rPr>
        <w:t xml:space="preserve">,4(2),pp.142–175.Available at: </w:t>
      </w:r>
      <w:hyperlink r:id="rId10" w:history="1">
        <w:r w:rsidRPr="00382332">
          <w:rPr>
            <w:rStyle w:val="Hyperlink"/>
            <w:rFonts w:ascii="Arial" w:hAnsi="Arial" w:cs="Arial"/>
            <w:sz w:val="22"/>
            <w:szCs w:val="22"/>
          </w:rPr>
          <w:t>https://doi.org/10.1016/0030-5073(69)90004-X</w:t>
        </w:r>
      </w:hyperlink>
      <w:r w:rsidRPr="00382332">
        <w:rPr>
          <w:rFonts w:ascii="Arial" w:hAnsi="Arial" w:cs="Arial"/>
          <w:sz w:val="22"/>
          <w:szCs w:val="22"/>
        </w:rPr>
        <w:t xml:space="preserve"> (Accessed: 9 July 2026).</w:t>
      </w:r>
    </w:p>
    <w:p w14:paraId="0184FA7A" w14:textId="6589D3CA" w:rsidR="00E649A1" w:rsidRPr="00382332" w:rsidRDefault="00E649A1" w:rsidP="009C3999">
      <w:pPr>
        <w:spacing w:line="360" w:lineRule="auto"/>
        <w:jc w:val="both"/>
        <w:rPr>
          <w:rFonts w:ascii="Arial" w:hAnsi="Arial" w:cs="Arial"/>
          <w:sz w:val="22"/>
          <w:szCs w:val="22"/>
        </w:rPr>
      </w:pPr>
      <w:r w:rsidRPr="00382332">
        <w:rPr>
          <w:rFonts w:ascii="Arial" w:hAnsi="Arial" w:cs="Arial"/>
          <w:sz w:val="22"/>
          <w:szCs w:val="22"/>
        </w:rPr>
        <w:t xml:space="preserve">Alzheimer's Society (2024) </w:t>
      </w:r>
      <w:r w:rsidRPr="00382332">
        <w:rPr>
          <w:rFonts w:ascii="Arial" w:hAnsi="Arial" w:cs="Arial"/>
          <w:i/>
          <w:iCs/>
          <w:sz w:val="22"/>
          <w:szCs w:val="22"/>
        </w:rPr>
        <w:t>Person-centred care for people with dementia</w:t>
      </w:r>
      <w:r w:rsidRPr="00382332">
        <w:rPr>
          <w:rFonts w:ascii="Arial" w:hAnsi="Arial" w:cs="Arial"/>
          <w:sz w:val="22"/>
          <w:szCs w:val="22"/>
        </w:rPr>
        <w:t xml:space="preserve">. Available at: </w:t>
      </w:r>
      <w:hyperlink r:id="rId11" w:history="1">
        <w:r w:rsidRPr="00382332">
          <w:rPr>
            <w:rStyle w:val="Hyperlink"/>
            <w:rFonts w:ascii="Arial" w:hAnsi="Arial" w:cs="Arial"/>
            <w:sz w:val="22"/>
            <w:szCs w:val="22"/>
          </w:rPr>
          <w:t>https://www.alzheimers.org.uk</w:t>
        </w:r>
      </w:hyperlink>
      <w:r w:rsidRPr="00382332">
        <w:rPr>
          <w:rFonts w:ascii="Arial" w:hAnsi="Arial" w:cs="Arial"/>
          <w:sz w:val="22"/>
          <w:szCs w:val="22"/>
        </w:rPr>
        <w:t xml:space="preserve"> (Accessed: 9 July 2026).</w:t>
      </w:r>
    </w:p>
    <w:p w14:paraId="6F7BF578" w14:textId="77777777" w:rsidR="00E649A1" w:rsidRPr="00382332" w:rsidRDefault="00E649A1" w:rsidP="009C3999">
      <w:pPr>
        <w:spacing w:line="360" w:lineRule="auto"/>
        <w:jc w:val="both"/>
        <w:rPr>
          <w:rFonts w:ascii="Arial" w:hAnsi="Arial" w:cs="Arial"/>
          <w:sz w:val="22"/>
          <w:szCs w:val="22"/>
        </w:rPr>
      </w:pPr>
    </w:p>
    <w:p w14:paraId="67280A79" w14:textId="15E0F228"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Brooker, D. (2007) </w:t>
      </w:r>
      <w:r w:rsidRPr="00382332">
        <w:rPr>
          <w:rFonts w:ascii="Arial" w:hAnsi="Arial" w:cs="Arial"/>
          <w:i/>
          <w:iCs/>
          <w:sz w:val="22"/>
          <w:szCs w:val="22"/>
        </w:rPr>
        <w:t>Person-Centred Dementia Care: Making Services Better</w:t>
      </w:r>
      <w:r w:rsidRPr="00382332">
        <w:rPr>
          <w:rFonts w:ascii="Arial" w:hAnsi="Arial" w:cs="Arial"/>
          <w:sz w:val="22"/>
          <w:szCs w:val="22"/>
        </w:rPr>
        <w:t>. London: Jessica Kingsley Publishers.</w:t>
      </w:r>
    </w:p>
    <w:p w14:paraId="0626BB06" w14:textId="1BF0A1A8"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Care Act 2014, c.23. London: The Stationery Office.</w:t>
      </w:r>
    </w:p>
    <w:p w14:paraId="16E17A59" w14:textId="1A789856"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Chenoweth, L., King, M.T., Jeon, Y.H., </w:t>
      </w:r>
      <w:proofErr w:type="spellStart"/>
      <w:r w:rsidRPr="00382332">
        <w:rPr>
          <w:rFonts w:ascii="Arial" w:hAnsi="Arial" w:cs="Arial"/>
          <w:sz w:val="22"/>
          <w:szCs w:val="22"/>
        </w:rPr>
        <w:t>Brodaty</w:t>
      </w:r>
      <w:proofErr w:type="spellEnd"/>
      <w:r w:rsidRPr="00382332">
        <w:rPr>
          <w:rFonts w:ascii="Arial" w:hAnsi="Arial" w:cs="Arial"/>
          <w:sz w:val="22"/>
          <w:szCs w:val="22"/>
        </w:rPr>
        <w:t>, H., Stein-</w:t>
      </w:r>
      <w:proofErr w:type="spellStart"/>
      <w:r w:rsidRPr="00382332">
        <w:rPr>
          <w:rFonts w:ascii="Arial" w:hAnsi="Arial" w:cs="Arial"/>
          <w:sz w:val="22"/>
          <w:szCs w:val="22"/>
        </w:rPr>
        <w:t>Parbury</w:t>
      </w:r>
      <w:proofErr w:type="spellEnd"/>
      <w:r w:rsidRPr="00382332">
        <w:rPr>
          <w:rFonts w:ascii="Arial" w:hAnsi="Arial" w:cs="Arial"/>
          <w:sz w:val="22"/>
          <w:szCs w:val="22"/>
        </w:rPr>
        <w:t xml:space="preserve">, J., Norman, R., Haas, M. and Luscombe, G. (2009) ‘Caring for Aged Dementia Care Resident Study (CADRES): A cluster randomised trial of person-centred care, dementia-care mapping and usual care’, </w:t>
      </w:r>
      <w:r w:rsidRPr="00382332">
        <w:rPr>
          <w:rFonts w:ascii="Arial" w:hAnsi="Arial" w:cs="Arial"/>
          <w:i/>
          <w:iCs/>
          <w:sz w:val="22"/>
          <w:szCs w:val="22"/>
        </w:rPr>
        <w:t>The Lancet Neurology</w:t>
      </w:r>
      <w:r w:rsidRPr="00382332">
        <w:rPr>
          <w:rFonts w:ascii="Arial" w:hAnsi="Arial" w:cs="Arial"/>
          <w:sz w:val="22"/>
          <w:szCs w:val="22"/>
        </w:rPr>
        <w:t>, 8(4), pp. 317–325.</w:t>
      </w:r>
    </w:p>
    <w:p w14:paraId="318DAD30" w14:textId="15871A3D" w:rsidR="00E649A1" w:rsidRPr="00382332" w:rsidRDefault="00E649A1" w:rsidP="009C3999">
      <w:pPr>
        <w:spacing w:line="360" w:lineRule="auto"/>
        <w:jc w:val="both"/>
        <w:rPr>
          <w:rFonts w:ascii="Arial" w:hAnsi="Arial" w:cs="Arial"/>
          <w:sz w:val="22"/>
          <w:szCs w:val="22"/>
        </w:rPr>
      </w:pPr>
      <w:r w:rsidRPr="00382332">
        <w:rPr>
          <w:rFonts w:ascii="Arial" w:hAnsi="Arial" w:cs="Arial"/>
          <w:sz w:val="22"/>
          <w:szCs w:val="22"/>
        </w:rPr>
        <w:t xml:space="preserve">Department for Constitutional Affairs (2007) </w:t>
      </w:r>
      <w:r w:rsidRPr="00382332">
        <w:rPr>
          <w:rFonts w:ascii="Arial" w:hAnsi="Arial" w:cs="Arial"/>
          <w:i/>
          <w:iCs/>
          <w:sz w:val="22"/>
          <w:szCs w:val="22"/>
        </w:rPr>
        <w:t>Mental Capacity Act 2005: Code of Practice</w:t>
      </w:r>
      <w:r w:rsidRPr="00382332">
        <w:rPr>
          <w:rFonts w:ascii="Arial" w:hAnsi="Arial" w:cs="Arial"/>
          <w:sz w:val="22"/>
          <w:szCs w:val="22"/>
        </w:rPr>
        <w:t xml:space="preserve">. </w:t>
      </w:r>
      <w:proofErr w:type="spellStart"/>
      <w:r w:rsidRPr="00382332">
        <w:rPr>
          <w:rFonts w:ascii="Arial" w:hAnsi="Arial" w:cs="Arial"/>
          <w:sz w:val="22"/>
          <w:szCs w:val="22"/>
        </w:rPr>
        <w:t>London:The</w:t>
      </w:r>
      <w:r w:rsidR="00FD0D8E">
        <w:rPr>
          <w:rFonts w:ascii="Arial" w:hAnsi="Arial" w:cs="Arial"/>
          <w:sz w:val="22"/>
          <w:szCs w:val="22"/>
        </w:rPr>
        <w:t>,</w:t>
      </w:r>
      <w:r w:rsidRPr="00382332">
        <w:rPr>
          <w:rFonts w:ascii="Arial" w:hAnsi="Arial" w:cs="Arial"/>
          <w:sz w:val="22"/>
          <w:szCs w:val="22"/>
        </w:rPr>
        <w:t>tationery</w:t>
      </w:r>
      <w:r w:rsidR="00522565">
        <w:rPr>
          <w:rFonts w:ascii="Arial" w:hAnsi="Arial" w:cs="Arial"/>
          <w:sz w:val="22"/>
          <w:szCs w:val="22"/>
        </w:rPr>
        <w:t>.</w:t>
      </w:r>
      <w:r w:rsidRPr="00382332">
        <w:rPr>
          <w:rFonts w:ascii="Arial" w:hAnsi="Arial" w:cs="Arial"/>
          <w:sz w:val="22"/>
          <w:szCs w:val="22"/>
        </w:rPr>
        <w:t>Office.Available</w:t>
      </w:r>
      <w:r w:rsidR="00522565">
        <w:rPr>
          <w:rFonts w:ascii="Arial" w:hAnsi="Arial" w:cs="Arial"/>
          <w:sz w:val="22"/>
          <w:szCs w:val="22"/>
        </w:rPr>
        <w:t>,</w:t>
      </w:r>
      <w:r w:rsidRPr="00CB7903">
        <w:rPr>
          <w:rFonts w:ascii="Arial" w:hAnsi="Arial" w:cs="Arial"/>
          <w:i/>
          <w:iCs/>
          <w:sz w:val="22"/>
          <w:szCs w:val="22"/>
        </w:rPr>
        <w:t>at</w:t>
      </w:r>
      <w:proofErr w:type="spellEnd"/>
      <w:r w:rsidRPr="00CB7903">
        <w:rPr>
          <w:rFonts w:ascii="Arial" w:hAnsi="Arial" w:cs="Arial"/>
          <w:i/>
          <w:iCs/>
          <w:sz w:val="22"/>
          <w:szCs w:val="22"/>
        </w:rPr>
        <w:t>:</w:t>
      </w:r>
      <w:r w:rsidRPr="00382332">
        <w:rPr>
          <w:rFonts w:ascii="Arial" w:hAnsi="Arial" w:cs="Arial"/>
          <w:sz w:val="22"/>
          <w:szCs w:val="22"/>
        </w:rPr>
        <w:t xml:space="preserve"> </w:t>
      </w:r>
      <w:hyperlink r:id="rId12" w:tgtFrame="_new" w:history="1">
        <w:r w:rsidRPr="00382332">
          <w:rPr>
            <w:rStyle w:val="Hyperlink"/>
            <w:rFonts w:ascii="Arial" w:hAnsi="Arial" w:cs="Arial"/>
            <w:sz w:val="22"/>
            <w:szCs w:val="22"/>
          </w:rPr>
          <w:t>https://www.gov.uk/government/publications/mental-capacity-act-code-of-practice</w:t>
        </w:r>
      </w:hyperlink>
      <w:r w:rsidRPr="00382332">
        <w:rPr>
          <w:rFonts w:ascii="Arial" w:hAnsi="Arial" w:cs="Arial"/>
          <w:sz w:val="22"/>
          <w:szCs w:val="22"/>
        </w:rPr>
        <w:t xml:space="preserve"> (Accessed: 12 July 2026).</w:t>
      </w:r>
    </w:p>
    <w:p w14:paraId="1B846D16" w14:textId="5B3E46A8" w:rsidR="007141A0" w:rsidRPr="00E16763" w:rsidRDefault="007141A0" w:rsidP="009C3999">
      <w:pPr>
        <w:spacing w:line="360" w:lineRule="auto"/>
        <w:jc w:val="both"/>
        <w:rPr>
          <w:rFonts w:ascii="Arial" w:hAnsi="Arial" w:cs="Arial"/>
          <w:sz w:val="22"/>
          <w:szCs w:val="22"/>
        </w:rPr>
      </w:pPr>
      <w:r w:rsidRPr="00382332">
        <w:rPr>
          <w:rFonts w:ascii="Arial" w:hAnsi="Arial" w:cs="Arial"/>
          <w:sz w:val="22"/>
          <w:szCs w:val="22"/>
        </w:rPr>
        <w:t xml:space="preserve">Equality Act 2010, c. 15. Available at: </w:t>
      </w:r>
      <w:hyperlink r:id="rId13" w:tgtFrame="_new" w:history="1">
        <w:r w:rsidRPr="00382332">
          <w:rPr>
            <w:rStyle w:val="Hyperlink"/>
            <w:rFonts w:ascii="Arial" w:hAnsi="Arial" w:cs="Arial"/>
            <w:sz w:val="22"/>
            <w:szCs w:val="22"/>
          </w:rPr>
          <w:t>https://www.legislation.gov.uk/ukpga/2010/15/contents</w:t>
        </w:r>
      </w:hyperlink>
      <w:r w:rsidRPr="00382332">
        <w:rPr>
          <w:rFonts w:ascii="Arial" w:hAnsi="Arial" w:cs="Arial"/>
          <w:sz w:val="22"/>
          <w:szCs w:val="22"/>
        </w:rPr>
        <w:t xml:space="preserve"> (Accessed: 5 July 2026).</w:t>
      </w:r>
    </w:p>
    <w:p w14:paraId="335A7D2C" w14:textId="5274681E" w:rsidR="00E649A1" w:rsidRPr="00382332" w:rsidRDefault="00E16763" w:rsidP="009C3999">
      <w:pPr>
        <w:spacing w:line="360" w:lineRule="auto"/>
        <w:jc w:val="both"/>
        <w:rPr>
          <w:rFonts w:ascii="Arial" w:hAnsi="Arial" w:cs="Arial"/>
          <w:sz w:val="22"/>
          <w:szCs w:val="22"/>
        </w:rPr>
      </w:pPr>
      <w:r w:rsidRPr="00E16763">
        <w:rPr>
          <w:rFonts w:ascii="Arial" w:hAnsi="Arial" w:cs="Arial"/>
          <w:sz w:val="22"/>
          <w:szCs w:val="22"/>
        </w:rPr>
        <w:t>Human</w:t>
      </w:r>
      <w:r w:rsidR="00522565">
        <w:rPr>
          <w:rFonts w:ascii="Arial" w:hAnsi="Arial" w:cs="Arial"/>
          <w:sz w:val="22"/>
          <w:szCs w:val="22"/>
        </w:rPr>
        <w:t>,</w:t>
      </w:r>
      <w:r w:rsidRPr="00E16763">
        <w:rPr>
          <w:rFonts w:ascii="Arial" w:hAnsi="Arial" w:cs="Arial"/>
          <w:sz w:val="22"/>
          <w:szCs w:val="22"/>
        </w:rPr>
        <w:t>right</w:t>
      </w:r>
      <w:r w:rsidR="00522565">
        <w:rPr>
          <w:rFonts w:ascii="Arial" w:hAnsi="Arial" w:cs="Arial"/>
          <w:sz w:val="22"/>
          <w:szCs w:val="22"/>
        </w:rPr>
        <w:t>,</w:t>
      </w:r>
      <w:r w:rsidRPr="00E16763">
        <w:rPr>
          <w:rFonts w:ascii="Arial" w:hAnsi="Arial" w:cs="Arial"/>
          <w:sz w:val="22"/>
          <w:szCs w:val="22"/>
        </w:rPr>
        <w:t>Act</w:t>
      </w:r>
      <w:r w:rsidR="00522565">
        <w:rPr>
          <w:rFonts w:ascii="Arial" w:hAnsi="Arial" w:cs="Arial"/>
          <w:sz w:val="22"/>
          <w:szCs w:val="22"/>
        </w:rPr>
        <w:t>.</w:t>
      </w:r>
      <w:r w:rsidR="00E649A1" w:rsidRPr="00E16763">
        <w:rPr>
          <w:rFonts w:ascii="Arial" w:hAnsi="Arial" w:cs="Arial"/>
          <w:sz w:val="22"/>
          <w:szCs w:val="22"/>
        </w:rPr>
        <w:t>1998,c.42.Available</w:t>
      </w:r>
      <w:r w:rsidR="00BE3693">
        <w:rPr>
          <w:rFonts w:ascii="Arial" w:hAnsi="Arial" w:cs="Arial"/>
          <w:sz w:val="22"/>
          <w:szCs w:val="22"/>
        </w:rPr>
        <w:t>,</w:t>
      </w:r>
      <w:r w:rsidR="00E649A1" w:rsidRPr="00E16763">
        <w:rPr>
          <w:rFonts w:ascii="Arial" w:hAnsi="Arial" w:cs="Arial"/>
          <w:i/>
          <w:iCs/>
          <w:sz w:val="22"/>
          <w:szCs w:val="22"/>
        </w:rPr>
        <w:t xml:space="preserve">at: </w:t>
      </w:r>
      <w:hyperlink r:id="rId14" w:tgtFrame="_new" w:history="1">
        <w:r w:rsidR="00E649A1" w:rsidRPr="00382332">
          <w:rPr>
            <w:rStyle w:val="Hyperlink"/>
            <w:rFonts w:ascii="Arial" w:hAnsi="Arial" w:cs="Arial"/>
            <w:sz w:val="22"/>
            <w:szCs w:val="22"/>
          </w:rPr>
          <w:t>https://www.legislation.gov.uk/ukpga/1998/42/contents</w:t>
        </w:r>
      </w:hyperlink>
      <w:r w:rsidR="00E649A1" w:rsidRPr="00382332">
        <w:rPr>
          <w:rFonts w:ascii="Arial" w:hAnsi="Arial" w:cs="Arial"/>
          <w:sz w:val="22"/>
          <w:szCs w:val="22"/>
        </w:rPr>
        <w:t xml:space="preserve"> (Accessed: </w:t>
      </w:r>
      <w:r w:rsidR="007141A0" w:rsidRPr="00382332">
        <w:rPr>
          <w:rFonts w:ascii="Arial" w:hAnsi="Arial" w:cs="Arial"/>
          <w:sz w:val="22"/>
          <w:szCs w:val="22"/>
        </w:rPr>
        <w:t xml:space="preserve">4 </w:t>
      </w:r>
      <w:r w:rsidR="00E649A1" w:rsidRPr="00382332">
        <w:rPr>
          <w:rFonts w:ascii="Arial" w:hAnsi="Arial" w:cs="Arial"/>
          <w:sz w:val="22"/>
          <w:szCs w:val="22"/>
        </w:rPr>
        <w:t>July 2026).</w:t>
      </w:r>
    </w:p>
    <w:p w14:paraId="436FC860"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Hibbard, J.H. and Greene, J. (2013) ‘What the evidence shows about patient activation: Better health outcomes and care experiences; fewer data on costs’, </w:t>
      </w:r>
      <w:r w:rsidRPr="00382332">
        <w:rPr>
          <w:rFonts w:ascii="Arial" w:hAnsi="Arial" w:cs="Arial"/>
          <w:i/>
          <w:iCs/>
          <w:sz w:val="22"/>
          <w:szCs w:val="22"/>
        </w:rPr>
        <w:t>Health Affairs</w:t>
      </w:r>
      <w:r w:rsidRPr="00382332">
        <w:rPr>
          <w:rFonts w:ascii="Arial" w:hAnsi="Arial" w:cs="Arial"/>
          <w:sz w:val="22"/>
          <w:szCs w:val="22"/>
        </w:rPr>
        <w:t xml:space="preserve">, 32(2), pp. 207–214. Available at: </w:t>
      </w:r>
      <w:hyperlink r:id="rId15" w:history="1">
        <w:r w:rsidRPr="00382332">
          <w:rPr>
            <w:rStyle w:val="Hyperlink"/>
            <w:rFonts w:ascii="Arial" w:hAnsi="Arial" w:cs="Arial"/>
            <w:sz w:val="22"/>
            <w:szCs w:val="22"/>
          </w:rPr>
          <w:t>https://doi.org/10.1377/hlthaff.2012.1061</w:t>
        </w:r>
      </w:hyperlink>
      <w:r w:rsidRPr="00382332">
        <w:rPr>
          <w:rFonts w:ascii="Arial" w:hAnsi="Arial" w:cs="Arial"/>
          <w:sz w:val="22"/>
          <w:szCs w:val="22"/>
        </w:rPr>
        <w:t xml:space="preserve"> (Accessed: 9 July 2026).</w:t>
      </w:r>
    </w:p>
    <w:p w14:paraId="3266ED68" w14:textId="18DAA648" w:rsidR="00562FE6" w:rsidRPr="00382332" w:rsidRDefault="007141A0" w:rsidP="009C3999">
      <w:pPr>
        <w:spacing w:line="360" w:lineRule="auto"/>
        <w:jc w:val="both"/>
        <w:rPr>
          <w:rFonts w:ascii="Arial" w:hAnsi="Arial" w:cs="Arial"/>
          <w:sz w:val="22"/>
          <w:szCs w:val="22"/>
        </w:rPr>
      </w:pPr>
      <w:r w:rsidRPr="00382332">
        <w:rPr>
          <w:rFonts w:ascii="Arial" w:hAnsi="Arial" w:cs="Arial"/>
          <w:sz w:val="22"/>
          <w:szCs w:val="22"/>
        </w:rPr>
        <w:t xml:space="preserve">Equality Act 2010, c. 15. Available at: </w:t>
      </w:r>
      <w:hyperlink r:id="rId16" w:tgtFrame="_new" w:history="1">
        <w:r w:rsidRPr="00382332">
          <w:rPr>
            <w:rStyle w:val="Hyperlink"/>
            <w:rFonts w:ascii="Arial" w:hAnsi="Arial" w:cs="Arial"/>
            <w:sz w:val="22"/>
            <w:szCs w:val="22"/>
          </w:rPr>
          <w:t>https://www.legislation.gov.uk/ukpga/2010/15/contents</w:t>
        </w:r>
      </w:hyperlink>
      <w:r w:rsidRPr="00382332">
        <w:rPr>
          <w:rFonts w:ascii="Arial" w:hAnsi="Arial" w:cs="Arial"/>
          <w:sz w:val="22"/>
          <w:szCs w:val="22"/>
        </w:rPr>
        <w:t xml:space="preserve"> (Accessed: 12 July 2026).</w:t>
      </w:r>
    </w:p>
    <w:p w14:paraId="31AE8327"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Kitwood, T. (1997) </w:t>
      </w:r>
      <w:r w:rsidRPr="00382332">
        <w:rPr>
          <w:rFonts w:ascii="Arial" w:hAnsi="Arial" w:cs="Arial"/>
          <w:i/>
          <w:iCs/>
          <w:sz w:val="22"/>
          <w:szCs w:val="22"/>
        </w:rPr>
        <w:t>Dementia Reconsidered: The Person Comes First</w:t>
      </w:r>
      <w:r w:rsidRPr="00382332">
        <w:rPr>
          <w:rFonts w:ascii="Arial" w:hAnsi="Arial" w:cs="Arial"/>
          <w:sz w:val="22"/>
          <w:szCs w:val="22"/>
        </w:rPr>
        <w:t>. Buckingham: Open University Press.</w:t>
      </w:r>
    </w:p>
    <w:p w14:paraId="0EEA36E1" w14:textId="123A8FB4"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lastRenderedPageBreak/>
        <w:t xml:space="preserve">National Institute for Health and Care Excellence (2018, updated 2024) </w:t>
      </w:r>
      <w:r w:rsidRPr="00382332">
        <w:rPr>
          <w:rFonts w:ascii="Arial" w:hAnsi="Arial" w:cs="Arial"/>
          <w:i/>
          <w:iCs/>
          <w:sz w:val="22"/>
          <w:szCs w:val="22"/>
        </w:rPr>
        <w:t>Dementia: Assessment, management and support for people living with dementia and their carers (NG97).</w:t>
      </w:r>
      <w:r w:rsidRPr="00382332">
        <w:rPr>
          <w:rFonts w:ascii="Arial" w:hAnsi="Arial" w:cs="Arial"/>
          <w:sz w:val="22"/>
          <w:szCs w:val="22"/>
        </w:rPr>
        <w:t xml:space="preserve"> Available at: </w:t>
      </w:r>
      <w:hyperlink r:id="rId17" w:history="1">
        <w:r w:rsidRPr="00382332">
          <w:rPr>
            <w:rStyle w:val="Hyperlink"/>
            <w:rFonts w:ascii="Arial" w:hAnsi="Arial" w:cs="Arial"/>
            <w:sz w:val="22"/>
            <w:szCs w:val="22"/>
          </w:rPr>
          <w:t>https://www.nice.org.uk/guidance/ng97</w:t>
        </w:r>
      </w:hyperlink>
      <w:r w:rsidRPr="00382332">
        <w:rPr>
          <w:rFonts w:ascii="Arial" w:hAnsi="Arial" w:cs="Arial"/>
          <w:sz w:val="22"/>
          <w:szCs w:val="22"/>
        </w:rPr>
        <w:t xml:space="preserve"> (Accessed: </w:t>
      </w:r>
      <w:r w:rsidR="00E649A1" w:rsidRPr="00382332">
        <w:rPr>
          <w:rFonts w:ascii="Arial" w:hAnsi="Arial" w:cs="Arial"/>
          <w:sz w:val="22"/>
          <w:szCs w:val="22"/>
        </w:rPr>
        <w:t>7</w:t>
      </w:r>
      <w:r w:rsidRPr="00382332">
        <w:rPr>
          <w:rFonts w:ascii="Arial" w:hAnsi="Arial" w:cs="Arial"/>
          <w:sz w:val="22"/>
          <w:szCs w:val="22"/>
        </w:rPr>
        <w:t xml:space="preserve"> July 2026).</w:t>
      </w:r>
    </w:p>
    <w:p w14:paraId="65383B9F" w14:textId="77777777" w:rsidR="00BE3693" w:rsidRDefault="00E649A1" w:rsidP="009C3999">
      <w:pPr>
        <w:spacing w:line="360" w:lineRule="auto"/>
        <w:jc w:val="both"/>
        <w:rPr>
          <w:rFonts w:ascii="Arial" w:hAnsi="Arial" w:cs="Arial"/>
          <w:sz w:val="22"/>
          <w:szCs w:val="22"/>
        </w:rPr>
      </w:pPr>
      <w:r w:rsidRPr="00382332">
        <w:rPr>
          <w:rFonts w:ascii="Arial" w:hAnsi="Arial" w:cs="Arial"/>
          <w:sz w:val="22"/>
          <w:szCs w:val="22"/>
        </w:rPr>
        <w:t xml:space="preserve">Department for Constitutional Affairs (2007) </w:t>
      </w:r>
      <w:r w:rsidRPr="00382332">
        <w:rPr>
          <w:rFonts w:ascii="Arial" w:hAnsi="Arial" w:cs="Arial"/>
          <w:i/>
          <w:iCs/>
          <w:sz w:val="22"/>
          <w:szCs w:val="22"/>
        </w:rPr>
        <w:t>Mental Capacity Act 2005: Code of Practice</w:t>
      </w:r>
      <w:r w:rsidRPr="00382332">
        <w:rPr>
          <w:rFonts w:ascii="Arial" w:hAnsi="Arial" w:cs="Arial"/>
          <w:sz w:val="22"/>
          <w:szCs w:val="22"/>
        </w:rPr>
        <w:t xml:space="preserve">. </w:t>
      </w:r>
      <w:proofErr w:type="spellStart"/>
      <w:r w:rsidRPr="00382332">
        <w:rPr>
          <w:rFonts w:ascii="Arial" w:hAnsi="Arial" w:cs="Arial"/>
          <w:sz w:val="22"/>
          <w:szCs w:val="22"/>
        </w:rPr>
        <w:t>London:The</w:t>
      </w:r>
      <w:r w:rsidR="00BE3693">
        <w:rPr>
          <w:rFonts w:ascii="Arial" w:hAnsi="Arial" w:cs="Arial"/>
          <w:sz w:val="22"/>
          <w:szCs w:val="22"/>
        </w:rPr>
        <w:t>,</w:t>
      </w:r>
      <w:r w:rsidRPr="00382332">
        <w:rPr>
          <w:rFonts w:ascii="Arial" w:hAnsi="Arial" w:cs="Arial"/>
          <w:sz w:val="22"/>
          <w:szCs w:val="22"/>
        </w:rPr>
        <w:t>tationery</w:t>
      </w:r>
      <w:r w:rsidR="00BE3693">
        <w:rPr>
          <w:rFonts w:ascii="Arial" w:hAnsi="Arial" w:cs="Arial"/>
          <w:sz w:val="22"/>
          <w:szCs w:val="22"/>
        </w:rPr>
        <w:t>,</w:t>
      </w:r>
      <w:r w:rsidRPr="00382332">
        <w:rPr>
          <w:rFonts w:ascii="Arial" w:hAnsi="Arial" w:cs="Arial"/>
          <w:sz w:val="22"/>
          <w:szCs w:val="22"/>
        </w:rPr>
        <w:t>Office.Available</w:t>
      </w:r>
      <w:proofErr w:type="spellEnd"/>
    </w:p>
    <w:p w14:paraId="2DE9D7D7" w14:textId="642E7480" w:rsidR="00E649A1" w:rsidRPr="00382332" w:rsidRDefault="00E649A1" w:rsidP="009C3999">
      <w:pPr>
        <w:spacing w:line="360" w:lineRule="auto"/>
        <w:jc w:val="both"/>
        <w:rPr>
          <w:rFonts w:ascii="Arial" w:hAnsi="Arial" w:cs="Arial"/>
          <w:sz w:val="22"/>
          <w:szCs w:val="22"/>
        </w:rPr>
      </w:pPr>
      <w:r w:rsidRPr="00382332">
        <w:rPr>
          <w:rFonts w:ascii="Arial" w:hAnsi="Arial" w:cs="Arial"/>
          <w:sz w:val="22"/>
          <w:szCs w:val="22"/>
        </w:rPr>
        <w:t xml:space="preserve">at: </w:t>
      </w:r>
      <w:hyperlink r:id="rId18" w:tgtFrame="_new" w:history="1">
        <w:r w:rsidRPr="00382332">
          <w:rPr>
            <w:rStyle w:val="Hyperlink"/>
            <w:rFonts w:ascii="Arial" w:hAnsi="Arial" w:cs="Arial"/>
            <w:sz w:val="22"/>
            <w:szCs w:val="22"/>
          </w:rPr>
          <w:t>https://www.gov.uk/government/publications/mental-capacity-act-code-of-practice</w:t>
        </w:r>
      </w:hyperlink>
      <w:r w:rsidRPr="00382332">
        <w:rPr>
          <w:rFonts w:ascii="Arial" w:hAnsi="Arial" w:cs="Arial"/>
          <w:sz w:val="22"/>
          <w:szCs w:val="22"/>
        </w:rPr>
        <w:t xml:space="preserve"> (Accessed: 12 July 2026).</w:t>
      </w:r>
    </w:p>
    <w:p w14:paraId="4A4802B2" w14:textId="77777777"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Skills for Care (2024) </w:t>
      </w:r>
      <w:r w:rsidRPr="00382332">
        <w:rPr>
          <w:rFonts w:ascii="Arial" w:hAnsi="Arial" w:cs="Arial"/>
          <w:i/>
          <w:iCs/>
          <w:sz w:val="22"/>
          <w:szCs w:val="22"/>
        </w:rPr>
        <w:t>Dementia</w:t>
      </w:r>
      <w:r w:rsidRPr="00382332">
        <w:rPr>
          <w:rFonts w:ascii="Arial" w:hAnsi="Arial" w:cs="Arial"/>
          <w:sz w:val="22"/>
          <w:szCs w:val="22"/>
        </w:rPr>
        <w:t xml:space="preserve">. Available at: </w:t>
      </w:r>
      <w:hyperlink r:id="rId19" w:history="1">
        <w:r w:rsidRPr="00382332">
          <w:rPr>
            <w:rStyle w:val="Hyperlink"/>
            <w:rFonts w:ascii="Arial" w:hAnsi="Arial" w:cs="Arial"/>
            <w:sz w:val="22"/>
            <w:szCs w:val="22"/>
          </w:rPr>
          <w:t>https://www.skillsforcare.org.uk</w:t>
        </w:r>
      </w:hyperlink>
      <w:r w:rsidRPr="00382332">
        <w:rPr>
          <w:rFonts w:ascii="Arial" w:hAnsi="Arial" w:cs="Arial"/>
          <w:sz w:val="22"/>
          <w:szCs w:val="22"/>
        </w:rPr>
        <w:t xml:space="preserve"> (Accessed: 9 July 2026).</w:t>
      </w:r>
    </w:p>
    <w:p w14:paraId="479C3FE7" w14:textId="1B02BE6C" w:rsidR="00562FE6" w:rsidRPr="00382332" w:rsidRDefault="00562FE6" w:rsidP="009C3999">
      <w:pPr>
        <w:spacing w:line="360" w:lineRule="auto"/>
        <w:jc w:val="both"/>
        <w:rPr>
          <w:rFonts w:ascii="Arial" w:hAnsi="Arial" w:cs="Arial"/>
          <w:sz w:val="22"/>
          <w:szCs w:val="22"/>
        </w:rPr>
      </w:pPr>
      <w:r w:rsidRPr="00382332">
        <w:rPr>
          <w:rFonts w:ascii="Arial" w:hAnsi="Arial" w:cs="Arial"/>
          <w:sz w:val="22"/>
          <w:szCs w:val="22"/>
        </w:rPr>
        <w:t xml:space="preserve">World Health Organization (2016) </w:t>
      </w:r>
      <w:r w:rsidRPr="00382332">
        <w:rPr>
          <w:rFonts w:ascii="Arial" w:hAnsi="Arial" w:cs="Arial"/>
          <w:i/>
          <w:iCs/>
          <w:sz w:val="22"/>
          <w:szCs w:val="22"/>
        </w:rPr>
        <w:t>Framework on integrated, people-centred health services</w:t>
      </w:r>
      <w:r w:rsidRPr="00382332">
        <w:rPr>
          <w:rFonts w:ascii="Arial" w:hAnsi="Arial" w:cs="Arial"/>
          <w:sz w:val="22"/>
          <w:szCs w:val="22"/>
        </w:rPr>
        <w:t xml:space="preserve">. Geneva: World Health Organization. Available at: </w:t>
      </w:r>
      <w:hyperlink r:id="rId20" w:history="1">
        <w:r w:rsidRPr="00382332">
          <w:rPr>
            <w:rStyle w:val="Hyperlink"/>
            <w:rFonts w:ascii="Arial" w:hAnsi="Arial" w:cs="Arial"/>
            <w:sz w:val="22"/>
            <w:szCs w:val="22"/>
          </w:rPr>
          <w:t>https://www.who.int/publications/i/item/9789241565276</w:t>
        </w:r>
      </w:hyperlink>
      <w:r w:rsidRPr="00382332">
        <w:rPr>
          <w:rFonts w:ascii="Arial" w:hAnsi="Arial" w:cs="Arial"/>
          <w:sz w:val="22"/>
          <w:szCs w:val="22"/>
        </w:rPr>
        <w:t xml:space="preserve"> (Accessed: </w:t>
      </w:r>
      <w:r w:rsidR="00E649A1" w:rsidRPr="00382332">
        <w:rPr>
          <w:rFonts w:ascii="Arial" w:hAnsi="Arial" w:cs="Arial"/>
          <w:sz w:val="22"/>
          <w:szCs w:val="22"/>
        </w:rPr>
        <w:t>5</w:t>
      </w:r>
      <w:r w:rsidRPr="00382332">
        <w:rPr>
          <w:rFonts w:ascii="Arial" w:hAnsi="Arial" w:cs="Arial"/>
          <w:sz w:val="22"/>
          <w:szCs w:val="22"/>
        </w:rPr>
        <w:t xml:space="preserve"> July 2026).</w:t>
      </w:r>
    </w:p>
    <w:p w14:paraId="15187A6D" w14:textId="77777777" w:rsidR="00562FE6" w:rsidRPr="00382332" w:rsidRDefault="00562FE6" w:rsidP="009C3999">
      <w:pPr>
        <w:spacing w:line="360" w:lineRule="auto"/>
        <w:jc w:val="both"/>
        <w:rPr>
          <w:rFonts w:ascii="Arial" w:hAnsi="Arial" w:cs="Arial"/>
          <w:sz w:val="22"/>
          <w:szCs w:val="22"/>
        </w:rPr>
      </w:pPr>
    </w:p>
    <w:sectPr w:rsidR="00562FE6" w:rsidRPr="00382332" w:rsidSect="00C75F80">
      <w:footerReference w:type="default" r:id="rId21"/>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DF201" w14:textId="77777777" w:rsidR="004600BC" w:rsidRDefault="004600BC" w:rsidP="00C75F80">
      <w:pPr>
        <w:spacing w:after="0" w:line="240" w:lineRule="auto"/>
      </w:pPr>
      <w:r>
        <w:separator/>
      </w:r>
    </w:p>
  </w:endnote>
  <w:endnote w:type="continuationSeparator" w:id="0">
    <w:p w14:paraId="4F242220" w14:textId="77777777" w:rsidR="004600BC" w:rsidRDefault="004600BC" w:rsidP="00C75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271539"/>
      <w:docPartObj>
        <w:docPartGallery w:val="Page Numbers (Bottom of Page)"/>
        <w:docPartUnique/>
      </w:docPartObj>
    </w:sdtPr>
    <w:sdtEndPr>
      <w:rPr>
        <w:noProof/>
      </w:rPr>
    </w:sdtEndPr>
    <w:sdtContent>
      <w:p w14:paraId="5683643F" w14:textId="2B2D6F97" w:rsidR="00C75F80" w:rsidRDefault="00C75F80">
        <w:pPr>
          <w:pStyle w:val="Footer"/>
          <w:jc w:val="right"/>
        </w:pPr>
        <w:r>
          <w:ptab w:relativeTo="indent" w:alignment="left" w:leader="none"/>
        </w:r>
        <w:r>
          <w:ptab w:relativeTo="indent" w:alignment="left" w:leader="none"/>
        </w:r>
        <w:r>
          <w:fldChar w:fldCharType="begin"/>
        </w:r>
        <w:r>
          <w:instrText xml:space="preserve"> PAGE   \* MERGEFORMAT </w:instrText>
        </w:r>
        <w:r>
          <w:fldChar w:fldCharType="separate"/>
        </w:r>
        <w:r>
          <w:rPr>
            <w:noProof/>
          </w:rPr>
          <w:t>2</w:t>
        </w:r>
        <w:r>
          <w:rPr>
            <w:noProof/>
          </w:rPr>
          <w:fldChar w:fldCharType="end"/>
        </w:r>
      </w:p>
    </w:sdtContent>
  </w:sdt>
  <w:p w14:paraId="760C5803" w14:textId="67519D57" w:rsidR="00C75F80" w:rsidRDefault="00C75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56AE5" w14:textId="77777777" w:rsidR="004600BC" w:rsidRDefault="004600BC" w:rsidP="00C75F80">
      <w:pPr>
        <w:spacing w:after="0" w:line="240" w:lineRule="auto"/>
      </w:pPr>
      <w:r>
        <w:separator/>
      </w:r>
    </w:p>
  </w:footnote>
  <w:footnote w:type="continuationSeparator" w:id="0">
    <w:p w14:paraId="63DAE92C" w14:textId="77777777" w:rsidR="004600BC" w:rsidRDefault="004600BC" w:rsidP="00C75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61A7F"/>
    <w:multiLevelType w:val="hybridMultilevel"/>
    <w:tmpl w:val="CC7AE9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3672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FE6"/>
    <w:rsid w:val="000129F5"/>
    <w:rsid w:val="000417E4"/>
    <w:rsid w:val="00203991"/>
    <w:rsid w:val="00207DFD"/>
    <w:rsid w:val="00265B11"/>
    <w:rsid w:val="0027263E"/>
    <w:rsid w:val="002D207A"/>
    <w:rsid w:val="00324BF5"/>
    <w:rsid w:val="00327F4F"/>
    <w:rsid w:val="00365D74"/>
    <w:rsid w:val="00382332"/>
    <w:rsid w:val="00391ADA"/>
    <w:rsid w:val="00402823"/>
    <w:rsid w:val="004600BC"/>
    <w:rsid w:val="00522565"/>
    <w:rsid w:val="005536E5"/>
    <w:rsid w:val="00562FE6"/>
    <w:rsid w:val="0058294C"/>
    <w:rsid w:val="005C2ED2"/>
    <w:rsid w:val="005F73F8"/>
    <w:rsid w:val="00612276"/>
    <w:rsid w:val="00692594"/>
    <w:rsid w:val="006F2C08"/>
    <w:rsid w:val="007141A0"/>
    <w:rsid w:val="00730004"/>
    <w:rsid w:val="00757CDC"/>
    <w:rsid w:val="007706C9"/>
    <w:rsid w:val="0083727A"/>
    <w:rsid w:val="00965D9D"/>
    <w:rsid w:val="009C3999"/>
    <w:rsid w:val="00B2266A"/>
    <w:rsid w:val="00B527EA"/>
    <w:rsid w:val="00B91955"/>
    <w:rsid w:val="00BD3091"/>
    <w:rsid w:val="00BE3693"/>
    <w:rsid w:val="00BE727C"/>
    <w:rsid w:val="00BE745A"/>
    <w:rsid w:val="00C25A23"/>
    <w:rsid w:val="00C75F80"/>
    <w:rsid w:val="00CB7903"/>
    <w:rsid w:val="00D81F34"/>
    <w:rsid w:val="00DC134F"/>
    <w:rsid w:val="00E16763"/>
    <w:rsid w:val="00E649A1"/>
    <w:rsid w:val="00E6514A"/>
    <w:rsid w:val="00F9542E"/>
    <w:rsid w:val="00F97D3F"/>
    <w:rsid w:val="00FA3523"/>
    <w:rsid w:val="00FB229E"/>
    <w:rsid w:val="00FD0D8E"/>
    <w:rsid w:val="199A385D"/>
    <w:rsid w:val="57F60AE8"/>
    <w:rsid w:val="756B37A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781C7"/>
  <w15:chartTrackingRefBased/>
  <w15:docId w15:val="{5D84B9DD-F6C5-4701-BA39-89854D756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F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2F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F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2F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2F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2F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F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F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F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F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2F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F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F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2F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2F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F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F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FE6"/>
    <w:rPr>
      <w:rFonts w:eastAsiaTheme="majorEastAsia" w:cstheme="majorBidi"/>
      <w:color w:val="272727" w:themeColor="text1" w:themeTint="D8"/>
    </w:rPr>
  </w:style>
  <w:style w:type="paragraph" w:styleId="Title">
    <w:name w:val="Title"/>
    <w:basedOn w:val="Normal"/>
    <w:next w:val="Normal"/>
    <w:link w:val="TitleChar"/>
    <w:uiPriority w:val="10"/>
    <w:qFormat/>
    <w:rsid w:val="00562F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F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F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F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FE6"/>
    <w:pPr>
      <w:spacing w:before="160"/>
      <w:jc w:val="center"/>
    </w:pPr>
    <w:rPr>
      <w:i/>
      <w:iCs/>
      <w:color w:val="404040" w:themeColor="text1" w:themeTint="BF"/>
    </w:rPr>
  </w:style>
  <w:style w:type="character" w:customStyle="1" w:styleId="QuoteChar">
    <w:name w:val="Quote Char"/>
    <w:basedOn w:val="DefaultParagraphFont"/>
    <w:link w:val="Quote"/>
    <w:uiPriority w:val="29"/>
    <w:rsid w:val="00562FE6"/>
    <w:rPr>
      <w:i/>
      <w:iCs/>
      <w:color w:val="404040" w:themeColor="text1" w:themeTint="BF"/>
    </w:rPr>
  </w:style>
  <w:style w:type="paragraph" w:styleId="ListParagraph">
    <w:name w:val="List Paragraph"/>
    <w:basedOn w:val="Normal"/>
    <w:uiPriority w:val="34"/>
    <w:qFormat/>
    <w:rsid w:val="00562FE6"/>
    <w:pPr>
      <w:ind w:left="720"/>
      <w:contextualSpacing/>
    </w:pPr>
  </w:style>
  <w:style w:type="character" w:styleId="IntenseEmphasis">
    <w:name w:val="Intense Emphasis"/>
    <w:basedOn w:val="DefaultParagraphFont"/>
    <w:uiPriority w:val="21"/>
    <w:qFormat/>
    <w:rsid w:val="00562FE6"/>
    <w:rPr>
      <w:i/>
      <w:iCs/>
      <w:color w:val="0F4761" w:themeColor="accent1" w:themeShade="BF"/>
    </w:rPr>
  </w:style>
  <w:style w:type="paragraph" w:styleId="IntenseQuote">
    <w:name w:val="Intense Quote"/>
    <w:basedOn w:val="Normal"/>
    <w:next w:val="Normal"/>
    <w:link w:val="IntenseQuoteChar"/>
    <w:uiPriority w:val="30"/>
    <w:qFormat/>
    <w:rsid w:val="00562F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FE6"/>
    <w:rPr>
      <w:i/>
      <w:iCs/>
      <w:color w:val="0F4761" w:themeColor="accent1" w:themeShade="BF"/>
    </w:rPr>
  </w:style>
  <w:style w:type="character" w:styleId="IntenseReference">
    <w:name w:val="Intense Reference"/>
    <w:basedOn w:val="DefaultParagraphFont"/>
    <w:uiPriority w:val="32"/>
    <w:qFormat/>
    <w:rsid w:val="00562FE6"/>
    <w:rPr>
      <w:b/>
      <w:bCs/>
      <w:smallCaps/>
      <w:color w:val="0F4761" w:themeColor="accent1" w:themeShade="BF"/>
      <w:spacing w:val="5"/>
    </w:rPr>
  </w:style>
  <w:style w:type="character" w:styleId="Hyperlink">
    <w:name w:val="Hyperlink"/>
    <w:basedOn w:val="DefaultParagraphFont"/>
    <w:uiPriority w:val="99"/>
    <w:unhideWhenUsed/>
    <w:rsid w:val="00562FE6"/>
    <w:rPr>
      <w:color w:val="467886" w:themeColor="hyperlink"/>
      <w:u w:val="single"/>
    </w:rPr>
  </w:style>
  <w:style w:type="character" w:styleId="UnresolvedMention">
    <w:name w:val="Unresolved Mention"/>
    <w:basedOn w:val="DefaultParagraphFont"/>
    <w:uiPriority w:val="99"/>
    <w:semiHidden/>
    <w:unhideWhenUsed/>
    <w:rsid w:val="00562FE6"/>
    <w:rPr>
      <w:color w:val="605E5C"/>
      <w:shd w:val="clear" w:color="auto" w:fill="E1DFDD"/>
    </w:rPr>
  </w:style>
  <w:style w:type="paragraph" w:styleId="Header">
    <w:name w:val="header"/>
    <w:basedOn w:val="Normal"/>
    <w:link w:val="HeaderChar"/>
    <w:uiPriority w:val="99"/>
    <w:unhideWhenUsed/>
    <w:rsid w:val="00C75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F80"/>
  </w:style>
  <w:style w:type="paragraph" w:styleId="Footer">
    <w:name w:val="footer"/>
    <w:basedOn w:val="Normal"/>
    <w:link w:val="FooterChar"/>
    <w:uiPriority w:val="99"/>
    <w:unhideWhenUsed/>
    <w:rsid w:val="00C75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F80"/>
  </w:style>
  <w:style w:type="paragraph" w:styleId="Revision">
    <w:name w:val="Revision"/>
    <w:hidden/>
    <w:uiPriority w:val="99"/>
    <w:semiHidden/>
    <w:rsid w:val="00C75F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18" Type="http://schemas.openxmlformats.org/officeDocument/2006/relationships/hyperlink" Target="https://www.gov.uk/government/publications/mental-capacity-act-code-of-pract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mental-capacity-act-code-of-practice" TargetMode="External"/><Relationship Id="rId17" Type="http://schemas.openxmlformats.org/officeDocument/2006/relationships/hyperlink" Target="https://www.nice.org.uk/guidance/ng97" TargetMode="Externa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hyperlink" Target="https://www.who.int/publications/i/item/978924156527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zheimers.org.uk/" TargetMode="External"/><Relationship Id="rId5" Type="http://schemas.openxmlformats.org/officeDocument/2006/relationships/styles" Target="styles.xml"/><Relationship Id="rId15" Type="http://schemas.openxmlformats.org/officeDocument/2006/relationships/hyperlink" Target="https://doi.org/10.1377/hlthaff.2012.1061" TargetMode="External"/><Relationship Id="rId23" Type="http://schemas.openxmlformats.org/officeDocument/2006/relationships/theme" Target="theme/theme1.xml"/><Relationship Id="rId10" Type="http://schemas.openxmlformats.org/officeDocument/2006/relationships/hyperlink" Target="https://doi.org/10.1016/0030-5073(69)90004-X" TargetMode="External"/><Relationship Id="rId19" Type="http://schemas.openxmlformats.org/officeDocument/2006/relationships/hyperlink" Target="https://www.skillsforcare.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98/42/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8" ma:contentTypeDescription="Create a new document." ma:contentTypeScope="" ma:versionID="44c810e51b0249a5b6dc11c5bc5070df">
  <xsd:schema xmlns:xsd="http://www.w3.org/2001/XMLSchema" xmlns:xs="http://www.w3.org/2001/XMLSchema" xmlns:p="http://schemas.microsoft.com/office/2006/metadata/properties" xmlns:ns3="1db24759-c936-4417-b43c-e7856b46dbfa" targetNamespace="http://schemas.microsoft.com/office/2006/metadata/properties" ma:root="true" ma:fieldsID="be0f50510c64eba6f8bacd6cc1f07de7"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AFC115-7870-498D-931B-D63EDA521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EB2890-FE97-43BF-838A-C1C2DAA2BF0F}">
  <ds:schemaRefs>
    <ds:schemaRef ds:uri="http://schemas.microsoft.com/sharepoint/v3/contenttype/forms"/>
  </ds:schemaRefs>
</ds:datastoreItem>
</file>

<file path=customXml/itemProps3.xml><?xml version="1.0" encoding="utf-8"?>
<ds:datastoreItem xmlns:ds="http://schemas.openxmlformats.org/officeDocument/2006/customXml" ds:itemID="{0D1E65B1-4E99-41BB-8B6B-3656CBB0FE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3110</Words>
  <Characters>17729</Characters>
  <Application>Microsoft Office Word</Application>
  <DocSecurity>0</DocSecurity>
  <Lines>147</Lines>
  <Paragraphs>41</Paragraphs>
  <ScaleCrop>false</ScaleCrop>
  <Company/>
  <LinksUpToDate>false</LinksUpToDate>
  <CharactersWithSpaces>20798</CharactersWithSpaces>
  <SharedDoc>false</SharedDoc>
  <HLinks>
    <vt:vector size="66" baseType="variant">
      <vt:variant>
        <vt:i4>1704007</vt:i4>
      </vt:variant>
      <vt:variant>
        <vt:i4>30</vt:i4>
      </vt:variant>
      <vt:variant>
        <vt:i4>0</vt:i4>
      </vt:variant>
      <vt:variant>
        <vt:i4>5</vt:i4>
      </vt:variant>
      <vt:variant>
        <vt:lpwstr>https://www.who.int/publications/i/item/9789241565276</vt:lpwstr>
      </vt:variant>
      <vt:variant>
        <vt:lpwstr/>
      </vt:variant>
      <vt:variant>
        <vt:i4>5963867</vt:i4>
      </vt:variant>
      <vt:variant>
        <vt:i4>27</vt:i4>
      </vt:variant>
      <vt:variant>
        <vt:i4>0</vt:i4>
      </vt:variant>
      <vt:variant>
        <vt:i4>5</vt:i4>
      </vt:variant>
      <vt:variant>
        <vt:lpwstr>https://www.skillsforcare.org.uk/</vt:lpwstr>
      </vt:variant>
      <vt:variant>
        <vt:lpwstr/>
      </vt:variant>
      <vt:variant>
        <vt:i4>4128870</vt:i4>
      </vt:variant>
      <vt:variant>
        <vt:i4>24</vt:i4>
      </vt:variant>
      <vt:variant>
        <vt:i4>0</vt:i4>
      </vt:variant>
      <vt:variant>
        <vt:i4>5</vt:i4>
      </vt:variant>
      <vt:variant>
        <vt:lpwstr>https://www.gov.uk/government/publications/mental-capacity-act-code-of-practice</vt:lpwstr>
      </vt:variant>
      <vt:variant>
        <vt:lpwstr/>
      </vt:variant>
      <vt:variant>
        <vt:i4>5963792</vt:i4>
      </vt:variant>
      <vt:variant>
        <vt:i4>21</vt:i4>
      </vt:variant>
      <vt:variant>
        <vt:i4>0</vt:i4>
      </vt:variant>
      <vt:variant>
        <vt:i4>5</vt:i4>
      </vt:variant>
      <vt:variant>
        <vt:lpwstr>https://www.nice.org.uk/guidance/ng97</vt:lpwstr>
      </vt:variant>
      <vt:variant>
        <vt:lpwstr/>
      </vt:variant>
      <vt:variant>
        <vt:i4>5636189</vt:i4>
      </vt:variant>
      <vt:variant>
        <vt:i4>18</vt:i4>
      </vt:variant>
      <vt:variant>
        <vt:i4>0</vt:i4>
      </vt:variant>
      <vt:variant>
        <vt:i4>5</vt:i4>
      </vt:variant>
      <vt:variant>
        <vt:lpwstr>https://www.legislation.gov.uk/ukpga/2010/15/contents</vt:lpwstr>
      </vt:variant>
      <vt:variant>
        <vt:lpwstr/>
      </vt:variant>
      <vt:variant>
        <vt:i4>6094936</vt:i4>
      </vt:variant>
      <vt:variant>
        <vt:i4>15</vt:i4>
      </vt:variant>
      <vt:variant>
        <vt:i4>0</vt:i4>
      </vt:variant>
      <vt:variant>
        <vt:i4>5</vt:i4>
      </vt:variant>
      <vt:variant>
        <vt:lpwstr>https://doi.org/10.1377/hlthaff.2012.1061</vt:lpwstr>
      </vt:variant>
      <vt:variant>
        <vt:lpwstr/>
      </vt:variant>
      <vt:variant>
        <vt:i4>5898329</vt:i4>
      </vt:variant>
      <vt:variant>
        <vt:i4>12</vt:i4>
      </vt:variant>
      <vt:variant>
        <vt:i4>0</vt:i4>
      </vt:variant>
      <vt:variant>
        <vt:i4>5</vt:i4>
      </vt:variant>
      <vt:variant>
        <vt:lpwstr>https://www.legislation.gov.uk/ukpga/1998/42/contents</vt:lpwstr>
      </vt:variant>
      <vt:variant>
        <vt:lpwstr/>
      </vt:variant>
      <vt:variant>
        <vt:i4>5636189</vt:i4>
      </vt:variant>
      <vt:variant>
        <vt:i4>9</vt:i4>
      </vt:variant>
      <vt:variant>
        <vt:i4>0</vt:i4>
      </vt:variant>
      <vt:variant>
        <vt:i4>5</vt:i4>
      </vt:variant>
      <vt:variant>
        <vt:lpwstr>https://www.legislation.gov.uk/ukpga/2010/15/contents</vt:lpwstr>
      </vt:variant>
      <vt:variant>
        <vt:lpwstr/>
      </vt:variant>
      <vt:variant>
        <vt:i4>4128870</vt:i4>
      </vt:variant>
      <vt:variant>
        <vt:i4>6</vt:i4>
      </vt:variant>
      <vt:variant>
        <vt:i4>0</vt:i4>
      </vt:variant>
      <vt:variant>
        <vt:i4>5</vt:i4>
      </vt:variant>
      <vt:variant>
        <vt:lpwstr>https://www.gov.uk/government/publications/mental-capacity-act-code-of-practice</vt:lpwstr>
      </vt:variant>
      <vt:variant>
        <vt:lpwstr/>
      </vt:variant>
      <vt:variant>
        <vt:i4>6357048</vt:i4>
      </vt:variant>
      <vt:variant>
        <vt:i4>3</vt:i4>
      </vt:variant>
      <vt:variant>
        <vt:i4>0</vt:i4>
      </vt:variant>
      <vt:variant>
        <vt:i4>5</vt:i4>
      </vt:variant>
      <vt:variant>
        <vt:lpwstr>https://www.alzheimers.org.uk/</vt:lpwstr>
      </vt:variant>
      <vt:variant>
        <vt:lpwstr/>
      </vt:variant>
      <vt:variant>
        <vt:i4>4456515</vt:i4>
      </vt:variant>
      <vt:variant>
        <vt:i4>0</vt:i4>
      </vt:variant>
      <vt:variant>
        <vt:i4>0</vt:i4>
      </vt:variant>
      <vt:variant>
        <vt:i4>5</vt:i4>
      </vt:variant>
      <vt:variant>
        <vt:lpwstr>https://doi.org/10.1016/0030-5073(69)90004-X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Jawaheer Atta (2236701)</dc:creator>
  <cp:keywords/>
  <dc:description/>
  <cp:lastModifiedBy>Jawaheer Atta (2236701)</cp:lastModifiedBy>
  <cp:revision>2</cp:revision>
  <dcterms:created xsi:type="dcterms:W3CDTF">2026-07-21T20:15:00Z</dcterms:created>
  <dcterms:modified xsi:type="dcterms:W3CDTF">2026-07-21T20:15:00Z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