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D2F" w:rsidRPr="00492D2F" w:rsidRDefault="00E76C9B" w:rsidP="008B3084">
      <w:pPr>
        <w:spacing w:line="360" w:lineRule="auto"/>
        <w:rPr>
          <w:rFonts w:ascii="Arial" w:eastAsia="Calibri" w:hAnsi="Arial" w:cs="Arial"/>
          <w:sz w:val="24"/>
          <w:szCs w:val="24"/>
        </w:rPr>
      </w:pPr>
      <w:r w:rsidRPr="007A11E9">
        <w:rPr>
          <w:rFonts w:ascii="Arial" w:eastAsia="Calibri" w:hAnsi="Arial" w:cs="Arial"/>
          <w:sz w:val="24"/>
          <w:szCs w:val="24"/>
        </w:rPr>
        <w:t>Society should</w:t>
      </w:r>
      <w:r w:rsidR="00492D2F" w:rsidRPr="00492D2F">
        <w:rPr>
          <w:rFonts w:ascii="Arial" w:eastAsia="Calibri" w:hAnsi="Arial" w:cs="Arial"/>
          <w:sz w:val="24"/>
          <w:szCs w:val="24"/>
        </w:rPr>
        <w:t xml:space="preserve"> acknowledge the fact, that eve</w:t>
      </w:r>
      <w:r w:rsidRPr="007A11E9">
        <w:rPr>
          <w:rFonts w:ascii="Arial" w:eastAsia="Calibri" w:hAnsi="Arial" w:cs="Arial"/>
          <w:sz w:val="24"/>
          <w:szCs w:val="24"/>
        </w:rPr>
        <w:t xml:space="preserve">ryone is </w:t>
      </w:r>
      <w:proofErr w:type="gramStart"/>
      <w:r w:rsidRPr="007A11E9">
        <w:rPr>
          <w:rFonts w:ascii="Arial" w:eastAsia="Calibri" w:hAnsi="Arial" w:cs="Arial"/>
          <w:sz w:val="24"/>
          <w:szCs w:val="24"/>
        </w:rPr>
        <w:t>different,</w:t>
      </w:r>
      <w:proofErr w:type="gramEnd"/>
      <w:r w:rsidRPr="007A11E9">
        <w:rPr>
          <w:rFonts w:ascii="Arial" w:eastAsia="Calibri" w:hAnsi="Arial" w:cs="Arial"/>
          <w:sz w:val="24"/>
          <w:szCs w:val="24"/>
        </w:rPr>
        <w:t xml:space="preserve"> they should</w:t>
      </w:r>
      <w:r w:rsidR="00492D2F" w:rsidRPr="00492D2F">
        <w:rPr>
          <w:rFonts w:ascii="Arial" w:eastAsia="Calibri" w:hAnsi="Arial" w:cs="Arial"/>
          <w:sz w:val="24"/>
          <w:szCs w:val="24"/>
        </w:rPr>
        <w:t xml:space="preserve"> embrace individual differences, and treat everybody fair, regardless of their differences. Society can achieve true potential by not failing to recognise discrimination. Recognising the principles of equality and diversity, will lay down a so</w:t>
      </w:r>
      <w:r w:rsidR="007A11E9" w:rsidRPr="007A11E9">
        <w:rPr>
          <w:rFonts w:ascii="Arial" w:eastAsia="Calibri" w:hAnsi="Arial" w:cs="Arial"/>
          <w:sz w:val="24"/>
          <w:szCs w:val="24"/>
        </w:rPr>
        <w:t>lid foundation and shape working environment</w:t>
      </w:r>
      <w:r w:rsidR="00492D2F" w:rsidRPr="00492D2F">
        <w:rPr>
          <w:rFonts w:ascii="Arial" w:eastAsia="Calibri" w:hAnsi="Arial" w:cs="Arial"/>
          <w:sz w:val="24"/>
          <w:szCs w:val="24"/>
        </w:rPr>
        <w:t xml:space="preserve">. </w:t>
      </w:r>
    </w:p>
    <w:p w:rsidR="00492D2F" w:rsidRPr="00492D2F" w:rsidRDefault="00492D2F" w:rsidP="008B3084">
      <w:pPr>
        <w:spacing w:line="360" w:lineRule="auto"/>
        <w:rPr>
          <w:rFonts w:ascii="Arial" w:eastAsia="Calibri" w:hAnsi="Arial" w:cs="Arial"/>
          <w:sz w:val="24"/>
          <w:szCs w:val="24"/>
        </w:rPr>
      </w:pPr>
      <w:proofErr w:type="gramStart"/>
      <w:r w:rsidRPr="00492D2F">
        <w:rPr>
          <w:rFonts w:ascii="Arial" w:eastAsia="Calibri" w:hAnsi="Arial" w:cs="Arial"/>
          <w:sz w:val="24"/>
          <w:szCs w:val="24"/>
        </w:rPr>
        <w:t>everyone</w:t>
      </w:r>
      <w:proofErr w:type="gramEnd"/>
      <w:r w:rsidRPr="00492D2F">
        <w:rPr>
          <w:rFonts w:ascii="Arial" w:eastAsia="Calibri" w:hAnsi="Arial" w:cs="Arial"/>
          <w:sz w:val="24"/>
          <w:szCs w:val="24"/>
        </w:rPr>
        <w:t xml:space="preserve"> working in the legal profession is required to stick to the principles set out by the SRA, BSB and SILEX codes of conduct, while regulatory bodies must provide a framework and strict guidelines to make sure,  that these principles are honoured. </w:t>
      </w:r>
      <w:proofErr w:type="gramStart"/>
      <w:r w:rsidRPr="00492D2F">
        <w:rPr>
          <w:rFonts w:ascii="Arial" w:eastAsia="Calibri" w:hAnsi="Arial" w:cs="Arial"/>
          <w:sz w:val="24"/>
          <w:szCs w:val="24"/>
        </w:rPr>
        <w:t>Continuing stretch, among other things such as training, monitoring, reporting and devoting to the accomplishment of equality and diversity in the legal sector.</w:t>
      </w:r>
      <w:proofErr w:type="gramEnd"/>
      <w:r w:rsidRPr="00492D2F">
        <w:rPr>
          <w:rFonts w:ascii="Arial" w:eastAsia="Calibri" w:hAnsi="Arial" w:cs="Arial"/>
          <w:sz w:val="24"/>
          <w:szCs w:val="24"/>
        </w:rPr>
        <w:t xml:space="preserve"> Everybody working in the legal sector must accept individual responsibilities of practising and promoting the principles and codes set by the SRA, BSB and CILEX. Legal Services Act 2007 authorises regulatory bodies to set and implement rules that encourage professional standards, including those connected to equality and diversity. The Equality Act 2010 is a crucial section of the legislation that forbids discrimination, and harassment based on the fundamental principle of certain characteristics</w:t>
      </w:r>
      <w:sdt>
        <w:sdtPr>
          <w:rPr>
            <w:rFonts w:ascii="Arial" w:eastAsia="Calibri" w:hAnsi="Arial" w:cs="Arial"/>
            <w:sz w:val="24"/>
            <w:szCs w:val="24"/>
          </w:rPr>
          <w:id w:val="-813559585"/>
          <w:citation/>
        </w:sdtPr>
        <w:sdtContent>
          <w:r w:rsidRPr="00492D2F">
            <w:rPr>
              <w:rFonts w:ascii="Arial" w:eastAsia="Calibri" w:hAnsi="Arial" w:cs="Arial"/>
              <w:sz w:val="24"/>
              <w:szCs w:val="24"/>
            </w:rPr>
            <w:fldChar w:fldCharType="begin"/>
          </w:r>
          <w:r w:rsidRPr="00492D2F">
            <w:rPr>
              <w:rFonts w:ascii="Arial" w:eastAsia="Calibri" w:hAnsi="Arial" w:cs="Arial"/>
              <w:sz w:val="24"/>
              <w:szCs w:val="24"/>
            </w:rPr>
            <w:instrText xml:space="preserve"> CITATION leg114 \l 2057 </w:instrText>
          </w:r>
          <w:r w:rsidRPr="00492D2F">
            <w:rPr>
              <w:rFonts w:ascii="Arial" w:eastAsia="Calibri" w:hAnsi="Arial" w:cs="Arial"/>
              <w:sz w:val="24"/>
              <w:szCs w:val="24"/>
            </w:rPr>
            <w:fldChar w:fldCharType="separate"/>
          </w:r>
          <w:r w:rsidRPr="00492D2F">
            <w:rPr>
              <w:rFonts w:ascii="Arial" w:eastAsia="Calibri" w:hAnsi="Arial" w:cs="Arial"/>
              <w:noProof/>
              <w:sz w:val="24"/>
              <w:szCs w:val="24"/>
            </w:rPr>
            <w:t xml:space="preserve"> (legislation.gov.uk, 2011)</w:t>
          </w:r>
          <w:r w:rsidRPr="00492D2F">
            <w:rPr>
              <w:rFonts w:ascii="Arial" w:eastAsia="Calibri" w:hAnsi="Arial" w:cs="Arial"/>
              <w:sz w:val="24"/>
              <w:szCs w:val="24"/>
            </w:rPr>
            <w:fldChar w:fldCharType="end"/>
          </w:r>
        </w:sdtContent>
      </w:sdt>
      <w:r w:rsidRPr="00492D2F">
        <w:rPr>
          <w:rFonts w:ascii="Arial" w:eastAsia="Calibri" w:hAnsi="Arial" w:cs="Arial"/>
          <w:sz w:val="24"/>
          <w:szCs w:val="24"/>
        </w:rPr>
        <w:t xml:space="preserve">. CILEX has its own Code of Conduct that its members must comply with, promoting equality, diversity, and workplace and legal practice. The SRA will embody principles and codes of conduct for solicitors to comply </w:t>
      </w:r>
      <w:proofErr w:type="gramStart"/>
      <w:r w:rsidRPr="00492D2F">
        <w:rPr>
          <w:rFonts w:ascii="Arial" w:eastAsia="Calibri" w:hAnsi="Arial" w:cs="Arial"/>
          <w:sz w:val="24"/>
          <w:szCs w:val="24"/>
        </w:rPr>
        <w:t>with</w:t>
      </w:r>
      <w:proofErr w:type="gramEnd"/>
      <w:r w:rsidRPr="00492D2F">
        <w:rPr>
          <w:rFonts w:ascii="Arial" w:eastAsia="Calibri" w:hAnsi="Arial" w:cs="Arial"/>
          <w:sz w:val="24"/>
          <w:szCs w:val="24"/>
        </w:rPr>
        <w:t>. For instance, Principle 9 requires solicitors to promote equality and diversity, both in their professional activities and in their place of work</w:t>
      </w:r>
      <w:sdt>
        <w:sdtPr>
          <w:rPr>
            <w:rFonts w:ascii="Arial" w:eastAsia="Calibri" w:hAnsi="Arial" w:cs="Arial"/>
            <w:sz w:val="24"/>
            <w:szCs w:val="24"/>
          </w:rPr>
          <w:id w:val="-789041123"/>
          <w:citation/>
        </w:sdtPr>
        <w:sdtContent>
          <w:r w:rsidRPr="00492D2F">
            <w:rPr>
              <w:rFonts w:ascii="Arial" w:eastAsia="Calibri" w:hAnsi="Arial" w:cs="Arial"/>
              <w:sz w:val="24"/>
              <w:szCs w:val="24"/>
            </w:rPr>
            <w:fldChar w:fldCharType="begin"/>
          </w:r>
          <w:r w:rsidRPr="00492D2F">
            <w:rPr>
              <w:rFonts w:ascii="Arial" w:eastAsia="Calibri" w:hAnsi="Arial" w:cs="Arial"/>
              <w:sz w:val="24"/>
              <w:szCs w:val="24"/>
            </w:rPr>
            <w:instrText xml:space="preserve"> CITATION Sol22 \l 2057 </w:instrText>
          </w:r>
          <w:r w:rsidRPr="00492D2F">
            <w:rPr>
              <w:rFonts w:ascii="Arial" w:eastAsia="Calibri" w:hAnsi="Arial" w:cs="Arial"/>
              <w:sz w:val="24"/>
              <w:szCs w:val="24"/>
            </w:rPr>
            <w:fldChar w:fldCharType="separate"/>
          </w:r>
          <w:r w:rsidRPr="00492D2F">
            <w:rPr>
              <w:rFonts w:ascii="Arial" w:eastAsia="Calibri" w:hAnsi="Arial" w:cs="Arial"/>
              <w:noProof/>
              <w:sz w:val="24"/>
              <w:szCs w:val="24"/>
            </w:rPr>
            <w:t xml:space="preserve"> (Solicitors Regulation Authority, 2022)</w:t>
          </w:r>
          <w:r w:rsidRPr="00492D2F">
            <w:rPr>
              <w:rFonts w:ascii="Arial" w:eastAsia="Calibri" w:hAnsi="Arial" w:cs="Arial"/>
              <w:sz w:val="24"/>
              <w:szCs w:val="24"/>
            </w:rPr>
            <w:fldChar w:fldCharType="end"/>
          </w:r>
        </w:sdtContent>
      </w:sdt>
      <w:r w:rsidRPr="00492D2F">
        <w:rPr>
          <w:rFonts w:ascii="Arial" w:eastAsia="Calibri" w:hAnsi="Arial" w:cs="Arial"/>
          <w:sz w:val="24"/>
          <w:szCs w:val="24"/>
        </w:rPr>
        <w:t>. Solicitor companies are required to have policies and procedures established. The BSB provides rules and guidance for barristers in their handbook, just like SRA and CILEX. The BSB also places impor</w:t>
      </w:r>
      <w:r w:rsidR="007A11E9" w:rsidRPr="007A11E9">
        <w:rPr>
          <w:rFonts w:ascii="Arial" w:eastAsia="Calibri" w:hAnsi="Arial" w:cs="Arial"/>
          <w:sz w:val="24"/>
          <w:szCs w:val="24"/>
        </w:rPr>
        <w:t xml:space="preserve">tance on promoting equality, </w:t>
      </w:r>
      <w:r w:rsidRPr="00492D2F">
        <w:rPr>
          <w:rFonts w:ascii="Arial" w:eastAsia="Calibri" w:hAnsi="Arial" w:cs="Arial"/>
          <w:sz w:val="24"/>
          <w:szCs w:val="24"/>
        </w:rPr>
        <w:t xml:space="preserve">diversity in the legal profession.  The awareness and the promotion of the principles and codes </w:t>
      </w:r>
      <w:proofErr w:type="gramStart"/>
      <w:r w:rsidRPr="00492D2F">
        <w:rPr>
          <w:rFonts w:ascii="Arial" w:eastAsia="Calibri" w:hAnsi="Arial" w:cs="Arial"/>
          <w:sz w:val="24"/>
          <w:szCs w:val="24"/>
        </w:rPr>
        <w:t>must be extended</w:t>
      </w:r>
      <w:proofErr w:type="gramEnd"/>
      <w:r w:rsidRPr="00492D2F">
        <w:rPr>
          <w:rFonts w:ascii="Arial" w:eastAsia="Calibri" w:hAnsi="Arial" w:cs="Arial"/>
          <w:sz w:val="24"/>
          <w:szCs w:val="24"/>
        </w:rPr>
        <w:t xml:space="preserve"> to the Clients, Courts and public. Keeping in mind the regulatory and law society sub section 1 objectives, a body recognised under section 9 of the Administration of Justice Act 1985 must adhere to its rules. It </w:t>
      </w:r>
      <w:proofErr w:type="gramStart"/>
      <w:r w:rsidRPr="00492D2F">
        <w:rPr>
          <w:rFonts w:ascii="Arial" w:eastAsia="Calibri" w:hAnsi="Arial" w:cs="Arial"/>
          <w:sz w:val="24"/>
          <w:szCs w:val="24"/>
        </w:rPr>
        <w:t>is stated</w:t>
      </w:r>
      <w:proofErr w:type="gramEnd"/>
      <w:r w:rsidRPr="00492D2F">
        <w:rPr>
          <w:rFonts w:ascii="Arial" w:eastAsia="Calibri" w:hAnsi="Arial" w:cs="Arial"/>
          <w:sz w:val="24"/>
          <w:szCs w:val="24"/>
        </w:rPr>
        <w:t xml:space="preserve"> in The SRA’s standards and regulations Principle 6, that one must act in a way that encourages equality, diversity, and inclusion (Solicitors Regulation Authority, 2019). Equality is to be in a position of being equal to </w:t>
      </w:r>
      <w:proofErr w:type="gramStart"/>
      <w:r w:rsidRPr="00492D2F">
        <w:rPr>
          <w:rFonts w:ascii="Arial" w:eastAsia="Calibri" w:hAnsi="Arial" w:cs="Arial"/>
          <w:sz w:val="24"/>
          <w:szCs w:val="24"/>
        </w:rPr>
        <w:t>others,</w:t>
      </w:r>
      <w:proofErr w:type="gramEnd"/>
      <w:r w:rsidRPr="00492D2F">
        <w:rPr>
          <w:rFonts w:ascii="Arial" w:eastAsia="Calibri" w:hAnsi="Arial" w:cs="Arial"/>
          <w:sz w:val="24"/>
          <w:szCs w:val="24"/>
        </w:rPr>
        <w:t xml:space="preserve"> they must get equal opportunities, to make the most of their life and at what they are good at. No one </w:t>
      </w:r>
      <w:proofErr w:type="gramStart"/>
      <w:r w:rsidRPr="00492D2F">
        <w:rPr>
          <w:rFonts w:ascii="Arial" w:eastAsia="Calibri" w:hAnsi="Arial" w:cs="Arial"/>
          <w:sz w:val="24"/>
          <w:szCs w:val="24"/>
        </w:rPr>
        <w:t xml:space="preserve">should be treated differently or discriminated against regardless of their </w:t>
      </w:r>
      <w:r w:rsidRPr="00492D2F">
        <w:rPr>
          <w:rFonts w:ascii="Arial" w:eastAsia="Calibri" w:hAnsi="Arial" w:cs="Arial"/>
          <w:sz w:val="24"/>
          <w:szCs w:val="24"/>
        </w:rPr>
        <w:lastRenderedPageBreak/>
        <w:t>characteristics</w:t>
      </w:r>
      <w:proofErr w:type="gramEnd"/>
      <w:r w:rsidRPr="00492D2F">
        <w:rPr>
          <w:rFonts w:ascii="Arial" w:eastAsia="Calibri" w:hAnsi="Arial" w:cs="Arial"/>
          <w:sz w:val="24"/>
          <w:szCs w:val="24"/>
        </w:rPr>
        <w:t xml:space="preserve">. Diversity on the other hand is welcoming variety, embracing differences between people with a positive approach, </w:t>
      </w:r>
      <w:proofErr w:type="gramStart"/>
      <w:r w:rsidRPr="00492D2F">
        <w:rPr>
          <w:rFonts w:ascii="Arial" w:eastAsia="Calibri" w:hAnsi="Arial" w:cs="Arial"/>
          <w:sz w:val="24"/>
          <w:szCs w:val="24"/>
        </w:rPr>
        <w:t>everyone is not</w:t>
      </w:r>
      <w:proofErr w:type="gramEnd"/>
      <w:r w:rsidRPr="00492D2F">
        <w:rPr>
          <w:rFonts w:ascii="Arial" w:eastAsia="Calibri" w:hAnsi="Arial" w:cs="Arial"/>
          <w:sz w:val="24"/>
          <w:szCs w:val="24"/>
        </w:rPr>
        <w:t xml:space="preserve"> the same, and variation brings diverse backgrounds and strengths. Universal human rights adopt everyone, regardless of differences. </w:t>
      </w:r>
      <w:proofErr w:type="gramStart"/>
      <w:r w:rsidRPr="00492D2F">
        <w:rPr>
          <w:rFonts w:ascii="Arial" w:eastAsia="Calibri" w:hAnsi="Arial" w:cs="Arial"/>
          <w:sz w:val="24"/>
          <w:szCs w:val="24"/>
        </w:rPr>
        <w:t>Single Act Anti-discrimination law was replaced by the Equality Act 2010 in this way making the law easy to use</w:t>
      </w:r>
      <w:proofErr w:type="gramEnd"/>
      <w:r w:rsidRPr="00492D2F">
        <w:rPr>
          <w:rFonts w:ascii="Arial" w:eastAsia="Calibri" w:hAnsi="Arial" w:cs="Arial"/>
          <w:sz w:val="24"/>
          <w:szCs w:val="24"/>
        </w:rPr>
        <w:t>. 5.6(1</w:t>
      </w:r>
      <w:proofErr w:type="gramStart"/>
      <w:r w:rsidRPr="00492D2F">
        <w:rPr>
          <w:rFonts w:ascii="Arial" w:eastAsia="Calibri" w:hAnsi="Arial" w:cs="Arial"/>
          <w:sz w:val="24"/>
          <w:szCs w:val="24"/>
        </w:rPr>
        <w:t>)(</w:t>
      </w:r>
      <w:proofErr w:type="gramEnd"/>
      <w:r w:rsidRPr="00492D2F">
        <w:rPr>
          <w:rFonts w:ascii="Arial" w:eastAsia="Calibri" w:hAnsi="Arial" w:cs="Arial"/>
          <w:sz w:val="24"/>
          <w:szCs w:val="24"/>
        </w:rPr>
        <w:t>a)&amp;(b) of The Equality Act 2010 clearly states that if a human has a disability, if s/he has a physical or mental impairment, they should also be given equal opportunity</w:t>
      </w:r>
      <w:sdt>
        <w:sdtPr>
          <w:rPr>
            <w:rFonts w:ascii="Arial" w:eastAsia="Calibri" w:hAnsi="Arial" w:cs="Arial"/>
            <w:sz w:val="24"/>
            <w:szCs w:val="24"/>
          </w:rPr>
          <w:id w:val="1399478136"/>
          <w:citation/>
        </w:sdtPr>
        <w:sdtContent>
          <w:r w:rsidRPr="00492D2F">
            <w:rPr>
              <w:rFonts w:ascii="Arial" w:eastAsia="Calibri" w:hAnsi="Arial" w:cs="Arial"/>
              <w:sz w:val="24"/>
              <w:szCs w:val="24"/>
            </w:rPr>
            <w:fldChar w:fldCharType="begin"/>
          </w:r>
          <w:r w:rsidRPr="00492D2F">
            <w:rPr>
              <w:rFonts w:ascii="Arial" w:eastAsia="Calibri" w:hAnsi="Arial" w:cs="Arial"/>
              <w:sz w:val="24"/>
              <w:szCs w:val="24"/>
            </w:rPr>
            <w:instrText xml:space="preserve"> CITATION GOV10 \l 2057 </w:instrText>
          </w:r>
          <w:r w:rsidRPr="00492D2F">
            <w:rPr>
              <w:rFonts w:ascii="Arial" w:eastAsia="Calibri" w:hAnsi="Arial" w:cs="Arial"/>
              <w:sz w:val="24"/>
              <w:szCs w:val="24"/>
            </w:rPr>
            <w:fldChar w:fldCharType="separate"/>
          </w:r>
          <w:r w:rsidRPr="00492D2F">
            <w:rPr>
              <w:rFonts w:ascii="Arial" w:eastAsia="Calibri" w:hAnsi="Arial" w:cs="Arial"/>
              <w:noProof/>
              <w:sz w:val="24"/>
              <w:szCs w:val="24"/>
            </w:rPr>
            <w:t xml:space="preserve"> (GOV.UK, 2010)</w:t>
          </w:r>
          <w:r w:rsidRPr="00492D2F">
            <w:rPr>
              <w:rFonts w:ascii="Arial" w:eastAsia="Calibri" w:hAnsi="Arial" w:cs="Arial"/>
              <w:sz w:val="24"/>
              <w:szCs w:val="24"/>
            </w:rPr>
            <w:fldChar w:fldCharType="end"/>
          </w:r>
        </w:sdtContent>
      </w:sdt>
      <w:r w:rsidRPr="00492D2F">
        <w:rPr>
          <w:rFonts w:ascii="Arial" w:eastAsia="Calibri" w:hAnsi="Arial" w:cs="Arial"/>
          <w:sz w:val="24"/>
          <w:szCs w:val="24"/>
        </w:rPr>
        <w:t>. The Equality Act announced that public authorities should consider the obligation to abolish or cut down adversity suffered by the public because of a secured characteristic, fit the obligation of people with guarded characteristics, and strengthen people with protected characteristics to engage in public life and other available exercises.</w:t>
      </w:r>
      <w:r w:rsidRPr="007A11E9">
        <w:rPr>
          <w:rFonts w:ascii="Arial" w:eastAsia="Calibri" w:hAnsi="Arial" w:cs="Arial"/>
          <w:sz w:val="24"/>
          <w:szCs w:val="24"/>
        </w:rPr>
        <w:t xml:space="preserve"> </w:t>
      </w:r>
      <w:proofErr w:type="gramStart"/>
      <w:r w:rsidRPr="00492D2F">
        <w:rPr>
          <w:rFonts w:ascii="Arial" w:eastAsia="Calibri" w:hAnsi="Arial" w:cs="Arial"/>
          <w:sz w:val="24"/>
          <w:szCs w:val="24"/>
        </w:rPr>
        <w:t>To include each other equally and build a community without discriminating.</w:t>
      </w:r>
      <w:proofErr w:type="gramEnd"/>
      <w:r w:rsidRPr="00492D2F">
        <w:rPr>
          <w:rFonts w:ascii="Arial" w:eastAsia="Calibri" w:hAnsi="Arial" w:cs="Arial"/>
          <w:sz w:val="24"/>
          <w:szCs w:val="24"/>
        </w:rPr>
        <w:t xml:space="preserve"> Equality, diversity, and human rights affect everybody (commission, 2023). Understanding the fact that diversity means, everyone is unique, and everyone must recognise individual differences in their gender, race, </w:t>
      </w:r>
      <w:proofErr w:type="gramStart"/>
      <w:r w:rsidRPr="00492D2F">
        <w:rPr>
          <w:rFonts w:ascii="Arial" w:eastAsia="Calibri" w:hAnsi="Arial" w:cs="Arial"/>
          <w:sz w:val="24"/>
          <w:szCs w:val="24"/>
        </w:rPr>
        <w:t>disability</w:t>
      </w:r>
      <w:proofErr w:type="gramEnd"/>
      <w:r w:rsidRPr="00492D2F">
        <w:rPr>
          <w:rFonts w:ascii="Arial" w:eastAsia="Calibri" w:hAnsi="Arial" w:cs="Arial"/>
          <w:sz w:val="24"/>
          <w:szCs w:val="24"/>
        </w:rPr>
        <w:t xml:space="preserve">, medical needs etc. and give them access to equal opportunities, remove doubts, discrimination, and intolerance. </w:t>
      </w:r>
      <w:proofErr w:type="gramStart"/>
      <w:r w:rsidRPr="00492D2F">
        <w:rPr>
          <w:rFonts w:ascii="Arial" w:eastAsia="Calibri" w:hAnsi="Arial" w:cs="Arial"/>
          <w:sz w:val="24"/>
          <w:szCs w:val="24"/>
        </w:rPr>
        <w:t>Age, disability, gender reassignment, pregnancy and maternity, race, religion or belief, sex, and sexual orientation and treat them equally.</w:t>
      </w:r>
      <w:proofErr w:type="gramEnd"/>
      <w:r w:rsidRPr="00492D2F">
        <w:rPr>
          <w:rFonts w:ascii="Arial" w:eastAsia="Calibri" w:hAnsi="Arial" w:cs="Arial"/>
          <w:sz w:val="24"/>
          <w:szCs w:val="24"/>
        </w:rPr>
        <w:t xml:space="preserve"> </w:t>
      </w:r>
      <w:proofErr w:type="gramStart"/>
      <w:r w:rsidRPr="00492D2F">
        <w:rPr>
          <w:rFonts w:ascii="Arial" w:eastAsia="Calibri" w:hAnsi="Arial" w:cs="Arial"/>
          <w:sz w:val="24"/>
          <w:szCs w:val="24"/>
        </w:rPr>
        <w:t>individuals</w:t>
      </w:r>
      <w:proofErr w:type="gramEnd"/>
      <w:r w:rsidRPr="00492D2F">
        <w:rPr>
          <w:rFonts w:ascii="Arial" w:eastAsia="Calibri" w:hAnsi="Arial" w:cs="Arial"/>
          <w:sz w:val="24"/>
          <w:szCs w:val="24"/>
        </w:rPr>
        <w:t xml:space="preserve"> working in the legal profession and the regulating bodies, who regulate and promote equality and diversity acr</w:t>
      </w:r>
      <w:r w:rsidR="007A11E9" w:rsidRPr="007A11E9">
        <w:rPr>
          <w:rFonts w:ascii="Arial" w:eastAsia="Calibri" w:hAnsi="Arial" w:cs="Arial"/>
          <w:sz w:val="24"/>
          <w:szCs w:val="24"/>
        </w:rPr>
        <w:t>oss the whole legal workplace. F</w:t>
      </w:r>
      <w:r w:rsidRPr="00492D2F">
        <w:rPr>
          <w:rFonts w:ascii="Arial" w:eastAsia="Calibri" w:hAnsi="Arial" w:cs="Arial"/>
          <w:sz w:val="24"/>
          <w:szCs w:val="24"/>
        </w:rPr>
        <w:t xml:space="preserve">or people to succeed, the condition of belonging must not become a condition of not being able to be who they are. </w:t>
      </w:r>
      <w:proofErr w:type="gramStart"/>
      <w:r w:rsidRPr="00492D2F">
        <w:rPr>
          <w:rFonts w:ascii="Arial" w:eastAsia="Calibri" w:hAnsi="Arial" w:cs="Arial"/>
          <w:sz w:val="24"/>
          <w:szCs w:val="24"/>
        </w:rPr>
        <w:t>look</w:t>
      </w:r>
      <w:proofErr w:type="gramEnd"/>
      <w:r w:rsidRPr="00492D2F">
        <w:rPr>
          <w:rFonts w:ascii="Arial" w:eastAsia="Calibri" w:hAnsi="Arial" w:cs="Arial"/>
          <w:sz w:val="24"/>
          <w:szCs w:val="24"/>
        </w:rPr>
        <w:t xml:space="preserve"> at how one feels about how they want them to feel, feel about their sense of humanity, their connection, their sense of caring for each other. For one to change, the system will have to change. </w:t>
      </w:r>
      <w:proofErr w:type="gramStart"/>
      <w:r w:rsidRPr="00492D2F">
        <w:rPr>
          <w:rFonts w:ascii="Arial" w:eastAsia="Calibri" w:hAnsi="Arial" w:cs="Arial"/>
          <w:sz w:val="24"/>
          <w:szCs w:val="24"/>
        </w:rPr>
        <w:t>Instead of thinking of equality and diversity as a training period or a condition of employment.</w:t>
      </w:r>
      <w:proofErr w:type="gramEnd"/>
      <w:r w:rsidRPr="00492D2F">
        <w:rPr>
          <w:rFonts w:ascii="Arial" w:eastAsia="Calibri" w:hAnsi="Arial" w:cs="Arial"/>
          <w:sz w:val="24"/>
          <w:szCs w:val="24"/>
        </w:rPr>
        <w:t xml:space="preserve"> It will have to be a way of life, an automatic reaction of a good human being. If one feels a sense of belonging in a workplace, it will have an impact on their performance. Through the sense of belonging, society will change their mind, and open their hearts to people who lack belonging. The regulatory bodies need to stay up to date and keep the information on websites up to date, as other organisational websites may use the regulating bodies' website, to keep their website up to date. Professionals in the legal sector and regulatory bodies from time to time refer to additional resources and guidance to stay up to date in promoting equality and diversity, including publications, training materials and updates from organisations such as the Law Society, Bar Council on </w:t>
      </w:r>
      <w:r w:rsidRPr="00492D2F">
        <w:rPr>
          <w:rFonts w:ascii="Arial" w:eastAsia="Calibri" w:hAnsi="Arial" w:cs="Arial"/>
          <w:sz w:val="24"/>
          <w:szCs w:val="24"/>
        </w:rPr>
        <w:lastRenderedPageBreak/>
        <w:t>Diversity and inclusion within the legal sector must be easily available. One must be in a position of being equal to everyone else and they must have the equal opportunity to make the most of their life and make use of their talents</w:t>
      </w:r>
      <w:sdt>
        <w:sdtPr>
          <w:rPr>
            <w:rFonts w:ascii="Arial" w:eastAsia="Calibri" w:hAnsi="Arial" w:cs="Arial"/>
            <w:sz w:val="24"/>
            <w:szCs w:val="24"/>
          </w:rPr>
          <w:id w:val="340673129"/>
          <w:citation/>
        </w:sdtPr>
        <w:sdtContent>
          <w:r w:rsidRPr="00492D2F">
            <w:rPr>
              <w:rFonts w:ascii="Arial" w:eastAsia="Calibri" w:hAnsi="Arial" w:cs="Arial"/>
              <w:sz w:val="24"/>
              <w:szCs w:val="24"/>
            </w:rPr>
            <w:fldChar w:fldCharType="begin"/>
          </w:r>
          <w:r w:rsidRPr="00492D2F">
            <w:rPr>
              <w:rFonts w:ascii="Arial" w:eastAsia="Calibri" w:hAnsi="Arial" w:cs="Arial"/>
              <w:sz w:val="24"/>
              <w:szCs w:val="24"/>
            </w:rPr>
            <w:instrText xml:space="preserve"> CITATION the232 \l 2057 </w:instrText>
          </w:r>
          <w:r w:rsidRPr="00492D2F">
            <w:rPr>
              <w:rFonts w:ascii="Arial" w:eastAsia="Calibri" w:hAnsi="Arial" w:cs="Arial"/>
              <w:sz w:val="24"/>
              <w:szCs w:val="24"/>
            </w:rPr>
            <w:fldChar w:fldCharType="separate"/>
          </w:r>
          <w:r w:rsidRPr="00492D2F">
            <w:rPr>
              <w:rFonts w:ascii="Arial" w:eastAsia="Calibri" w:hAnsi="Arial" w:cs="Arial"/>
              <w:noProof/>
              <w:sz w:val="24"/>
              <w:szCs w:val="24"/>
            </w:rPr>
            <w:t xml:space="preserve"> (the bar council, 2023)</w:t>
          </w:r>
          <w:r w:rsidRPr="00492D2F">
            <w:rPr>
              <w:rFonts w:ascii="Arial" w:eastAsia="Calibri" w:hAnsi="Arial" w:cs="Arial"/>
              <w:sz w:val="24"/>
              <w:szCs w:val="24"/>
            </w:rPr>
            <w:fldChar w:fldCharType="end"/>
          </w:r>
        </w:sdtContent>
      </w:sdt>
      <w:r w:rsidRPr="00492D2F">
        <w:rPr>
          <w:rFonts w:ascii="Arial" w:eastAsia="Calibri" w:hAnsi="Arial" w:cs="Arial"/>
          <w:sz w:val="24"/>
          <w:szCs w:val="24"/>
        </w:rPr>
        <w:t xml:space="preserve">. </w:t>
      </w:r>
      <w:proofErr w:type="gramStart"/>
      <w:r w:rsidRPr="00492D2F">
        <w:rPr>
          <w:rFonts w:ascii="Arial" w:eastAsia="Calibri" w:hAnsi="Arial" w:cs="Arial"/>
          <w:sz w:val="24"/>
          <w:szCs w:val="24"/>
        </w:rPr>
        <w:t>and</w:t>
      </w:r>
      <w:proofErr w:type="gramEnd"/>
      <w:r w:rsidRPr="00492D2F">
        <w:rPr>
          <w:rFonts w:ascii="Arial" w:eastAsia="Calibri" w:hAnsi="Arial" w:cs="Arial"/>
          <w:sz w:val="24"/>
          <w:szCs w:val="24"/>
        </w:rPr>
        <w:t xml:space="preserve"> no one is treated differently or discriminated against for their characteristics. One must act in a way that encourages equality, diversity and inclusion as stated in The SRA regulations and standard’s Principle six, Equality, diversity, and inclusion. </w:t>
      </w:r>
      <w:proofErr w:type="gramStart"/>
      <w:r w:rsidRPr="00492D2F">
        <w:rPr>
          <w:rFonts w:ascii="Arial" w:eastAsia="Calibri" w:hAnsi="Arial" w:cs="Arial"/>
          <w:sz w:val="24"/>
          <w:szCs w:val="24"/>
        </w:rPr>
        <w:t>Society is not made out of the same race, religion, ethnicity, disabilities, or gender, thus all must recognise the differences and qualities everyone brings in from a variety of backgrounds, so it is important to include everyone and create a diverse work environment, creating a universal human right welcoming everyone regardless of their gender, race, disability, medical needs etc. and give them access to equal opportunities, remove doubts, discrimination and intolerance, Age, disability, gender reassignment, pregnancy and maternity, race, religion or belief, sex, and sexual orientation are protected characteristics of the Equality Act 2010 (legislation.gov.uk, 2011).</w:t>
      </w:r>
      <w:proofErr w:type="gramEnd"/>
      <w:r w:rsidRPr="00492D2F">
        <w:rPr>
          <w:rFonts w:ascii="Arial" w:eastAsia="Calibri" w:hAnsi="Arial" w:cs="Arial"/>
          <w:sz w:val="24"/>
          <w:szCs w:val="24"/>
        </w:rPr>
        <w:t xml:space="preserve"> It is the legal obligation of the regulating bodies to make sure clients and employees with disabilities </w:t>
      </w:r>
      <w:proofErr w:type="gramStart"/>
      <w:r w:rsidRPr="00492D2F">
        <w:rPr>
          <w:rFonts w:ascii="Arial" w:eastAsia="Calibri" w:hAnsi="Arial" w:cs="Arial"/>
          <w:sz w:val="24"/>
          <w:szCs w:val="24"/>
        </w:rPr>
        <w:t>are not treated</w:t>
      </w:r>
      <w:proofErr w:type="gramEnd"/>
      <w:r w:rsidRPr="00492D2F">
        <w:rPr>
          <w:rFonts w:ascii="Arial" w:eastAsia="Calibri" w:hAnsi="Arial" w:cs="Arial"/>
          <w:sz w:val="24"/>
          <w:szCs w:val="24"/>
        </w:rPr>
        <w:t xml:space="preserve"> differently, than the ones who lack egalitarianism. It is good practice to adjust and make it accessible for </w:t>
      </w:r>
      <w:proofErr w:type="gramStart"/>
      <w:r w:rsidRPr="00492D2F">
        <w:rPr>
          <w:rFonts w:ascii="Arial" w:eastAsia="Calibri" w:hAnsi="Arial" w:cs="Arial"/>
          <w:sz w:val="24"/>
          <w:szCs w:val="24"/>
        </w:rPr>
        <w:t>them,</w:t>
      </w:r>
      <w:proofErr w:type="gramEnd"/>
      <w:r w:rsidRPr="00492D2F">
        <w:rPr>
          <w:rFonts w:ascii="Arial" w:eastAsia="Calibri" w:hAnsi="Arial" w:cs="Arial"/>
          <w:sz w:val="24"/>
          <w:szCs w:val="24"/>
        </w:rPr>
        <w:t xml:space="preserve"> everyone in the legal profession must share responsibilities for promoting and encouraging an independent, strong, diverse, and effective legal profession as set out in the Legal Services Act (2007). The Legal Services Act 2007 sets out aims and goals for regulatory bodies like BSB, SRA and SILEX to encourage a freethinking, powerful diverse and productive legal profession. The Legal Services Board (LSB) must be satisfied with the regulating </w:t>
      </w:r>
      <w:proofErr w:type="gramStart"/>
      <w:r w:rsidRPr="00492D2F">
        <w:rPr>
          <w:rFonts w:ascii="Arial" w:eastAsia="Calibri" w:hAnsi="Arial" w:cs="Arial"/>
          <w:sz w:val="24"/>
          <w:szCs w:val="24"/>
        </w:rPr>
        <w:t>bodies</w:t>
      </w:r>
      <w:proofErr w:type="gramEnd"/>
      <w:r w:rsidRPr="00492D2F">
        <w:rPr>
          <w:rFonts w:ascii="Arial" w:eastAsia="Calibri" w:hAnsi="Arial" w:cs="Arial"/>
          <w:sz w:val="24"/>
          <w:szCs w:val="24"/>
        </w:rPr>
        <w:t xml:space="preserve"> results. The reputation of the profession is the responsibility of the legal worker, employer and the regulating </w:t>
      </w:r>
      <w:proofErr w:type="gramStart"/>
      <w:r w:rsidRPr="00492D2F">
        <w:rPr>
          <w:rFonts w:ascii="Arial" w:eastAsia="Calibri" w:hAnsi="Arial" w:cs="Arial"/>
          <w:sz w:val="24"/>
          <w:szCs w:val="24"/>
        </w:rPr>
        <w:t>body,</w:t>
      </w:r>
      <w:proofErr w:type="gramEnd"/>
      <w:r w:rsidRPr="00492D2F">
        <w:rPr>
          <w:rFonts w:ascii="Arial" w:eastAsia="Calibri" w:hAnsi="Arial" w:cs="Arial"/>
          <w:sz w:val="24"/>
          <w:szCs w:val="24"/>
        </w:rPr>
        <w:t xml:space="preserve"> in both personal and professional life it is important to treat everyone fairly and with dignity and respect. To make sure a person’s personal views do not hurt others, a set of clear policies and procedures relating to equality, diversity and inclusion </w:t>
      </w:r>
      <w:proofErr w:type="gramStart"/>
      <w:r w:rsidRPr="00492D2F">
        <w:rPr>
          <w:rFonts w:ascii="Arial" w:eastAsia="Calibri" w:hAnsi="Arial" w:cs="Arial"/>
          <w:sz w:val="24"/>
          <w:szCs w:val="24"/>
        </w:rPr>
        <w:t>may be displayed</w:t>
      </w:r>
      <w:proofErr w:type="gramEnd"/>
      <w:r w:rsidRPr="00492D2F">
        <w:rPr>
          <w:rFonts w:ascii="Arial" w:eastAsia="Calibri" w:hAnsi="Arial" w:cs="Arial"/>
          <w:sz w:val="24"/>
          <w:szCs w:val="24"/>
        </w:rPr>
        <w:t xml:space="preserve"> to show good practice at the workplace. In this way, it will be reminding people of the environment they are in, Story sharing can often make diversity accessible, sharing stories will also help us understand each other as a society, and inclusion is necessary and </w:t>
      </w:r>
      <w:proofErr w:type="gramStart"/>
      <w:r w:rsidRPr="00492D2F">
        <w:rPr>
          <w:rFonts w:ascii="Arial" w:eastAsia="Calibri" w:hAnsi="Arial" w:cs="Arial"/>
          <w:sz w:val="24"/>
          <w:szCs w:val="24"/>
        </w:rPr>
        <w:t>can be created</w:t>
      </w:r>
      <w:proofErr w:type="gramEnd"/>
      <w:r w:rsidRPr="00492D2F">
        <w:rPr>
          <w:rFonts w:ascii="Arial" w:eastAsia="Calibri" w:hAnsi="Arial" w:cs="Arial"/>
          <w:sz w:val="24"/>
          <w:szCs w:val="24"/>
        </w:rPr>
        <w:t xml:space="preserve"> by all of us in our day-to-day activities (British Council, 2023). From this, one can learn about the other and understand the qualities diversity can bring to a flourishing culture. One is required to be fair and inclusive in their communications with people they meet and work with during </w:t>
      </w:r>
      <w:r w:rsidRPr="00492D2F">
        <w:rPr>
          <w:rFonts w:ascii="Arial" w:eastAsia="Calibri" w:hAnsi="Arial" w:cs="Arial"/>
          <w:sz w:val="24"/>
          <w:szCs w:val="24"/>
        </w:rPr>
        <w:lastRenderedPageBreak/>
        <w:t xml:space="preserve">working hours, this must include their communication with the courts, barristers, medical experts, and other people they require services </w:t>
      </w:r>
      <w:proofErr w:type="gramStart"/>
      <w:r w:rsidRPr="00492D2F">
        <w:rPr>
          <w:rFonts w:ascii="Arial" w:eastAsia="Calibri" w:hAnsi="Arial" w:cs="Arial"/>
          <w:sz w:val="24"/>
          <w:szCs w:val="24"/>
        </w:rPr>
        <w:t>from</w:t>
      </w:r>
      <w:proofErr w:type="gramEnd"/>
      <w:r w:rsidRPr="00492D2F">
        <w:rPr>
          <w:rFonts w:ascii="Arial" w:eastAsia="Calibri" w:hAnsi="Arial" w:cs="Arial"/>
          <w:sz w:val="24"/>
          <w:szCs w:val="24"/>
        </w:rPr>
        <w:t xml:space="preserve">. Like everyone in the professional workplace, all law students must be aware of equality and diversity promotion, this way as they become legal professionals, they will develop a natural habit of practising equality and diversity promotion. One may argue that harassment </w:t>
      </w:r>
      <w:proofErr w:type="gramStart"/>
      <w:r w:rsidRPr="00492D2F">
        <w:rPr>
          <w:rFonts w:ascii="Arial" w:eastAsia="Calibri" w:hAnsi="Arial" w:cs="Arial"/>
          <w:sz w:val="24"/>
          <w:szCs w:val="24"/>
        </w:rPr>
        <w:t>and bullying etc</w:t>
      </w:r>
      <w:proofErr w:type="gramEnd"/>
      <w:r w:rsidRPr="00492D2F">
        <w:rPr>
          <w:rFonts w:ascii="Arial" w:eastAsia="Calibri" w:hAnsi="Arial" w:cs="Arial"/>
          <w:sz w:val="24"/>
          <w:szCs w:val="24"/>
        </w:rPr>
        <w:t xml:space="preserve">. do sometimes take place in silence, which must also be addressed. Equality and diversity </w:t>
      </w:r>
      <w:proofErr w:type="gramStart"/>
      <w:r w:rsidRPr="00492D2F">
        <w:rPr>
          <w:rFonts w:ascii="Arial" w:eastAsia="Calibri" w:hAnsi="Arial" w:cs="Arial"/>
          <w:sz w:val="24"/>
          <w:szCs w:val="24"/>
        </w:rPr>
        <w:t>must be</w:t>
      </w:r>
      <w:r w:rsidRPr="007A11E9">
        <w:rPr>
          <w:rFonts w:ascii="Arial" w:eastAsia="Calibri" w:hAnsi="Arial" w:cs="Arial"/>
          <w:sz w:val="24"/>
          <w:szCs w:val="24"/>
        </w:rPr>
        <w:t xml:space="preserve"> promoted</w:t>
      </w:r>
      <w:proofErr w:type="gramEnd"/>
      <w:r w:rsidRPr="007A11E9">
        <w:rPr>
          <w:rFonts w:ascii="Arial" w:eastAsia="Calibri" w:hAnsi="Arial" w:cs="Arial"/>
          <w:sz w:val="24"/>
          <w:szCs w:val="24"/>
        </w:rPr>
        <w:t xml:space="preserve"> from early education.</w:t>
      </w:r>
    </w:p>
    <w:p w:rsidR="00492D2F" w:rsidRPr="00492D2F" w:rsidRDefault="00492D2F" w:rsidP="008B3084">
      <w:pPr>
        <w:spacing w:line="360" w:lineRule="auto"/>
        <w:rPr>
          <w:rFonts w:ascii="Arial" w:eastAsia="Calibri" w:hAnsi="Arial" w:cs="Arial"/>
          <w:sz w:val="24"/>
          <w:szCs w:val="24"/>
        </w:rPr>
      </w:pPr>
      <w:r w:rsidRPr="00492D2F">
        <w:rPr>
          <w:rFonts w:ascii="Arial" w:eastAsia="Calibri" w:hAnsi="Arial" w:cs="Arial"/>
          <w:sz w:val="24"/>
          <w:szCs w:val="24"/>
        </w:rPr>
        <w:t>Both Equality and diversity must exist in peace to achieve the true qualit</w:t>
      </w:r>
      <w:r w:rsidRPr="007A11E9">
        <w:rPr>
          <w:rFonts w:ascii="Arial" w:eastAsia="Calibri" w:hAnsi="Arial" w:cs="Arial"/>
          <w:sz w:val="24"/>
          <w:szCs w:val="24"/>
        </w:rPr>
        <w:t>y of fairness in opportunities at work place for all legal professional in the legal sector. Everyone</w:t>
      </w:r>
      <w:r w:rsidRPr="00492D2F">
        <w:rPr>
          <w:rFonts w:ascii="Arial" w:eastAsia="Calibri" w:hAnsi="Arial" w:cs="Arial"/>
          <w:sz w:val="24"/>
          <w:szCs w:val="24"/>
        </w:rPr>
        <w:t xml:space="preserve"> must recognise the flourishing global landscape, challenging health conditions and </w:t>
      </w:r>
      <w:r w:rsidRPr="007A11E9">
        <w:rPr>
          <w:rFonts w:ascii="Arial" w:eastAsia="Calibri" w:hAnsi="Arial" w:cs="Arial"/>
          <w:sz w:val="24"/>
          <w:szCs w:val="24"/>
        </w:rPr>
        <w:t>mind-sets, starting from clients to the regulating bodies</w:t>
      </w:r>
      <w:r w:rsidRPr="00492D2F">
        <w:rPr>
          <w:rFonts w:ascii="Arial" w:eastAsia="Calibri" w:hAnsi="Arial" w:cs="Arial"/>
          <w:sz w:val="24"/>
          <w:szCs w:val="24"/>
        </w:rPr>
        <w:t xml:space="preserve">. The Equality Act 2010 must get involved more to get the regulating bodies like SRA, SILEX and BSB to work harder in the promotion of equality and diversity. Courteous professional Behaviour of barristers, solicitors, court staff and everyone at a legal </w:t>
      </w:r>
      <w:r w:rsidRPr="007A11E9">
        <w:rPr>
          <w:rFonts w:ascii="Arial" w:eastAsia="Calibri" w:hAnsi="Arial" w:cs="Arial"/>
          <w:sz w:val="24"/>
          <w:szCs w:val="24"/>
        </w:rPr>
        <w:t xml:space="preserve">workplace, all </w:t>
      </w:r>
      <w:proofErr w:type="gramStart"/>
      <w:r w:rsidRPr="007A11E9">
        <w:rPr>
          <w:rFonts w:ascii="Arial" w:eastAsia="Calibri" w:hAnsi="Arial" w:cs="Arial"/>
          <w:sz w:val="24"/>
          <w:szCs w:val="24"/>
        </w:rPr>
        <w:t>must be closely monitored</w:t>
      </w:r>
      <w:proofErr w:type="gramEnd"/>
      <w:r w:rsidRPr="007A11E9">
        <w:rPr>
          <w:rFonts w:ascii="Arial" w:eastAsia="Calibri" w:hAnsi="Arial" w:cs="Arial"/>
          <w:sz w:val="24"/>
          <w:szCs w:val="24"/>
        </w:rPr>
        <w:t xml:space="preserve"> to make sure they are complying.</w:t>
      </w:r>
    </w:p>
    <w:p w:rsidR="00492D2F" w:rsidRPr="00492D2F" w:rsidRDefault="00492D2F" w:rsidP="008B3084">
      <w:pPr>
        <w:spacing w:line="360" w:lineRule="auto"/>
        <w:rPr>
          <w:rFonts w:ascii="Arial" w:eastAsia="Calibri" w:hAnsi="Arial" w:cs="Arial"/>
          <w:sz w:val="24"/>
          <w:szCs w:val="24"/>
        </w:rPr>
      </w:pPr>
      <w:r w:rsidRPr="00492D2F">
        <w:rPr>
          <w:rFonts w:ascii="Arial" w:eastAsia="Calibri" w:hAnsi="Arial" w:cs="Arial"/>
          <w:sz w:val="24"/>
          <w:szCs w:val="24"/>
        </w:rPr>
        <w:t xml:space="preserve"> </w:t>
      </w:r>
    </w:p>
    <w:p w:rsidR="00492D2F" w:rsidRPr="00492D2F" w:rsidRDefault="00492D2F" w:rsidP="008B3084">
      <w:pPr>
        <w:spacing w:line="360" w:lineRule="auto"/>
        <w:rPr>
          <w:rFonts w:ascii="Arial" w:eastAsia="Calibri" w:hAnsi="Arial" w:cs="Arial"/>
          <w:sz w:val="24"/>
          <w:szCs w:val="24"/>
        </w:rPr>
      </w:pPr>
      <w:r w:rsidRPr="00492D2F">
        <w:rPr>
          <w:rFonts w:ascii="Arial" w:eastAsia="Calibri" w:hAnsi="Arial" w:cs="Arial"/>
          <w:sz w:val="24"/>
          <w:szCs w:val="24"/>
        </w:rPr>
        <w:t xml:space="preserve"> </w:t>
      </w:r>
    </w:p>
    <w:p w:rsidR="00492D2F" w:rsidRPr="00492D2F" w:rsidRDefault="00492D2F" w:rsidP="008B3084">
      <w:pPr>
        <w:spacing w:line="360" w:lineRule="auto"/>
        <w:rPr>
          <w:rFonts w:ascii="Arial" w:eastAsia="Calibri" w:hAnsi="Arial" w:cs="Arial"/>
          <w:sz w:val="24"/>
          <w:szCs w:val="24"/>
        </w:rPr>
      </w:pPr>
    </w:p>
    <w:p w:rsidR="00492D2F" w:rsidRPr="007A11E9" w:rsidRDefault="00492D2F"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Pr="007A11E9" w:rsidRDefault="00E76C9B" w:rsidP="008B3084">
      <w:pPr>
        <w:spacing w:line="360" w:lineRule="auto"/>
        <w:rPr>
          <w:rFonts w:ascii="Arial" w:eastAsia="Calibri" w:hAnsi="Arial" w:cs="Arial"/>
          <w:sz w:val="24"/>
          <w:szCs w:val="24"/>
        </w:rPr>
      </w:pPr>
    </w:p>
    <w:p w:rsidR="00E76C9B" w:rsidRDefault="00E76C9B" w:rsidP="008B3084">
      <w:pPr>
        <w:spacing w:line="360" w:lineRule="auto"/>
        <w:rPr>
          <w:rFonts w:ascii="Calibri" w:eastAsia="Calibri" w:hAnsi="Calibri" w:cs="Times New Roman"/>
        </w:rPr>
      </w:pPr>
    </w:p>
    <w:p w:rsidR="00E76C9B" w:rsidRDefault="00E76C9B" w:rsidP="008B3084">
      <w:pPr>
        <w:spacing w:line="360" w:lineRule="auto"/>
        <w:rPr>
          <w:rFonts w:ascii="Calibri" w:eastAsia="Calibri" w:hAnsi="Calibri" w:cs="Times New Roman"/>
        </w:rPr>
      </w:pPr>
    </w:p>
    <w:p w:rsidR="00E76C9B" w:rsidRDefault="00E76C9B" w:rsidP="008B3084">
      <w:pPr>
        <w:spacing w:line="360" w:lineRule="auto"/>
        <w:rPr>
          <w:rFonts w:ascii="Calibri" w:eastAsia="Calibri" w:hAnsi="Calibri" w:cs="Times New Roman"/>
        </w:rPr>
      </w:pPr>
    </w:p>
    <w:p w:rsidR="00E76C9B" w:rsidRDefault="00E76C9B" w:rsidP="008B3084">
      <w:pPr>
        <w:spacing w:line="360" w:lineRule="auto"/>
        <w:rPr>
          <w:rFonts w:ascii="Calibri" w:eastAsia="Calibri" w:hAnsi="Calibri" w:cs="Times New Roman"/>
        </w:rPr>
      </w:pPr>
    </w:p>
    <w:p w:rsidR="00E76C9B" w:rsidRDefault="00E76C9B" w:rsidP="008B3084">
      <w:pPr>
        <w:spacing w:line="360" w:lineRule="auto"/>
        <w:rPr>
          <w:rFonts w:ascii="Calibri" w:eastAsia="Calibri" w:hAnsi="Calibri" w:cs="Times New Roman"/>
        </w:rPr>
      </w:pPr>
    </w:p>
    <w:p w:rsidR="00E76C9B" w:rsidRDefault="00E76C9B" w:rsidP="008B3084">
      <w:pPr>
        <w:spacing w:line="360" w:lineRule="auto"/>
        <w:rPr>
          <w:rFonts w:ascii="Calibri" w:eastAsia="Calibri" w:hAnsi="Calibri" w:cs="Times New Roman"/>
        </w:rPr>
      </w:pPr>
    </w:p>
    <w:p w:rsidR="00E76C9B" w:rsidRDefault="00E76C9B" w:rsidP="008B3084">
      <w:pPr>
        <w:spacing w:line="360" w:lineRule="auto"/>
        <w:rPr>
          <w:rFonts w:ascii="Calibri" w:eastAsia="Calibri" w:hAnsi="Calibri" w:cs="Times New Roman"/>
        </w:rPr>
      </w:pPr>
    </w:p>
    <w:p w:rsidR="00E76C9B" w:rsidRPr="008B3084" w:rsidRDefault="00E76C9B" w:rsidP="008B3084">
      <w:pPr>
        <w:spacing w:line="360" w:lineRule="auto"/>
        <w:rPr>
          <w:rFonts w:ascii="Calibri" w:eastAsia="Calibri" w:hAnsi="Calibri" w:cs="Times New Roman"/>
          <w:sz w:val="36"/>
          <w:szCs w:val="36"/>
        </w:rPr>
      </w:pPr>
      <w:r>
        <w:rPr>
          <w:rFonts w:ascii="Calibri" w:eastAsia="Calibri" w:hAnsi="Calibri" w:cs="Times New Roman"/>
        </w:rPr>
        <w:t xml:space="preserve">  </w:t>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sidRPr="00701FB4">
        <w:rPr>
          <w:rFonts w:ascii="Calibri" w:eastAsia="Calibri" w:hAnsi="Calibri" w:cs="Times New Roman"/>
          <w:color w:val="000000" w:themeColor="text1"/>
          <w:sz w:val="36"/>
          <w:szCs w:val="36"/>
        </w:rPr>
        <w:tab/>
      </w:r>
      <w:r w:rsidRPr="00701FB4">
        <w:rPr>
          <w:rFonts w:ascii="Calibri" w:eastAsia="Calibri" w:hAnsi="Calibri" w:cs="Times New Roman"/>
          <w:color w:val="000000" w:themeColor="text1"/>
          <w:sz w:val="36"/>
          <w:szCs w:val="36"/>
        </w:rPr>
        <w:tab/>
        <w:t>Referencing</w:t>
      </w:r>
      <w:bookmarkStart w:id="0" w:name="_GoBack"/>
      <w:bookmarkEnd w:id="0"/>
    </w:p>
    <w:p w:rsidR="00E76C9B" w:rsidRPr="00492D2F" w:rsidRDefault="00E76C9B" w:rsidP="008B3084">
      <w:pPr>
        <w:spacing w:line="360" w:lineRule="auto"/>
        <w:rPr>
          <w:rFonts w:ascii="Calibri" w:eastAsia="Calibri" w:hAnsi="Calibri" w:cs="Times New Roman"/>
        </w:rPr>
      </w:pPr>
    </w:p>
    <w:p w:rsidR="00492D2F" w:rsidRPr="00492D2F" w:rsidRDefault="00492D2F" w:rsidP="008B3084">
      <w:pPr>
        <w:spacing w:line="360" w:lineRule="auto"/>
        <w:rPr>
          <w:rFonts w:ascii="Calibri" w:eastAsia="Calibri" w:hAnsi="Calibri" w:cs="Times New Roman"/>
        </w:rPr>
      </w:pPr>
      <w:proofErr w:type="gramStart"/>
      <w:r w:rsidRPr="00492D2F">
        <w:rPr>
          <w:rFonts w:ascii="Calibri" w:eastAsia="Calibri" w:hAnsi="Calibri" w:cs="Times New Roman"/>
        </w:rPr>
        <w:t>Web page: Equality and Human Rights Commission.</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2023.</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10/12/2023.</w:t>
      </w:r>
      <w:proofErr w:type="gramEnd"/>
      <w:r w:rsidRPr="00492D2F">
        <w:rPr>
          <w:rFonts w:ascii="Calibri" w:eastAsia="Calibri" w:hAnsi="Calibri" w:cs="Times New Roman"/>
        </w:rPr>
        <w:t xml:space="preserve"> Available online: </w:t>
      </w:r>
      <w:hyperlink r:id="rId8" w:history="1">
        <w:r w:rsidRPr="00492D2F">
          <w:rPr>
            <w:rFonts w:ascii="Calibri" w:eastAsia="Calibri" w:hAnsi="Calibri" w:cs="Times New Roman"/>
            <w:color w:val="0000FF" w:themeColor="hyperlink"/>
            <w:u w:val="single"/>
          </w:rPr>
          <w:t>https://www.equalityhumanrights.com/</w:t>
        </w:r>
      </w:hyperlink>
    </w:p>
    <w:p w:rsidR="00492D2F" w:rsidRPr="00492D2F" w:rsidRDefault="00492D2F" w:rsidP="008B3084">
      <w:pPr>
        <w:spacing w:line="360" w:lineRule="auto"/>
        <w:rPr>
          <w:rFonts w:ascii="Calibri" w:eastAsia="Calibri" w:hAnsi="Calibri" w:cs="Times New Roman"/>
        </w:rPr>
      </w:pPr>
      <w:proofErr w:type="gramStart"/>
      <w:r w:rsidRPr="00492D2F">
        <w:rPr>
          <w:rFonts w:ascii="Calibri" w:eastAsia="Calibri" w:hAnsi="Calibri" w:cs="Times New Roman"/>
        </w:rPr>
        <w:t>Web page: Legal Services Act 2007.</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2011.</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10/12/2023.</w:t>
      </w:r>
      <w:proofErr w:type="gramEnd"/>
      <w:r w:rsidRPr="00492D2F">
        <w:rPr>
          <w:rFonts w:ascii="Calibri" w:eastAsia="Calibri" w:hAnsi="Calibri" w:cs="Times New Roman"/>
        </w:rPr>
        <w:t xml:space="preserve"> Available online: </w:t>
      </w:r>
      <w:hyperlink r:id="rId9" w:history="1">
        <w:r w:rsidRPr="00492D2F">
          <w:rPr>
            <w:rFonts w:ascii="Calibri" w:eastAsia="Calibri" w:hAnsi="Calibri" w:cs="Times New Roman"/>
            <w:color w:val="0000FF" w:themeColor="hyperlink"/>
            <w:u w:val="single"/>
          </w:rPr>
          <w:t>https://www.legislation.gov.uk/ukpga/2007/29</w:t>
        </w:r>
      </w:hyperlink>
    </w:p>
    <w:p w:rsidR="00492D2F" w:rsidRPr="00492D2F" w:rsidRDefault="00492D2F" w:rsidP="008B3084">
      <w:pPr>
        <w:spacing w:line="360" w:lineRule="auto"/>
        <w:rPr>
          <w:rFonts w:ascii="Calibri" w:eastAsia="Calibri" w:hAnsi="Calibri" w:cs="Times New Roman"/>
        </w:rPr>
      </w:pPr>
      <w:proofErr w:type="gramStart"/>
      <w:r w:rsidRPr="00492D2F">
        <w:rPr>
          <w:rFonts w:ascii="Calibri" w:eastAsia="Calibri" w:hAnsi="Calibri" w:cs="Times New Roman"/>
        </w:rPr>
        <w:t>Web page: Equality Act 2010: guidance.</w:t>
      </w:r>
      <w:proofErr w:type="gramEnd"/>
      <w:r w:rsidRPr="00492D2F">
        <w:rPr>
          <w:rFonts w:ascii="Calibri" w:eastAsia="Calibri" w:hAnsi="Calibri" w:cs="Times New Roman"/>
        </w:rPr>
        <w:t xml:space="preserve"> Updated 16/06/2015. </w:t>
      </w:r>
      <w:proofErr w:type="gramStart"/>
      <w:r w:rsidRPr="00492D2F">
        <w:rPr>
          <w:rFonts w:ascii="Calibri" w:eastAsia="Calibri" w:hAnsi="Calibri" w:cs="Times New Roman"/>
        </w:rPr>
        <w:t>Accessed: 12/12/2023.</w:t>
      </w:r>
      <w:proofErr w:type="gramEnd"/>
      <w:r w:rsidRPr="00492D2F">
        <w:rPr>
          <w:rFonts w:ascii="Calibri" w:eastAsia="Calibri" w:hAnsi="Calibri" w:cs="Times New Roman"/>
        </w:rPr>
        <w:t xml:space="preserve"> Available online: </w:t>
      </w:r>
      <w:hyperlink r:id="rId10" w:anchor=":~:text=The%20Equality%20Act%202010%20legally,strengthening%20protection%20in%20some%20situations" w:history="1">
        <w:r w:rsidRPr="00492D2F">
          <w:rPr>
            <w:rFonts w:ascii="Calibri" w:eastAsia="Calibri" w:hAnsi="Calibri" w:cs="Times New Roman"/>
            <w:color w:val="0000FF" w:themeColor="hyperlink"/>
            <w:u w:val="single"/>
          </w:rPr>
          <w:t>https://www.gov.uk/guidance/equality-act-2010-guidance#:~:text=The%20Equality%20Act%202010%20legally,strengthening%20protection%20in%20some%20situations</w:t>
        </w:r>
      </w:hyperlink>
    </w:p>
    <w:p w:rsidR="00492D2F" w:rsidRPr="00492D2F" w:rsidRDefault="00492D2F" w:rsidP="008B3084">
      <w:pPr>
        <w:spacing w:line="360" w:lineRule="auto"/>
        <w:rPr>
          <w:rFonts w:ascii="Calibri" w:eastAsia="Calibri" w:hAnsi="Calibri" w:cs="Times New Roman"/>
          <w:i/>
          <w:iCs/>
        </w:rPr>
      </w:pPr>
      <w:proofErr w:type="gramStart"/>
      <w:r w:rsidRPr="00492D2F">
        <w:rPr>
          <w:rFonts w:ascii="Calibri" w:eastAsia="Calibri" w:hAnsi="Calibri" w:cs="Times New Roman"/>
        </w:rPr>
        <w:t>Web page: SRA Principles.</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2019.</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13/12/2023.</w:t>
      </w:r>
      <w:proofErr w:type="gramEnd"/>
      <w:r w:rsidRPr="00492D2F">
        <w:rPr>
          <w:rFonts w:ascii="Calibri" w:eastAsia="Calibri" w:hAnsi="Calibri" w:cs="Times New Roman"/>
        </w:rPr>
        <w:t xml:space="preserve"> Available online: </w:t>
      </w:r>
      <w:hyperlink r:id="rId11" w:history="1">
        <w:r w:rsidRPr="00492D2F">
          <w:rPr>
            <w:rFonts w:ascii="Calibri" w:eastAsia="Calibri" w:hAnsi="Calibri" w:cs="Times New Roman"/>
            <w:i/>
            <w:iCs/>
            <w:color w:val="0000FF" w:themeColor="hyperlink"/>
            <w:u w:val="single"/>
          </w:rPr>
          <w:t>https://www.sra.org.uk/solicitors/standards-regulations/principles/</w:t>
        </w:r>
      </w:hyperlink>
    </w:p>
    <w:p w:rsidR="00492D2F" w:rsidRPr="00492D2F" w:rsidRDefault="00492D2F" w:rsidP="008B3084">
      <w:pPr>
        <w:spacing w:line="360" w:lineRule="auto"/>
        <w:rPr>
          <w:rFonts w:ascii="Calibri" w:eastAsia="Calibri" w:hAnsi="Calibri" w:cs="Times New Roman"/>
          <w:i/>
          <w:iCs/>
        </w:rPr>
      </w:pPr>
      <w:proofErr w:type="gramStart"/>
      <w:r w:rsidRPr="00492D2F">
        <w:rPr>
          <w:rFonts w:ascii="Calibri" w:eastAsia="Calibri" w:hAnsi="Calibri" w:cs="Times New Roman"/>
        </w:rPr>
        <w:t>Web page: Legal Services Act 2007.</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2011.</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13/12/2023.</w:t>
      </w:r>
      <w:proofErr w:type="gramEnd"/>
      <w:r w:rsidRPr="00492D2F">
        <w:rPr>
          <w:rFonts w:ascii="Calibri" w:eastAsia="Calibri" w:hAnsi="Calibri" w:cs="Times New Roman"/>
        </w:rPr>
        <w:t xml:space="preserve"> Available online: </w:t>
      </w:r>
      <w:hyperlink r:id="rId12" w:history="1">
        <w:r w:rsidRPr="00492D2F">
          <w:rPr>
            <w:rFonts w:ascii="Calibri" w:eastAsia="Calibri" w:hAnsi="Calibri" w:cs="Times New Roman"/>
            <w:i/>
            <w:iCs/>
            <w:color w:val="0000FF" w:themeColor="hyperlink"/>
            <w:u w:val="single"/>
          </w:rPr>
          <w:t>https://www.legislation.gov.uk/ukpga/2007/29/section/111A</w:t>
        </w:r>
      </w:hyperlink>
    </w:p>
    <w:p w:rsidR="00492D2F" w:rsidRPr="00492D2F" w:rsidRDefault="00492D2F" w:rsidP="008B3084">
      <w:pPr>
        <w:spacing w:line="360" w:lineRule="auto"/>
        <w:rPr>
          <w:rFonts w:ascii="Calibri" w:eastAsia="Calibri" w:hAnsi="Calibri" w:cs="Times New Roman"/>
        </w:rPr>
      </w:pPr>
      <w:proofErr w:type="gramStart"/>
      <w:r w:rsidRPr="00492D2F">
        <w:rPr>
          <w:rFonts w:ascii="Calibri" w:eastAsia="Calibri" w:hAnsi="Calibri" w:cs="Times New Roman"/>
        </w:rPr>
        <w:t>Web page: Legislation.gov.uk.</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w:t>
      </w:r>
      <w:proofErr w:type="gramEnd"/>
      <w:r w:rsidRPr="00492D2F">
        <w:rPr>
          <w:rFonts w:ascii="Calibri" w:eastAsia="Calibri" w:hAnsi="Calibri" w:cs="Times New Roman"/>
        </w:rPr>
        <w:t xml:space="preserve">: 2011. Accessed 15/12/2023. Available online at: </w:t>
      </w:r>
      <w:hyperlink r:id="rId13" w:history="1">
        <w:r w:rsidRPr="00492D2F">
          <w:rPr>
            <w:rFonts w:ascii="Calibri" w:eastAsia="Calibri" w:hAnsi="Calibri" w:cs="Times New Roman"/>
            <w:i/>
            <w:iCs/>
            <w:color w:val="0000FF" w:themeColor="hyperlink"/>
            <w:u w:val="single"/>
          </w:rPr>
          <w:t>https://www.legislation.gov.uk/ukpga/2007/29/contents</w:t>
        </w:r>
      </w:hyperlink>
    </w:p>
    <w:p w:rsidR="00492D2F" w:rsidRPr="00492D2F" w:rsidRDefault="00492D2F" w:rsidP="008B3084">
      <w:pPr>
        <w:spacing w:line="360" w:lineRule="auto"/>
        <w:rPr>
          <w:rFonts w:ascii="Calibri" w:eastAsia="Calibri" w:hAnsi="Calibri" w:cs="Times New Roman"/>
          <w:i/>
          <w:iCs/>
        </w:rPr>
      </w:pPr>
      <w:proofErr w:type="gramStart"/>
      <w:r w:rsidRPr="00492D2F">
        <w:rPr>
          <w:rFonts w:ascii="Calibri" w:eastAsia="Calibri" w:hAnsi="Calibri" w:cs="Times New Roman"/>
        </w:rPr>
        <w:lastRenderedPageBreak/>
        <w:t>Web page: Definition of disability under the Equality Act 2010.</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2011.</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15/12/2023.</w:t>
      </w:r>
      <w:proofErr w:type="gramEnd"/>
      <w:r w:rsidRPr="00492D2F">
        <w:rPr>
          <w:rFonts w:ascii="Calibri" w:eastAsia="Calibri" w:hAnsi="Calibri" w:cs="Times New Roman"/>
        </w:rPr>
        <w:t xml:space="preserve"> Available online at: </w:t>
      </w:r>
      <w:hyperlink r:id="rId14" w:history="1">
        <w:r w:rsidRPr="00492D2F">
          <w:rPr>
            <w:rFonts w:ascii="Calibri" w:eastAsia="Calibri" w:hAnsi="Calibri" w:cs="Times New Roman"/>
            <w:i/>
            <w:iCs/>
            <w:color w:val="0000FF" w:themeColor="hyperlink"/>
            <w:u w:val="single"/>
          </w:rPr>
          <w:t>https://www.gov.uk/definition-of-disability-under-equality-act-2010</w:t>
        </w:r>
      </w:hyperlink>
    </w:p>
    <w:p w:rsidR="00492D2F" w:rsidRPr="00492D2F" w:rsidRDefault="00492D2F" w:rsidP="008B3084">
      <w:pPr>
        <w:spacing w:line="360" w:lineRule="auto"/>
        <w:rPr>
          <w:rFonts w:ascii="Calibri" w:eastAsia="Calibri" w:hAnsi="Calibri" w:cs="Times New Roman"/>
          <w:i/>
          <w:iCs/>
        </w:rPr>
      </w:pPr>
      <w:proofErr w:type="gramStart"/>
      <w:r w:rsidRPr="00492D2F">
        <w:rPr>
          <w:rFonts w:ascii="Calibri" w:eastAsia="Calibri" w:hAnsi="Calibri" w:cs="Times New Roman"/>
        </w:rPr>
        <w:t>Web page: Equality, diversity and inclusion.</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2023.</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15/12/2023.</w:t>
      </w:r>
      <w:proofErr w:type="gramEnd"/>
      <w:r w:rsidRPr="00492D2F">
        <w:rPr>
          <w:rFonts w:ascii="Calibri" w:eastAsia="Calibri" w:hAnsi="Calibri" w:cs="Times New Roman"/>
        </w:rPr>
        <w:t xml:space="preserve"> Available online at: </w:t>
      </w:r>
      <w:hyperlink r:id="rId15" w:history="1">
        <w:r w:rsidRPr="00492D2F">
          <w:rPr>
            <w:rFonts w:ascii="Calibri" w:eastAsia="Calibri" w:hAnsi="Calibri" w:cs="Times New Roman"/>
            <w:i/>
            <w:iCs/>
            <w:color w:val="0000FF" w:themeColor="hyperlink"/>
            <w:u w:val="single"/>
          </w:rPr>
          <w:t>https://www.barcouncil.org.uk/support-for-barristers/equality-diversity-and-inclusion.html</w:t>
        </w:r>
      </w:hyperlink>
    </w:p>
    <w:p w:rsidR="00492D2F" w:rsidRPr="00492D2F" w:rsidRDefault="00492D2F" w:rsidP="008B3084">
      <w:pPr>
        <w:spacing w:line="360" w:lineRule="auto"/>
        <w:rPr>
          <w:rFonts w:ascii="Calibri" w:eastAsia="Calibri" w:hAnsi="Calibri" w:cs="Times New Roman"/>
          <w:i/>
          <w:iCs/>
        </w:rPr>
      </w:pPr>
      <w:proofErr w:type="gramStart"/>
      <w:r w:rsidRPr="00492D2F">
        <w:rPr>
          <w:rFonts w:ascii="Calibri" w:eastAsia="Calibri" w:hAnsi="Calibri" w:cs="Times New Roman"/>
        </w:rPr>
        <w:t>Web page: equality and diversity.</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2023.</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15/12/2023.</w:t>
      </w:r>
      <w:proofErr w:type="gramEnd"/>
      <w:r w:rsidRPr="00492D2F">
        <w:rPr>
          <w:rFonts w:ascii="Calibri" w:eastAsia="Calibri" w:hAnsi="Calibri" w:cs="Times New Roman"/>
        </w:rPr>
        <w:t xml:space="preserve"> Available online at: </w:t>
      </w:r>
      <w:hyperlink r:id="rId16" w:history="1">
        <w:r w:rsidRPr="00492D2F">
          <w:rPr>
            <w:rFonts w:ascii="Calibri" w:eastAsia="Calibri" w:hAnsi="Calibri" w:cs="Times New Roman"/>
            <w:i/>
            <w:iCs/>
            <w:color w:val="0000FF" w:themeColor="hyperlink"/>
            <w:u w:val="single"/>
          </w:rPr>
          <w:t>https://www.actionforchildren.org.uk/about-us/equality-and-diversity/</w:t>
        </w:r>
      </w:hyperlink>
    </w:p>
    <w:p w:rsidR="00492D2F" w:rsidRPr="00492D2F" w:rsidRDefault="00492D2F" w:rsidP="008B3084">
      <w:pPr>
        <w:spacing w:line="360" w:lineRule="auto"/>
        <w:rPr>
          <w:rFonts w:ascii="Calibri" w:eastAsia="Calibri" w:hAnsi="Calibri" w:cs="Times New Roman"/>
        </w:rPr>
      </w:pPr>
      <w:proofErr w:type="gramStart"/>
      <w:r w:rsidRPr="00492D2F">
        <w:rPr>
          <w:rFonts w:ascii="Calibri" w:eastAsia="Calibri" w:hAnsi="Calibri" w:cs="Times New Roman"/>
        </w:rPr>
        <w:t>Web page: Thematic study of compliance with Principle 9.</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Updated: April 2022.</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Accessed: 15/12/2023.</w:t>
      </w:r>
      <w:proofErr w:type="gramEnd"/>
      <w:r w:rsidRPr="00492D2F">
        <w:rPr>
          <w:rFonts w:ascii="Calibri" w:eastAsia="Calibri" w:hAnsi="Calibri" w:cs="Times New Roman"/>
        </w:rPr>
        <w:t xml:space="preserve"> </w:t>
      </w:r>
      <w:proofErr w:type="gramStart"/>
      <w:r w:rsidRPr="00492D2F">
        <w:rPr>
          <w:rFonts w:ascii="Calibri" w:eastAsia="Calibri" w:hAnsi="Calibri" w:cs="Times New Roman"/>
        </w:rPr>
        <w:t xml:space="preserve">Available online at: </w:t>
      </w:r>
      <w:hyperlink r:id="rId17" w:anchor=":~:text=Principle%209%20requires%20the%20regulated,Conduct%20in%20the%20SRA%20Handbook" w:history="1">
        <w:r w:rsidRPr="00492D2F">
          <w:rPr>
            <w:rFonts w:ascii="Calibri" w:eastAsia="Calibri" w:hAnsi="Calibri" w:cs="Times New Roman"/>
            <w:i/>
            <w:iCs/>
            <w:color w:val="0000FF" w:themeColor="hyperlink"/>
            <w:u w:val="single"/>
          </w:rPr>
          <w:t>https://www.sra.org.uk/sra/research-publications/thematic-study-compliance-principle-9/#:~:text=Principle%209%20requires%20the%20regulated,Conduct%20in%20the%20SRA%20Handbook</w:t>
        </w:r>
      </w:hyperlink>
      <w:r w:rsidRPr="00492D2F">
        <w:rPr>
          <w:rFonts w:ascii="Calibri" w:eastAsia="Calibri" w:hAnsi="Calibri" w:cs="Times New Roman"/>
          <w:i/>
          <w:iCs/>
        </w:rPr>
        <w:t>.</w:t>
      </w:r>
      <w:proofErr w:type="gramEnd"/>
    </w:p>
    <w:p w:rsidR="00EA00F2" w:rsidRDefault="00EA00F2" w:rsidP="008B3084">
      <w:pPr>
        <w:spacing w:line="360" w:lineRule="auto"/>
        <w:ind w:left="720" w:hanging="720"/>
      </w:pPr>
    </w:p>
    <w:sectPr w:rsidR="00EA00F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884" w:rsidRDefault="003C7884" w:rsidP="008B3084">
      <w:pPr>
        <w:spacing w:after="0" w:line="240" w:lineRule="auto"/>
      </w:pPr>
      <w:r>
        <w:separator/>
      </w:r>
    </w:p>
  </w:endnote>
  <w:endnote w:type="continuationSeparator" w:id="0">
    <w:p w:rsidR="003C7884" w:rsidRDefault="003C7884" w:rsidP="008B3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3751088"/>
      <w:docPartObj>
        <w:docPartGallery w:val="Page Numbers (Bottom of Page)"/>
        <w:docPartUnique/>
      </w:docPartObj>
    </w:sdtPr>
    <w:sdtEndPr>
      <w:rPr>
        <w:noProof/>
      </w:rPr>
    </w:sdtEndPr>
    <w:sdtContent>
      <w:p w:rsidR="008B3084" w:rsidRDefault="008B3084">
        <w:pPr>
          <w:pStyle w:val="Footer"/>
          <w:jc w:val="center"/>
        </w:pPr>
        <w:r>
          <w:fldChar w:fldCharType="begin"/>
        </w:r>
        <w:r>
          <w:instrText xml:space="preserve"> PAGE   \* MERGEFORMAT </w:instrText>
        </w:r>
        <w:r>
          <w:fldChar w:fldCharType="separate"/>
        </w:r>
        <w:r w:rsidR="00701FB4">
          <w:rPr>
            <w:noProof/>
          </w:rPr>
          <w:t>1</w:t>
        </w:r>
        <w:r>
          <w:rPr>
            <w:noProof/>
          </w:rPr>
          <w:fldChar w:fldCharType="end"/>
        </w:r>
      </w:p>
    </w:sdtContent>
  </w:sdt>
  <w:p w:rsidR="008B3084" w:rsidRDefault="008B3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884" w:rsidRDefault="003C7884" w:rsidP="008B3084">
      <w:pPr>
        <w:spacing w:after="0" w:line="240" w:lineRule="auto"/>
      </w:pPr>
      <w:r>
        <w:separator/>
      </w:r>
    </w:p>
  </w:footnote>
  <w:footnote w:type="continuationSeparator" w:id="0">
    <w:p w:rsidR="003C7884" w:rsidRDefault="003C7884" w:rsidP="008B30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3B"/>
    <w:rsid w:val="000E3BD2"/>
    <w:rsid w:val="00115238"/>
    <w:rsid w:val="0013135B"/>
    <w:rsid w:val="00146A14"/>
    <w:rsid w:val="0015329A"/>
    <w:rsid w:val="00160372"/>
    <w:rsid w:val="00202BA5"/>
    <w:rsid w:val="00225066"/>
    <w:rsid w:val="00265BD0"/>
    <w:rsid w:val="0027429A"/>
    <w:rsid w:val="002A3740"/>
    <w:rsid w:val="002D046E"/>
    <w:rsid w:val="002D5E11"/>
    <w:rsid w:val="002E2051"/>
    <w:rsid w:val="002F0AC8"/>
    <w:rsid w:val="00311CD3"/>
    <w:rsid w:val="00315CB9"/>
    <w:rsid w:val="00330C2A"/>
    <w:rsid w:val="00370286"/>
    <w:rsid w:val="00374F70"/>
    <w:rsid w:val="00386824"/>
    <w:rsid w:val="003A3559"/>
    <w:rsid w:val="003C4A42"/>
    <w:rsid w:val="003C7884"/>
    <w:rsid w:val="00490B5D"/>
    <w:rsid w:val="00492D2F"/>
    <w:rsid w:val="004B2B8E"/>
    <w:rsid w:val="004C3EE1"/>
    <w:rsid w:val="004D64A3"/>
    <w:rsid w:val="00547ABA"/>
    <w:rsid w:val="00551208"/>
    <w:rsid w:val="005F7DB2"/>
    <w:rsid w:val="00606CF8"/>
    <w:rsid w:val="006241A1"/>
    <w:rsid w:val="006D0220"/>
    <w:rsid w:val="006D348E"/>
    <w:rsid w:val="00701FB4"/>
    <w:rsid w:val="0070519C"/>
    <w:rsid w:val="007A11E9"/>
    <w:rsid w:val="007D2B1F"/>
    <w:rsid w:val="007D6890"/>
    <w:rsid w:val="008140F6"/>
    <w:rsid w:val="00826188"/>
    <w:rsid w:val="00837653"/>
    <w:rsid w:val="008B3084"/>
    <w:rsid w:val="008E2495"/>
    <w:rsid w:val="008F66A1"/>
    <w:rsid w:val="009D17F7"/>
    <w:rsid w:val="009D6B78"/>
    <w:rsid w:val="009D79D0"/>
    <w:rsid w:val="00A8691B"/>
    <w:rsid w:val="00A95063"/>
    <w:rsid w:val="00AA50AB"/>
    <w:rsid w:val="00B0111B"/>
    <w:rsid w:val="00B7094C"/>
    <w:rsid w:val="00BC7DAB"/>
    <w:rsid w:val="00BE7FDE"/>
    <w:rsid w:val="00C612CD"/>
    <w:rsid w:val="00C62733"/>
    <w:rsid w:val="00C75269"/>
    <w:rsid w:val="00C81DF1"/>
    <w:rsid w:val="00C91A4E"/>
    <w:rsid w:val="00CD0D7E"/>
    <w:rsid w:val="00D24392"/>
    <w:rsid w:val="00D515CD"/>
    <w:rsid w:val="00D6723E"/>
    <w:rsid w:val="00DC1279"/>
    <w:rsid w:val="00E11291"/>
    <w:rsid w:val="00E1243B"/>
    <w:rsid w:val="00E301A4"/>
    <w:rsid w:val="00E61165"/>
    <w:rsid w:val="00E76C9B"/>
    <w:rsid w:val="00EA00F2"/>
    <w:rsid w:val="00EB2A7F"/>
    <w:rsid w:val="00FA5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2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BA5"/>
    <w:rPr>
      <w:rFonts w:ascii="Tahoma" w:hAnsi="Tahoma" w:cs="Tahoma"/>
      <w:sz w:val="16"/>
      <w:szCs w:val="16"/>
    </w:rPr>
  </w:style>
  <w:style w:type="character" w:styleId="Hyperlink">
    <w:name w:val="Hyperlink"/>
    <w:basedOn w:val="DefaultParagraphFont"/>
    <w:uiPriority w:val="99"/>
    <w:unhideWhenUsed/>
    <w:rsid w:val="004B2B8E"/>
    <w:rPr>
      <w:color w:val="0000FF" w:themeColor="hyperlink"/>
      <w:u w:val="single"/>
    </w:rPr>
  </w:style>
  <w:style w:type="paragraph" w:styleId="Header">
    <w:name w:val="header"/>
    <w:basedOn w:val="Normal"/>
    <w:link w:val="HeaderChar"/>
    <w:uiPriority w:val="99"/>
    <w:unhideWhenUsed/>
    <w:rsid w:val="008B3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084"/>
  </w:style>
  <w:style w:type="paragraph" w:styleId="Footer">
    <w:name w:val="footer"/>
    <w:basedOn w:val="Normal"/>
    <w:link w:val="FooterChar"/>
    <w:uiPriority w:val="99"/>
    <w:unhideWhenUsed/>
    <w:rsid w:val="008B3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0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2B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BA5"/>
    <w:rPr>
      <w:rFonts w:ascii="Tahoma" w:hAnsi="Tahoma" w:cs="Tahoma"/>
      <w:sz w:val="16"/>
      <w:szCs w:val="16"/>
    </w:rPr>
  </w:style>
  <w:style w:type="character" w:styleId="Hyperlink">
    <w:name w:val="Hyperlink"/>
    <w:basedOn w:val="DefaultParagraphFont"/>
    <w:uiPriority w:val="99"/>
    <w:unhideWhenUsed/>
    <w:rsid w:val="004B2B8E"/>
    <w:rPr>
      <w:color w:val="0000FF" w:themeColor="hyperlink"/>
      <w:u w:val="single"/>
    </w:rPr>
  </w:style>
  <w:style w:type="paragraph" w:styleId="Header">
    <w:name w:val="header"/>
    <w:basedOn w:val="Normal"/>
    <w:link w:val="HeaderChar"/>
    <w:uiPriority w:val="99"/>
    <w:unhideWhenUsed/>
    <w:rsid w:val="008B3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084"/>
  </w:style>
  <w:style w:type="paragraph" w:styleId="Footer">
    <w:name w:val="footer"/>
    <w:basedOn w:val="Normal"/>
    <w:link w:val="FooterChar"/>
    <w:uiPriority w:val="99"/>
    <w:unhideWhenUsed/>
    <w:rsid w:val="008B3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999276">
      <w:bodyDiv w:val="1"/>
      <w:marLeft w:val="0"/>
      <w:marRight w:val="0"/>
      <w:marTop w:val="0"/>
      <w:marBottom w:val="0"/>
      <w:divBdr>
        <w:top w:val="none" w:sz="0" w:space="0" w:color="auto"/>
        <w:left w:val="none" w:sz="0" w:space="0" w:color="auto"/>
        <w:bottom w:val="none" w:sz="0" w:space="0" w:color="auto"/>
        <w:right w:val="none" w:sz="0" w:space="0" w:color="auto"/>
      </w:divBdr>
    </w:div>
    <w:div w:id="747844182">
      <w:bodyDiv w:val="1"/>
      <w:marLeft w:val="0"/>
      <w:marRight w:val="0"/>
      <w:marTop w:val="0"/>
      <w:marBottom w:val="0"/>
      <w:divBdr>
        <w:top w:val="none" w:sz="0" w:space="0" w:color="auto"/>
        <w:left w:val="none" w:sz="0" w:space="0" w:color="auto"/>
        <w:bottom w:val="none" w:sz="0" w:space="0" w:color="auto"/>
        <w:right w:val="none" w:sz="0" w:space="0" w:color="auto"/>
      </w:divBdr>
    </w:div>
    <w:div w:id="163147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 TargetMode="External"/><Relationship Id="rId13" Type="http://schemas.openxmlformats.org/officeDocument/2006/relationships/hyperlink" Target="https://www.legislation.gov.uk/ukpga/2007/29/contents"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egislation.gov.uk/ukpga/2007/29/section/111A" TargetMode="External"/><Relationship Id="rId17" Type="http://schemas.openxmlformats.org/officeDocument/2006/relationships/hyperlink" Target="https://www.sra.org.uk/sra/research-publications/thematic-study-compliance-principle-9/" TargetMode="External"/><Relationship Id="rId2" Type="http://schemas.openxmlformats.org/officeDocument/2006/relationships/styles" Target="styles.xml"/><Relationship Id="rId16" Type="http://schemas.openxmlformats.org/officeDocument/2006/relationships/hyperlink" Target="https://www.actionforchildren.org.uk/about-us/equality-and-divers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ra.org.uk/solicitors/standards-regulations/principles/" TargetMode="External"/><Relationship Id="rId5" Type="http://schemas.openxmlformats.org/officeDocument/2006/relationships/webSettings" Target="webSettings.xml"/><Relationship Id="rId15" Type="http://schemas.openxmlformats.org/officeDocument/2006/relationships/hyperlink" Target="https://www.barcouncil.org.uk/support-for-barristers/equality-diversity-and-inclusion.html" TargetMode="External"/><Relationship Id="rId10" Type="http://schemas.openxmlformats.org/officeDocument/2006/relationships/hyperlink" Target="https://www.gov.uk/guidance/equality-act-2010-guida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2007/29" TargetMode="External"/><Relationship Id="rId14" Type="http://schemas.openxmlformats.org/officeDocument/2006/relationships/hyperlink" Target="https://www.gov.uk/definition-of-disability-under-equality-act-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A0DD7-C1BB-469C-B65C-7E6319133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2023-12-15T20:13:00Z</dcterms:created>
  <dcterms:modified xsi:type="dcterms:W3CDTF">2023-12-15T20:13:00Z</dcterms:modified>
</cp:coreProperties>
</file>