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C57BF09" w14:textId="0E0219D7" w:rsidR="007B0578" w:rsidRPr="0087259C" w:rsidRDefault="0087259C" w:rsidP="007B0578">
      <w:pPr>
        <w:rPr>
          <w:b/>
          <w:bCs/>
        </w:rPr>
      </w:pPr>
      <w:r w:rsidRPr="0087259C">
        <w:rPr>
          <w:b/>
          <w:bCs/>
        </w:rPr>
        <w:t>Critically discuss how neuroimaging techniques have enhanced our understanding of social cognition</w:t>
      </w:r>
    </w:p>
    <w:p w14:paraId="01A612DE" w14:textId="77777777" w:rsidR="0087259C" w:rsidRPr="0087259C" w:rsidRDefault="0087259C" w:rsidP="007B0578"/>
    <w:p w14:paraId="7D489C66" w14:textId="77777777" w:rsidR="007B0578" w:rsidRPr="0087259C" w:rsidRDefault="007B0578" w:rsidP="007B0578">
      <w:pPr>
        <w:rPr>
          <w:color w:val="222222"/>
        </w:rPr>
      </w:pPr>
      <w:r w:rsidRPr="0087259C">
        <w:t>Social cognition within social psychology refers to the studies of how humans process and respond to social cues; particularly during social interactions (</w:t>
      </w:r>
      <w:r w:rsidRPr="0087259C">
        <w:rPr>
          <w:color w:val="222222"/>
        </w:rPr>
        <w:t>Ramachandran, 2012).</w:t>
      </w:r>
      <w:r w:rsidRPr="0087259C">
        <w:t xml:space="preserve"> </w:t>
      </w:r>
      <w:r w:rsidRPr="0087259C">
        <w:rPr>
          <w:color w:val="222222"/>
        </w:rPr>
        <w:t xml:space="preserve">social information is perceived and interpreted through mechanisms, often seen as automatic, such as attitudes and biases, emotional factors or even personality which ultimately comes down to individual differences which affect social behaviours. (Gallagher et al., 2019). To understand the underlying mechanism of this topic area; neuroscience, particularly the development of neuroimaging techniques, has allowed enhancement of understanding of social cognition and its theories; and has been able to identify specific brain regions that may impact social cognition (Dunne &amp; O’Doherty.,2013). </w:t>
      </w:r>
      <w:r w:rsidRPr="0087259C">
        <w:rPr>
          <w:color w:val="222222"/>
          <w:shd w:val="clear" w:color="auto" w:fill="FFFFFF"/>
        </w:rPr>
        <w:t>Therefore, the current essay will discuss how various neuroimaging techniques has enhanced understanding of social cognition.</w:t>
      </w:r>
    </w:p>
    <w:p w14:paraId="65A4F70E" w14:textId="77777777" w:rsidR="007B0578" w:rsidRPr="0087259C" w:rsidRDefault="007B0578" w:rsidP="007B0578">
      <w:pPr>
        <w:rPr>
          <w:color w:val="222222"/>
        </w:rPr>
      </w:pPr>
    </w:p>
    <w:p w14:paraId="04A6B3A0" w14:textId="77777777" w:rsidR="007B0578" w:rsidRPr="0087259C" w:rsidRDefault="007B0578" w:rsidP="007B0578">
      <w:pPr>
        <w:rPr>
          <w:color w:val="222222"/>
        </w:rPr>
      </w:pPr>
    </w:p>
    <w:p w14:paraId="0A45A4F2" w14:textId="01EE3542" w:rsidR="007B0578" w:rsidRPr="0087259C" w:rsidRDefault="007B0578" w:rsidP="007B0578">
      <w:pPr>
        <w:rPr>
          <w:color w:val="222222"/>
          <w:shd w:val="clear" w:color="auto" w:fill="FFFFFF"/>
        </w:rPr>
      </w:pPr>
      <w:r w:rsidRPr="0087259C">
        <w:rPr>
          <w:color w:val="222222"/>
        </w:rPr>
        <w:t>Particularly though examining brain injury () and neuropsychiatric disorders, neuroimaging has often been utilised to enhance understanding of how these conditions ultimately effect social behaviour. (</w:t>
      </w:r>
      <w:r w:rsidRPr="0087259C">
        <w:rPr>
          <w:color w:val="222222"/>
          <w:shd w:val="clear" w:color="auto" w:fill="FFFFFF"/>
        </w:rPr>
        <w:t xml:space="preserve">Grady &amp; Keightley, 2002). When looking at social cognition; one of the most </w:t>
      </w:r>
      <w:r w:rsidRPr="0087259C">
        <w:rPr>
          <w:color w:val="222222"/>
        </w:rPr>
        <w:t>key study in psychology that has demonstrated major behaviour change is the study of Phineas gage. Gage suffered a tragic accident at work where a tamping iron shot through his skull due to an explosion on a construction site. Although gage survive the accident, physically healing with no signs of conscious impairments; gage seemed to possess a completely differing personality a</w:t>
      </w:r>
      <w:r w:rsidRPr="0087259C">
        <w:rPr>
          <w:rFonts w:eastAsiaTheme="minorEastAsia"/>
          <w:color w:val="000000" w:themeColor="text1"/>
          <w:kern w:val="24"/>
        </w:rPr>
        <w:t xml:space="preserve">ccording to </w:t>
      </w:r>
      <w:r w:rsidRPr="0087259C">
        <w:rPr>
          <w:color w:val="222222"/>
        </w:rPr>
        <w:t xml:space="preserve">MacMilan </w:t>
      </w:r>
      <w:r w:rsidR="0087259C" w:rsidRPr="0087259C">
        <w:rPr>
          <w:color w:val="222222"/>
        </w:rPr>
        <w:t>(2004)</w:t>
      </w:r>
      <w:r w:rsidRPr="0087259C">
        <w:rPr>
          <w:color w:val="222222"/>
        </w:rPr>
        <w:t xml:space="preserve">. Over two decades later, due to neuroimaging techniques, it was supposed that personality changes were ultimately a result of a brain lesion; leading to interest in the neuroscience behind social cognition </w:t>
      </w:r>
      <w:r w:rsidR="0087259C" w:rsidRPr="0087259C">
        <w:rPr>
          <w:color w:val="222222"/>
        </w:rPr>
        <w:t xml:space="preserve">changes. </w:t>
      </w:r>
      <w:proofErr w:type="gramStart"/>
      <w:r w:rsidR="0087259C" w:rsidRPr="0087259C">
        <w:rPr>
          <w:color w:val="222222"/>
        </w:rPr>
        <w:t>(</w:t>
      </w:r>
      <w:r w:rsidRPr="0087259C">
        <w:rPr>
          <w:color w:val="222222"/>
          <w:shd w:val="clear" w:color="auto" w:fill="FFFFFF"/>
        </w:rPr>
        <w:t xml:space="preserve"> Damasio</w:t>
      </w:r>
      <w:proofErr w:type="gramEnd"/>
      <w:r w:rsidRPr="0087259C">
        <w:rPr>
          <w:color w:val="222222"/>
          <w:shd w:val="clear" w:color="auto" w:fill="FFFFFF"/>
        </w:rPr>
        <w:t xml:space="preserve">, </w:t>
      </w:r>
      <w:r w:rsidR="0087259C" w:rsidRPr="0087259C">
        <w:rPr>
          <w:color w:val="222222"/>
          <w:shd w:val="clear" w:color="auto" w:fill="FFFFFF"/>
        </w:rPr>
        <w:t>et al.,</w:t>
      </w:r>
      <w:r w:rsidRPr="0087259C">
        <w:rPr>
          <w:color w:val="222222"/>
          <w:shd w:val="clear" w:color="auto" w:fill="FFFFFF"/>
        </w:rPr>
        <w:t>1994).</w:t>
      </w:r>
    </w:p>
    <w:p w14:paraId="2CD584A6" w14:textId="77777777" w:rsidR="007B0578" w:rsidRPr="0087259C" w:rsidRDefault="007B0578" w:rsidP="007B0578">
      <w:pPr>
        <w:rPr>
          <w:color w:val="222222"/>
        </w:rPr>
      </w:pPr>
    </w:p>
    <w:p w14:paraId="164E98A4" w14:textId="77777777" w:rsidR="007B0578" w:rsidRPr="0087259C" w:rsidRDefault="007B0578" w:rsidP="007B0578">
      <w:r w:rsidRPr="0087259C">
        <w:rPr>
          <w:color w:val="1C1D1E"/>
          <w:shd w:val="clear" w:color="auto" w:fill="FFFFFF"/>
        </w:rPr>
        <w:t xml:space="preserve">According to </w:t>
      </w:r>
      <w:r w:rsidRPr="0087259C">
        <w:rPr>
          <w:color w:val="222222"/>
        </w:rPr>
        <w:t>Poletti (2012)</w:t>
      </w:r>
      <w:r w:rsidRPr="0087259C">
        <w:rPr>
          <w:color w:val="1C1D1E"/>
          <w:shd w:val="clear" w:color="auto" w:fill="FFFFFF"/>
        </w:rPr>
        <w:t xml:space="preserve"> years’ worth of studies that have utilised neuroimaging has shown extensive support for the biological basis for social cognition </w:t>
      </w:r>
      <w:proofErr w:type="gramStart"/>
      <w:r w:rsidRPr="0087259C">
        <w:rPr>
          <w:color w:val="1C1D1E"/>
          <w:shd w:val="clear" w:color="auto" w:fill="FFFFFF"/>
        </w:rPr>
        <w:t>theories;</w:t>
      </w:r>
      <w:proofErr w:type="gramEnd"/>
      <w:r w:rsidRPr="0087259C">
        <w:rPr>
          <w:color w:val="1C1D1E"/>
          <w:shd w:val="clear" w:color="auto" w:fill="FFFFFF"/>
        </w:rPr>
        <w:t xml:space="preserve"> such as the Theory of Mind (ToM), as they have allowed insight into the various biological networks which are important in understanding the underlying mechanisms of social cognition.</w:t>
      </w:r>
      <w:r w:rsidRPr="0087259C">
        <w:rPr>
          <w:color w:val="222222"/>
          <w:shd w:val="clear" w:color="auto" w:fill="FFFFFF"/>
        </w:rPr>
        <w:t xml:space="preserve"> </w:t>
      </w:r>
      <w:r w:rsidRPr="0087259C">
        <w:rPr>
          <w:color w:val="212121"/>
          <w:shd w:val="clear" w:color="auto" w:fill="FFFFFF"/>
        </w:rPr>
        <w:t xml:space="preserve">According to </w:t>
      </w:r>
      <w:r w:rsidRPr="0087259C">
        <w:rPr>
          <w:color w:val="222222"/>
          <w:shd w:val="clear" w:color="auto" w:fill="FFFFFF"/>
        </w:rPr>
        <w:t xml:space="preserve">Schlaffke et al. 2015, </w:t>
      </w:r>
      <w:r w:rsidRPr="0087259C">
        <w:rPr>
          <w:color w:val="212121"/>
          <w:shd w:val="clear" w:color="auto" w:fill="FFFFFF"/>
        </w:rPr>
        <w:t>the theory of mind consists of two key components</w:t>
      </w:r>
      <w:r w:rsidRPr="0087259C">
        <w:rPr>
          <w:color w:val="1C1D1E"/>
          <w:shd w:val="clear" w:color="auto" w:fill="FFFFFF"/>
        </w:rPr>
        <w:t xml:space="preserve"> - Cognitive ToM, which represents the ability to identify own and others' thoughts and intention, and the affective ToM, which represents the ability to characterise own and others' emotional status’ – the cognitive and affective components. neuroimaging has enabled researchers to examine a variety of ToM abilities and has found support when looking at patients that suffer with neuropsychiatric brain injuries. For </w:t>
      </w:r>
      <w:proofErr w:type="gramStart"/>
      <w:r w:rsidRPr="0087259C">
        <w:rPr>
          <w:color w:val="1C1D1E"/>
          <w:shd w:val="clear" w:color="auto" w:fill="FFFFFF"/>
        </w:rPr>
        <w:t>instance</w:t>
      </w:r>
      <w:proofErr w:type="gramEnd"/>
      <w:r w:rsidRPr="0087259C">
        <w:rPr>
          <w:color w:val="1C1D1E"/>
          <w:shd w:val="clear" w:color="auto" w:fill="FFFFFF"/>
        </w:rPr>
        <w:t xml:space="preserve"> </w:t>
      </w:r>
      <w:r w:rsidRPr="0087259C">
        <w:rPr>
          <w:color w:val="222222"/>
          <w:shd w:val="clear" w:color="auto" w:fill="FFFFFF"/>
        </w:rPr>
        <w:t>Roca et al. 2011.</w:t>
      </w:r>
      <w:r w:rsidRPr="0087259C">
        <w:rPr>
          <w:color w:val="1C1D1E"/>
          <w:shd w:val="clear" w:color="auto" w:fill="FFFFFF"/>
        </w:rPr>
        <w:t xml:space="preserve">study used MRI to compare healthy individuals to those who have brain lesions; and showed that in the ToM task, those with brain legions performed significantly worse; presenting lower levels of social cognition. </w:t>
      </w:r>
    </w:p>
    <w:p w14:paraId="6042983A" w14:textId="77777777" w:rsidR="007B0578" w:rsidRPr="0087259C" w:rsidRDefault="007B0578" w:rsidP="007B0578">
      <w:pPr>
        <w:rPr>
          <w:color w:val="1C1D1E"/>
          <w:shd w:val="clear" w:color="auto" w:fill="FFFFFF"/>
        </w:rPr>
      </w:pPr>
    </w:p>
    <w:p w14:paraId="75D6E24D" w14:textId="77777777" w:rsidR="007B0578" w:rsidRPr="0087259C" w:rsidRDefault="007B0578" w:rsidP="007B0578">
      <w:pPr>
        <w:rPr>
          <w:color w:val="1C1D1E"/>
          <w:shd w:val="clear" w:color="auto" w:fill="FFFFFF"/>
        </w:rPr>
      </w:pPr>
    </w:p>
    <w:p w14:paraId="4FB4A021" w14:textId="22E0F030" w:rsidR="007B0578" w:rsidRPr="0087259C" w:rsidRDefault="007B0578" w:rsidP="007B0578">
      <w:pPr>
        <w:rPr>
          <w:color w:val="1C1D1E"/>
          <w:shd w:val="clear" w:color="auto" w:fill="FFFFFF"/>
        </w:rPr>
      </w:pPr>
      <w:r w:rsidRPr="0087259C">
        <w:rPr>
          <w:color w:val="1C1D1E"/>
          <w:shd w:val="clear" w:color="auto" w:fill="FFFFFF"/>
        </w:rPr>
        <w:t xml:space="preserve">Furthermore, </w:t>
      </w:r>
      <w:r w:rsidRPr="0087259C">
        <w:t>Multiple areas of the brain have been identified to affect social behaviours (</w:t>
      </w:r>
      <w:r w:rsidRPr="0087259C">
        <w:rPr>
          <w:color w:val="222222"/>
        </w:rPr>
        <w:t xml:space="preserve">Fujiwara, 2015), as previously suggested in </w:t>
      </w:r>
      <w:r w:rsidRPr="0087259C">
        <w:rPr>
          <w:color w:val="222222"/>
          <w:shd w:val="clear" w:color="auto" w:fill="FFFFFF"/>
        </w:rPr>
        <w:t xml:space="preserve">Roca et al. 2011 </w:t>
      </w:r>
      <w:r w:rsidRPr="0087259C">
        <w:rPr>
          <w:color w:val="222222"/>
        </w:rPr>
        <w:t xml:space="preserve">study, the prefrontal cortex is a key area in which can </w:t>
      </w:r>
      <w:r w:rsidR="0087259C" w:rsidRPr="0087259C">
        <w:rPr>
          <w:color w:val="222222"/>
        </w:rPr>
        <w:t>affect</w:t>
      </w:r>
      <w:r w:rsidRPr="0087259C">
        <w:rPr>
          <w:color w:val="222222"/>
        </w:rPr>
        <w:t xml:space="preserve"> social functioning. However not only brain injury studies have been used. For example, neuropsychiatric disorders such as autism have been significantly studied, where neuroimaging techniques such as FRI have provided evidence of prefrontal abnormalities seen in autistic patients could be a plausible reason for social cognitive impairments. (</w:t>
      </w:r>
      <w:r w:rsidRPr="0087259C">
        <w:rPr>
          <w:color w:val="303030"/>
          <w:shd w:val="clear" w:color="auto" w:fill="FFFFFF"/>
        </w:rPr>
        <w:t>Dichter., 2012).</w:t>
      </w:r>
    </w:p>
    <w:p w14:paraId="5F6FEB14" w14:textId="77777777" w:rsidR="007B0578" w:rsidRPr="0087259C" w:rsidRDefault="007B0578" w:rsidP="007B0578">
      <w:pPr>
        <w:rPr>
          <w:color w:val="222222"/>
        </w:rPr>
      </w:pPr>
    </w:p>
    <w:p w14:paraId="639A36FB" w14:textId="77777777" w:rsidR="007B0578" w:rsidRPr="0087259C" w:rsidRDefault="007B0578" w:rsidP="007B0578">
      <w:pPr>
        <w:rPr>
          <w:color w:val="222222"/>
        </w:rPr>
      </w:pPr>
    </w:p>
    <w:p w14:paraId="2E3C176C" w14:textId="77777777" w:rsidR="007B0578" w:rsidRPr="0087259C" w:rsidRDefault="007B0578" w:rsidP="007B0578">
      <w:pPr>
        <w:rPr>
          <w:color w:val="222222"/>
        </w:rPr>
      </w:pPr>
    </w:p>
    <w:p w14:paraId="525B54B6" w14:textId="77777777" w:rsidR="007B0578" w:rsidRPr="0087259C" w:rsidRDefault="007B0578" w:rsidP="007B0578">
      <w:pPr>
        <w:rPr>
          <w:color w:val="222222"/>
          <w:shd w:val="clear" w:color="auto" w:fill="FFFFFF"/>
        </w:rPr>
      </w:pPr>
      <w:r w:rsidRPr="0087259C">
        <w:rPr>
          <w:color w:val="222222"/>
        </w:rPr>
        <w:t xml:space="preserve">Furthermore, studies have shown that other areas, such as the amygdala, is a core component affecting social cognition; as it is a key component </w:t>
      </w:r>
      <w:proofErr w:type="gramStart"/>
      <w:r w:rsidRPr="0087259C">
        <w:rPr>
          <w:color w:val="222222"/>
        </w:rPr>
        <w:t>In</w:t>
      </w:r>
      <w:proofErr w:type="gramEnd"/>
      <w:r w:rsidRPr="0087259C">
        <w:rPr>
          <w:color w:val="222222"/>
        </w:rPr>
        <w:t xml:space="preserve"> emotional regulation and memories (</w:t>
      </w:r>
      <w:r w:rsidRPr="0087259C">
        <w:rPr>
          <w:color w:val="222222"/>
          <w:shd w:val="clear" w:color="auto" w:fill="FFFFFF"/>
        </w:rPr>
        <w:t>Seo &amp; Anderson, 2019).</w:t>
      </w:r>
      <w:r w:rsidRPr="0087259C">
        <w:rPr>
          <w:color w:val="222222"/>
        </w:rPr>
        <w:t xml:space="preserve">  For instance, an early study found that damage to the amygdala greatly affected social cognition, particularly in regard to facial emotion regulation (</w:t>
      </w:r>
      <w:r w:rsidRPr="0087259C">
        <w:rPr>
          <w:color w:val="222222"/>
          <w:shd w:val="clear" w:color="auto" w:fill="FFFFFF"/>
        </w:rPr>
        <w:t xml:space="preserve">Calder, 1996); this is often been seen as a core issue in disorders such as autism; which includes extensive deficits in social cognition and behaviour., and through utilising neuroimaging techniques; studies have provided more evidence to support the claim that the amygdala can affect social cognition. </w:t>
      </w:r>
    </w:p>
    <w:p w14:paraId="14CDB917" w14:textId="77777777" w:rsidR="007B0578" w:rsidRPr="0087259C" w:rsidRDefault="007B0578" w:rsidP="007B0578">
      <w:pPr>
        <w:rPr>
          <w:color w:val="222222"/>
          <w:shd w:val="clear" w:color="auto" w:fill="FFFFFF"/>
        </w:rPr>
      </w:pPr>
    </w:p>
    <w:p w14:paraId="33425B35" w14:textId="77777777" w:rsidR="007B0578" w:rsidRPr="0087259C" w:rsidRDefault="007B0578" w:rsidP="007B0578">
      <w:pPr>
        <w:rPr>
          <w:color w:val="222222"/>
          <w:shd w:val="clear" w:color="auto" w:fill="FFFFFF"/>
        </w:rPr>
      </w:pPr>
      <w:r w:rsidRPr="0087259C">
        <w:rPr>
          <w:color w:val="222222"/>
          <w:shd w:val="clear" w:color="auto" w:fill="FFFFFF"/>
        </w:rPr>
        <w:t xml:space="preserve">For instance, </w:t>
      </w:r>
      <w:r w:rsidRPr="0087259C">
        <w:rPr>
          <w:color w:val="222222"/>
        </w:rPr>
        <w:t>Howard, et al. 2000’s</w:t>
      </w:r>
      <w:r w:rsidRPr="0087259C">
        <w:rPr>
          <w:color w:val="222222"/>
          <w:shd w:val="clear" w:color="auto" w:fill="FFFFFF"/>
        </w:rPr>
        <w:t xml:space="preserve"> study used Magnetic Resonance Imaging (MRI), to assess the brain structure of patients with high-functioning autism (HFA) as they show typical qualities that suggest amygdala damage, particularity in regard to recognition of fearful facial expressions, eye-gaze direction, and recognition memory of faces. They found that when comparing to healthy individuals, the autism patients presented impairments in social cognition, which could be due to anomalies in the medial temporal lobe (MTL), especially in regard to increased amygdala volumes.</w:t>
      </w:r>
    </w:p>
    <w:p w14:paraId="13B1CE68" w14:textId="77777777" w:rsidR="007B0578" w:rsidRPr="0087259C" w:rsidRDefault="007B0578" w:rsidP="007B0578">
      <w:pPr>
        <w:rPr>
          <w:color w:val="222222"/>
          <w:shd w:val="clear" w:color="auto" w:fill="FFFFFF"/>
        </w:rPr>
      </w:pPr>
    </w:p>
    <w:p w14:paraId="27483091" w14:textId="77777777" w:rsidR="007B0578" w:rsidRPr="0087259C" w:rsidRDefault="007B0578" w:rsidP="007B0578">
      <w:pPr>
        <w:rPr>
          <w:color w:val="222222"/>
          <w:shd w:val="clear" w:color="auto" w:fill="FFFFFF"/>
        </w:rPr>
      </w:pPr>
    </w:p>
    <w:p w14:paraId="177BFAC7" w14:textId="77777777" w:rsidR="007B0578" w:rsidRPr="0087259C" w:rsidRDefault="007B0578" w:rsidP="007B0578">
      <w:pPr>
        <w:rPr>
          <w:color w:val="222222"/>
          <w:shd w:val="clear" w:color="auto" w:fill="FFFFFF"/>
        </w:rPr>
      </w:pPr>
      <w:r w:rsidRPr="0087259C">
        <w:rPr>
          <w:color w:val="222222"/>
          <w:shd w:val="clear" w:color="auto" w:fill="FFFFFF"/>
        </w:rPr>
        <w:t xml:space="preserve">Furthermore, studies using FMRI technology have also been used to analyse improvements in social cognition skills; for </w:t>
      </w:r>
      <w:proofErr w:type="gramStart"/>
      <w:r w:rsidRPr="0087259C">
        <w:rPr>
          <w:color w:val="222222"/>
          <w:shd w:val="clear" w:color="auto" w:fill="FFFFFF"/>
        </w:rPr>
        <w:t>instance</w:t>
      </w:r>
      <w:proofErr w:type="gramEnd"/>
      <w:r w:rsidRPr="0087259C">
        <w:rPr>
          <w:color w:val="222222"/>
          <w:shd w:val="clear" w:color="auto" w:fill="FFFFFF"/>
        </w:rPr>
        <w:t xml:space="preserve"> Ibrahim et al. 2021’s study showed that autistic children in which participated in a cognitive skills intervention, compared to a control group of autistic patients, presented social skills improvements. </w:t>
      </w:r>
      <w:r w:rsidRPr="0087259C">
        <w:rPr>
          <w:color w:val="212121"/>
          <w:shd w:val="clear" w:color="auto" w:fill="FFFFFF"/>
        </w:rPr>
        <w:t>Particularly showing increases in activity in the medial prefrontal cortex (mPFC) showing increased understanding of irony and in gaze processing tasks.</w:t>
      </w:r>
    </w:p>
    <w:p w14:paraId="0A505E71" w14:textId="77777777" w:rsidR="007B0578" w:rsidRPr="0087259C" w:rsidRDefault="007B0578" w:rsidP="007B0578">
      <w:pPr>
        <w:rPr>
          <w:color w:val="212121"/>
          <w:shd w:val="clear" w:color="auto" w:fill="FFFFFF"/>
        </w:rPr>
      </w:pPr>
    </w:p>
    <w:p w14:paraId="4843C6BA" w14:textId="5E248B27" w:rsidR="007B0578" w:rsidRPr="0087259C" w:rsidRDefault="007B0578" w:rsidP="007B0578">
      <w:pPr>
        <w:rPr>
          <w:color w:val="3E3D40"/>
          <w:shd w:val="clear" w:color="auto" w:fill="FFFFFF"/>
        </w:rPr>
      </w:pPr>
      <w:r w:rsidRPr="0087259C">
        <w:rPr>
          <w:color w:val="212121"/>
          <w:shd w:val="clear" w:color="auto" w:fill="FFFFFF"/>
        </w:rPr>
        <w:t xml:space="preserve">Studies utilising neuroimaging techniques have also been able to look at the development of social cognition in infants through </w:t>
      </w:r>
      <w:r w:rsidRPr="0087259C">
        <w:rPr>
          <w:color w:val="3E3D40"/>
          <w:shd w:val="clear" w:color="auto" w:fill="FFFFFF"/>
        </w:rPr>
        <w:t xml:space="preserve">functional near-infrared spectroscopy (fNIRS). This technique, like FMRI assesses cortical hemodynamic </w:t>
      </w:r>
      <w:r w:rsidRPr="0087259C">
        <w:rPr>
          <w:b/>
          <w:bCs/>
          <w:color w:val="3E3D40"/>
          <w:shd w:val="clear" w:color="auto" w:fill="FFFFFF"/>
        </w:rPr>
        <w:t>responses</w:t>
      </w:r>
      <w:r w:rsidRPr="0087259C">
        <w:rPr>
          <w:color w:val="3E3D40"/>
          <w:shd w:val="clear" w:color="auto" w:fill="FFFFFF"/>
        </w:rPr>
        <w:t xml:space="preserve"> in specific and localised patterns, </w:t>
      </w:r>
      <w:r w:rsidR="0087259C" w:rsidRPr="0087259C">
        <w:rPr>
          <w:color w:val="3E3D40"/>
          <w:shd w:val="clear" w:color="auto" w:fill="FFFFFF"/>
        </w:rPr>
        <w:t>however,</w:t>
      </w:r>
      <w:r w:rsidRPr="0087259C">
        <w:rPr>
          <w:color w:val="3E3D40"/>
          <w:shd w:val="clear" w:color="auto" w:fill="FFFFFF"/>
        </w:rPr>
        <w:t xml:space="preserve"> is regarded safer in infants whilst still allowing the ability to </w:t>
      </w:r>
      <w:r w:rsidR="0087259C" w:rsidRPr="0087259C">
        <w:rPr>
          <w:color w:val="3E3D40"/>
          <w:shd w:val="clear" w:color="auto" w:fill="FFFFFF"/>
        </w:rPr>
        <w:t>compare</w:t>
      </w:r>
      <w:r w:rsidRPr="0087259C">
        <w:rPr>
          <w:color w:val="3E3D40"/>
          <w:shd w:val="clear" w:color="auto" w:fill="FFFFFF"/>
        </w:rPr>
        <w:t xml:space="preserve"> to FMRIs of adults (</w:t>
      </w:r>
      <w:r w:rsidRPr="0087259C">
        <w:rPr>
          <w:color w:val="222222"/>
          <w:shd w:val="clear" w:color="auto" w:fill="FFFFFF"/>
        </w:rPr>
        <w:t>Grossmann, 2013)</w:t>
      </w:r>
      <w:r w:rsidRPr="0087259C">
        <w:rPr>
          <w:color w:val="3E3D40"/>
          <w:shd w:val="clear" w:color="auto" w:fill="FFFFFF"/>
        </w:rPr>
        <w:t xml:space="preserve">. </w:t>
      </w:r>
    </w:p>
    <w:p w14:paraId="6B2BB7D1" w14:textId="77777777" w:rsidR="007B0578" w:rsidRPr="0087259C" w:rsidRDefault="007B0578" w:rsidP="007B0578">
      <w:pPr>
        <w:rPr>
          <w:color w:val="3E3D40"/>
          <w:shd w:val="clear" w:color="auto" w:fill="FFFFFF"/>
        </w:rPr>
      </w:pPr>
    </w:p>
    <w:p w14:paraId="0737BC7F" w14:textId="77777777" w:rsidR="007B0578" w:rsidRPr="0087259C" w:rsidRDefault="007B0578" w:rsidP="007B0578">
      <w:pPr>
        <w:rPr>
          <w:color w:val="3E3D40"/>
          <w:shd w:val="clear" w:color="auto" w:fill="FFFFFF"/>
        </w:rPr>
      </w:pPr>
      <w:r w:rsidRPr="0087259C">
        <w:rPr>
          <w:color w:val="3E3D40"/>
          <w:shd w:val="clear" w:color="auto" w:fill="FFFFFF"/>
        </w:rPr>
        <w:t>As seen in the literature, it is clear to see that neuroimaging techniques, particularly that of FMRI, has been a significant tool developed in neuroscience to aid the understanding of social cognition. It has been utilised across a variety of studies such as in brain injury studies, neuropsychiatric disorders, as well as in developmental social cognition studies, and has been able to identify and analyse key areas of the brain that may affect social cognition. Therefore, it can be suggested that neuroimaging has enhanced understanding of social cognition and its underlying neuroscientific mechanisms.</w:t>
      </w:r>
    </w:p>
    <w:p w14:paraId="00471973" w14:textId="77777777" w:rsidR="007B0578" w:rsidRPr="0087259C" w:rsidRDefault="007B0578" w:rsidP="007B0578">
      <w:pPr>
        <w:rPr>
          <w:color w:val="3E3D40"/>
          <w:shd w:val="clear" w:color="auto" w:fill="FFFFFF"/>
        </w:rPr>
      </w:pPr>
    </w:p>
    <w:p w14:paraId="42A804ED" w14:textId="77777777" w:rsidR="007B0578" w:rsidRPr="0087259C" w:rsidRDefault="007B0578" w:rsidP="007B0578">
      <w:pPr>
        <w:rPr>
          <w:color w:val="3E3D40"/>
          <w:shd w:val="clear" w:color="auto" w:fill="FFFFFF"/>
        </w:rPr>
      </w:pPr>
    </w:p>
    <w:p w14:paraId="42D1E21F" w14:textId="77777777" w:rsidR="007B0578" w:rsidRPr="0087259C" w:rsidRDefault="007B0578" w:rsidP="007B0578">
      <w:pPr>
        <w:rPr>
          <w:b/>
        </w:rPr>
      </w:pPr>
      <w:r w:rsidRPr="0087259C">
        <w:rPr>
          <w:b/>
        </w:rPr>
        <w:t>“Neuroscience might help solve the early vs late selective attention debate”, critically discuss how neuroimaging studies have challenged traditional theories of attention</w:t>
      </w:r>
    </w:p>
    <w:p w14:paraId="08DCA851" w14:textId="77777777" w:rsidR="007B0578" w:rsidRPr="0087259C" w:rsidRDefault="007B0578" w:rsidP="007B0578">
      <w:pPr>
        <w:rPr>
          <w:b/>
        </w:rPr>
      </w:pPr>
    </w:p>
    <w:p w14:paraId="1431D1DE" w14:textId="77777777" w:rsidR="007B0578" w:rsidRPr="0087259C" w:rsidRDefault="007B0578" w:rsidP="007B0578">
      <w:pPr>
        <w:rPr>
          <w:color w:val="3E3D40"/>
          <w:shd w:val="clear" w:color="auto" w:fill="FFFFFF"/>
        </w:rPr>
      </w:pPr>
    </w:p>
    <w:p w14:paraId="564CEC17" w14:textId="24002B5F" w:rsidR="007B0578" w:rsidRPr="0087259C" w:rsidRDefault="007B0578" w:rsidP="007B0578">
      <w:r w:rsidRPr="0087259C">
        <w:rPr>
          <w:color w:val="222222"/>
          <w:shd w:val="clear" w:color="auto" w:fill="FFFFFF"/>
        </w:rPr>
        <w:t xml:space="preserve">Attention is a core cognitive function, deemed difficult to define within psychological research (Hommel, 2019), particularly due to its </w:t>
      </w:r>
      <w:r w:rsidRPr="0087259C">
        <w:t>that multi-unitary nature which incorporates multiple mechanisms and processes.  (</w:t>
      </w:r>
      <w:r w:rsidRPr="0087259C">
        <w:rPr>
          <w:color w:val="222222"/>
          <w:shd w:val="clear" w:color="auto" w:fill="FFFFFF"/>
        </w:rPr>
        <w:t xml:space="preserve">Ocasi, 2011). However, it can be considered an Important </w:t>
      </w:r>
      <w:r w:rsidR="0087259C" w:rsidRPr="00CD191A">
        <w:rPr>
          <w:color w:val="222222"/>
          <w:shd w:val="clear" w:color="auto" w:fill="FFFFFF"/>
        </w:rPr>
        <w:t xml:space="preserve">Neurobiological </w:t>
      </w:r>
      <w:r w:rsidRPr="0087259C">
        <w:rPr>
          <w:color w:val="222222"/>
          <w:shd w:val="clear" w:color="auto" w:fill="FFFFFF"/>
        </w:rPr>
        <w:t>utility</w:t>
      </w:r>
      <w:r w:rsidR="0087259C" w:rsidRPr="00CD191A">
        <w:rPr>
          <w:color w:val="222222"/>
          <w:shd w:val="clear" w:color="auto" w:fill="FFFFFF"/>
        </w:rPr>
        <w:t xml:space="preserve"> that allows</w:t>
      </w:r>
      <w:r w:rsidRPr="0087259C">
        <w:rPr>
          <w:color w:val="222222"/>
          <w:shd w:val="clear" w:color="auto" w:fill="FFFFFF"/>
        </w:rPr>
        <w:t xml:space="preserve"> the</w:t>
      </w:r>
      <w:r w:rsidR="0087259C" w:rsidRPr="00CD191A">
        <w:rPr>
          <w:color w:val="222222"/>
          <w:shd w:val="clear" w:color="auto" w:fill="FFFFFF"/>
        </w:rPr>
        <w:t xml:space="preserve"> </w:t>
      </w:r>
      <w:r w:rsidRPr="0087259C">
        <w:rPr>
          <w:color w:val="222222"/>
          <w:shd w:val="clear" w:color="auto" w:fill="FFFFFF"/>
        </w:rPr>
        <w:t>selection of stimuli</w:t>
      </w:r>
      <w:r w:rsidR="0087259C" w:rsidRPr="00CD191A">
        <w:rPr>
          <w:color w:val="222222"/>
          <w:shd w:val="clear" w:color="auto" w:fill="FFFFFF"/>
        </w:rPr>
        <w:t xml:space="preserve"> </w:t>
      </w:r>
      <w:r w:rsidRPr="0087259C">
        <w:rPr>
          <w:color w:val="222222"/>
          <w:shd w:val="clear" w:color="auto" w:fill="FFFFFF"/>
        </w:rPr>
        <w:t xml:space="preserve">to occur, to allow </w:t>
      </w:r>
      <w:r w:rsidRPr="0087259C">
        <w:rPr>
          <w:color w:val="222222"/>
          <w:shd w:val="clear" w:color="auto" w:fill="FFFFFF"/>
        </w:rPr>
        <w:lastRenderedPageBreak/>
        <w:t>direction of higher</w:t>
      </w:r>
      <w:r w:rsidR="0087259C" w:rsidRPr="00CD191A">
        <w:rPr>
          <w:color w:val="222222"/>
          <w:shd w:val="clear" w:color="auto" w:fill="FFFFFF"/>
        </w:rPr>
        <w:t xml:space="preserve"> neural </w:t>
      </w:r>
      <w:r w:rsidR="0087259C" w:rsidRPr="00CD191A">
        <w:t xml:space="preserve">processing </w:t>
      </w:r>
      <w:r w:rsidR="0087259C" w:rsidRPr="00CD191A">
        <w:t>(P</w:t>
      </w:r>
      <w:r w:rsidRPr="0087259C">
        <w:t>u</w:t>
      </w:r>
      <w:r w:rsidR="0087259C" w:rsidRPr="00CD191A">
        <w:t>rves</w:t>
      </w:r>
      <w:r w:rsidRPr="0087259C">
        <w:t xml:space="preserve"> et al., </w:t>
      </w:r>
      <w:r w:rsidR="0087259C" w:rsidRPr="00CD191A">
        <w:t>2008</w:t>
      </w:r>
      <w:r w:rsidRPr="0087259C">
        <w:t xml:space="preserve">). </w:t>
      </w:r>
      <w:r w:rsidRPr="0087259C">
        <w:rPr>
          <w:color w:val="222222"/>
        </w:rPr>
        <w:t>Many</w:t>
      </w:r>
      <w:r w:rsidRPr="0087259C">
        <w:rPr>
          <w:color w:val="222222"/>
          <w:shd w:val="clear" w:color="auto" w:fill="FFFFFF"/>
        </w:rPr>
        <w:t xml:space="preserve"> theories have been established in order to explain the mechanisms of </w:t>
      </w:r>
      <w:r w:rsidR="0087259C" w:rsidRPr="0087259C">
        <w:rPr>
          <w:color w:val="222222"/>
          <w:shd w:val="clear" w:color="auto" w:fill="FFFFFF"/>
        </w:rPr>
        <w:t>attention,</w:t>
      </w:r>
      <w:r w:rsidRPr="0087259C">
        <w:rPr>
          <w:color w:val="222222"/>
          <w:shd w:val="clear" w:color="auto" w:fill="FFFFFF"/>
        </w:rPr>
        <w:t xml:space="preserve"> such as early selection models Broadbent (1954) to late selection models (</w:t>
      </w:r>
      <w:r w:rsidRPr="0087259C">
        <w:rPr>
          <w:color w:val="202124"/>
          <w:shd w:val="clear" w:color="auto" w:fill="FFFFFF"/>
        </w:rPr>
        <w:t>Deutsch and Deutsch, 1963</w:t>
      </w:r>
      <w:r w:rsidRPr="0087259C">
        <w:rPr>
          <w:color w:val="202124"/>
          <w:shd w:val="clear" w:color="auto" w:fill="FFFFFF"/>
        </w:rPr>
        <w:t>)</w:t>
      </w:r>
      <w:r w:rsidRPr="0087259C">
        <w:rPr>
          <w:rStyle w:val="apple-converted-space"/>
          <w:color w:val="202124"/>
          <w:shd w:val="clear" w:color="auto" w:fill="FFFFFF"/>
        </w:rPr>
        <w:t>,</w:t>
      </w:r>
      <w:r w:rsidRPr="0087259C">
        <w:rPr>
          <w:color w:val="222222"/>
          <w:shd w:val="clear" w:color="auto" w:fill="FFFFFF"/>
        </w:rPr>
        <w:t xml:space="preserve"> and</w:t>
      </w:r>
      <w:r w:rsidRPr="0087259C">
        <w:rPr>
          <w:color w:val="222222"/>
          <w:shd w:val="clear" w:color="auto" w:fill="FFFFFF"/>
        </w:rPr>
        <w:t xml:space="preserve"> with advancement in neuroscience, these theories have been significantly challenged. </w:t>
      </w:r>
    </w:p>
    <w:p w14:paraId="600A2245" w14:textId="77777777" w:rsidR="007B0578" w:rsidRPr="0087259C" w:rsidRDefault="007B0578" w:rsidP="007B0578">
      <w:pPr>
        <w:rPr>
          <w:color w:val="222222"/>
          <w:shd w:val="clear" w:color="auto" w:fill="FFFFFF"/>
        </w:rPr>
      </w:pPr>
    </w:p>
    <w:p w14:paraId="7FD18AD4" w14:textId="77777777" w:rsidR="007B0578" w:rsidRPr="0087259C" w:rsidRDefault="007B0578" w:rsidP="007B0578">
      <w:pPr>
        <w:rPr>
          <w:color w:val="222222"/>
          <w:shd w:val="clear" w:color="auto" w:fill="FFFFFF"/>
        </w:rPr>
      </w:pPr>
    </w:p>
    <w:p w14:paraId="24C7D816" w14:textId="20AB3D21" w:rsidR="007B0578" w:rsidRPr="0087259C" w:rsidRDefault="007B0578" w:rsidP="007B0578">
      <w:pPr>
        <w:rPr>
          <w:color w:val="222222"/>
          <w:shd w:val="clear" w:color="auto" w:fill="FFFFFF"/>
        </w:rPr>
      </w:pPr>
      <w:r w:rsidRPr="0087259C">
        <w:rPr>
          <w:color w:val="222222"/>
          <w:shd w:val="clear" w:color="auto" w:fill="FFFFFF"/>
        </w:rPr>
        <w:t xml:space="preserve">Broadbent (1958) early selection model argued that selection, or ignorance of stimuli does not rely on having to first be processed to the stage where information is encoded. His Filter theory proposed that filtering of attended stimuli occurs in the early stages of processing; and is ultimately based upon the particular elements the stimuli possess; due to limited capacity of resources than humans possess. For example, </w:t>
      </w:r>
      <w:r w:rsidRPr="00CF0380">
        <w:rPr>
          <w:color w:val="222222"/>
        </w:rPr>
        <w:t>Lachter</w:t>
      </w:r>
      <w:r w:rsidRPr="0087259C">
        <w:rPr>
          <w:color w:val="222222"/>
        </w:rPr>
        <w:t xml:space="preserve"> et al. (</w:t>
      </w:r>
      <w:r w:rsidRPr="00CF0380">
        <w:rPr>
          <w:color w:val="222222"/>
        </w:rPr>
        <w:t>2004</w:t>
      </w:r>
      <w:r w:rsidRPr="0087259C">
        <w:rPr>
          <w:color w:val="222222"/>
        </w:rPr>
        <w:t xml:space="preserve">), </w:t>
      </w:r>
      <w:r w:rsidRPr="0087259C">
        <w:rPr>
          <w:color w:val="222222"/>
          <w:shd w:val="clear" w:color="auto" w:fill="FFFFFF"/>
        </w:rPr>
        <w:t xml:space="preserve">states that Broadbent’s early filtering occurred based upon basic physical properties such as noise pitch, and colour; and due to more semantic properties, such as meaning identification requires a larger recourse capacity, early filtering was therefore needed. </w:t>
      </w:r>
    </w:p>
    <w:p w14:paraId="21B97B37" w14:textId="77777777" w:rsidR="007B0578" w:rsidRPr="0087259C" w:rsidRDefault="007B0578" w:rsidP="007B0578">
      <w:pPr>
        <w:rPr>
          <w:color w:val="222222"/>
          <w:shd w:val="clear" w:color="auto" w:fill="FFFFFF"/>
        </w:rPr>
      </w:pPr>
    </w:p>
    <w:p w14:paraId="63B8C1CC" w14:textId="07B9E2B3" w:rsidR="007B0578" w:rsidRPr="0087259C" w:rsidRDefault="007B0578" w:rsidP="007B0578">
      <w:pPr>
        <w:rPr>
          <w:color w:val="222222"/>
          <w:shd w:val="clear" w:color="auto" w:fill="FFFFFF"/>
        </w:rPr>
      </w:pPr>
      <w:r w:rsidRPr="0087259C">
        <w:rPr>
          <w:color w:val="222222"/>
          <w:shd w:val="clear" w:color="auto" w:fill="FFFFFF"/>
        </w:rPr>
        <w:t xml:space="preserve">However, Deutch and Deutch, (1963) challenge these theories of early selection and argue </w:t>
      </w:r>
      <w:r w:rsidR="0087259C" w:rsidRPr="0087259C">
        <w:rPr>
          <w:color w:val="222222"/>
          <w:shd w:val="clear" w:color="auto" w:fill="FFFFFF"/>
        </w:rPr>
        <w:t>that all</w:t>
      </w:r>
      <w:r w:rsidRPr="0087259C">
        <w:rPr>
          <w:color w:val="222222"/>
          <w:shd w:val="clear" w:color="auto" w:fill="FFFFFF"/>
        </w:rPr>
        <w:t xml:space="preserve"> stimuli </w:t>
      </w:r>
      <w:proofErr w:type="gramStart"/>
      <w:r w:rsidRPr="0087259C">
        <w:rPr>
          <w:color w:val="222222"/>
          <w:shd w:val="clear" w:color="auto" w:fill="FFFFFF"/>
        </w:rPr>
        <w:t>is</w:t>
      </w:r>
      <w:proofErr w:type="gramEnd"/>
      <w:r w:rsidRPr="0087259C">
        <w:rPr>
          <w:color w:val="222222"/>
          <w:shd w:val="clear" w:color="auto" w:fill="FFFFFF"/>
        </w:rPr>
        <w:t xml:space="preserve"> attended to, at a later stage of processing. Some theorists such as Moray (1959) support this theiry, as his study found that although neutral or unimportant stimuli wasn’t identified; auditory information that is important can be heard. Thefore, theories of late selection have suggested that all stimuli; both attended or ignored are processed late in attentional </w:t>
      </w:r>
      <w:r w:rsidR="0087259C" w:rsidRPr="0087259C">
        <w:rPr>
          <w:color w:val="222222"/>
          <w:shd w:val="clear" w:color="auto" w:fill="FFFFFF"/>
        </w:rPr>
        <w:t>processing and</w:t>
      </w:r>
      <w:r w:rsidRPr="0087259C">
        <w:rPr>
          <w:color w:val="222222"/>
          <w:shd w:val="clear" w:color="auto" w:fill="FFFFFF"/>
        </w:rPr>
        <w:t xml:space="preserve"> do reach the encoding stage where conscious selection then can occur. (De Jong et al, 1988). </w:t>
      </w:r>
    </w:p>
    <w:p w14:paraId="41EFA0A0" w14:textId="77777777" w:rsidR="007B0578" w:rsidRPr="0087259C" w:rsidRDefault="007B0578" w:rsidP="007B0578">
      <w:pPr>
        <w:rPr>
          <w:color w:val="222222"/>
          <w:shd w:val="clear" w:color="auto" w:fill="FFFFFF"/>
        </w:rPr>
      </w:pPr>
    </w:p>
    <w:p w14:paraId="20F1FB16" w14:textId="77777777" w:rsidR="007B0578" w:rsidRPr="0087259C" w:rsidRDefault="007B0578" w:rsidP="007B0578">
      <w:pPr>
        <w:rPr>
          <w:color w:val="222222"/>
          <w:shd w:val="clear" w:color="auto" w:fill="FFFFFF"/>
        </w:rPr>
      </w:pPr>
      <w:r w:rsidRPr="0087259C">
        <w:rPr>
          <w:color w:val="222222"/>
          <w:shd w:val="clear" w:color="auto" w:fill="FFFFFF"/>
        </w:rPr>
        <w:t xml:space="preserve">Therefore, to try and combat this debate, the perceptual load theory, (Lavie, 1995), was implemented in attentional research, which suggested that stages of attentional selection depended on the perceptual processing demands that the task required. For instance, De Fockert. 2013 stated that theory suggested that high perceptual demands disallowed distracting information from being processed, supporting that of early selection, whereas low perceptually demanding tasks would allow distractions to be processed and therefore support theories of late selection. </w:t>
      </w:r>
    </w:p>
    <w:p w14:paraId="7E3A301D" w14:textId="77777777" w:rsidR="007B0578" w:rsidRPr="0087259C" w:rsidRDefault="007B0578" w:rsidP="007B0578">
      <w:pPr>
        <w:rPr>
          <w:color w:val="222222"/>
          <w:shd w:val="clear" w:color="auto" w:fill="FFFFFF"/>
        </w:rPr>
      </w:pPr>
    </w:p>
    <w:p w14:paraId="1954C06C" w14:textId="78A6209B" w:rsidR="007B0578" w:rsidRPr="0087259C" w:rsidRDefault="007B0578" w:rsidP="007B0578">
      <w:r w:rsidRPr="0087259C">
        <w:rPr>
          <w:color w:val="222222"/>
          <w:shd w:val="clear" w:color="auto" w:fill="FFFFFF"/>
        </w:rPr>
        <w:t xml:space="preserve">Neuroscience, particularly the development of neuroimaging techniques has challenged these theories of attention. Studies have often utilised Event related </w:t>
      </w:r>
      <w:r w:rsidR="0087259C" w:rsidRPr="0087259C">
        <w:rPr>
          <w:color w:val="222222"/>
          <w:shd w:val="clear" w:color="auto" w:fill="FFFFFF"/>
        </w:rPr>
        <w:t>Potential EEG</w:t>
      </w:r>
      <w:r w:rsidRPr="0087259C">
        <w:rPr>
          <w:color w:val="222222"/>
          <w:shd w:val="clear" w:color="auto" w:fill="FFFFFF"/>
        </w:rPr>
        <w:t xml:space="preserve"> ERPs to analyse the stage processing for attention, supporting that of the Perceptual Load Theory, where studies have suggested that </w:t>
      </w:r>
      <w:r w:rsidRPr="00FC4F5F">
        <w:t xml:space="preserve">that selective attention is </w:t>
      </w:r>
      <w:r w:rsidRPr="0087259C">
        <w:t>dependent</w:t>
      </w:r>
      <w:r w:rsidRPr="00FC4F5F">
        <w:t xml:space="preserve"> </w:t>
      </w:r>
      <w:r w:rsidRPr="0087259C">
        <w:t>on the task</w:t>
      </w:r>
      <w:r w:rsidRPr="00FC4F5F">
        <w:t xml:space="preserve"> demands</w:t>
      </w:r>
      <w:r w:rsidRPr="0087259C">
        <w:rPr>
          <w:color w:val="222222"/>
          <w:shd w:val="clear" w:color="auto" w:fill="FFFFFF"/>
        </w:rPr>
        <w:t xml:space="preserve"> and occur at both stages in attentional processing (</w:t>
      </w:r>
      <w:r w:rsidRPr="0087259C">
        <w:t xml:space="preserve">Vogel et al., </w:t>
      </w:r>
      <w:proofErr w:type="gramStart"/>
      <w:r w:rsidRPr="0087259C">
        <w:t>2005 ;</w:t>
      </w:r>
      <w:proofErr w:type="gramEnd"/>
      <w:r w:rsidRPr="0087259C">
        <w:t xml:space="preserve"> Snyderet al., 2006) </w:t>
      </w:r>
    </w:p>
    <w:p w14:paraId="6366BAAF" w14:textId="77777777" w:rsidR="007B0578" w:rsidRPr="0087259C" w:rsidRDefault="007B0578" w:rsidP="007B0578"/>
    <w:p w14:paraId="7714C867" w14:textId="77777777" w:rsidR="007B0578" w:rsidRPr="0087259C" w:rsidRDefault="007B0578" w:rsidP="007B0578">
      <w:pPr>
        <w:rPr>
          <w:color w:val="222222"/>
          <w:shd w:val="clear" w:color="auto" w:fill="FFFFFF"/>
        </w:rPr>
      </w:pPr>
      <w:r w:rsidRPr="0087259C">
        <w:t xml:space="preserve">However, </w:t>
      </w:r>
      <w:r w:rsidRPr="0087259C">
        <w:rPr>
          <w:color w:val="222222"/>
          <w:shd w:val="clear" w:color="auto" w:fill="FFFFFF"/>
        </w:rPr>
        <w:t>studies such as Hillyard and Anollo Vento, (1998) have shown strong support for early selection, showing that ERP recordings can be useful for determining the timing and area in which stimulus selection occurs, and how the mechanisms in the brain act during visual attention.</w:t>
      </w:r>
      <w:r w:rsidRPr="0087259C">
        <w:t xml:space="preserve"> results from study showed that Nonspatial</w:t>
      </w:r>
      <w:r w:rsidRPr="0087259C">
        <w:rPr>
          <w:color w:val="222222"/>
          <w:shd w:val="clear" w:color="auto" w:fill="FFFFFF"/>
        </w:rPr>
        <w:t xml:space="preserve"> feature processing was dependent on earlier selection, and therefore shows support for early selection theories of attention. this was having also been suggested in previous studies such as Woldorf et al. (1991), In which used EEGs to measure attentional activity, when participants either ignoring auditory stimuli in one ear, </w:t>
      </w:r>
      <w:proofErr w:type="gramStart"/>
      <w:r w:rsidRPr="0087259C">
        <w:rPr>
          <w:color w:val="222222"/>
          <w:shd w:val="clear" w:color="auto" w:fill="FFFFFF"/>
        </w:rPr>
        <w:t>and</w:t>
      </w:r>
      <w:proofErr w:type="gramEnd"/>
      <w:r w:rsidRPr="0087259C">
        <w:rPr>
          <w:color w:val="222222"/>
          <w:shd w:val="clear" w:color="auto" w:fill="FFFFFF"/>
        </w:rPr>
        <w:t xml:space="preserve"> attended to the other noise in the other ear. Results ultimately supported that of early selection.</w:t>
      </w:r>
    </w:p>
    <w:p w14:paraId="735908C8" w14:textId="77777777" w:rsidR="007B0578" w:rsidRPr="0087259C" w:rsidRDefault="007B0578" w:rsidP="007B0578">
      <w:pPr>
        <w:rPr>
          <w:color w:val="222222"/>
          <w:shd w:val="clear" w:color="auto" w:fill="FFFFFF"/>
        </w:rPr>
      </w:pPr>
    </w:p>
    <w:p w14:paraId="1D66754F" w14:textId="138F8D57" w:rsidR="007B0578" w:rsidRPr="0087259C" w:rsidRDefault="007B0578" w:rsidP="007B0578">
      <w:pPr>
        <w:rPr>
          <w:color w:val="222222"/>
          <w:shd w:val="clear" w:color="auto" w:fill="FFFFFF"/>
        </w:rPr>
      </w:pPr>
      <w:r w:rsidRPr="0087259C">
        <w:rPr>
          <w:color w:val="222222"/>
          <w:shd w:val="clear" w:color="auto" w:fill="FFFFFF"/>
        </w:rPr>
        <w:t xml:space="preserve"> </w:t>
      </w:r>
    </w:p>
    <w:p w14:paraId="7EAF2B51" w14:textId="77777777" w:rsidR="007B0578" w:rsidRPr="0087259C" w:rsidRDefault="007B0578" w:rsidP="007B0578">
      <w:pPr>
        <w:rPr>
          <w:color w:val="222222"/>
          <w:shd w:val="clear" w:color="auto" w:fill="FFFFFF"/>
        </w:rPr>
      </w:pPr>
    </w:p>
    <w:p w14:paraId="211DB78A" w14:textId="20E0056A" w:rsidR="007B0578" w:rsidRPr="0087259C" w:rsidRDefault="007B0578" w:rsidP="007B0578">
      <w:pPr>
        <w:rPr>
          <w:color w:val="222222"/>
          <w:shd w:val="clear" w:color="auto" w:fill="FFFFFF"/>
        </w:rPr>
      </w:pPr>
      <w:r w:rsidRPr="0087259C">
        <w:rPr>
          <w:color w:val="222222"/>
          <w:shd w:val="clear" w:color="auto" w:fill="FFFFFF"/>
        </w:rPr>
        <w:lastRenderedPageBreak/>
        <w:t>The</w:t>
      </w:r>
      <w:r w:rsidRPr="0087259C">
        <w:rPr>
          <w:color w:val="222222"/>
          <w:shd w:val="clear" w:color="auto" w:fill="FFFFFF"/>
        </w:rPr>
        <w:t>ref</w:t>
      </w:r>
      <w:r w:rsidRPr="0087259C">
        <w:rPr>
          <w:color w:val="222222"/>
          <w:shd w:val="clear" w:color="auto" w:fill="FFFFFF"/>
        </w:rPr>
        <w:t xml:space="preserve">ore, after analysing the literature, Neuroimaging, to an extent, can be seen to somewhat solve the early vs late selection debate as prior to this technique, there has been </w:t>
      </w:r>
      <w:r w:rsidRPr="0087259C">
        <w:rPr>
          <w:color w:val="222222"/>
          <w:shd w:val="clear" w:color="auto" w:fill="FFFFFF"/>
        </w:rPr>
        <w:t>debates with little neurobiological explanations to support either</w:t>
      </w:r>
      <w:r w:rsidRPr="0087259C">
        <w:rPr>
          <w:color w:val="222222"/>
          <w:shd w:val="clear" w:color="auto" w:fill="FFFFFF"/>
        </w:rPr>
        <w:t xml:space="preserve"> theories. However, after utilising techniques such as EEGs</w:t>
      </w:r>
      <w:r w:rsidRPr="0087259C">
        <w:rPr>
          <w:color w:val="222222"/>
          <w:shd w:val="clear" w:color="auto" w:fill="FFFFFF"/>
        </w:rPr>
        <w:t xml:space="preserve">, </w:t>
      </w:r>
      <w:r w:rsidRPr="0087259C">
        <w:rPr>
          <w:color w:val="222222"/>
          <w:shd w:val="clear" w:color="auto" w:fill="FFFFFF"/>
        </w:rPr>
        <w:t xml:space="preserve">there seems to be </w:t>
      </w:r>
      <w:r w:rsidRPr="0087259C">
        <w:rPr>
          <w:color w:val="222222"/>
          <w:shd w:val="clear" w:color="auto" w:fill="FFFFFF"/>
        </w:rPr>
        <w:t>significantly</w:t>
      </w:r>
      <w:r w:rsidRPr="0087259C">
        <w:rPr>
          <w:color w:val="222222"/>
          <w:shd w:val="clear" w:color="auto" w:fill="FFFFFF"/>
        </w:rPr>
        <w:t xml:space="preserve"> more support for</w:t>
      </w:r>
      <w:r w:rsidRPr="0087259C">
        <w:rPr>
          <w:color w:val="222222"/>
          <w:shd w:val="clear" w:color="auto" w:fill="FFFFFF"/>
        </w:rPr>
        <w:t xml:space="preserve"> both the </w:t>
      </w:r>
      <w:r w:rsidR="0087259C" w:rsidRPr="0087259C">
        <w:rPr>
          <w:color w:val="222222"/>
          <w:shd w:val="clear" w:color="auto" w:fill="FFFFFF"/>
        </w:rPr>
        <w:t>theories, but</w:t>
      </w:r>
      <w:r w:rsidRPr="0087259C">
        <w:rPr>
          <w:color w:val="222222"/>
          <w:shd w:val="clear" w:color="auto" w:fill="FFFFFF"/>
        </w:rPr>
        <w:t xml:space="preserve"> moreso for early selection, although dependent on particular characteristics. </w:t>
      </w:r>
      <w:r w:rsidRPr="0087259C">
        <w:rPr>
          <w:color w:val="222222"/>
          <w:shd w:val="clear" w:color="auto" w:fill="FFFFFF"/>
        </w:rPr>
        <w:t>However more research is needed</w:t>
      </w:r>
      <w:r w:rsidRPr="0087259C">
        <w:rPr>
          <w:color w:val="222222"/>
          <w:shd w:val="clear" w:color="auto" w:fill="FFFFFF"/>
        </w:rPr>
        <w:t xml:space="preserve"> to understand late selection theories</w:t>
      </w:r>
      <w:r w:rsidRPr="0087259C">
        <w:rPr>
          <w:color w:val="222222"/>
          <w:shd w:val="clear" w:color="auto" w:fill="FFFFFF"/>
        </w:rPr>
        <w:t xml:space="preserve">.   </w:t>
      </w:r>
    </w:p>
    <w:p w14:paraId="0C16FF61" w14:textId="77777777" w:rsidR="007B0578" w:rsidRPr="0087259C" w:rsidRDefault="007B0578" w:rsidP="007B0578">
      <w:pPr>
        <w:rPr>
          <w:color w:val="222222"/>
          <w:shd w:val="clear" w:color="auto" w:fill="FFFFFF"/>
        </w:rPr>
      </w:pPr>
    </w:p>
    <w:p w14:paraId="3270320E" w14:textId="77777777" w:rsidR="0087259C" w:rsidRPr="0087259C" w:rsidRDefault="0087259C" w:rsidP="007B0578">
      <w:pPr>
        <w:pStyle w:val="NormalWeb"/>
      </w:pPr>
    </w:p>
    <w:p w14:paraId="153D1C41" w14:textId="77777777" w:rsidR="0087259C" w:rsidRPr="0087259C" w:rsidRDefault="0087259C" w:rsidP="007B0578">
      <w:pPr>
        <w:pStyle w:val="NormalWeb"/>
      </w:pPr>
    </w:p>
    <w:p w14:paraId="6471A2EE" w14:textId="77777777" w:rsidR="0087259C" w:rsidRPr="0087259C" w:rsidRDefault="0087259C" w:rsidP="007B0578">
      <w:pPr>
        <w:pStyle w:val="NormalWeb"/>
      </w:pPr>
    </w:p>
    <w:p w14:paraId="768482F0" w14:textId="77777777" w:rsidR="0087259C" w:rsidRPr="0087259C" w:rsidRDefault="0087259C" w:rsidP="007B0578">
      <w:pPr>
        <w:pStyle w:val="NormalWeb"/>
      </w:pPr>
    </w:p>
    <w:p w14:paraId="54A02267" w14:textId="77777777" w:rsidR="0087259C" w:rsidRPr="0087259C" w:rsidRDefault="0087259C" w:rsidP="007B0578"/>
    <w:p w14:paraId="1E54B4F1" w14:textId="77777777" w:rsidR="0087259C" w:rsidRPr="0087259C" w:rsidRDefault="0087259C" w:rsidP="007B0578"/>
    <w:p w14:paraId="32AE4E21" w14:textId="77777777" w:rsidR="0087259C" w:rsidRPr="0087259C" w:rsidRDefault="0087259C" w:rsidP="007B0578">
      <w:pPr>
        <w:rPr>
          <w:color w:val="303030"/>
          <w:shd w:val="clear" w:color="auto" w:fill="FFFFFF"/>
        </w:rPr>
      </w:pPr>
    </w:p>
    <w:p w14:paraId="63F813E4" w14:textId="77777777" w:rsidR="0087259C" w:rsidRPr="0087259C" w:rsidRDefault="0087259C" w:rsidP="007B0578">
      <w:pPr>
        <w:rPr>
          <w:color w:val="222222"/>
          <w:shd w:val="clear" w:color="auto" w:fill="FFFFFF"/>
        </w:rPr>
      </w:pPr>
    </w:p>
    <w:p w14:paraId="3F1FEBBE" w14:textId="77777777" w:rsidR="0087259C" w:rsidRPr="0087259C" w:rsidRDefault="0087259C" w:rsidP="007B0578">
      <w:pPr>
        <w:rPr>
          <w:color w:val="222222"/>
          <w:shd w:val="clear" w:color="auto" w:fill="FFFFFF"/>
        </w:rPr>
      </w:pPr>
    </w:p>
    <w:p w14:paraId="46A3B0AA" w14:textId="77777777" w:rsidR="0087259C" w:rsidRPr="0087259C" w:rsidRDefault="0087259C" w:rsidP="007B0578">
      <w:pPr>
        <w:rPr>
          <w:color w:val="222222"/>
          <w:shd w:val="clear" w:color="auto" w:fill="FFFFFF"/>
        </w:rPr>
      </w:pPr>
    </w:p>
    <w:p w14:paraId="10BD3F08" w14:textId="77777777" w:rsidR="0087259C" w:rsidRPr="0087259C" w:rsidRDefault="0087259C" w:rsidP="007B0578">
      <w:pPr>
        <w:rPr>
          <w:color w:val="222222"/>
          <w:shd w:val="clear" w:color="auto" w:fill="FFFFFF"/>
        </w:rPr>
      </w:pPr>
    </w:p>
    <w:p w14:paraId="4727BE25" w14:textId="77777777" w:rsidR="0087259C" w:rsidRPr="0087259C" w:rsidRDefault="0087259C" w:rsidP="007B0578">
      <w:pPr>
        <w:rPr>
          <w:color w:val="222222"/>
          <w:shd w:val="clear" w:color="auto" w:fill="FFFFFF"/>
        </w:rPr>
      </w:pPr>
    </w:p>
    <w:p w14:paraId="5AB659AC" w14:textId="77777777" w:rsidR="0087259C" w:rsidRPr="0087259C" w:rsidRDefault="0087259C" w:rsidP="007B0578">
      <w:pPr>
        <w:rPr>
          <w:color w:val="222222"/>
          <w:shd w:val="clear" w:color="auto" w:fill="FFFFFF"/>
        </w:rPr>
      </w:pPr>
    </w:p>
    <w:p w14:paraId="209AF939" w14:textId="77777777" w:rsidR="0087259C" w:rsidRPr="0087259C" w:rsidRDefault="0087259C" w:rsidP="007B0578">
      <w:pPr>
        <w:rPr>
          <w:color w:val="222222"/>
          <w:shd w:val="clear" w:color="auto" w:fill="FFFFFF"/>
        </w:rPr>
      </w:pPr>
    </w:p>
    <w:p w14:paraId="7457BC19" w14:textId="77777777" w:rsidR="0087259C" w:rsidRPr="0087259C" w:rsidRDefault="0087259C" w:rsidP="007B0578">
      <w:pPr>
        <w:rPr>
          <w:color w:val="222222"/>
          <w:shd w:val="clear" w:color="auto" w:fill="FFFFFF"/>
        </w:rPr>
      </w:pPr>
    </w:p>
    <w:p w14:paraId="64D7F45B" w14:textId="77777777" w:rsidR="0087259C" w:rsidRPr="0087259C" w:rsidRDefault="0087259C" w:rsidP="007B0578">
      <w:pPr>
        <w:rPr>
          <w:color w:val="222222"/>
          <w:shd w:val="clear" w:color="auto" w:fill="FFFFFF"/>
        </w:rPr>
      </w:pPr>
    </w:p>
    <w:p w14:paraId="4BC628D7" w14:textId="77777777" w:rsidR="0087259C" w:rsidRPr="0087259C" w:rsidRDefault="0087259C" w:rsidP="007B0578">
      <w:pPr>
        <w:rPr>
          <w:color w:val="222222"/>
          <w:shd w:val="clear" w:color="auto" w:fill="FFFFFF"/>
        </w:rPr>
      </w:pPr>
    </w:p>
    <w:p w14:paraId="0C199B85" w14:textId="77777777" w:rsidR="0087259C" w:rsidRPr="0087259C" w:rsidRDefault="0087259C" w:rsidP="007B0578">
      <w:pPr>
        <w:rPr>
          <w:color w:val="222222"/>
          <w:shd w:val="clear" w:color="auto" w:fill="FFFFFF"/>
        </w:rPr>
      </w:pPr>
    </w:p>
    <w:p w14:paraId="4D7007DF" w14:textId="77777777" w:rsidR="0087259C" w:rsidRPr="0087259C" w:rsidRDefault="0087259C" w:rsidP="007B0578">
      <w:pPr>
        <w:rPr>
          <w:color w:val="222222"/>
          <w:shd w:val="clear" w:color="auto" w:fill="FFFFFF"/>
        </w:rPr>
      </w:pPr>
    </w:p>
    <w:p w14:paraId="5DEAC596" w14:textId="77777777" w:rsidR="0087259C" w:rsidRPr="0087259C" w:rsidRDefault="0087259C" w:rsidP="007B0578">
      <w:pPr>
        <w:rPr>
          <w:color w:val="222222"/>
          <w:shd w:val="clear" w:color="auto" w:fill="FFFFFF"/>
        </w:rPr>
      </w:pPr>
    </w:p>
    <w:p w14:paraId="12AAE196" w14:textId="77777777" w:rsidR="0087259C" w:rsidRPr="0087259C" w:rsidRDefault="0087259C" w:rsidP="007B0578"/>
    <w:p w14:paraId="409D0604" w14:textId="77777777" w:rsidR="0087259C" w:rsidRPr="0087259C" w:rsidRDefault="0087259C" w:rsidP="007B0578">
      <w:pPr>
        <w:spacing w:before="100" w:beforeAutospacing="1" w:after="100" w:afterAutospacing="1"/>
      </w:pPr>
    </w:p>
    <w:p w14:paraId="62FCAF14" w14:textId="77777777" w:rsidR="0087259C" w:rsidRPr="0087259C" w:rsidRDefault="0087259C" w:rsidP="007B0578">
      <w:pPr>
        <w:spacing w:before="100" w:beforeAutospacing="1" w:after="100" w:afterAutospacing="1"/>
      </w:pPr>
    </w:p>
    <w:p w14:paraId="12D57420" w14:textId="77777777" w:rsidR="0087259C" w:rsidRPr="0087259C" w:rsidRDefault="0087259C" w:rsidP="007B0578">
      <w:pPr>
        <w:rPr>
          <w:color w:val="3E3D40"/>
          <w:shd w:val="clear" w:color="auto" w:fill="FFFFFF"/>
        </w:rPr>
      </w:pPr>
    </w:p>
    <w:p w14:paraId="21D4ABA5" w14:textId="77777777" w:rsidR="0087259C" w:rsidRPr="0087259C" w:rsidRDefault="0087259C" w:rsidP="007B0578"/>
    <w:p w14:paraId="76C99F5F" w14:textId="77777777" w:rsidR="0087259C" w:rsidRPr="0087259C" w:rsidRDefault="0087259C" w:rsidP="007B0578">
      <w:pPr>
        <w:rPr>
          <w:color w:val="212121"/>
          <w:shd w:val="clear" w:color="auto" w:fill="FFFFFF"/>
        </w:rPr>
      </w:pPr>
    </w:p>
    <w:p w14:paraId="2FF3F5D3" w14:textId="77777777" w:rsidR="0087259C" w:rsidRPr="0087259C" w:rsidRDefault="0087259C" w:rsidP="007B0578"/>
    <w:p w14:paraId="3D2A724C" w14:textId="77777777" w:rsidR="0087259C" w:rsidRPr="0087259C" w:rsidRDefault="0087259C" w:rsidP="007B0578">
      <w:pPr>
        <w:rPr>
          <w:color w:val="222222"/>
          <w:shd w:val="clear" w:color="auto" w:fill="FFFFFF"/>
        </w:rPr>
      </w:pPr>
    </w:p>
    <w:p w14:paraId="206FB4DD" w14:textId="77777777" w:rsidR="0087259C" w:rsidRPr="0087259C" w:rsidRDefault="0087259C" w:rsidP="007B0578"/>
    <w:p w14:paraId="787A414C" w14:textId="77777777" w:rsidR="0087259C" w:rsidRPr="0087259C" w:rsidRDefault="0087259C" w:rsidP="007B0578"/>
    <w:p w14:paraId="0527F799" w14:textId="77777777" w:rsidR="0087259C" w:rsidRPr="0087259C" w:rsidRDefault="0087259C" w:rsidP="007B0578">
      <w:pPr>
        <w:rPr>
          <w:color w:val="222222"/>
          <w:shd w:val="clear" w:color="auto" w:fill="FFFFFF"/>
        </w:rPr>
      </w:pPr>
    </w:p>
    <w:p w14:paraId="69526D24" w14:textId="77777777" w:rsidR="0087259C" w:rsidRPr="0087259C" w:rsidRDefault="0087259C" w:rsidP="007B0578">
      <w:pPr>
        <w:rPr>
          <w:color w:val="222222"/>
          <w:shd w:val="clear" w:color="auto" w:fill="FFFFFF"/>
        </w:rPr>
      </w:pPr>
    </w:p>
    <w:p w14:paraId="1A31DFA3" w14:textId="77777777" w:rsidR="0087259C" w:rsidRPr="0087259C" w:rsidRDefault="0087259C" w:rsidP="007B0578">
      <w:pPr>
        <w:rPr>
          <w:color w:val="222222"/>
        </w:rPr>
      </w:pPr>
    </w:p>
    <w:p w14:paraId="7D443D84" w14:textId="77777777" w:rsidR="0087259C" w:rsidRPr="0087259C" w:rsidRDefault="0087259C" w:rsidP="007B0578"/>
    <w:p w14:paraId="3DF8EADD" w14:textId="77777777" w:rsidR="0087259C" w:rsidRPr="0087259C" w:rsidRDefault="0087259C" w:rsidP="007B0578"/>
    <w:p w14:paraId="1156E825" w14:textId="77777777" w:rsidR="0087259C" w:rsidRPr="0087259C" w:rsidRDefault="0087259C" w:rsidP="007B0578"/>
    <w:p w14:paraId="4E148E56" w14:textId="49356852" w:rsidR="0087259C" w:rsidRDefault="0087259C" w:rsidP="0087259C">
      <w:pPr>
        <w:spacing w:line="480" w:lineRule="auto"/>
        <w:ind w:hanging="720"/>
        <w:jc w:val="center"/>
        <w:rPr>
          <w:color w:val="222222"/>
          <w:shd w:val="clear" w:color="auto" w:fill="FFFFFF"/>
        </w:rPr>
      </w:pPr>
      <w:r>
        <w:rPr>
          <w:color w:val="222222"/>
          <w:shd w:val="clear" w:color="auto" w:fill="FFFFFF"/>
        </w:rPr>
        <w:t>Refernces</w:t>
      </w:r>
    </w:p>
    <w:p w14:paraId="75820935" w14:textId="77777777" w:rsidR="0087259C" w:rsidRPr="0087259C" w:rsidRDefault="0087259C" w:rsidP="0087259C">
      <w:pPr>
        <w:spacing w:line="480" w:lineRule="auto"/>
        <w:ind w:hanging="720"/>
      </w:pPr>
    </w:p>
    <w:p w14:paraId="05A54A3E" w14:textId="6E27CA56" w:rsidR="0087259C" w:rsidRDefault="0087259C" w:rsidP="0087259C">
      <w:pPr>
        <w:spacing w:line="480" w:lineRule="auto"/>
        <w:ind w:hanging="720"/>
        <w:rPr>
          <w:color w:val="222222"/>
          <w:shd w:val="clear" w:color="auto" w:fill="FFFFFF"/>
        </w:rPr>
      </w:pPr>
      <w:r w:rsidRPr="0087259C">
        <w:rPr>
          <w:color w:val="222222"/>
          <w:shd w:val="clear" w:color="auto" w:fill="FFFFFF"/>
        </w:rPr>
        <w:t>Broadbent, D. E. (1958). The effects of noise on behaviour.</w:t>
      </w:r>
      <w:r w:rsidRPr="0087259C">
        <w:t xml:space="preserve"> </w:t>
      </w:r>
      <w:hyperlink r:id="rId5" w:history="1">
        <w:r w:rsidRPr="002F24D9">
          <w:rPr>
            <w:rStyle w:val="Hyperlink"/>
            <w:shd w:val="clear" w:color="auto" w:fill="FFFFFF"/>
          </w:rPr>
          <w:t>https://psycnet.apa.org/doi/10.1037/10037-005</w:t>
        </w:r>
      </w:hyperlink>
    </w:p>
    <w:p w14:paraId="79403E72" w14:textId="77777777" w:rsidR="0087259C" w:rsidRPr="0087259C" w:rsidRDefault="0087259C" w:rsidP="0087259C">
      <w:pPr>
        <w:spacing w:line="480" w:lineRule="auto"/>
        <w:ind w:hanging="720"/>
        <w:rPr>
          <w:color w:val="222222"/>
          <w:shd w:val="clear" w:color="auto" w:fill="FFFFFF"/>
        </w:rPr>
      </w:pPr>
    </w:p>
    <w:p w14:paraId="311DED90" w14:textId="078A4107" w:rsidR="0087259C" w:rsidRDefault="0087259C" w:rsidP="0087259C">
      <w:pPr>
        <w:spacing w:line="480" w:lineRule="auto"/>
        <w:ind w:hanging="720"/>
        <w:rPr>
          <w:color w:val="222222"/>
          <w:shd w:val="clear" w:color="auto" w:fill="FFFFFF"/>
        </w:rPr>
      </w:pPr>
      <w:r w:rsidRPr="0087259C">
        <w:rPr>
          <w:color w:val="222222"/>
          <w:shd w:val="clear" w:color="auto" w:fill="FFFFFF"/>
        </w:rPr>
        <w:t>Calder, A. J. (1996). Facial emotion recognition after bilateral amygdala damage: Differentially severe impairment of fear.</w:t>
      </w:r>
      <w:r w:rsidRPr="0087259C">
        <w:rPr>
          <w:rStyle w:val="apple-converted-space"/>
          <w:color w:val="222222"/>
          <w:shd w:val="clear" w:color="auto" w:fill="FFFFFF"/>
        </w:rPr>
        <w:t> </w:t>
      </w:r>
      <w:r w:rsidRPr="0087259C">
        <w:rPr>
          <w:i/>
          <w:iCs/>
          <w:color w:val="222222"/>
        </w:rPr>
        <w:t>Cognitive Neuropsychology</w:t>
      </w:r>
      <w:r w:rsidRPr="0087259C">
        <w:rPr>
          <w:color w:val="222222"/>
          <w:shd w:val="clear" w:color="auto" w:fill="FFFFFF"/>
        </w:rPr>
        <w:t>,</w:t>
      </w:r>
      <w:r w:rsidRPr="0087259C">
        <w:rPr>
          <w:rStyle w:val="apple-converted-space"/>
          <w:color w:val="222222"/>
          <w:shd w:val="clear" w:color="auto" w:fill="FFFFFF"/>
        </w:rPr>
        <w:t> </w:t>
      </w:r>
      <w:r w:rsidRPr="0087259C">
        <w:rPr>
          <w:i/>
          <w:iCs/>
          <w:color w:val="222222"/>
        </w:rPr>
        <w:t>13</w:t>
      </w:r>
      <w:r w:rsidRPr="0087259C">
        <w:rPr>
          <w:color w:val="222222"/>
          <w:shd w:val="clear" w:color="auto" w:fill="FFFFFF"/>
        </w:rPr>
        <w:t>(5), 699-745.</w:t>
      </w:r>
    </w:p>
    <w:p w14:paraId="5DED5FB7" w14:textId="77777777" w:rsidR="0087259C" w:rsidRPr="0087259C" w:rsidRDefault="0087259C" w:rsidP="0087259C">
      <w:pPr>
        <w:spacing w:line="480" w:lineRule="auto"/>
        <w:ind w:hanging="720"/>
      </w:pPr>
    </w:p>
    <w:p w14:paraId="642F7A43" w14:textId="767DD5D4" w:rsidR="0087259C" w:rsidRDefault="0087259C" w:rsidP="0087259C">
      <w:pPr>
        <w:spacing w:line="480" w:lineRule="auto"/>
        <w:ind w:hanging="720"/>
        <w:rPr>
          <w:color w:val="222222"/>
          <w:shd w:val="clear" w:color="auto" w:fill="FFFFFF"/>
        </w:rPr>
      </w:pPr>
      <w:r w:rsidRPr="0087259C">
        <w:rPr>
          <w:color w:val="222222"/>
          <w:shd w:val="clear" w:color="auto" w:fill="FFFFFF"/>
        </w:rPr>
        <w:t>Damasio, H., Grabowski, T., Frank, R., Galaburda, A. M., &amp; Damasio, A. R. (1994). The return of Phineas Gage: clues about the brain from the skull of a famous patient. </w:t>
      </w:r>
      <w:r w:rsidRPr="0087259C">
        <w:rPr>
          <w:i/>
          <w:iCs/>
          <w:color w:val="222222"/>
        </w:rPr>
        <w:t>Science</w:t>
      </w:r>
      <w:r w:rsidRPr="0087259C">
        <w:rPr>
          <w:color w:val="222222"/>
          <w:shd w:val="clear" w:color="auto" w:fill="FFFFFF"/>
        </w:rPr>
        <w:t>, </w:t>
      </w:r>
      <w:r w:rsidRPr="0087259C">
        <w:rPr>
          <w:i/>
          <w:iCs/>
          <w:color w:val="222222"/>
        </w:rPr>
        <w:t>264</w:t>
      </w:r>
      <w:r w:rsidRPr="0087259C">
        <w:rPr>
          <w:color w:val="222222"/>
          <w:shd w:val="clear" w:color="auto" w:fill="FFFFFF"/>
        </w:rPr>
        <w:t>(5162), 1102-1105.</w:t>
      </w:r>
    </w:p>
    <w:p w14:paraId="54812ADD" w14:textId="77777777" w:rsidR="0087259C" w:rsidRPr="0087259C" w:rsidRDefault="0087259C" w:rsidP="0087259C">
      <w:pPr>
        <w:spacing w:line="480" w:lineRule="auto"/>
        <w:ind w:hanging="720"/>
      </w:pPr>
    </w:p>
    <w:p w14:paraId="0C724B16" w14:textId="7A563C12" w:rsidR="0087259C" w:rsidRDefault="0087259C" w:rsidP="0087259C">
      <w:pPr>
        <w:spacing w:line="480" w:lineRule="auto"/>
        <w:ind w:hanging="720"/>
        <w:rPr>
          <w:color w:val="222222"/>
          <w:shd w:val="clear" w:color="auto" w:fill="FFFFFF"/>
        </w:rPr>
      </w:pPr>
      <w:r w:rsidRPr="0087259C">
        <w:rPr>
          <w:color w:val="222222"/>
          <w:shd w:val="clear" w:color="auto" w:fill="FFFFFF"/>
        </w:rPr>
        <w:t>De Fockert, J. W. (2013). Beyond perceptual load and dilution: a review of the role of working memory in selective attention.</w:t>
      </w:r>
      <w:r w:rsidRPr="0087259C">
        <w:rPr>
          <w:rStyle w:val="apple-converted-space"/>
          <w:color w:val="222222"/>
          <w:shd w:val="clear" w:color="auto" w:fill="FFFFFF"/>
        </w:rPr>
        <w:t> </w:t>
      </w:r>
      <w:r w:rsidRPr="0087259C">
        <w:rPr>
          <w:i/>
          <w:iCs/>
          <w:color w:val="222222"/>
        </w:rPr>
        <w:t>Frontiers in psychology</w:t>
      </w:r>
      <w:r w:rsidRPr="0087259C">
        <w:rPr>
          <w:color w:val="222222"/>
          <w:shd w:val="clear" w:color="auto" w:fill="FFFFFF"/>
        </w:rPr>
        <w:t>,</w:t>
      </w:r>
      <w:r w:rsidRPr="0087259C">
        <w:rPr>
          <w:rStyle w:val="apple-converted-space"/>
          <w:color w:val="222222"/>
          <w:shd w:val="clear" w:color="auto" w:fill="FFFFFF"/>
        </w:rPr>
        <w:t> </w:t>
      </w:r>
      <w:r w:rsidRPr="0087259C">
        <w:rPr>
          <w:i/>
          <w:iCs/>
          <w:color w:val="222222"/>
        </w:rPr>
        <w:t>4</w:t>
      </w:r>
      <w:r w:rsidRPr="0087259C">
        <w:rPr>
          <w:color w:val="222222"/>
          <w:shd w:val="clear" w:color="auto" w:fill="FFFFFF"/>
        </w:rPr>
        <w:t>, 287.</w:t>
      </w:r>
    </w:p>
    <w:p w14:paraId="594B6BEF" w14:textId="77777777" w:rsidR="0087259C" w:rsidRPr="0087259C" w:rsidRDefault="0087259C" w:rsidP="0087259C">
      <w:pPr>
        <w:spacing w:line="480" w:lineRule="auto"/>
        <w:ind w:hanging="720"/>
      </w:pPr>
    </w:p>
    <w:p w14:paraId="17B7504E" w14:textId="77777777" w:rsidR="0087259C" w:rsidRPr="0087259C" w:rsidRDefault="0087259C" w:rsidP="0087259C">
      <w:pPr>
        <w:spacing w:line="480" w:lineRule="auto"/>
        <w:ind w:hanging="720"/>
      </w:pPr>
      <w:r w:rsidRPr="0087259C">
        <w:rPr>
          <w:color w:val="222222"/>
          <w:shd w:val="clear" w:color="auto" w:fill="FFFFFF"/>
        </w:rPr>
        <w:t>De Jong, H. L., Kok, A., &amp; van Rooy, J. C. (1988). Early and Late Selection in Young and Old Adults: An Event‐Related Potential Study.</w:t>
      </w:r>
      <w:r w:rsidRPr="0087259C">
        <w:rPr>
          <w:rStyle w:val="apple-converted-space"/>
          <w:color w:val="222222"/>
          <w:shd w:val="clear" w:color="auto" w:fill="FFFFFF"/>
        </w:rPr>
        <w:t> </w:t>
      </w:r>
      <w:r w:rsidRPr="0087259C">
        <w:rPr>
          <w:i/>
          <w:iCs/>
          <w:color w:val="222222"/>
        </w:rPr>
        <w:t>Psychophysiology</w:t>
      </w:r>
      <w:r w:rsidRPr="0087259C">
        <w:rPr>
          <w:color w:val="222222"/>
          <w:shd w:val="clear" w:color="auto" w:fill="FFFFFF"/>
        </w:rPr>
        <w:t>,</w:t>
      </w:r>
      <w:r w:rsidRPr="0087259C">
        <w:rPr>
          <w:rStyle w:val="apple-converted-space"/>
          <w:color w:val="222222"/>
          <w:shd w:val="clear" w:color="auto" w:fill="FFFFFF"/>
        </w:rPr>
        <w:t> </w:t>
      </w:r>
      <w:r w:rsidRPr="0087259C">
        <w:rPr>
          <w:i/>
          <w:iCs/>
          <w:color w:val="222222"/>
        </w:rPr>
        <w:t>25</w:t>
      </w:r>
      <w:r w:rsidRPr="0087259C">
        <w:rPr>
          <w:color w:val="222222"/>
          <w:shd w:val="clear" w:color="auto" w:fill="FFFFFF"/>
        </w:rPr>
        <w:t>(6), 657-671.</w:t>
      </w:r>
    </w:p>
    <w:p w14:paraId="5565837F" w14:textId="77777777" w:rsidR="0087259C" w:rsidRDefault="0087259C" w:rsidP="0087259C">
      <w:pPr>
        <w:spacing w:line="480" w:lineRule="auto"/>
        <w:ind w:hanging="720"/>
        <w:rPr>
          <w:color w:val="333333"/>
          <w:shd w:val="clear" w:color="auto" w:fill="FFFFFF"/>
        </w:rPr>
      </w:pPr>
      <w:r w:rsidRPr="0087259C">
        <w:rPr>
          <w:color w:val="333333"/>
          <w:shd w:val="clear" w:color="auto" w:fill="FFFFFF"/>
        </w:rPr>
        <w:t xml:space="preserve">Deutsch, J. A., &amp; Deutsch, D. (1963). Attention: Some theoretical </w:t>
      </w:r>
    </w:p>
    <w:p w14:paraId="6E021032" w14:textId="77777777" w:rsidR="0087259C" w:rsidRDefault="0087259C" w:rsidP="0087259C">
      <w:pPr>
        <w:spacing w:line="480" w:lineRule="auto"/>
        <w:ind w:hanging="720"/>
        <w:rPr>
          <w:color w:val="333333"/>
          <w:shd w:val="clear" w:color="auto" w:fill="FFFFFF"/>
        </w:rPr>
      </w:pPr>
    </w:p>
    <w:p w14:paraId="6E90747C" w14:textId="3272826B" w:rsidR="0087259C" w:rsidRPr="0087259C" w:rsidRDefault="0087259C" w:rsidP="0087259C">
      <w:pPr>
        <w:spacing w:line="480" w:lineRule="auto"/>
        <w:ind w:hanging="720"/>
      </w:pPr>
      <w:r w:rsidRPr="0087259C">
        <w:rPr>
          <w:color w:val="333333"/>
          <w:shd w:val="clear" w:color="auto" w:fill="FFFFFF"/>
        </w:rPr>
        <w:t>considerations.</w:t>
      </w:r>
      <w:r w:rsidRPr="0087259C">
        <w:rPr>
          <w:rStyle w:val="apple-converted-space"/>
          <w:color w:val="333333"/>
          <w:shd w:val="clear" w:color="auto" w:fill="FFFFFF"/>
        </w:rPr>
        <w:t> </w:t>
      </w:r>
      <w:r w:rsidRPr="0087259C">
        <w:rPr>
          <w:rStyle w:val="Emphasis"/>
          <w:color w:val="333333"/>
        </w:rPr>
        <w:t>Psychological Review, 70</w:t>
      </w:r>
      <w:r w:rsidRPr="0087259C">
        <w:rPr>
          <w:color w:val="333333"/>
          <w:shd w:val="clear" w:color="auto" w:fill="FFFFFF"/>
        </w:rPr>
        <w:t>(1), 80–90.</w:t>
      </w:r>
      <w:r w:rsidRPr="0087259C">
        <w:rPr>
          <w:rStyle w:val="apple-converted-space"/>
          <w:color w:val="333333"/>
          <w:shd w:val="clear" w:color="auto" w:fill="FFFFFF"/>
        </w:rPr>
        <w:t> </w:t>
      </w:r>
      <w:hyperlink r:id="rId6" w:tgtFrame="_blank" w:history="1">
        <w:r w:rsidRPr="0087259C">
          <w:rPr>
            <w:rStyle w:val="Hyperlink"/>
            <w:color w:val="2C72B7"/>
          </w:rPr>
          <w:t>https://doi.org/10.1037/h0039515</w:t>
        </w:r>
      </w:hyperlink>
    </w:p>
    <w:p w14:paraId="36D1A312" w14:textId="6242E8D8" w:rsidR="0087259C" w:rsidRDefault="0087259C" w:rsidP="0087259C">
      <w:pPr>
        <w:spacing w:line="480" w:lineRule="auto"/>
        <w:ind w:hanging="720"/>
        <w:rPr>
          <w:color w:val="303030"/>
          <w:shd w:val="clear" w:color="auto" w:fill="FFFFFF"/>
        </w:rPr>
      </w:pPr>
      <w:r w:rsidRPr="0087259C">
        <w:rPr>
          <w:color w:val="303030"/>
          <w:shd w:val="clear" w:color="auto" w:fill="FFFFFF"/>
        </w:rPr>
        <w:t>Dichter G. S. (2012). Functional magnetic resonance imaging of autism spectrum disorders.</w:t>
      </w:r>
      <w:r w:rsidRPr="0087259C">
        <w:rPr>
          <w:rStyle w:val="apple-converted-space"/>
          <w:color w:val="303030"/>
          <w:shd w:val="clear" w:color="auto" w:fill="FFFFFF"/>
        </w:rPr>
        <w:t> </w:t>
      </w:r>
      <w:r w:rsidRPr="0087259C">
        <w:rPr>
          <w:i/>
          <w:iCs/>
          <w:color w:val="303030"/>
        </w:rPr>
        <w:t>Dialogues in clinical neuroscience</w:t>
      </w:r>
      <w:r w:rsidRPr="0087259C">
        <w:rPr>
          <w:color w:val="303030"/>
          <w:shd w:val="clear" w:color="auto" w:fill="FFFFFF"/>
        </w:rPr>
        <w:t>,</w:t>
      </w:r>
      <w:r w:rsidRPr="0087259C">
        <w:rPr>
          <w:rStyle w:val="apple-converted-space"/>
          <w:color w:val="303030"/>
          <w:shd w:val="clear" w:color="auto" w:fill="FFFFFF"/>
        </w:rPr>
        <w:t> </w:t>
      </w:r>
      <w:r w:rsidRPr="0087259C">
        <w:rPr>
          <w:i/>
          <w:iCs/>
          <w:color w:val="303030"/>
        </w:rPr>
        <w:t>14</w:t>
      </w:r>
      <w:r w:rsidRPr="0087259C">
        <w:rPr>
          <w:color w:val="303030"/>
          <w:shd w:val="clear" w:color="auto" w:fill="FFFFFF"/>
        </w:rPr>
        <w:t xml:space="preserve">(3), 319–351. </w:t>
      </w:r>
      <w:hyperlink r:id="rId7" w:history="1">
        <w:r w:rsidRPr="002F24D9">
          <w:rPr>
            <w:rStyle w:val="Hyperlink"/>
            <w:shd w:val="clear" w:color="auto" w:fill="FFFFFF"/>
          </w:rPr>
          <w:t>https://doi.org/10.31887/DCNS.2012.14.3/gdichter</w:t>
        </w:r>
      </w:hyperlink>
    </w:p>
    <w:p w14:paraId="44B0DC53" w14:textId="77777777" w:rsidR="0087259C" w:rsidRPr="0087259C" w:rsidRDefault="0087259C" w:rsidP="0087259C">
      <w:pPr>
        <w:spacing w:line="480" w:lineRule="auto"/>
        <w:ind w:hanging="720"/>
        <w:rPr>
          <w:color w:val="303030"/>
          <w:shd w:val="clear" w:color="auto" w:fill="FFFFFF"/>
        </w:rPr>
      </w:pPr>
    </w:p>
    <w:p w14:paraId="2369C447" w14:textId="4D233566" w:rsidR="0087259C" w:rsidRDefault="0087259C" w:rsidP="0087259C">
      <w:pPr>
        <w:spacing w:line="480" w:lineRule="auto"/>
        <w:ind w:hanging="720"/>
        <w:rPr>
          <w:color w:val="222222"/>
        </w:rPr>
      </w:pPr>
      <w:r w:rsidRPr="0087259C">
        <w:rPr>
          <w:color w:val="222222"/>
        </w:rPr>
        <w:lastRenderedPageBreak/>
        <w:t>Dunne, S., &amp; O’Doherty, J. P. (2013). Insights from the application of computational neuroimaging to social neuroscience.</w:t>
      </w:r>
      <w:r w:rsidRPr="0087259C">
        <w:rPr>
          <w:rStyle w:val="apple-converted-space"/>
          <w:color w:val="222222"/>
        </w:rPr>
        <w:t> </w:t>
      </w:r>
      <w:r w:rsidRPr="0087259C">
        <w:rPr>
          <w:i/>
          <w:iCs/>
          <w:color w:val="222222"/>
        </w:rPr>
        <w:t>Current opinion in neurobiology</w:t>
      </w:r>
      <w:r w:rsidRPr="0087259C">
        <w:rPr>
          <w:color w:val="222222"/>
        </w:rPr>
        <w:t>,</w:t>
      </w:r>
      <w:r w:rsidRPr="0087259C">
        <w:rPr>
          <w:rStyle w:val="apple-converted-space"/>
          <w:color w:val="222222"/>
        </w:rPr>
        <w:t> </w:t>
      </w:r>
      <w:r w:rsidRPr="0087259C">
        <w:rPr>
          <w:i/>
          <w:iCs/>
          <w:color w:val="222222"/>
        </w:rPr>
        <w:t>23</w:t>
      </w:r>
      <w:r w:rsidRPr="0087259C">
        <w:rPr>
          <w:color w:val="222222"/>
        </w:rPr>
        <w:t>(3), 387-392.</w:t>
      </w:r>
      <w:r w:rsidRPr="0087259C">
        <w:t xml:space="preserve"> </w:t>
      </w:r>
      <w:hyperlink r:id="rId8" w:history="1">
        <w:r w:rsidRPr="002F24D9">
          <w:rPr>
            <w:rStyle w:val="Hyperlink"/>
          </w:rPr>
          <w:t>https://doi.org/10.1016/j.conb.2013.02.007</w:t>
        </w:r>
      </w:hyperlink>
    </w:p>
    <w:p w14:paraId="59FE6AD0" w14:textId="77777777" w:rsidR="0087259C" w:rsidRPr="0087259C" w:rsidRDefault="0087259C" w:rsidP="0087259C">
      <w:pPr>
        <w:spacing w:line="480" w:lineRule="auto"/>
        <w:ind w:hanging="720"/>
      </w:pPr>
    </w:p>
    <w:p w14:paraId="2B9BB05C" w14:textId="72693F67" w:rsidR="0087259C" w:rsidRDefault="0087259C" w:rsidP="0087259C">
      <w:pPr>
        <w:spacing w:line="480" w:lineRule="auto"/>
        <w:ind w:hanging="720"/>
        <w:rPr>
          <w:color w:val="222222"/>
        </w:rPr>
      </w:pPr>
      <w:r w:rsidRPr="0087259C">
        <w:rPr>
          <w:color w:val="222222"/>
        </w:rPr>
        <w:t>Fujiwara, H., Yassin, W., &amp; Murai, T. (2015). Neuroimaging studies of social cognition in schizophrenia.</w:t>
      </w:r>
      <w:r w:rsidRPr="0087259C">
        <w:rPr>
          <w:rStyle w:val="apple-converted-space"/>
          <w:color w:val="222222"/>
        </w:rPr>
        <w:t> </w:t>
      </w:r>
      <w:r w:rsidRPr="0087259C">
        <w:rPr>
          <w:i/>
          <w:iCs/>
          <w:color w:val="222222"/>
        </w:rPr>
        <w:t>Psychiatry and Clinical Neurosciences</w:t>
      </w:r>
      <w:r w:rsidRPr="0087259C">
        <w:rPr>
          <w:color w:val="222222"/>
        </w:rPr>
        <w:t>,</w:t>
      </w:r>
      <w:r w:rsidRPr="0087259C">
        <w:rPr>
          <w:rStyle w:val="apple-converted-space"/>
          <w:color w:val="222222"/>
        </w:rPr>
        <w:t> </w:t>
      </w:r>
      <w:r w:rsidRPr="0087259C">
        <w:rPr>
          <w:i/>
          <w:iCs/>
          <w:color w:val="222222"/>
        </w:rPr>
        <w:t>69</w:t>
      </w:r>
      <w:r w:rsidRPr="0087259C">
        <w:rPr>
          <w:color w:val="222222"/>
        </w:rPr>
        <w:t>(5), 259-267</w:t>
      </w:r>
      <w:r w:rsidRPr="0087259C">
        <w:t xml:space="preserve"> </w:t>
      </w:r>
      <w:hyperlink r:id="rId9" w:history="1">
        <w:r w:rsidRPr="002F24D9">
          <w:rPr>
            <w:rStyle w:val="Hyperlink"/>
          </w:rPr>
          <w:t>https://doi.org/10.1111/pcn.12258</w:t>
        </w:r>
      </w:hyperlink>
    </w:p>
    <w:p w14:paraId="3C612C8B" w14:textId="77777777" w:rsidR="0087259C" w:rsidRPr="0087259C" w:rsidRDefault="0087259C" w:rsidP="0087259C">
      <w:pPr>
        <w:spacing w:line="480" w:lineRule="auto"/>
        <w:ind w:hanging="720"/>
        <w:rPr>
          <w:color w:val="222222"/>
        </w:rPr>
      </w:pPr>
    </w:p>
    <w:p w14:paraId="646896ED" w14:textId="198B751C" w:rsidR="0087259C" w:rsidRDefault="0087259C" w:rsidP="0087259C">
      <w:pPr>
        <w:spacing w:line="480" w:lineRule="auto"/>
        <w:ind w:hanging="720"/>
        <w:rPr>
          <w:color w:val="222222"/>
        </w:rPr>
      </w:pPr>
      <w:r w:rsidRPr="0087259C">
        <w:rPr>
          <w:color w:val="222222"/>
        </w:rPr>
        <w:t>Gallagher, A., Bulteau, C., Cohen, D., &amp; Michaud, J. L. (2019). </w:t>
      </w:r>
      <w:r w:rsidRPr="0087259C">
        <w:rPr>
          <w:i/>
          <w:iCs/>
          <w:color w:val="222222"/>
        </w:rPr>
        <w:t>Neurocognitive Development: Normative Development</w:t>
      </w:r>
      <w:r w:rsidRPr="0087259C">
        <w:rPr>
          <w:color w:val="222222"/>
        </w:rPr>
        <w:t>. Elsevier.</w:t>
      </w:r>
    </w:p>
    <w:p w14:paraId="16186766" w14:textId="77777777" w:rsidR="0087259C" w:rsidRPr="0087259C" w:rsidRDefault="0087259C" w:rsidP="0087259C">
      <w:pPr>
        <w:spacing w:line="480" w:lineRule="auto"/>
        <w:ind w:hanging="720"/>
      </w:pPr>
    </w:p>
    <w:p w14:paraId="1B72F052" w14:textId="77777777" w:rsidR="0087259C" w:rsidRPr="0087259C" w:rsidRDefault="0087259C" w:rsidP="0087259C">
      <w:pPr>
        <w:spacing w:line="480" w:lineRule="auto"/>
        <w:ind w:hanging="720"/>
      </w:pPr>
      <w:r w:rsidRPr="0087259C">
        <w:rPr>
          <w:color w:val="222222"/>
          <w:shd w:val="clear" w:color="auto" w:fill="FFFFFF"/>
        </w:rPr>
        <w:t>Grady, C. L., &amp; Keightley, M. L. (2002). Studies of altered social cognition in neuropsychiatric disorders using functional neuroimaging.</w:t>
      </w:r>
      <w:r w:rsidRPr="0087259C">
        <w:rPr>
          <w:rStyle w:val="apple-converted-space"/>
          <w:color w:val="222222"/>
          <w:shd w:val="clear" w:color="auto" w:fill="FFFFFF"/>
        </w:rPr>
        <w:t> </w:t>
      </w:r>
      <w:r w:rsidRPr="0087259C">
        <w:rPr>
          <w:i/>
          <w:iCs/>
          <w:color w:val="222222"/>
        </w:rPr>
        <w:t>The Canadian Journal of Psychiatry</w:t>
      </w:r>
      <w:r w:rsidRPr="0087259C">
        <w:rPr>
          <w:color w:val="222222"/>
          <w:shd w:val="clear" w:color="auto" w:fill="FFFFFF"/>
        </w:rPr>
        <w:t>,</w:t>
      </w:r>
      <w:r w:rsidRPr="0087259C">
        <w:rPr>
          <w:rStyle w:val="apple-converted-space"/>
          <w:color w:val="222222"/>
          <w:shd w:val="clear" w:color="auto" w:fill="FFFFFF"/>
        </w:rPr>
        <w:t> </w:t>
      </w:r>
      <w:r w:rsidRPr="0087259C">
        <w:rPr>
          <w:i/>
          <w:iCs/>
          <w:color w:val="222222"/>
        </w:rPr>
        <w:t>47</w:t>
      </w:r>
      <w:r w:rsidRPr="0087259C">
        <w:rPr>
          <w:color w:val="222222"/>
          <w:shd w:val="clear" w:color="auto" w:fill="FFFFFF"/>
        </w:rPr>
        <w:t>(4), 327-336.</w:t>
      </w:r>
      <w:r w:rsidRPr="0087259C">
        <w:t xml:space="preserve"> </w:t>
      </w:r>
      <w:r w:rsidRPr="0087259C">
        <w:rPr>
          <w:color w:val="222222"/>
          <w:shd w:val="clear" w:color="auto" w:fill="FFFFFF"/>
        </w:rPr>
        <w:t>https://doi.org/10.1177%2F070674370204700403</w:t>
      </w:r>
    </w:p>
    <w:p w14:paraId="237A34AF" w14:textId="41437EAF" w:rsidR="0087259C" w:rsidRDefault="0087259C" w:rsidP="0087259C">
      <w:pPr>
        <w:spacing w:line="480" w:lineRule="auto"/>
        <w:ind w:hanging="720"/>
        <w:rPr>
          <w:color w:val="222222"/>
          <w:shd w:val="clear" w:color="auto" w:fill="FFFFFF"/>
        </w:rPr>
      </w:pPr>
      <w:r w:rsidRPr="0087259C">
        <w:rPr>
          <w:color w:val="222222"/>
          <w:shd w:val="clear" w:color="auto" w:fill="FFFFFF"/>
        </w:rPr>
        <w:t>Grossmann, T. (2013). The role of medial prefrontal cortex in early social cognition. </w:t>
      </w:r>
      <w:r w:rsidRPr="0087259C">
        <w:rPr>
          <w:i/>
          <w:iCs/>
          <w:color w:val="222222"/>
        </w:rPr>
        <w:t>Frontiers in human neuroscience</w:t>
      </w:r>
      <w:r w:rsidRPr="0087259C">
        <w:rPr>
          <w:color w:val="222222"/>
          <w:shd w:val="clear" w:color="auto" w:fill="FFFFFF"/>
        </w:rPr>
        <w:t>, </w:t>
      </w:r>
      <w:r w:rsidRPr="0087259C">
        <w:rPr>
          <w:i/>
          <w:iCs/>
          <w:color w:val="222222"/>
        </w:rPr>
        <w:t>7</w:t>
      </w:r>
      <w:r w:rsidRPr="0087259C">
        <w:rPr>
          <w:color w:val="222222"/>
          <w:shd w:val="clear" w:color="auto" w:fill="FFFFFF"/>
        </w:rPr>
        <w:t>, 340. Grossmann, T. (2013)</w:t>
      </w:r>
    </w:p>
    <w:p w14:paraId="555FD61E" w14:textId="77777777" w:rsidR="0087259C" w:rsidRPr="0087259C" w:rsidRDefault="0087259C" w:rsidP="0087259C">
      <w:pPr>
        <w:spacing w:line="480" w:lineRule="auto"/>
        <w:ind w:hanging="720"/>
      </w:pPr>
    </w:p>
    <w:p w14:paraId="2243EE93" w14:textId="2F3995E2" w:rsidR="0087259C" w:rsidRDefault="0087259C" w:rsidP="0087259C">
      <w:pPr>
        <w:spacing w:line="480" w:lineRule="auto"/>
        <w:ind w:hanging="720"/>
        <w:rPr>
          <w:color w:val="303030"/>
          <w:shd w:val="clear" w:color="auto" w:fill="FFFFFF"/>
        </w:rPr>
      </w:pPr>
      <w:r w:rsidRPr="0087259C">
        <w:rPr>
          <w:color w:val="303030"/>
          <w:shd w:val="clear" w:color="auto" w:fill="FFFFFF"/>
        </w:rPr>
        <w:t>Hillyard, S. A., &amp; Anllo-Vento, L. (1998). Event-related brain potentials in the study of visual selective attention.</w:t>
      </w:r>
      <w:r w:rsidRPr="0087259C">
        <w:rPr>
          <w:rStyle w:val="apple-converted-space"/>
          <w:color w:val="303030"/>
          <w:shd w:val="clear" w:color="auto" w:fill="FFFFFF"/>
        </w:rPr>
        <w:t> </w:t>
      </w:r>
      <w:r w:rsidRPr="0087259C">
        <w:rPr>
          <w:i/>
          <w:iCs/>
          <w:color w:val="303030"/>
        </w:rPr>
        <w:t>Proceedings of the National Academy of Sciences of the United States of America</w:t>
      </w:r>
      <w:r w:rsidRPr="0087259C">
        <w:rPr>
          <w:color w:val="303030"/>
          <w:shd w:val="clear" w:color="auto" w:fill="FFFFFF"/>
        </w:rPr>
        <w:t>,</w:t>
      </w:r>
      <w:r w:rsidRPr="0087259C">
        <w:rPr>
          <w:rStyle w:val="apple-converted-space"/>
          <w:color w:val="303030"/>
          <w:shd w:val="clear" w:color="auto" w:fill="FFFFFF"/>
        </w:rPr>
        <w:t> </w:t>
      </w:r>
      <w:r w:rsidRPr="0087259C">
        <w:rPr>
          <w:i/>
          <w:iCs/>
          <w:color w:val="303030"/>
        </w:rPr>
        <w:t>95</w:t>
      </w:r>
      <w:r w:rsidRPr="0087259C">
        <w:rPr>
          <w:color w:val="303030"/>
          <w:shd w:val="clear" w:color="auto" w:fill="FFFFFF"/>
        </w:rPr>
        <w:t xml:space="preserve">(3), 781–787. </w:t>
      </w:r>
      <w:hyperlink r:id="rId10" w:history="1">
        <w:r w:rsidRPr="002F24D9">
          <w:rPr>
            <w:rStyle w:val="Hyperlink"/>
            <w:shd w:val="clear" w:color="auto" w:fill="FFFFFF"/>
          </w:rPr>
          <w:t>https://doi.org/10.1073/pnas.95.3.781</w:t>
        </w:r>
      </w:hyperlink>
    </w:p>
    <w:p w14:paraId="75954FE9" w14:textId="77777777" w:rsidR="0087259C" w:rsidRPr="0087259C" w:rsidRDefault="0087259C" w:rsidP="0087259C">
      <w:pPr>
        <w:spacing w:line="480" w:lineRule="auto"/>
        <w:ind w:hanging="720"/>
      </w:pPr>
    </w:p>
    <w:p w14:paraId="23243E71" w14:textId="499A4445" w:rsidR="0087259C" w:rsidRDefault="0087259C" w:rsidP="0087259C">
      <w:pPr>
        <w:spacing w:line="480" w:lineRule="auto"/>
        <w:ind w:hanging="720"/>
        <w:rPr>
          <w:color w:val="222222"/>
          <w:shd w:val="clear" w:color="auto" w:fill="FFFFFF"/>
        </w:rPr>
      </w:pPr>
      <w:r w:rsidRPr="0087259C">
        <w:rPr>
          <w:color w:val="222222"/>
          <w:shd w:val="clear" w:color="auto" w:fill="FFFFFF"/>
        </w:rPr>
        <w:t>Hommel, B., Chapman, C. S., Cisek, P., Neyedli, H. F., Song, J. H., &amp; Welsh, T. N. (2019). No one knows what attention is.</w:t>
      </w:r>
      <w:r w:rsidRPr="0087259C">
        <w:rPr>
          <w:rStyle w:val="apple-converted-space"/>
          <w:color w:val="222222"/>
          <w:shd w:val="clear" w:color="auto" w:fill="FFFFFF"/>
        </w:rPr>
        <w:t> </w:t>
      </w:r>
      <w:r w:rsidRPr="0087259C">
        <w:rPr>
          <w:i/>
          <w:iCs/>
          <w:color w:val="222222"/>
        </w:rPr>
        <w:t>Attention, Perception, &amp; Psychophysics</w:t>
      </w:r>
      <w:r w:rsidRPr="0087259C">
        <w:rPr>
          <w:color w:val="222222"/>
          <w:shd w:val="clear" w:color="auto" w:fill="FFFFFF"/>
        </w:rPr>
        <w:t>,</w:t>
      </w:r>
      <w:r w:rsidRPr="0087259C">
        <w:rPr>
          <w:rStyle w:val="apple-converted-space"/>
          <w:color w:val="222222"/>
          <w:shd w:val="clear" w:color="auto" w:fill="FFFFFF"/>
        </w:rPr>
        <w:t> </w:t>
      </w:r>
      <w:r w:rsidRPr="0087259C">
        <w:rPr>
          <w:i/>
          <w:iCs/>
          <w:color w:val="222222"/>
        </w:rPr>
        <w:t>81</w:t>
      </w:r>
      <w:r w:rsidRPr="0087259C">
        <w:rPr>
          <w:color w:val="222222"/>
          <w:shd w:val="clear" w:color="auto" w:fill="FFFFFF"/>
        </w:rPr>
        <w:t>(7), 2288-2303.</w:t>
      </w:r>
    </w:p>
    <w:p w14:paraId="3E39E714" w14:textId="77777777" w:rsidR="0087259C" w:rsidRPr="0087259C" w:rsidRDefault="0087259C" w:rsidP="0087259C">
      <w:pPr>
        <w:spacing w:line="480" w:lineRule="auto"/>
        <w:ind w:hanging="720"/>
        <w:rPr>
          <w:color w:val="222222"/>
          <w:shd w:val="clear" w:color="auto" w:fill="FFFFFF"/>
        </w:rPr>
      </w:pPr>
    </w:p>
    <w:p w14:paraId="407C4201" w14:textId="4E62C634" w:rsidR="0087259C" w:rsidRDefault="0087259C" w:rsidP="0087259C">
      <w:pPr>
        <w:spacing w:line="480" w:lineRule="auto"/>
        <w:ind w:hanging="720"/>
        <w:rPr>
          <w:color w:val="222222"/>
        </w:rPr>
      </w:pPr>
      <w:r w:rsidRPr="0087259C">
        <w:rPr>
          <w:color w:val="222222"/>
        </w:rPr>
        <w:lastRenderedPageBreak/>
        <w:t>Howard, M. A., Cowell, P. E., Boucher, J., Broks, P., Mayes, A., Farrant, A., &amp; Roberts, N. (2000). Convergent neuroanatomical and behavioural evidence of an amygdala hypothesis of autism.</w:t>
      </w:r>
      <w:r w:rsidRPr="0087259C">
        <w:rPr>
          <w:rStyle w:val="apple-converted-space"/>
          <w:color w:val="222222"/>
        </w:rPr>
        <w:t> </w:t>
      </w:r>
      <w:r w:rsidRPr="0087259C">
        <w:rPr>
          <w:i/>
          <w:iCs/>
          <w:color w:val="222222"/>
        </w:rPr>
        <w:t>Neuroreport</w:t>
      </w:r>
      <w:r w:rsidRPr="0087259C">
        <w:rPr>
          <w:color w:val="222222"/>
        </w:rPr>
        <w:t>,</w:t>
      </w:r>
      <w:r w:rsidRPr="0087259C">
        <w:rPr>
          <w:rStyle w:val="apple-converted-space"/>
          <w:color w:val="222222"/>
        </w:rPr>
        <w:t> </w:t>
      </w:r>
      <w:r w:rsidRPr="0087259C">
        <w:rPr>
          <w:i/>
          <w:iCs/>
          <w:color w:val="222222"/>
        </w:rPr>
        <w:t>11</w:t>
      </w:r>
      <w:r w:rsidRPr="0087259C">
        <w:rPr>
          <w:color w:val="222222"/>
        </w:rPr>
        <w:t>(13), 2931-2935.</w:t>
      </w:r>
    </w:p>
    <w:p w14:paraId="3E5A8DDC" w14:textId="77777777" w:rsidR="0087259C" w:rsidRPr="0087259C" w:rsidRDefault="0087259C" w:rsidP="0087259C">
      <w:pPr>
        <w:spacing w:line="480" w:lineRule="auto"/>
        <w:ind w:hanging="720"/>
        <w:rPr>
          <w:color w:val="222222"/>
        </w:rPr>
      </w:pPr>
    </w:p>
    <w:p w14:paraId="79FCE8BE" w14:textId="33010A03" w:rsidR="0087259C" w:rsidRDefault="0087259C" w:rsidP="0087259C">
      <w:pPr>
        <w:spacing w:line="480" w:lineRule="auto"/>
        <w:ind w:hanging="720"/>
        <w:rPr>
          <w:color w:val="222222"/>
          <w:shd w:val="clear" w:color="auto" w:fill="FFFFFF"/>
        </w:rPr>
      </w:pPr>
      <w:r w:rsidRPr="0087259C">
        <w:rPr>
          <w:color w:val="222222"/>
          <w:shd w:val="clear" w:color="auto" w:fill="FFFFFF"/>
        </w:rPr>
        <w:t>Ibrahim, K., Soorya, L. V., Halpern, D. B., Gorenstein, M., Siper, P. M., &amp; Wang, A. T. (2021). Social cognitive skills groups increase medial prefrontal cortex activity in children with autism spectrum disorder.</w:t>
      </w:r>
      <w:r w:rsidRPr="0087259C">
        <w:rPr>
          <w:rStyle w:val="apple-converted-space"/>
          <w:color w:val="222222"/>
          <w:shd w:val="clear" w:color="auto" w:fill="FFFFFF"/>
        </w:rPr>
        <w:t> </w:t>
      </w:r>
      <w:r w:rsidRPr="0087259C">
        <w:rPr>
          <w:i/>
          <w:iCs/>
          <w:color w:val="222222"/>
        </w:rPr>
        <w:t>Autism Research</w:t>
      </w:r>
      <w:r w:rsidRPr="0087259C">
        <w:rPr>
          <w:color w:val="222222"/>
          <w:shd w:val="clear" w:color="auto" w:fill="FFFFFF"/>
        </w:rPr>
        <w:t>,</w:t>
      </w:r>
      <w:r w:rsidRPr="0087259C">
        <w:rPr>
          <w:rStyle w:val="apple-converted-space"/>
          <w:color w:val="222222"/>
          <w:shd w:val="clear" w:color="auto" w:fill="FFFFFF"/>
        </w:rPr>
        <w:t> </w:t>
      </w:r>
      <w:r w:rsidRPr="0087259C">
        <w:rPr>
          <w:i/>
          <w:iCs/>
          <w:color w:val="222222"/>
        </w:rPr>
        <w:t>14</w:t>
      </w:r>
      <w:r w:rsidRPr="0087259C">
        <w:rPr>
          <w:color w:val="222222"/>
          <w:shd w:val="clear" w:color="auto" w:fill="FFFFFF"/>
        </w:rPr>
        <w:t>(12), 2495-2511.</w:t>
      </w:r>
      <w:r w:rsidRPr="0087259C">
        <w:t xml:space="preserve"> </w:t>
      </w:r>
      <w:hyperlink r:id="rId11" w:history="1">
        <w:r w:rsidRPr="002F24D9">
          <w:rPr>
            <w:rStyle w:val="Hyperlink"/>
            <w:shd w:val="clear" w:color="auto" w:fill="FFFFFF"/>
          </w:rPr>
          <w:t>https://doi.org/10.1002/aur.2603</w:t>
        </w:r>
      </w:hyperlink>
    </w:p>
    <w:p w14:paraId="49E9EDCE" w14:textId="77777777" w:rsidR="0087259C" w:rsidRDefault="0087259C" w:rsidP="0087259C">
      <w:pPr>
        <w:spacing w:line="480" w:lineRule="auto"/>
        <w:ind w:hanging="720"/>
        <w:rPr>
          <w:color w:val="222222"/>
          <w:shd w:val="clear" w:color="auto" w:fill="FFFFFF"/>
        </w:rPr>
      </w:pPr>
    </w:p>
    <w:p w14:paraId="7679ACB1" w14:textId="77777777" w:rsidR="0087259C" w:rsidRPr="000D5D55" w:rsidRDefault="0087259C" w:rsidP="0087259C">
      <w:pPr>
        <w:spacing w:line="480" w:lineRule="auto"/>
        <w:ind w:hanging="720"/>
      </w:pPr>
      <w:r w:rsidRPr="000D5D55">
        <w:rPr>
          <w:color w:val="222222"/>
          <w:shd w:val="clear" w:color="auto" w:fill="FFFFFF"/>
        </w:rPr>
        <w:t>Knudsen, E. I. (2007). Fundamental components of attention. </w:t>
      </w:r>
      <w:r w:rsidRPr="000D5D55">
        <w:rPr>
          <w:i/>
          <w:iCs/>
          <w:color w:val="222222"/>
        </w:rPr>
        <w:t>Annu. Rev. Neurosci.</w:t>
      </w:r>
      <w:r w:rsidRPr="000D5D55">
        <w:rPr>
          <w:color w:val="222222"/>
          <w:shd w:val="clear" w:color="auto" w:fill="FFFFFF"/>
        </w:rPr>
        <w:t>, </w:t>
      </w:r>
      <w:r w:rsidRPr="000D5D55">
        <w:rPr>
          <w:i/>
          <w:iCs/>
          <w:color w:val="222222"/>
        </w:rPr>
        <w:t>30</w:t>
      </w:r>
      <w:r w:rsidRPr="000D5D55">
        <w:rPr>
          <w:color w:val="222222"/>
          <w:shd w:val="clear" w:color="auto" w:fill="FFFFFF"/>
        </w:rPr>
        <w:t>, 57-78.</w:t>
      </w:r>
    </w:p>
    <w:p w14:paraId="34E30341" w14:textId="77777777" w:rsidR="0087259C" w:rsidRPr="0087259C" w:rsidRDefault="0087259C" w:rsidP="0087259C">
      <w:pPr>
        <w:spacing w:before="100" w:beforeAutospacing="1" w:after="100" w:afterAutospacing="1" w:line="480" w:lineRule="auto"/>
        <w:ind w:hanging="720"/>
      </w:pPr>
      <w:r w:rsidRPr="00CF0380">
        <w:rPr>
          <w:color w:val="222222"/>
        </w:rPr>
        <w:t>Lachter, J., Forster, K. I., &amp; Ruthruff, E. (2004). Forty-five years after Broadbent (1958): still no identification without attention. </w:t>
      </w:r>
      <w:r w:rsidRPr="00CF0380">
        <w:rPr>
          <w:i/>
          <w:iCs/>
          <w:color w:val="222222"/>
        </w:rPr>
        <w:t>Psychological review</w:t>
      </w:r>
      <w:r w:rsidRPr="00CF0380">
        <w:rPr>
          <w:color w:val="222222"/>
        </w:rPr>
        <w:t>, </w:t>
      </w:r>
      <w:r w:rsidRPr="00CF0380">
        <w:rPr>
          <w:i/>
          <w:iCs/>
          <w:color w:val="222222"/>
        </w:rPr>
        <w:t>111</w:t>
      </w:r>
      <w:r w:rsidRPr="00CF0380">
        <w:rPr>
          <w:color w:val="222222"/>
        </w:rPr>
        <w:t>(4), 880.</w:t>
      </w:r>
      <w:r w:rsidRPr="0087259C">
        <w:t xml:space="preserve"> </w:t>
      </w:r>
      <w:r w:rsidRPr="0087259C">
        <w:rPr>
          <w:color w:val="222222"/>
        </w:rPr>
        <w:t>https://psycnet.apa.org/doi/10.1037/0033-295X.111.4.880</w:t>
      </w:r>
    </w:p>
    <w:p w14:paraId="04009F52" w14:textId="2E54D413" w:rsidR="0087259C" w:rsidRDefault="0087259C" w:rsidP="0087259C">
      <w:pPr>
        <w:spacing w:line="480" w:lineRule="auto"/>
        <w:ind w:hanging="720"/>
        <w:rPr>
          <w:color w:val="222222"/>
          <w:shd w:val="clear" w:color="auto" w:fill="FFFFFF"/>
        </w:rPr>
      </w:pPr>
      <w:r w:rsidRPr="0087259C">
        <w:rPr>
          <w:color w:val="222222"/>
          <w:shd w:val="clear" w:color="auto" w:fill="FFFFFF"/>
        </w:rPr>
        <w:t>Lavie, N. (1995). Perceptual load as a necessary condition for selective attention.</w:t>
      </w:r>
      <w:r w:rsidRPr="0087259C">
        <w:rPr>
          <w:rStyle w:val="apple-converted-space"/>
          <w:color w:val="222222"/>
          <w:shd w:val="clear" w:color="auto" w:fill="FFFFFF"/>
        </w:rPr>
        <w:t> </w:t>
      </w:r>
      <w:r w:rsidRPr="0087259C">
        <w:rPr>
          <w:i/>
          <w:iCs/>
          <w:color w:val="222222"/>
        </w:rPr>
        <w:t>Journal of Experimental Psychology: Human perception and performance</w:t>
      </w:r>
      <w:r w:rsidRPr="0087259C">
        <w:rPr>
          <w:color w:val="222222"/>
          <w:shd w:val="clear" w:color="auto" w:fill="FFFFFF"/>
        </w:rPr>
        <w:t>,</w:t>
      </w:r>
      <w:r w:rsidRPr="0087259C">
        <w:rPr>
          <w:rStyle w:val="apple-converted-space"/>
          <w:color w:val="222222"/>
          <w:shd w:val="clear" w:color="auto" w:fill="FFFFFF"/>
        </w:rPr>
        <w:t> </w:t>
      </w:r>
      <w:r w:rsidRPr="0087259C">
        <w:rPr>
          <w:i/>
          <w:iCs/>
          <w:color w:val="222222"/>
        </w:rPr>
        <w:t>21</w:t>
      </w:r>
      <w:r w:rsidRPr="0087259C">
        <w:rPr>
          <w:color w:val="222222"/>
          <w:shd w:val="clear" w:color="auto" w:fill="FFFFFF"/>
        </w:rPr>
        <w:t>(3), 451.</w:t>
      </w:r>
    </w:p>
    <w:p w14:paraId="0758A763" w14:textId="77777777" w:rsidR="0087259C" w:rsidRPr="0087259C" w:rsidRDefault="0087259C" w:rsidP="0087259C">
      <w:pPr>
        <w:spacing w:line="480" w:lineRule="auto"/>
        <w:ind w:hanging="720"/>
      </w:pPr>
    </w:p>
    <w:p w14:paraId="26ECC3F0" w14:textId="6F1A2334" w:rsidR="0087259C" w:rsidRDefault="0087259C" w:rsidP="0087259C">
      <w:pPr>
        <w:spacing w:line="480" w:lineRule="auto"/>
        <w:ind w:hanging="720"/>
        <w:rPr>
          <w:color w:val="222222"/>
          <w:shd w:val="clear" w:color="auto" w:fill="FFFFFF"/>
        </w:rPr>
      </w:pPr>
      <w:r w:rsidRPr="0087259C">
        <w:rPr>
          <w:color w:val="222222"/>
          <w:shd w:val="clear" w:color="auto" w:fill="FFFFFF"/>
        </w:rPr>
        <w:t>Macmillan, M. (2004). Phineas Gage: A case for all reasons. In</w:t>
      </w:r>
      <w:r w:rsidRPr="0087259C">
        <w:rPr>
          <w:rStyle w:val="apple-converted-space"/>
          <w:color w:val="222222"/>
          <w:shd w:val="clear" w:color="auto" w:fill="FFFFFF"/>
        </w:rPr>
        <w:t> </w:t>
      </w:r>
      <w:r w:rsidRPr="0087259C">
        <w:rPr>
          <w:i/>
          <w:iCs/>
          <w:color w:val="222222"/>
        </w:rPr>
        <w:t>Classic cases in neuropsychology</w:t>
      </w:r>
      <w:r w:rsidRPr="0087259C">
        <w:rPr>
          <w:rStyle w:val="apple-converted-space"/>
          <w:color w:val="222222"/>
          <w:shd w:val="clear" w:color="auto" w:fill="FFFFFF"/>
        </w:rPr>
        <w:t> </w:t>
      </w:r>
      <w:r w:rsidRPr="0087259C">
        <w:rPr>
          <w:color w:val="222222"/>
          <w:shd w:val="clear" w:color="auto" w:fill="FFFFFF"/>
        </w:rPr>
        <w:t>(pp. 236-254). Psychology Press.</w:t>
      </w:r>
    </w:p>
    <w:p w14:paraId="58C58277" w14:textId="77777777" w:rsidR="0087259C" w:rsidRPr="0087259C" w:rsidRDefault="0087259C" w:rsidP="0087259C">
      <w:pPr>
        <w:spacing w:line="480" w:lineRule="auto"/>
        <w:ind w:hanging="720"/>
      </w:pPr>
    </w:p>
    <w:p w14:paraId="64259C09" w14:textId="2C2B03BF" w:rsidR="0087259C" w:rsidRDefault="0087259C" w:rsidP="0087259C">
      <w:pPr>
        <w:spacing w:line="480" w:lineRule="auto"/>
        <w:ind w:hanging="720"/>
        <w:rPr>
          <w:color w:val="222222"/>
          <w:shd w:val="clear" w:color="auto" w:fill="FFFFFF"/>
        </w:rPr>
      </w:pPr>
      <w:r w:rsidRPr="0087259C">
        <w:rPr>
          <w:color w:val="222222"/>
          <w:shd w:val="clear" w:color="auto" w:fill="FFFFFF"/>
        </w:rPr>
        <w:t>Ocasio, W. (2011). Attention to attention.</w:t>
      </w:r>
      <w:r w:rsidRPr="0087259C">
        <w:rPr>
          <w:rStyle w:val="apple-converted-space"/>
          <w:color w:val="222222"/>
          <w:shd w:val="clear" w:color="auto" w:fill="FFFFFF"/>
        </w:rPr>
        <w:t> </w:t>
      </w:r>
      <w:r w:rsidRPr="0087259C">
        <w:rPr>
          <w:i/>
          <w:iCs/>
          <w:color w:val="222222"/>
        </w:rPr>
        <w:t>Organization science</w:t>
      </w:r>
      <w:r w:rsidRPr="0087259C">
        <w:rPr>
          <w:color w:val="222222"/>
          <w:shd w:val="clear" w:color="auto" w:fill="FFFFFF"/>
        </w:rPr>
        <w:t>,</w:t>
      </w:r>
      <w:r w:rsidRPr="0087259C">
        <w:rPr>
          <w:rStyle w:val="apple-converted-space"/>
          <w:color w:val="222222"/>
          <w:shd w:val="clear" w:color="auto" w:fill="FFFFFF"/>
        </w:rPr>
        <w:t> </w:t>
      </w:r>
      <w:r w:rsidRPr="0087259C">
        <w:rPr>
          <w:i/>
          <w:iCs/>
          <w:color w:val="222222"/>
        </w:rPr>
        <w:t>22</w:t>
      </w:r>
      <w:r w:rsidRPr="0087259C">
        <w:rPr>
          <w:color w:val="222222"/>
          <w:shd w:val="clear" w:color="auto" w:fill="FFFFFF"/>
        </w:rPr>
        <w:t>(5), 1286-1296.</w:t>
      </w:r>
    </w:p>
    <w:p w14:paraId="093B7B2D" w14:textId="77777777" w:rsidR="0087259C" w:rsidRPr="0087259C" w:rsidRDefault="0087259C" w:rsidP="0087259C">
      <w:pPr>
        <w:spacing w:line="480" w:lineRule="auto"/>
        <w:ind w:hanging="720"/>
      </w:pPr>
    </w:p>
    <w:p w14:paraId="11DFFAE9" w14:textId="100ECE26" w:rsidR="0087259C" w:rsidRDefault="0087259C" w:rsidP="0087259C">
      <w:pPr>
        <w:spacing w:line="480" w:lineRule="auto"/>
        <w:ind w:hanging="720"/>
        <w:rPr>
          <w:color w:val="222222"/>
        </w:rPr>
      </w:pPr>
      <w:r w:rsidRPr="0087259C">
        <w:rPr>
          <w:color w:val="222222"/>
        </w:rPr>
        <w:t xml:space="preserve">Poletti, M., Enrici, I., &amp; Adenzato, M. (2012). Cognitive and affective Theory of Mind in neurodegenerative diseases: neuropsychological, neuroanatomical and neurochemical </w:t>
      </w:r>
      <w:r w:rsidRPr="0087259C">
        <w:rPr>
          <w:color w:val="222222"/>
        </w:rPr>
        <w:lastRenderedPageBreak/>
        <w:t>levels.</w:t>
      </w:r>
      <w:r w:rsidRPr="0087259C">
        <w:rPr>
          <w:rStyle w:val="apple-converted-space"/>
          <w:color w:val="222222"/>
        </w:rPr>
        <w:t> </w:t>
      </w:r>
      <w:r w:rsidRPr="0087259C">
        <w:rPr>
          <w:i/>
          <w:iCs/>
          <w:color w:val="222222"/>
        </w:rPr>
        <w:t>Neuroscience &amp; Biobehavioral Reviews</w:t>
      </w:r>
      <w:r w:rsidRPr="0087259C">
        <w:rPr>
          <w:color w:val="222222"/>
        </w:rPr>
        <w:t>,</w:t>
      </w:r>
      <w:r w:rsidRPr="0087259C">
        <w:rPr>
          <w:rStyle w:val="apple-converted-space"/>
          <w:color w:val="222222"/>
        </w:rPr>
        <w:t> </w:t>
      </w:r>
      <w:r w:rsidRPr="0087259C">
        <w:rPr>
          <w:i/>
          <w:iCs/>
          <w:color w:val="222222"/>
        </w:rPr>
        <w:t>36</w:t>
      </w:r>
      <w:r w:rsidRPr="0087259C">
        <w:rPr>
          <w:color w:val="222222"/>
        </w:rPr>
        <w:t>(9), 2147-2164</w:t>
      </w:r>
      <w:r w:rsidRPr="0087259C">
        <w:t xml:space="preserve"> </w:t>
      </w:r>
      <w:hyperlink r:id="rId12" w:history="1">
        <w:r w:rsidRPr="002F24D9">
          <w:rPr>
            <w:rStyle w:val="Hyperlink"/>
          </w:rPr>
          <w:t>https://doi.org/10.1016/j.neubiorev.2012.07.004</w:t>
        </w:r>
      </w:hyperlink>
    </w:p>
    <w:p w14:paraId="410F6123" w14:textId="77777777" w:rsidR="0087259C" w:rsidRPr="0087259C" w:rsidRDefault="0087259C" w:rsidP="0087259C">
      <w:pPr>
        <w:spacing w:line="480" w:lineRule="auto"/>
        <w:ind w:hanging="720"/>
      </w:pPr>
    </w:p>
    <w:p w14:paraId="7841DB4B" w14:textId="7F4B9E6D" w:rsidR="0087259C" w:rsidRDefault="0087259C" w:rsidP="0087259C">
      <w:pPr>
        <w:spacing w:line="480" w:lineRule="auto"/>
        <w:ind w:hanging="720"/>
      </w:pPr>
      <w:r w:rsidRPr="0087259C">
        <w:rPr>
          <w:color w:val="222222"/>
          <w:shd w:val="clear" w:color="auto" w:fill="FFFFFF"/>
        </w:rPr>
        <w:t>Purves, D., Cabeza, R., Huettel, S. A., LaBar, K. S., Platt, M. L., Woldorff, M. G., &amp; Brannon, E. M. (2008).</w:t>
      </w:r>
      <w:r w:rsidRPr="0087259C">
        <w:rPr>
          <w:rStyle w:val="apple-converted-space"/>
          <w:color w:val="222222"/>
          <w:shd w:val="clear" w:color="auto" w:fill="FFFFFF"/>
        </w:rPr>
        <w:t> </w:t>
      </w:r>
      <w:r w:rsidRPr="0087259C">
        <w:rPr>
          <w:i/>
          <w:iCs/>
          <w:color w:val="222222"/>
        </w:rPr>
        <w:t>Cognitive neuroscience</w:t>
      </w:r>
      <w:r w:rsidRPr="0087259C">
        <w:rPr>
          <w:rStyle w:val="apple-converted-space"/>
          <w:color w:val="222222"/>
          <w:shd w:val="clear" w:color="auto" w:fill="FFFFFF"/>
        </w:rPr>
        <w:t> </w:t>
      </w:r>
      <w:r w:rsidRPr="0087259C">
        <w:rPr>
          <w:color w:val="222222"/>
          <w:shd w:val="clear" w:color="auto" w:fill="FFFFFF"/>
        </w:rPr>
        <w:t>(Vol. 6, No. 4). Sunderland: Sinauer Associates, Inc.</w:t>
      </w:r>
      <w:r w:rsidRPr="0087259C">
        <w:t>Pushing around the locus of selection: evidence for the flexible-selection hypothesis.</w:t>
      </w:r>
      <w:r w:rsidRPr="0087259C">
        <w:rPr>
          <w:rStyle w:val="apple-converted-space"/>
        </w:rPr>
        <w:t> </w:t>
      </w:r>
      <w:r w:rsidRPr="0087259C">
        <w:rPr>
          <w:i/>
          <w:iCs/>
        </w:rPr>
        <w:t>Journal of cognitive neuroscience</w:t>
      </w:r>
      <w:r w:rsidRPr="0087259C">
        <w:t>,</w:t>
      </w:r>
      <w:r w:rsidRPr="0087259C">
        <w:rPr>
          <w:rStyle w:val="apple-converted-space"/>
        </w:rPr>
        <w:t> </w:t>
      </w:r>
      <w:r w:rsidRPr="0087259C">
        <w:rPr>
          <w:i/>
          <w:iCs/>
        </w:rPr>
        <w:t>17</w:t>
      </w:r>
      <w:r w:rsidRPr="0087259C">
        <w:t xml:space="preserve">(12), 1907–1922. </w:t>
      </w:r>
      <w:hyperlink r:id="rId13" w:history="1">
        <w:r w:rsidRPr="002F24D9">
          <w:rPr>
            <w:rStyle w:val="Hyperlink"/>
          </w:rPr>
          <w:t>https://doi.org/10.1162/089892905775008599</w:t>
        </w:r>
      </w:hyperlink>
    </w:p>
    <w:p w14:paraId="2C0FA102" w14:textId="77777777" w:rsidR="0087259C" w:rsidRPr="0087259C" w:rsidRDefault="0087259C" w:rsidP="0087259C">
      <w:pPr>
        <w:spacing w:line="480" w:lineRule="auto"/>
        <w:ind w:hanging="720"/>
        <w:rPr>
          <w:color w:val="222222"/>
          <w:shd w:val="clear" w:color="auto" w:fill="FFFFFF"/>
        </w:rPr>
      </w:pPr>
    </w:p>
    <w:p w14:paraId="1186B260" w14:textId="1309C206" w:rsidR="0087259C" w:rsidRDefault="0087259C" w:rsidP="0087259C">
      <w:pPr>
        <w:spacing w:line="480" w:lineRule="auto"/>
        <w:ind w:hanging="720"/>
        <w:rPr>
          <w:color w:val="222222"/>
        </w:rPr>
      </w:pPr>
      <w:r w:rsidRPr="0087259C">
        <w:rPr>
          <w:color w:val="222222"/>
        </w:rPr>
        <w:t>Ramachandran, V. S. (2012). </w:t>
      </w:r>
      <w:r w:rsidRPr="0087259C">
        <w:rPr>
          <w:i/>
          <w:iCs/>
          <w:color w:val="222222"/>
        </w:rPr>
        <w:t>Encyclopedia of human behavior</w:t>
      </w:r>
      <w:r w:rsidRPr="0087259C">
        <w:rPr>
          <w:color w:val="222222"/>
        </w:rPr>
        <w:t>. Academic Press.</w:t>
      </w:r>
    </w:p>
    <w:p w14:paraId="78650E8F" w14:textId="77777777" w:rsidR="0087259C" w:rsidRPr="0087259C" w:rsidRDefault="0087259C" w:rsidP="0087259C">
      <w:pPr>
        <w:spacing w:line="480" w:lineRule="auto"/>
        <w:ind w:hanging="720"/>
        <w:rPr>
          <w:color w:val="222222"/>
        </w:rPr>
      </w:pPr>
    </w:p>
    <w:p w14:paraId="7775D687" w14:textId="77777777" w:rsidR="0087259C" w:rsidRPr="0087259C" w:rsidRDefault="0087259C" w:rsidP="0087259C">
      <w:pPr>
        <w:spacing w:line="480" w:lineRule="auto"/>
        <w:ind w:hanging="720"/>
      </w:pPr>
      <w:r w:rsidRPr="0087259C">
        <w:rPr>
          <w:color w:val="222222"/>
          <w:shd w:val="clear" w:color="auto" w:fill="FFFFFF"/>
        </w:rPr>
        <w:t>Roca, M., Torralva, T., Gleichgerrcht, E., Woolgar, A., Thompson, R., Duncan, J., &amp; Manes, F. (2011). The role of Area 10 (BA10) in human multitasking and in social cognition: a lesion study.</w:t>
      </w:r>
      <w:r w:rsidRPr="0087259C">
        <w:rPr>
          <w:rStyle w:val="apple-converted-space"/>
          <w:color w:val="222222"/>
          <w:shd w:val="clear" w:color="auto" w:fill="FFFFFF"/>
        </w:rPr>
        <w:t> </w:t>
      </w:r>
      <w:r w:rsidRPr="0087259C">
        <w:rPr>
          <w:i/>
          <w:iCs/>
          <w:color w:val="222222"/>
        </w:rPr>
        <w:t>Neuropsychologia</w:t>
      </w:r>
      <w:r w:rsidRPr="0087259C">
        <w:rPr>
          <w:color w:val="222222"/>
          <w:shd w:val="clear" w:color="auto" w:fill="FFFFFF"/>
        </w:rPr>
        <w:t>,</w:t>
      </w:r>
      <w:r w:rsidRPr="0087259C">
        <w:rPr>
          <w:rStyle w:val="apple-converted-space"/>
          <w:color w:val="222222"/>
          <w:shd w:val="clear" w:color="auto" w:fill="FFFFFF"/>
        </w:rPr>
        <w:t> </w:t>
      </w:r>
      <w:r w:rsidRPr="0087259C">
        <w:rPr>
          <w:i/>
          <w:iCs/>
          <w:color w:val="222222"/>
        </w:rPr>
        <w:t>49</w:t>
      </w:r>
      <w:r w:rsidRPr="0087259C">
        <w:rPr>
          <w:color w:val="222222"/>
          <w:shd w:val="clear" w:color="auto" w:fill="FFFFFF"/>
        </w:rPr>
        <w:t>(13), 3525-3531.</w:t>
      </w:r>
    </w:p>
    <w:p w14:paraId="7EB3E815" w14:textId="57EC6E7F" w:rsidR="0087259C" w:rsidRDefault="0087259C" w:rsidP="0087259C">
      <w:pPr>
        <w:spacing w:line="480" w:lineRule="auto"/>
        <w:ind w:hanging="720"/>
        <w:rPr>
          <w:color w:val="222222"/>
          <w:shd w:val="clear" w:color="auto" w:fill="FFFFFF"/>
        </w:rPr>
      </w:pPr>
      <w:r w:rsidRPr="0087259C">
        <w:rPr>
          <w:color w:val="222222"/>
          <w:shd w:val="clear" w:color="auto" w:fill="FFFFFF"/>
        </w:rPr>
        <w:t>Schlaffke, L., Lissek, S., Lenz, M., Juckel, G., Schultz, T., Tegenthoff, M., ... &amp; Brüne, M. (2015). Shared and nonshared neural networks of cognitive and affective theory‐of‐mind: A neuroimaging study using cartoon picture stories.</w:t>
      </w:r>
      <w:r w:rsidRPr="0087259C">
        <w:rPr>
          <w:rStyle w:val="apple-converted-space"/>
          <w:color w:val="222222"/>
          <w:shd w:val="clear" w:color="auto" w:fill="FFFFFF"/>
        </w:rPr>
        <w:t> </w:t>
      </w:r>
      <w:r w:rsidRPr="0087259C">
        <w:rPr>
          <w:i/>
          <w:iCs/>
          <w:color w:val="222222"/>
        </w:rPr>
        <w:t>Human brain mapping</w:t>
      </w:r>
      <w:r w:rsidRPr="0087259C">
        <w:rPr>
          <w:color w:val="222222"/>
          <w:shd w:val="clear" w:color="auto" w:fill="FFFFFF"/>
        </w:rPr>
        <w:t>,</w:t>
      </w:r>
      <w:r w:rsidRPr="0087259C">
        <w:rPr>
          <w:rStyle w:val="apple-converted-space"/>
          <w:color w:val="222222"/>
          <w:shd w:val="clear" w:color="auto" w:fill="FFFFFF"/>
        </w:rPr>
        <w:t> </w:t>
      </w:r>
      <w:r w:rsidRPr="0087259C">
        <w:rPr>
          <w:i/>
          <w:iCs/>
          <w:color w:val="222222"/>
        </w:rPr>
        <w:t>36</w:t>
      </w:r>
      <w:r w:rsidRPr="0087259C">
        <w:rPr>
          <w:color w:val="222222"/>
          <w:shd w:val="clear" w:color="auto" w:fill="FFFFFF"/>
        </w:rPr>
        <w:t>(1), 29-39.</w:t>
      </w:r>
    </w:p>
    <w:p w14:paraId="2457E35E" w14:textId="77777777" w:rsidR="0087259C" w:rsidRPr="0087259C" w:rsidRDefault="0087259C" w:rsidP="0087259C">
      <w:pPr>
        <w:spacing w:line="480" w:lineRule="auto"/>
        <w:ind w:hanging="720"/>
      </w:pPr>
    </w:p>
    <w:p w14:paraId="5CFD624D" w14:textId="1A9BD50F" w:rsidR="0087259C" w:rsidRDefault="0087259C" w:rsidP="0087259C">
      <w:pPr>
        <w:spacing w:line="480" w:lineRule="auto"/>
        <w:ind w:hanging="720"/>
        <w:rPr>
          <w:color w:val="222222"/>
          <w:shd w:val="clear" w:color="auto" w:fill="FFFFFF"/>
        </w:rPr>
      </w:pPr>
      <w:r w:rsidRPr="0087259C">
        <w:rPr>
          <w:color w:val="222222"/>
          <w:shd w:val="clear" w:color="auto" w:fill="FFFFFF"/>
        </w:rPr>
        <w:t>Seo, M., &amp; Anderson, G. (2019). Gut-amygdala interactions in autism spectrum disorders: developmental roles via regulating mitochondria, exosomes, immunity and microRNAs.</w:t>
      </w:r>
      <w:r w:rsidRPr="0087259C">
        <w:rPr>
          <w:rStyle w:val="apple-converted-space"/>
          <w:color w:val="222222"/>
          <w:shd w:val="clear" w:color="auto" w:fill="FFFFFF"/>
        </w:rPr>
        <w:t> </w:t>
      </w:r>
      <w:r w:rsidRPr="0087259C">
        <w:rPr>
          <w:i/>
          <w:iCs/>
          <w:color w:val="222222"/>
        </w:rPr>
        <w:t>Current Pharmaceutical Design</w:t>
      </w:r>
      <w:r w:rsidRPr="0087259C">
        <w:rPr>
          <w:color w:val="222222"/>
          <w:shd w:val="clear" w:color="auto" w:fill="FFFFFF"/>
        </w:rPr>
        <w:t>,</w:t>
      </w:r>
      <w:r w:rsidRPr="0087259C">
        <w:rPr>
          <w:rStyle w:val="apple-converted-space"/>
          <w:color w:val="222222"/>
          <w:shd w:val="clear" w:color="auto" w:fill="FFFFFF"/>
        </w:rPr>
        <w:t> </w:t>
      </w:r>
      <w:r w:rsidRPr="0087259C">
        <w:rPr>
          <w:i/>
          <w:iCs/>
          <w:color w:val="222222"/>
        </w:rPr>
        <w:t>25</w:t>
      </w:r>
      <w:r w:rsidRPr="0087259C">
        <w:rPr>
          <w:color w:val="222222"/>
          <w:shd w:val="clear" w:color="auto" w:fill="FFFFFF"/>
        </w:rPr>
        <w:t>(41), 4344-4356.</w:t>
      </w:r>
      <w:r w:rsidRPr="0087259C">
        <w:t xml:space="preserve"> </w:t>
      </w:r>
      <w:hyperlink r:id="rId14" w:history="1">
        <w:r w:rsidRPr="002F24D9">
          <w:rPr>
            <w:rStyle w:val="Hyperlink"/>
            <w:shd w:val="clear" w:color="auto" w:fill="FFFFFF"/>
          </w:rPr>
          <w:t>https://doi.org/10.2174/1381612825666191105102545</w:t>
        </w:r>
      </w:hyperlink>
    </w:p>
    <w:p w14:paraId="06BD5364" w14:textId="77777777" w:rsidR="0087259C" w:rsidRDefault="0087259C" w:rsidP="0087259C">
      <w:pPr>
        <w:spacing w:line="480" w:lineRule="auto"/>
        <w:ind w:hanging="720"/>
        <w:rPr>
          <w:color w:val="222222"/>
          <w:shd w:val="clear" w:color="auto" w:fill="FFFFFF"/>
        </w:rPr>
      </w:pPr>
    </w:p>
    <w:p w14:paraId="3C30C932" w14:textId="42C3C297" w:rsidR="0087259C" w:rsidRDefault="0087259C" w:rsidP="0087259C">
      <w:pPr>
        <w:spacing w:line="480" w:lineRule="auto"/>
        <w:ind w:hanging="720"/>
      </w:pPr>
      <w:r w:rsidRPr="0087259C">
        <w:t>Snyder, J. S., Alain, C., &amp; Picton, T. W. (2006). Effects of attention on neuroelectric correlates of auditory stream segregation.</w:t>
      </w:r>
      <w:r w:rsidRPr="0087259C">
        <w:rPr>
          <w:rStyle w:val="apple-converted-space"/>
        </w:rPr>
        <w:t> </w:t>
      </w:r>
      <w:r w:rsidRPr="0087259C">
        <w:rPr>
          <w:i/>
          <w:iCs/>
        </w:rPr>
        <w:t>Journal of cognitive neuroscience</w:t>
      </w:r>
      <w:r w:rsidRPr="0087259C">
        <w:t>,</w:t>
      </w:r>
      <w:r w:rsidRPr="0087259C">
        <w:rPr>
          <w:rStyle w:val="apple-converted-space"/>
        </w:rPr>
        <w:t> </w:t>
      </w:r>
      <w:r w:rsidRPr="0087259C">
        <w:rPr>
          <w:i/>
          <w:iCs/>
        </w:rPr>
        <w:t>18</w:t>
      </w:r>
      <w:r w:rsidRPr="0087259C">
        <w:t xml:space="preserve">(1), 1–13. </w:t>
      </w:r>
      <w:hyperlink r:id="rId15" w:history="1">
        <w:r w:rsidRPr="002F24D9">
          <w:rPr>
            <w:rStyle w:val="Hyperlink"/>
          </w:rPr>
          <w:t>https://doi.org/10.1162/089892906775250021</w:t>
        </w:r>
      </w:hyperlink>
    </w:p>
    <w:p w14:paraId="69236443" w14:textId="77777777" w:rsidR="0087259C" w:rsidRPr="0087259C" w:rsidRDefault="0087259C" w:rsidP="0087259C">
      <w:pPr>
        <w:spacing w:line="480" w:lineRule="auto"/>
        <w:ind w:hanging="720"/>
      </w:pPr>
    </w:p>
    <w:p w14:paraId="36A3470D" w14:textId="77777777" w:rsidR="0087259C" w:rsidRPr="0087259C" w:rsidRDefault="0087259C" w:rsidP="0087259C">
      <w:pPr>
        <w:spacing w:line="480" w:lineRule="auto"/>
        <w:ind w:hanging="720"/>
      </w:pPr>
      <w:r w:rsidRPr="0087259C">
        <w:rPr>
          <w:color w:val="222222"/>
          <w:shd w:val="clear" w:color="auto" w:fill="FFFFFF"/>
        </w:rPr>
        <w:t>Woldorff, M. G., Hackley, S. A., &amp; Hillyard, S. A. (1991). The effects of channel‐selective attention on the mismatch negativity wave elicited by deviant tones.</w:t>
      </w:r>
      <w:r w:rsidRPr="0087259C">
        <w:rPr>
          <w:rStyle w:val="apple-converted-space"/>
          <w:color w:val="222222"/>
          <w:shd w:val="clear" w:color="auto" w:fill="FFFFFF"/>
        </w:rPr>
        <w:t> </w:t>
      </w:r>
      <w:r w:rsidRPr="0087259C">
        <w:rPr>
          <w:i/>
          <w:iCs/>
          <w:color w:val="222222"/>
        </w:rPr>
        <w:t>Psychophysiology</w:t>
      </w:r>
      <w:r w:rsidRPr="0087259C">
        <w:rPr>
          <w:color w:val="222222"/>
          <w:shd w:val="clear" w:color="auto" w:fill="FFFFFF"/>
        </w:rPr>
        <w:t>,</w:t>
      </w:r>
      <w:r w:rsidRPr="0087259C">
        <w:rPr>
          <w:rStyle w:val="apple-converted-space"/>
          <w:color w:val="222222"/>
          <w:shd w:val="clear" w:color="auto" w:fill="FFFFFF"/>
        </w:rPr>
        <w:t> </w:t>
      </w:r>
      <w:r w:rsidRPr="0087259C">
        <w:rPr>
          <w:i/>
          <w:iCs/>
          <w:color w:val="222222"/>
        </w:rPr>
        <w:t>28</w:t>
      </w:r>
      <w:r w:rsidRPr="0087259C">
        <w:rPr>
          <w:color w:val="222222"/>
          <w:shd w:val="clear" w:color="auto" w:fill="FFFFFF"/>
        </w:rPr>
        <w:t>(1), 30-42.</w:t>
      </w:r>
    </w:p>
    <w:p w14:paraId="6580A6E5" w14:textId="77777777" w:rsidR="007B0578" w:rsidRPr="0087259C" w:rsidRDefault="007B0578" w:rsidP="007B0578"/>
    <w:p w14:paraId="70905C04" w14:textId="77777777" w:rsidR="00972428" w:rsidRPr="0087259C" w:rsidRDefault="0087259C"/>
    <w:sectPr w:rsidR="00972428" w:rsidRPr="0087259C" w:rsidSect="00635E9C">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3D164E"/>
    <w:multiLevelType w:val="hybridMultilevel"/>
    <w:tmpl w:val="CF3CDF22"/>
    <w:lvl w:ilvl="0" w:tplc="D25A716C">
      <w:start w:val="1"/>
      <w:numFmt w:val="bullet"/>
      <w:lvlText w:val="•"/>
      <w:lvlJc w:val="left"/>
      <w:pPr>
        <w:tabs>
          <w:tab w:val="num" w:pos="720"/>
        </w:tabs>
        <w:ind w:left="720" w:hanging="360"/>
      </w:pPr>
      <w:rPr>
        <w:rFonts w:ascii="Arial" w:hAnsi="Arial" w:hint="default"/>
      </w:rPr>
    </w:lvl>
    <w:lvl w:ilvl="1" w:tplc="AF281AFC" w:tentative="1">
      <w:start w:val="1"/>
      <w:numFmt w:val="bullet"/>
      <w:lvlText w:val="•"/>
      <w:lvlJc w:val="left"/>
      <w:pPr>
        <w:tabs>
          <w:tab w:val="num" w:pos="1440"/>
        </w:tabs>
        <w:ind w:left="1440" w:hanging="360"/>
      </w:pPr>
      <w:rPr>
        <w:rFonts w:ascii="Arial" w:hAnsi="Arial" w:hint="default"/>
      </w:rPr>
    </w:lvl>
    <w:lvl w:ilvl="2" w:tplc="B788867A">
      <w:start w:val="1"/>
      <w:numFmt w:val="bullet"/>
      <w:lvlText w:val="•"/>
      <w:lvlJc w:val="left"/>
      <w:pPr>
        <w:tabs>
          <w:tab w:val="num" w:pos="2160"/>
        </w:tabs>
        <w:ind w:left="2160" w:hanging="360"/>
      </w:pPr>
      <w:rPr>
        <w:rFonts w:ascii="Arial" w:hAnsi="Arial" w:hint="default"/>
      </w:rPr>
    </w:lvl>
    <w:lvl w:ilvl="3" w:tplc="8F1EDF16" w:tentative="1">
      <w:start w:val="1"/>
      <w:numFmt w:val="bullet"/>
      <w:lvlText w:val="•"/>
      <w:lvlJc w:val="left"/>
      <w:pPr>
        <w:tabs>
          <w:tab w:val="num" w:pos="2880"/>
        </w:tabs>
        <w:ind w:left="2880" w:hanging="360"/>
      </w:pPr>
      <w:rPr>
        <w:rFonts w:ascii="Arial" w:hAnsi="Arial" w:hint="default"/>
      </w:rPr>
    </w:lvl>
    <w:lvl w:ilvl="4" w:tplc="F8243BDE" w:tentative="1">
      <w:start w:val="1"/>
      <w:numFmt w:val="bullet"/>
      <w:lvlText w:val="•"/>
      <w:lvlJc w:val="left"/>
      <w:pPr>
        <w:tabs>
          <w:tab w:val="num" w:pos="3600"/>
        </w:tabs>
        <w:ind w:left="3600" w:hanging="360"/>
      </w:pPr>
      <w:rPr>
        <w:rFonts w:ascii="Arial" w:hAnsi="Arial" w:hint="default"/>
      </w:rPr>
    </w:lvl>
    <w:lvl w:ilvl="5" w:tplc="2F400972" w:tentative="1">
      <w:start w:val="1"/>
      <w:numFmt w:val="bullet"/>
      <w:lvlText w:val="•"/>
      <w:lvlJc w:val="left"/>
      <w:pPr>
        <w:tabs>
          <w:tab w:val="num" w:pos="4320"/>
        </w:tabs>
        <w:ind w:left="4320" w:hanging="360"/>
      </w:pPr>
      <w:rPr>
        <w:rFonts w:ascii="Arial" w:hAnsi="Arial" w:hint="default"/>
      </w:rPr>
    </w:lvl>
    <w:lvl w:ilvl="6" w:tplc="A2785FF8" w:tentative="1">
      <w:start w:val="1"/>
      <w:numFmt w:val="bullet"/>
      <w:lvlText w:val="•"/>
      <w:lvlJc w:val="left"/>
      <w:pPr>
        <w:tabs>
          <w:tab w:val="num" w:pos="5040"/>
        </w:tabs>
        <w:ind w:left="5040" w:hanging="360"/>
      </w:pPr>
      <w:rPr>
        <w:rFonts w:ascii="Arial" w:hAnsi="Arial" w:hint="default"/>
      </w:rPr>
    </w:lvl>
    <w:lvl w:ilvl="7" w:tplc="39DE677E" w:tentative="1">
      <w:start w:val="1"/>
      <w:numFmt w:val="bullet"/>
      <w:lvlText w:val="•"/>
      <w:lvlJc w:val="left"/>
      <w:pPr>
        <w:tabs>
          <w:tab w:val="num" w:pos="5760"/>
        </w:tabs>
        <w:ind w:left="5760" w:hanging="360"/>
      </w:pPr>
      <w:rPr>
        <w:rFonts w:ascii="Arial" w:hAnsi="Arial" w:hint="default"/>
      </w:rPr>
    </w:lvl>
    <w:lvl w:ilvl="8" w:tplc="B606B5D6"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62CB48AC"/>
    <w:multiLevelType w:val="hybridMultilevel"/>
    <w:tmpl w:val="3F84098C"/>
    <w:lvl w:ilvl="0" w:tplc="9D6E2F60">
      <w:start w:val="1"/>
      <w:numFmt w:val="bullet"/>
      <w:lvlText w:val="•"/>
      <w:lvlJc w:val="left"/>
      <w:pPr>
        <w:tabs>
          <w:tab w:val="num" w:pos="720"/>
        </w:tabs>
        <w:ind w:left="720" w:hanging="360"/>
      </w:pPr>
      <w:rPr>
        <w:rFonts w:ascii="Arial" w:hAnsi="Arial" w:hint="default"/>
      </w:rPr>
    </w:lvl>
    <w:lvl w:ilvl="1" w:tplc="FA10E9A6" w:tentative="1">
      <w:start w:val="1"/>
      <w:numFmt w:val="bullet"/>
      <w:lvlText w:val="•"/>
      <w:lvlJc w:val="left"/>
      <w:pPr>
        <w:tabs>
          <w:tab w:val="num" w:pos="1440"/>
        </w:tabs>
        <w:ind w:left="1440" w:hanging="360"/>
      </w:pPr>
      <w:rPr>
        <w:rFonts w:ascii="Arial" w:hAnsi="Arial" w:hint="default"/>
      </w:rPr>
    </w:lvl>
    <w:lvl w:ilvl="2" w:tplc="08981A1E" w:tentative="1">
      <w:start w:val="1"/>
      <w:numFmt w:val="bullet"/>
      <w:lvlText w:val="•"/>
      <w:lvlJc w:val="left"/>
      <w:pPr>
        <w:tabs>
          <w:tab w:val="num" w:pos="2160"/>
        </w:tabs>
        <w:ind w:left="2160" w:hanging="360"/>
      </w:pPr>
      <w:rPr>
        <w:rFonts w:ascii="Arial" w:hAnsi="Arial" w:hint="default"/>
      </w:rPr>
    </w:lvl>
    <w:lvl w:ilvl="3" w:tplc="5464F4FA" w:tentative="1">
      <w:start w:val="1"/>
      <w:numFmt w:val="bullet"/>
      <w:lvlText w:val="•"/>
      <w:lvlJc w:val="left"/>
      <w:pPr>
        <w:tabs>
          <w:tab w:val="num" w:pos="2880"/>
        </w:tabs>
        <w:ind w:left="2880" w:hanging="360"/>
      </w:pPr>
      <w:rPr>
        <w:rFonts w:ascii="Arial" w:hAnsi="Arial" w:hint="default"/>
      </w:rPr>
    </w:lvl>
    <w:lvl w:ilvl="4" w:tplc="B47EDFF0" w:tentative="1">
      <w:start w:val="1"/>
      <w:numFmt w:val="bullet"/>
      <w:lvlText w:val="•"/>
      <w:lvlJc w:val="left"/>
      <w:pPr>
        <w:tabs>
          <w:tab w:val="num" w:pos="3600"/>
        </w:tabs>
        <w:ind w:left="3600" w:hanging="360"/>
      </w:pPr>
      <w:rPr>
        <w:rFonts w:ascii="Arial" w:hAnsi="Arial" w:hint="default"/>
      </w:rPr>
    </w:lvl>
    <w:lvl w:ilvl="5" w:tplc="9DB84CEE" w:tentative="1">
      <w:start w:val="1"/>
      <w:numFmt w:val="bullet"/>
      <w:lvlText w:val="•"/>
      <w:lvlJc w:val="left"/>
      <w:pPr>
        <w:tabs>
          <w:tab w:val="num" w:pos="4320"/>
        </w:tabs>
        <w:ind w:left="4320" w:hanging="360"/>
      </w:pPr>
      <w:rPr>
        <w:rFonts w:ascii="Arial" w:hAnsi="Arial" w:hint="default"/>
      </w:rPr>
    </w:lvl>
    <w:lvl w:ilvl="6" w:tplc="9F805DF6" w:tentative="1">
      <w:start w:val="1"/>
      <w:numFmt w:val="bullet"/>
      <w:lvlText w:val="•"/>
      <w:lvlJc w:val="left"/>
      <w:pPr>
        <w:tabs>
          <w:tab w:val="num" w:pos="5040"/>
        </w:tabs>
        <w:ind w:left="5040" w:hanging="360"/>
      </w:pPr>
      <w:rPr>
        <w:rFonts w:ascii="Arial" w:hAnsi="Arial" w:hint="default"/>
      </w:rPr>
    </w:lvl>
    <w:lvl w:ilvl="7" w:tplc="1EBED9E6" w:tentative="1">
      <w:start w:val="1"/>
      <w:numFmt w:val="bullet"/>
      <w:lvlText w:val="•"/>
      <w:lvlJc w:val="left"/>
      <w:pPr>
        <w:tabs>
          <w:tab w:val="num" w:pos="5760"/>
        </w:tabs>
        <w:ind w:left="5760" w:hanging="360"/>
      </w:pPr>
      <w:rPr>
        <w:rFonts w:ascii="Arial" w:hAnsi="Arial" w:hint="default"/>
      </w:rPr>
    </w:lvl>
    <w:lvl w:ilvl="8" w:tplc="E81ACE7A"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7C1F0235"/>
    <w:multiLevelType w:val="hybridMultilevel"/>
    <w:tmpl w:val="4E2C72D6"/>
    <w:lvl w:ilvl="0" w:tplc="157A703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0578"/>
    <w:rsid w:val="0032537F"/>
    <w:rsid w:val="00635E9C"/>
    <w:rsid w:val="007B0578"/>
    <w:rsid w:val="008725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DF3E5A4"/>
  <w15:chartTrackingRefBased/>
  <w15:docId w15:val="{9023F24C-E068-9B4F-940C-87F6928C23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0578"/>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B0578"/>
    <w:pPr>
      <w:ind w:left="720"/>
      <w:contextualSpacing/>
    </w:pPr>
    <w:rPr>
      <w:szCs w:val="20"/>
    </w:rPr>
  </w:style>
  <w:style w:type="character" w:customStyle="1" w:styleId="apple-converted-space">
    <w:name w:val="apple-converted-space"/>
    <w:basedOn w:val="DefaultParagraphFont"/>
    <w:rsid w:val="007B0578"/>
  </w:style>
  <w:style w:type="paragraph" w:styleId="NormalWeb">
    <w:name w:val="Normal (Web)"/>
    <w:basedOn w:val="Normal"/>
    <w:uiPriority w:val="99"/>
    <w:unhideWhenUsed/>
    <w:rsid w:val="007B0578"/>
    <w:pPr>
      <w:spacing w:before="100" w:beforeAutospacing="1" w:after="100" w:afterAutospacing="1"/>
    </w:pPr>
  </w:style>
  <w:style w:type="paragraph" w:styleId="Header">
    <w:name w:val="header"/>
    <w:basedOn w:val="Normal"/>
    <w:link w:val="HeaderChar"/>
    <w:uiPriority w:val="99"/>
    <w:unhideWhenUsed/>
    <w:rsid w:val="007B0578"/>
    <w:pPr>
      <w:tabs>
        <w:tab w:val="center" w:pos="4513"/>
        <w:tab w:val="right" w:pos="9026"/>
      </w:tabs>
    </w:pPr>
  </w:style>
  <w:style w:type="character" w:customStyle="1" w:styleId="HeaderChar">
    <w:name w:val="Header Char"/>
    <w:basedOn w:val="DefaultParagraphFont"/>
    <w:link w:val="Header"/>
    <w:uiPriority w:val="99"/>
    <w:rsid w:val="007B0578"/>
    <w:rPr>
      <w:rFonts w:ascii="Times New Roman" w:eastAsia="Times New Roman" w:hAnsi="Times New Roman" w:cs="Times New Roman"/>
      <w:lang w:eastAsia="en-GB"/>
    </w:rPr>
  </w:style>
  <w:style w:type="paragraph" w:styleId="Footer">
    <w:name w:val="footer"/>
    <w:basedOn w:val="Normal"/>
    <w:link w:val="FooterChar"/>
    <w:uiPriority w:val="99"/>
    <w:unhideWhenUsed/>
    <w:rsid w:val="007B0578"/>
    <w:pPr>
      <w:tabs>
        <w:tab w:val="center" w:pos="4513"/>
        <w:tab w:val="right" w:pos="9026"/>
      </w:tabs>
    </w:pPr>
  </w:style>
  <w:style w:type="character" w:customStyle="1" w:styleId="FooterChar">
    <w:name w:val="Footer Char"/>
    <w:basedOn w:val="DefaultParagraphFont"/>
    <w:link w:val="Footer"/>
    <w:uiPriority w:val="99"/>
    <w:rsid w:val="007B0578"/>
    <w:rPr>
      <w:rFonts w:ascii="Times New Roman" w:eastAsia="Times New Roman" w:hAnsi="Times New Roman" w:cs="Times New Roman"/>
      <w:lang w:eastAsia="en-GB"/>
    </w:rPr>
  </w:style>
  <w:style w:type="character" w:styleId="Emphasis">
    <w:name w:val="Emphasis"/>
    <w:basedOn w:val="DefaultParagraphFont"/>
    <w:uiPriority w:val="20"/>
    <w:qFormat/>
    <w:rsid w:val="007B0578"/>
    <w:rPr>
      <w:i/>
      <w:iCs/>
    </w:rPr>
  </w:style>
  <w:style w:type="character" w:styleId="Hyperlink">
    <w:name w:val="Hyperlink"/>
    <w:basedOn w:val="DefaultParagraphFont"/>
    <w:uiPriority w:val="99"/>
    <w:unhideWhenUsed/>
    <w:rsid w:val="007B0578"/>
    <w:rPr>
      <w:color w:val="0000FF"/>
      <w:u w:val="single"/>
    </w:rPr>
  </w:style>
  <w:style w:type="character" w:styleId="UnresolvedMention">
    <w:name w:val="Unresolved Mention"/>
    <w:basedOn w:val="DefaultParagraphFont"/>
    <w:uiPriority w:val="99"/>
    <w:semiHidden/>
    <w:unhideWhenUsed/>
    <w:rsid w:val="0087259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1606924">
      <w:bodyDiv w:val="1"/>
      <w:marLeft w:val="0"/>
      <w:marRight w:val="0"/>
      <w:marTop w:val="0"/>
      <w:marBottom w:val="0"/>
      <w:divBdr>
        <w:top w:val="none" w:sz="0" w:space="0" w:color="auto"/>
        <w:left w:val="none" w:sz="0" w:space="0" w:color="auto"/>
        <w:bottom w:val="none" w:sz="0" w:space="0" w:color="auto"/>
        <w:right w:val="none" w:sz="0" w:space="0" w:color="auto"/>
      </w:divBdr>
    </w:div>
    <w:div w:id="836574100">
      <w:bodyDiv w:val="1"/>
      <w:marLeft w:val="0"/>
      <w:marRight w:val="0"/>
      <w:marTop w:val="0"/>
      <w:marBottom w:val="0"/>
      <w:divBdr>
        <w:top w:val="none" w:sz="0" w:space="0" w:color="auto"/>
        <w:left w:val="none" w:sz="0" w:space="0" w:color="auto"/>
        <w:bottom w:val="none" w:sz="0" w:space="0" w:color="auto"/>
        <w:right w:val="none" w:sz="0" w:space="0" w:color="auto"/>
      </w:divBdr>
    </w:div>
    <w:div w:id="1545943520">
      <w:bodyDiv w:val="1"/>
      <w:marLeft w:val="0"/>
      <w:marRight w:val="0"/>
      <w:marTop w:val="0"/>
      <w:marBottom w:val="0"/>
      <w:divBdr>
        <w:top w:val="none" w:sz="0" w:space="0" w:color="auto"/>
        <w:left w:val="none" w:sz="0" w:space="0" w:color="auto"/>
        <w:bottom w:val="none" w:sz="0" w:space="0" w:color="auto"/>
        <w:right w:val="none" w:sz="0" w:space="0" w:color="auto"/>
      </w:divBdr>
    </w:div>
    <w:div w:id="19527796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conb.2013.02.007" TargetMode="External"/><Relationship Id="rId13" Type="http://schemas.openxmlformats.org/officeDocument/2006/relationships/hyperlink" Target="https://doi.org/10.1162/089892905775008599" TargetMode="External"/><Relationship Id="rId3" Type="http://schemas.openxmlformats.org/officeDocument/2006/relationships/settings" Target="settings.xml"/><Relationship Id="rId7" Type="http://schemas.openxmlformats.org/officeDocument/2006/relationships/hyperlink" Target="https://doi.org/10.31887/DCNS.2012.14.3/gdichter" TargetMode="External"/><Relationship Id="rId12" Type="http://schemas.openxmlformats.org/officeDocument/2006/relationships/hyperlink" Target="https://doi.org/10.1016/j.neubiorev.2012.07.004"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doi.apa.org/doi/10.1037/h0039515" TargetMode="External"/><Relationship Id="rId11" Type="http://schemas.openxmlformats.org/officeDocument/2006/relationships/hyperlink" Target="https://doi.org/10.1002/aur.2603" TargetMode="External"/><Relationship Id="rId5" Type="http://schemas.openxmlformats.org/officeDocument/2006/relationships/hyperlink" Target="https://psycnet.apa.org/doi/10.1037/10037-005" TargetMode="External"/><Relationship Id="rId15" Type="http://schemas.openxmlformats.org/officeDocument/2006/relationships/hyperlink" Target="https://doi.org/10.1162/089892906775250021" TargetMode="External"/><Relationship Id="rId10" Type="http://schemas.openxmlformats.org/officeDocument/2006/relationships/hyperlink" Target="https://doi.org/10.1073/pnas.95.3.781" TargetMode="External"/><Relationship Id="rId4" Type="http://schemas.openxmlformats.org/officeDocument/2006/relationships/webSettings" Target="webSettings.xml"/><Relationship Id="rId9" Type="http://schemas.openxmlformats.org/officeDocument/2006/relationships/hyperlink" Target="https://doi.org/10.1111/pcn.12258" TargetMode="External"/><Relationship Id="rId14" Type="http://schemas.openxmlformats.org/officeDocument/2006/relationships/hyperlink" Target="https://doi.org/10.2174/138161282566619110510254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9</Pages>
  <Words>2656</Words>
  <Characters>14505</Characters>
  <Application>Microsoft Office Word</Application>
  <DocSecurity>0</DocSecurity>
  <Lines>805</Lines>
  <Paragraphs>476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Shannon Harris (1905079)</dc:creator>
  <cp:keywords/>
  <dc:description/>
  <cp:lastModifiedBy>Shannon Harris (1905079)</cp:lastModifiedBy>
  <cp:revision>1</cp:revision>
  <dcterms:created xsi:type="dcterms:W3CDTF">2022-05-04T17:28:00Z</dcterms:created>
  <dcterms:modified xsi:type="dcterms:W3CDTF">2022-05-04T17:48:00Z</dcterms:modified>
</cp:coreProperties>
</file>