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F6C67" w14:textId="77777777" w:rsidR="00953624" w:rsidRPr="00953624" w:rsidRDefault="00953624" w:rsidP="00953624">
      <w:pPr>
        <w:spacing w:line="480" w:lineRule="auto"/>
        <w:jc w:val="center"/>
        <w:rPr>
          <w:rFonts w:cstheme="minorHAnsi"/>
          <w:b/>
          <w:bCs/>
          <w:sz w:val="24"/>
          <w:szCs w:val="24"/>
        </w:rPr>
      </w:pPr>
      <w:r w:rsidRPr="00953624">
        <w:rPr>
          <w:rFonts w:cstheme="minorHAnsi"/>
          <w:b/>
          <w:bCs/>
          <w:sz w:val="24"/>
          <w:szCs w:val="24"/>
        </w:rPr>
        <w:t xml:space="preserve">Principles of professional legal practice. </w:t>
      </w:r>
    </w:p>
    <w:p w14:paraId="613E888D" w14:textId="77777777" w:rsidR="00953624" w:rsidRPr="00953624" w:rsidRDefault="00953624" w:rsidP="00953624">
      <w:pPr>
        <w:spacing w:line="480" w:lineRule="auto"/>
        <w:jc w:val="center"/>
        <w:rPr>
          <w:rFonts w:cstheme="minorHAnsi"/>
          <w:b/>
          <w:bCs/>
          <w:sz w:val="24"/>
          <w:szCs w:val="24"/>
        </w:rPr>
      </w:pPr>
      <w:r w:rsidRPr="00953624">
        <w:rPr>
          <w:rFonts w:cstheme="minorHAnsi"/>
          <w:b/>
          <w:bCs/>
          <w:sz w:val="24"/>
          <w:szCs w:val="24"/>
        </w:rPr>
        <w:t>Equality and Diversity</w:t>
      </w:r>
    </w:p>
    <w:p w14:paraId="370980F5" w14:textId="77777777" w:rsidR="00953624" w:rsidRPr="00953624" w:rsidRDefault="00953624" w:rsidP="00953624">
      <w:pPr>
        <w:spacing w:line="480" w:lineRule="auto"/>
        <w:jc w:val="center"/>
        <w:rPr>
          <w:rFonts w:cstheme="minorHAnsi"/>
          <w:b/>
          <w:bCs/>
          <w:sz w:val="24"/>
          <w:szCs w:val="24"/>
        </w:rPr>
      </w:pPr>
    </w:p>
    <w:p w14:paraId="02A51AE3" w14:textId="77777777" w:rsidR="00953624" w:rsidRPr="00953624" w:rsidRDefault="00953624" w:rsidP="00953624">
      <w:pPr>
        <w:spacing w:line="480" w:lineRule="auto"/>
        <w:jc w:val="center"/>
        <w:rPr>
          <w:rFonts w:cstheme="minorHAnsi"/>
          <w:b/>
          <w:bCs/>
          <w:sz w:val="24"/>
          <w:szCs w:val="24"/>
        </w:rPr>
      </w:pPr>
    </w:p>
    <w:p w14:paraId="13052ED0" w14:textId="1E0555CF" w:rsidR="00953624" w:rsidRPr="00953624" w:rsidRDefault="00953624" w:rsidP="00953624">
      <w:pPr>
        <w:spacing w:line="480" w:lineRule="auto"/>
        <w:jc w:val="center"/>
        <w:rPr>
          <w:rFonts w:cstheme="minorHAnsi"/>
          <w:sz w:val="24"/>
          <w:szCs w:val="24"/>
        </w:rPr>
      </w:pPr>
      <w:r>
        <w:rPr>
          <w:rFonts w:cstheme="minorHAnsi"/>
          <w:sz w:val="24"/>
          <w:szCs w:val="24"/>
        </w:rPr>
        <w:t>Tasleem Ramzan Kara</w:t>
      </w:r>
    </w:p>
    <w:p w14:paraId="48E1ABD2" w14:textId="583E1B2F" w:rsidR="00953624" w:rsidRPr="00953624" w:rsidRDefault="00953624" w:rsidP="00953624">
      <w:pPr>
        <w:spacing w:line="480" w:lineRule="auto"/>
        <w:jc w:val="center"/>
        <w:rPr>
          <w:rFonts w:cstheme="minorHAnsi"/>
          <w:sz w:val="24"/>
          <w:szCs w:val="24"/>
        </w:rPr>
      </w:pPr>
      <w:r>
        <w:rPr>
          <w:rFonts w:cstheme="minorHAnsi"/>
          <w:sz w:val="24"/>
          <w:szCs w:val="24"/>
        </w:rPr>
        <w:t>BMLW4001</w:t>
      </w:r>
    </w:p>
    <w:p w14:paraId="148961FF" w14:textId="14505519" w:rsidR="00953624" w:rsidRPr="00953624" w:rsidRDefault="00953624" w:rsidP="00953624">
      <w:pPr>
        <w:spacing w:line="480" w:lineRule="auto"/>
        <w:jc w:val="center"/>
        <w:rPr>
          <w:rFonts w:cstheme="minorHAnsi"/>
          <w:sz w:val="24"/>
          <w:szCs w:val="24"/>
        </w:rPr>
      </w:pPr>
      <w:r>
        <w:rPr>
          <w:rFonts w:cstheme="minorHAnsi"/>
          <w:sz w:val="24"/>
          <w:szCs w:val="24"/>
        </w:rPr>
        <w:t>UNIVERSITY OF WALES TRINITY SAINT DAVIDS</w:t>
      </w:r>
    </w:p>
    <w:p w14:paraId="75812AC8" w14:textId="130D19DF" w:rsidR="00953624" w:rsidRPr="00953624" w:rsidRDefault="00953624" w:rsidP="00953624">
      <w:pPr>
        <w:spacing w:line="480" w:lineRule="auto"/>
        <w:rPr>
          <w:rFonts w:cstheme="minorHAnsi"/>
          <w:sz w:val="24"/>
          <w:szCs w:val="24"/>
        </w:rPr>
      </w:pPr>
    </w:p>
    <w:p w14:paraId="77532EDE" w14:textId="77777777" w:rsidR="00953624" w:rsidRPr="00953624" w:rsidRDefault="00953624" w:rsidP="00953624">
      <w:pPr>
        <w:spacing w:line="480" w:lineRule="auto"/>
        <w:rPr>
          <w:rFonts w:cstheme="minorHAnsi"/>
          <w:sz w:val="24"/>
          <w:szCs w:val="24"/>
        </w:rPr>
      </w:pPr>
      <w:r w:rsidRPr="00953624">
        <w:rPr>
          <w:rFonts w:cstheme="minorHAnsi"/>
          <w:sz w:val="24"/>
          <w:szCs w:val="24"/>
        </w:rPr>
        <w:br w:type="page"/>
      </w:r>
    </w:p>
    <w:p w14:paraId="4D39F05C" w14:textId="77777777" w:rsidR="00953624" w:rsidRPr="00953624" w:rsidRDefault="00953624" w:rsidP="00953624">
      <w:pPr>
        <w:spacing w:line="480" w:lineRule="auto"/>
        <w:jc w:val="center"/>
        <w:rPr>
          <w:rFonts w:cstheme="minorHAnsi"/>
          <w:b/>
          <w:bCs/>
          <w:sz w:val="24"/>
          <w:szCs w:val="24"/>
        </w:rPr>
      </w:pPr>
      <w:r w:rsidRPr="00953624">
        <w:rPr>
          <w:rFonts w:cstheme="minorHAnsi"/>
          <w:b/>
          <w:bCs/>
          <w:sz w:val="24"/>
          <w:szCs w:val="24"/>
        </w:rPr>
        <w:lastRenderedPageBreak/>
        <w:t>Introduction</w:t>
      </w:r>
    </w:p>
    <w:p w14:paraId="42C6E10C" w14:textId="77777777" w:rsidR="00953624" w:rsidRPr="00953624" w:rsidRDefault="00953624" w:rsidP="00953624">
      <w:pPr>
        <w:spacing w:line="480" w:lineRule="auto"/>
        <w:rPr>
          <w:rFonts w:cstheme="minorHAnsi"/>
          <w:sz w:val="24"/>
          <w:szCs w:val="24"/>
        </w:rPr>
      </w:pPr>
      <w:r w:rsidRPr="00953624">
        <w:rPr>
          <w:rFonts w:cstheme="minorHAnsi"/>
          <w:sz w:val="24"/>
          <w:szCs w:val="24"/>
        </w:rPr>
        <w:t>The legal profession plays a significant role in society. It is responsible for ensuring justice for its citizenry, which includes protecting the interests of every individual and representing them fairly in court. In case the integrity of the judiciary system should indeed be promoted, then the lawyers should also ensure equality and inclusion during law practice. This necessitates a comprehensive approach, which can be achieved by all regulators of SRA, BSB, and CILEX. These are prerequisites to measures aimed at promoting diversity and eliminating racial discrimination in law, together with instruments like the Legal Services Act 2007 and the Equality Act 2010 (</w:t>
      </w:r>
      <w:r w:rsidRPr="00953624">
        <w:rPr>
          <w:rFonts w:cstheme="minorHAnsi"/>
          <w:color w:val="222222"/>
          <w:sz w:val="24"/>
          <w:szCs w:val="24"/>
          <w:shd w:val="clear" w:color="auto" w:fill="FFFFFF"/>
        </w:rPr>
        <w:t>Marsden et al.,2021)</w:t>
      </w:r>
      <w:r w:rsidRPr="00953624">
        <w:rPr>
          <w:rFonts w:cstheme="minorHAnsi"/>
          <w:sz w:val="24"/>
          <w:szCs w:val="24"/>
        </w:rPr>
        <w:t>. They are also played simultaneously with each other to form a judicial environment that tears down the social culture and embraces global norms. There is a talk about the advocacy of equality and diversity by those in the legal profession or other regulatory authorities. However, this study unrolls the complex maze of policies, moral laws, and practical techniques that govern the making of legal professions, which reflect a multicolored society under the roof of equal chances for any sphere of law practice seeking justice, equality, and equity.</w:t>
      </w:r>
    </w:p>
    <w:p w14:paraId="62B46B37" w14:textId="77777777" w:rsidR="00953624" w:rsidRPr="00953624" w:rsidRDefault="00953624" w:rsidP="00953624">
      <w:pPr>
        <w:spacing w:line="480" w:lineRule="auto"/>
        <w:jc w:val="center"/>
        <w:rPr>
          <w:rFonts w:cstheme="minorHAnsi"/>
          <w:b/>
          <w:bCs/>
          <w:sz w:val="24"/>
          <w:szCs w:val="24"/>
        </w:rPr>
      </w:pPr>
      <w:r w:rsidRPr="00953624">
        <w:rPr>
          <w:rFonts w:cstheme="minorHAnsi"/>
          <w:b/>
          <w:bCs/>
          <w:sz w:val="24"/>
          <w:szCs w:val="24"/>
        </w:rPr>
        <w:t>Legal Framework</w:t>
      </w:r>
    </w:p>
    <w:p w14:paraId="3E81FF5D" w14:textId="77777777" w:rsidR="00953624" w:rsidRPr="00953624" w:rsidRDefault="00953624" w:rsidP="00953624">
      <w:pPr>
        <w:spacing w:line="480" w:lineRule="auto"/>
        <w:rPr>
          <w:rFonts w:cstheme="minorHAnsi"/>
          <w:b/>
          <w:bCs/>
          <w:sz w:val="24"/>
          <w:szCs w:val="24"/>
        </w:rPr>
      </w:pPr>
      <w:r w:rsidRPr="00953624">
        <w:rPr>
          <w:rFonts w:cstheme="minorHAnsi"/>
          <w:b/>
          <w:bCs/>
          <w:sz w:val="24"/>
          <w:szCs w:val="24"/>
        </w:rPr>
        <w:t>Legal Services Act 2007</w:t>
      </w:r>
    </w:p>
    <w:p w14:paraId="1C2E5938" w14:textId="77777777" w:rsidR="00953624" w:rsidRPr="00953624" w:rsidRDefault="00953624" w:rsidP="00953624">
      <w:pPr>
        <w:spacing w:line="480" w:lineRule="auto"/>
        <w:rPr>
          <w:rFonts w:cstheme="minorHAnsi"/>
          <w:sz w:val="24"/>
          <w:szCs w:val="24"/>
        </w:rPr>
      </w:pPr>
      <w:r w:rsidRPr="00953624">
        <w:rPr>
          <w:rFonts w:cstheme="minorHAnsi"/>
          <w:sz w:val="24"/>
          <w:szCs w:val="24"/>
        </w:rPr>
        <w:t xml:space="preserve">The Legal Services Act 2007 is a major leg of law on legal services, which comprises other regulations within a complicated architecture. Firstly, a total control regime had been enacted for both lawyers and persons practicing the provision of professional legal aid. It provides numerous important goals, including control of the market and competition promotion in the legal sector. Accidentally, this Act stimulates diversification in legal experts, which could be called an attempt to create a highly competitive market environment. </w:t>
      </w:r>
      <w:r w:rsidRPr="00953624">
        <w:rPr>
          <w:rFonts w:cstheme="minorHAnsi"/>
          <w:sz w:val="24"/>
          <w:szCs w:val="24"/>
        </w:rPr>
        <w:lastRenderedPageBreak/>
        <w:t>Dynamic competitive power is also part of the factors that break down all barriers, thereby creating an equally fertile ground. In addition, the Act widens options for several people to access the markets where they offer their legal services in an enclosed and regulated environment. The heart of this Act is basically about changing things and not on the regulation of legal services but indirectly creating competition and a demands-driven market of representation by putting forward the best professionals.</w:t>
      </w:r>
    </w:p>
    <w:p w14:paraId="3921894B" w14:textId="77777777" w:rsidR="00953624" w:rsidRPr="00953624" w:rsidRDefault="00953624" w:rsidP="00953624">
      <w:pPr>
        <w:spacing w:line="480" w:lineRule="auto"/>
        <w:rPr>
          <w:rFonts w:cstheme="minorHAnsi"/>
          <w:sz w:val="24"/>
          <w:szCs w:val="24"/>
        </w:rPr>
      </w:pPr>
      <w:r w:rsidRPr="00953624">
        <w:rPr>
          <w:rFonts w:cstheme="minorHAnsi"/>
          <w:sz w:val="24"/>
          <w:szCs w:val="24"/>
        </w:rPr>
        <w:t>Equality Act 2010</w:t>
      </w:r>
    </w:p>
    <w:p w14:paraId="569CD4D1" w14:textId="77777777" w:rsidR="00953624" w:rsidRPr="00953624" w:rsidRDefault="00953624" w:rsidP="00953624">
      <w:pPr>
        <w:spacing w:line="480" w:lineRule="auto"/>
        <w:rPr>
          <w:rFonts w:cstheme="minorHAnsi"/>
          <w:sz w:val="24"/>
          <w:szCs w:val="24"/>
        </w:rPr>
      </w:pPr>
      <w:r w:rsidRPr="00953624">
        <w:rPr>
          <w:rFonts w:cstheme="minorHAnsi"/>
          <w:sz w:val="24"/>
          <w:szCs w:val="24"/>
        </w:rPr>
        <w:t>Among all the laws against discrimination that have been implemented in the U.K., The Equality Act 2010 is arguably the most significant. Further, such wide legislation puts up an intricate and all-embracing barricade against discriminatory practices aimed at protecting individuals against biases based on the protected characteristics. The term human identity encompasses gender, age, and disability, among others, including religion, race, and sexual orientation. The Act is vital in offering an equal chance in the recruitment process, promotions, and all aspects of legal treatment to eliminate any discrimination while in practice. The Equality Act pushes for the essence of equality in the contexts of justice and fairness using stipulations, provisions, and stringent policies. Instead, it acts as a mighty weapon in combating racial and sexual discrimination, as well as cultivates an environment that provides for such diverse categories of people fair, equal opportunity in accessing whatever they may be entitled to as for their competence and capability (</w:t>
      </w:r>
      <w:r w:rsidRPr="00953624">
        <w:rPr>
          <w:rFonts w:cstheme="minorHAnsi"/>
          <w:color w:val="222222"/>
          <w:sz w:val="24"/>
          <w:szCs w:val="24"/>
          <w:shd w:val="clear" w:color="auto" w:fill="FFFFFF"/>
        </w:rPr>
        <w:t>Coleman et al.,2022)</w:t>
      </w:r>
      <w:r w:rsidRPr="00953624">
        <w:rPr>
          <w:rFonts w:cstheme="minorHAnsi"/>
          <w:sz w:val="24"/>
          <w:szCs w:val="24"/>
        </w:rPr>
        <w:t>. The basic law protection for equal rights is basically the Equality Act 2010. This is necessary because it helps set the ethics within the legal circles, which in turn affects the societal concept of respecting diversity and embracing human rights in all areas.</w:t>
      </w:r>
    </w:p>
    <w:p w14:paraId="599D3635" w14:textId="77777777" w:rsidR="00953624" w:rsidRPr="00953624" w:rsidRDefault="00953624" w:rsidP="00953624">
      <w:pPr>
        <w:spacing w:line="480" w:lineRule="auto"/>
        <w:jc w:val="center"/>
        <w:rPr>
          <w:rFonts w:cstheme="minorHAnsi"/>
          <w:b/>
          <w:bCs/>
          <w:sz w:val="24"/>
          <w:szCs w:val="24"/>
        </w:rPr>
      </w:pPr>
      <w:r w:rsidRPr="00953624">
        <w:rPr>
          <w:rFonts w:cstheme="minorHAnsi"/>
          <w:b/>
          <w:bCs/>
          <w:sz w:val="24"/>
          <w:szCs w:val="24"/>
        </w:rPr>
        <w:t>Regulatory Codes and Handbooks</w:t>
      </w:r>
    </w:p>
    <w:p w14:paraId="7F3578C0" w14:textId="77777777" w:rsidR="00953624" w:rsidRPr="00953624" w:rsidRDefault="00953624" w:rsidP="00953624">
      <w:pPr>
        <w:spacing w:line="480" w:lineRule="auto"/>
        <w:rPr>
          <w:rFonts w:cstheme="minorHAnsi"/>
          <w:sz w:val="24"/>
          <w:szCs w:val="24"/>
        </w:rPr>
      </w:pPr>
      <w:r w:rsidRPr="00953624">
        <w:rPr>
          <w:rFonts w:cstheme="minorHAnsi"/>
          <w:sz w:val="24"/>
          <w:szCs w:val="24"/>
        </w:rPr>
        <w:lastRenderedPageBreak/>
        <w:t>SRA Code of Conduct</w:t>
      </w:r>
    </w:p>
    <w:p w14:paraId="4166545D" w14:textId="77777777" w:rsidR="00953624" w:rsidRPr="00953624" w:rsidRDefault="00953624" w:rsidP="00953624">
      <w:pPr>
        <w:spacing w:line="480" w:lineRule="auto"/>
        <w:rPr>
          <w:rFonts w:cstheme="minorHAnsi"/>
          <w:sz w:val="24"/>
          <w:szCs w:val="24"/>
        </w:rPr>
      </w:pPr>
      <w:r w:rsidRPr="00953624">
        <w:rPr>
          <w:rFonts w:cstheme="minorHAnsi"/>
          <w:sz w:val="24"/>
          <w:szCs w:val="24"/>
        </w:rPr>
        <w:t xml:space="preserve">The SRA Code of Conduct is one important material that underscores regulatory determination towards an honest, fair, and diverse lawful industry. The essence of these principles, however, is principle nine, that law must uphold impartiality and cultural justice. Nonetheless, it is an alerting sound for solicitors who should champion equal opportunity in all aspects of practice. Solicitors are expected to ensure that there is compliance with passivity as well as an enabling working environment. In addition, it requires solicitors to not only examine but also eradicate indirect prejudices </w:t>
      </w:r>
      <w:proofErr w:type="gramStart"/>
      <w:r w:rsidRPr="00953624">
        <w:rPr>
          <w:rFonts w:cstheme="minorHAnsi"/>
          <w:sz w:val="24"/>
          <w:szCs w:val="24"/>
        </w:rPr>
        <w:t>with regard to</w:t>
      </w:r>
      <w:proofErr w:type="gramEnd"/>
      <w:r w:rsidRPr="00953624">
        <w:rPr>
          <w:rFonts w:cstheme="minorHAnsi"/>
          <w:sz w:val="24"/>
          <w:szCs w:val="24"/>
        </w:rPr>
        <w:t xml:space="preserve"> a commitment to a legal system that will offer equal opportunity and not discriminate based on different backgrounds. The threads of ethics and equality woven into each thread of the SRA code of conduct serve as both a regulator and an accelerator of cultural change in the legal </w:t>
      </w:r>
      <w:proofErr w:type="gramStart"/>
      <w:r w:rsidRPr="00953624">
        <w:rPr>
          <w:rFonts w:cstheme="minorHAnsi"/>
          <w:sz w:val="24"/>
          <w:szCs w:val="24"/>
        </w:rPr>
        <w:t>profession(</w:t>
      </w:r>
      <w:proofErr w:type="spellStart"/>
      <w:proofErr w:type="gramEnd"/>
      <w:r w:rsidRPr="00953624">
        <w:rPr>
          <w:rFonts w:cstheme="minorHAnsi"/>
          <w:color w:val="222222"/>
          <w:sz w:val="24"/>
          <w:szCs w:val="24"/>
          <w:shd w:val="clear" w:color="auto" w:fill="FFFFFF"/>
        </w:rPr>
        <w:t>Yarger</w:t>
      </w:r>
      <w:proofErr w:type="spellEnd"/>
      <w:r w:rsidRPr="00953624">
        <w:rPr>
          <w:rFonts w:cstheme="minorHAnsi"/>
          <w:color w:val="222222"/>
          <w:sz w:val="24"/>
          <w:szCs w:val="24"/>
          <w:shd w:val="clear" w:color="auto" w:fill="FFFFFF"/>
        </w:rPr>
        <w:t xml:space="preserve"> et al.,2020)</w:t>
      </w:r>
      <w:r w:rsidRPr="00953624">
        <w:rPr>
          <w:rFonts w:cstheme="minorHAnsi"/>
          <w:sz w:val="24"/>
          <w:szCs w:val="24"/>
        </w:rPr>
        <w:t>. Here, a code is proposed whose sole objective is to exterminate discrimination for solicitor purposes with a view of ensuring a more suitable society in which they participate in fighting for equal rights and equity, leading to the sustainable development of the legal industry in line with broader social objectives of fair play.</w:t>
      </w:r>
    </w:p>
    <w:p w14:paraId="0DBF3BF2" w14:textId="77777777" w:rsidR="00953624" w:rsidRPr="00953624" w:rsidRDefault="00953624" w:rsidP="00953624">
      <w:pPr>
        <w:spacing w:line="480" w:lineRule="auto"/>
        <w:rPr>
          <w:rFonts w:cstheme="minorHAnsi"/>
          <w:b/>
          <w:bCs/>
          <w:sz w:val="24"/>
          <w:szCs w:val="24"/>
        </w:rPr>
      </w:pPr>
      <w:r w:rsidRPr="00953624">
        <w:rPr>
          <w:rFonts w:cstheme="minorHAnsi"/>
          <w:b/>
          <w:bCs/>
          <w:sz w:val="24"/>
          <w:szCs w:val="24"/>
        </w:rPr>
        <w:t>BSB Handbook</w:t>
      </w:r>
    </w:p>
    <w:p w14:paraId="7C6B6350" w14:textId="77777777" w:rsidR="00953624" w:rsidRPr="00953624" w:rsidRDefault="00953624" w:rsidP="00953624">
      <w:pPr>
        <w:spacing w:line="480" w:lineRule="auto"/>
        <w:rPr>
          <w:rFonts w:cstheme="minorHAnsi"/>
          <w:sz w:val="24"/>
          <w:szCs w:val="24"/>
        </w:rPr>
      </w:pPr>
      <w:r w:rsidRPr="00953624">
        <w:rPr>
          <w:rFonts w:cstheme="minorHAnsi"/>
          <w:sz w:val="24"/>
          <w:szCs w:val="24"/>
        </w:rPr>
        <w:t>The standard handbook of the Bar Standard Board represents a clear authority for professional standards of barristers. This sixth core duty is also noteworthy as it requires that the barristers support equal opportunities and prohibit favoring (</w:t>
      </w:r>
      <w:r w:rsidRPr="00953624">
        <w:rPr>
          <w:rFonts w:cstheme="minorHAnsi"/>
          <w:color w:val="222222"/>
          <w:sz w:val="24"/>
          <w:szCs w:val="24"/>
          <w:shd w:val="clear" w:color="auto" w:fill="FFFFFF"/>
        </w:rPr>
        <w:t>Di Porto &amp; Zuppetta,2021)</w:t>
      </w:r>
      <w:r w:rsidRPr="00953624">
        <w:rPr>
          <w:rFonts w:cstheme="minorHAnsi"/>
          <w:sz w:val="24"/>
          <w:szCs w:val="24"/>
        </w:rPr>
        <w:t xml:space="preserve">. It is here that BSB integrates these principles at the core of the barristers' fundamental responsibilities, leading to setting a moral code that directs the professionalism of the </w:t>
      </w:r>
      <w:r w:rsidRPr="00953624">
        <w:rPr>
          <w:rFonts w:cstheme="minorHAnsi"/>
          <w:sz w:val="24"/>
          <w:szCs w:val="24"/>
        </w:rPr>
        <w:lastRenderedPageBreak/>
        <w:t>barrister's sector towards a more reflective, diverse society with an equal voice and fair practice.</w:t>
      </w:r>
    </w:p>
    <w:p w14:paraId="3ECE014D" w14:textId="77777777" w:rsidR="00953624" w:rsidRPr="00953624" w:rsidRDefault="00953624" w:rsidP="00953624">
      <w:pPr>
        <w:spacing w:line="480" w:lineRule="auto"/>
        <w:rPr>
          <w:rFonts w:cstheme="minorHAnsi"/>
          <w:sz w:val="24"/>
          <w:szCs w:val="24"/>
        </w:rPr>
      </w:pPr>
      <w:r w:rsidRPr="00953624">
        <w:rPr>
          <w:rFonts w:cstheme="minorHAnsi"/>
          <w:sz w:val="24"/>
          <w:szCs w:val="24"/>
        </w:rPr>
        <w:t>CILEX Code of Conduct</w:t>
      </w:r>
    </w:p>
    <w:p w14:paraId="0014CFF4" w14:textId="77777777" w:rsidR="00953624" w:rsidRPr="00953624" w:rsidRDefault="00953624" w:rsidP="00953624">
      <w:pPr>
        <w:spacing w:line="480" w:lineRule="auto"/>
        <w:rPr>
          <w:rFonts w:cstheme="minorHAnsi"/>
          <w:sz w:val="24"/>
          <w:szCs w:val="24"/>
        </w:rPr>
      </w:pPr>
      <w:r w:rsidRPr="00953624">
        <w:rPr>
          <w:rFonts w:cstheme="minorHAnsi"/>
          <w:sz w:val="24"/>
          <w:szCs w:val="24"/>
        </w:rPr>
        <w:t>The purpose of CILEX is to provide a guide on ethics for Chartered Legal Executives and CIELX members. For instance, rule six advocates for the promotion of equity and fairness within the in-house management and in providing legal services. The purpose of this rule is to ensure fair treatment of workers according to respect for diversity (</w:t>
      </w:r>
      <w:r w:rsidRPr="00953624">
        <w:rPr>
          <w:rFonts w:cstheme="minorHAnsi"/>
          <w:color w:val="222222"/>
          <w:sz w:val="24"/>
          <w:szCs w:val="24"/>
          <w:shd w:val="clear" w:color="auto" w:fill="FFFFFF"/>
        </w:rPr>
        <w:t>Coe et al.,2019)</w:t>
      </w:r>
      <w:r w:rsidRPr="00953624">
        <w:rPr>
          <w:rFonts w:cstheme="minorHAnsi"/>
          <w:sz w:val="24"/>
          <w:szCs w:val="24"/>
        </w:rPr>
        <w:t>. CILEX shows care in furthering fairness while respecting ethical values and individual distinctions among individuals during legal proceedings in this manner.</w:t>
      </w:r>
    </w:p>
    <w:p w14:paraId="397A631C" w14:textId="77777777" w:rsidR="00953624" w:rsidRPr="00953624" w:rsidRDefault="00953624" w:rsidP="00953624">
      <w:pPr>
        <w:spacing w:line="480" w:lineRule="auto"/>
        <w:jc w:val="center"/>
        <w:rPr>
          <w:rFonts w:cstheme="minorHAnsi"/>
          <w:b/>
          <w:bCs/>
          <w:sz w:val="24"/>
          <w:szCs w:val="24"/>
        </w:rPr>
      </w:pPr>
      <w:r w:rsidRPr="00953624">
        <w:rPr>
          <w:rFonts w:cstheme="minorHAnsi"/>
          <w:b/>
          <w:bCs/>
          <w:sz w:val="24"/>
          <w:szCs w:val="24"/>
        </w:rPr>
        <w:t>Practical Implementations</w:t>
      </w:r>
    </w:p>
    <w:p w14:paraId="27390E1A" w14:textId="77777777" w:rsidR="00953624" w:rsidRPr="00953624" w:rsidRDefault="00953624" w:rsidP="00953624">
      <w:pPr>
        <w:spacing w:line="480" w:lineRule="auto"/>
        <w:rPr>
          <w:rFonts w:cstheme="minorHAnsi"/>
          <w:b/>
          <w:bCs/>
          <w:sz w:val="24"/>
          <w:szCs w:val="24"/>
        </w:rPr>
      </w:pPr>
      <w:r w:rsidRPr="00953624">
        <w:rPr>
          <w:rFonts w:cstheme="minorHAnsi"/>
          <w:b/>
          <w:bCs/>
          <w:sz w:val="24"/>
          <w:szCs w:val="24"/>
        </w:rPr>
        <w:t>Recruitment Practices</w:t>
      </w:r>
    </w:p>
    <w:p w14:paraId="52DED642" w14:textId="77777777" w:rsidR="00953624" w:rsidRPr="00953624" w:rsidRDefault="00953624" w:rsidP="00953624">
      <w:pPr>
        <w:spacing w:line="480" w:lineRule="auto"/>
        <w:rPr>
          <w:rFonts w:cstheme="minorHAnsi"/>
          <w:sz w:val="24"/>
          <w:szCs w:val="24"/>
        </w:rPr>
      </w:pPr>
      <w:r w:rsidRPr="00953624">
        <w:rPr>
          <w:rFonts w:cstheme="minorHAnsi"/>
          <w:sz w:val="24"/>
          <w:szCs w:val="24"/>
        </w:rPr>
        <w:t>Among the people responsible for equal opportunity include lawyers' partners, associates and staff from the human resource department practicing in the legal profession. Fair and transparent recruitment methods, such as blind selection processes that eliminate unconscious bias, enable one to assess people on merit.</w:t>
      </w:r>
    </w:p>
    <w:p w14:paraId="49CE8183" w14:textId="77777777" w:rsidR="00953624" w:rsidRPr="00953624" w:rsidRDefault="00953624" w:rsidP="00953624">
      <w:pPr>
        <w:spacing w:line="480" w:lineRule="auto"/>
        <w:rPr>
          <w:rFonts w:cstheme="minorHAnsi"/>
          <w:b/>
          <w:bCs/>
          <w:sz w:val="24"/>
          <w:szCs w:val="24"/>
        </w:rPr>
      </w:pPr>
      <w:r w:rsidRPr="00953624">
        <w:rPr>
          <w:rFonts w:cstheme="minorHAnsi"/>
          <w:b/>
          <w:bCs/>
          <w:sz w:val="24"/>
          <w:szCs w:val="24"/>
        </w:rPr>
        <w:t>Training and Education</w:t>
      </w:r>
    </w:p>
    <w:p w14:paraId="124B48C6" w14:textId="77777777" w:rsidR="00953624" w:rsidRPr="00953624" w:rsidRDefault="00953624" w:rsidP="00953624">
      <w:pPr>
        <w:spacing w:line="480" w:lineRule="auto"/>
        <w:rPr>
          <w:rFonts w:cstheme="minorHAnsi"/>
          <w:sz w:val="24"/>
          <w:szCs w:val="24"/>
        </w:rPr>
      </w:pPr>
      <w:r w:rsidRPr="00953624">
        <w:rPr>
          <w:rFonts w:cstheme="minorHAnsi"/>
          <w:sz w:val="24"/>
          <w:szCs w:val="24"/>
        </w:rPr>
        <w:t xml:space="preserve">Continuous education and training are a requisite for equality and diversity to become complete within the legal profession. As such, legal practitioners should be equipped with the necessary skills to detect and oppose any unfair practices or discriminatory instances that occur against individuals in society. However, regulatory bodies are essential </w:t>
      </w:r>
      <w:proofErr w:type="gramStart"/>
      <w:r w:rsidRPr="00953624">
        <w:rPr>
          <w:rFonts w:cstheme="minorHAnsi"/>
          <w:sz w:val="24"/>
          <w:szCs w:val="24"/>
        </w:rPr>
        <w:t>in the course of</w:t>
      </w:r>
      <w:proofErr w:type="gramEnd"/>
      <w:r w:rsidRPr="00953624">
        <w:rPr>
          <w:rFonts w:cstheme="minorHAnsi"/>
          <w:sz w:val="24"/>
          <w:szCs w:val="24"/>
        </w:rPr>
        <w:t xml:space="preserve"> perpetual education on equality and diversity (</w:t>
      </w:r>
      <w:r w:rsidRPr="00953624">
        <w:rPr>
          <w:rFonts w:cstheme="minorHAnsi"/>
          <w:color w:val="222222"/>
          <w:sz w:val="24"/>
          <w:szCs w:val="24"/>
          <w:shd w:val="clear" w:color="auto" w:fill="FFFFFF"/>
        </w:rPr>
        <w:t>Bennett et al.,2022)</w:t>
      </w:r>
      <w:r w:rsidRPr="00953624">
        <w:rPr>
          <w:rFonts w:cstheme="minorHAnsi"/>
          <w:sz w:val="24"/>
          <w:szCs w:val="24"/>
        </w:rPr>
        <w:t xml:space="preserve">. Lawyers are </w:t>
      </w:r>
      <w:r w:rsidRPr="00953624">
        <w:rPr>
          <w:rFonts w:cstheme="minorHAnsi"/>
          <w:sz w:val="24"/>
          <w:szCs w:val="24"/>
        </w:rPr>
        <w:lastRenderedPageBreak/>
        <w:t>informed on current trends, which are incorporated into the strategies aimed at upholding fairness and ethical standards in a dynamic legal universe.</w:t>
      </w:r>
    </w:p>
    <w:p w14:paraId="6D3380A9" w14:textId="77777777" w:rsidR="00953624" w:rsidRPr="00953624" w:rsidRDefault="00953624" w:rsidP="00953624">
      <w:pPr>
        <w:spacing w:line="480" w:lineRule="auto"/>
        <w:rPr>
          <w:rFonts w:cstheme="minorHAnsi"/>
          <w:b/>
          <w:bCs/>
          <w:sz w:val="24"/>
          <w:szCs w:val="24"/>
        </w:rPr>
      </w:pPr>
      <w:r w:rsidRPr="00953624">
        <w:rPr>
          <w:rFonts w:cstheme="minorHAnsi"/>
          <w:b/>
          <w:bCs/>
          <w:sz w:val="24"/>
          <w:szCs w:val="24"/>
        </w:rPr>
        <w:t>Monitoring and Reporting</w:t>
      </w:r>
    </w:p>
    <w:p w14:paraId="6BDBBE17" w14:textId="77777777" w:rsidR="00953624" w:rsidRPr="00953624" w:rsidRDefault="00953624" w:rsidP="00953624">
      <w:pPr>
        <w:spacing w:line="480" w:lineRule="auto"/>
        <w:rPr>
          <w:rFonts w:cstheme="minorHAnsi"/>
          <w:sz w:val="24"/>
          <w:szCs w:val="24"/>
        </w:rPr>
      </w:pPr>
      <w:r w:rsidRPr="00953624">
        <w:rPr>
          <w:rFonts w:cstheme="minorHAnsi"/>
          <w:sz w:val="24"/>
          <w:szCs w:val="24"/>
        </w:rPr>
        <w:t>Regulatory bodies like the SRA, BSB, and CILEX regulations use monitoring mechanisms for assessment and reporting purposes to check whether there are any improvements made on diversity within the profession. They help in identifying any forms of disparities, which then leads to developing intervention programs that curb discrimination and minimize over-representation (</w:t>
      </w:r>
      <w:r w:rsidRPr="00953624">
        <w:rPr>
          <w:rFonts w:cstheme="minorHAnsi"/>
          <w:color w:val="222222"/>
          <w:sz w:val="24"/>
          <w:szCs w:val="24"/>
          <w:shd w:val="clear" w:color="auto" w:fill="FFFFFF"/>
        </w:rPr>
        <w:t>Yeung,2019)</w:t>
      </w:r>
      <w:r w:rsidRPr="00953624">
        <w:rPr>
          <w:rFonts w:cstheme="minorHAnsi"/>
          <w:sz w:val="24"/>
          <w:szCs w:val="24"/>
        </w:rPr>
        <w:t>. The regulatory bodies promote diversity in the legal profession through monitoring their lawyers' performances annually and yearly reporting.</w:t>
      </w:r>
    </w:p>
    <w:p w14:paraId="68186B5E" w14:textId="77777777" w:rsidR="00953624" w:rsidRPr="00953624" w:rsidRDefault="00953624" w:rsidP="00953624">
      <w:pPr>
        <w:spacing w:line="480" w:lineRule="auto"/>
        <w:jc w:val="center"/>
        <w:rPr>
          <w:rFonts w:cstheme="minorHAnsi"/>
          <w:b/>
          <w:bCs/>
          <w:sz w:val="24"/>
          <w:szCs w:val="24"/>
        </w:rPr>
      </w:pPr>
      <w:r w:rsidRPr="00953624">
        <w:rPr>
          <w:rFonts w:cstheme="minorHAnsi"/>
          <w:b/>
          <w:bCs/>
          <w:sz w:val="24"/>
          <w:szCs w:val="24"/>
        </w:rPr>
        <w:t>Challenges and Future Considerations</w:t>
      </w:r>
    </w:p>
    <w:p w14:paraId="0BDBEE76" w14:textId="77777777" w:rsidR="00953624" w:rsidRPr="00953624" w:rsidRDefault="00953624" w:rsidP="00953624">
      <w:pPr>
        <w:spacing w:line="480" w:lineRule="auto"/>
        <w:rPr>
          <w:rFonts w:cstheme="minorHAnsi"/>
          <w:sz w:val="24"/>
          <w:szCs w:val="24"/>
        </w:rPr>
      </w:pPr>
      <w:r w:rsidRPr="00953624">
        <w:rPr>
          <w:rFonts w:cstheme="minorHAnsi"/>
          <w:sz w:val="24"/>
          <w:szCs w:val="24"/>
        </w:rPr>
        <w:t>While some regulatory bodies exist in the sector through the various statutes aimed at promoting equity and diversity, this has remained a difficult nut to crack. People working in the legal world should really get into it by embracing diversity and including in turning away from an old culture. Diversity and its benefits in the legal profession is an issue where people do not only accept but appreciate diversity and highlight its advantages for the workplace. Finally, intersectionality complicates the search for equality and suggests viewing it in a multidimensional way (</w:t>
      </w:r>
      <w:proofErr w:type="spellStart"/>
      <w:r w:rsidRPr="00953624">
        <w:rPr>
          <w:rFonts w:cstheme="minorHAnsi"/>
          <w:color w:val="222222"/>
          <w:sz w:val="24"/>
          <w:szCs w:val="24"/>
          <w:shd w:val="clear" w:color="auto" w:fill="FFFFFF"/>
        </w:rPr>
        <w:t>Gershenson</w:t>
      </w:r>
      <w:proofErr w:type="spellEnd"/>
      <w:r w:rsidRPr="00953624">
        <w:rPr>
          <w:rFonts w:cstheme="minorHAnsi"/>
          <w:color w:val="222222"/>
          <w:sz w:val="24"/>
          <w:szCs w:val="24"/>
          <w:shd w:val="clear" w:color="auto" w:fill="FFFFFF"/>
        </w:rPr>
        <w:t xml:space="preserve"> et al.,2021)</w:t>
      </w:r>
      <w:r w:rsidRPr="00953624">
        <w:rPr>
          <w:rFonts w:cstheme="minorHAnsi"/>
          <w:sz w:val="24"/>
          <w:szCs w:val="24"/>
        </w:rPr>
        <w:t xml:space="preserve">. It should be noted that social classifications are intertwined, just as examples of race, class, or gender. The first part of this must involve this </w:t>
      </w:r>
      <w:proofErr w:type="gramStart"/>
      <w:r w:rsidRPr="00953624">
        <w:rPr>
          <w:rFonts w:cstheme="minorHAnsi"/>
          <w:sz w:val="24"/>
          <w:szCs w:val="24"/>
        </w:rPr>
        <w:t>particular group</w:t>
      </w:r>
      <w:proofErr w:type="gramEnd"/>
      <w:r w:rsidRPr="00953624">
        <w:rPr>
          <w:rFonts w:cstheme="minorHAnsi"/>
          <w:sz w:val="24"/>
          <w:szCs w:val="24"/>
        </w:rPr>
        <w:t xml:space="preserve"> that is problematic concerning the intersectional identities such as SRA, BSB, and CILEX Regulations. If agencies are serious about addressing disparities that lead to an inclusive and representative legal system, they should align their initiatives with these complexities. What do we do when </w:t>
      </w:r>
      <w:proofErr w:type="gramStart"/>
      <w:r w:rsidRPr="00953624">
        <w:rPr>
          <w:rFonts w:cstheme="minorHAnsi"/>
          <w:sz w:val="24"/>
          <w:szCs w:val="24"/>
        </w:rPr>
        <w:t>looking</w:t>
      </w:r>
      <w:proofErr w:type="gramEnd"/>
      <w:r w:rsidRPr="00953624">
        <w:rPr>
          <w:rFonts w:cstheme="minorHAnsi"/>
          <w:sz w:val="24"/>
          <w:szCs w:val="24"/>
        </w:rPr>
        <w:t xml:space="preserve"> at the complexities of cultural change and intersectionality within this dynamic legal environment? It is easy; therefore, we </w:t>
      </w:r>
      <w:proofErr w:type="gramStart"/>
      <w:r w:rsidRPr="00953624">
        <w:rPr>
          <w:rFonts w:cstheme="minorHAnsi"/>
          <w:sz w:val="24"/>
          <w:szCs w:val="24"/>
        </w:rPr>
        <w:t>have to</w:t>
      </w:r>
      <w:proofErr w:type="gramEnd"/>
      <w:r w:rsidRPr="00953624">
        <w:rPr>
          <w:rFonts w:cstheme="minorHAnsi"/>
          <w:sz w:val="24"/>
          <w:szCs w:val="24"/>
        </w:rPr>
        <w:t xml:space="preserve"> </w:t>
      </w:r>
      <w:r w:rsidRPr="00953624">
        <w:rPr>
          <w:rFonts w:cstheme="minorHAnsi"/>
          <w:sz w:val="24"/>
          <w:szCs w:val="24"/>
        </w:rPr>
        <w:lastRenderedPageBreak/>
        <w:t>constantly improve our way toward achieving more equity among people as well as the legal field and become even more inclusive (</w:t>
      </w:r>
      <w:proofErr w:type="spellStart"/>
      <w:r w:rsidRPr="00953624">
        <w:rPr>
          <w:rFonts w:cstheme="minorHAnsi"/>
          <w:color w:val="222222"/>
          <w:sz w:val="24"/>
          <w:szCs w:val="24"/>
          <w:shd w:val="clear" w:color="auto" w:fill="FFFFFF"/>
        </w:rPr>
        <w:t>Micheler</w:t>
      </w:r>
      <w:proofErr w:type="spellEnd"/>
      <w:r w:rsidRPr="00953624">
        <w:rPr>
          <w:rFonts w:cstheme="minorHAnsi"/>
          <w:color w:val="222222"/>
          <w:sz w:val="24"/>
          <w:szCs w:val="24"/>
          <w:shd w:val="clear" w:color="auto" w:fill="FFFFFF"/>
        </w:rPr>
        <w:t xml:space="preserve"> &amp; Whaley,2020)</w:t>
      </w:r>
      <w:r w:rsidRPr="00953624">
        <w:rPr>
          <w:rFonts w:cstheme="minorHAnsi"/>
          <w:sz w:val="24"/>
          <w:szCs w:val="24"/>
        </w:rPr>
        <w:t>.</w:t>
      </w:r>
    </w:p>
    <w:p w14:paraId="0F57DB45" w14:textId="77777777" w:rsidR="00953624" w:rsidRPr="00953624" w:rsidRDefault="00953624" w:rsidP="00953624">
      <w:pPr>
        <w:spacing w:line="480" w:lineRule="auto"/>
        <w:jc w:val="center"/>
        <w:rPr>
          <w:rFonts w:cstheme="minorHAnsi"/>
          <w:b/>
          <w:bCs/>
          <w:sz w:val="24"/>
          <w:szCs w:val="24"/>
        </w:rPr>
      </w:pPr>
      <w:r w:rsidRPr="00953624">
        <w:rPr>
          <w:rFonts w:cstheme="minorHAnsi"/>
          <w:b/>
          <w:bCs/>
          <w:sz w:val="24"/>
          <w:szCs w:val="24"/>
        </w:rPr>
        <w:t xml:space="preserve">Conclusion </w:t>
      </w:r>
    </w:p>
    <w:p w14:paraId="38839499" w14:textId="77777777" w:rsidR="00953624" w:rsidRPr="00953624" w:rsidRDefault="00953624" w:rsidP="00953624">
      <w:pPr>
        <w:spacing w:line="480" w:lineRule="auto"/>
        <w:rPr>
          <w:rFonts w:cstheme="minorHAnsi"/>
          <w:sz w:val="24"/>
          <w:szCs w:val="24"/>
        </w:rPr>
      </w:pPr>
      <w:r w:rsidRPr="00953624">
        <w:rPr>
          <w:rFonts w:cstheme="minorHAnsi"/>
          <w:sz w:val="24"/>
          <w:szCs w:val="24"/>
        </w:rPr>
        <w:t>However, promoting equality and diversity in the legal profession requires multidimensional tactics, including laws, regulations, and personal actions. This seeks to be inclusive and has pillars such as the Legal Services Act 2007 and the Equality Act 2010, which are the legal bases upon which it is anchored. In addition, the SRA Code of Conduct, BSB Handbook, and CILEX Code of Conduct provide guidelines for the behavior of legal practitioners (</w:t>
      </w:r>
      <w:r w:rsidRPr="00953624">
        <w:rPr>
          <w:rFonts w:cstheme="minorHAnsi"/>
          <w:color w:val="222222"/>
          <w:sz w:val="24"/>
          <w:szCs w:val="24"/>
          <w:shd w:val="clear" w:color="auto" w:fill="FFFFFF"/>
        </w:rPr>
        <w:t>Lopez &amp;Jean-Marie,2021)</w:t>
      </w:r>
      <w:r w:rsidRPr="00953624">
        <w:rPr>
          <w:rFonts w:cstheme="minorHAnsi"/>
          <w:sz w:val="24"/>
          <w:szCs w:val="24"/>
        </w:rPr>
        <w:t>. Important components of developing a favorable legal setting comprise introducing practical applications like inclusive recruitment strategies, consistent training programs, and efficient monitoring tools. However, despite the foregoing measures, this chapter highlights some of the challenges encountered, and it becomes apparent that yet a lot more needs must be done in the crafting of a new culture as well as understanding the difficult question of overlapped diversity, among others (</w:t>
      </w:r>
      <w:r w:rsidRPr="00953624">
        <w:rPr>
          <w:rFonts w:cstheme="minorHAnsi"/>
          <w:color w:val="222222"/>
          <w:sz w:val="24"/>
          <w:szCs w:val="24"/>
          <w:shd w:val="clear" w:color="auto" w:fill="FFFFFF"/>
        </w:rPr>
        <w:t>Calabrese Barton &amp; and Tan,2020)</w:t>
      </w:r>
      <w:r w:rsidRPr="00953624">
        <w:rPr>
          <w:rFonts w:cstheme="minorHAnsi"/>
          <w:sz w:val="24"/>
          <w:szCs w:val="24"/>
        </w:rPr>
        <w:t>. It is essential because we are seeking a dynamic legal profession, which should be in line with the idea of social justice and individuals' professional pledges. This leads to a collaborative link between normative practices in legal support, moral order, and suitable techniques to create genuine inclusion in the legal sphere.</w:t>
      </w:r>
    </w:p>
    <w:p w14:paraId="2AE883B4" w14:textId="77777777" w:rsidR="00953624" w:rsidRPr="00953624" w:rsidRDefault="00953624" w:rsidP="00953624">
      <w:pPr>
        <w:spacing w:line="480" w:lineRule="auto"/>
        <w:rPr>
          <w:rFonts w:cstheme="minorHAnsi"/>
          <w:sz w:val="24"/>
          <w:szCs w:val="24"/>
        </w:rPr>
      </w:pPr>
      <w:r w:rsidRPr="00953624">
        <w:rPr>
          <w:rFonts w:cstheme="minorHAnsi"/>
          <w:sz w:val="24"/>
          <w:szCs w:val="24"/>
        </w:rPr>
        <w:br w:type="page"/>
      </w:r>
    </w:p>
    <w:p w14:paraId="35116D3A" w14:textId="77777777" w:rsidR="00953624" w:rsidRPr="00955654" w:rsidRDefault="00953624" w:rsidP="00953624">
      <w:pPr>
        <w:spacing w:line="480" w:lineRule="auto"/>
        <w:jc w:val="center"/>
        <w:rPr>
          <w:rFonts w:ascii="Times New Roman" w:hAnsi="Times New Roman" w:cs="Times New Roman"/>
          <w:sz w:val="24"/>
          <w:szCs w:val="24"/>
        </w:rPr>
      </w:pPr>
      <w:r w:rsidRPr="00955654">
        <w:rPr>
          <w:rFonts w:ascii="Times New Roman" w:hAnsi="Times New Roman" w:cs="Times New Roman"/>
          <w:sz w:val="24"/>
          <w:szCs w:val="24"/>
        </w:rPr>
        <w:lastRenderedPageBreak/>
        <w:t>References list</w:t>
      </w:r>
    </w:p>
    <w:p w14:paraId="789825EE"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r w:rsidRPr="00955654">
        <w:rPr>
          <w:rFonts w:ascii="Times New Roman" w:hAnsi="Times New Roman" w:cs="Times New Roman"/>
          <w:color w:val="222222"/>
          <w:sz w:val="24"/>
          <w:szCs w:val="24"/>
          <w:shd w:val="clear" w:color="auto" w:fill="FFFFFF"/>
        </w:rPr>
        <w:t xml:space="preserve">Bennett, H., Owens, R. and Prewitt-White, T., (2022). Living and Embracing Intersectionality in Sport: Introduction to the Special Issue Journal of Clinical Sport Psychology. </w:t>
      </w:r>
      <w:r w:rsidRPr="00955654">
        <w:rPr>
          <w:rFonts w:ascii="Times New Roman" w:hAnsi="Times New Roman" w:cs="Times New Roman"/>
          <w:i/>
          <w:iCs/>
          <w:color w:val="222222"/>
          <w:sz w:val="24"/>
          <w:szCs w:val="24"/>
          <w:shd w:val="clear" w:color="auto" w:fill="FFFFFF"/>
        </w:rPr>
        <w:t>Journal of Clinical Sport Psychology</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16</w:t>
      </w:r>
      <w:r w:rsidRPr="00955654">
        <w:rPr>
          <w:rFonts w:ascii="Times New Roman" w:hAnsi="Times New Roman" w:cs="Times New Roman"/>
          <w:color w:val="222222"/>
          <w:sz w:val="24"/>
          <w:szCs w:val="24"/>
          <w:shd w:val="clear" w:color="auto" w:fill="FFFFFF"/>
        </w:rPr>
        <w:t>(4), 297–301.</w:t>
      </w:r>
    </w:p>
    <w:p w14:paraId="7FF40FD2"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r w:rsidRPr="00955654">
        <w:rPr>
          <w:rFonts w:ascii="Times New Roman" w:hAnsi="Times New Roman" w:cs="Times New Roman"/>
          <w:color w:val="222222"/>
          <w:sz w:val="24"/>
          <w:szCs w:val="24"/>
          <w:shd w:val="clear" w:color="auto" w:fill="FFFFFF"/>
        </w:rPr>
        <w:t>Calabrese Barton, A. and Tan, E., 2020. Beyond equity as inclusion: A framework of “rightful presence” for guiding justice-oriented studies in teaching and learning. </w:t>
      </w:r>
      <w:r w:rsidRPr="00955654">
        <w:rPr>
          <w:rFonts w:ascii="Times New Roman" w:hAnsi="Times New Roman" w:cs="Times New Roman"/>
          <w:i/>
          <w:iCs/>
          <w:color w:val="222222"/>
          <w:sz w:val="24"/>
          <w:szCs w:val="24"/>
          <w:shd w:val="clear" w:color="auto" w:fill="FFFFFF"/>
        </w:rPr>
        <w:t>Educational researcher</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49</w:t>
      </w:r>
      <w:r w:rsidRPr="00955654">
        <w:rPr>
          <w:rFonts w:ascii="Times New Roman" w:hAnsi="Times New Roman" w:cs="Times New Roman"/>
          <w:color w:val="222222"/>
          <w:sz w:val="24"/>
          <w:szCs w:val="24"/>
          <w:shd w:val="clear" w:color="auto" w:fill="FFFFFF"/>
        </w:rPr>
        <w:t>(6), pp.433-440.</w:t>
      </w:r>
    </w:p>
    <w:p w14:paraId="510FEEF0"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r w:rsidRPr="00955654">
        <w:rPr>
          <w:rFonts w:ascii="Times New Roman" w:hAnsi="Times New Roman" w:cs="Times New Roman"/>
          <w:color w:val="222222"/>
          <w:sz w:val="24"/>
          <w:szCs w:val="24"/>
          <w:shd w:val="clear" w:color="auto" w:fill="FFFFFF"/>
        </w:rPr>
        <w:t>Calabrese Barton, A. and Tan, E., 2020. Beyond equity as inclusion: A framework of “rightful presence” for guiding justice-oriented studies in teaching and learning. </w:t>
      </w:r>
      <w:r w:rsidRPr="00955654">
        <w:rPr>
          <w:rFonts w:ascii="Times New Roman" w:hAnsi="Times New Roman" w:cs="Times New Roman"/>
          <w:i/>
          <w:iCs/>
          <w:color w:val="222222"/>
          <w:sz w:val="24"/>
          <w:szCs w:val="24"/>
          <w:shd w:val="clear" w:color="auto" w:fill="FFFFFF"/>
        </w:rPr>
        <w:t>Educational researcher</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49</w:t>
      </w:r>
      <w:r w:rsidRPr="00955654">
        <w:rPr>
          <w:rFonts w:ascii="Times New Roman" w:hAnsi="Times New Roman" w:cs="Times New Roman"/>
          <w:color w:val="222222"/>
          <w:sz w:val="24"/>
          <w:szCs w:val="24"/>
          <w:shd w:val="clear" w:color="auto" w:fill="FFFFFF"/>
        </w:rPr>
        <w:t>(6), pp.433-440.</w:t>
      </w:r>
    </w:p>
    <w:p w14:paraId="6B4E4C92"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r w:rsidRPr="00955654">
        <w:rPr>
          <w:rFonts w:ascii="Times New Roman" w:hAnsi="Times New Roman" w:cs="Times New Roman"/>
          <w:color w:val="222222"/>
          <w:sz w:val="24"/>
          <w:szCs w:val="24"/>
          <w:shd w:val="clear" w:color="auto" w:fill="FFFFFF"/>
        </w:rPr>
        <w:t xml:space="preserve">Coe, I.R., Wiley, R. and </w:t>
      </w:r>
      <w:proofErr w:type="spellStart"/>
      <w:r w:rsidRPr="00955654">
        <w:rPr>
          <w:rFonts w:ascii="Times New Roman" w:hAnsi="Times New Roman" w:cs="Times New Roman"/>
          <w:color w:val="222222"/>
          <w:sz w:val="24"/>
          <w:szCs w:val="24"/>
          <w:shd w:val="clear" w:color="auto" w:fill="FFFFFF"/>
        </w:rPr>
        <w:t>Bekker</w:t>
      </w:r>
      <w:proofErr w:type="spellEnd"/>
      <w:r w:rsidRPr="00955654">
        <w:rPr>
          <w:rFonts w:ascii="Times New Roman" w:hAnsi="Times New Roman" w:cs="Times New Roman"/>
          <w:color w:val="222222"/>
          <w:sz w:val="24"/>
          <w:szCs w:val="24"/>
          <w:shd w:val="clear" w:color="auto" w:fill="FFFFFF"/>
        </w:rPr>
        <w:t>, L.G., 2019. Organizational best practices towards gender equality in science and medicine. </w:t>
      </w:r>
      <w:r w:rsidRPr="00955654">
        <w:rPr>
          <w:rFonts w:ascii="Times New Roman" w:hAnsi="Times New Roman" w:cs="Times New Roman"/>
          <w:i/>
          <w:iCs/>
          <w:color w:val="222222"/>
          <w:sz w:val="24"/>
          <w:szCs w:val="24"/>
          <w:shd w:val="clear" w:color="auto" w:fill="FFFFFF"/>
        </w:rPr>
        <w:t>The Lancet</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393</w:t>
      </w:r>
      <w:r w:rsidRPr="00955654">
        <w:rPr>
          <w:rFonts w:ascii="Times New Roman" w:hAnsi="Times New Roman" w:cs="Times New Roman"/>
          <w:color w:val="222222"/>
          <w:sz w:val="24"/>
          <w:szCs w:val="24"/>
          <w:shd w:val="clear" w:color="auto" w:fill="FFFFFF"/>
        </w:rPr>
        <w:t>(10171), pp.587-593.</w:t>
      </w:r>
    </w:p>
    <w:p w14:paraId="35DC5FA5"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r w:rsidRPr="00955654">
        <w:rPr>
          <w:rFonts w:ascii="Times New Roman" w:hAnsi="Times New Roman" w:cs="Times New Roman"/>
          <w:color w:val="222222"/>
          <w:sz w:val="24"/>
          <w:szCs w:val="24"/>
          <w:shd w:val="clear" w:color="auto" w:fill="FFFFFF"/>
        </w:rPr>
        <w:t xml:space="preserve">Coleman, E., Radix, A.E., </w:t>
      </w:r>
      <w:proofErr w:type="spellStart"/>
      <w:r w:rsidRPr="00955654">
        <w:rPr>
          <w:rFonts w:ascii="Times New Roman" w:hAnsi="Times New Roman" w:cs="Times New Roman"/>
          <w:color w:val="222222"/>
          <w:sz w:val="24"/>
          <w:szCs w:val="24"/>
          <w:shd w:val="clear" w:color="auto" w:fill="FFFFFF"/>
        </w:rPr>
        <w:t>Bouman</w:t>
      </w:r>
      <w:proofErr w:type="spellEnd"/>
      <w:r w:rsidRPr="00955654">
        <w:rPr>
          <w:rFonts w:ascii="Times New Roman" w:hAnsi="Times New Roman" w:cs="Times New Roman"/>
          <w:color w:val="222222"/>
          <w:sz w:val="24"/>
          <w:szCs w:val="24"/>
          <w:shd w:val="clear" w:color="auto" w:fill="FFFFFF"/>
        </w:rPr>
        <w:t xml:space="preserve">, W.P., Brown, G.R., De Vries, A.L., Deutsch, M.B., </w:t>
      </w:r>
      <w:proofErr w:type="spellStart"/>
      <w:r w:rsidRPr="00955654">
        <w:rPr>
          <w:rFonts w:ascii="Times New Roman" w:hAnsi="Times New Roman" w:cs="Times New Roman"/>
          <w:color w:val="222222"/>
          <w:sz w:val="24"/>
          <w:szCs w:val="24"/>
          <w:shd w:val="clear" w:color="auto" w:fill="FFFFFF"/>
        </w:rPr>
        <w:t>Ettner</w:t>
      </w:r>
      <w:proofErr w:type="spellEnd"/>
      <w:r w:rsidRPr="00955654">
        <w:rPr>
          <w:rFonts w:ascii="Times New Roman" w:hAnsi="Times New Roman" w:cs="Times New Roman"/>
          <w:color w:val="222222"/>
          <w:sz w:val="24"/>
          <w:szCs w:val="24"/>
          <w:shd w:val="clear" w:color="auto" w:fill="FFFFFF"/>
        </w:rPr>
        <w:t xml:space="preserve">, R., Fraser, L., Goodman, M., Green, </w:t>
      </w:r>
      <w:proofErr w:type="gramStart"/>
      <w:r w:rsidRPr="00955654">
        <w:rPr>
          <w:rFonts w:ascii="Times New Roman" w:hAnsi="Times New Roman" w:cs="Times New Roman"/>
          <w:color w:val="222222"/>
          <w:sz w:val="24"/>
          <w:szCs w:val="24"/>
          <w:shd w:val="clear" w:color="auto" w:fill="FFFFFF"/>
        </w:rPr>
        <w:t>J.</w:t>
      </w:r>
      <w:proofErr w:type="gramEnd"/>
      <w:r w:rsidRPr="00955654">
        <w:rPr>
          <w:rFonts w:ascii="Times New Roman" w:hAnsi="Times New Roman" w:cs="Times New Roman"/>
          <w:color w:val="222222"/>
          <w:sz w:val="24"/>
          <w:szCs w:val="24"/>
          <w:shd w:val="clear" w:color="auto" w:fill="FFFFFF"/>
        </w:rPr>
        <w:t xml:space="preserve"> and Hancock, A.B., (2022). Standards of care for the health of transgender and gender diverse people, version 8. </w:t>
      </w:r>
      <w:r w:rsidRPr="00955654">
        <w:rPr>
          <w:rFonts w:ascii="Times New Roman" w:hAnsi="Times New Roman" w:cs="Times New Roman"/>
          <w:i/>
          <w:iCs/>
          <w:color w:val="222222"/>
          <w:sz w:val="24"/>
          <w:szCs w:val="24"/>
          <w:shd w:val="clear" w:color="auto" w:fill="FFFFFF"/>
        </w:rPr>
        <w:t>International Journal of Transgender Health</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23</w:t>
      </w:r>
      <w:r w:rsidRPr="00955654">
        <w:rPr>
          <w:rFonts w:ascii="Times New Roman" w:hAnsi="Times New Roman" w:cs="Times New Roman"/>
          <w:color w:val="222222"/>
          <w:sz w:val="24"/>
          <w:szCs w:val="24"/>
          <w:shd w:val="clear" w:color="auto" w:fill="FFFFFF"/>
        </w:rPr>
        <w:t xml:space="preserve">(sup1), </w:t>
      </w:r>
      <w:proofErr w:type="gramStart"/>
      <w:r w:rsidRPr="00955654">
        <w:rPr>
          <w:rFonts w:ascii="Times New Roman" w:hAnsi="Times New Roman" w:cs="Times New Roman"/>
          <w:color w:val="222222"/>
          <w:sz w:val="24"/>
          <w:szCs w:val="24"/>
          <w:shd w:val="clear" w:color="auto" w:fill="FFFFFF"/>
        </w:rPr>
        <w:t>pp.S</w:t>
      </w:r>
      <w:proofErr w:type="gramEnd"/>
      <w:r w:rsidRPr="00955654">
        <w:rPr>
          <w:rFonts w:ascii="Times New Roman" w:hAnsi="Times New Roman" w:cs="Times New Roman"/>
          <w:color w:val="222222"/>
          <w:sz w:val="24"/>
          <w:szCs w:val="24"/>
          <w:shd w:val="clear" w:color="auto" w:fill="FFFFFF"/>
        </w:rPr>
        <w:t>1-S259.</w:t>
      </w:r>
    </w:p>
    <w:p w14:paraId="624E1847"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r w:rsidRPr="00955654">
        <w:rPr>
          <w:rFonts w:ascii="Times New Roman" w:hAnsi="Times New Roman" w:cs="Times New Roman"/>
          <w:color w:val="222222"/>
          <w:sz w:val="24"/>
          <w:szCs w:val="24"/>
          <w:shd w:val="clear" w:color="auto" w:fill="FFFFFF"/>
        </w:rPr>
        <w:t xml:space="preserve">Di Porto, F. and </w:t>
      </w:r>
      <w:proofErr w:type="spellStart"/>
      <w:r w:rsidRPr="00955654">
        <w:rPr>
          <w:rFonts w:ascii="Times New Roman" w:hAnsi="Times New Roman" w:cs="Times New Roman"/>
          <w:color w:val="222222"/>
          <w:sz w:val="24"/>
          <w:szCs w:val="24"/>
          <w:shd w:val="clear" w:color="auto" w:fill="FFFFFF"/>
        </w:rPr>
        <w:t>Zuppetta</w:t>
      </w:r>
      <w:proofErr w:type="spellEnd"/>
      <w:r w:rsidRPr="00955654">
        <w:rPr>
          <w:rFonts w:ascii="Times New Roman" w:hAnsi="Times New Roman" w:cs="Times New Roman"/>
          <w:color w:val="222222"/>
          <w:sz w:val="24"/>
          <w:szCs w:val="24"/>
          <w:shd w:val="clear" w:color="auto" w:fill="FFFFFF"/>
        </w:rPr>
        <w:t>, M., 2021. Co-regulating algorithmic disclosure for digital platforms. </w:t>
      </w:r>
      <w:r w:rsidRPr="00955654">
        <w:rPr>
          <w:rFonts w:ascii="Times New Roman" w:hAnsi="Times New Roman" w:cs="Times New Roman"/>
          <w:i/>
          <w:iCs/>
          <w:color w:val="222222"/>
          <w:sz w:val="24"/>
          <w:szCs w:val="24"/>
          <w:shd w:val="clear" w:color="auto" w:fill="FFFFFF"/>
        </w:rPr>
        <w:t>Policy and Society</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40</w:t>
      </w:r>
      <w:r w:rsidRPr="00955654">
        <w:rPr>
          <w:rFonts w:ascii="Times New Roman" w:hAnsi="Times New Roman" w:cs="Times New Roman"/>
          <w:color w:val="222222"/>
          <w:sz w:val="24"/>
          <w:szCs w:val="24"/>
          <w:shd w:val="clear" w:color="auto" w:fill="FFFFFF"/>
        </w:rPr>
        <w:t>(2), pp.272-293.</w:t>
      </w:r>
    </w:p>
    <w:p w14:paraId="690645BD"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proofErr w:type="spellStart"/>
      <w:r w:rsidRPr="00955654">
        <w:rPr>
          <w:rFonts w:ascii="Times New Roman" w:hAnsi="Times New Roman" w:cs="Times New Roman"/>
          <w:color w:val="222222"/>
          <w:sz w:val="24"/>
          <w:szCs w:val="24"/>
          <w:shd w:val="clear" w:color="auto" w:fill="FFFFFF"/>
        </w:rPr>
        <w:t>Gershenson</w:t>
      </w:r>
      <w:proofErr w:type="spellEnd"/>
      <w:r w:rsidRPr="00955654">
        <w:rPr>
          <w:rFonts w:ascii="Times New Roman" w:hAnsi="Times New Roman" w:cs="Times New Roman"/>
          <w:color w:val="222222"/>
          <w:sz w:val="24"/>
          <w:szCs w:val="24"/>
          <w:shd w:val="clear" w:color="auto" w:fill="FFFFFF"/>
        </w:rPr>
        <w:t xml:space="preserve">, S., Hansen, M.J. and Lindsay, C.A., (2021). </w:t>
      </w:r>
      <w:r w:rsidRPr="00955654">
        <w:rPr>
          <w:rFonts w:ascii="Times New Roman" w:hAnsi="Times New Roman" w:cs="Times New Roman"/>
          <w:i/>
          <w:iCs/>
          <w:color w:val="222222"/>
          <w:sz w:val="24"/>
          <w:szCs w:val="24"/>
          <w:shd w:val="clear" w:color="auto" w:fill="FFFFFF"/>
        </w:rPr>
        <w:t>Teacher diversity and student success: Why racial representation matters in the classroom</w:t>
      </w:r>
      <w:r w:rsidRPr="00955654">
        <w:rPr>
          <w:rFonts w:ascii="Times New Roman" w:hAnsi="Times New Roman" w:cs="Times New Roman"/>
          <w:color w:val="222222"/>
          <w:sz w:val="24"/>
          <w:szCs w:val="24"/>
          <w:shd w:val="clear" w:color="auto" w:fill="FFFFFF"/>
        </w:rPr>
        <w:t> (Vol. 8). Cambridge, MA: Harvard Education Press.</w:t>
      </w:r>
    </w:p>
    <w:p w14:paraId="30AE5DB8"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r w:rsidRPr="00955654">
        <w:rPr>
          <w:rFonts w:ascii="Times New Roman" w:hAnsi="Times New Roman" w:cs="Times New Roman"/>
          <w:color w:val="222222"/>
          <w:sz w:val="24"/>
          <w:szCs w:val="24"/>
          <w:shd w:val="clear" w:color="auto" w:fill="FFFFFF"/>
        </w:rPr>
        <w:lastRenderedPageBreak/>
        <w:t>Lopez, A.E. and Jean-Marie, G., 2021. Challenging anti-Black racism in everyday teaching, learning, and leading: From theory to practice. </w:t>
      </w:r>
      <w:r w:rsidRPr="00955654">
        <w:rPr>
          <w:rFonts w:ascii="Times New Roman" w:hAnsi="Times New Roman" w:cs="Times New Roman"/>
          <w:i/>
          <w:iCs/>
          <w:color w:val="222222"/>
          <w:sz w:val="24"/>
          <w:szCs w:val="24"/>
          <w:shd w:val="clear" w:color="auto" w:fill="FFFFFF"/>
        </w:rPr>
        <w:t>Journal of School Leadership</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31</w:t>
      </w:r>
      <w:r w:rsidRPr="00955654">
        <w:rPr>
          <w:rFonts w:ascii="Times New Roman" w:hAnsi="Times New Roman" w:cs="Times New Roman"/>
          <w:color w:val="222222"/>
          <w:sz w:val="24"/>
          <w:szCs w:val="24"/>
          <w:shd w:val="clear" w:color="auto" w:fill="FFFFFF"/>
        </w:rPr>
        <w:t>(1-2), pp.50-65.</w:t>
      </w:r>
    </w:p>
    <w:p w14:paraId="2C4E3190" w14:textId="77777777" w:rsidR="00953624" w:rsidRPr="00955654" w:rsidRDefault="00953624" w:rsidP="00953624">
      <w:pPr>
        <w:spacing w:line="480" w:lineRule="auto"/>
        <w:ind w:left="720" w:hanging="720"/>
        <w:rPr>
          <w:rFonts w:ascii="Times New Roman" w:hAnsi="Times New Roman" w:cs="Times New Roman"/>
          <w:sz w:val="24"/>
          <w:szCs w:val="24"/>
        </w:rPr>
      </w:pPr>
      <w:r w:rsidRPr="00955654">
        <w:rPr>
          <w:rFonts w:ascii="Times New Roman" w:hAnsi="Times New Roman" w:cs="Times New Roman"/>
          <w:color w:val="222222"/>
          <w:sz w:val="24"/>
          <w:szCs w:val="24"/>
          <w:shd w:val="clear" w:color="auto" w:fill="FFFFFF"/>
        </w:rPr>
        <w:t>Marsden, C., Meyer, T. and Brown, I., 2020. Platform values and democratic elections: How can the law regulate digital disinformation? </w:t>
      </w:r>
      <w:r w:rsidRPr="00955654">
        <w:rPr>
          <w:rFonts w:ascii="Times New Roman" w:hAnsi="Times New Roman" w:cs="Times New Roman"/>
          <w:i/>
          <w:iCs/>
          <w:color w:val="222222"/>
          <w:sz w:val="24"/>
          <w:szCs w:val="24"/>
          <w:shd w:val="clear" w:color="auto" w:fill="FFFFFF"/>
        </w:rPr>
        <w:t>Computer law &amp; security review</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36</w:t>
      </w:r>
      <w:r w:rsidRPr="00955654">
        <w:rPr>
          <w:rFonts w:ascii="Times New Roman" w:hAnsi="Times New Roman" w:cs="Times New Roman"/>
          <w:color w:val="222222"/>
          <w:sz w:val="24"/>
          <w:szCs w:val="24"/>
          <w:shd w:val="clear" w:color="auto" w:fill="FFFFFF"/>
        </w:rPr>
        <w:t>, p.105373.</w:t>
      </w:r>
    </w:p>
    <w:p w14:paraId="4ED0335C"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r w:rsidRPr="00955654">
        <w:rPr>
          <w:rFonts w:ascii="Times New Roman" w:hAnsi="Times New Roman" w:cs="Times New Roman"/>
          <w:color w:val="222222"/>
          <w:sz w:val="24"/>
          <w:szCs w:val="24"/>
          <w:shd w:val="clear" w:color="auto" w:fill="FFFFFF"/>
        </w:rPr>
        <w:t xml:space="preserve">Michele, E. &amp; Whaley, A. (2020). Regulatory technology: Replacing law with computer code. </w:t>
      </w:r>
      <w:r w:rsidRPr="00955654">
        <w:rPr>
          <w:rFonts w:ascii="Times New Roman" w:hAnsi="Times New Roman" w:cs="Times New Roman"/>
          <w:i/>
          <w:iCs/>
          <w:color w:val="222222"/>
          <w:sz w:val="24"/>
          <w:szCs w:val="24"/>
          <w:shd w:val="clear" w:color="auto" w:fill="FFFFFF"/>
        </w:rPr>
        <w:t>European Business Organization Law Review</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21</w:t>
      </w:r>
      <w:r w:rsidRPr="00955654">
        <w:rPr>
          <w:rFonts w:ascii="Times New Roman" w:hAnsi="Times New Roman" w:cs="Times New Roman"/>
          <w:color w:val="222222"/>
          <w:sz w:val="24"/>
          <w:szCs w:val="24"/>
          <w:shd w:val="clear" w:color="auto" w:fill="FFFFFF"/>
        </w:rPr>
        <w:t>, pp.349–377.</w:t>
      </w:r>
    </w:p>
    <w:p w14:paraId="244F264B" w14:textId="77777777" w:rsidR="00953624" w:rsidRPr="00955654" w:rsidRDefault="00953624" w:rsidP="00953624">
      <w:pPr>
        <w:spacing w:line="480" w:lineRule="auto"/>
        <w:ind w:left="720" w:hanging="720"/>
        <w:rPr>
          <w:rFonts w:ascii="Times New Roman" w:hAnsi="Times New Roman" w:cs="Times New Roman"/>
          <w:color w:val="222222"/>
          <w:sz w:val="24"/>
          <w:szCs w:val="24"/>
          <w:shd w:val="clear" w:color="auto" w:fill="FFFFFF"/>
        </w:rPr>
      </w:pPr>
      <w:proofErr w:type="spellStart"/>
      <w:r w:rsidRPr="00955654">
        <w:rPr>
          <w:rFonts w:ascii="Times New Roman" w:hAnsi="Times New Roman" w:cs="Times New Roman"/>
          <w:color w:val="222222"/>
          <w:sz w:val="24"/>
          <w:szCs w:val="24"/>
          <w:shd w:val="clear" w:color="auto" w:fill="FFFFFF"/>
        </w:rPr>
        <w:t>Yarger</w:t>
      </w:r>
      <w:proofErr w:type="spellEnd"/>
      <w:r w:rsidRPr="00955654">
        <w:rPr>
          <w:rFonts w:ascii="Times New Roman" w:hAnsi="Times New Roman" w:cs="Times New Roman"/>
          <w:color w:val="222222"/>
          <w:sz w:val="24"/>
          <w:szCs w:val="24"/>
          <w:shd w:val="clear" w:color="auto" w:fill="FFFFFF"/>
        </w:rPr>
        <w:t xml:space="preserve">, L., Cobb Payton, F. &amp; Neupane, B. (2020). Algorithmic equity in the hiring of underrepresented I.T. job candidates. </w:t>
      </w:r>
      <w:r w:rsidRPr="00955654">
        <w:rPr>
          <w:rFonts w:ascii="Times New Roman" w:hAnsi="Times New Roman" w:cs="Times New Roman"/>
          <w:i/>
          <w:iCs/>
          <w:color w:val="222222"/>
          <w:sz w:val="24"/>
          <w:szCs w:val="24"/>
          <w:shd w:val="clear" w:color="auto" w:fill="FFFFFF"/>
        </w:rPr>
        <w:t>Online information review</w:t>
      </w:r>
      <w:r w:rsidRPr="00955654">
        <w:rPr>
          <w:rFonts w:ascii="Times New Roman" w:hAnsi="Times New Roman" w:cs="Times New Roman"/>
          <w:color w:val="222222"/>
          <w:sz w:val="24"/>
          <w:szCs w:val="24"/>
          <w:shd w:val="clear" w:color="auto" w:fill="FFFFFF"/>
        </w:rPr>
        <w:t>, </w:t>
      </w:r>
      <w:r w:rsidRPr="00955654">
        <w:rPr>
          <w:rFonts w:ascii="Times New Roman" w:hAnsi="Times New Roman" w:cs="Times New Roman"/>
          <w:i/>
          <w:iCs/>
          <w:color w:val="222222"/>
          <w:sz w:val="24"/>
          <w:szCs w:val="24"/>
          <w:shd w:val="clear" w:color="auto" w:fill="FFFFFF"/>
        </w:rPr>
        <w:t>44</w:t>
      </w:r>
      <w:r w:rsidRPr="00955654">
        <w:rPr>
          <w:rFonts w:ascii="Times New Roman" w:hAnsi="Times New Roman" w:cs="Times New Roman"/>
          <w:color w:val="222222"/>
          <w:sz w:val="24"/>
          <w:szCs w:val="24"/>
          <w:shd w:val="clear" w:color="auto" w:fill="FFFFFF"/>
        </w:rPr>
        <w:t>(2), 383–395.</w:t>
      </w:r>
    </w:p>
    <w:p w14:paraId="3341135F" w14:textId="0B7CC4DF" w:rsidR="00436229" w:rsidRDefault="00953624" w:rsidP="00953624">
      <w:r w:rsidRPr="00955654">
        <w:rPr>
          <w:rFonts w:ascii="Times New Roman" w:hAnsi="Times New Roman" w:cs="Times New Roman"/>
          <w:color w:val="222222"/>
          <w:sz w:val="24"/>
          <w:szCs w:val="24"/>
          <w:shd w:val="clear" w:color="auto" w:fill="FFFFFF"/>
        </w:rPr>
        <w:t xml:space="preserve">Yeung, K., (2019). Regulation by blockchain: the emerging battle for supremacy between the code of law and code as law. </w:t>
      </w:r>
      <w:r w:rsidRPr="00955654">
        <w:rPr>
          <w:rFonts w:ascii="Times New Roman" w:hAnsi="Times New Roman" w:cs="Times New Roman"/>
          <w:i/>
          <w:iCs/>
          <w:color w:val="222222"/>
          <w:sz w:val="24"/>
          <w:szCs w:val="24"/>
          <w:shd w:val="clear" w:color="auto" w:fill="FFFFFF"/>
        </w:rPr>
        <w:t>The Mod</w:t>
      </w:r>
    </w:p>
    <w:sectPr w:rsidR="004362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624"/>
    <w:rsid w:val="000278B9"/>
    <w:rsid w:val="000324B0"/>
    <w:rsid w:val="00436229"/>
    <w:rsid w:val="00953624"/>
    <w:rsid w:val="00EB725E"/>
    <w:rsid w:val="00F02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B05EBC"/>
  <w15:chartTrackingRefBased/>
  <w15:docId w15:val="{38CC18AE-92C0-BC4F-9AB2-D7239CEF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624"/>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0278B9"/>
    <w:pPr>
      <w:jc w:val="center"/>
    </w:pPr>
    <w:rPr>
      <w:b/>
    </w:rPr>
    <w:tblPr/>
    <w:tcPr>
      <w:shd w:val="clear" w:color="auto" w:fill="EAC7F1"/>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1914</Words>
  <Characters>10910</Characters>
  <Application>Microsoft Office Word</Application>
  <DocSecurity>0</DocSecurity>
  <Lines>90</Lines>
  <Paragraphs>25</Paragraphs>
  <ScaleCrop>false</ScaleCrop>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Tasleem kara</dc:creator>
  <cp:keywords/>
  <dc:description/>
  <cp:lastModifiedBy>Tasleem kara</cp:lastModifiedBy>
  <cp:revision>1</cp:revision>
  <dcterms:created xsi:type="dcterms:W3CDTF">2023-12-16T02:15:00Z</dcterms:created>
  <dcterms:modified xsi:type="dcterms:W3CDTF">2023-12-16T02:23:00Z</dcterms:modified>
</cp:coreProperties>
</file>