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3"/>
        <w:keepNext w:val="0"/>
        <w:keepLines w:val="0"/>
        <w:widowControl/>
        <w:suppressLineNumbers w:val="0"/>
        <w:spacing w:line="240" w:lineRule="auto"/>
        <w:jc w:val="center"/>
        <w:rPr>
          <w:rFonts w:hint="default" w:ascii="Arial Bold" w:hAnsi="Arial Bold" w:eastAsia="sans-serif" w:cs="Arial Bold"/>
          <w:b/>
          <w:bCs/>
          <w:i w:val="0"/>
          <w:iCs w:val="0"/>
          <w:caps w:val="0"/>
          <w:color w:val="000000"/>
          <w:spacing w:val="0"/>
          <w:kern w:val="0"/>
          <w:sz w:val="28"/>
          <w:szCs w:val="28"/>
          <w:shd w:val="clear" w:fill="FFFFFF"/>
          <w:lang w:val="en-US" w:eastAsia="zh-CN" w:bidi="ar"/>
          <w14:ligatures w14:val="standardContextual"/>
        </w:rPr>
      </w:pPr>
      <w:r>
        <w:rPr>
          <w:rFonts w:hint="default" w:ascii="Arial Bold" w:hAnsi="Arial Bold" w:eastAsia="sans-serif" w:cs="Arial Bold"/>
          <w:b/>
          <w:bCs/>
          <w:i w:val="0"/>
          <w:iCs w:val="0"/>
          <w:caps w:val="0"/>
          <w:color w:val="000000"/>
          <w:spacing w:val="0"/>
          <w:kern w:val="0"/>
          <w:sz w:val="28"/>
          <w:szCs w:val="28"/>
          <w:shd w:val="clear" w:fill="FFFFFF"/>
          <w:lang w:val="en-US" w:eastAsia="zh-CN" w:bidi="ar"/>
          <w14:ligatures w14:val="standardContextual"/>
        </w:rPr>
        <w:t>T</w:t>
      </w:r>
      <w:r>
        <w:rPr>
          <w:rFonts w:hint="default" w:ascii="Arial Bold" w:hAnsi="Arial Bold" w:eastAsia="sans-serif" w:cs="Arial Bold"/>
          <w:b/>
          <w:bCs/>
          <w:i w:val="0"/>
          <w:iCs w:val="0"/>
          <w:caps w:val="0"/>
          <w:color w:val="000000"/>
          <w:spacing w:val="0"/>
          <w:kern w:val="0"/>
          <w:sz w:val="28"/>
          <w:szCs w:val="28"/>
          <w:shd w:val="clear" w:fill="FFFFFF"/>
          <w:lang w:val="en-US" w:eastAsia="zh-CN" w:bidi="ar"/>
          <w14:ligatures w14:val="standardContextual"/>
        </w:rPr>
        <w:t xml:space="preserve">eaching methods used in broadcasting and </w:t>
      </w:r>
      <w:r>
        <w:rPr>
          <w:rFonts w:hint="default" w:ascii="Arial Bold" w:hAnsi="Arial Bold" w:eastAsia="sans-serif" w:cs="Arial Bold"/>
          <w:b/>
          <w:bCs/>
          <w:i w:val="0"/>
          <w:iCs w:val="0"/>
          <w:color w:val="000000"/>
          <w:spacing w:val="0"/>
          <w:kern w:val="0"/>
          <w:sz w:val="28"/>
          <w:szCs w:val="28"/>
          <w:shd w:val="clear" w:fill="FFFFFF"/>
          <w:lang w:val="en-US" w:eastAsia="zh-CN" w:bidi="ar"/>
          <w14:ligatures w14:val="standardContextual"/>
        </w:rPr>
        <w:t>vocalisation</w:t>
      </w:r>
      <w:r>
        <w:rPr>
          <w:rFonts w:hint="default" w:ascii="Arial Bold" w:hAnsi="Arial Bold" w:eastAsia="sans-serif" w:cs="Arial Bold"/>
          <w:b/>
          <w:bCs/>
          <w:i w:val="0"/>
          <w:iCs w:val="0"/>
          <w:caps w:val="0"/>
          <w:color w:val="000000"/>
          <w:spacing w:val="0"/>
          <w:kern w:val="0"/>
          <w:sz w:val="28"/>
          <w:szCs w:val="28"/>
          <w:shd w:val="clear" w:fill="FFFFFF"/>
          <w:lang w:val="en-US" w:eastAsia="zh-CN" w:bidi="ar"/>
          <w14:ligatures w14:val="standardContextual"/>
        </w:rPr>
        <w:t xml:space="preserve"> courses in four universities in China</w:t>
      </w:r>
    </w:p>
    <w:p>
      <w:pPr>
        <w:pStyle w:val="3"/>
        <w:keepNext w:val="0"/>
        <w:keepLines w:val="0"/>
        <w:widowControl/>
        <w:suppressLineNumbers w:val="0"/>
        <w:rPr>
          <w:rFonts w:hint="default" w:eastAsiaTheme="minorEastAsia"/>
          <w:b/>
          <w:bCs/>
          <w:lang w:val="en-US" w:eastAsia="zh-CN"/>
        </w:rPr>
      </w:pPr>
      <w:r>
        <w:rPr>
          <w:rFonts w:hint="default"/>
          <w:b/>
          <w:bCs/>
          <w:lang w:val="en-US"/>
        </w:rPr>
        <w:t>R</w:t>
      </w:r>
      <w:r>
        <w:rPr>
          <w:rFonts w:hint="eastAsia"/>
          <w:b/>
          <w:bCs/>
          <w:lang w:val="en-US" w:eastAsia="zh-CN"/>
        </w:rPr>
        <w:t>esearch background</w:t>
      </w:r>
    </w:p>
    <w:p>
      <w:pPr>
        <w:pStyle w:val="3"/>
        <w:keepNext w:val="0"/>
        <w:keepLines w:val="0"/>
        <w:widowControl/>
        <w:suppressLineNumbers w:val="0"/>
      </w:pPr>
      <w:r>
        <w:t>The broadcasting and vocalisation course, as a core foundation course for broadcasting and hosting arts majors, assumes the key function of cultivating students' standardized pronunciation and vocal skills (Li, 2017). The course is usually set in the first year of undergraduate study to help students master vocal ability that meets professional requirements through systematic training. However, ecological changes in the media industry have posed new challenges to talent cultivation: the shrinking demand for traditional media positions and the rapid rise of emerging careers such as network anchors and e-sports commentators (Xie, 2024) have forced the university teaching system to make adaptive adjustments. Despite the increasing diversification of teaching tools in Chinese colleges and universities (Xiao, 2019), the transformation of teaching methods for vocal training is still lagging behind (Liu, 2017).</w:t>
      </w:r>
    </w:p>
    <w:p>
      <w:pPr>
        <w:pStyle w:val="3"/>
        <w:keepNext w:val="0"/>
        <w:keepLines w:val="0"/>
        <w:widowControl/>
        <w:suppressLineNumbers w:val="0"/>
      </w:pPr>
      <w:r>
        <w:t>China's Ministry of Education has continued to promote the construction of online educational resources since 2013, and the number of catechism courses and the scale of learners now rank among the top in the world (Yin, 2024). However, the construction of online courses for broadcasting majors is still insufficient, and courses involving practical training such as breath control and resonance regulation are particularly scarce (Xu, 2020). Research has shown that the onlineisation of courses faces multiple constraints: firstly, teachers' weak ability to apply new media technologies; secondly, the cost of course development exceeds the regular budget; and thirdly, the theoretical system of the discipline lags behind the developmental needs of the new media environment (Xu, 2020). In addition, there are significant technical barriers to the online conversion of art practice courses, for example, network latency leads to reduced efficiency in instructors' guidance of vocalisation details, and the problem of audio demonstration distortion is prominent (Yang, 2021).</w:t>
      </w:r>
    </w:p>
    <w:p>
      <w:pPr>
        <w:pStyle w:val="3"/>
        <w:keepNext w:val="0"/>
        <w:keepLines w:val="0"/>
        <w:widowControl/>
        <w:suppressLineNumbers w:val="0"/>
      </w:pPr>
      <w:r>
        <w:t>In this regard, academics have proposed a path to reform the hybrid teaching mode: Xu (2020) suggests building a hybrid framework of ‘online theoretical teaching + offline practical guidance’, and Li (2023) confirms that this mode is better than traditional teaching in terms of improving students' vocal accuracies by means of an experimental study; Liu and Li (2022) further demonstrate the effects of hybrid teaching on students' self-learning ability. Liu and Li (2022) further demonstrated that blended teaching promotes students' independent learning ability. However, in reality, most colleges and universities still rely on the traditional model of ‘theory lecture-teacher demonstration-student imitation’ (Hu, 2023), which makes it difficult to meet the diverse learning needs of students with a single teaching method, and is prone to burnout (Li, 2017). .</w:t>
      </w:r>
    </w:p>
    <w:p>
      <w:pPr>
        <w:pStyle w:val="3"/>
        <w:keepNext w:val="0"/>
        <w:keepLines w:val="0"/>
        <w:widowControl/>
        <w:suppressLineNumbers w:val="0"/>
      </w:pPr>
      <w:r>
        <w:t>Existing studies show a polarised tendency: some scholars focus on the limitations of the traditional teaching mode, pointing out its shortcomings in the teaching of practical skills such as voice shaping and emotional expression (Hu, 2023); the other group of studies is committed to exploring digital innovations, emphasising the advantages of the blended teaching mode in terms of resource integration and training efficiency (Li, 2023). However, there are significant gaps in the existing literature: first, most studies are limited to a single institutional case and lack a cross-sectional comparison of teaching practices across different tiers of institutions; and second, a theoretical model for choosing teaching methods that is adapted to the differences in institutional resources has not yet been established.</w:t>
      </w:r>
    </w:p>
    <w:p>
      <w:pPr>
        <w:pStyle w:val="3"/>
        <w:keepNext w:val="0"/>
        <w:keepLines w:val="0"/>
        <w:widowControl/>
        <w:suppressLineNumbers w:val="0"/>
      </w:pPr>
      <w:r>
        <w:t>By comparing the teaching practices of four different tiers of institutions (A+ to B), this study aims to deconstruct the correlation mechanism between the level of institutional resources and the innovation of teaching methods, to reveal the structural contradictions in the process of digital transformation, and ultimately to form a hierarchical optimisation strategy. This research design breaks through the single-case limitation of the existing literature and provides differentiated support for education policy makers, with both theoretical innovation value and practical guidance significance.</w:t>
      </w:r>
    </w:p>
    <w:p>
      <w:pPr>
        <w:pStyle w:val="3"/>
        <w:keepNext w:val="0"/>
        <w:keepLines w:val="0"/>
        <w:widowControl/>
        <w:suppressLineNumbers w:val="0"/>
        <w:rPr>
          <w:rFonts w:hint="default"/>
          <w:b/>
          <w:bCs/>
          <w:lang w:val="en-US"/>
        </w:rPr>
      </w:pPr>
    </w:p>
    <w:p>
      <w:pPr>
        <w:pStyle w:val="3"/>
        <w:keepNext w:val="0"/>
        <w:keepLines w:val="0"/>
        <w:widowControl/>
        <w:suppressLineNumbers w:val="0"/>
        <w:rPr>
          <w:rFonts w:hint="eastAsia" w:eastAsiaTheme="minorEastAsia"/>
          <w:b/>
          <w:bCs/>
          <w:lang w:val="en-US" w:eastAsia="zh-CN"/>
        </w:rPr>
      </w:pPr>
      <w:r>
        <w:rPr>
          <w:rFonts w:hint="default"/>
          <w:b/>
          <w:bCs/>
          <w:lang w:val="en-US"/>
        </w:rPr>
        <w:t>R</w:t>
      </w:r>
      <w:r>
        <w:rPr>
          <w:rFonts w:hint="eastAsia"/>
          <w:b/>
          <w:bCs/>
        </w:rPr>
        <w:t>esearch question</w:t>
      </w:r>
      <w:r>
        <w:rPr>
          <w:rFonts w:hint="eastAsia"/>
          <w:b/>
          <w:bCs/>
          <w:lang w:val="en-US" w:eastAsia="zh-CN"/>
        </w:rPr>
        <w:t>s</w:t>
      </w:r>
    </w:p>
    <w:p>
      <w:pPr>
        <w:pStyle w:val="3"/>
        <w:keepNext w:val="0"/>
        <w:keepLines w:val="0"/>
        <w:widowControl/>
        <w:suppressLineNumbers w:val="0"/>
      </w:pPr>
      <w:r>
        <w:t>Based on the 2024 Softech China Broadcasting and Vocalisation Arts Professional Ranking, this study selects four colleges and universities with ratings of A+, A, B+, and B as samples, and systematically explores the following core issues through classroom observation and in-depth interviews:</w:t>
      </w:r>
    </w:p>
    <w:p>
      <w:pPr>
        <w:pStyle w:val="3"/>
        <w:keepNext w:val="0"/>
        <w:keepLines w:val="0"/>
        <w:widowControl/>
        <w:numPr>
          <w:ilvl w:val="0"/>
          <w:numId w:val="1"/>
        </w:numPr>
        <w:suppressLineNumbers w:val="0"/>
        <w:rPr>
          <w:rFonts w:hint="eastAsia"/>
          <w:b/>
          <w:bCs/>
        </w:rPr>
      </w:pPr>
      <w:r>
        <w:rPr>
          <w:rFonts w:hint="eastAsia"/>
          <w:b/>
          <w:bCs/>
        </w:rPr>
        <w:t>What teaching methods do teachers use in broadcasting and vo</w:t>
      </w:r>
      <w:r>
        <w:rPr>
          <w:rFonts w:hint="eastAsia"/>
          <w:b/>
          <w:bCs/>
          <w:lang w:val="en-US" w:eastAsia="zh-CN"/>
        </w:rPr>
        <w:t>calisation</w:t>
      </w:r>
      <w:r>
        <w:rPr>
          <w:rFonts w:hint="eastAsia"/>
          <w:b/>
          <w:bCs/>
        </w:rPr>
        <w:t xml:space="preserve"> courses?</w:t>
      </w:r>
    </w:p>
    <w:p>
      <w:pPr>
        <w:pStyle w:val="3"/>
        <w:keepNext w:val="0"/>
        <w:keepLines w:val="0"/>
        <w:widowControl/>
        <w:numPr>
          <w:numId w:val="0"/>
        </w:numPr>
        <w:suppressLineNumbers w:val="0"/>
        <w:ind w:right="0" w:rightChars="0"/>
      </w:pPr>
      <w:r>
        <w:t>In response to the existing literature's assertion that ‘traditional teaching is still dominant’ ( In response to the assertion in the existing literature that ‘traditional teaching is still dominant’ (Hu, 2023), the actual teaching methods adopted by teachers (e.g., theoretical lectures, practical demonstrations, group work, etc.) were recorded through classroom observation, and their distribution of method choices was verified in conjunction with the teacher interviews, so as to make clear the realistic ratio between traditional models and innovative practices.</w:t>
      </w:r>
    </w:p>
    <w:p>
      <w:pPr>
        <w:pStyle w:val="3"/>
        <w:keepNext w:val="0"/>
        <w:keepLines w:val="0"/>
        <w:widowControl/>
        <w:suppressLineNumbers w:val="0"/>
        <w:rPr>
          <w:rFonts w:hint="eastAsia"/>
        </w:rPr>
      </w:pPr>
      <w:r>
        <w:t>2.</w:t>
      </w:r>
      <w:r>
        <w:rPr>
          <w:rFonts w:hint="eastAsia"/>
        </w:rPr>
        <w:t xml:space="preserve"> </w:t>
      </w:r>
      <w:r>
        <w:rPr>
          <w:rFonts w:hint="eastAsia"/>
          <w:b/>
          <w:bCs/>
        </w:rPr>
        <w:t>How do teachers choose different teaching methods and what are their advantages and disadvantages?</w:t>
      </w:r>
    </w:p>
    <w:p>
      <w:pPr>
        <w:pStyle w:val="3"/>
        <w:keepNext w:val="0"/>
        <w:keepLines w:val="0"/>
        <w:widowControl/>
        <w:suppressLineNumbers w:val="0"/>
      </w:pPr>
      <w:r>
        <w:t>By comparing the teaching practices of teachers at different tiers, we analyse the impact of teaching resources (e.g., equipment configuration), policy requirements (e.g., online course indicators), and students' characteristics (e.g., learning needs) on the selection of methods. The in-depth interviews focused on teachers' decision-making logic, complementing the ‘human subjectivity’ perspective in educational technology research (Hao &amp; He, 2022), and integrating teachers' self-assessment and classroom observation data to summarise the strengths and limitations of different teaching methods.</w:t>
      </w:r>
    </w:p>
    <w:p>
      <w:pPr>
        <w:pStyle w:val="3"/>
        <w:keepNext w:val="0"/>
        <w:keepLines w:val="0"/>
        <w:widowControl/>
        <w:suppressLineNumbers w:val="0"/>
        <w:rPr>
          <w:b/>
          <w:bCs/>
        </w:rPr>
      </w:pPr>
      <w:r>
        <w:t xml:space="preserve">3. </w:t>
      </w:r>
      <w:r>
        <w:rPr>
          <w:rFonts w:hint="eastAsia"/>
          <w:b/>
          <w:bCs/>
        </w:rPr>
        <w:t>What is the student's experience with the broadcasting and voice courses?</w:t>
      </w:r>
    </w:p>
    <w:p>
      <w:pPr>
        <w:pStyle w:val="3"/>
        <w:keepNext w:val="0"/>
        <w:keepLines w:val="0"/>
        <w:widowControl/>
        <w:suppressLineNumbers w:val="0"/>
      </w:pPr>
      <w:r>
        <w:t>Through in-depth interviews with students, we collected their feedback on the adaptability of teaching methods, learning effectiveness and suggestions for improvement, focusing on analysing the differences in students' experiences across different tiers (e.g., students' acceptance of technology application in A+ schools, and students' satisfaction with the basic training in B schools), so as to reveal the pathways of the teaching methods and learning effectiveness.</w:t>
      </w:r>
    </w:p>
    <w:p>
      <w:pPr>
        <w:pStyle w:val="3"/>
        <w:bidi w:val="0"/>
      </w:pPr>
      <w:r>
        <w:t>Through cross-institutional comparisons, the study breaks through the limitations of a single case study, and aims to construct a model of the association between institutional tiers and innovation in teaching methods, and ultimately proposes teaching optimisation solutions adapted to different resource conditions.</w:t>
      </w:r>
    </w:p>
    <w:p>
      <w:pPr>
        <w:pStyle w:val="3"/>
        <w:bidi w:val="0"/>
      </w:pPr>
    </w:p>
    <w:p>
      <w:pPr>
        <w:pStyle w:val="3"/>
        <w:keepNext w:val="0"/>
        <w:keepLines w:val="0"/>
        <w:widowControl/>
        <w:suppressLineNumbers w:val="0"/>
        <w:rPr>
          <w:rFonts w:hint="eastAsia" w:eastAsiaTheme="minorEastAsia"/>
          <w:b/>
          <w:bCs/>
          <w:lang w:eastAsia="zh-CN"/>
        </w:rPr>
      </w:pPr>
      <w:r>
        <w:rPr>
          <w:rFonts w:cs="Arial"/>
          <w:b/>
          <w:bCs/>
          <w:sz w:val="24"/>
          <w:szCs w:val="24"/>
        </w:rPr>
        <w:t>Proposed Plan of Work</w:t>
      </w:r>
    </w:p>
    <w:p>
      <w:pPr>
        <w:pStyle w:val="3"/>
        <w:keepNext w:val="0"/>
        <w:keepLines w:val="0"/>
        <w:widowControl/>
        <w:suppressLineNumbers w:val="0"/>
      </w:pPr>
      <w:r>
        <w:t>The study is planned to be completed within six months from April to September 2025, and the study will be divided into the following phases:</w:t>
      </w:r>
    </w:p>
    <w:p>
      <w:pPr>
        <w:pStyle w:val="3"/>
        <w:keepNext w:val="0"/>
        <w:keepLines w:val="0"/>
        <w:widowControl/>
        <w:suppressLineNumbers w:val="0"/>
      </w:pPr>
      <w:r>
        <w:t>Phase 1 (April-May 2025): Literature review and formulation of research questions.</w:t>
      </w:r>
    </w:p>
    <w:p>
      <w:pPr>
        <w:pStyle w:val="3"/>
        <w:keepNext w:val="0"/>
        <w:keepLines w:val="0"/>
        <w:widowControl/>
        <w:suppressLineNumbers w:val="0"/>
      </w:pPr>
      <w:r>
        <w:t>Phase 2 (June-July 2025): Classroom observations and in-depth interviews are planned to be completed as much as possible in June-July, taking into account the schedule of Chinese universities and holiday periods. Classroom observation through video link is also considered, but online classroom observation will affect the researcher's feelings of classroom participation, thus affecting the results of the study.</w:t>
      </w:r>
    </w:p>
    <w:p>
      <w:pPr>
        <w:pStyle w:val="3"/>
        <w:keepNext w:val="0"/>
        <w:keepLines w:val="0"/>
        <w:widowControl/>
        <w:suppressLineNumbers w:val="0"/>
      </w:pPr>
      <w:r>
        <w:t xml:space="preserve">Phase </w:t>
      </w:r>
      <w:r>
        <w:rPr>
          <w:rFonts w:hint="eastAsia"/>
          <w:lang w:val="en-US" w:eastAsia="zh-CN"/>
        </w:rPr>
        <w:t>3</w:t>
      </w:r>
      <w:r>
        <w:t xml:space="preserve"> (August 2025): Data analysis, refinement and interpretation.</w:t>
      </w:r>
    </w:p>
    <w:p>
      <w:pPr>
        <w:pStyle w:val="3"/>
        <w:keepNext w:val="0"/>
        <w:keepLines w:val="0"/>
        <w:widowControl/>
        <w:suppressLineNumbers w:val="0"/>
      </w:pPr>
      <w:r>
        <w:t>Phase 4 (September 2025): Writing and submitting the research report.</w:t>
      </w:r>
    </w:p>
    <w:p>
      <w:pPr>
        <w:pStyle w:val="3"/>
        <w:keepNext w:val="0"/>
        <w:keepLines w:val="0"/>
        <w:widowControl/>
        <w:suppressLineNumbers w:val="0"/>
      </w:pPr>
    </w:p>
    <w:p>
      <w:pPr>
        <w:pStyle w:val="3"/>
        <w:keepNext w:val="0"/>
        <w:keepLines w:val="0"/>
        <w:widowControl/>
        <w:suppressLineNumbers w:val="0"/>
        <w:rPr>
          <w:rFonts w:cs="Arial"/>
          <w:b/>
          <w:bCs/>
          <w:sz w:val="24"/>
          <w:szCs w:val="24"/>
        </w:rPr>
      </w:pPr>
      <w:r>
        <w:rPr>
          <w:rFonts w:cs="Arial"/>
          <w:b/>
          <w:bCs/>
          <w:sz w:val="24"/>
          <w:szCs w:val="24"/>
        </w:rPr>
        <w:t>Proposed methodology</w:t>
      </w:r>
    </w:p>
    <w:p>
      <w:pPr>
        <w:pStyle w:val="3"/>
        <w:keepNext w:val="0"/>
        <w:keepLines w:val="0"/>
        <w:widowControl/>
        <w:suppressLineNumbers w:val="0"/>
        <w:rPr>
          <w:b/>
          <w:bCs/>
        </w:rPr>
      </w:pPr>
      <w:r>
        <w:rPr>
          <w:rFonts w:hint="eastAsia"/>
          <w:b/>
          <w:bCs/>
          <w:lang w:val="en-US" w:eastAsia="zh-CN"/>
        </w:rPr>
        <w:t>·</w:t>
      </w:r>
      <w:r>
        <w:rPr>
          <w:b/>
          <w:bCs/>
        </w:rPr>
        <w:t>Research</w:t>
      </w:r>
      <w:r>
        <w:rPr>
          <w:rFonts w:hint="eastAsia"/>
          <w:b/>
          <w:bCs/>
          <w:lang w:val="en-US" w:eastAsia="zh-CN"/>
        </w:rPr>
        <w:t xml:space="preserve"> </w:t>
      </w:r>
      <w:r>
        <w:rPr>
          <w:b/>
          <w:bCs/>
        </w:rPr>
        <w:t xml:space="preserve"> Methodology</w:t>
      </w:r>
    </w:p>
    <w:p>
      <w:pPr>
        <w:pStyle w:val="3"/>
        <w:keepNext w:val="0"/>
        <w:keepLines w:val="0"/>
        <w:widowControl/>
        <w:suppressLineNumbers w:val="0"/>
      </w:pPr>
      <w:r>
        <w:t>This study is based on an interpretivist research paradigm, which emphasises understanding the complexity of teaching practices in broadcasting and vocalisation courses through the interactions between teachers, students and institutions (Creswell, 2013). The researcher acted as a participant-observer in a naturalistic teaching situation, not only recording the objective performance of classroom behaviours, but also elucidating the cognitive logic behind the behaviours through in-depth interviews, in order to construct a multidimensional explanation of the mechanism of teaching method selection (Guba &amp; Lincoln, 1989).</w:t>
      </w:r>
    </w:p>
    <w:p>
      <w:pPr>
        <w:pStyle w:val="3"/>
        <w:keepNext w:val="0"/>
        <w:keepLines w:val="0"/>
        <w:widowControl/>
        <w:suppressLineNumbers w:val="0"/>
        <w:rPr>
          <w:rFonts w:hint="eastAsia" w:eastAsiaTheme="minorEastAsia"/>
          <w:b/>
          <w:bCs/>
          <w:lang w:val="en-US" w:eastAsia="zh-CN"/>
        </w:rPr>
      </w:pPr>
      <w:r>
        <w:rPr>
          <w:rFonts w:hint="eastAsia"/>
          <w:b/>
          <w:bCs/>
          <w:lang w:val="en-US" w:eastAsia="zh-CN"/>
        </w:rPr>
        <w:t>·</w:t>
      </w:r>
      <w:r>
        <w:rPr>
          <w:b/>
          <w:bCs/>
        </w:rPr>
        <w:t xml:space="preserve">Research Design and </w:t>
      </w:r>
      <w:r>
        <w:rPr>
          <w:rFonts w:hint="default"/>
          <w:b/>
          <w:bCs/>
          <w:lang w:val="en-US"/>
        </w:rPr>
        <w:t>M</w:t>
      </w:r>
      <w:r>
        <w:rPr>
          <w:rFonts w:hint="eastAsia"/>
          <w:b/>
          <w:bCs/>
          <w:lang w:val="en-US" w:eastAsia="zh-CN"/>
        </w:rPr>
        <w:t>ethod</w:t>
      </w:r>
    </w:p>
    <w:p>
      <w:pPr>
        <w:pStyle w:val="3"/>
        <w:keepNext w:val="0"/>
        <w:keepLines w:val="0"/>
        <w:widowControl/>
        <w:suppressLineNumbers w:val="0"/>
      </w:pPr>
      <w:r>
        <w:t>This study is based on the Softech 2024 China Broadcasting and Hosting Arts Ranking, and uses stratified sampling method to select four grades of institutions, namely A+, A, B+, and B, as the research sample. The ranking system covers five core indicators, such as talent cultivation and research achievements (ShanghaiRanking Consultancy, 2024), which provides a quantitative basis for the stratification of institutions. There are dual limitations in the sample selection: firstly, the ranking data partly relies on self-declaration by the universities, which poses a risk of information bias (Wei, 2018); secondly, based on the researcher's accessibility, the four institutions are all located in northern China (Beijing/Hebei/Shanxi/Xi'an), which may weaken the influence of regional cultural differences on teaching styles (e.g., southern institutions place more emphasis on dialect correction</w:t>
      </w:r>
      <w:r>
        <w:rPr>
          <w:rFonts w:hint="eastAsia"/>
          <w:lang w:val="en-US" w:eastAsia="zh-CN"/>
        </w:rPr>
        <w:t xml:space="preserve"> </w:t>
      </w:r>
      <w:r>
        <w:rPr>
          <w:rFonts w:hint="default"/>
          <w:lang w:val="en-US"/>
        </w:rPr>
        <w:t>Zh</w:t>
      </w:r>
      <w:r>
        <w:rPr>
          <w:rFonts w:hint="eastAsia"/>
          <w:lang w:val="en-US" w:eastAsia="zh-CN"/>
        </w:rPr>
        <w:t>ou，2022</w:t>
      </w:r>
      <w:r>
        <w:t>). The study documented the content of dialect training through classroom observations and explored the potential impact of North-South pedagogical differences in the context of the literature in the discussion chapter to enhance the ecological validity of the findings.</w:t>
      </w:r>
    </w:p>
    <w:p>
      <w:pPr>
        <w:pStyle w:val="3"/>
        <w:keepNext w:val="0"/>
        <w:keepLines w:val="0"/>
        <w:widowControl/>
        <w:suppressLineNumbers w:val="0"/>
      </w:pPr>
      <w:r>
        <w:t>The study adopted a qualitative research methodology and was conducted through a combination of classroom observations and semi-structured interviews. Classroom observation focused on the core practical aspects of the broadcasting and vocalisation course (e.g., breath control, tongue-twister instruction), and at least two hours of participatory observation were conducted in one class in each of the four schools to record the teachers' teaching methods (e.g., the number of demonstration-mimicry cycles), the use of technological tools (e.g., speech analyzing software), and the patterns of student-teacher interactions.</w:t>
      </w:r>
    </w:p>
    <w:p>
      <w:pPr>
        <w:pStyle w:val="3"/>
        <w:keepNext w:val="0"/>
        <w:keepLines w:val="0"/>
        <w:widowControl/>
        <w:suppressLineNumbers w:val="0"/>
      </w:pPr>
      <w:r>
        <w:t>Semi-structured interviews were divided into two parts: teacher interviews and student interviews. Teacher interviews (at least four) explored the motivation for choosing teaching methods (e.g., ‘Why do you prefer traditional tongue twister training?’), using Kvale's (1996) follow-up questioning technique to explore potential decision-making factors, while student interviews were based on the principle of theoretical saturation (Morgan et al., 2002), with a stratified sampling based on the proportion of 10 per cent of the class under observation, to ensure that participants were of both genders. Stratified sampling was used to ensure a balanced gender ratio of the subjects and to collect their subjective perceptions of the mode of delivery. Interviews were audio-recorded and transcribed, and coded at three levels (open coding, axial coding, selective coding) using thematic analysis (Braun &amp; Clarke, 2006).</w:t>
      </w:r>
    </w:p>
    <w:p>
      <w:pPr>
        <w:pStyle w:val="3"/>
        <w:keepNext w:val="0"/>
        <w:keepLines w:val="0"/>
        <w:widowControl/>
        <w:suppressLineNumbers w:val="0"/>
        <w:rPr>
          <w:rFonts w:cs="Arial"/>
          <w:b/>
          <w:bCs/>
          <w:sz w:val="24"/>
          <w:szCs w:val="24"/>
        </w:rPr>
      </w:pPr>
      <w:r>
        <w:t xml:space="preserve">Data analysis was triangulated to enhance validity: observational data were counted using SPSS for frequency of behaviours (e.g., percentage of hours of individual teacher instruction), and interview texts were coded by Nvivo12 and cross-referenced with observations. Although the interviews may have been influenced by the researcher's interpretive tendencies (Cohen et al., 2011), subjective bias was controlled for through strategies such as observation first, question pre-setting, and peer review. </w:t>
      </w:r>
    </w:p>
    <w:p>
      <w:pPr>
        <w:pStyle w:val="3"/>
        <w:keepNext w:val="0"/>
        <w:keepLines w:val="0"/>
        <w:widowControl/>
        <w:suppressLineNumbers w:val="0"/>
      </w:pPr>
    </w:p>
    <w:p>
      <w:pPr>
        <w:pStyle w:val="3"/>
        <w:keepNext w:val="0"/>
        <w:keepLines w:val="0"/>
        <w:widowControl/>
        <w:suppressLineNumbers w:val="0"/>
        <w:rPr>
          <w:rFonts w:hint="default" w:cs="Arial"/>
          <w:b/>
          <w:bCs/>
          <w:sz w:val="24"/>
          <w:szCs w:val="24"/>
          <w:lang w:val="en-US"/>
        </w:rPr>
      </w:pPr>
      <w:r>
        <w:rPr>
          <w:rFonts w:cs="Arial"/>
          <w:b/>
          <w:bCs/>
          <w:sz w:val="24"/>
          <w:szCs w:val="24"/>
        </w:rPr>
        <w:t>Introductory bibliography</w:t>
      </w:r>
      <w:r>
        <w:rPr>
          <w:rFonts w:hint="default" w:cs="Arial"/>
          <w:b/>
          <w:bCs/>
          <w:sz w:val="24"/>
          <w:szCs w:val="24"/>
          <w:lang w:val="en-US"/>
        </w:rPr>
        <w:t>:</w:t>
      </w: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1. Adler, P.A. &amp; Adler, P. (1994) Observational techniques. In: Denzin, N.K. &amp; Lincoln, Y.S. (eds.) Handbook of Qualitative Research. Thousand Oaks: Sage, pp. 377–392.  </w:t>
      </w: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2. Braun, V. &amp; Clarke, V. (2006) Thematic Analysis: A Practical Guide. London: SAGE.  </w:t>
      </w: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3. Cao, J. (2022) Q&amp;A on the "Opinions on Strengthening the Management of Online Open Courses in Higher Education Institutions" 教育部高等教育司负责人就《教育部等五部门关于加强普通高等学校在线开放课程教学管理的若干意见》答记者问. 中华人民共和国教育部政府门户网站. Available at: http://www.moe.gov.cn/jyb_xwfb/s271/202204/t20220401_612711.html.  </w:t>
      </w: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4. Cohen, L., Manion, L. &amp; Morrison, K.(2011) </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rPr>
        <w:t>Research Methods in Education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rPr>
        <w:t xml:space="preserve">. 7th edn. London: Routledge.  </w:t>
      </w: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lang w:val="en-US"/>
        </w:rPr>
      </w:pPr>
      <w:r>
        <w:rPr>
          <w:rFonts w:hint="default" w:ascii="Times New Roman" w:hAnsi="Times New Roman" w:cs="Times New Roman"/>
          <w:sz w:val="24"/>
          <w:szCs w:val="24"/>
          <w:lang w:val="en-US"/>
        </w:rPr>
        <w:t>5. Creswell, J.W.</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rPr>
        <w:t xml:space="preserve"> (2013) </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rPr>
        <w:t xml:space="preserve">Qualitative Inquiry &amp; Research Design: Choosing Among Five Approaches. 3rd edn. Los Angeles: Sage Publications.  </w:t>
      </w: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lang w:val="en-US"/>
        </w:rPr>
      </w:pPr>
      <w:r>
        <w:rPr>
          <w:rFonts w:hint="default" w:ascii="Times New Roman" w:hAnsi="Times New Roman" w:cs="Times New Roman"/>
          <w:sz w:val="24"/>
          <w:szCs w:val="24"/>
          <w:lang w:val="en-US"/>
        </w:rPr>
        <w:t>6. Guba, E.G. &amp; Lincoln, Y.S.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rPr>
        <w:t xml:space="preserve">(1989) </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rPr>
        <w:t>Fourth Generation Evaluation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rPr>
        <w:t xml:space="preserve">. London: Sage Publications.  </w:t>
      </w: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lang w:val="en-US"/>
        </w:rPr>
      </w:pPr>
      <w:r>
        <w:rPr>
          <w:rFonts w:hint="default" w:ascii="Times New Roman" w:hAnsi="Times New Roman" w:cs="Times New Roman"/>
          <w:sz w:val="24"/>
          <w:szCs w:val="24"/>
          <w:lang w:val="en-US"/>
        </w:rPr>
        <w:t>7. Hao, X. &amp; He, X.</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rPr>
        <w:t xml:space="preserve"> (2022) The Game and Integration of Artificial Intelligence and Human Intelligence in Knowledge Production and Its Enlightenment to Education 人工智能与人类智能在知识生产中的博弈及其融合对教育的启示. Journal of East China Normal University (Educational Sciences), 40(9), p. 78.  </w:t>
      </w: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8. Hu, Y. (2023) An Innovative Research on the Theory and Practice of Broadcasting Phonology in the Media Perspective 融媒体视域下播音发声学理论与实践课程的创新性探究. Available at: https://www.cnki.net/KCMS/detail/detail.aspx?dbcode=CJFD&amp;dbname=CJFDLAST2023&amp;filename=PXWS202308037.  </w:t>
      </w: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9. Kang, Y.(2014) The Post-MOOC Era of Online Education 在线教育的“后 MOOC 时代”. Tsinghua Journal of Education, 35(1), pp. 85–93.  </w:t>
      </w: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10. Kvale, S. (1996) InterViews. Thousand Oaks: SAGE Publications.  </w:t>
      </w: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11. Li, S. (2023) Exploration of Research-Based Teaching Reform in Broadcasting Vocal Technology Courses 广播发声技术课程研究型教学改革探索. Journal of News Research. Available at: https://www.cnki.net/KCMS/detail/detail.aspx?dbcode=CJFD&amp;dbname=CJFDLAST2023&amp;filename=XWDK202320052.  </w:t>
      </w: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12. Li, Y.(2017) Research on the Innovation Mode of "Phonetics and Vocalization" Course for Broadcasting and Hosting Majors under the New Situation 新形势下播音与主持专业《语音与发声》课程改革创新模式探究. Journal of News Research. Available at: https://www.cnki.net/KCMS/detail/detail.aspx?dbcode=CJFD&amp;dbname=CJFDLAST2017&amp;filename=XJZT201717144.  </w:t>
      </w: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13. Liu, J. &amp; Li, Z. (2022) Online and Offline Mixed Teaching Practice of ‘Broadcast and Sound’ Course Based on SPOC Model 基于SPOC模式的‘播音发声’课程线上线下混合式教学实践. Available at: https://www.cnki.net/KCMS/detail/detail.aspx?dbcode=CJFD&amp;dbname=CJFDLAST2022&amp;filename=CMEI202219032.  </w:t>
      </w: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14. Liu, N.(2017) Discussion on the Practical Reform of Mandarin Pronunciation and Broadcasting Pronunciation Course《普通话语音和播音发声》课程实践改革探讨. Available at: https://www.cnki.net/KCMS/detail/detail.aspx?dbcode=CJFD&amp;dbname=CJFDLAST2018&amp;filename=ZNDS201716193.  </w:t>
      </w: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15. Morgan, G.M. et al. (2002) Risk Communication: A Mental Models Approach. Cambridge: Cambridge University Press.  </w:t>
      </w: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16. ShanghaiRanking Consultancy (2024) Broadcasting and Hosting Arts: 2024 Best Chinese Majors Rankings (Discipline Code: 130309). ShanghaiRanking. Available at: https://www.shanghairanking.cn/rankings/bcmr/2024/130309.  </w:t>
      </w: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17. Wei, H. (2018) The Current Situation and Solutions of Third-Party Evaluation in Chinese Higher Education from the Perspective of University Rankings 从大学排名看我国高等教育第三方评估现状与出路. Shanghai Journal of Educational Evaluation, 7(4), pp. 6–10.  </w:t>
      </w: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18. Xiao, J. (2019) Digital transformation in higher education: critiquing the five-year development plans (2016–2020) of 75 Chinese universities. Distance Education, 40(4), pp. 515–533. https://doi.org/10.1080/01587919.2019.1680272.  </w:t>
      </w: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19. Xu, S. (2020) Reflections on the Teaching of Broadcasting Theory Based on MOOCs 基于慕课(MOOC)的播音学理论教学反思. Journal of News Research, (4), pp. 201–202. Available at: https://www.cnki.net/KCMS/detail/detail.aspx?dbcode=CJFD&amp;dbname=CJFDLAST2020&amp;filename=XWDK202004122.  </w:t>
      </w: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20. Yang, C. (2021) Research on Online Teaching Strategies for Art Practice Courses 艺术实践类课程线上教学策略研究. Drama Home, (13), pp. 169–170. Available at: https://www.cnki.net/KCMS/detail/detail.aspx?dbcode=CJFD&amp;dbname=CJFDLAST2021&amp;filename=XJZT202113080.  </w:t>
      </w: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21. Yin, Y. (2024) China Ranks First in the World in the Number of MOOCs and Learners 我国慕课数量和学习人数均居世界第一. 中华人民共和国教育部政府门户网站. Available at: http://www.moe.gov.cn/jyb_xwfb/s5147/202412/t20241217_1167307.html.  </w:t>
      </w: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22. Zhou, R. (2022) Reform Path of "Mandarin Phonetics" Course in Hubei Dialect Areas 湖北方言区背景下的《普通话语音》课程改革路径. Journal of Wuhan College of Media and Communications, (4). Available at: https://www.cnki.net/KCMS/detail/detail.aspx?dbcode=CJFD&amp;dbname=CJFDLAST2022&amp;filename=WHCC202204054.  </w:t>
      </w:r>
    </w:p>
    <w:p>
      <w:pPr>
        <w:rPr>
          <w:b/>
          <w:bCs/>
          <w:sz w:val="28"/>
          <w:szCs w:val="28"/>
        </w:rPr>
      </w:pPr>
    </w:p>
    <w:p>
      <w:pPr>
        <w:rPr>
          <w:b/>
          <w:bCs/>
          <w:sz w:val="28"/>
          <w:szCs w:val="28"/>
        </w:rPr>
      </w:pPr>
    </w:p>
    <w:p>
      <w:pPr>
        <w:rPr>
          <w:b/>
          <w:bCs/>
          <w:sz w:val="28"/>
          <w:szCs w:val="28"/>
        </w:rPr>
      </w:pPr>
    </w:p>
    <w:p>
      <w:pPr>
        <w:rPr>
          <w:b/>
          <w:bCs/>
          <w:sz w:val="28"/>
          <w:szCs w:val="28"/>
        </w:rPr>
      </w:pPr>
    </w:p>
    <w:p>
      <w:pPr>
        <w:rPr>
          <w:b/>
          <w:bCs/>
          <w:sz w:val="28"/>
          <w:szCs w:val="28"/>
        </w:rPr>
      </w:pPr>
    </w:p>
    <w:p>
      <w:pPr>
        <w:rPr>
          <w:b/>
          <w:bCs/>
          <w:sz w:val="28"/>
          <w:szCs w:val="28"/>
        </w:rPr>
      </w:pPr>
      <w:r>
        <w:rPr>
          <w:b/>
          <w:bCs/>
          <w:sz w:val="28"/>
          <w:szCs w:val="28"/>
        </w:rPr>
        <w:t>AI Statement</w:t>
      </w:r>
    </w:p>
    <w:p>
      <w:pPr>
        <w:spacing w:line="360" w:lineRule="auto"/>
        <w:rPr>
          <w:rFonts w:hint="eastAsia"/>
          <w:b/>
          <w:bCs/>
          <w:sz w:val="24"/>
          <w:szCs w:val="24"/>
        </w:rPr>
      </w:pPr>
      <w:r>
        <w:rPr>
          <w:rFonts w:hint="eastAsia"/>
          <w:b/>
          <w:bCs/>
          <w:sz w:val="24"/>
          <w:szCs w:val="24"/>
        </w:rPr>
        <w:t>I acknowledge the use of deelp (https://www.deepl.com/) on 2月20日 2025 to proofread my grammar and volcabulary of my draft  into submission format using the prompt(s):</w:t>
      </w:r>
    </w:p>
    <w:p>
      <w:pPr>
        <w:spacing w:line="360" w:lineRule="auto"/>
        <w:rPr>
          <w:rFonts w:hint="eastAsia"/>
          <w:b/>
          <w:bCs/>
          <w:sz w:val="24"/>
          <w:szCs w:val="24"/>
        </w:rPr>
      </w:pPr>
      <w:r>
        <w:rPr>
          <w:rFonts w:hint="eastAsia"/>
          <w:b/>
          <w:bCs/>
          <w:sz w:val="24"/>
          <w:szCs w:val="24"/>
        </w:rPr>
        <w:t>I confirm that I have not presented any AI generated text as my own work. I confirm that I have copies of my drafts, notes, and other resources I used before, and after the use of AI tools which I may be asked to provide in evidence.</w:t>
      </w:r>
      <w:bookmarkStart w:id="0" w:name="_GoBack"/>
      <w:bookmarkEnd w:id="0"/>
    </w:p>
    <w:p>
      <w:pPr>
        <w:spacing w:line="360" w:lineRule="auto"/>
        <w:rPr>
          <w:rFonts w:hint="eastAsia"/>
          <w:b/>
          <w:bCs/>
          <w:sz w:val="24"/>
          <w:szCs w:val="24"/>
        </w:rPr>
      </w:pPr>
    </w:p>
    <w:tbl>
      <w:tblPr>
        <w:tblStyle w:val="4"/>
        <w:tblW w:w="9961" w:type="dxa"/>
        <w:tblInd w:w="-294" w:type="dxa"/>
        <w:tblLayout w:type="autofit"/>
        <w:tblCellMar>
          <w:top w:w="15" w:type="dxa"/>
          <w:left w:w="15" w:type="dxa"/>
          <w:bottom w:w="15" w:type="dxa"/>
          <w:right w:w="15" w:type="dxa"/>
        </w:tblCellMar>
      </w:tblPr>
      <w:tblGrid>
        <w:gridCol w:w="2086"/>
        <w:gridCol w:w="6801"/>
        <w:gridCol w:w="1074"/>
      </w:tblGrid>
      <w:tr>
        <w:trPr>
          <w:trHeight w:val="300" w:hRule="atLeast"/>
        </w:trPr>
        <w:tc>
          <w:tcPr>
            <w:tcW w:w="1702" w:type="dxa"/>
            <w:tcBorders>
              <w:top w:val="single" w:color="auto" w:sz="8" w:space="0"/>
              <w:left w:val="single" w:color="auto" w:sz="8" w:space="0"/>
              <w:bottom w:val="single" w:color="000000" w:sz="8" w:space="0"/>
              <w:right w:val="single" w:color="000000" w:sz="8" w:space="0"/>
            </w:tcBorders>
            <w:tcMar>
              <w:top w:w="0" w:type="dxa"/>
              <w:left w:w="105" w:type="dxa"/>
              <w:bottom w:w="0" w:type="dxa"/>
              <w:right w:w="105" w:type="dxa"/>
            </w:tcMar>
          </w:tcPr>
          <w:p>
            <w:pPr>
              <w:rPr>
                <w:rFonts w:cstheme="minorHAnsi"/>
                <w:sz w:val="24"/>
                <w:szCs w:val="24"/>
              </w:rPr>
            </w:pPr>
            <w:r>
              <w:rPr>
                <w:rFonts w:cstheme="minorHAnsi"/>
                <w:sz w:val="24"/>
                <w:szCs w:val="24"/>
              </w:rPr>
              <w:t>RESEARCH</w:t>
            </w:r>
          </w:p>
        </w:tc>
        <w:tc>
          <w:tcPr>
            <w:tcW w:w="7170" w:type="dxa"/>
            <w:tcBorders>
              <w:top w:val="single" w:color="auto" w:sz="8" w:space="0"/>
              <w:bottom w:val="single" w:color="000000" w:sz="8" w:space="0"/>
              <w:right w:val="single" w:color="000000" w:sz="8" w:space="0"/>
            </w:tcBorders>
            <w:tcMar>
              <w:top w:w="0" w:type="dxa"/>
              <w:left w:w="105" w:type="dxa"/>
              <w:bottom w:w="0" w:type="dxa"/>
              <w:right w:w="105" w:type="dxa"/>
            </w:tcMar>
          </w:tcPr>
          <w:p>
            <w:pPr>
              <w:rPr>
                <w:rFonts w:cstheme="minorHAnsi"/>
                <w:sz w:val="24"/>
                <w:szCs w:val="24"/>
              </w:rPr>
            </w:pPr>
            <w:r>
              <w:rPr>
                <w:rFonts w:cstheme="minorHAnsi"/>
                <w:sz w:val="24"/>
                <w:szCs w:val="24"/>
              </w:rPr>
              <w:t>For this assessment, you can use Generative AI to support you in research, including searching for bibliography, using tools to summarise, compare and interrogate materials.</w:t>
            </w:r>
          </w:p>
        </w:tc>
        <w:tc>
          <w:tcPr>
            <w:tcW w:w="1089" w:type="dxa"/>
            <w:tcBorders>
              <w:top w:val="single" w:color="auto" w:sz="8" w:space="0"/>
              <w:bottom w:val="single" w:color="000000" w:sz="8" w:space="0"/>
              <w:right w:val="single" w:color="auto" w:sz="8" w:space="0"/>
            </w:tcBorders>
            <w:tcMar>
              <w:top w:w="0" w:type="dxa"/>
              <w:left w:w="108" w:type="dxa"/>
              <w:bottom w:w="0" w:type="dxa"/>
              <w:right w:w="108" w:type="dxa"/>
            </w:tcMar>
          </w:tcPr>
          <w:p>
            <w:pPr>
              <w:rPr>
                <w:rFonts w:cstheme="minorHAnsi"/>
                <w:sz w:val="24"/>
                <w:szCs w:val="24"/>
              </w:rPr>
            </w:pPr>
            <w:r>
              <w:rPr>
                <w:rFonts w:cstheme="minorHAnsi"/>
                <w:sz w:val="24"/>
                <w:szCs w:val="24"/>
              </w:rPr>
              <w:t xml:space="preserve">Yes </w:t>
            </w:r>
            <w:r>
              <w:rPr>
                <w:rFonts w:ascii="Segoe UI Symbol" w:hAnsi="Segoe UI Symbol" w:cs="Segoe UI Symbol"/>
                <w:sz w:val="24"/>
                <w:szCs w:val="24"/>
              </w:rPr>
              <w:t>☐</w:t>
            </w:r>
          </w:p>
          <w:p>
            <w:pPr>
              <w:rPr>
                <w:rFonts w:cstheme="minorHAnsi"/>
                <w:sz w:val="24"/>
                <w:szCs w:val="24"/>
              </w:rPr>
            </w:pPr>
            <w:r>
              <w:rPr>
                <w:rFonts w:cstheme="minorHAnsi"/>
                <w:sz w:val="24"/>
                <w:szCs w:val="24"/>
              </w:rPr>
              <w:t xml:space="preserve">No  </w:t>
            </w:r>
            <w:r>
              <w:rPr>
                <w:rFonts w:hint="default" w:ascii="Arial" w:hAnsi="Arial" w:cs="Arial"/>
                <w:sz w:val="24"/>
                <w:szCs w:val="24"/>
              </w:rPr>
              <w:t>√</w:t>
            </w:r>
          </w:p>
        </w:tc>
      </w:tr>
      <w:tr>
        <w:trPr>
          <w:trHeight w:val="300" w:hRule="atLeast"/>
        </w:trPr>
        <w:tc>
          <w:tcPr>
            <w:tcW w:w="1702" w:type="dxa"/>
            <w:tcBorders>
              <w:left w:val="single" w:color="auto" w:sz="8" w:space="0"/>
              <w:bottom w:val="single" w:color="000000" w:sz="8" w:space="0"/>
              <w:right w:val="single" w:color="000000" w:sz="8" w:space="0"/>
            </w:tcBorders>
            <w:tcMar>
              <w:top w:w="0" w:type="dxa"/>
              <w:left w:w="105" w:type="dxa"/>
              <w:bottom w:w="0" w:type="dxa"/>
              <w:right w:w="105" w:type="dxa"/>
            </w:tcMar>
          </w:tcPr>
          <w:p>
            <w:pPr>
              <w:rPr>
                <w:rFonts w:cstheme="minorHAnsi"/>
                <w:sz w:val="24"/>
                <w:szCs w:val="24"/>
              </w:rPr>
            </w:pPr>
            <w:r>
              <w:rPr>
                <w:rFonts w:cstheme="minorHAnsi"/>
                <w:sz w:val="24"/>
                <w:szCs w:val="24"/>
              </w:rPr>
              <w:t>STRUCTURE</w:t>
            </w:r>
          </w:p>
        </w:tc>
        <w:tc>
          <w:tcPr>
            <w:tcW w:w="7170" w:type="dxa"/>
            <w:tcBorders>
              <w:bottom w:val="single" w:color="000000" w:sz="8" w:space="0"/>
              <w:right w:val="single" w:color="000000" w:sz="8" w:space="0"/>
            </w:tcBorders>
            <w:tcMar>
              <w:top w:w="0" w:type="dxa"/>
              <w:left w:w="105" w:type="dxa"/>
              <w:bottom w:w="0" w:type="dxa"/>
              <w:right w:w="105" w:type="dxa"/>
            </w:tcMar>
          </w:tcPr>
          <w:p>
            <w:pPr>
              <w:rPr>
                <w:rFonts w:cstheme="minorHAnsi"/>
                <w:sz w:val="24"/>
                <w:szCs w:val="24"/>
              </w:rPr>
            </w:pPr>
            <w:r>
              <w:rPr>
                <w:rFonts w:cstheme="minorHAnsi"/>
                <w:sz w:val="24"/>
                <w:szCs w:val="24"/>
              </w:rPr>
              <w:t>For this assessment, you can use Generative AI to support you in structuring your submission, including creating a draft argument structure, identifying parts and headings, etc.</w:t>
            </w:r>
          </w:p>
        </w:tc>
        <w:tc>
          <w:tcPr>
            <w:tcW w:w="1089" w:type="dxa"/>
            <w:tcBorders>
              <w:bottom w:val="single" w:color="000000" w:sz="8" w:space="0"/>
              <w:right w:val="single" w:color="auto" w:sz="8" w:space="0"/>
            </w:tcBorders>
            <w:tcMar>
              <w:top w:w="0" w:type="dxa"/>
              <w:left w:w="108" w:type="dxa"/>
              <w:bottom w:w="0" w:type="dxa"/>
              <w:right w:w="108" w:type="dxa"/>
            </w:tcMar>
          </w:tcPr>
          <w:p>
            <w:pPr>
              <w:rPr>
                <w:rFonts w:cstheme="minorHAnsi"/>
                <w:sz w:val="24"/>
                <w:szCs w:val="24"/>
              </w:rPr>
            </w:pPr>
            <w:r>
              <w:rPr>
                <w:rFonts w:cstheme="minorHAnsi"/>
                <w:sz w:val="24"/>
                <w:szCs w:val="24"/>
              </w:rPr>
              <w:t xml:space="preserve">Yes </w:t>
            </w:r>
            <w:r>
              <w:rPr>
                <w:rFonts w:ascii="Segoe UI Symbol" w:hAnsi="Segoe UI Symbol" w:cs="Segoe UI Symbol"/>
                <w:sz w:val="24"/>
                <w:szCs w:val="24"/>
              </w:rPr>
              <w:t>☐</w:t>
            </w:r>
          </w:p>
          <w:p>
            <w:pPr>
              <w:rPr>
                <w:rFonts w:cstheme="minorHAnsi"/>
                <w:sz w:val="24"/>
                <w:szCs w:val="24"/>
              </w:rPr>
            </w:pPr>
            <w:r>
              <w:rPr>
                <w:rFonts w:cstheme="minorHAnsi"/>
                <w:sz w:val="24"/>
                <w:szCs w:val="24"/>
              </w:rPr>
              <w:t xml:space="preserve">No  </w:t>
            </w:r>
            <w:r>
              <w:rPr>
                <w:rFonts w:hint="default" w:ascii="Arial" w:hAnsi="Arial" w:cs="Arial"/>
                <w:sz w:val="24"/>
                <w:szCs w:val="24"/>
              </w:rPr>
              <w:t>√</w:t>
            </w:r>
          </w:p>
        </w:tc>
      </w:tr>
      <w:tr>
        <w:trPr>
          <w:trHeight w:val="300" w:hRule="atLeast"/>
        </w:trPr>
        <w:tc>
          <w:tcPr>
            <w:tcW w:w="1702" w:type="dxa"/>
            <w:tcBorders>
              <w:left w:val="single" w:color="auto" w:sz="8" w:space="0"/>
              <w:bottom w:val="single" w:color="000000" w:sz="8" w:space="0"/>
              <w:right w:val="single" w:color="000000" w:sz="8" w:space="0"/>
            </w:tcBorders>
            <w:tcMar>
              <w:top w:w="0" w:type="dxa"/>
              <w:left w:w="105" w:type="dxa"/>
              <w:bottom w:w="0" w:type="dxa"/>
              <w:right w:w="105" w:type="dxa"/>
            </w:tcMar>
          </w:tcPr>
          <w:p>
            <w:pPr>
              <w:rPr>
                <w:rFonts w:cstheme="minorHAnsi"/>
                <w:sz w:val="24"/>
                <w:szCs w:val="24"/>
              </w:rPr>
            </w:pPr>
            <w:r>
              <w:rPr>
                <w:rFonts w:cstheme="minorHAnsi"/>
                <w:sz w:val="24"/>
                <w:szCs w:val="24"/>
              </w:rPr>
              <w:t>PROOFREADING</w:t>
            </w:r>
          </w:p>
        </w:tc>
        <w:tc>
          <w:tcPr>
            <w:tcW w:w="7170" w:type="dxa"/>
            <w:tcBorders>
              <w:bottom w:val="single" w:color="000000" w:sz="8" w:space="0"/>
              <w:right w:val="single" w:color="000000" w:sz="8" w:space="0"/>
            </w:tcBorders>
            <w:tcMar>
              <w:top w:w="0" w:type="dxa"/>
              <w:left w:w="105" w:type="dxa"/>
              <w:bottom w:w="0" w:type="dxa"/>
              <w:right w:w="105" w:type="dxa"/>
            </w:tcMar>
          </w:tcPr>
          <w:p>
            <w:pPr>
              <w:rPr>
                <w:rFonts w:cstheme="minorHAnsi"/>
                <w:sz w:val="24"/>
                <w:szCs w:val="24"/>
              </w:rPr>
            </w:pPr>
            <w:r>
              <w:rPr>
                <w:rFonts w:cstheme="minorHAnsi"/>
                <w:sz w:val="24"/>
                <w:szCs w:val="24"/>
              </w:rPr>
              <w:t>For this assessment, you can use Generative AI to check your own text/creation for grammatical and syntactical mistakes, including rephrasing of your own work within specific standards.</w:t>
            </w:r>
          </w:p>
        </w:tc>
        <w:tc>
          <w:tcPr>
            <w:tcW w:w="1089" w:type="dxa"/>
            <w:tcBorders>
              <w:bottom w:val="single" w:color="000000" w:sz="8" w:space="0"/>
              <w:right w:val="single" w:color="auto" w:sz="8" w:space="0"/>
            </w:tcBorders>
            <w:tcMar>
              <w:top w:w="0" w:type="dxa"/>
              <w:left w:w="108" w:type="dxa"/>
              <w:bottom w:w="0" w:type="dxa"/>
              <w:right w:w="108" w:type="dxa"/>
            </w:tcMar>
          </w:tcPr>
          <w:p>
            <w:pPr>
              <w:rPr>
                <w:rFonts w:cstheme="minorHAnsi"/>
                <w:sz w:val="24"/>
                <w:szCs w:val="24"/>
              </w:rPr>
            </w:pPr>
            <w:r>
              <w:rPr>
                <w:rFonts w:cstheme="minorHAnsi"/>
                <w:sz w:val="24"/>
                <w:szCs w:val="24"/>
              </w:rPr>
              <w:t xml:space="preserve">Yes </w:t>
            </w:r>
            <w:r>
              <w:rPr>
                <w:rFonts w:hint="default" w:ascii="Arial" w:hAnsi="Arial" w:cs="Arial"/>
                <w:sz w:val="24"/>
                <w:szCs w:val="24"/>
              </w:rPr>
              <w:t>√</w:t>
            </w:r>
          </w:p>
          <w:p>
            <w:pPr>
              <w:rPr>
                <w:rFonts w:cstheme="minorHAnsi"/>
                <w:sz w:val="24"/>
                <w:szCs w:val="24"/>
              </w:rPr>
            </w:pPr>
            <w:r>
              <w:rPr>
                <w:rFonts w:cstheme="minorHAnsi"/>
                <w:sz w:val="24"/>
                <w:szCs w:val="24"/>
              </w:rPr>
              <w:t xml:space="preserve">No  </w:t>
            </w:r>
            <w:r>
              <w:rPr>
                <w:rFonts w:ascii="Segoe UI Symbol" w:hAnsi="Segoe UI Symbol" w:cs="Segoe UI Symbol"/>
                <w:sz w:val="24"/>
                <w:szCs w:val="24"/>
              </w:rPr>
              <w:t>☐</w:t>
            </w:r>
          </w:p>
        </w:tc>
      </w:tr>
      <w:tr>
        <w:trPr>
          <w:trHeight w:val="300" w:hRule="atLeast"/>
        </w:trPr>
        <w:tc>
          <w:tcPr>
            <w:tcW w:w="1702" w:type="dxa"/>
            <w:tcBorders>
              <w:left w:val="single" w:color="auto" w:sz="8" w:space="0"/>
              <w:bottom w:val="single" w:color="000000" w:sz="8" w:space="0"/>
              <w:right w:val="single" w:color="000000" w:sz="8" w:space="0"/>
            </w:tcBorders>
            <w:tcMar>
              <w:top w:w="0" w:type="dxa"/>
              <w:left w:w="105" w:type="dxa"/>
              <w:bottom w:w="0" w:type="dxa"/>
              <w:right w:w="105" w:type="dxa"/>
            </w:tcMar>
          </w:tcPr>
          <w:p>
            <w:pPr>
              <w:rPr>
                <w:rFonts w:cstheme="minorHAnsi"/>
                <w:sz w:val="24"/>
                <w:szCs w:val="24"/>
              </w:rPr>
            </w:pPr>
            <w:r>
              <w:rPr>
                <w:rFonts w:cstheme="minorHAnsi"/>
                <w:sz w:val="24"/>
                <w:szCs w:val="24"/>
              </w:rPr>
              <w:t>WRITING</w:t>
            </w:r>
          </w:p>
        </w:tc>
        <w:tc>
          <w:tcPr>
            <w:tcW w:w="7170" w:type="dxa"/>
            <w:tcBorders>
              <w:bottom w:val="single" w:color="000000" w:sz="8" w:space="0"/>
              <w:right w:val="single" w:color="000000" w:sz="8" w:space="0"/>
            </w:tcBorders>
            <w:tcMar>
              <w:top w:w="0" w:type="dxa"/>
              <w:left w:w="105" w:type="dxa"/>
              <w:bottom w:w="0" w:type="dxa"/>
              <w:right w:w="105" w:type="dxa"/>
            </w:tcMar>
          </w:tcPr>
          <w:p>
            <w:pPr>
              <w:rPr>
                <w:rFonts w:cstheme="minorHAnsi"/>
                <w:sz w:val="24"/>
                <w:szCs w:val="24"/>
              </w:rPr>
            </w:pPr>
            <w:r>
              <w:rPr>
                <w:rFonts w:cstheme="minorHAnsi"/>
                <w:sz w:val="24"/>
                <w:szCs w:val="24"/>
              </w:rPr>
              <w:t>For this assessment, you can use Generative AI to create text for submission.</w:t>
            </w:r>
          </w:p>
        </w:tc>
        <w:tc>
          <w:tcPr>
            <w:tcW w:w="1089" w:type="dxa"/>
            <w:tcBorders>
              <w:bottom w:val="single" w:color="000000" w:sz="8" w:space="0"/>
              <w:right w:val="single" w:color="auto" w:sz="8" w:space="0"/>
            </w:tcBorders>
            <w:tcMar>
              <w:top w:w="0" w:type="dxa"/>
              <w:left w:w="108" w:type="dxa"/>
              <w:bottom w:w="0" w:type="dxa"/>
              <w:right w:w="108" w:type="dxa"/>
            </w:tcMar>
          </w:tcPr>
          <w:p>
            <w:pPr>
              <w:rPr>
                <w:rFonts w:cstheme="minorHAnsi"/>
                <w:sz w:val="24"/>
                <w:szCs w:val="24"/>
              </w:rPr>
            </w:pPr>
            <w:r>
              <w:rPr>
                <w:rFonts w:cstheme="minorHAnsi"/>
                <w:sz w:val="24"/>
                <w:szCs w:val="24"/>
              </w:rPr>
              <w:t xml:space="preserve">Yes </w:t>
            </w:r>
            <w:r>
              <w:rPr>
                <w:rFonts w:ascii="Segoe UI Symbol" w:hAnsi="Segoe UI Symbol" w:cs="Segoe UI Symbol"/>
                <w:sz w:val="24"/>
                <w:szCs w:val="24"/>
              </w:rPr>
              <w:t>☐</w:t>
            </w:r>
          </w:p>
          <w:p>
            <w:pPr>
              <w:rPr>
                <w:rFonts w:cstheme="minorHAnsi"/>
                <w:sz w:val="24"/>
                <w:szCs w:val="24"/>
              </w:rPr>
            </w:pPr>
            <w:r>
              <w:rPr>
                <w:rFonts w:cstheme="minorHAnsi"/>
                <w:sz w:val="24"/>
                <w:szCs w:val="24"/>
              </w:rPr>
              <w:t xml:space="preserve">No  </w:t>
            </w:r>
            <w:r>
              <w:rPr>
                <w:rFonts w:hint="default" w:ascii="Arial" w:hAnsi="Arial" w:cs="Arial"/>
                <w:sz w:val="24"/>
                <w:szCs w:val="24"/>
              </w:rPr>
              <w:t>√</w:t>
            </w:r>
          </w:p>
        </w:tc>
      </w:tr>
      <w:tr>
        <w:trPr>
          <w:trHeight w:val="300" w:hRule="atLeast"/>
        </w:trPr>
        <w:tc>
          <w:tcPr>
            <w:tcW w:w="1702" w:type="dxa"/>
            <w:tcBorders>
              <w:left w:val="single" w:color="auto" w:sz="8" w:space="0"/>
              <w:bottom w:val="single" w:color="000000" w:sz="8" w:space="0"/>
              <w:right w:val="single" w:color="000000" w:sz="8" w:space="0"/>
            </w:tcBorders>
            <w:tcMar>
              <w:top w:w="0" w:type="dxa"/>
              <w:left w:w="105" w:type="dxa"/>
              <w:bottom w:w="0" w:type="dxa"/>
              <w:right w:w="105" w:type="dxa"/>
            </w:tcMar>
          </w:tcPr>
          <w:p>
            <w:pPr>
              <w:rPr>
                <w:rFonts w:cstheme="minorHAnsi"/>
                <w:sz w:val="24"/>
                <w:szCs w:val="24"/>
              </w:rPr>
            </w:pPr>
            <w:r>
              <w:rPr>
                <w:rFonts w:cstheme="minorHAnsi"/>
                <w:sz w:val="24"/>
                <w:szCs w:val="24"/>
              </w:rPr>
              <w:t>CREATIVE</w:t>
            </w:r>
          </w:p>
        </w:tc>
        <w:tc>
          <w:tcPr>
            <w:tcW w:w="7170" w:type="dxa"/>
            <w:tcBorders>
              <w:bottom w:val="single" w:color="000000" w:sz="8" w:space="0"/>
              <w:right w:val="single" w:color="000000" w:sz="8" w:space="0"/>
            </w:tcBorders>
            <w:tcMar>
              <w:top w:w="0" w:type="dxa"/>
              <w:left w:w="105" w:type="dxa"/>
              <w:bottom w:w="0" w:type="dxa"/>
              <w:right w:w="105" w:type="dxa"/>
            </w:tcMar>
          </w:tcPr>
          <w:p>
            <w:pPr>
              <w:rPr>
                <w:rFonts w:cstheme="minorHAnsi"/>
                <w:sz w:val="24"/>
                <w:szCs w:val="24"/>
              </w:rPr>
            </w:pPr>
            <w:r>
              <w:rPr>
                <w:rFonts w:cstheme="minorHAnsi"/>
                <w:sz w:val="24"/>
                <w:szCs w:val="24"/>
              </w:rPr>
              <w:t>For this assessment, you can use Generative AI to create creative materials, such as images.</w:t>
            </w:r>
          </w:p>
        </w:tc>
        <w:tc>
          <w:tcPr>
            <w:tcW w:w="1089" w:type="dxa"/>
            <w:tcBorders>
              <w:bottom w:val="single" w:color="000000" w:sz="8" w:space="0"/>
              <w:right w:val="single" w:color="auto" w:sz="8" w:space="0"/>
            </w:tcBorders>
            <w:tcMar>
              <w:top w:w="0" w:type="dxa"/>
              <w:left w:w="108" w:type="dxa"/>
              <w:bottom w:w="0" w:type="dxa"/>
              <w:right w:w="108" w:type="dxa"/>
            </w:tcMar>
          </w:tcPr>
          <w:p>
            <w:pPr>
              <w:rPr>
                <w:rFonts w:cstheme="minorHAnsi"/>
                <w:sz w:val="24"/>
                <w:szCs w:val="24"/>
              </w:rPr>
            </w:pPr>
            <w:r>
              <w:rPr>
                <w:rFonts w:cstheme="minorHAnsi"/>
                <w:sz w:val="24"/>
                <w:szCs w:val="24"/>
              </w:rPr>
              <w:t xml:space="preserve">Yes </w:t>
            </w:r>
            <w:r>
              <w:rPr>
                <w:rFonts w:ascii="Segoe UI Symbol" w:hAnsi="Segoe UI Symbol" w:cs="Segoe UI Symbol"/>
                <w:sz w:val="24"/>
                <w:szCs w:val="24"/>
              </w:rPr>
              <w:t>☐</w:t>
            </w:r>
          </w:p>
          <w:p>
            <w:pPr>
              <w:rPr>
                <w:rFonts w:cstheme="minorHAnsi"/>
                <w:sz w:val="24"/>
                <w:szCs w:val="24"/>
              </w:rPr>
            </w:pPr>
            <w:r>
              <w:rPr>
                <w:rFonts w:cstheme="minorHAnsi"/>
                <w:sz w:val="24"/>
                <w:szCs w:val="24"/>
              </w:rPr>
              <w:t xml:space="preserve">No  </w:t>
            </w:r>
            <w:r>
              <w:rPr>
                <w:rFonts w:hint="default" w:ascii="Arial" w:hAnsi="Arial" w:cs="Arial"/>
                <w:sz w:val="24"/>
                <w:szCs w:val="24"/>
              </w:rPr>
              <w:t>√</w:t>
            </w:r>
          </w:p>
        </w:tc>
      </w:tr>
      <w:tr>
        <w:trPr>
          <w:trHeight w:val="300" w:hRule="atLeast"/>
        </w:trPr>
        <w:tc>
          <w:tcPr>
            <w:tcW w:w="1702" w:type="dxa"/>
            <w:tcBorders>
              <w:left w:val="single" w:color="auto" w:sz="8" w:space="0"/>
              <w:bottom w:val="single" w:color="000000" w:sz="8" w:space="0"/>
              <w:right w:val="single" w:color="000000" w:sz="8" w:space="0"/>
            </w:tcBorders>
            <w:tcMar>
              <w:top w:w="0" w:type="dxa"/>
              <w:left w:w="105" w:type="dxa"/>
              <w:bottom w:w="0" w:type="dxa"/>
              <w:right w:w="105" w:type="dxa"/>
            </w:tcMar>
          </w:tcPr>
          <w:p>
            <w:pPr>
              <w:rPr>
                <w:rFonts w:cstheme="minorHAnsi"/>
                <w:sz w:val="24"/>
                <w:szCs w:val="24"/>
              </w:rPr>
            </w:pPr>
            <w:r>
              <w:rPr>
                <w:rFonts w:cstheme="minorHAnsi"/>
                <w:sz w:val="24"/>
                <w:szCs w:val="24"/>
              </w:rPr>
              <w:t>PROGRAMING</w:t>
            </w:r>
          </w:p>
        </w:tc>
        <w:tc>
          <w:tcPr>
            <w:tcW w:w="7170" w:type="dxa"/>
            <w:tcBorders>
              <w:bottom w:val="single" w:color="000000" w:sz="8" w:space="0"/>
              <w:right w:val="single" w:color="000000" w:sz="8" w:space="0"/>
            </w:tcBorders>
            <w:tcMar>
              <w:top w:w="0" w:type="dxa"/>
              <w:left w:w="105" w:type="dxa"/>
              <w:bottom w:w="0" w:type="dxa"/>
              <w:right w:w="105" w:type="dxa"/>
            </w:tcMar>
          </w:tcPr>
          <w:p>
            <w:pPr>
              <w:rPr>
                <w:rFonts w:cstheme="minorHAnsi"/>
                <w:sz w:val="24"/>
                <w:szCs w:val="24"/>
              </w:rPr>
            </w:pPr>
            <w:r>
              <w:rPr>
                <w:rFonts w:cstheme="minorHAnsi"/>
                <w:sz w:val="24"/>
                <w:szCs w:val="24"/>
              </w:rPr>
              <w:t>For this assessment, you can use Generative AI to create and check code.</w:t>
            </w:r>
          </w:p>
        </w:tc>
        <w:tc>
          <w:tcPr>
            <w:tcW w:w="1089" w:type="dxa"/>
            <w:tcBorders>
              <w:bottom w:val="single" w:color="000000" w:sz="8" w:space="0"/>
              <w:right w:val="single" w:color="auto" w:sz="8" w:space="0"/>
            </w:tcBorders>
            <w:tcMar>
              <w:top w:w="0" w:type="dxa"/>
              <w:left w:w="108" w:type="dxa"/>
              <w:bottom w:w="0" w:type="dxa"/>
              <w:right w:w="108" w:type="dxa"/>
            </w:tcMar>
          </w:tcPr>
          <w:p>
            <w:pPr>
              <w:rPr>
                <w:rFonts w:cstheme="minorHAnsi"/>
                <w:sz w:val="24"/>
                <w:szCs w:val="24"/>
              </w:rPr>
            </w:pPr>
            <w:r>
              <w:rPr>
                <w:rFonts w:cstheme="minorHAnsi"/>
                <w:sz w:val="24"/>
                <w:szCs w:val="24"/>
              </w:rPr>
              <w:t xml:space="preserve">Yes </w:t>
            </w:r>
            <w:r>
              <w:rPr>
                <w:rFonts w:ascii="Segoe UI Symbol" w:hAnsi="Segoe UI Symbol" w:cs="Segoe UI Symbol"/>
                <w:sz w:val="24"/>
                <w:szCs w:val="24"/>
              </w:rPr>
              <w:t>☐</w:t>
            </w:r>
          </w:p>
          <w:p>
            <w:pPr>
              <w:rPr>
                <w:rFonts w:cstheme="minorHAnsi"/>
                <w:sz w:val="24"/>
                <w:szCs w:val="24"/>
              </w:rPr>
            </w:pPr>
            <w:r>
              <w:rPr>
                <w:rFonts w:cstheme="minorHAnsi"/>
                <w:sz w:val="24"/>
                <w:szCs w:val="24"/>
              </w:rPr>
              <w:t xml:space="preserve">No  </w:t>
            </w:r>
            <w:r>
              <w:rPr>
                <w:rFonts w:hint="default" w:ascii="Arial" w:hAnsi="Arial" w:cs="Arial"/>
                <w:sz w:val="24"/>
                <w:szCs w:val="24"/>
              </w:rPr>
              <w:t>√</w:t>
            </w:r>
          </w:p>
        </w:tc>
      </w:tr>
      <w:tr>
        <w:trPr>
          <w:trHeight w:val="300" w:hRule="atLeast"/>
        </w:trPr>
        <w:tc>
          <w:tcPr>
            <w:tcW w:w="1702" w:type="dxa"/>
            <w:tcBorders>
              <w:left w:val="single" w:color="auto" w:sz="8" w:space="0"/>
              <w:bottom w:val="single" w:color="auto" w:sz="8" w:space="0"/>
              <w:right w:val="single" w:color="000000" w:sz="8" w:space="0"/>
            </w:tcBorders>
            <w:tcMar>
              <w:top w:w="0" w:type="dxa"/>
              <w:left w:w="105" w:type="dxa"/>
              <w:bottom w:w="0" w:type="dxa"/>
              <w:right w:w="105" w:type="dxa"/>
            </w:tcMar>
          </w:tcPr>
          <w:p>
            <w:pPr>
              <w:rPr>
                <w:rFonts w:cstheme="minorHAnsi"/>
                <w:sz w:val="24"/>
                <w:szCs w:val="24"/>
              </w:rPr>
            </w:pPr>
            <w:r>
              <w:rPr>
                <w:rFonts w:cstheme="minorHAnsi"/>
                <w:sz w:val="24"/>
                <w:szCs w:val="24"/>
              </w:rPr>
              <w:t>NONE</w:t>
            </w:r>
          </w:p>
        </w:tc>
        <w:tc>
          <w:tcPr>
            <w:tcW w:w="7170" w:type="dxa"/>
            <w:tcBorders>
              <w:bottom w:val="single" w:color="auto" w:sz="8" w:space="0"/>
              <w:right w:val="single" w:color="000000" w:sz="8" w:space="0"/>
            </w:tcBorders>
            <w:tcMar>
              <w:top w:w="0" w:type="dxa"/>
              <w:left w:w="105" w:type="dxa"/>
              <w:bottom w:w="0" w:type="dxa"/>
              <w:right w:w="105" w:type="dxa"/>
            </w:tcMar>
          </w:tcPr>
          <w:p>
            <w:pPr>
              <w:rPr>
                <w:rFonts w:cstheme="minorHAnsi"/>
                <w:sz w:val="24"/>
                <w:szCs w:val="24"/>
              </w:rPr>
            </w:pPr>
            <w:r>
              <w:rPr>
                <w:rFonts w:cstheme="minorHAnsi"/>
                <w:sz w:val="24"/>
                <w:szCs w:val="24"/>
              </w:rPr>
              <w:t>For this assessment, you are not allowed to use </w:t>
            </w:r>
            <w:r>
              <w:rPr>
                <w:rFonts w:cstheme="minorHAnsi"/>
                <w:b/>
                <w:bCs/>
                <w:sz w:val="24"/>
                <w:szCs w:val="24"/>
              </w:rPr>
              <w:t>any</w:t>
            </w:r>
            <w:r>
              <w:rPr>
                <w:rFonts w:cstheme="minorHAnsi"/>
                <w:sz w:val="24"/>
                <w:szCs w:val="24"/>
              </w:rPr>
              <w:t> type of Generative AI support. This includes research support, structure support, writing/proofreading support and creative support.</w:t>
            </w:r>
          </w:p>
        </w:tc>
        <w:tc>
          <w:tcPr>
            <w:tcW w:w="1089" w:type="dxa"/>
            <w:tcBorders>
              <w:bottom w:val="single" w:color="auto" w:sz="8" w:space="0"/>
              <w:right w:val="single" w:color="auto" w:sz="8" w:space="0"/>
            </w:tcBorders>
            <w:tcMar>
              <w:top w:w="0" w:type="dxa"/>
              <w:left w:w="108" w:type="dxa"/>
              <w:bottom w:w="0" w:type="dxa"/>
              <w:right w:w="108" w:type="dxa"/>
            </w:tcMar>
          </w:tcPr>
          <w:p>
            <w:pPr>
              <w:rPr>
                <w:rFonts w:cstheme="minorHAnsi"/>
                <w:sz w:val="24"/>
                <w:szCs w:val="24"/>
              </w:rPr>
            </w:pPr>
            <w:r>
              <w:rPr>
                <w:rFonts w:cstheme="minorHAnsi"/>
                <w:sz w:val="24"/>
                <w:szCs w:val="24"/>
              </w:rPr>
              <w:t xml:space="preserve">Yes </w:t>
            </w:r>
            <w:r>
              <w:rPr>
                <w:rFonts w:hint="default" w:ascii="Arial" w:hAnsi="Arial" w:cs="Arial"/>
                <w:sz w:val="24"/>
                <w:szCs w:val="24"/>
              </w:rPr>
              <w:t>√</w:t>
            </w:r>
          </w:p>
          <w:p>
            <w:pPr>
              <w:rPr>
                <w:rFonts w:cstheme="minorHAnsi"/>
                <w:sz w:val="24"/>
                <w:szCs w:val="24"/>
              </w:rPr>
            </w:pPr>
            <w:r>
              <w:rPr>
                <w:rFonts w:cstheme="minorHAnsi"/>
                <w:sz w:val="24"/>
                <w:szCs w:val="24"/>
              </w:rPr>
              <w:t xml:space="preserve">No  </w:t>
            </w:r>
            <w:r>
              <w:rPr>
                <w:rFonts w:ascii="Segoe UI Symbol" w:hAnsi="Segoe UI Symbol" w:cs="Segoe UI Symbol"/>
                <w:sz w:val="24"/>
                <w:szCs w:val="24"/>
              </w:rPr>
              <w:t>☐</w:t>
            </w:r>
          </w:p>
        </w:tc>
      </w:tr>
    </w:tbl>
    <w:p>
      <w:pPr>
        <w:keepNext w:val="0"/>
        <w:keepLines w:val="0"/>
        <w:widowControl/>
        <w:suppressLineNumbers w:val="0"/>
        <w:jc w:val="left"/>
        <w:rPr>
          <w:rFonts w:hint="default" w:ascii="Arial Regular" w:hAnsi="Arial Regular" w:eastAsia="宋体" w:cs="Arial Regular"/>
          <w:i w:val="0"/>
          <w:iCs w:val="0"/>
          <w:caps w:val="0"/>
          <w:color w:val="222222"/>
          <w:spacing w:val="0"/>
          <w:kern w:val="0"/>
          <w:sz w:val="24"/>
          <w:szCs w:val="24"/>
          <w:shd w:val="clear" w:fill="FFFFFF"/>
          <w:lang w:val="en-US" w:eastAsia="zh-CN" w:bidi="ar"/>
          <w14:ligatures w14:val="standardContextual"/>
        </w:rPr>
      </w:pPr>
    </w:p>
    <w:p>
      <w:pPr>
        <w:pStyle w:val="3"/>
        <w:keepNext w:val="0"/>
        <w:keepLines w:val="0"/>
        <w:widowControl/>
        <w:suppressLineNumbers w:val="0"/>
        <w:rPr>
          <w:rFonts w:hint="default" w:cs="Arial"/>
          <w:b/>
          <w:bCs/>
          <w:sz w:val="24"/>
          <w:szCs w:val="24"/>
          <w:lang w:val="en-US"/>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503050405090304"/>
    <w:charset w:val="86"/>
    <w:family w:val="auto"/>
    <w:pitch w:val="default"/>
    <w:sig w:usb0="E0000AFF" w:usb1="00007843" w:usb2="00000001" w:usb3="00000000" w:csb0="400001BF" w:csb1="DFF7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 w:name="Arial Bold">
    <w:panose1 w:val="020B0604020202090204"/>
    <w:charset w:val="00"/>
    <w:family w:val="auto"/>
    <w:pitch w:val="default"/>
    <w:sig w:usb0="E0000AFF" w:usb1="00007843" w:usb2="00000001" w:usb3="00000000" w:csb0="400001BF" w:csb1="DFF70000"/>
  </w:font>
  <w:font w:name="sans-serif">
    <w:altName w:val="苹方-简"/>
    <w:panose1 w:val="00000000000000000000"/>
    <w:charset w:val="00"/>
    <w:family w:val="auto"/>
    <w:pitch w:val="default"/>
    <w:sig w:usb0="00000000" w:usb1="00000000" w:usb2="00000000" w:usb3="00000000" w:csb0="00000000" w:csb1="00000000"/>
  </w:font>
  <w:font w:name="苹方-简">
    <w:panose1 w:val="020B0400000000000000"/>
    <w:charset w:val="86"/>
    <w:family w:val="auto"/>
    <w:pitch w:val="default"/>
    <w:sig w:usb0="A00002FF" w:usb1="7ACFFDFB" w:usb2="00000017" w:usb3="00000000" w:csb0="00040001" w:csb1="00000000"/>
  </w:font>
  <w:font w:name="Arial Regular">
    <w:panose1 w:val="020B0604020202090204"/>
    <w:charset w:val="00"/>
    <w:family w:val="auto"/>
    <w:pitch w:val="default"/>
    <w:sig w:usb0="E0000AFF" w:usb1="00007843" w:usb2="00000001" w:usb3="00000000" w:csb0="400001BF" w:csb1="DFF70000"/>
  </w:font>
  <w:font w:name="宋体-简">
    <w:panose1 w:val="02010800040101010101"/>
    <w:charset w:val="86"/>
    <w:family w:val="auto"/>
    <w:pitch w:val="default"/>
    <w:sig w:usb0="00000001" w:usb1="080F0000" w:usb2="00000000" w:usb3="00000000" w:csb0="00040000" w:csb1="00000000"/>
  </w:font>
  <w:font w:name="Segoe UI Symbol">
    <w:altName w:val="苹方-简"/>
    <w:panose1 w:val="020B0502040204020203"/>
    <w:charset w:val="00"/>
    <w:family w:val="swiss"/>
    <w:pitch w:val="default"/>
    <w:sig w:usb0="00000000" w:usb1="00000000" w:usb2="00040000" w:usb3="00000000" w:csb0="00000001" w:csb1="00000000"/>
  </w:font>
  <w:font w:name="Arial Unicode MS">
    <w:panose1 w:val="020B0604020202020204"/>
    <w:charset w:val="86"/>
    <w:family w:val="auto"/>
    <w:pitch w:val="default"/>
    <w:sig w:usb0="FFFFFFFF" w:usb1="E9FFFFFF" w:usb2="0000003F" w:usb3="00000000" w:csb0="603F01FF" w:csb1="FFFF0000"/>
  </w:font>
  <w:font w:name="Arial">
    <w:panose1 w:val="020B0604020202090204"/>
    <w:charset w:val="00"/>
    <w:family w:val="auto"/>
    <w:pitch w:val="default"/>
    <w:sig w:usb0="E0000AFF" w:usb1="00007843" w:usb2="00000001" w:usb3="00000000" w:csb0="400001BF" w:csb1="DFF70000"/>
  </w:font>
  <w:font w:name="Arial Black">
    <w:panose1 w:val="020B0A04020102020204"/>
    <w:charset w:val="00"/>
    <w:family w:val="auto"/>
    <w:pitch w:val="default"/>
    <w:sig w:usb0="00000287" w:usb1="00000000" w:usb2="00000000" w:usb3="00000000" w:csb0="2000009F" w:csb1="DFD7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EF7B761C"/>
    <w:multiLevelType w:val="singleLevel"/>
    <w:tmpl w:val="EF7B761C"/>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9"/>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EFFCA99"/>
    <w:rsid w:val="3EFFCA99"/>
    <w:rsid w:val="57F7299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22" w:semiHidden="0" w:name="Strong"/>
    <w:lsdException w:qFormat="1" w:unhideWhenUsed="0" w:uiPriority="2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character" w:default="1" w:styleId="6">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paragraph" w:styleId="3">
    <w:name w:val="Normal (Web)"/>
    <w:basedOn w:val="1"/>
    <w:uiPriority w:val="0"/>
    <w:pPr>
      <w:spacing w:before="0" w:beforeAutospacing="1" w:after="0" w:afterAutospacing="1"/>
      <w:ind w:left="0" w:right="0"/>
      <w:jc w:val="left"/>
    </w:pPr>
    <w:rPr>
      <w:kern w:val="0"/>
      <w:sz w:val="24"/>
      <w:lang w:val="en-US" w:eastAsia="zh-CN" w:bidi="ar"/>
    </w:rPr>
  </w:style>
  <w:style w:type="table" w:styleId="5">
    <w:name w:val="Table Grid"/>
    <w:basedOn w:val="4"/>
    <w:qFormat/>
    <w:uiPriority w:val="0"/>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7">
    <w:name w:val="Strong"/>
    <w:basedOn w:val="6"/>
    <w:qFormat/>
    <w:uiPriority w:val="22"/>
    <w:rPr>
      <w:b/>
    </w:rPr>
  </w:style>
  <w:style w:type="character" w:styleId="8">
    <w:name w:val="Emphasis"/>
    <w:basedOn w:val="6"/>
    <w:qFormat/>
    <w:uiPriority w:val="20"/>
    <w:rPr>
      <w:i/>
    </w:rPr>
  </w:style>
  <w:style w:type="character" w:styleId="9">
    <w:name w:val="Hyperlink"/>
    <w:basedOn w:val="6"/>
    <w:uiPriority w:val="0"/>
    <w:rPr>
      <w:color w:val="0000FF"/>
      <w:u w:val="single"/>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17</TotalTime>
  <ScaleCrop>false</ScaleCrop>
  <LinksUpToDate>false</LinksUpToDate>
  <CharactersWithSpaces>0</CharactersWithSpaces>
  <Application>WPS Office_6.2.0.8299_F1E327BC-269C-435d-A152-05C5408002CA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2025-02-21T10:56:00Z</dcterms:created>
  <dc:creator>join</dc:creator>
  <cp:lastModifiedBy>join</cp:lastModifiedBy>
  <dcterms:modified xsi:type="dcterms:W3CDTF">2025-02-21T22:58:45Z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2052-6.2.0.8299</vt:lpwstr>
  </property>
  <property fmtid="{D5CDD505-2E9C-101B-9397-08002B2CF9AE}" pid="3" name="ICV">
    <vt:lpwstr>D70FA68558F0BD01FB5BB8670A5256A2_41</vt:lpwstr>
  </property>
</Properties>
</file>