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F4719" w14:textId="77777777" w:rsidR="00BC5743" w:rsidRDefault="00BC5743" w:rsidP="00BC5743">
      <w:pPr>
        <w:jc w:val="center"/>
        <w:rPr>
          <w:b/>
          <w:sz w:val="36"/>
          <w:szCs w:val="36"/>
        </w:rPr>
      </w:pPr>
      <w:r>
        <w:rPr>
          <w:b/>
          <w:sz w:val="36"/>
          <w:szCs w:val="36"/>
        </w:rPr>
        <w:t>BMNS4008</w:t>
      </w:r>
    </w:p>
    <w:p w14:paraId="60B732C4" w14:textId="77777777" w:rsidR="00BC5743" w:rsidRDefault="00BC5743" w:rsidP="00BC5743">
      <w:pPr>
        <w:jc w:val="center"/>
        <w:rPr>
          <w:b/>
          <w:sz w:val="36"/>
          <w:szCs w:val="36"/>
        </w:rPr>
      </w:pPr>
      <w:r>
        <w:rPr>
          <w:b/>
          <w:sz w:val="36"/>
          <w:szCs w:val="36"/>
        </w:rPr>
        <w:t>Managing Organisations in Nursing</w:t>
      </w:r>
    </w:p>
    <w:p w14:paraId="6F237B3E" w14:textId="77777777" w:rsidR="00BC5743" w:rsidRDefault="00BC5743" w:rsidP="00BC5743">
      <w:pPr>
        <w:jc w:val="center"/>
        <w:rPr>
          <w:b/>
          <w:sz w:val="36"/>
          <w:szCs w:val="36"/>
        </w:rPr>
      </w:pPr>
      <w:r>
        <w:rPr>
          <w:b/>
          <w:sz w:val="36"/>
          <w:szCs w:val="36"/>
        </w:rPr>
        <w:t>Event Risk Management</w:t>
      </w:r>
    </w:p>
    <w:p w14:paraId="3F3BE4E5" w14:textId="77777777" w:rsidR="00BC5743" w:rsidRDefault="00BC5743" w:rsidP="00BC5743">
      <w:pPr>
        <w:jc w:val="center"/>
        <w:rPr>
          <w:b/>
        </w:rPr>
      </w:pPr>
      <w:r>
        <w:rPr>
          <w:b/>
        </w:rPr>
        <w:t>Structure of Your Event Risk Management Assignment</w:t>
      </w:r>
    </w:p>
    <w:tbl>
      <w:tblPr>
        <w:tblW w:w="994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3"/>
        <w:gridCol w:w="5092"/>
      </w:tblGrid>
      <w:tr w:rsidR="00BC5743" w14:paraId="5327BDC1" w14:textId="77777777" w:rsidTr="00BC5743">
        <w:trPr>
          <w:cantSplit/>
          <w:trHeight w:val="275"/>
          <w:tblHeader/>
        </w:trPr>
        <w:tc>
          <w:tcPr>
            <w:tcW w:w="4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90A44" w14:textId="77777777" w:rsidR="00BC5743" w:rsidRDefault="00BC5743">
            <w:r>
              <w:t xml:space="preserve">SECTION Name </w:t>
            </w:r>
          </w:p>
        </w:tc>
        <w:tc>
          <w:tcPr>
            <w:tcW w:w="5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BD42D" w14:textId="77777777" w:rsidR="00BC5743" w:rsidRDefault="00BC5743">
            <w:r>
              <w:t>Included in word count?</w:t>
            </w:r>
          </w:p>
        </w:tc>
      </w:tr>
      <w:tr w:rsidR="00BC5743" w14:paraId="175B8D45" w14:textId="77777777" w:rsidTr="00BC5743">
        <w:trPr>
          <w:cantSplit/>
          <w:trHeight w:val="545"/>
          <w:tblHeader/>
        </w:trPr>
        <w:tc>
          <w:tcPr>
            <w:tcW w:w="4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7753F" w14:textId="77777777" w:rsidR="00BC5743" w:rsidRDefault="00BC5743">
            <w:pPr>
              <w:rPr>
                <w:b/>
              </w:rPr>
            </w:pPr>
            <w:r>
              <w:rPr>
                <w:b/>
              </w:rPr>
              <w:t xml:space="preserve">TITLE PAGE </w:t>
            </w:r>
          </w:p>
        </w:tc>
        <w:tc>
          <w:tcPr>
            <w:tcW w:w="5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9CD73" w14:textId="77777777" w:rsidR="00BC5743" w:rsidRDefault="00BC5743">
            <w:pPr>
              <w:rPr>
                <w:b/>
              </w:rPr>
            </w:pPr>
            <w:r>
              <w:rPr>
                <w:b/>
              </w:rPr>
              <w:t>NO</w:t>
            </w:r>
          </w:p>
        </w:tc>
      </w:tr>
      <w:tr w:rsidR="00BC5743" w14:paraId="0B3ED10A" w14:textId="77777777" w:rsidTr="00BC5743">
        <w:trPr>
          <w:cantSplit/>
          <w:trHeight w:val="820"/>
          <w:tblHeader/>
        </w:trPr>
        <w:tc>
          <w:tcPr>
            <w:tcW w:w="4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475766" w14:textId="77777777" w:rsidR="00BC5743" w:rsidRDefault="00BC5743">
            <w:r>
              <w:rPr>
                <w:b/>
              </w:rPr>
              <w:t xml:space="preserve">1: </w:t>
            </w:r>
            <w:r>
              <w:t xml:space="preserve">INTRODUCTION </w:t>
            </w:r>
          </w:p>
        </w:tc>
        <w:tc>
          <w:tcPr>
            <w:tcW w:w="5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F0BAE7" w14:textId="77777777" w:rsidR="00BC5743" w:rsidRDefault="00BC5743">
            <w:pPr>
              <w:rPr>
                <w:b/>
              </w:rPr>
            </w:pPr>
            <w:r>
              <w:rPr>
                <w:b/>
              </w:rPr>
              <w:t>YES</w:t>
            </w:r>
          </w:p>
        </w:tc>
      </w:tr>
      <w:tr w:rsidR="00BC5743" w14:paraId="33B6EF36" w14:textId="77777777" w:rsidTr="00BC5743">
        <w:trPr>
          <w:cantSplit/>
          <w:trHeight w:val="545"/>
          <w:tblHeader/>
        </w:trPr>
        <w:tc>
          <w:tcPr>
            <w:tcW w:w="4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E62B0E" w14:textId="77777777" w:rsidR="00BC5743" w:rsidRDefault="00BC5743">
            <w:r>
              <w:rPr>
                <w:b/>
              </w:rPr>
              <w:t xml:space="preserve">2: </w:t>
            </w:r>
            <w:r>
              <w:t xml:space="preserve">METHOD </w:t>
            </w:r>
          </w:p>
        </w:tc>
        <w:tc>
          <w:tcPr>
            <w:tcW w:w="5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0E67F5" w14:textId="77777777" w:rsidR="00BC5743" w:rsidRDefault="00BC5743">
            <w:pPr>
              <w:rPr>
                <w:b/>
              </w:rPr>
            </w:pPr>
            <w:r>
              <w:rPr>
                <w:b/>
              </w:rPr>
              <w:t>YES</w:t>
            </w:r>
          </w:p>
        </w:tc>
      </w:tr>
      <w:tr w:rsidR="00BC5743" w14:paraId="522D5FDD" w14:textId="77777777" w:rsidTr="00BC5743">
        <w:trPr>
          <w:cantSplit/>
          <w:trHeight w:val="815"/>
          <w:tblHeader/>
        </w:trPr>
        <w:tc>
          <w:tcPr>
            <w:tcW w:w="4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3A8F6" w14:textId="77777777" w:rsidR="00BC5743" w:rsidRDefault="00BC5743">
            <w:r>
              <w:rPr>
                <w:b/>
              </w:rPr>
              <w:t xml:space="preserve">3: </w:t>
            </w:r>
            <w:r>
              <w:t>COMPLIANCE WITH STANDARDS AND  LEGISLATION</w:t>
            </w:r>
          </w:p>
        </w:tc>
        <w:tc>
          <w:tcPr>
            <w:tcW w:w="5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59DA4" w14:textId="77777777" w:rsidR="00BC5743" w:rsidRDefault="00BC5743">
            <w:pPr>
              <w:rPr>
                <w:b/>
              </w:rPr>
            </w:pPr>
            <w:r>
              <w:rPr>
                <w:b/>
              </w:rPr>
              <w:t>YES</w:t>
            </w:r>
          </w:p>
        </w:tc>
      </w:tr>
      <w:tr w:rsidR="00BC5743" w14:paraId="330AD6A9" w14:textId="77777777" w:rsidTr="00BC5743">
        <w:trPr>
          <w:cantSplit/>
          <w:trHeight w:val="550"/>
          <w:tblHeader/>
        </w:trPr>
        <w:tc>
          <w:tcPr>
            <w:tcW w:w="4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37F79" w14:textId="77777777" w:rsidR="00BC5743" w:rsidRDefault="00BC5743">
            <w:r>
              <w:rPr>
                <w:b/>
              </w:rPr>
              <w:t xml:space="preserve">4: </w:t>
            </w:r>
            <w:r>
              <w:t xml:space="preserve">RISK ASSESSMENT REGISTER </w:t>
            </w:r>
          </w:p>
        </w:tc>
        <w:tc>
          <w:tcPr>
            <w:tcW w:w="5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E04CC" w14:textId="77777777" w:rsidR="00BC5743" w:rsidRDefault="00BC5743">
            <w:pPr>
              <w:rPr>
                <w:b/>
              </w:rPr>
            </w:pPr>
            <w:r>
              <w:rPr>
                <w:b/>
              </w:rPr>
              <w:t>YES</w:t>
            </w:r>
          </w:p>
        </w:tc>
      </w:tr>
      <w:tr w:rsidR="00BC5743" w14:paraId="34AB9A34" w14:textId="77777777" w:rsidTr="00BC5743">
        <w:trPr>
          <w:cantSplit/>
          <w:trHeight w:val="545"/>
          <w:tblHeader/>
        </w:trPr>
        <w:tc>
          <w:tcPr>
            <w:tcW w:w="4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9CEFC" w14:textId="77777777" w:rsidR="00BC5743" w:rsidRDefault="00BC5743">
            <w:r>
              <w:rPr>
                <w:b/>
              </w:rPr>
              <w:t xml:space="preserve">5: </w:t>
            </w:r>
            <w:r>
              <w:t xml:space="preserve">CONCLUSION AND RECOMMENDATIONS </w:t>
            </w:r>
          </w:p>
        </w:tc>
        <w:tc>
          <w:tcPr>
            <w:tcW w:w="5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E67F39" w14:textId="77777777" w:rsidR="00BC5743" w:rsidRDefault="00BC5743">
            <w:pPr>
              <w:rPr>
                <w:b/>
              </w:rPr>
            </w:pPr>
            <w:r>
              <w:rPr>
                <w:b/>
              </w:rPr>
              <w:t>YES</w:t>
            </w:r>
          </w:p>
        </w:tc>
      </w:tr>
      <w:tr w:rsidR="00BC5743" w14:paraId="5D0A43D2" w14:textId="77777777" w:rsidTr="00BC5743">
        <w:trPr>
          <w:cantSplit/>
          <w:trHeight w:val="545"/>
          <w:tblHeader/>
        </w:trPr>
        <w:tc>
          <w:tcPr>
            <w:tcW w:w="4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79754" w14:textId="77777777" w:rsidR="00BC5743" w:rsidRDefault="00BC5743">
            <w:r>
              <w:t xml:space="preserve">REFERENCES </w:t>
            </w:r>
          </w:p>
        </w:tc>
        <w:tc>
          <w:tcPr>
            <w:tcW w:w="5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55491" w14:textId="77777777" w:rsidR="00BC5743" w:rsidRDefault="00BC5743">
            <w:pPr>
              <w:rPr>
                <w:b/>
              </w:rPr>
            </w:pPr>
            <w:r>
              <w:rPr>
                <w:b/>
              </w:rPr>
              <w:t>NO</w:t>
            </w:r>
          </w:p>
        </w:tc>
      </w:tr>
    </w:tbl>
    <w:p w14:paraId="6DD8C6F2" w14:textId="77777777" w:rsidR="00BC5743" w:rsidRDefault="00BC5743" w:rsidP="00BC5743"/>
    <w:p w14:paraId="30553531" w14:textId="77777777" w:rsidR="00BC5743" w:rsidRDefault="00BC5743" w:rsidP="00BC5743"/>
    <w:p w14:paraId="4FE65544" w14:textId="77777777" w:rsidR="00BC5743" w:rsidRDefault="00BC5743" w:rsidP="00BC5743">
      <w:pPr>
        <w:rPr>
          <w:b/>
        </w:rPr>
      </w:pPr>
    </w:p>
    <w:p w14:paraId="526201F2" w14:textId="77777777" w:rsidR="00BC5743" w:rsidRDefault="00BC5743" w:rsidP="00BC5743">
      <w:pPr>
        <w:rPr>
          <w:b/>
        </w:rPr>
      </w:pPr>
    </w:p>
    <w:p w14:paraId="14F17E81" w14:textId="77777777" w:rsidR="00BC5743" w:rsidRDefault="00BC5743" w:rsidP="00BC5743">
      <w:pPr>
        <w:rPr>
          <w:b/>
        </w:rPr>
      </w:pPr>
    </w:p>
    <w:p w14:paraId="0F8EC952" w14:textId="77777777" w:rsidR="00BC5743" w:rsidRDefault="00BC5743" w:rsidP="00BC5743">
      <w:pPr>
        <w:rPr>
          <w:b/>
        </w:rPr>
      </w:pPr>
    </w:p>
    <w:p w14:paraId="73CE19F0" w14:textId="77777777" w:rsidR="00BC5743" w:rsidRDefault="00BC5743" w:rsidP="00BC5743">
      <w:pPr>
        <w:jc w:val="center"/>
        <w:rPr>
          <w:b/>
          <w:sz w:val="40"/>
          <w:szCs w:val="40"/>
        </w:rPr>
      </w:pPr>
      <w:r>
        <w:rPr>
          <w:b/>
          <w:sz w:val="40"/>
          <w:szCs w:val="40"/>
        </w:rPr>
        <w:t>Title: Event Risk Assessment</w:t>
      </w:r>
    </w:p>
    <w:p w14:paraId="44C61382" w14:textId="77777777" w:rsidR="00BC5743" w:rsidRDefault="00BC5743" w:rsidP="00BC5743">
      <w:pPr>
        <w:rPr>
          <w:b/>
        </w:rPr>
      </w:pPr>
    </w:p>
    <w:p w14:paraId="7DE73DDC" w14:textId="77777777" w:rsidR="00BC5743" w:rsidRDefault="00BC5743" w:rsidP="00BC5743">
      <w:pPr>
        <w:rPr>
          <w:b/>
        </w:rPr>
      </w:pPr>
    </w:p>
    <w:p w14:paraId="2B3D26BF" w14:textId="77777777" w:rsidR="00BC5743" w:rsidRDefault="00BC5743" w:rsidP="00BC5743">
      <w:pPr>
        <w:rPr>
          <w:b/>
        </w:rPr>
      </w:pPr>
    </w:p>
    <w:p w14:paraId="640430BF" w14:textId="77777777" w:rsidR="00BC5743" w:rsidRDefault="00BC5743" w:rsidP="00BC5743">
      <w:pPr>
        <w:rPr>
          <w:b/>
        </w:rPr>
      </w:pPr>
    </w:p>
    <w:p w14:paraId="0FCEF48B" w14:textId="290C9E2A" w:rsidR="00BC5743" w:rsidRDefault="00BC5743" w:rsidP="00BC5743">
      <w:pPr>
        <w:jc w:val="center"/>
        <w:rPr>
          <w:b/>
          <w:sz w:val="32"/>
          <w:szCs w:val="32"/>
        </w:rPr>
      </w:pPr>
      <w:r>
        <w:rPr>
          <w:b/>
          <w:sz w:val="32"/>
          <w:szCs w:val="32"/>
        </w:rPr>
        <w:t>Student Number:2322874</w:t>
      </w:r>
    </w:p>
    <w:p w14:paraId="11883438" w14:textId="77777777" w:rsidR="00BC5743" w:rsidRDefault="00BC5743" w:rsidP="00BC5743"/>
    <w:p w14:paraId="3147F2E7" w14:textId="77777777" w:rsidR="00BC5743" w:rsidRDefault="00BC5743" w:rsidP="00BC5743">
      <w:pPr>
        <w:rPr>
          <w:b/>
        </w:rPr>
      </w:pPr>
      <w:r>
        <w:rPr>
          <w:rFonts w:ascii="Times New Roman" w:hAnsi="Times New Roman" w:cs="Times New Roman"/>
          <w:lang w:eastAsia="en-GB"/>
        </w:rPr>
        <w:br w:type="page"/>
      </w:r>
    </w:p>
    <w:p w14:paraId="303E685A" w14:textId="77777777" w:rsidR="00BC5743" w:rsidRDefault="00BC5743" w:rsidP="00BC5743">
      <w:pPr>
        <w:pStyle w:val="Heading1"/>
        <w:spacing w:before="0" w:after="200"/>
        <w:rPr>
          <w:b/>
        </w:rPr>
      </w:pPr>
      <w:r>
        <w:lastRenderedPageBreak/>
        <w:t>1.0 INTRODUCTION</w:t>
      </w:r>
    </w:p>
    <w:p w14:paraId="653615C4" w14:textId="77777777" w:rsidR="00BC5743" w:rsidRDefault="00BC5743" w:rsidP="00BC5743">
      <w:r>
        <w:t>The risk factors pertaining to the care and transfer of dementia patients to a new ward will be included in the study. Recently, the nearby hospital established a ward specifically for individuals with dementia. Patients from nearby hospitals are to be moved to the newly constructed unit. As a result, some risks are taken while doing so. The same will be covered in the report before transportation. In addition to the general processes described, a technique will be used to analyse the risks. The procedures may also include compliance, which will be thoroughly explained in relation to specific elements like industry and legal requirements. The report will evaluate the likelihood of each danger using a risk evaluation register and provide insightful suggestions. A group of illnesses known as dementia affect memory, cognition, and day-to-day functioning. It mainly affects the elderly, although not everyone will have it as they get older. These illnesses cause the brain and nerve cells to die, which impairs mental abilities in ways that go beyond the normal ageing process (WHO, 2023; Alzheimer's Association, 2024).</w:t>
      </w:r>
    </w:p>
    <w:p w14:paraId="66EDEE92" w14:textId="77777777" w:rsidR="00BC5743" w:rsidRDefault="00BC5743" w:rsidP="00BC5743">
      <w:pPr>
        <w:pStyle w:val="Heading1"/>
        <w:spacing w:before="0" w:after="200"/>
      </w:pPr>
      <w:r>
        <w:t xml:space="preserve">2.0 METHOD </w:t>
      </w:r>
    </w:p>
    <w:p w14:paraId="50E6463B" w14:textId="77777777" w:rsidR="00BC5743" w:rsidRDefault="00BC5743" w:rsidP="00BC5743">
      <w:r>
        <w:t xml:space="preserve">As briefed by Kovacevic, Stojiljkovic and Kovac (2019), a matrix for risk assessment is a commonly used tool for analysing, evaluating, and defining agendas for managing risks in various domains, according to Pascarella </w:t>
      </w:r>
      <w:r>
        <w:rPr>
          <w:i/>
        </w:rPr>
        <w:t>et al.</w:t>
      </w:r>
      <w:r>
        <w:t xml:space="preserve"> (2021). A systematic method, as per Tomak and Polat (2022), for assessing risk, comparing various hazards, and identifying which threats must be addressed first is the risk matrix method, commonly known as the "decision matrix risk assessment (DMRA) technique" (Pascarella </w:t>
      </w:r>
      <w:r>
        <w:rPr>
          <w:i/>
        </w:rPr>
        <w:t>et al.</w:t>
      </w:r>
      <w:r>
        <w:t xml:space="preserve">, 2021). Given that unanticipated events might occur, risk management has emerged as a primary priority for individuals, organisations, and governments trying to achieve what they want. The healthcare industry is characterised by high levels of risk and complexity, as well as numerous areas that constitute mutual dependence. As such, risk management is crucial according to McGowan, Wojahn and Nicolini (2020), as even seemingly low-risk events can have serious repercussions for patients, staff, expenses, and the image of the hospital. </w:t>
      </w:r>
      <w:proofErr w:type="gramStart"/>
      <w:r>
        <w:t>In order to</w:t>
      </w:r>
      <w:proofErr w:type="gramEnd"/>
      <w:r>
        <w:t xml:space="preserve"> differentiate minor acceptable clinical risks from inappropriate major risks and to provide information to support the ensuing assessment and treatment of risks, risk analysis in the healthcare industry entails taking into account the sources of risk, their consequences, and the probability that these repercussions could happen with regard to patient safety, medical professionals, and the organisation itself (Pascarella </w:t>
      </w:r>
      <w:r>
        <w:rPr>
          <w:i/>
        </w:rPr>
        <w:t>et al.</w:t>
      </w:r>
      <w:r>
        <w:t>, 2021).</w:t>
      </w:r>
    </w:p>
    <w:p w14:paraId="2D21348E" w14:textId="06152139" w:rsidR="00BC5743" w:rsidRDefault="00BC5743" w:rsidP="00BC5743">
      <w:pPr>
        <w:jc w:val="center"/>
      </w:pPr>
      <w:r>
        <w:rPr>
          <w:noProof/>
          <w:lang w:val="en-US"/>
        </w:rPr>
        <w:lastRenderedPageBreak/>
        <w:drawing>
          <wp:inline distT="0" distB="0" distL="0" distR="0" wp14:anchorId="6EC4D9AA" wp14:editId="002E2A30">
            <wp:extent cx="5448300" cy="3476625"/>
            <wp:effectExtent l="0" t="0" r="0" b="9525"/>
            <wp:docPr id="2091619058" name="Picture 1" descr="A graph of blue rectangular bar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619058" name="Picture 1" descr="A graph of blue rectangular bars with white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48300" cy="3476625"/>
                    </a:xfrm>
                    <a:prstGeom prst="rect">
                      <a:avLst/>
                    </a:prstGeom>
                    <a:noFill/>
                    <a:ln>
                      <a:noFill/>
                    </a:ln>
                  </pic:spPr>
                </pic:pic>
              </a:graphicData>
            </a:graphic>
          </wp:inline>
        </w:drawing>
      </w:r>
    </w:p>
    <w:p w14:paraId="6DE9ED5F" w14:textId="77777777" w:rsidR="00BC5743" w:rsidRDefault="00BC5743" w:rsidP="00BC5743">
      <w:pPr>
        <w:jc w:val="center"/>
        <w:rPr>
          <w:b/>
        </w:rPr>
      </w:pPr>
      <w:r>
        <w:rPr>
          <w:b/>
        </w:rPr>
        <w:t>Figure 1: The United Kingdom’s (UK) 2021 Dementia Policy Effectiveness Index Rating, Broken Down by Category</w:t>
      </w:r>
    </w:p>
    <w:p w14:paraId="424441C9" w14:textId="77777777" w:rsidR="00BC5743" w:rsidRDefault="00BC5743" w:rsidP="00BC5743">
      <w:pPr>
        <w:jc w:val="center"/>
      </w:pPr>
      <w:r>
        <w:t>(Source: Yang, 2023)</w:t>
      </w:r>
    </w:p>
    <w:p w14:paraId="4F9C81A1" w14:textId="77777777" w:rsidR="00BC5743" w:rsidRDefault="00BC5743" w:rsidP="00BC5743">
      <w:r>
        <w:t xml:space="preserve">Dementia patients’ policy effectiveness as per the category is devised in Figure 1. According to Kulshrestha and Singh’s (2016) study, using the Decision Matrix Risk Assessment (DMRA) methodology, </w:t>
      </w:r>
      <w:proofErr w:type="gramStart"/>
      <w:r>
        <w:t>a number of</w:t>
      </w:r>
      <w:proofErr w:type="gramEnd"/>
      <w:r>
        <w:t xml:space="preserve"> risk factors have been determined that require greater focus in order to protect against possible threats while establishing recommendations or strategies that ensure the secure movement and care of dementia patients in the new high dependency unit. Firstly, about transportation-related aspects like the availability of a certain form of transit, the length of the journey between the old and new routes, the potential for delays or other issues during transit, and the presence of medical staff during the trip. It is important to check on the health and safety of patients during transportation. Moreover, risk assessment is enhanced by cooperation with medical teams and ward personnel in dealing with patients as opined by Rimondini </w:t>
      </w:r>
      <w:r>
        <w:rPr>
          <w:i/>
        </w:rPr>
        <w:t>et al</w:t>
      </w:r>
      <w:r>
        <w:t xml:space="preserve">. (2019) and Shaikh (2020). It is essential that the new high-dependency ward be prepared </w:t>
      </w:r>
      <w:proofErr w:type="gramStart"/>
      <w:r>
        <w:t>in order to</w:t>
      </w:r>
      <w:proofErr w:type="gramEnd"/>
      <w:r>
        <w:t xml:space="preserve"> provide those with dementia with the right medicine at all times. Additionally, management risks are examined at the lowest level as mentioned by Springer (2009). Since it standardised the risk grading process, risk matrices have grown into an increasingly common decision-support tool in the private and public sectors and are often used in healthcare organisations as well (Pascarella </w:t>
      </w:r>
      <w:r>
        <w:rPr>
          <w:i/>
        </w:rPr>
        <w:t>et al.</w:t>
      </w:r>
      <w:r>
        <w:t xml:space="preserve">, 2021). It gives stakeholders </w:t>
      </w:r>
      <w:r>
        <w:lastRenderedPageBreak/>
        <w:t xml:space="preserve">direct insight into how these two components contribute to total risk by visualising the possibility of an event occurring as well as its implications should it occur as per ahrq.gov (2023). This helps to promote interactions among stakeholders concerning the risks that have been identified. A few crucial stages </w:t>
      </w:r>
      <w:proofErr w:type="gramStart"/>
      <w:r>
        <w:t>have to</w:t>
      </w:r>
      <w:proofErr w:type="gramEnd"/>
      <w:r>
        <w:t xml:space="preserve"> be followed in order to complete the risk assessment with the DMRA approach. As noted by Catalyst (2018), it is difficult to identify every hazard that a healthcare organisation confronts since risk control involves handling unpredictability and new risks are always arising. However, by utilising statistics, organisational and industry expertise, and involving all relevant parties (payers, staff, administrators, and patients), healthcare risk managers </w:t>
      </w:r>
      <w:proofErr w:type="gramStart"/>
      <w:r>
        <w:t>are able to</w:t>
      </w:r>
      <w:proofErr w:type="gramEnd"/>
      <w:r>
        <w:t xml:space="preserve"> identify possible compensating events and threats that would otherwise be difficult to predict. Certain danger areas have been identified </w:t>
      </w:r>
      <w:proofErr w:type="gramStart"/>
      <w:r>
        <w:t>as a result of</w:t>
      </w:r>
      <w:proofErr w:type="gramEnd"/>
      <w:r>
        <w:t xml:space="preserve"> ongoing studies on patient care and mobility in the medical field.</w:t>
      </w:r>
    </w:p>
    <w:p w14:paraId="4225CD83" w14:textId="77777777" w:rsidR="00BC5743" w:rsidRDefault="00BC5743" w:rsidP="00BC5743">
      <w:pPr>
        <w:pStyle w:val="Heading1"/>
        <w:spacing w:before="0" w:after="200"/>
      </w:pPr>
      <w:r>
        <w:t>3.0 COMPLIANCE</w:t>
      </w:r>
    </w:p>
    <w:p w14:paraId="3F49F421" w14:textId="77777777" w:rsidR="00BC5743" w:rsidRDefault="00BC5743" w:rsidP="00BC5743">
      <w:pPr>
        <w:pStyle w:val="Heading2"/>
        <w:spacing w:before="0" w:after="200"/>
      </w:pPr>
      <w:r>
        <w:t>3.1 Risk Assessment of Transportation Process and Care of Dementia Patients Using DMRA</w:t>
      </w:r>
    </w:p>
    <w:p w14:paraId="13277227" w14:textId="77777777" w:rsidR="00BC5743" w:rsidRDefault="00BC5743" w:rsidP="00BC5743">
      <w:pPr>
        <w:rPr>
          <w:b/>
          <w:i/>
        </w:rPr>
      </w:pPr>
      <w:r>
        <w:rPr>
          <w:b/>
          <w:i/>
        </w:rPr>
        <w:t>Risk Rating Estimation</w:t>
      </w:r>
    </w:p>
    <w:p w14:paraId="6B5305AD" w14:textId="77777777" w:rsidR="00BC5743" w:rsidRDefault="00BC5743" w:rsidP="00BC5743">
      <w:r>
        <w:t>An organisation’s initial selection in risk analysis is the empirical methodology to use for estimating risk ratings. Using the vulnerabilities found in previous sections of this report as a guide, the risks highlighted in this comprehensive risk assessment are prioritised for urgent remediation.</w:t>
      </w:r>
    </w:p>
    <w:p w14:paraId="6B0DB0EF" w14:textId="77777777" w:rsidR="00BC5743" w:rsidRDefault="00BC5743" w:rsidP="00BC5743">
      <w:pPr>
        <w:rPr>
          <w:b/>
          <w:i/>
        </w:rPr>
      </w:pPr>
      <w:r>
        <w:rPr>
          <w:b/>
          <w:i/>
        </w:rPr>
        <w:t>Categorization (Impact and Likelihood)</w:t>
      </w:r>
    </w:p>
    <w:p w14:paraId="0749C108" w14:textId="77777777" w:rsidR="00BC5743" w:rsidRDefault="00BC5743" w:rsidP="00BC5743">
      <w:r>
        <w:t xml:space="preserve">In total, five major danger regions have been determined. As cited by Kulshrestha and Singh (2016), the two methods of patient transfer that are most frequently used when there is a danger to the manner of transfer are ground transport, which includes ambulances, and mobile units for intensive care. Medical professionals must be there the entire way to the new unit. Transportation risk is likely to be classified as significant as there may be traffic delays and it may take a long time to get to the destination. </w:t>
      </w:r>
      <w:proofErr w:type="gramStart"/>
      <w:r>
        <w:t>In light of</w:t>
      </w:r>
      <w:proofErr w:type="gramEnd"/>
      <w:r>
        <w:t xml:space="preserve"> the potential risks to the safety and health of patients during transportation, any patient requiring level-critical care must be transferred under strict supervision and have access to all life-saving medications. Risk management requires an assessment of the transfer ambulance’s equipment availability, </w:t>
      </w:r>
      <w:r>
        <w:lastRenderedPageBreak/>
        <w:t xml:space="preserve">including </w:t>
      </w:r>
      <w:proofErr w:type="gramStart"/>
      <w:r>
        <w:t>all of</w:t>
      </w:r>
      <w:proofErr w:type="gramEnd"/>
      <w:r>
        <w:t xml:space="preserve"> the medications and instruments. Prior to the transfer procedure starting, there is the greatest danger. It also covers the records of patient transfers, which are crucial to the procedure yet are frequently overlooked during the transfer. Therefore, being classified according to the DMRA methodology is nearly as important in terms of the well-being and safety of patients during transportation, including correct documentation. </w:t>
      </w:r>
    </w:p>
    <w:p w14:paraId="337EFB4A" w14:textId="77777777" w:rsidR="00BC5743" w:rsidRDefault="00BC5743" w:rsidP="00BC5743">
      <w:r>
        <w:t xml:space="preserve">Risk factors are examined at a basic level, together with certain linked aspects, before moving on to the recognised risk of interaction and collaboration during patient transfers to the new unit. When moving them to the new unit, as per Kulshrestha and Singh (2016), the presence of trained, competent, and experienced workers is essential. Patients with dementia suffer from a serious illness that </w:t>
      </w:r>
      <w:proofErr w:type="gramStart"/>
      <w:r>
        <w:t>requires the highest care at all times</w:t>
      </w:r>
      <w:proofErr w:type="gramEnd"/>
      <w:r>
        <w:t xml:space="preserve"> as suggested by Malhi, McElveen and O’Donnell (2021). When an intensivist or other medically certified personnel follows a critically ill patient from an intensive care unit, the likelihood of unexpected occurrences during the transfer can be minimised. Nurses are regularly engaged in patient transfers, depending on the situation. Because of the danger to both the patient and the healthcare professional, relocating a patient may be seen as a vulnerable operation. It is seen as a somewhat unlikely danger. To determine if the new highly dependent facility is prepared to accept patients with dementia, a thorough risk assessment is required. It is necessary to verify whether the new ward has the amenities and medical equipment that are needed. When evaluating risk, staffing levels and proficiency in caring for patients with complex needs are crucial. Following arrival, it is also verified if the proper processes for admission, evaluation, and treatment are in place. In this case, the risk might be classified as sporadically moderate. </w:t>
      </w:r>
    </w:p>
    <w:p w14:paraId="297B263E" w14:textId="77777777" w:rsidR="00BC5743" w:rsidRDefault="00BC5743" w:rsidP="00BC5743">
      <w:pPr>
        <w:rPr>
          <w:b/>
          <w:i/>
        </w:rPr>
      </w:pPr>
      <w:r>
        <w:rPr>
          <w:b/>
          <w:i/>
        </w:rPr>
        <w:t>Assessing the Value of Existing Measures</w:t>
      </w:r>
    </w:p>
    <w:p w14:paraId="7476E2A0" w14:textId="77777777" w:rsidR="00BC5743" w:rsidRDefault="00BC5743" w:rsidP="00BC5743">
      <w:r>
        <w:t>As per Nikolaisen, Fridh and Olsen (2023), numerous implementations are in place at nearby hospitals. Computerised data is provided to them so they may keep track of patient paperwork. Medical personnel, including nurses, are typically concerned about the state of patients, nursing seeds, and resource scarcity. It is believed that communication is essential to maintaining continuity of treatment, which is supported by current written documentation that enhances patient safety.</w:t>
      </w:r>
    </w:p>
    <w:p w14:paraId="0FE1069E" w14:textId="77777777" w:rsidR="00BC5743" w:rsidRDefault="00BC5743" w:rsidP="00BC5743">
      <w:pPr>
        <w:spacing w:after="0"/>
        <w:jc w:val="left"/>
        <w:sectPr w:rsidR="00BC5743" w:rsidSect="00C309D2">
          <w:pgSz w:w="11900" w:h="16840"/>
          <w:pgMar w:top="1440" w:right="1080" w:bottom="1440" w:left="1080" w:header="0" w:footer="720" w:gutter="0"/>
          <w:pgNumType w:start="1"/>
          <w:cols w:space="720"/>
        </w:sectPr>
      </w:pPr>
    </w:p>
    <w:p w14:paraId="46C7A3DB" w14:textId="77777777" w:rsidR="00BC5743" w:rsidRDefault="00BC5743" w:rsidP="00BC5743">
      <w:pPr>
        <w:rPr>
          <w:b/>
          <w:i/>
        </w:rPr>
      </w:pPr>
      <w:r>
        <w:rPr>
          <w:b/>
          <w:i/>
        </w:rPr>
        <w:t>Classification of Risk Levels</w:t>
      </w:r>
    </w:p>
    <w:p w14:paraId="73E5D4D5" w14:textId="77777777" w:rsidR="00BC5743" w:rsidRDefault="00BC5743" w:rsidP="00BC5743">
      <w:r>
        <w:lastRenderedPageBreak/>
        <w:t xml:space="preserve">A risk matrix is used to evaluate the amount of risk by determining the efficacy and sufficiency of the controls, as well as the probability and consequences of the risk event (Pascarella </w:t>
      </w:r>
      <w:r>
        <w:rPr>
          <w:i/>
        </w:rPr>
        <w:t>et al.</w:t>
      </w:r>
      <w:r>
        <w:t>, 2021). For the same, a risk registry is planned in the next section.</w:t>
      </w:r>
    </w:p>
    <w:p w14:paraId="5322EC22" w14:textId="77777777" w:rsidR="00BC5743" w:rsidRDefault="00BC5743" w:rsidP="00BC5743">
      <w:pPr>
        <w:rPr>
          <w:b/>
          <w:i/>
        </w:rPr>
      </w:pPr>
      <w:r>
        <w:rPr>
          <w:b/>
          <w:i/>
        </w:rPr>
        <w:t>Hazard Recognizing</w:t>
      </w:r>
    </w:p>
    <w:p w14:paraId="7DC9BED2" w14:textId="77777777" w:rsidR="00BC5743" w:rsidRDefault="00BC5743" w:rsidP="00BC5743">
      <w:r>
        <w:t xml:space="preserve">According to HSSIB (2024), the flow of patients into, </w:t>
      </w:r>
      <w:proofErr w:type="spellStart"/>
      <w:r>
        <w:t>through</w:t>
      </w:r>
      <w:proofErr w:type="spellEnd"/>
      <w:r>
        <w:t xml:space="preserve">, and out of hospitals directly affects ambulance wait times and raises concerns and hazards for patient safety across the board for the healthcare system. Throughout the healthcare system, patient safety is handled differently and does not take the "air gap" between social care and healthcare into account. A framework for patient safety accountability that holds people responsible and liable for patient safety does not exist as highlighted by Mohiuddin (2019). </w:t>
      </w:r>
    </w:p>
    <w:p w14:paraId="3FAA82C3" w14:textId="77777777" w:rsidR="00BC5743" w:rsidRDefault="00BC5743" w:rsidP="00BC5743">
      <w:pPr>
        <w:rPr>
          <w:b/>
          <w:i/>
        </w:rPr>
      </w:pPr>
      <w:r>
        <w:rPr>
          <w:b/>
          <w:i/>
        </w:rPr>
        <w:t>Reliability of the Methodology for Decision Making</w:t>
      </w:r>
    </w:p>
    <w:p w14:paraId="0B675214" w14:textId="77777777" w:rsidR="00BC5743" w:rsidRDefault="00BC5743" w:rsidP="00BC5743">
      <w:r>
        <w:t>Techniques for evaluating and handling risks, as cited by UCA and ALIZADEHEBADI (2021), are being devised to support decision-making in a variety of domains related to safety investments. Stakeholders are forced to make tough decisions on how to prioritise risk mitigation and which safety standards to focus on due to growing responsibilities and scarce resources. If businesses employ it appropriately, it might be dependable.</w:t>
      </w:r>
    </w:p>
    <w:p w14:paraId="15C47793" w14:textId="77777777" w:rsidR="00BC5743" w:rsidRDefault="00BC5743" w:rsidP="00BC5743">
      <w:pPr>
        <w:rPr>
          <w:b/>
          <w:i/>
        </w:rPr>
      </w:pPr>
      <w:r>
        <w:rPr>
          <w:b/>
          <w:i/>
        </w:rPr>
        <w:t>Response to the Identified Problems and Compliance</w:t>
      </w:r>
    </w:p>
    <w:p w14:paraId="2D2BFF9F" w14:textId="77777777" w:rsidR="00BC5743" w:rsidRDefault="00BC5743" w:rsidP="00BC5743">
      <w:r>
        <w:t xml:space="preserve">The hospital </w:t>
      </w:r>
      <w:proofErr w:type="gramStart"/>
      <w:r>
        <w:t>takes action</w:t>
      </w:r>
      <w:proofErr w:type="gramEnd"/>
      <w:r>
        <w:t xml:space="preserve"> by implementing certain steps. Provided were skilled nursing, the creation of management guidelines, and training opportunities to maintain medical staff’s operational proficiency.</w:t>
      </w:r>
      <w:r>
        <w:rPr>
          <w:b/>
        </w:rPr>
        <w:t xml:space="preserve"> </w:t>
      </w:r>
      <w:r>
        <w:t>Patient safety information, according to McGowan, Wojahn and Nicolini (2020), is collected and disseminated in accordance with the best standards. Every risk factor complies with the hospital’s organisational procedures. The creation of a patient safeguard registry is successful.</w:t>
      </w:r>
    </w:p>
    <w:p w14:paraId="0BFA399A" w14:textId="77777777" w:rsidR="00BC5743" w:rsidRDefault="00BC5743" w:rsidP="00BC5743">
      <w:pPr>
        <w:rPr>
          <w:b/>
        </w:rPr>
      </w:pPr>
      <w:r>
        <w:rPr>
          <w:b/>
        </w:rPr>
        <w:t xml:space="preserve">4. RISK ASSESSMENT REGISTER </w:t>
      </w:r>
    </w:p>
    <w:tbl>
      <w:tblPr>
        <w:tblW w:w="958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7"/>
        <w:gridCol w:w="1869"/>
        <w:gridCol w:w="1498"/>
        <w:gridCol w:w="2161"/>
        <w:gridCol w:w="1640"/>
        <w:gridCol w:w="1830"/>
      </w:tblGrid>
      <w:tr w:rsidR="00BC5743" w14:paraId="7BE5BB9B" w14:textId="77777777" w:rsidTr="00BC5743">
        <w:trPr>
          <w:cantSplit/>
          <w:trHeight w:val="770"/>
          <w:tblHeader/>
        </w:trPr>
        <w:tc>
          <w:tcPr>
            <w:tcW w:w="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807D53" w14:textId="77777777" w:rsidR="00BC5743" w:rsidRDefault="00BC5743">
            <w:pPr>
              <w:jc w:val="center"/>
              <w:rPr>
                <w:b/>
              </w:rPr>
            </w:pPr>
            <w:r>
              <w:rPr>
                <w:b/>
              </w:rPr>
              <w:lastRenderedPageBreak/>
              <w:t>Ref</w:t>
            </w:r>
          </w:p>
        </w:tc>
        <w:tc>
          <w:tcPr>
            <w:tcW w:w="18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548B5A" w14:textId="77777777" w:rsidR="00BC5743" w:rsidRDefault="00BC5743">
            <w:pPr>
              <w:jc w:val="center"/>
              <w:rPr>
                <w:b/>
              </w:rPr>
            </w:pPr>
            <w:r>
              <w:rPr>
                <w:b/>
              </w:rPr>
              <w:t>Risk Description</w:t>
            </w:r>
          </w:p>
          <w:p w14:paraId="5372F05C" w14:textId="77777777" w:rsidR="00BC5743" w:rsidRDefault="00BC5743">
            <w:pPr>
              <w:jc w:val="center"/>
              <w:rPr>
                <w:b/>
              </w:rPr>
            </w:pPr>
          </w:p>
        </w:tc>
        <w:tc>
          <w:tcPr>
            <w:tcW w:w="14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7BCC37" w14:textId="77777777" w:rsidR="00BC5743" w:rsidRDefault="00BC5743">
            <w:pPr>
              <w:jc w:val="center"/>
              <w:rPr>
                <w:b/>
              </w:rPr>
            </w:pPr>
            <w:r>
              <w:rPr>
                <w:b/>
              </w:rPr>
              <w:t>Likelihood of</w:t>
            </w:r>
          </w:p>
          <w:p w14:paraId="57564F2B" w14:textId="77777777" w:rsidR="00BC5743" w:rsidRDefault="00BC5743">
            <w:pPr>
              <w:jc w:val="center"/>
              <w:rPr>
                <w:b/>
              </w:rPr>
            </w:pPr>
            <w:r>
              <w:rPr>
                <w:b/>
              </w:rPr>
              <w:t>occurrence</w:t>
            </w:r>
          </w:p>
          <w:p w14:paraId="252801C2" w14:textId="77777777" w:rsidR="00BC5743" w:rsidRDefault="00BC5743">
            <w:pPr>
              <w:jc w:val="center"/>
              <w:rPr>
                <w:b/>
              </w:rPr>
            </w:pPr>
            <w:r>
              <w:rPr>
                <w:b/>
              </w:rPr>
              <w:t>(Score 1-5)</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840DA" w14:textId="77777777" w:rsidR="00BC5743" w:rsidRDefault="00BC5743">
            <w:pPr>
              <w:jc w:val="center"/>
              <w:rPr>
                <w:b/>
              </w:rPr>
            </w:pPr>
            <w:r>
              <w:rPr>
                <w:b/>
              </w:rPr>
              <w:t>Impact of Risk  occurrence</w:t>
            </w:r>
          </w:p>
          <w:p w14:paraId="253CA8B7" w14:textId="77777777" w:rsidR="00BC5743" w:rsidRDefault="00BC5743">
            <w:pPr>
              <w:jc w:val="center"/>
              <w:rPr>
                <w:b/>
              </w:rPr>
            </w:pPr>
            <w:r>
              <w:rPr>
                <w:b/>
              </w:rPr>
              <w:t>(Score 1-5)</w:t>
            </w:r>
          </w:p>
        </w:tc>
        <w:tc>
          <w:tcPr>
            <w:tcW w:w="1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12CD4" w14:textId="77777777" w:rsidR="00BC5743" w:rsidRDefault="00BC5743">
            <w:pPr>
              <w:jc w:val="center"/>
              <w:rPr>
                <w:b/>
              </w:rPr>
            </w:pPr>
            <w:r>
              <w:rPr>
                <w:b/>
              </w:rPr>
              <w:t>Risk Score</w:t>
            </w:r>
          </w:p>
          <w:p w14:paraId="4AC18B45" w14:textId="77777777" w:rsidR="00BC5743" w:rsidRDefault="00BC5743">
            <w:pPr>
              <w:jc w:val="center"/>
              <w:rPr>
                <w:b/>
              </w:rPr>
            </w:pPr>
            <w:r>
              <w:rPr>
                <w:b/>
              </w:rPr>
              <w:t>(Likelihood x</w:t>
            </w:r>
          </w:p>
          <w:p w14:paraId="7E08B020" w14:textId="77777777" w:rsidR="00BC5743" w:rsidRDefault="00BC5743">
            <w:pPr>
              <w:jc w:val="center"/>
              <w:rPr>
                <w:b/>
              </w:rPr>
            </w:pPr>
            <w:r>
              <w:rPr>
                <w:b/>
              </w:rPr>
              <w:t>Occurrence)</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9C891" w14:textId="77777777" w:rsidR="00BC5743" w:rsidRDefault="00BC5743">
            <w:pPr>
              <w:jc w:val="center"/>
              <w:rPr>
                <w:b/>
              </w:rPr>
            </w:pPr>
            <w:r>
              <w:rPr>
                <w:b/>
              </w:rPr>
              <w:t>Risk Severity</w:t>
            </w:r>
          </w:p>
          <w:p w14:paraId="45702FC7" w14:textId="77777777" w:rsidR="00BC5743" w:rsidRDefault="00BC5743">
            <w:pPr>
              <w:jc w:val="center"/>
              <w:rPr>
                <w:b/>
              </w:rPr>
            </w:pPr>
            <w:r>
              <w:rPr>
                <w:b/>
              </w:rPr>
              <w:t>(High, Medium, or  Low)</w:t>
            </w:r>
          </w:p>
        </w:tc>
      </w:tr>
      <w:tr w:rsidR="00BC5743" w14:paraId="6D49DCB7" w14:textId="77777777" w:rsidTr="00BC5743">
        <w:trPr>
          <w:cantSplit/>
          <w:trHeight w:val="665"/>
          <w:tblHeader/>
        </w:trPr>
        <w:tc>
          <w:tcPr>
            <w:tcW w:w="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5B331A" w14:textId="77777777" w:rsidR="00BC5743" w:rsidRDefault="00BC5743">
            <w:pPr>
              <w:jc w:val="center"/>
            </w:pPr>
            <w:r>
              <w:t>1</w:t>
            </w:r>
          </w:p>
        </w:tc>
        <w:tc>
          <w:tcPr>
            <w:tcW w:w="18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C447C8" w14:textId="77777777" w:rsidR="00BC5743" w:rsidRDefault="00BC5743">
            <w:pPr>
              <w:jc w:val="center"/>
            </w:pPr>
            <w:r>
              <w:t>Mode of Transportation</w:t>
            </w:r>
          </w:p>
        </w:tc>
        <w:tc>
          <w:tcPr>
            <w:tcW w:w="14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2AD9B" w14:textId="77777777" w:rsidR="00BC5743" w:rsidRDefault="00BC5743">
            <w:pPr>
              <w:jc w:val="center"/>
            </w:pPr>
            <w:r>
              <w:t>4</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CAE702" w14:textId="77777777" w:rsidR="00BC5743" w:rsidRDefault="00BC5743">
            <w:pPr>
              <w:jc w:val="center"/>
            </w:pPr>
            <w:r>
              <w:t>4</w:t>
            </w:r>
          </w:p>
        </w:tc>
        <w:tc>
          <w:tcPr>
            <w:tcW w:w="1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0CE716" w14:textId="77777777" w:rsidR="00BC5743" w:rsidRDefault="00BC5743">
            <w:pPr>
              <w:jc w:val="center"/>
            </w:pPr>
            <w:r>
              <w:t>4 x 4 = 16</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9E2AD" w14:textId="77777777" w:rsidR="00BC5743" w:rsidRDefault="00BC5743">
            <w:pPr>
              <w:jc w:val="center"/>
            </w:pPr>
            <w:r>
              <w:t>High</w:t>
            </w:r>
          </w:p>
        </w:tc>
      </w:tr>
      <w:tr w:rsidR="00BC5743" w14:paraId="51C3CBB7" w14:textId="77777777" w:rsidTr="00BC5743">
        <w:trPr>
          <w:cantSplit/>
          <w:trHeight w:val="655"/>
          <w:tblHeader/>
        </w:trPr>
        <w:tc>
          <w:tcPr>
            <w:tcW w:w="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A53877" w14:textId="77777777" w:rsidR="00BC5743" w:rsidRDefault="00BC5743">
            <w:pPr>
              <w:jc w:val="center"/>
            </w:pPr>
            <w:r>
              <w:t>2</w:t>
            </w:r>
          </w:p>
        </w:tc>
        <w:tc>
          <w:tcPr>
            <w:tcW w:w="18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3FAEE" w14:textId="77777777" w:rsidR="00BC5743" w:rsidRDefault="00BC5743">
            <w:pPr>
              <w:jc w:val="center"/>
            </w:pPr>
            <w:r>
              <w:t>Health and Safety of Patients</w:t>
            </w:r>
          </w:p>
        </w:tc>
        <w:tc>
          <w:tcPr>
            <w:tcW w:w="14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E6429" w14:textId="77777777" w:rsidR="00BC5743" w:rsidRDefault="00BC5743">
            <w:pPr>
              <w:jc w:val="center"/>
            </w:pPr>
            <w:r>
              <w:t>4</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0561B9" w14:textId="77777777" w:rsidR="00BC5743" w:rsidRDefault="00BC5743">
            <w:pPr>
              <w:jc w:val="center"/>
            </w:pPr>
            <w:r>
              <w:t>3</w:t>
            </w:r>
          </w:p>
        </w:tc>
        <w:tc>
          <w:tcPr>
            <w:tcW w:w="1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2AE2E" w14:textId="77777777" w:rsidR="00BC5743" w:rsidRDefault="00BC5743">
            <w:pPr>
              <w:jc w:val="center"/>
            </w:pPr>
            <w:r>
              <w:t>4 x 3 = 12</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0E87C" w14:textId="77777777" w:rsidR="00BC5743" w:rsidRDefault="00BC5743">
            <w:pPr>
              <w:jc w:val="center"/>
            </w:pPr>
            <w:r>
              <w:t>High</w:t>
            </w:r>
          </w:p>
        </w:tc>
      </w:tr>
      <w:tr w:rsidR="00BC5743" w14:paraId="43F403A6" w14:textId="77777777" w:rsidTr="00BC5743">
        <w:trPr>
          <w:cantSplit/>
          <w:trHeight w:val="670"/>
          <w:tblHeader/>
        </w:trPr>
        <w:tc>
          <w:tcPr>
            <w:tcW w:w="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B102F" w14:textId="77777777" w:rsidR="00BC5743" w:rsidRDefault="00BC5743">
            <w:pPr>
              <w:jc w:val="center"/>
            </w:pPr>
            <w:r>
              <w:t>3</w:t>
            </w:r>
          </w:p>
        </w:tc>
        <w:tc>
          <w:tcPr>
            <w:tcW w:w="18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8B9B6" w14:textId="77777777" w:rsidR="00BC5743" w:rsidRDefault="00BC5743">
            <w:pPr>
              <w:jc w:val="center"/>
            </w:pPr>
            <w:r>
              <w:t>Communication and Coordination</w:t>
            </w:r>
          </w:p>
        </w:tc>
        <w:tc>
          <w:tcPr>
            <w:tcW w:w="14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D93E67" w14:textId="77777777" w:rsidR="00BC5743" w:rsidRDefault="00BC5743">
            <w:pPr>
              <w:jc w:val="center"/>
            </w:pPr>
            <w:r>
              <w:t>3</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BD39A" w14:textId="77777777" w:rsidR="00BC5743" w:rsidRDefault="00BC5743">
            <w:pPr>
              <w:jc w:val="center"/>
            </w:pPr>
            <w:r>
              <w:t>4</w:t>
            </w:r>
          </w:p>
        </w:tc>
        <w:tc>
          <w:tcPr>
            <w:tcW w:w="1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1A125" w14:textId="77777777" w:rsidR="00BC5743" w:rsidRDefault="00BC5743">
            <w:pPr>
              <w:jc w:val="center"/>
            </w:pPr>
            <w:r>
              <w:t>3 x 4 = 12</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FFF5A" w14:textId="77777777" w:rsidR="00BC5743" w:rsidRDefault="00BC5743">
            <w:pPr>
              <w:jc w:val="center"/>
            </w:pPr>
            <w:r>
              <w:t>High</w:t>
            </w:r>
          </w:p>
        </w:tc>
      </w:tr>
      <w:tr w:rsidR="00BC5743" w14:paraId="763D4B82" w14:textId="77777777" w:rsidTr="00BC5743">
        <w:trPr>
          <w:cantSplit/>
          <w:trHeight w:val="665"/>
          <w:tblHeader/>
        </w:trPr>
        <w:tc>
          <w:tcPr>
            <w:tcW w:w="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3CDCFD" w14:textId="77777777" w:rsidR="00BC5743" w:rsidRDefault="00BC5743">
            <w:pPr>
              <w:jc w:val="center"/>
            </w:pPr>
            <w:r>
              <w:t>4</w:t>
            </w:r>
          </w:p>
        </w:tc>
        <w:tc>
          <w:tcPr>
            <w:tcW w:w="18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F675AE" w14:textId="77777777" w:rsidR="00BC5743" w:rsidRDefault="00BC5743">
            <w:pPr>
              <w:jc w:val="center"/>
            </w:pPr>
            <w:r>
              <w:t>Trained Medical Staff</w:t>
            </w:r>
          </w:p>
        </w:tc>
        <w:tc>
          <w:tcPr>
            <w:tcW w:w="14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0D6EA8" w14:textId="77777777" w:rsidR="00BC5743" w:rsidRDefault="00BC5743">
            <w:pPr>
              <w:jc w:val="center"/>
            </w:pPr>
            <w:r>
              <w:t>2</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AD05E" w14:textId="77777777" w:rsidR="00BC5743" w:rsidRDefault="00BC5743">
            <w:pPr>
              <w:jc w:val="center"/>
            </w:pPr>
            <w:r>
              <w:t>3</w:t>
            </w:r>
          </w:p>
        </w:tc>
        <w:tc>
          <w:tcPr>
            <w:tcW w:w="1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F85582" w14:textId="77777777" w:rsidR="00BC5743" w:rsidRDefault="00BC5743">
            <w:pPr>
              <w:jc w:val="center"/>
            </w:pPr>
            <w:r>
              <w:t>2 x 3 = 6</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507E8" w14:textId="77777777" w:rsidR="00BC5743" w:rsidRDefault="00BC5743">
            <w:pPr>
              <w:jc w:val="center"/>
            </w:pPr>
            <w:r>
              <w:t>Low</w:t>
            </w:r>
          </w:p>
        </w:tc>
      </w:tr>
      <w:tr w:rsidR="00BC5743" w14:paraId="46CFECF2" w14:textId="77777777" w:rsidTr="00BC5743">
        <w:trPr>
          <w:cantSplit/>
          <w:trHeight w:val="654"/>
          <w:tblHeader/>
        </w:trPr>
        <w:tc>
          <w:tcPr>
            <w:tcW w:w="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86C0B9" w14:textId="77777777" w:rsidR="00BC5743" w:rsidRDefault="00BC5743">
            <w:pPr>
              <w:jc w:val="center"/>
            </w:pPr>
            <w:r>
              <w:t>5</w:t>
            </w:r>
          </w:p>
        </w:tc>
        <w:tc>
          <w:tcPr>
            <w:tcW w:w="18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C54D8" w14:textId="77777777" w:rsidR="00BC5743" w:rsidRDefault="00BC5743">
            <w:pPr>
              <w:jc w:val="center"/>
            </w:pPr>
            <w:r>
              <w:t>Provision for Well-Equipped Ward after Arrival of Patients</w:t>
            </w:r>
          </w:p>
        </w:tc>
        <w:tc>
          <w:tcPr>
            <w:tcW w:w="14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6FC1EE" w14:textId="77777777" w:rsidR="00BC5743" w:rsidRDefault="00BC5743">
            <w:pPr>
              <w:jc w:val="center"/>
            </w:pPr>
            <w:r>
              <w:t>3</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6F8AAC" w14:textId="77777777" w:rsidR="00BC5743" w:rsidRDefault="00BC5743">
            <w:pPr>
              <w:jc w:val="center"/>
            </w:pPr>
            <w:r>
              <w:t>3</w:t>
            </w:r>
          </w:p>
        </w:tc>
        <w:tc>
          <w:tcPr>
            <w:tcW w:w="16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7BFB3" w14:textId="77777777" w:rsidR="00BC5743" w:rsidRDefault="00BC5743">
            <w:pPr>
              <w:jc w:val="center"/>
            </w:pPr>
            <w:r>
              <w:t>3 x 3 = 9</w:t>
            </w:r>
          </w:p>
        </w:tc>
        <w:tc>
          <w:tcPr>
            <w:tcW w:w="18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2205A" w14:textId="77777777" w:rsidR="00BC5743" w:rsidRDefault="00BC5743">
            <w:pPr>
              <w:jc w:val="center"/>
            </w:pPr>
            <w:r>
              <w:t>Medium</w:t>
            </w:r>
          </w:p>
        </w:tc>
      </w:tr>
    </w:tbl>
    <w:p w14:paraId="31C1C7FF" w14:textId="77777777" w:rsidR="00BC5743" w:rsidRDefault="00BC5743" w:rsidP="00BC5743">
      <w:pPr>
        <w:spacing w:after="0"/>
        <w:jc w:val="left"/>
        <w:sectPr w:rsidR="00BC5743" w:rsidSect="00C309D2">
          <w:type w:val="continuous"/>
          <w:pgSz w:w="11900" w:h="16840"/>
          <w:pgMar w:top="1440" w:right="1080" w:bottom="1440" w:left="1080" w:header="0" w:footer="720" w:gutter="0"/>
          <w:cols w:space="720"/>
        </w:sectPr>
      </w:pPr>
    </w:p>
    <w:p w14:paraId="7222516F" w14:textId="77777777" w:rsidR="00BC5743" w:rsidRDefault="00BC5743" w:rsidP="00BC5743"/>
    <w:p w14:paraId="299AFA53" w14:textId="77777777" w:rsidR="00BC5743" w:rsidRDefault="00BC5743" w:rsidP="00BC5743">
      <w:pPr>
        <w:rPr>
          <w:b/>
        </w:rPr>
      </w:pPr>
      <w:r>
        <w:rPr>
          <w:b/>
        </w:rPr>
        <w:t xml:space="preserve">5.0 CONCLUSION AND RECOMMENDATIONS </w:t>
      </w:r>
    </w:p>
    <w:p w14:paraId="39820451" w14:textId="77777777" w:rsidR="00BC5743" w:rsidRDefault="00BC5743" w:rsidP="00BC5743">
      <w:r>
        <w:t xml:space="preserve">The report focused on the risks associated with moving dementia patients to a new unit at a hospital site where a special unit for dementia patients has been recognized. The method of Decision Matrix Risk Assessment (DMRA) is used in the report to scrutinise and assess a </w:t>
      </w:r>
      <w:r>
        <w:lastRenderedPageBreak/>
        <w:t>range of dangers, categorising them based on their likelihood and consequence. Among the chief risk areas are the accessibility of medical staff all the way through the transfer, the efficacy of the transportation system, and the new ward’s awareness of how to deal with the specific needs of patients suffering from dementia. Coordinating with medical teams, doing a thorough risk evaluation prior to patient transfer, and ensuring ample resources and staff workers with the necessary skills in the new unit are all highly valued aspects of the process. Risk levels are categorised using a risk matrix, which facilitates the appraisal of the value of the controls in place and the recognition of areas that necessitate upgrading. In addition to recognising the necessity of continual risk assessment and mitigation, the article underlines the importance of adhering to industry principles and organisational measures. The hospital implements policies and processes, such as staff guidance, management values, and the creation of patient safety registries, to address such issues and ensure patient wellness as suggested by National Academy of Sciences (2000). The report emphasised the significance of upbeat risk management in medical settings, particularly when working with susceptible patient populations like dementia fatalities. By carrying out an in-depth risk assessment and following a set protocol, healthcare services may lower probable hazards and improve patient wellbeing and treatment excellence. </w:t>
      </w:r>
    </w:p>
    <w:p w14:paraId="4BEC59D0" w14:textId="77777777" w:rsidR="00BC5743" w:rsidRDefault="00BC5743" w:rsidP="00BC5743">
      <w:pPr>
        <w:jc w:val="left"/>
        <w:rPr>
          <w:b/>
          <w:i/>
        </w:rPr>
      </w:pPr>
      <w:r>
        <w:rPr>
          <w:b/>
          <w:i/>
        </w:rPr>
        <w:t>Recommendations</w:t>
      </w:r>
    </w:p>
    <w:p w14:paraId="453E57DB" w14:textId="77777777" w:rsidR="00BC5743" w:rsidRDefault="00BC5743" w:rsidP="00BC5743">
      <w:r>
        <w:t xml:space="preserve">Shift is a crucial, but occasionally disregarded part of a patient’s ongoing healing if they also necessitate further consideration as mentioned by Ghorbanzadeh </w:t>
      </w:r>
      <w:r>
        <w:rPr>
          <w:i/>
        </w:rPr>
        <w:t>et al</w:t>
      </w:r>
      <w:r>
        <w:t xml:space="preserve"> (2021). Shifts ought to only be in progress after a thorough analysis of the risks and rewards involved. The idea of "stabilise and shift" should strengthen patient transfer, with patient stabilisation preliminary at the moving competence and extending through to the receiving facility. A vital component of a safe journey is having skilled transport staff that can anticipate and handle any issues that may arise along the way. The criterion must be well-run to reproduce the physical infrastructure that emerging nations have access to, along with regular evaluation of its quality (Kulshrestha and Singh, 2016).</w:t>
      </w:r>
      <w:r>
        <w:br w:type="page"/>
      </w:r>
    </w:p>
    <w:p w14:paraId="0D068277" w14:textId="753F0AE6" w:rsidR="00BC5743" w:rsidRPr="00902840" w:rsidRDefault="00BC5743" w:rsidP="00902840">
      <w:pPr>
        <w:pStyle w:val="Heading1"/>
        <w:spacing w:before="0" w:after="200"/>
        <w:sectPr w:rsidR="00BC5743" w:rsidRPr="00902840" w:rsidSect="00C309D2">
          <w:type w:val="continuous"/>
          <w:pgSz w:w="11900" w:h="16840"/>
          <w:pgMar w:top="1440" w:right="1080" w:bottom="1440" w:left="1080" w:header="0" w:footer="720" w:gutter="0"/>
          <w:cols w:space="720"/>
        </w:sectPr>
      </w:pPr>
    </w:p>
    <w:p w14:paraId="11C5A956" w14:textId="77777777" w:rsidR="00902840" w:rsidRDefault="00902840" w:rsidP="00BC5743"/>
    <w:p w14:paraId="396F2ADA" w14:textId="6ED08D12" w:rsidR="00902840" w:rsidRDefault="00902840" w:rsidP="00BC5743">
      <w:r>
        <w:t>References</w:t>
      </w:r>
    </w:p>
    <w:p w14:paraId="3B6BE3C8" w14:textId="77777777" w:rsidR="00902840" w:rsidRDefault="00902840" w:rsidP="00BC5743"/>
    <w:p w14:paraId="4DC7D0B8" w14:textId="78CBBF04" w:rsidR="00BC5743" w:rsidRDefault="00BC5743" w:rsidP="00BC5743">
      <w:r>
        <w:t xml:space="preserve">ahrq.gov, (2023). </w:t>
      </w:r>
      <w:r>
        <w:rPr>
          <w:i/>
        </w:rPr>
        <w:t>Clinical Decision Support.</w:t>
      </w:r>
      <w:r>
        <w:t xml:space="preserve"> [online] Available at: </w:t>
      </w:r>
      <w:hyperlink r:id="rId5" w:history="1">
        <w:r>
          <w:rPr>
            <w:rStyle w:val="Hyperlink"/>
          </w:rPr>
          <w:t>https://www.ahrq.gov/cpi/about/otherwebsites/clinical-decision-support/index.html</w:t>
        </w:r>
      </w:hyperlink>
      <w:r>
        <w:t xml:space="preserve"> [Accessed on 2nd March, 2024]</w:t>
      </w:r>
    </w:p>
    <w:p w14:paraId="059EF33F" w14:textId="70D02D64" w:rsidR="00BC5743" w:rsidRDefault="00BC5743" w:rsidP="00BC5743">
      <w:r>
        <w:t xml:space="preserve">Alzheimer's Association, (2024). </w:t>
      </w:r>
      <w:r>
        <w:rPr>
          <w:i/>
        </w:rPr>
        <w:t>What Is Dementia?</w:t>
      </w:r>
      <w:r>
        <w:t xml:space="preserve"> [online] Available at: </w:t>
      </w:r>
      <w:hyperlink r:id="rId6" w:history="1">
        <w:r>
          <w:rPr>
            <w:rStyle w:val="Hyperlink"/>
          </w:rPr>
          <w:t>https://www.alz.org/alzheimers-dementia/what-is-dementia</w:t>
        </w:r>
      </w:hyperlink>
      <w:r>
        <w:t xml:space="preserve"> [Accessed on 2nd </w:t>
      </w:r>
      <w:r w:rsidR="00902840">
        <w:t>March</w:t>
      </w:r>
      <w:r>
        <w:t xml:space="preserve"> 2024]</w:t>
      </w:r>
    </w:p>
    <w:p w14:paraId="3DE6678B" w14:textId="6EA5EAAC" w:rsidR="00BC5743" w:rsidRDefault="00BC5743" w:rsidP="00BC5743">
      <w:r>
        <w:t xml:space="preserve">Catalyst, N.E.J.M., (2018). What is risk management in </w:t>
      </w:r>
      <w:r w:rsidR="00902840">
        <w:t>healthcare?</w:t>
      </w:r>
      <w:r>
        <w:t xml:space="preserve"> </w:t>
      </w:r>
      <w:r>
        <w:rPr>
          <w:i/>
        </w:rPr>
        <w:t>NEJM Catalyst, 4</w:t>
      </w:r>
      <w:r>
        <w:t>(2).</w:t>
      </w:r>
    </w:p>
    <w:p w14:paraId="4B1F070D" w14:textId="77777777" w:rsidR="00BC5743" w:rsidRDefault="00BC5743" w:rsidP="00BC5743">
      <w:r>
        <w:t>Ghorbanzadeh, K., Ebadi, A., Hosseini, M., Madah, S.S.B. and Khankeh, H., 2021. Challenges of the patient transition process from the intensive care unit: a qualitative study. </w:t>
      </w:r>
      <w:r>
        <w:rPr>
          <w:i/>
          <w:iCs/>
        </w:rPr>
        <w:t>Acute and Critical Care</w:t>
      </w:r>
      <w:r>
        <w:t>, </w:t>
      </w:r>
      <w:r>
        <w:rPr>
          <w:i/>
          <w:iCs/>
        </w:rPr>
        <w:t>36</w:t>
      </w:r>
      <w:r>
        <w:t>(2), p.133.</w:t>
      </w:r>
    </w:p>
    <w:p w14:paraId="005E6979" w14:textId="77777777" w:rsidR="00BC5743" w:rsidRDefault="00BC5743" w:rsidP="00BC5743">
      <w:r>
        <w:t>HSSIB, (2024</w:t>
      </w:r>
      <w:r>
        <w:rPr>
          <w:i/>
        </w:rPr>
        <w:t>). Harm caused by delays in transferring patients to the right place of care.</w:t>
      </w:r>
      <w:r>
        <w:t xml:space="preserve"> [online] Available at: </w:t>
      </w:r>
      <w:hyperlink r:id="rId7" w:history="1">
        <w:r>
          <w:rPr>
            <w:rStyle w:val="Hyperlink"/>
            <w:color w:val="0000FF"/>
          </w:rPr>
          <w:t>https://www.hssib.org.uk/patient-safety-investigations/harm-caused-by-delays-in-transferring-patients-to-the-right-place-of-care/</w:t>
        </w:r>
      </w:hyperlink>
      <w:r>
        <w:t xml:space="preserve"> [Accessed on 2nd April, 2024]</w:t>
      </w:r>
    </w:p>
    <w:p w14:paraId="41010213" w14:textId="77777777" w:rsidR="00BC5743" w:rsidRDefault="00BC5743" w:rsidP="00BC5743">
      <w:r>
        <w:t>Kovacevic, N., Stojiljkovic, A. and Kovac, M., (2019). Application of the matrix approach in risk assessment. </w:t>
      </w:r>
      <w:r>
        <w:rPr>
          <w:i/>
          <w:iCs/>
        </w:rPr>
        <w:t>Oper. Res. Eng. Sci. Theory Appl</w:t>
      </w:r>
      <w:r>
        <w:t>, </w:t>
      </w:r>
      <w:r>
        <w:rPr>
          <w:i/>
          <w:iCs/>
        </w:rPr>
        <w:t>2</w:t>
      </w:r>
      <w:r>
        <w:t xml:space="preserve">(3), pp.55-64. </w:t>
      </w:r>
    </w:p>
    <w:p w14:paraId="5EB978CE" w14:textId="77777777" w:rsidR="00BC5743" w:rsidRDefault="00BC5743" w:rsidP="00BC5743">
      <w:r>
        <w:t xml:space="preserve">Kulshrestha, A. and Singh, J., (2016). Inter-hospital and intra-hospital patient transfer: Recent concepts. </w:t>
      </w:r>
      <w:r>
        <w:rPr>
          <w:i/>
        </w:rPr>
        <w:t>Indian journal of anaesthesia, 60</w:t>
      </w:r>
      <w:r>
        <w:t>(7), pp.451-457.</w:t>
      </w:r>
    </w:p>
    <w:p w14:paraId="0C5C6043" w14:textId="77777777" w:rsidR="00BC5743" w:rsidRDefault="00BC5743" w:rsidP="00BC5743">
      <w:r>
        <w:t>Malhi, R., McElveen, J. and O’Donnell, L., (2021). Palliative care of the patient with dementia. </w:t>
      </w:r>
      <w:r>
        <w:rPr>
          <w:i/>
          <w:iCs/>
        </w:rPr>
        <w:t>Delaware Journal of Public Health</w:t>
      </w:r>
      <w:r>
        <w:t>, </w:t>
      </w:r>
      <w:r>
        <w:rPr>
          <w:i/>
          <w:iCs/>
        </w:rPr>
        <w:t>7</w:t>
      </w:r>
      <w:r>
        <w:t>(4), p.92.</w:t>
      </w:r>
    </w:p>
    <w:p w14:paraId="4EE5B39E" w14:textId="77777777" w:rsidR="00BC5743" w:rsidRDefault="00BC5743" w:rsidP="00BC5743">
      <w:r>
        <w:t>McGowan, J., Wojahn, A. and Nicolini, J.R., (2020). Risk management event evaluation and responsibilities.</w:t>
      </w:r>
    </w:p>
    <w:p w14:paraId="5D28A6F6" w14:textId="77777777" w:rsidR="00BC5743" w:rsidRDefault="00BC5743" w:rsidP="00BC5743">
      <w:r>
        <w:t>Mohiuddin, A.K., (2019). Framework for patient safety. </w:t>
      </w:r>
      <w:r>
        <w:rPr>
          <w:i/>
          <w:iCs/>
        </w:rPr>
        <w:t>Innovations in pharmacy</w:t>
      </w:r>
      <w:r>
        <w:t>, </w:t>
      </w:r>
      <w:r>
        <w:rPr>
          <w:i/>
          <w:iCs/>
        </w:rPr>
        <w:t>10</w:t>
      </w:r>
      <w:r>
        <w:t>(1).</w:t>
      </w:r>
    </w:p>
    <w:p w14:paraId="7B9A2127" w14:textId="77777777" w:rsidR="00BC5743" w:rsidRDefault="00BC5743" w:rsidP="00BC5743">
      <w:r>
        <w:lastRenderedPageBreak/>
        <w:t xml:space="preserve">National Academy of Sciences, (2000). </w:t>
      </w:r>
      <w:r>
        <w:rPr>
          <w:i/>
        </w:rPr>
        <w:t xml:space="preserve">Creating Safety Systems in Health Care Organizations. </w:t>
      </w:r>
      <w:r>
        <w:t xml:space="preserve">[online] Available at: </w:t>
      </w:r>
      <w:hyperlink r:id="rId8" w:history="1">
        <w:r>
          <w:rPr>
            <w:rStyle w:val="Hyperlink"/>
          </w:rPr>
          <w:t>https://www.ncbi.nlm.nih.gov/books/NBK225188/</w:t>
        </w:r>
      </w:hyperlink>
      <w:r>
        <w:t xml:space="preserve"> [Accessed on 2nd </w:t>
      </w:r>
      <w:proofErr w:type="gramStart"/>
      <w:r>
        <w:t>March,</w:t>
      </w:r>
      <w:proofErr w:type="gramEnd"/>
      <w:r>
        <w:t xml:space="preserve"> 2024]</w:t>
      </w:r>
    </w:p>
    <w:p w14:paraId="62F6C3AF" w14:textId="77777777" w:rsidR="00BC5743" w:rsidRDefault="00BC5743" w:rsidP="00BC5743">
      <w:r>
        <w:t>Nikolaisen, M.K., Fridh, S. and Olsen, B.F., (2023). Patient transfer from intensive care units to general wards: An exploratory qualitative study of ward nurses’ experiences of patient safety. Nursing Open, 10(10), pp.6769-6776.</w:t>
      </w:r>
    </w:p>
    <w:p w14:paraId="2FBE0DC8" w14:textId="77777777" w:rsidR="00BC5743" w:rsidRDefault="00BC5743" w:rsidP="00BC5743">
      <w:r>
        <w:t xml:space="preserve">Pascarella, G., Rossi, M., Montella, E., Capasso, A., De Feo, G., Botti, G., Nardone, A., Montuori, P., Triassi, M., D’Auria, S. and Morabito, A., (2021). Risk analysis in healthcare organizations: Methodological framework and critical variables. </w:t>
      </w:r>
      <w:r>
        <w:rPr>
          <w:i/>
        </w:rPr>
        <w:t xml:space="preserve">Risk management and healthcare policy, </w:t>
      </w:r>
      <w:r>
        <w:t>pp.2897-2911.</w:t>
      </w:r>
    </w:p>
    <w:p w14:paraId="29237924" w14:textId="77777777" w:rsidR="00BC5743" w:rsidRDefault="00BC5743" w:rsidP="00BC5743">
      <w:r>
        <w:t>Rimondini, M., Busch, I.M., Mazzi, M.A., Donisi, V., Poli, A., Bovolenta, E. and Moretti, F., (2019). Patient empowerment in risk management: a mixed-method study to explore mental health professionals’ perspective. </w:t>
      </w:r>
      <w:r>
        <w:rPr>
          <w:i/>
          <w:iCs/>
        </w:rPr>
        <w:t>BMC health services research</w:t>
      </w:r>
      <w:r>
        <w:t>, </w:t>
      </w:r>
      <w:r>
        <w:rPr>
          <w:i/>
          <w:iCs/>
        </w:rPr>
        <w:t>19</w:t>
      </w:r>
      <w:r>
        <w:t>, pp.1-12.</w:t>
      </w:r>
    </w:p>
    <w:p w14:paraId="50EB187E" w14:textId="77777777" w:rsidR="00BC5743" w:rsidRDefault="00BC5743" w:rsidP="00BC5743">
      <w:r>
        <w:t xml:space="preserve">Shaikh, U., (2020). </w:t>
      </w:r>
      <w:r>
        <w:rPr>
          <w:i/>
        </w:rPr>
        <w:t>Improving Patient Safety and Team Communication through Daily Huddles.</w:t>
      </w:r>
      <w:r>
        <w:t xml:space="preserve"> [online] Available at: </w:t>
      </w:r>
      <w:hyperlink r:id="rId9" w:history="1">
        <w:r>
          <w:rPr>
            <w:rStyle w:val="Hyperlink"/>
          </w:rPr>
          <w:t>https://psnet.ahrq.gov/primer/improving-patient-safety-and-team-communication-through-daily-huddles</w:t>
        </w:r>
      </w:hyperlink>
      <w:r>
        <w:t xml:space="preserve"> [Accessed on 2nd March, 2024] </w:t>
      </w:r>
    </w:p>
    <w:p w14:paraId="66177F60" w14:textId="77777777" w:rsidR="00BC5743" w:rsidRDefault="00BC5743" w:rsidP="00BC5743">
      <w:r>
        <w:t>Springer, C.G., (2009). Strategic management of three critical levels of risk. </w:t>
      </w:r>
      <w:r>
        <w:rPr>
          <w:i/>
          <w:iCs/>
        </w:rPr>
        <w:t>PA Times</w:t>
      </w:r>
      <w:r>
        <w:t>, </w:t>
      </w:r>
      <w:r>
        <w:rPr>
          <w:i/>
          <w:iCs/>
        </w:rPr>
        <w:t>32</w:t>
      </w:r>
      <w:r>
        <w:t xml:space="preserve">(10). </w:t>
      </w:r>
    </w:p>
    <w:p w14:paraId="2E7E6B67" w14:textId="77777777" w:rsidR="00BC5743" w:rsidRDefault="00BC5743" w:rsidP="00BC5743">
      <w:r>
        <w:t>Tomak, N. and Polat, T.K., (2022). Risk prioritization model driven by success factor in the light of multicriteria decision making. </w:t>
      </w:r>
      <w:r>
        <w:rPr>
          <w:i/>
          <w:iCs/>
        </w:rPr>
        <w:t>Open Chemistry</w:t>
      </w:r>
      <w:r>
        <w:t>, </w:t>
      </w:r>
      <w:r>
        <w:rPr>
          <w:i/>
          <w:iCs/>
        </w:rPr>
        <w:t>20</w:t>
      </w:r>
      <w:r>
        <w:t>(1), pp.759-776.</w:t>
      </w:r>
    </w:p>
    <w:p w14:paraId="42EB2CFA" w14:textId="77777777" w:rsidR="00BC5743" w:rsidRDefault="00BC5743" w:rsidP="00BC5743">
      <w:r>
        <w:t>UCA, M. and ALIZADEHEBADI, L., (2021). Risk Analysis and Assessment Using Decision Matrix Risk Assessment Technique in Sports: The Case of Boxing.</w:t>
      </w:r>
    </w:p>
    <w:p w14:paraId="53295580" w14:textId="2B3AF59F" w:rsidR="00BC5743" w:rsidRDefault="00BC5743" w:rsidP="00BC5743">
      <w:pPr>
        <w:rPr>
          <w:b/>
        </w:rPr>
      </w:pPr>
      <w:r>
        <w:t xml:space="preserve">WHO, (2023), </w:t>
      </w:r>
      <w:r>
        <w:rPr>
          <w:i/>
        </w:rPr>
        <w:t>Dementia.</w:t>
      </w:r>
      <w:r>
        <w:t xml:space="preserve"> [online] Available at: </w:t>
      </w:r>
      <w:hyperlink r:id="rId10" w:history="1">
        <w:r>
          <w:rPr>
            <w:rStyle w:val="Hyperlink"/>
            <w:color w:val="0000FF"/>
          </w:rPr>
          <w:t>https://www.who.int/news-room/fact-sheets/detail/dementia</w:t>
        </w:r>
      </w:hyperlink>
      <w:r>
        <w:t xml:space="preserve"> [Accessed on 2nd </w:t>
      </w:r>
      <w:r w:rsidR="00902840">
        <w:t>March</w:t>
      </w:r>
      <w:r>
        <w:t xml:space="preserve"> 2024]</w:t>
      </w:r>
    </w:p>
    <w:p w14:paraId="73C1F1CE" w14:textId="77777777" w:rsidR="00BC5743" w:rsidRDefault="00BC5743" w:rsidP="00BC5743">
      <w:r>
        <w:t xml:space="preserve">Yang, J., (2023). </w:t>
      </w:r>
      <w:r>
        <w:rPr>
          <w:i/>
        </w:rPr>
        <w:t>Dementia policy effectiveness index rating in the United Kingdom (UK) in 2021, by category.</w:t>
      </w:r>
      <w:r>
        <w:t xml:space="preserve"> [online] Available at: </w:t>
      </w:r>
      <w:hyperlink r:id="rId11" w:history="1">
        <w:r>
          <w:rPr>
            <w:rStyle w:val="Hyperlink"/>
            <w:color w:val="0000FF"/>
          </w:rPr>
          <w:t>https://www.statista.com/statistics/1293603/dementia-policy-ratings-in-the-uk/</w:t>
        </w:r>
      </w:hyperlink>
      <w:r>
        <w:t xml:space="preserve"> [Accessed on 2nd March, 2024]</w:t>
      </w:r>
    </w:p>
    <w:p w14:paraId="275A1FF8" w14:textId="77777777" w:rsidR="00DF3004" w:rsidRDefault="00DF3004"/>
    <w:sectPr w:rsidR="00DF30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743"/>
    <w:rsid w:val="00902840"/>
    <w:rsid w:val="00B35339"/>
    <w:rsid w:val="00BC5743"/>
    <w:rsid w:val="00C309D2"/>
    <w:rsid w:val="00DF3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5284B"/>
  <w15:chartTrackingRefBased/>
  <w15:docId w15:val="{297C1BB6-D09D-40CE-9F31-10A3FF56F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743"/>
    <w:pPr>
      <w:spacing w:after="200" w:line="360" w:lineRule="auto"/>
      <w:jc w:val="both"/>
    </w:pPr>
    <w:rPr>
      <w:rFonts w:ascii="Arial" w:eastAsia="Arial" w:hAnsi="Arial" w:cs="Arial"/>
      <w:kern w:val="0"/>
      <w:sz w:val="24"/>
      <w:szCs w:val="24"/>
      <w14:ligatures w14:val="none"/>
    </w:rPr>
  </w:style>
  <w:style w:type="paragraph" w:styleId="Heading1">
    <w:name w:val="heading 1"/>
    <w:basedOn w:val="Normal"/>
    <w:next w:val="Normal"/>
    <w:link w:val="Heading1Char"/>
    <w:uiPriority w:val="9"/>
    <w:qFormat/>
    <w:rsid w:val="00BC5743"/>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C5743"/>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C5743"/>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C5743"/>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BC5743"/>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BC5743"/>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BC5743"/>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BC5743"/>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BC5743"/>
    <w:pPr>
      <w:keepNext/>
      <w:keepLines/>
      <w:spacing w:after="0" w:line="259" w:lineRule="auto"/>
      <w:jc w:val="left"/>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5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5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743"/>
    <w:rPr>
      <w:rFonts w:eastAsiaTheme="majorEastAsia" w:cstheme="majorBidi"/>
      <w:color w:val="272727" w:themeColor="text1" w:themeTint="D8"/>
    </w:rPr>
  </w:style>
  <w:style w:type="paragraph" w:styleId="Title">
    <w:name w:val="Title"/>
    <w:basedOn w:val="Normal"/>
    <w:next w:val="Normal"/>
    <w:link w:val="TitleChar"/>
    <w:uiPriority w:val="10"/>
    <w:qFormat/>
    <w:rsid w:val="00BC5743"/>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C5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743"/>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C5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743"/>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BC5743"/>
    <w:rPr>
      <w:i/>
      <w:iCs/>
      <w:color w:val="404040" w:themeColor="text1" w:themeTint="BF"/>
    </w:rPr>
  </w:style>
  <w:style w:type="paragraph" w:styleId="ListParagraph">
    <w:name w:val="List Paragraph"/>
    <w:basedOn w:val="Normal"/>
    <w:uiPriority w:val="34"/>
    <w:qFormat/>
    <w:rsid w:val="00BC5743"/>
    <w:pPr>
      <w:spacing w:after="160" w:line="259" w:lineRule="auto"/>
      <w:ind w:left="720"/>
      <w:contextualSpacing/>
      <w:jc w:val="left"/>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BC5743"/>
    <w:rPr>
      <w:i/>
      <w:iCs/>
      <w:color w:val="0F4761" w:themeColor="accent1" w:themeShade="BF"/>
    </w:rPr>
  </w:style>
  <w:style w:type="paragraph" w:styleId="IntenseQuote">
    <w:name w:val="Intense Quote"/>
    <w:basedOn w:val="Normal"/>
    <w:next w:val="Normal"/>
    <w:link w:val="IntenseQuoteChar"/>
    <w:uiPriority w:val="30"/>
    <w:qFormat/>
    <w:rsid w:val="00BC574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BC5743"/>
    <w:rPr>
      <w:i/>
      <w:iCs/>
      <w:color w:val="0F4761" w:themeColor="accent1" w:themeShade="BF"/>
    </w:rPr>
  </w:style>
  <w:style w:type="character" w:styleId="IntenseReference">
    <w:name w:val="Intense Reference"/>
    <w:basedOn w:val="DefaultParagraphFont"/>
    <w:uiPriority w:val="32"/>
    <w:qFormat/>
    <w:rsid w:val="00BC5743"/>
    <w:rPr>
      <w:b/>
      <w:bCs/>
      <w:smallCaps/>
      <w:color w:val="0F4761" w:themeColor="accent1" w:themeShade="BF"/>
      <w:spacing w:val="5"/>
    </w:rPr>
  </w:style>
  <w:style w:type="character" w:styleId="Hyperlink">
    <w:name w:val="Hyperlink"/>
    <w:basedOn w:val="DefaultParagraphFont"/>
    <w:uiPriority w:val="99"/>
    <w:semiHidden/>
    <w:unhideWhenUsed/>
    <w:rsid w:val="00BC574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87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22518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ssib.org.uk/patient-safety-investigations/harm-caused-by-delays-in-transferring-patients-to-the-right-place-of-car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z.org/alzheimers-dementia/what-is-dementia" TargetMode="External"/><Relationship Id="rId11" Type="http://schemas.openxmlformats.org/officeDocument/2006/relationships/hyperlink" Target="https://www.statista.com/statistics/1293603/dementia-policy-ratings-in-the-uk/" TargetMode="External"/><Relationship Id="rId5" Type="http://schemas.openxmlformats.org/officeDocument/2006/relationships/hyperlink" Target="https://www.ahrq.gov/cpi/about/otherwebsites/clinical-decision-support/index.html" TargetMode="External"/><Relationship Id="rId10" Type="http://schemas.openxmlformats.org/officeDocument/2006/relationships/hyperlink" Target="https://www.who.int/news-room/fact-sheets/detail/dementia" TargetMode="External"/><Relationship Id="rId4" Type="http://schemas.openxmlformats.org/officeDocument/2006/relationships/image" Target="media/image1.png"/><Relationship Id="rId9" Type="http://schemas.openxmlformats.org/officeDocument/2006/relationships/hyperlink" Target="https://psnet.ahrq.gov/primer/improving-patient-safety-and-team-communication-through-daily-hudd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2786</Words>
  <Characters>15885</Characters>
  <Application>Microsoft Office Word</Application>
  <DocSecurity>0</DocSecurity>
  <Lines>132</Lines>
  <Paragraphs>37</Paragraphs>
  <ScaleCrop>false</ScaleCrop>
  <Company/>
  <LinksUpToDate>false</LinksUpToDate>
  <CharactersWithSpaces>18634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Baluta (2322874)</dc:creator>
  <cp:keywords/>
  <dc:description/>
  <cp:lastModifiedBy>Alina Baluta (2322874)</cp:lastModifiedBy>
  <cp:revision>2</cp:revision>
  <dcterms:created xsi:type="dcterms:W3CDTF">2024-04-27T14:34:00Z</dcterms:created>
  <dcterms:modified xsi:type="dcterms:W3CDTF">2024-04-30T16:50:00Z</dcterms:modified>
</cp:coreProperties>
</file>