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33404821"/>
        <w:docPartObj>
          <w:docPartGallery w:val="Cover Pages"/>
          <w:docPartUnique/>
        </w:docPartObj>
      </w:sdtPr>
      <w:sdtEndPr>
        <w:rPr>
          <w:rFonts w:ascii="Segoe UI" w:eastAsia="Times New Roman" w:hAnsi="Segoe UI" w:cs="Segoe UI"/>
          <w:sz w:val="18"/>
          <w:szCs w:val="18"/>
          <w:lang w:eastAsia="en-GB"/>
        </w:rPr>
      </w:sdtEndPr>
      <w:sdtContent>
        <w:p w14:paraId="0F78A7F9" w14:textId="77777777" w:rsidR="00673B29" w:rsidRDefault="00673B29">
          <w:r>
            <w:rPr>
              <w:noProof/>
              <w:lang w:eastAsia="en-GB"/>
            </w:rPr>
            <mc:AlternateContent>
              <mc:Choice Requires="wps">
                <w:drawing>
                  <wp:anchor distT="0" distB="0" distL="114300" distR="114300" simplePos="0" relativeHeight="251663360" behindDoc="1" locked="0" layoutInCell="1" allowOverlap="1" wp14:anchorId="2A17EBD7" wp14:editId="72BF56D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9D6A232" w14:textId="77777777" w:rsidR="00866CB1" w:rsidRDefault="00866CB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A17EBD7"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14:paraId="49D6A232" w14:textId="77777777" w:rsidR="00866CB1" w:rsidRDefault="00866CB1"/>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1747298" wp14:editId="5B5CF31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C274F9" w14:textId="77777777" w:rsidR="00866CB1" w:rsidRDefault="00866CB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1747298"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44C274F9" w14:textId="77777777" w:rsidR="00866CB1" w:rsidRDefault="00866CB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17E63982" wp14:editId="7638F1A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22AF98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019AEA03" wp14:editId="2F1028D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745B3E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19FC93D6" wp14:editId="09C026C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Calisto MT" w:eastAsia="Times New Roman" w:hAnsi="Calisto MT" w:cs="Segoe UI"/>
                                    <w:b/>
                                    <w:bCs/>
                                    <w:color w:val="2E74B5"/>
                                    <w:lang w:eastAsia="en-GB"/>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7AAA21A" w14:textId="7EB9ED72" w:rsidR="00866CB1" w:rsidRDefault="008167C1">
                                    <w:pPr>
                                      <w:spacing w:line="240" w:lineRule="auto"/>
                                      <w:rPr>
                                        <w:rFonts w:asciiTheme="majorHAnsi" w:eastAsiaTheme="majorEastAsia" w:hAnsiTheme="majorHAnsi" w:cstheme="majorBidi"/>
                                        <w:noProof/>
                                        <w:color w:val="5B9BD5" w:themeColor="accent1"/>
                                        <w:sz w:val="72"/>
                                        <w:szCs w:val="144"/>
                                      </w:rPr>
                                    </w:pPr>
                                    <w:r>
                                      <w:rPr>
                                        <w:rFonts w:ascii="Calisto MT" w:eastAsia="Times New Roman" w:hAnsi="Calisto MT" w:cs="Segoe UI"/>
                                        <w:b/>
                                        <w:bCs/>
                                        <w:color w:val="2E74B5"/>
                                        <w:lang w:eastAsia="en-GB"/>
                                      </w:rPr>
                                      <w:t>Evaluation of patient, disease and</w:t>
                                    </w:r>
                                    <w:proofErr w:type="gramStart"/>
                                    <w:r>
                                      <w:rPr>
                                        <w:rFonts w:ascii="Calisto MT" w:eastAsia="Times New Roman" w:hAnsi="Calisto MT" w:cs="Segoe UI"/>
                                        <w:b/>
                                        <w:bCs/>
                                        <w:color w:val="2E74B5"/>
                                        <w:lang w:eastAsia="en-GB"/>
                                      </w:rPr>
                                      <w:t>,  clinical</w:t>
                                    </w:r>
                                    <w:proofErr w:type="gramEnd"/>
                                    <w:r>
                                      <w:rPr>
                                        <w:rFonts w:ascii="Calisto MT" w:eastAsia="Times New Roman" w:hAnsi="Calisto MT" w:cs="Segoe UI"/>
                                        <w:b/>
                                        <w:bCs/>
                                        <w:color w:val="2E74B5"/>
                                        <w:lang w:eastAsia="en-GB"/>
                                      </w:rPr>
                                      <w:t xml:space="preserve"> practice factors that may impact Antimicrobial Resistance while treating patients with UTI within an acute care setting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81980DC" w14:textId="77777777" w:rsidR="00866CB1" w:rsidRDefault="00866CB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 Quantitative Study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9FC93D6"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Calisto MT" w:eastAsia="Times New Roman" w:hAnsi="Calisto MT" w:cs="Segoe UI"/>
                              <w:b/>
                              <w:bCs/>
                              <w:color w:val="2E74B5"/>
                              <w:lang w:eastAsia="en-GB"/>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7AAA21A" w14:textId="7EB9ED72" w:rsidR="00866CB1" w:rsidRDefault="008167C1">
                              <w:pPr>
                                <w:spacing w:line="240" w:lineRule="auto"/>
                                <w:rPr>
                                  <w:rFonts w:asciiTheme="majorHAnsi" w:eastAsiaTheme="majorEastAsia" w:hAnsiTheme="majorHAnsi" w:cstheme="majorBidi"/>
                                  <w:noProof/>
                                  <w:color w:val="5B9BD5" w:themeColor="accent1"/>
                                  <w:sz w:val="72"/>
                                  <w:szCs w:val="144"/>
                                </w:rPr>
                              </w:pPr>
                              <w:r>
                                <w:rPr>
                                  <w:rFonts w:ascii="Calisto MT" w:eastAsia="Times New Roman" w:hAnsi="Calisto MT" w:cs="Segoe UI"/>
                                  <w:b/>
                                  <w:bCs/>
                                  <w:color w:val="2E74B5"/>
                                  <w:lang w:eastAsia="en-GB"/>
                                </w:rPr>
                                <w:t>Evaluation of patient, disease and</w:t>
                              </w:r>
                              <w:proofErr w:type="gramStart"/>
                              <w:r>
                                <w:rPr>
                                  <w:rFonts w:ascii="Calisto MT" w:eastAsia="Times New Roman" w:hAnsi="Calisto MT" w:cs="Segoe UI"/>
                                  <w:b/>
                                  <w:bCs/>
                                  <w:color w:val="2E74B5"/>
                                  <w:lang w:eastAsia="en-GB"/>
                                </w:rPr>
                                <w:t>,  clinical</w:t>
                              </w:r>
                              <w:proofErr w:type="gramEnd"/>
                              <w:r>
                                <w:rPr>
                                  <w:rFonts w:ascii="Calisto MT" w:eastAsia="Times New Roman" w:hAnsi="Calisto MT" w:cs="Segoe UI"/>
                                  <w:b/>
                                  <w:bCs/>
                                  <w:color w:val="2E74B5"/>
                                  <w:lang w:eastAsia="en-GB"/>
                                </w:rPr>
                                <w:t xml:space="preserve"> practice factors that may impact Antimicrobial Resistance while treating patients with UTI within an acute care setting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81980DC" w14:textId="77777777" w:rsidR="00866CB1" w:rsidRDefault="00866CB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 Quantitative Study</w:t>
                              </w:r>
                            </w:p>
                          </w:sdtContent>
                        </w:sdt>
                      </w:txbxContent>
                    </v:textbox>
                    <w10:wrap type="square" anchorx="page" anchory="page"/>
                  </v:shape>
                </w:pict>
              </mc:Fallback>
            </mc:AlternateContent>
          </w:r>
        </w:p>
        <w:p w14:paraId="22D0C051" w14:textId="77777777" w:rsidR="00673B29" w:rsidRDefault="00673B29">
          <w:pPr>
            <w:rPr>
              <w:rFonts w:ascii="Segoe UI" w:eastAsia="Times New Roman" w:hAnsi="Segoe UI" w:cs="Segoe UI"/>
              <w:sz w:val="18"/>
              <w:szCs w:val="18"/>
              <w:lang w:eastAsia="en-GB"/>
            </w:rPr>
          </w:pPr>
          <w:r>
            <w:rPr>
              <w:noProof/>
              <w:lang w:eastAsia="en-GB"/>
            </w:rPr>
            <mc:AlternateContent>
              <mc:Choice Requires="wps">
                <w:drawing>
                  <wp:anchor distT="0" distB="0" distL="114300" distR="114300" simplePos="0" relativeHeight="251664384" behindDoc="0" locked="0" layoutInCell="1" allowOverlap="1" wp14:anchorId="326BF09B" wp14:editId="71FA4AE3">
                    <wp:simplePos x="0" y="0"/>
                    <wp:positionH relativeFrom="page">
                      <wp:posOffset>3441700</wp:posOffset>
                    </wp:positionH>
                    <wp:positionV relativeFrom="page">
                      <wp:posOffset>6731000</wp:posOffset>
                    </wp:positionV>
                    <wp:extent cx="2797810" cy="59245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592455"/>
                            </a:xfrm>
                            <a:prstGeom prst="rect">
                              <a:avLst/>
                            </a:prstGeom>
                            <a:noFill/>
                            <a:ln w="6350">
                              <a:noFill/>
                            </a:ln>
                            <a:effectLst/>
                          </wps:spPr>
                          <wps:txbx>
                            <w:txbxContent>
                              <w:p w14:paraId="2B9CCB65" w14:textId="77777777" w:rsidR="00866CB1" w:rsidRDefault="00866CB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Rafia Jamil</w:t>
                                    </w:r>
                                  </w:sdtContent>
                                </w:sdt>
                              </w:p>
                              <w:p w14:paraId="39339FC5" w14:textId="77777777" w:rsidR="00866CB1" w:rsidRDefault="00866CB1">
                                <w:pPr>
                                  <w:pStyle w:val="NoSpacing"/>
                                  <w:rPr>
                                    <w:noProof/>
                                    <w:color w:val="44546A" w:themeColor="text2"/>
                                  </w:rPr>
                                </w:pPr>
                                <w:r>
                                  <w:rPr>
                                    <w:noProof/>
                                    <w:color w:val="44546A" w:themeColor="text2"/>
                                  </w:rPr>
                                  <w:t>Student Number: 2210355</w:t>
                                </w:r>
                              </w:p>
                              <w:p w14:paraId="0C8521FF" w14:textId="77777777" w:rsidR="00866CB1" w:rsidRDefault="00866CB1">
                                <w:pPr>
                                  <w:pStyle w:val="NoSpacing"/>
                                  <w:rPr>
                                    <w:noProof/>
                                    <w:color w:val="44546A" w:themeColor="text2"/>
                                  </w:rPr>
                                </w:pPr>
                                <w:r>
                                  <w:rPr>
                                    <w:noProof/>
                                    <w:color w:val="44546A" w:themeColor="text2"/>
                                  </w:rPr>
                                  <w:t xml:space="preserve">Module: BMPF7102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326BF09B" id="Text Box 465" o:spid="_x0000_s1029" type="#_x0000_t202" style="position:absolute;margin-left:271pt;margin-top:530pt;width:220.3pt;height:46.6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" filled="f" stroked="f" strokeweight=".5pt">
                    <v:textbox>
                      <w:txbxContent>
                        <w:p w14:paraId="2B9CCB65" w14:textId="77777777" w:rsidR="00866CB1" w:rsidRDefault="00866CB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Rafia Jamil</w:t>
                              </w:r>
                            </w:sdtContent>
                          </w:sdt>
                        </w:p>
                        <w:p w14:paraId="39339FC5" w14:textId="77777777" w:rsidR="00866CB1" w:rsidRDefault="00866CB1">
                          <w:pPr>
                            <w:pStyle w:val="NoSpacing"/>
                            <w:rPr>
                              <w:noProof/>
                              <w:color w:val="44546A" w:themeColor="text2"/>
                            </w:rPr>
                          </w:pPr>
                          <w:r>
                            <w:rPr>
                              <w:noProof/>
                              <w:color w:val="44546A" w:themeColor="text2"/>
                            </w:rPr>
                            <w:t>Student Number: 2210355</w:t>
                          </w:r>
                        </w:p>
                        <w:p w14:paraId="0C8521FF" w14:textId="77777777" w:rsidR="00866CB1" w:rsidRDefault="00866CB1">
                          <w:pPr>
                            <w:pStyle w:val="NoSpacing"/>
                            <w:rPr>
                              <w:noProof/>
                              <w:color w:val="44546A" w:themeColor="text2"/>
                            </w:rPr>
                          </w:pPr>
                          <w:r>
                            <w:rPr>
                              <w:noProof/>
                              <w:color w:val="44546A" w:themeColor="text2"/>
                            </w:rPr>
                            <w:t xml:space="preserve">Module: BMPF7102 </w:t>
                          </w:r>
                        </w:p>
                      </w:txbxContent>
                    </v:textbox>
                    <w10:wrap type="square" anchorx="page" anchory="page"/>
                  </v:shape>
                </w:pict>
              </mc:Fallback>
            </mc:AlternateContent>
          </w:r>
          <w:r>
            <w:rPr>
              <w:rFonts w:ascii="Segoe UI" w:eastAsia="Times New Roman" w:hAnsi="Segoe UI" w:cs="Segoe UI"/>
              <w:sz w:val="18"/>
              <w:szCs w:val="18"/>
              <w:lang w:eastAsia="en-GB"/>
            </w:rPr>
            <w:br w:type="page"/>
          </w:r>
        </w:p>
      </w:sdtContent>
    </w:sdt>
    <w:sdt>
      <w:sdtPr>
        <w:id w:val="10801839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5336C7D" w14:textId="19565617" w:rsidR="008167C1" w:rsidRDefault="008167C1">
          <w:pPr>
            <w:pStyle w:val="TOCHeading"/>
          </w:pPr>
          <w:r>
            <w:t>Contents</w:t>
          </w:r>
        </w:p>
        <w:p w14:paraId="04B5BB83" w14:textId="430BA884" w:rsidR="008167C1" w:rsidRDefault="008167C1">
          <w:pPr>
            <w:pStyle w:val="TOC1"/>
            <w:tabs>
              <w:tab w:val="right" w:leader="dot" w:pos="9016"/>
            </w:tabs>
            <w:rPr>
              <w:noProof/>
            </w:rPr>
          </w:pPr>
          <w:r>
            <w:fldChar w:fldCharType="begin"/>
          </w:r>
          <w:r>
            <w:instrText xml:space="preserve"> TOC \o "1-3" \h \z \u </w:instrText>
          </w:r>
          <w:r>
            <w:fldChar w:fldCharType="separate"/>
          </w:r>
          <w:hyperlink w:anchor="_Toc166407151" w:history="1">
            <w:r w:rsidRPr="00553DAC">
              <w:rPr>
                <w:rStyle w:val="Hyperlink"/>
                <w:rFonts w:eastAsia="Times New Roman"/>
                <w:noProof/>
                <w:lang w:eastAsia="en-GB"/>
              </w:rPr>
              <w:t>Abstract:</w:t>
            </w:r>
            <w:r>
              <w:rPr>
                <w:noProof/>
                <w:webHidden/>
              </w:rPr>
              <w:tab/>
            </w:r>
            <w:r>
              <w:rPr>
                <w:noProof/>
                <w:webHidden/>
              </w:rPr>
              <w:fldChar w:fldCharType="begin"/>
            </w:r>
            <w:r>
              <w:rPr>
                <w:noProof/>
                <w:webHidden/>
              </w:rPr>
              <w:instrText xml:space="preserve"> PAGEREF _Toc166407151 \h </w:instrText>
            </w:r>
            <w:r>
              <w:rPr>
                <w:noProof/>
                <w:webHidden/>
              </w:rPr>
            </w:r>
            <w:r>
              <w:rPr>
                <w:noProof/>
                <w:webHidden/>
              </w:rPr>
              <w:fldChar w:fldCharType="separate"/>
            </w:r>
            <w:r>
              <w:rPr>
                <w:noProof/>
                <w:webHidden/>
              </w:rPr>
              <w:t>1</w:t>
            </w:r>
            <w:r>
              <w:rPr>
                <w:noProof/>
                <w:webHidden/>
              </w:rPr>
              <w:fldChar w:fldCharType="end"/>
            </w:r>
          </w:hyperlink>
        </w:p>
        <w:p w14:paraId="4AE753BA" w14:textId="75CBC64E" w:rsidR="008167C1" w:rsidRDefault="008167C1">
          <w:pPr>
            <w:pStyle w:val="TOC1"/>
            <w:tabs>
              <w:tab w:val="right" w:leader="dot" w:pos="9016"/>
            </w:tabs>
            <w:rPr>
              <w:noProof/>
            </w:rPr>
          </w:pPr>
          <w:hyperlink w:anchor="_Toc166407152" w:history="1">
            <w:r w:rsidRPr="00553DAC">
              <w:rPr>
                <w:rStyle w:val="Hyperlink"/>
                <w:noProof/>
              </w:rPr>
              <w:t>Introduction:</w:t>
            </w:r>
            <w:r>
              <w:rPr>
                <w:noProof/>
                <w:webHidden/>
              </w:rPr>
              <w:tab/>
            </w:r>
            <w:r>
              <w:rPr>
                <w:noProof/>
                <w:webHidden/>
              </w:rPr>
              <w:fldChar w:fldCharType="begin"/>
            </w:r>
            <w:r>
              <w:rPr>
                <w:noProof/>
                <w:webHidden/>
              </w:rPr>
              <w:instrText xml:space="preserve"> PAGEREF _Toc166407152 \h </w:instrText>
            </w:r>
            <w:r>
              <w:rPr>
                <w:noProof/>
                <w:webHidden/>
              </w:rPr>
            </w:r>
            <w:r>
              <w:rPr>
                <w:noProof/>
                <w:webHidden/>
              </w:rPr>
              <w:fldChar w:fldCharType="separate"/>
            </w:r>
            <w:r>
              <w:rPr>
                <w:noProof/>
                <w:webHidden/>
              </w:rPr>
              <w:t>2</w:t>
            </w:r>
            <w:r>
              <w:rPr>
                <w:noProof/>
                <w:webHidden/>
              </w:rPr>
              <w:fldChar w:fldCharType="end"/>
            </w:r>
          </w:hyperlink>
        </w:p>
        <w:p w14:paraId="2783D6D2" w14:textId="6672D460" w:rsidR="008167C1" w:rsidRDefault="008167C1">
          <w:pPr>
            <w:pStyle w:val="TOC1"/>
            <w:tabs>
              <w:tab w:val="right" w:leader="dot" w:pos="9016"/>
            </w:tabs>
            <w:rPr>
              <w:noProof/>
            </w:rPr>
          </w:pPr>
          <w:hyperlink w:anchor="_Toc166407153" w:history="1">
            <w:r w:rsidRPr="00553DAC">
              <w:rPr>
                <w:rStyle w:val="Hyperlink"/>
                <w:rFonts w:eastAsia="Times New Roman"/>
                <w:noProof/>
                <w:lang w:eastAsia="en-GB"/>
              </w:rPr>
              <w:t>Context of Study:</w:t>
            </w:r>
            <w:r>
              <w:rPr>
                <w:noProof/>
                <w:webHidden/>
              </w:rPr>
              <w:tab/>
            </w:r>
            <w:r>
              <w:rPr>
                <w:noProof/>
                <w:webHidden/>
              </w:rPr>
              <w:fldChar w:fldCharType="begin"/>
            </w:r>
            <w:r>
              <w:rPr>
                <w:noProof/>
                <w:webHidden/>
              </w:rPr>
              <w:instrText xml:space="preserve"> PAGEREF _Toc166407153 \h </w:instrText>
            </w:r>
            <w:r>
              <w:rPr>
                <w:noProof/>
                <w:webHidden/>
              </w:rPr>
            </w:r>
            <w:r>
              <w:rPr>
                <w:noProof/>
                <w:webHidden/>
              </w:rPr>
              <w:fldChar w:fldCharType="separate"/>
            </w:r>
            <w:r>
              <w:rPr>
                <w:noProof/>
                <w:webHidden/>
              </w:rPr>
              <w:t>4</w:t>
            </w:r>
            <w:r>
              <w:rPr>
                <w:noProof/>
                <w:webHidden/>
              </w:rPr>
              <w:fldChar w:fldCharType="end"/>
            </w:r>
          </w:hyperlink>
        </w:p>
        <w:p w14:paraId="07D4FE60" w14:textId="66AA0B22" w:rsidR="008167C1" w:rsidRDefault="008167C1">
          <w:pPr>
            <w:pStyle w:val="TOC1"/>
            <w:tabs>
              <w:tab w:val="right" w:leader="dot" w:pos="9016"/>
            </w:tabs>
            <w:rPr>
              <w:noProof/>
            </w:rPr>
          </w:pPr>
          <w:hyperlink w:anchor="_Toc166407154" w:history="1">
            <w:r w:rsidRPr="00553DAC">
              <w:rPr>
                <w:rStyle w:val="Hyperlink"/>
                <w:rFonts w:eastAsia="Times New Roman"/>
                <w:noProof/>
                <w:lang w:eastAsia="en-GB"/>
              </w:rPr>
              <w:t>Aim of the Study:</w:t>
            </w:r>
            <w:r>
              <w:rPr>
                <w:noProof/>
                <w:webHidden/>
              </w:rPr>
              <w:tab/>
            </w:r>
            <w:r>
              <w:rPr>
                <w:noProof/>
                <w:webHidden/>
              </w:rPr>
              <w:fldChar w:fldCharType="begin"/>
            </w:r>
            <w:r>
              <w:rPr>
                <w:noProof/>
                <w:webHidden/>
              </w:rPr>
              <w:instrText xml:space="preserve"> PAGEREF _Toc166407154 \h </w:instrText>
            </w:r>
            <w:r>
              <w:rPr>
                <w:noProof/>
                <w:webHidden/>
              </w:rPr>
            </w:r>
            <w:r>
              <w:rPr>
                <w:noProof/>
                <w:webHidden/>
              </w:rPr>
              <w:fldChar w:fldCharType="separate"/>
            </w:r>
            <w:r>
              <w:rPr>
                <w:noProof/>
                <w:webHidden/>
              </w:rPr>
              <w:t>4</w:t>
            </w:r>
            <w:r>
              <w:rPr>
                <w:noProof/>
                <w:webHidden/>
              </w:rPr>
              <w:fldChar w:fldCharType="end"/>
            </w:r>
          </w:hyperlink>
        </w:p>
        <w:p w14:paraId="112F5250" w14:textId="0C687A09" w:rsidR="008167C1" w:rsidRDefault="008167C1">
          <w:pPr>
            <w:pStyle w:val="TOC1"/>
            <w:tabs>
              <w:tab w:val="right" w:leader="dot" w:pos="9016"/>
            </w:tabs>
            <w:rPr>
              <w:noProof/>
            </w:rPr>
          </w:pPr>
          <w:hyperlink w:anchor="_Toc166407155" w:history="1">
            <w:r w:rsidRPr="00553DAC">
              <w:rPr>
                <w:rStyle w:val="Hyperlink"/>
                <w:rFonts w:eastAsia="Times New Roman"/>
                <w:noProof/>
                <w:lang w:eastAsia="en-GB"/>
              </w:rPr>
              <w:t>Objectives:</w:t>
            </w:r>
            <w:r>
              <w:rPr>
                <w:noProof/>
                <w:webHidden/>
              </w:rPr>
              <w:tab/>
            </w:r>
            <w:r>
              <w:rPr>
                <w:noProof/>
                <w:webHidden/>
              </w:rPr>
              <w:fldChar w:fldCharType="begin"/>
            </w:r>
            <w:r>
              <w:rPr>
                <w:noProof/>
                <w:webHidden/>
              </w:rPr>
              <w:instrText xml:space="preserve"> PAGEREF _Toc166407155 \h </w:instrText>
            </w:r>
            <w:r>
              <w:rPr>
                <w:noProof/>
                <w:webHidden/>
              </w:rPr>
            </w:r>
            <w:r>
              <w:rPr>
                <w:noProof/>
                <w:webHidden/>
              </w:rPr>
              <w:fldChar w:fldCharType="separate"/>
            </w:r>
            <w:r>
              <w:rPr>
                <w:noProof/>
                <w:webHidden/>
              </w:rPr>
              <w:t>4</w:t>
            </w:r>
            <w:r>
              <w:rPr>
                <w:noProof/>
                <w:webHidden/>
              </w:rPr>
              <w:fldChar w:fldCharType="end"/>
            </w:r>
          </w:hyperlink>
        </w:p>
        <w:p w14:paraId="5F758BB2" w14:textId="7173E39E" w:rsidR="008167C1" w:rsidRDefault="008167C1">
          <w:pPr>
            <w:pStyle w:val="TOC1"/>
            <w:tabs>
              <w:tab w:val="right" w:leader="dot" w:pos="9016"/>
            </w:tabs>
            <w:rPr>
              <w:noProof/>
            </w:rPr>
          </w:pPr>
          <w:hyperlink w:anchor="_Toc166407156" w:history="1">
            <w:r w:rsidRPr="00553DAC">
              <w:rPr>
                <w:rStyle w:val="Hyperlink"/>
                <w:rFonts w:eastAsia="Times New Roman"/>
                <w:noProof/>
                <w:lang w:eastAsia="en-GB"/>
              </w:rPr>
              <w:t>Methodology:</w:t>
            </w:r>
            <w:r>
              <w:rPr>
                <w:noProof/>
                <w:webHidden/>
              </w:rPr>
              <w:tab/>
            </w:r>
            <w:r>
              <w:rPr>
                <w:noProof/>
                <w:webHidden/>
              </w:rPr>
              <w:fldChar w:fldCharType="begin"/>
            </w:r>
            <w:r>
              <w:rPr>
                <w:noProof/>
                <w:webHidden/>
              </w:rPr>
              <w:instrText xml:space="preserve"> PAGEREF _Toc166407156 \h </w:instrText>
            </w:r>
            <w:r>
              <w:rPr>
                <w:noProof/>
                <w:webHidden/>
              </w:rPr>
            </w:r>
            <w:r>
              <w:rPr>
                <w:noProof/>
                <w:webHidden/>
              </w:rPr>
              <w:fldChar w:fldCharType="separate"/>
            </w:r>
            <w:r>
              <w:rPr>
                <w:noProof/>
                <w:webHidden/>
              </w:rPr>
              <w:t>4</w:t>
            </w:r>
            <w:r>
              <w:rPr>
                <w:noProof/>
                <w:webHidden/>
              </w:rPr>
              <w:fldChar w:fldCharType="end"/>
            </w:r>
          </w:hyperlink>
        </w:p>
        <w:p w14:paraId="3B7D1431" w14:textId="312F517E" w:rsidR="008167C1" w:rsidRDefault="008167C1">
          <w:pPr>
            <w:pStyle w:val="TOC1"/>
            <w:tabs>
              <w:tab w:val="right" w:leader="dot" w:pos="9016"/>
            </w:tabs>
            <w:rPr>
              <w:noProof/>
            </w:rPr>
          </w:pPr>
          <w:hyperlink w:anchor="_Toc166407157" w:history="1">
            <w:r w:rsidRPr="00553DAC">
              <w:rPr>
                <w:rStyle w:val="Hyperlink"/>
                <w:rFonts w:eastAsia="Times New Roman"/>
                <w:noProof/>
                <w:lang w:eastAsia="en-GB"/>
              </w:rPr>
              <w:t>Method:</w:t>
            </w:r>
            <w:r>
              <w:rPr>
                <w:noProof/>
                <w:webHidden/>
              </w:rPr>
              <w:tab/>
            </w:r>
            <w:r>
              <w:rPr>
                <w:noProof/>
                <w:webHidden/>
              </w:rPr>
              <w:fldChar w:fldCharType="begin"/>
            </w:r>
            <w:r>
              <w:rPr>
                <w:noProof/>
                <w:webHidden/>
              </w:rPr>
              <w:instrText xml:space="preserve"> PAGEREF _Toc166407157 \h </w:instrText>
            </w:r>
            <w:r>
              <w:rPr>
                <w:noProof/>
                <w:webHidden/>
              </w:rPr>
            </w:r>
            <w:r>
              <w:rPr>
                <w:noProof/>
                <w:webHidden/>
              </w:rPr>
              <w:fldChar w:fldCharType="separate"/>
            </w:r>
            <w:r>
              <w:rPr>
                <w:noProof/>
                <w:webHidden/>
              </w:rPr>
              <w:t>5</w:t>
            </w:r>
            <w:r>
              <w:rPr>
                <w:noProof/>
                <w:webHidden/>
              </w:rPr>
              <w:fldChar w:fldCharType="end"/>
            </w:r>
          </w:hyperlink>
        </w:p>
        <w:p w14:paraId="487C5E30" w14:textId="438058FE" w:rsidR="008167C1" w:rsidRDefault="008167C1">
          <w:pPr>
            <w:pStyle w:val="TOC1"/>
            <w:tabs>
              <w:tab w:val="right" w:leader="dot" w:pos="9016"/>
            </w:tabs>
            <w:rPr>
              <w:noProof/>
            </w:rPr>
          </w:pPr>
          <w:hyperlink w:anchor="_Toc166407158" w:history="1">
            <w:r w:rsidRPr="00553DAC">
              <w:rPr>
                <w:rStyle w:val="Hyperlink"/>
                <w:rFonts w:eastAsia="Times New Roman"/>
                <w:noProof/>
                <w:lang w:eastAsia="en-GB"/>
              </w:rPr>
              <w:t>Ethical Approval:</w:t>
            </w:r>
            <w:r>
              <w:rPr>
                <w:noProof/>
                <w:webHidden/>
              </w:rPr>
              <w:tab/>
            </w:r>
            <w:r>
              <w:rPr>
                <w:noProof/>
                <w:webHidden/>
              </w:rPr>
              <w:fldChar w:fldCharType="begin"/>
            </w:r>
            <w:r>
              <w:rPr>
                <w:noProof/>
                <w:webHidden/>
              </w:rPr>
              <w:instrText xml:space="preserve"> PAGEREF _Toc166407158 \h </w:instrText>
            </w:r>
            <w:r>
              <w:rPr>
                <w:noProof/>
                <w:webHidden/>
              </w:rPr>
            </w:r>
            <w:r>
              <w:rPr>
                <w:noProof/>
                <w:webHidden/>
              </w:rPr>
              <w:fldChar w:fldCharType="separate"/>
            </w:r>
            <w:r>
              <w:rPr>
                <w:noProof/>
                <w:webHidden/>
              </w:rPr>
              <w:t>5</w:t>
            </w:r>
            <w:r>
              <w:rPr>
                <w:noProof/>
                <w:webHidden/>
              </w:rPr>
              <w:fldChar w:fldCharType="end"/>
            </w:r>
          </w:hyperlink>
        </w:p>
        <w:p w14:paraId="66362EBA" w14:textId="6ADCC060" w:rsidR="008167C1" w:rsidRDefault="008167C1">
          <w:pPr>
            <w:pStyle w:val="TOC1"/>
            <w:tabs>
              <w:tab w:val="right" w:leader="dot" w:pos="9016"/>
            </w:tabs>
            <w:rPr>
              <w:noProof/>
            </w:rPr>
          </w:pPr>
          <w:hyperlink w:anchor="_Toc166407159" w:history="1">
            <w:r w:rsidRPr="00553DAC">
              <w:rPr>
                <w:rStyle w:val="Hyperlink"/>
                <w:rFonts w:eastAsia="Times New Roman"/>
                <w:noProof/>
                <w:lang w:eastAsia="en-GB"/>
              </w:rPr>
              <w:t>Data Characteristics:</w:t>
            </w:r>
            <w:r>
              <w:rPr>
                <w:noProof/>
                <w:webHidden/>
              </w:rPr>
              <w:tab/>
            </w:r>
            <w:r>
              <w:rPr>
                <w:noProof/>
                <w:webHidden/>
              </w:rPr>
              <w:fldChar w:fldCharType="begin"/>
            </w:r>
            <w:r>
              <w:rPr>
                <w:noProof/>
                <w:webHidden/>
              </w:rPr>
              <w:instrText xml:space="preserve"> PAGEREF _Toc166407159 \h </w:instrText>
            </w:r>
            <w:r>
              <w:rPr>
                <w:noProof/>
                <w:webHidden/>
              </w:rPr>
            </w:r>
            <w:r>
              <w:rPr>
                <w:noProof/>
                <w:webHidden/>
              </w:rPr>
              <w:fldChar w:fldCharType="separate"/>
            </w:r>
            <w:r>
              <w:rPr>
                <w:noProof/>
                <w:webHidden/>
              </w:rPr>
              <w:t>5</w:t>
            </w:r>
            <w:r>
              <w:rPr>
                <w:noProof/>
                <w:webHidden/>
              </w:rPr>
              <w:fldChar w:fldCharType="end"/>
            </w:r>
          </w:hyperlink>
        </w:p>
        <w:p w14:paraId="47AB86DD" w14:textId="6DBB0B71" w:rsidR="008167C1" w:rsidRDefault="008167C1">
          <w:pPr>
            <w:pStyle w:val="TOC1"/>
            <w:tabs>
              <w:tab w:val="right" w:leader="dot" w:pos="9016"/>
            </w:tabs>
            <w:rPr>
              <w:noProof/>
            </w:rPr>
          </w:pPr>
          <w:hyperlink w:anchor="_Toc166407160" w:history="1">
            <w:r w:rsidRPr="00553DAC">
              <w:rPr>
                <w:rStyle w:val="Hyperlink"/>
                <w:rFonts w:eastAsia="Times New Roman"/>
                <w:noProof/>
                <w:lang w:eastAsia="en-GB"/>
              </w:rPr>
              <w:t>Type of Data:</w:t>
            </w:r>
            <w:r>
              <w:rPr>
                <w:noProof/>
                <w:webHidden/>
              </w:rPr>
              <w:tab/>
            </w:r>
            <w:r>
              <w:rPr>
                <w:noProof/>
                <w:webHidden/>
              </w:rPr>
              <w:fldChar w:fldCharType="begin"/>
            </w:r>
            <w:r>
              <w:rPr>
                <w:noProof/>
                <w:webHidden/>
              </w:rPr>
              <w:instrText xml:space="preserve"> PAGEREF _Toc166407160 \h </w:instrText>
            </w:r>
            <w:r>
              <w:rPr>
                <w:noProof/>
                <w:webHidden/>
              </w:rPr>
            </w:r>
            <w:r>
              <w:rPr>
                <w:noProof/>
                <w:webHidden/>
              </w:rPr>
              <w:fldChar w:fldCharType="separate"/>
            </w:r>
            <w:r>
              <w:rPr>
                <w:noProof/>
                <w:webHidden/>
              </w:rPr>
              <w:t>5</w:t>
            </w:r>
            <w:r>
              <w:rPr>
                <w:noProof/>
                <w:webHidden/>
              </w:rPr>
              <w:fldChar w:fldCharType="end"/>
            </w:r>
          </w:hyperlink>
        </w:p>
        <w:p w14:paraId="1A619857" w14:textId="5C8C84A1" w:rsidR="008167C1" w:rsidRDefault="008167C1">
          <w:pPr>
            <w:pStyle w:val="TOC1"/>
            <w:tabs>
              <w:tab w:val="right" w:leader="dot" w:pos="9016"/>
            </w:tabs>
            <w:rPr>
              <w:noProof/>
            </w:rPr>
          </w:pPr>
          <w:hyperlink w:anchor="_Toc166407161" w:history="1">
            <w:r w:rsidRPr="00553DAC">
              <w:rPr>
                <w:rStyle w:val="Hyperlink"/>
                <w:noProof/>
              </w:rPr>
              <w:t>Data normality:</w:t>
            </w:r>
            <w:r>
              <w:rPr>
                <w:noProof/>
                <w:webHidden/>
              </w:rPr>
              <w:tab/>
            </w:r>
            <w:r>
              <w:rPr>
                <w:noProof/>
                <w:webHidden/>
              </w:rPr>
              <w:fldChar w:fldCharType="begin"/>
            </w:r>
            <w:r>
              <w:rPr>
                <w:noProof/>
                <w:webHidden/>
              </w:rPr>
              <w:instrText xml:space="preserve"> PAGEREF _Toc166407161 \h </w:instrText>
            </w:r>
            <w:r>
              <w:rPr>
                <w:noProof/>
                <w:webHidden/>
              </w:rPr>
            </w:r>
            <w:r>
              <w:rPr>
                <w:noProof/>
                <w:webHidden/>
              </w:rPr>
              <w:fldChar w:fldCharType="separate"/>
            </w:r>
            <w:r>
              <w:rPr>
                <w:noProof/>
                <w:webHidden/>
              </w:rPr>
              <w:t>5</w:t>
            </w:r>
            <w:r>
              <w:rPr>
                <w:noProof/>
                <w:webHidden/>
              </w:rPr>
              <w:fldChar w:fldCharType="end"/>
            </w:r>
          </w:hyperlink>
        </w:p>
        <w:p w14:paraId="2D1E0318" w14:textId="1A7775C1" w:rsidR="008167C1" w:rsidRDefault="008167C1">
          <w:pPr>
            <w:pStyle w:val="TOC1"/>
            <w:tabs>
              <w:tab w:val="right" w:leader="dot" w:pos="9016"/>
            </w:tabs>
            <w:rPr>
              <w:noProof/>
            </w:rPr>
          </w:pPr>
          <w:hyperlink w:anchor="_Toc166407162" w:history="1">
            <w:r w:rsidRPr="00553DAC">
              <w:rPr>
                <w:rStyle w:val="Hyperlink"/>
                <w:rFonts w:eastAsia="Times New Roman"/>
                <w:noProof/>
                <w:lang w:eastAsia="en-GB"/>
              </w:rPr>
              <w:t>Graphical representation of data:</w:t>
            </w:r>
            <w:r>
              <w:rPr>
                <w:noProof/>
                <w:webHidden/>
              </w:rPr>
              <w:tab/>
            </w:r>
            <w:r>
              <w:rPr>
                <w:noProof/>
                <w:webHidden/>
              </w:rPr>
              <w:fldChar w:fldCharType="begin"/>
            </w:r>
            <w:r>
              <w:rPr>
                <w:noProof/>
                <w:webHidden/>
              </w:rPr>
              <w:instrText xml:space="preserve"> PAGEREF _Toc166407162 \h </w:instrText>
            </w:r>
            <w:r>
              <w:rPr>
                <w:noProof/>
                <w:webHidden/>
              </w:rPr>
            </w:r>
            <w:r>
              <w:rPr>
                <w:noProof/>
                <w:webHidden/>
              </w:rPr>
              <w:fldChar w:fldCharType="separate"/>
            </w:r>
            <w:r>
              <w:rPr>
                <w:noProof/>
                <w:webHidden/>
              </w:rPr>
              <w:t>6</w:t>
            </w:r>
            <w:r>
              <w:rPr>
                <w:noProof/>
                <w:webHidden/>
              </w:rPr>
              <w:fldChar w:fldCharType="end"/>
            </w:r>
          </w:hyperlink>
        </w:p>
        <w:p w14:paraId="7369801D" w14:textId="1B81E8C6" w:rsidR="008167C1" w:rsidRDefault="008167C1">
          <w:pPr>
            <w:pStyle w:val="TOC1"/>
            <w:tabs>
              <w:tab w:val="right" w:leader="dot" w:pos="9016"/>
            </w:tabs>
            <w:rPr>
              <w:noProof/>
            </w:rPr>
          </w:pPr>
          <w:hyperlink w:anchor="_Toc166407163" w:history="1">
            <w:r>
              <w:rPr>
                <w:noProof/>
                <w:webHidden/>
              </w:rPr>
              <w:tab/>
            </w:r>
            <w:r>
              <w:rPr>
                <w:noProof/>
                <w:webHidden/>
              </w:rPr>
              <w:fldChar w:fldCharType="begin"/>
            </w:r>
            <w:r>
              <w:rPr>
                <w:noProof/>
                <w:webHidden/>
              </w:rPr>
              <w:instrText xml:space="preserve"> PAGEREF _Toc166407163 \h </w:instrText>
            </w:r>
            <w:r>
              <w:rPr>
                <w:noProof/>
                <w:webHidden/>
              </w:rPr>
            </w:r>
            <w:r>
              <w:rPr>
                <w:noProof/>
                <w:webHidden/>
              </w:rPr>
              <w:fldChar w:fldCharType="separate"/>
            </w:r>
            <w:r>
              <w:rPr>
                <w:noProof/>
                <w:webHidden/>
              </w:rPr>
              <w:t>6</w:t>
            </w:r>
            <w:r>
              <w:rPr>
                <w:noProof/>
                <w:webHidden/>
              </w:rPr>
              <w:fldChar w:fldCharType="end"/>
            </w:r>
          </w:hyperlink>
        </w:p>
        <w:p w14:paraId="3164D4EB" w14:textId="4D12DA95" w:rsidR="008167C1" w:rsidRDefault="008167C1">
          <w:pPr>
            <w:pStyle w:val="TOC1"/>
            <w:tabs>
              <w:tab w:val="right" w:leader="dot" w:pos="9016"/>
            </w:tabs>
            <w:rPr>
              <w:noProof/>
            </w:rPr>
          </w:pPr>
          <w:hyperlink w:anchor="_Toc166407164" w:history="1">
            <w:r w:rsidRPr="00553DAC">
              <w:rPr>
                <w:rStyle w:val="Hyperlink"/>
                <w:noProof/>
              </w:rPr>
              <w:t>:</w:t>
            </w:r>
            <w:r>
              <w:rPr>
                <w:noProof/>
                <w:webHidden/>
              </w:rPr>
              <w:tab/>
            </w:r>
            <w:r>
              <w:rPr>
                <w:noProof/>
                <w:webHidden/>
              </w:rPr>
              <w:fldChar w:fldCharType="begin"/>
            </w:r>
            <w:r>
              <w:rPr>
                <w:noProof/>
                <w:webHidden/>
              </w:rPr>
              <w:instrText xml:space="preserve"> PAGEREF _Toc166407164 \h </w:instrText>
            </w:r>
            <w:r>
              <w:rPr>
                <w:noProof/>
                <w:webHidden/>
              </w:rPr>
            </w:r>
            <w:r>
              <w:rPr>
                <w:noProof/>
                <w:webHidden/>
              </w:rPr>
              <w:fldChar w:fldCharType="separate"/>
            </w:r>
            <w:r>
              <w:rPr>
                <w:noProof/>
                <w:webHidden/>
              </w:rPr>
              <w:t>8</w:t>
            </w:r>
            <w:r>
              <w:rPr>
                <w:noProof/>
                <w:webHidden/>
              </w:rPr>
              <w:fldChar w:fldCharType="end"/>
            </w:r>
          </w:hyperlink>
        </w:p>
        <w:p w14:paraId="044902EE" w14:textId="6ECC7877" w:rsidR="008167C1" w:rsidRDefault="008167C1">
          <w:pPr>
            <w:pStyle w:val="TOC1"/>
            <w:tabs>
              <w:tab w:val="right" w:leader="dot" w:pos="9016"/>
            </w:tabs>
            <w:rPr>
              <w:noProof/>
            </w:rPr>
          </w:pPr>
          <w:hyperlink w:anchor="_Toc166407165" w:history="1">
            <w:r w:rsidRPr="00553DAC">
              <w:rPr>
                <w:rStyle w:val="Hyperlink"/>
                <w:rFonts w:eastAsia="Times New Roman"/>
                <w:noProof/>
                <w:lang w:eastAsia="en-GB"/>
              </w:rPr>
              <w:t>Statistical Analysis:</w:t>
            </w:r>
            <w:r>
              <w:rPr>
                <w:noProof/>
                <w:webHidden/>
              </w:rPr>
              <w:tab/>
            </w:r>
            <w:r>
              <w:rPr>
                <w:noProof/>
                <w:webHidden/>
              </w:rPr>
              <w:fldChar w:fldCharType="begin"/>
            </w:r>
            <w:r>
              <w:rPr>
                <w:noProof/>
                <w:webHidden/>
              </w:rPr>
              <w:instrText xml:space="preserve"> PAGEREF _Toc166407165 \h </w:instrText>
            </w:r>
            <w:r>
              <w:rPr>
                <w:noProof/>
                <w:webHidden/>
              </w:rPr>
            </w:r>
            <w:r>
              <w:rPr>
                <w:noProof/>
                <w:webHidden/>
              </w:rPr>
              <w:fldChar w:fldCharType="separate"/>
            </w:r>
            <w:r>
              <w:rPr>
                <w:noProof/>
                <w:webHidden/>
              </w:rPr>
              <w:t>9</w:t>
            </w:r>
            <w:r>
              <w:rPr>
                <w:noProof/>
                <w:webHidden/>
              </w:rPr>
              <w:fldChar w:fldCharType="end"/>
            </w:r>
          </w:hyperlink>
        </w:p>
        <w:p w14:paraId="000229D9" w14:textId="41B2DEA2" w:rsidR="008167C1" w:rsidRDefault="008167C1">
          <w:pPr>
            <w:pStyle w:val="TOC1"/>
            <w:tabs>
              <w:tab w:val="right" w:leader="dot" w:pos="9016"/>
            </w:tabs>
            <w:rPr>
              <w:noProof/>
            </w:rPr>
          </w:pPr>
          <w:hyperlink w:anchor="_Toc166407166" w:history="1">
            <w:r w:rsidRPr="00553DAC">
              <w:rPr>
                <w:rStyle w:val="Hyperlink"/>
                <w:rFonts w:eastAsia="Times New Roman"/>
                <w:noProof/>
                <w:lang w:eastAsia="en-GB"/>
              </w:rPr>
              <w:t>Discussion:</w:t>
            </w:r>
            <w:r>
              <w:rPr>
                <w:noProof/>
                <w:webHidden/>
              </w:rPr>
              <w:tab/>
            </w:r>
            <w:r>
              <w:rPr>
                <w:noProof/>
                <w:webHidden/>
              </w:rPr>
              <w:fldChar w:fldCharType="begin"/>
            </w:r>
            <w:r>
              <w:rPr>
                <w:noProof/>
                <w:webHidden/>
              </w:rPr>
              <w:instrText xml:space="preserve"> PAGEREF _Toc166407166 \h </w:instrText>
            </w:r>
            <w:r>
              <w:rPr>
                <w:noProof/>
                <w:webHidden/>
              </w:rPr>
            </w:r>
            <w:r>
              <w:rPr>
                <w:noProof/>
                <w:webHidden/>
              </w:rPr>
              <w:fldChar w:fldCharType="separate"/>
            </w:r>
            <w:r>
              <w:rPr>
                <w:noProof/>
                <w:webHidden/>
              </w:rPr>
              <w:t>12</w:t>
            </w:r>
            <w:r>
              <w:rPr>
                <w:noProof/>
                <w:webHidden/>
              </w:rPr>
              <w:fldChar w:fldCharType="end"/>
            </w:r>
          </w:hyperlink>
        </w:p>
        <w:p w14:paraId="6E0C24F3" w14:textId="0AE4A8C1" w:rsidR="008167C1" w:rsidRDefault="008167C1">
          <w:pPr>
            <w:pStyle w:val="TOC1"/>
            <w:tabs>
              <w:tab w:val="right" w:leader="dot" w:pos="9016"/>
            </w:tabs>
            <w:rPr>
              <w:noProof/>
            </w:rPr>
          </w:pPr>
          <w:hyperlink w:anchor="_Toc166407167" w:history="1">
            <w:r w:rsidRPr="00553DAC">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_Toc166407167 \h </w:instrText>
            </w:r>
            <w:r>
              <w:rPr>
                <w:noProof/>
                <w:webHidden/>
              </w:rPr>
            </w:r>
            <w:r>
              <w:rPr>
                <w:noProof/>
                <w:webHidden/>
              </w:rPr>
              <w:fldChar w:fldCharType="separate"/>
            </w:r>
            <w:r>
              <w:rPr>
                <w:noProof/>
                <w:webHidden/>
              </w:rPr>
              <w:t>15</w:t>
            </w:r>
            <w:r>
              <w:rPr>
                <w:noProof/>
                <w:webHidden/>
              </w:rPr>
              <w:fldChar w:fldCharType="end"/>
            </w:r>
          </w:hyperlink>
        </w:p>
        <w:p w14:paraId="62F2642E" w14:textId="5191C274" w:rsidR="008167C1" w:rsidRDefault="008167C1">
          <w:pPr>
            <w:pStyle w:val="TOC1"/>
            <w:tabs>
              <w:tab w:val="right" w:leader="dot" w:pos="9016"/>
            </w:tabs>
            <w:rPr>
              <w:noProof/>
            </w:rPr>
          </w:pPr>
          <w:hyperlink w:anchor="_Toc166407168" w:history="1">
            <w:r w:rsidRPr="00553DAC">
              <w:rPr>
                <w:rStyle w:val="Hyperlink"/>
                <w:noProof/>
              </w:rPr>
              <w:t>Limitations:</w:t>
            </w:r>
            <w:r>
              <w:rPr>
                <w:noProof/>
                <w:webHidden/>
              </w:rPr>
              <w:tab/>
            </w:r>
            <w:r>
              <w:rPr>
                <w:noProof/>
                <w:webHidden/>
              </w:rPr>
              <w:fldChar w:fldCharType="begin"/>
            </w:r>
            <w:r>
              <w:rPr>
                <w:noProof/>
                <w:webHidden/>
              </w:rPr>
              <w:instrText xml:space="preserve"> PAGEREF _Toc166407168 \h </w:instrText>
            </w:r>
            <w:r>
              <w:rPr>
                <w:noProof/>
                <w:webHidden/>
              </w:rPr>
            </w:r>
            <w:r>
              <w:rPr>
                <w:noProof/>
                <w:webHidden/>
              </w:rPr>
              <w:fldChar w:fldCharType="separate"/>
            </w:r>
            <w:r>
              <w:rPr>
                <w:noProof/>
                <w:webHidden/>
              </w:rPr>
              <w:t>16</w:t>
            </w:r>
            <w:r>
              <w:rPr>
                <w:noProof/>
                <w:webHidden/>
              </w:rPr>
              <w:fldChar w:fldCharType="end"/>
            </w:r>
          </w:hyperlink>
        </w:p>
        <w:p w14:paraId="07FA21B0" w14:textId="7A253419" w:rsidR="008167C1" w:rsidRDefault="008167C1">
          <w:pPr>
            <w:pStyle w:val="TOC1"/>
            <w:tabs>
              <w:tab w:val="right" w:leader="dot" w:pos="9016"/>
            </w:tabs>
            <w:rPr>
              <w:noProof/>
            </w:rPr>
          </w:pPr>
          <w:hyperlink w:anchor="_Toc166407169" w:history="1">
            <w:r w:rsidRPr="00553DAC">
              <w:rPr>
                <w:rStyle w:val="Hyperlink"/>
                <w:noProof/>
              </w:rPr>
              <w:t>Declaration of Interest:</w:t>
            </w:r>
            <w:r>
              <w:rPr>
                <w:noProof/>
                <w:webHidden/>
              </w:rPr>
              <w:tab/>
            </w:r>
            <w:r>
              <w:rPr>
                <w:noProof/>
                <w:webHidden/>
              </w:rPr>
              <w:fldChar w:fldCharType="begin"/>
            </w:r>
            <w:r>
              <w:rPr>
                <w:noProof/>
                <w:webHidden/>
              </w:rPr>
              <w:instrText xml:space="preserve"> PAGEREF _Toc166407169 \h </w:instrText>
            </w:r>
            <w:r>
              <w:rPr>
                <w:noProof/>
                <w:webHidden/>
              </w:rPr>
            </w:r>
            <w:r>
              <w:rPr>
                <w:noProof/>
                <w:webHidden/>
              </w:rPr>
              <w:fldChar w:fldCharType="separate"/>
            </w:r>
            <w:r>
              <w:rPr>
                <w:noProof/>
                <w:webHidden/>
              </w:rPr>
              <w:t>16</w:t>
            </w:r>
            <w:r>
              <w:rPr>
                <w:noProof/>
                <w:webHidden/>
              </w:rPr>
              <w:fldChar w:fldCharType="end"/>
            </w:r>
          </w:hyperlink>
        </w:p>
        <w:p w14:paraId="21EB22C6" w14:textId="0CF762CD" w:rsidR="008167C1" w:rsidRDefault="008167C1">
          <w:pPr>
            <w:pStyle w:val="TOC1"/>
            <w:tabs>
              <w:tab w:val="right" w:leader="dot" w:pos="9016"/>
            </w:tabs>
            <w:rPr>
              <w:noProof/>
            </w:rPr>
          </w:pPr>
          <w:hyperlink w:anchor="_Toc166407170" w:history="1">
            <w:r w:rsidRPr="00553DA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_Toc166407170 \h </w:instrText>
            </w:r>
            <w:r>
              <w:rPr>
                <w:noProof/>
                <w:webHidden/>
              </w:rPr>
            </w:r>
            <w:r>
              <w:rPr>
                <w:noProof/>
                <w:webHidden/>
              </w:rPr>
              <w:fldChar w:fldCharType="separate"/>
            </w:r>
            <w:r>
              <w:rPr>
                <w:noProof/>
                <w:webHidden/>
              </w:rPr>
              <w:t>17</w:t>
            </w:r>
            <w:r>
              <w:rPr>
                <w:noProof/>
                <w:webHidden/>
              </w:rPr>
              <w:fldChar w:fldCharType="end"/>
            </w:r>
          </w:hyperlink>
        </w:p>
        <w:p w14:paraId="54A1C47E" w14:textId="572591DB" w:rsidR="008167C1" w:rsidRDefault="008167C1">
          <w:pPr>
            <w:pStyle w:val="TOC1"/>
            <w:tabs>
              <w:tab w:val="right" w:leader="dot" w:pos="9016"/>
            </w:tabs>
            <w:rPr>
              <w:noProof/>
            </w:rPr>
          </w:pPr>
          <w:hyperlink w:anchor="_Toc166407171" w:history="1">
            <w:r w:rsidRPr="00553DAC">
              <w:rPr>
                <w:rStyle w:val="Hyperlink"/>
                <w:rFonts w:eastAsia="Times New Roman"/>
                <w:noProof/>
                <w:lang w:eastAsia="en-GB"/>
              </w:rPr>
              <w:t>Appendix 1:</w:t>
            </w:r>
            <w:r>
              <w:rPr>
                <w:noProof/>
                <w:webHidden/>
              </w:rPr>
              <w:tab/>
            </w:r>
            <w:r>
              <w:rPr>
                <w:noProof/>
                <w:webHidden/>
              </w:rPr>
              <w:fldChar w:fldCharType="begin"/>
            </w:r>
            <w:r>
              <w:rPr>
                <w:noProof/>
                <w:webHidden/>
              </w:rPr>
              <w:instrText xml:space="preserve"> PAGEREF _Toc166407171 \h </w:instrText>
            </w:r>
            <w:r>
              <w:rPr>
                <w:noProof/>
                <w:webHidden/>
              </w:rPr>
            </w:r>
            <w:r>
              <w:rPr>
                <w:noProof/>
                <w:webHidden/>
              </w:rPr>
              <w:fldChar w:fldCharType="separate"/>
            </w:r>
            <w:r>
              <w:rPr>
                <w:noProof/>
                <w:webHidden/>
              </w:rPr>
              <w:t>21</w:t>
            </w:r>
            <w:r>
              <w:rPr>
                <w:noProof/>
                <w:webHidden/>
              </w:rPr>
              <w:fldChar w:fldCharType="end"/>
            </w:r>
          </w:hyperlink>
        </w:p>
        <w:p w14:paraId="50D5DDB0" w14:textId="57595673" w:rsidR="008167C1" w:rsidRDefault="008167C1">
          <w:r>
            <w:rPr>
              <w:b/>
              <w:bCs/>
              <w:noProof/>
            </w:rPr>
            <w:fldChar w:fldCharType="end"/>
          </w:r>
        </w:p>
      </w:sdtContent>
    </w:sdt>
    <w:p w14:paraId="3D6EBA7E" w14:textId="1FC2CE77" w:rsidR="00673B29" w:rsidRPr="00673B29" w:rsidRDefault="00673B29" w:rsidP="00CF38B8">
      <w:pPr>
        <w:pStyle w:val="Heading1"/>
        <w:rPr>
          <w:rFonts w:ascii="Segoe UI" w:eastAsia="Times New Roman" w:hAnsi="Segoe UI" w:cs="Segoe UI"/>
          <w:sz w:val="18"/>
          <w:szCs w:val="18"/>
          <w:lang w:eastAsia="en-GB"/>
        </w:rPr>
      </w:pPr>
    </w:p>
    <w:p w14:paraId="00420632" w14:textId="7FF457D8" w:rsidR="008167C1" w:rsidRDefault="008167C1" w:rsidP="008167C1">
      <w:pPr>
        <w:pStyle w:val="Heading1"/>
        <w:rPr>
          <w:rFonts w:eastAsia="Times New Roman"/>
          <w:lang w:eastAsia="en-GB"/>
        </w:rPr>
      </w:pPr>
      <w:bookmarkStart w:id="0" w:name="_Toc166407151"/>
      <w:r w:rsidRPr="00673B29">
        <w:rPr>
          <w:rFonts w:eastAsia="Times New Roman"/>
          <w:lang w:eastAsia="en-GB"/>
        </w:rPr>
        <w:t>Abstract:</w:t>
      </w:r>
      <w:bookmarkEnd w:id="0"/>
      <w:r w:rsidRPr="00673B29">
        <w:rPr>
          <w:rFonts w:eastAsia="Times New Roman"/>
          <w:lang w:eastAsia="en-GB"/>
        </w:rPr>
        <w:t>  </w:t>
      </w:r>
    </w:p>
    <w:p w14:paraId="5BDAF5B3" w14:textId="77777777" w:rsidR="008167C1" w:rsidRPr="008167C1" w:rsidRDefault="008167C1" w:rsidP="008167C1">
      <w:pPr>
        <w:rPr>
          <w:lang w:eastAsia="en-GB"/>
        </w:rPr>
      </w:pPr>
    </w:p>
    <w:p w14:paraId="5BF55029" w14:textId="037191DB"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Antimicrobial resistance (AMR) is a global phenomenon recognised by World Health Organisation as one of the ten biggest thre</w:t>
      </w:r>
      <w:r w:rsidR="008167C1">
        <w:rPr>
          <w:rFonts w:ascii="Calibri" w:eastAsia="Times New Roman" w:hAnsi="Calibri" w:cs="Calibri"/>
          <w:lang w:eastAsia="en-GB"/>
        </w:rPr>
        <w:t>ats to public health. There are</w:t>
      </w:r>
      <w:r w:rsidRPr="00673B29">
        <w:rPr>
          <w:rFonts w:ascii="Calibri" w:eastAsia="Times New Roman" w:hAnsi="Calibri" w:cs="Calibri"/>
          <w:lang w:eastAsia="en-GB"/>
        </w:rPr>
        <w:t xml:space="preserve"> sev</w:t>
      </w:r>
      <w:r w:rsidR="008167C1">
        <w:rPr>
          <w:rFonts w:ascii="Calibri" w:eastAsia="Times New Roman" w:hAnsi="Calibri" w:cs="Calibri"/>
          <w:lang w:eastAsia="en-GB"/>
        </w:rPr>
        <w:t>eral contributing factors to AMR</w:t>
      </w:r>
      <w:r w:rsidRPr="00673B29">
        <w:rPr>
          <w:rFonts w:ascii="Calibri" w:eastAsia="Times New Roman" w:hAnsi="Calibri" w:cs="Calibri"/>
          <w:lang w:eastAsia="en-GB"/>
        </w:rPr>
        <w:t xml:space="preserve"> including inappropriate antimicrobial prescribing, poor disease prevention programs, deficiency of research in production of new antimicrobials and infection surveillance programs</w:t>
      </w:r>
      <w:r w:rsidR="008167C1">
        <w:rPr>
          <w:rFonts w:ascii="Calibri" w:eastAsia="Times New Roman" w:hAnsi="Calibri" w:cs="Calibri"/>
          <w:lang w:eastAsia="en-GB"/>
        </w:rPr>
        <w:t xml:space="preserve"> </w:t>
      </w:r>
      <w:r w:rsidR="008167C1" w:rsidRPr="008167C1">
        <w:rPr>
          <w:rFonts w:ascii="Calibri" w:eastAsia="Times New Roman" w:hAnsi="Calibri" w:cs="Calibri"/>
          <w:lang w:eastAsia="en-GB"/>
        </w:rPr>
        <w:t>(Murray, 2022)</w:t>
      </w:r>
      <w:r w:rsidRPr="00673B29">
        <w:rPr>
          <w:rFonts w:ascii="Calibri" w:eastAsia="Times New Roman" w:hAnsi="Calibri" w:cs="Calibri"/>
          <w:lang w:eastAsia="en-GB"/>
        </w:rPr>
        <w:t>. AMR means that clinicians are increasingly facing scenarios where treating relatively simple infections is becoming challenging as more pathogens develop resistance to antibiotic</w:t>
      </w:r>
      <w:r w:rsidR="008167C1">
        <w:rPr>
          <w:rFonts w:ascii="Calibri" w:eastAsia="Times New Roman" w:hAnsi="Calibri" w:cs="Calibri"/>
          <w:lang w:eastAsia="en-GB"/>
        </w:rPr>
        <w:t>s commonly used</w:t>
      </w:r>
      <w:r w:rsidRPr="00673B29">
        <w:rPr>
          <w:rFonts w:ascii="Calibri" w:eastAsia="Times New Roman" w:hAnsi="Calibri" w:cs="Calibri"/>
          <w:lang w:eastAsia="en-GB"/>
        </w:rPr>
        <w:t xml:space="preserve"> to treat those infections. Infections not treated in time</w:t>
      </w:r>
      <w:r w:rsidR="008167C1">
        <w:rPr>
          <w:rFonts w:ascii="Calibri" w:eastAsia="Times New Roman" w:hAnsi="Calibri" w:cs="Calibri"/>
          <w:lang w:eastAsia="en-GB"/>
        </w:rPr>
        <w:t>ly manner</w:t>
      </w:r>
      <w:r w:rsidRPr="00673B29">
        <w:rPr>
          <w:rFonts w:ascii="Calibri" w:eastAsia="Times New Roman" w:hAnsi="Calibri" w:cs="Calibri"/>
          <w:lang w:eastAsia="en-GB"/>
        </w:rPr>
        <w:t xml:space="preserve"> can not only b</w:t>
      </w:r>
      <w:r w:rsidR="008167C1">
        <w:rPr>
          <w:rFonts w:ascii="Calibri" w:eastAsia="Times New Roman" w:hAnsi="Calibri" w:cs="Calibri"/>
          <w:lang w:eastAsia="en-GB"/>
        </w:rPr>
        <w:t xml:space="preserve">e fatal to the patient but </w:t>
      </w:r>
      <w:r w:rsidRPr="00673B29">
        <w:rPr>
          <w:rFonts w:ascii="Calibri" w:eastAsia="Times New Roman" w:hAnsi="Calibri" w:cs="Calibri"/>
          <w:lang w:eastAsia="en-GB"/>
        </w:rPr>
        <w:t xml:space="preserve">can </w:t>
      </w:r>
      <w:r w:rsidR="008167C1">
        <w:rPr>
          <w:rFonts w:ascii="Calibri" w:eastAsia="Times New Roman" w:hAnsi="Calibri" w:cs="Calibri"/>
          <w:lang w:eastAsia="en-GB"/>
        </w:rPr>
        <w:t xml:space="preserve">also </w:t>
      </w:r>
      <w:r w:rsidRPr="00673B29">
        <w:rPr>
          <w:rFonts w:ascii="Calibri" w:eastAsia="Times New Roman" w:hAnsi="Calibri" w:cs="Calibri"/>
          <w:lang w:eastAsia="en-GB"/>
        </w:rPr>
        <w:t>lead to spread of these resistant pathogens. To combat increasing AMR, antimicrobial stewardship (AMS) programs have been implemented globally.  </w:t>
      </w:r>
    </w:p>
    <w:p w14:paraId="6D110D4F" w14:textId="683464FF"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One of the important principles of AMS is appropriate use </w:t>
      </w:r>
      <w:r w:rsidR="008167C1">
        <w:rPr>
          <w:rFonts w:ascii="Calibri" w:eastAsia="Times New Roman" w:hAnsi="Calibri" w:cs="Calibri"/>
          <w:lang w:eastAsia="en-GB"/>
        </w:rPr>
        <w:t xml:space="preserve">of </w:t>
      </w:r>
      <w:r w:rsidRPr="00673B29">
        <w:rPr>
          <w:rFonts w:ascii="Calibri" w:eastAsia="Times New Roman" w:hAnsi="Calibri" w:cs="Calibri"/>
          <w:lang w:eastAsia="en-GB"/>
        </w:rPr>
        <w:t>antimicrobials. To use appropriate antibiotic</w:t>
      </w:r>
      <w:r w:rsidR="008167C1">
        <w:rPr>
          <w:rFonts w:ascii="Calibri" w:eastAsia="Times New Roman" w:hAnsi="Calibri" w:cs="Calibri"/>
          <w:lang w:eastAsia="en-GB"/>
        </w:rPr>
        <w:t>s</w:t>
      </w:r>
      <w:r w:rsidRPr="00673B29">
        <w:rPr>
          <w:rFonts w:ascii="Calibri" w:eastAsia="Times New Roman" w:hAnsi="Calibri" w:cs="Calibri"/>
          <w:lang w:eastAsia="en-GB"/>
        </w:rPr>
        <w:t xml:space="preserve">, it is imperative that we understand infection prevalence and associated disease and patient factors. Infection prevalence study in 2016 found out that 6.4% in-patients suffered with a healthcare associated infection (Point Prevalence Survey of Healthcare- Associated Infections and Antimicrobial Use in European Acute- Care Hospitals Codebook V1.0, 2016). The second most </w:t>
      </w:r>
      <w:r w:rsidRPr="00673B29">
        <w:rPr>
          <w:rFonts w:ascii="Calibri" w:eastAsia="Times New Roman" w:hAnsi="Calibri" w:cs="Calibri"/>
          <w:lang w:eastAsia="en-GB"/>
        </w:rPr>
        <w:lastRenderedPageBreak/>
        <w:t>common inpatient infection, according to this study, was urinary tract infection (UTI) which affected 17.2% patients. UTI has several types which</w:t>
      </w:r>
      <w:r w:rsidR="008167C1">
        <w:rPr>
          <w:rFonts w:ascii="Calibri" w:eastAsia="Times New Roman" w:hAnsi="Calibri" w:cs="Calibri"/>
          <w:lang w:eastAsia="en-GB"/>
        </w:rPr>
        <w:t xml:space="preserve"> included</w:t>
      </w:r>
      <w:r w:rsidRPr="00673B29">
        <w:rPr>
          <w:rFonts w:ascii="Calibri" w:eastAsia="Times New Roman" w:hAnsi="Calibri" w:cs="Calibri"/>
          <w:lang w:eastAsia="en-GB"/>
        </w:rPr>
        <w:t xml:space="preserve"> lower UTI and upper UTI as more common and uncomplicated whereas Urosepsis and Pyelonephritis are more serious UTIs. This article analyses the data collected for </w:t>
      </w:r>
      <w:r w:rsidR="008167C1">
        <w:rPr>
          <w:rFonts w:ascii="Calibri" w:eastAsia="Times New Roman" w:hAnsi="Calibri" w:cs="Calibri"/>
          <w:lang w:eastAsia="en-GB"/>
        </w:rPr>
        <w:t>a set of</w:t>
      </w:r>
      <w:r w:rsidRPr="00673B29">
        <w:rPr>
          <w:rFonts w:ascii="Calibri" w:eastAsia="Times New Roman" w:hAnsi="Calibri" w:cs="Calibri"/>
          <w:lang w:eastAsia="en-GB"/>
        </w:rPr>
        <w:t xml:space="preserve"> patients who suffered UTIs between Sep 2023 and Nov 2023 across three District General Hospitals (DGHs) in Cwm Taf Morgannwg University Health Board (CTM U</w:t>
      </w:r>
      <w:r w:rsidR="008167C1">
        <w:rPr>
          <w:rFonts w:ascii="Calibri" w:eastAsia="Times New Roman" w:hAnsi="Calibri" w:cs="Calibri"/>
          <w:lang w:eastAsia="en-GB"/>
        </w:rPr>
        <w:t>HB) with an aim to identify an</w:t>
      </w:r>
      <w:r w:rsidRPr="00673B29">
        <w:rPr>
          <w:rFonts w:ascii="Calibri" w:eastAsia="Times New Roman" w:hAnsi="Calibri" w:cs="Calibri"/>
          <w:lang w:eastAsia="en-GB"/>
        </w:rPr>
        <w:t xml:space="preserve"> association between patient factors that may predispose them to suffer with UTI. Understanding the relationship between </w:t>
      </w:r>
      <w:r w:rsidR="008167C1">
        <w:rPr>
          <w:rFonts w:ascii="Calibri" w:eastAsia="Times New Roman" w:hAnsi="Calibri" w:cs="Calibri"/>
          <w:lang w:eastAsia="en-GB"/>
        </w:rPr>
        <w:t xml:space="preserve">patient and disease factors </w:t>
      </w:r>
      <w:r w:rsidRPr="00673B29">
        <w:rPr>
          <w:rFonts w:ascii="Calibri" w:eastAsia="Times New Roman" w:hAnsi="Calibri" w:cs="Calibri"/>
          <w:lang w:eastAsia="en-GB"/>
        </w:rPr>
        <w:t>with infection prevalence can help devise better prevention and treatment plans thereby directly contributing to AMS goals.  </w:t>
      </w:r>
    </w:p>
    <w:p w14:paraId="4238766D" w14:textId="2B421DC2"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The outcome of this quantitative study did not find any direct relationship between patient attributes (age, gender, catheter </w:t>
      </w:r>
      <w:proofErr w:type="spellStart"/>
      <w:r w:rsidRPr="00673B29">
        <w:rPr>
          <w:rFonts w:ascii="Calibri" w:eastAsia="Times New Roman" w:hAnsi="Calibri" w:cs="Calibri"/>
          <w:lang w:eastAsia="en-GB"/>
        </w:rPr>
        <w:t>etc</w:t>
      </w:r>
      <w:proofErr w:type="spellEnd"/>
      <w:r w:rsidRPr="00673B29">
        <w:rPr>
          <w:rFonts w:ascii="Calibri" w:eastAsia="Times New Roman" w:hAnsi="Calibri" w:cs="Calibri"/>
          <w:lang w:eastAsia="en-GB"/>
        </w:rPr>
        <w:t>) and disease prevalence thereby identifying need of further research to understand factors contributing to UTI infections in patients in acute care hospital settings.  </w:t>
      </w:r>
      <w:r w:rsidR="008167C1">
        <w:rPr>
          <w:rFonts w:ascii="Calibri" w:eastAsia="Times New Roman" w:hAnsi="Calibri" w:cs="Calibri"/>
          <w:lang w:eastAsia="en-GB"/>
        </w:rPr>
        <w:t xml:space="preserve">There were several limiting factors that may have contributed to statistical analysis as not significant. </w:t>
      </w:r>
    </w:p>
    <w:p w14:paraId="0B240EA4"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b/>
          <w:bCs/>
          <w:lang w:eastAsia="en-GB"/>
        </w:rPr>
        <w:t>Key Words: Antimicrobial resistance, antimicrobial stewardship, infection prevalence, prescribing, UTI </w:t>
      </w:r>
      <w:r w:rsidRPr="00673B29">
        <w:rPr>
          <w:rFonts w:ascii="Calibri" w:eastAsia="Times New Roman" w:hAnsi="Calibri" w:cs="Calibri"/>
          <w:lang w:eastAsia="en-GB"/>
        </w:rPr>
        <w:t> </w:t>
      </w:r>
    </w:p>
    <w:p w14:paraId="0152514B"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4E056810" w14:textId="77777777" w:rsidR="00673B29" w:rsidRDefault="00673B29" w:rsidP="00673B29">
      <w:pPr>
        <w:spacing w:after="0" w:line="240" w:lineRule="auto"/>
        <w:textAlignment w:val="baseline"/>
        <w:rPr>
          <w:rFonts w:ascii="Calibri" w:eastAsia="Times New Roman" w:hAnsi="Calibri" w:cs="Calibri"/>
          <w:lang w:eastAsia="en-GB"/>
        </w:rPr>
      </w:pPr>
      <w:r w:rsidRPr="00673B29">
        <w:rPr>
          <w:rFonts w:ascii="Calibri" w:eastAsia="Times New Roman" w:hAnsi="Calibri" w:cs="Calibri"/>
          <w:lang w:eastAsia="en-GB"/>
        </w:rPr>
        <w:t> </w:t>
      </w:r>
    </w:p>
    <w:p w14:paraId="40760209" w14:textId="77777777" w:rsidR="00673B29" w:rsidRDefault="00673B29">
      <w:pPr>
        <w:rPr>
          <w:rFonts w:ascii="Calibri" w:eastAsia="Times New Roman" w:hAnsi="Calibri" w:cs="Calibri"/>
          <w:lang w:eastAsia="en-GB"/>
        </w:rPr>
      </w:pPr>
      <w:r>
        <w:rPr>
          <w:rFonts w:ascii="Calibri" w:eastAsia="Times New Roman" w:hAnsi="Calibri" w:cs="Calibri"/>
          <w:lang w:eastAsia="en-GB"/>
        </w:rPr>
        <w:br w:type="page"/>
      </w:r>
    </w:p>
    <w:p w14:paraId="0A38D882"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p>
    <w:p w14:paraId="7F5D2FAA" w14:textId="77777777" w:rsidR="00CF38B8" w:rsidRDefault="00673B29" w:rsidP="00673B29">
      <w:pPr>
        <w:spacing w:after="0" w:line="240" w:lineRule="auto"/>
        <w:textAlignment w:val="baseline"/>
        <w:rPr>
          <w:rFonts w:ascii="Calibri" w:eastAsia="Times New Roman" w:hAnsi="Calibri" w:cs="Calibri"/>
          <w:color w:val="2E74B5"/>
          <w:lang w:eastAsia="en-GB"/>
        </w:rPr>
      </w:pPr>
      <w:bookmarkStart w:id="1" w:name="_Toc166407152"/>
      <w:r w:rsidRPr="00CF38B8">
        <w:rPr>
          <w:rStyle w:val="Heading1Char"/>
        </w:rPr>
        <w:t>Introduction:</w:t>
      </w:r>
      <w:bookmarkEnd w:id="1"/>
      <w:r w:rsidRPr="00673B29">
        <w:rPr>
          <w:rFonts w:ascii="Calibri" w:eastAsia="Times New Roman" w:hAnsi="Calibri" w:cs="Calibri"/>
          <w:color w:val="2E74B5"/>
          <w:lang w:eastAsia="en-GB"/>
        </w:rPr>
        <w:t xml:space="preserve"> </w:t>
      </w:r>
    </w:p>
    <w:p w14:paraId="41D6A069" w14:textId="6FA25E7A"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Antimicrobial resistance (AMR) is a pressing global phenomenon which is rapidly turning into a global health crisis. World Health Organisation declared AMR as directly responsible fo</w:t>
      </w:r>
      <w:r w:rsidR="008167C1">
        <w:rPr>
          <w:rFonts w:ascii="Calibri" w:eastAsia="Times New Roman" w:hAnsi="Calibri" w:cs="Calibri"/>
          <w:lang w:eastAsia="en-GB"/>
        </w:rPr>
        <w:t>r</w:t>
      </w:r>
      <w:r w:rsidRPr="00673B29">
        <w:rPr>
          <w:rFonts w:ascii="Calibri" w:eastAsia="Times New Roman" w:hAnsi="Calibri" w:cs="Calibri"/>
          <w:lang w:eastAsia="en-GB"/>
        </w:rPr>
        <w:t xml:space="preserve"> 1.27 million global death that occurred in 2019.  </w:t>
      </w:r>
    </w:p>
    <w:p w14:paraId="61D4A3ED" w14:textId="1C89DFFF" w:rsidR="00673B29" w:rsidRDefault="00673B29" w:rsidP="00673B29">
      <w:pPr>
        <w:spacing w:after="0" w:line="240" w:lineRule="auto"/>
        <w:textAlignment w:val="baseline"/>
        <w:rPr>
          <w:rFonts w:ascii="Calibri" w:eastAsia="Times New Roman" w:hAnsi="Calibri" w:cs="Calibri"/>
          <w:lang w:eastAsia="en-GB"/>
        </w:rPr>
      </w:pPr>
      <w:r w:rsidRPr="00673B29">
        <w:rPr>
          <w:rFonts w:ascii="Calibri" w:eastAsia="Times New Roman" w:hAnsi="Calibri" w:cs="Calibri"/>
          <w:lang w:eastAsia="en-GB"/>
        </w:rPr>
        <w:t xml:space="preserve">In order to understand AMR as a phenomenon it is important to understand the background. “Microbe” term was coined in 1878 by a French professor Charles </w:t>
      </w:r>
      <w:proofErr w:type="spellStart"/>
      <w:r w:rsidRPr="00673B29">
        <w:rPr>
          <w:rFonts w:ascii="Calibri" w:eastAsia="Times New Roman" w:hAnsi="Calibri" w:cs="Calibri"/>
          <w:lang w:eastAsia="en-GB"/>
        </w:rPr>
        <w:t>Sedillot</w:t>
      </w:r>
      <w:proofErr w:type="spellEnd"/>
      <w:r w:rsidRPr="00673B29">
        <w:rPr>
          <w:rFonts w:ascii="Calibri" w:eastAsia="Times New Roman" w:hAnsi="Calibri" w:cs="Calibri"/>
          <w:lang w:eastAsia="en-GB"/>
        </w:rPr>
        <w:t xml:space="preserve"> a</w:t>
      </w:r>
      <w:r w:rsidR="008167C1">
        <w:rPr>
          <w:rFonts w:ascii="Calibri" w:eastAsia="Times New Roman" w:hAnsi="Calibri" w:cs="Calibri"/>
          <w:lang w:eastAsia="en-GB"/>
        </w:rPr>
        <w:t>nd it literally comes from two G</w:t>
      </w:r>
      <w:r w:rsidRPr="00673B29">
        <w:rPr>
          <w:rFonts w:ascii="Calibri" w:eastAsia="Times New Roman" w:hAnsi="Calibri" w:cs="Calibri"/>
          <w:lang w:eastAsia="en-GB"/>
        </w:rPr>
        <w:t>reek words “</w:t>
      </w:r>
      <w:proofErr w:type="spellStart"/>
      <w:r w:rsidRPr="00673B29">
        <w:rPr>
          <w:rFonts w:ascii="Calibri" w:eastAsia="Times New Roman" w:hAnsi="Calibri" w:cs="Calibri"/>
          <w:lang w:eastAsia="en-GB"/>
        </w:rPr>
        <w:t>mikros</w:t>
      </w:r>
      <w:proofErr w:type="spellEnd"/>
      <w:r w:rsidRPr="00673B29">
        <w:rPr>
          <w:rFonts w:ascii="Calibri" w:eastAsia="Times New Roman" w:hAnsi="Calibri" w:cs="Calibri"/>
          <w:lang w:eastAsia="en-GB"/>
        </w:rPr>
        <w:t>” and “bios” literally translating to “small” and life” respectively. Microbes are those living organism that are too small to be seen by naked eye (</w:t>
      </w:r>
      <w:proofErr w:type="spellStart"/>
      <w:r w:rsidRPr="00673B29">
        <w:rPr>
          <w:rFonts w:ascii="Calibri" w:eastAsia="Times New Roman" w:hAnsi="Calibri" w:cs="Calibri"/>
          <w:lang w:eastAsia="en-GB"/>
        </w:rPr>
        <w:t>Pelczar</w:t>
      </w:r>
      <w:proofErr w:type="spellEnd"/>
      <w:r w:rsidRPr="00673B29">
        <w:rPr>
          <w:rFonts w:ascii="Calibri" w:eastAsia="Times New Roman" w:hAnsi="Calibri" w:cs="Calibri"/>
          <w:lang w:eastAsia="en-GB"/>
        </w:rPr>
        <w:t xml:space="preserve"> &amp; </w:t>
      </w:r>
      <w:proofErr w:type="spellStart"/>
      <w:r w:rsidRPr="00673B29">
        <w:rPr>
          <w:rFonts w:ascii="Calibri" w:eastAsia="Times New Roman" w:hAnsi="Calibri" w:cs="Calibri"/>
          <w:lang w:eastAsia="en-GB"/>
        </w:rPr>
        <w:t>Pelczar</w:t>
      </w:r>
      <w:proofErr w:type="spellEnd"/>
      <w:r w:rsidRPr="00673B29">
        <w:rPr>
          <w:rFonts w:ascii="Calibri" w:eastAsia="Times New Roman" w:hAnsi="Calibri" w:cs="Calibri"/>
          <w:lang w:eastAsia="en-GB"/>
        </w:rPr>
        <w:t>, 2018). Microbes colonise all parts of the global ecological systems and have a pivotal role in maintaining the ecology of global systems. Microbes include not only bacteria and viruses but several other forms such as fungi. A German physician, Rober</w:t>
      </w:r>
      <w:r w:rsidR="008167C1">
        <w:rPr>
          <w:rFonts w:ascii="Calibri" w:eastAsia="Times New Roman" w:hAnsi="Calibri" w:cs="Calibri"/>
          <w:lang w:eastAsia="en-GB"/>
        </w:rPr>
        <w:t>t</w:t>
      </w:r>
      <w:r w:rsidRPr="00673B29">
        <w:rPr>
          <w:rFonts w:ascii="Calibri" w:eastAsia="Times New Roman" w:hAnsi="Calibri" w:cs="Calibri"/>
          <w:lang w:eastAsia="en-GB"/>
        </w:rPr>
        <w:t xml:space="preserve"> Koch, identified the relationship with microbes and disease. Infectious diseases are the gross consequence of microbial colonisation in other living beings such as animals and humans. Term “infection” refers to a state where some microbes destroy the normal ecological system within a living being and cause disease threatening overall health and life of that living being (Drexler, 2010). </w:t>
      </w:r>
    </w:p>
    <w:p w14:paraId="6817D8FC" w14:textId="77777777" w:rsidR="00866CB1" w:rsidRPr="00673B29" w:rsidRDefault="00866CB1" w:rsidP="00673B29">
      <w:pPr>
        <w:spacing w:after="0" w:line="240" w:lineRule="auto"/>
        <w:textAlignment w:val="baseline"/>
        <w:rPr>
          <w:rFonts w:ascii="Segoe UI" w:eastAsia="Times New Roman" w:hAnsi="Segoe UI" w:cs="Segoe UI"/>
          <w:sz w:val="18"/>
          <w:szCs w:val="18"/>
          <w:lang w:eastAsia="en-GB"/>
        </w:rPr>
      </w:pPr>
    </w:p>
    <w:p w14:paraId="2F8856B1" w14:textId="77777777" w:rsidR="00866CB1" w:rsidRDefault="00673B29" w:rsidP="00866CB1">
      <w:pPr>
        <w:keepNext/>
        <w:spacing w:after="0" w:line="240" w:lineRule="auto"/>
        <w:textAlignment w:val="baseline"/>
      </w:pPr>
      <w:r w:rsidRPr="00673B29">
        <w:rPr>
          <w:noProof/>
          <w:lang w:eastAsia="en-GB"/>
        </w:rPr>
        <w:drawing>
          <wp:inline distT="0" distB="0" distL="0" distR="0" wp14:anchorId="247C2D3F" wp14:editId="4AE08275">
            <wp:extent cx="5715000" cy="2076450"/>
            <wp:effectExtent l="0" t="0" r="0" b="0"/>
            <wp:docPr id="15" name="Picture 15" descr="C:\Users\Ra177043\AppData\Local\Microsoft\Windows\INetCache\Content.MSO\D03AF81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a177043\AppData\Local\Microsoft\Windows\INetCache\Content.MSO\D03AF813.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2076450"/>
                    </a:xfrm>
                    <a:prstGeom prst="rect">
                      <a:avLst/>
                    </a:prstGeom>
                    <a:noFill/>
                    <a:ln>
                      <a:noFill/>
                    </a:ln>
                  </pic:spPr>
                </pic:pic>
              </a:graphicData>
            </a:graphic>
          </wp:inline>
        </w:drawing>
      </w:r>
    </w:p>
    <w:p w14:paraId="5D512D19" w14:textId="3BB58EDF" w:rsidR="00866CB1" w:rsidRDefault="00866CB1" w:rsidP="00866CB1">
      <w:pPr>
        <w:pStyle w:val="Caption"/>
        <w:rPr>
          <w:rFonts w:ascii="Calibri" w:eastAsia="Times New Roman" w:hAnsi="Calibri" w:cs="Calibri"/>
          <w:lang w:eastAsia="en-GB"/>
        </w:rPr>
      </w:pPr>
      <w:r>
        <w:t xml:space="preserve">Figure </w:t>
      </w:r>
      <w:r>
        <w:fldChar w:fldCharType="begin"/>
      </w:r>
      <w:r>
        <w:instrText xml:space="preserve"> SEQ Figure \* ARABIC </w:instrText>
      </w:r>
      <w:r>
        <w:fldChar w:fldCharType="separate"/>
      </w:r>
      <w:r w:rsidR="008167C1">
        <w:rPr>
          <w:noProof/>
        </w:rPr>
        <w:t>1</w:t>
      </w:r>
      <w:r>
        <w:fldChar w:fldCharType="end"/>
      </w:r>
    </w:p>
    <w:p w14:paraId="17EA5FC6" w14:textId="77777777" w:rsidR="00866CB1" w:rsidRDefault="00866CB1" w:rsidP="00673B29">
      <w:pPr>
        <w:spacing w:after="0" w:line="240" w:lineRule="auto"/>
        <w:textAlignment w:val="baseline"/>
        <w:rPr>
          <w:rFonts w:ascii="Calibri" w:eastAsia="Times New Roman" w:hAnsi="Calibri" w:cs="Calibri"/>
          <w:lang w:eastAsia="en-GB"/>
        </w:rPr>
      </w:pPr>
    </w:p>
    <w:p w14:paraId="35A19563" w14:textId="0227FC28" w:rsidR="00673B29" w:rsidRPr="00673B29" w:rsidRDefault="008167C1"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Antimicrobials</w:t>
      </w:r>
      <w:r w:rsidR="00673B29" w:rsidRPr="00673B29">
        <w:rPr>
          <w:rFonts w:ascii="Calibri" w:eastAsia="Times New Roman" w:hAnsi="Calibri" w:cs="Calibri"/>
          <w:lang w:eastAsia="en-GB"/>
        </w:rPr>
        <w:t>, as the name suggests, are used to combat the harmful and disease forming effects of these microbes. Antimicrobials are used to treat, prevent, or reduce severity of the disease caused by mi</w:t>
      </w:r>
      <w:r>
        <w:rPr>
          <w:rFonts w:ascii="Calibri" w:eastAsia="Times New Roman" w:hAnsi="Calibri" w:cs="Calibri"/>
          <w:lang w:eastAsia="en-GB"/>
        </w:rPr>
        <w:t>crobes. In 1928, Alexander Fleming, discovered</w:t>
      </w:r>
      <w:r w:rsidR="00673B29" w:rsidRPr="00673B29">
        <w:rPr>
          <w:rFonts w:ascii="Calibri" w:eastAsia="Times New Roman" w:hAnsi="Calibri" w:cs="Calibri"/>
          <w:lang w:eastAsia="en-GB"/>
        </w:rPr>
        <w:t xml:space="preserve"> the firs</w:t>
      </w:r>
      <w:r>
        <w:rPr>
          <w:rFonts w:ascii="Calibri" w:eastAsia="Times New Roman" w:hAnsi="Calibri" w:cs="Calibri"/>
          <w:lang w:eastAsia="en-GB"/>
        </w:rPr>
        <w:t>t ever antimicrobial, later named</w:t>
      </w:r>
      <w:r w:rsidR="00673B29" w:rsidRPr="00673B29">
        <w:rPr>
          <w:rFonts w:ascii="Calibri" w:eastAsia="Times New Roman" w:hAnsi="Calibri" w:cs="Calibri"/>
          <w:lang w:eastAsia="en-GB"/>
        </w:rPr>
        <w:t xml:space="preserve"> as “penicillin”</w:t>
      </w:r>
      <w:r>
        <w:rPr>
          <w:rFonts w:ascii="Calibri" w:eastAsia="Times New Roman" w:hAnsi="Calibri" w:cs="Calibri"/>
          <w:lang w:eastAsia="en-GB"/>
        </w:rPr>
        <w:t>,</w:t>
      </w:r>
      <w:r w:rsidR="00673B29" w:rsidRPr="00673B29">
        <w:rPr>
          <w:rFonts w:ascii="Calibri" w:eastAsia="Times New Roman" w:hAnsi="Calibri" w:cs="Calibri"/>
          <w:lang w:eastAsia="en-GB"/>
        </w:rPr>
        <w:t xml:space="preserve"> by accident while studying colonies of bacteria. A decade later this antibiotic made its way into the world of medicine to treat common infections. Several other antimicrobials were discovered to combat several types of infections caused by microbes</w:t>
      </w:r>
      <w:r>
        <w:rPr>
          <w:rFonts w:ascii="Calibri" w:eastAsia="Times New Roman" w:hAnsi="Calibri" w:cs="Calibri"/>
          <w:lang w:eastAsia="en-GB"/>
        </w:rPr>
        <w:t xml:space="preserve"> in the years that followed this discovery</w:t>
      </w:r>
      <w:r w:rsidR="00673B29" w:rsidRPr="00673B29">
        <w:rPr>
          <w:rFonts w:ascii="Calibri" w:eastAsia="Times New Roman" w:hAnsi="Calibri" w:cs="Calibri"/>
          <w:lang w:eastAsia="en-GB"/>
        </w:rPr>
        <w:t>. In the WW2, antimicrobials were widely used and was responsible for a transformative approach to disease. Just like any form of life, microbes also demonstrated their ability to develop tolerance/resistance against the t</w:t>
      </w:r>
      <w:r>
        <w:rPr>
          <w:rFonts w:ascii="Calibri" w:eastAsia="Times New Roman" w:hAnsi="Calibri" w:cs="Calibri"/>
          <w:lang w:eastAsia="en-GB"/>
        </w:rPr>
        <w:t>h</w:t>
      </w:r>
      <w:r w:rsidR="00673B29" w:rsidRPr="00673B29">
        <w:rPr>
          <w:rFonts w:ascii="Calibri" w:eastAsia="Times New Roman" w:hAnsi="Calibri" w:cs="Calibri"/>
          <w:lang w:eastAsia="en-GB"/>
        </w:rPr>
        <w:t>reat of their existence. In 1940s, only a couple of decades later since the start of antimicrobial use first “antimicrobial resistant</w:t>
      </w:r>
      <w:r>
        <w:rPr>
          <w:rFonts w:ascii="Calibri" w:eastAsia="Times New Roman" w:hAnsi="Calibri" w:cs="Calibri"/>
          <w:lang w:eastAsia="en-GB"/>
        </w:rPr>
        <w:t>”</w:t>
      </w:r>
      <w:r w:rsidR="00673B29" w:rsidRPr="00673B29">
        <w:rPr>
          <w:rFonts w:ascii="Calibri" w:eastAsia="Times New Roman" w:hAnsi="Calibri" w:cs="Calibri"/>
          <w:lang w:eastAsia="en-GB"/>
        </w:rPr>
        <w:t xml:space="preserve"> pathogen was identified. This led to a race of discovering more antimicrobials that work in in diverse ways to kill the microbes. As the antimicrobials got smarter in killing the bacteria so did</w:t>
      </w:r>
      <w:r>
        <w:rPr>
          <w:rFonts w:ascii="Calibri" w:eastAsia="Times New Roman" w:hAnsi="Calibri" w:cs="Calibri"/>
          <w:lang w:eastAsia="en-GB"/>
        </w:rPr>
        <w:t xml:space="preserve"> </w:t>
      </w:r>
      <w:r w:rsidR="00673B29" w:rsidRPr="00673B29">
        <w:rPr>
          <w:rFonts w:ascii="Calibri" w:eastAsia="Times New Roman" w:hAnsi="Calibri" w:cs="Calibri"/>
          <w:lang w:eastAsia="en-GB"/>
        </w:rPr>
        <w:t>they</w:t>
      </w:r>
      <w:r>
        <w:rPr>
          <w:rFonts w:ascii="Calibri" w:eastAsia="Times New Roman" w:hAnsi="Calibri" w:cs="Calibri"/>
          <w:lang w:eastAsia="en-GB"/>
        </w:rPr>
        <w:t>,</w:t>
      </w:r>
      <w:r w:rsidR="00673B29" w:rsidRPr="00673B29">
        <w:rPr>
          <w:rFonts w:ascii="Calibri" w:eastAsia="Times New Roman" w:hAnsi="Calibri" w:cs="Calibri"/>
          <w:lang w:eastAsia="en-GB"/>
        </w:rPr>
        <w:t xml:space="preserve"> in developing resistance against those antimicrobials. By 1950s, Japan had discovered pathogens (disease/infection forming microbes) that had the ability to genetically transfer the “antimicrobial trait” to next generations of bacteria making this resistance embedded into the genetic makeup of those microbes. </w:t>
      </w:r>
      <w:r>
        <w:rPr>
          <w:rFonts w:ascii="Calibri" w:eastAsia="Times New Roman" w:hAnsi="Calibri" w:cs="Calibri"/>
          <w:lang w:eastAsia="en-GB"/>
        </w:rPr>
        <w:t>Figure 2</w:t>
      </w:r>
      <w:r w:rsidR="00673B29" w:rsidRPr="00673B29">
        <w:rPr>
          <w:rFonts w:ascii="Calibri" w:eastAsia="Times New Roman" w:hAnsi="Calibri" w:cs="Calibri"/>
          <w:lang w:eastAsia="en-GB"/>
        </w:rPr>
        <w:t xml:space="preserve"> outlines the timeline of antimicrobial and development of antimicrobial resistance (Davies &amp; Davies, 2010).  </w:t>
      </w:r>
    </w:p>
    <w:p w14:paraId="12ECCC16" w14:textId="106AD3AB"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We now live in an era of “superbugs” or “multi-drug resistant” pathogens. It is extremely difficult to treat infections caused but these strains of bacteria. Just like any problem (actual or perceived) humans followed the pattern of embarking on a journey </w:t>
      </w:r>
      <w:r w:rsidR="008167C1">
        <w:rPr>
          <w:rFonts w:ascii="Calibri" w:eastAsia="Times New Roman" w:hAnsi="Calibri" w:cs="Calibri"/>
          <w:lang w:eastAsia="en-GB"/>
        </w:rPr>
        <w:t xml:space="preserve">of </w:t>
      </w:r>
      <w:r w:rsidRPr="00673B29">
        <w:rPr>
          <w:rFonts w:ascii="Calibri" w:eastAsia="Times New Roman" w:hAnsi="Calibri" w:cs="Calibri"/>
          <w:lang w:eastAsia="en-GB"/>
        </w:rPr>
        <w:t>finding the solution to this problem.  </w:t>
      </w:r>
    </w:p>
    <w:p w14:paraId="64A379DE" w14:textId="77777777" w:rsidR="00866CB1" w:rsidRDefault="00673B29" w:rsidP="00866CB1">
      <w:pPr>
        <w:keepNext/>
        <w:spacing w:after="0" w:line="240" w:lineRule="auto"/>
        <w:textAlignment w:val="baseline"/>
      </w:pPr>
      <w:r w:rsidRPr="00673B29">
        <w:rPr>
          <w:noProof/>
          <w:lang w:eastAsia="en-GB"/>
        </w:rPr>
        <w:lastRenderedPageBreak/>
        <w:drawing>
          <wp:inline distT="0" distB="0" distL="0" distR="0" wp14:anchorId="21F9A1AA" wp14:editId="00BBC476">
            <wp:extent cx="5829300" cy="3244850"/>
            <wp:effectExtent l="0" t="0" r="0" b="0"/>
            <wp:docPr id="14" name="Picture 14" descr="C:\Users\Ra177043\AppData\Local\Microsoft\Windows\INetCache\Content.MSO\A155FE9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a177043\AppData\Local\Microsoft\Windows\INetCache\Content.MSO\A155FE99.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29300" cy="3244850"/>
                    </a:xfrm>
                    <a:prstGeom prst="rect">
                      <a:avLst/>
                    </a:prstGeom>
                    <a:noFill/>
                    <a:ln>
                      <a:noFill/>
                    </a:ln>
                  </pic:spPr>
                </pic:pic>
              </a:graphicData>
            </a:graphic>
          </wp:inline>
        </w:drawing>
      </w:r>
    </w:p>
    <w:p w14:paraId="6E872744" w14:textId="26774B69" w:rsidR="00866CB1" w:rsidRDefault="00866CB1" w:rsidP="00866CB1">
      <w:pPr>
        <w:pStyle w:val="Caption"/>
      </w:pPr>
      <w:r>
        <w:t xml:space="preserve">Figure </w:t>
      </w:r>
      <w:r>
        <w:fldChar w:fldCharType="begin"/>
      </w:r>
      <w:r>
        <w:instrText xml:space="preserve"> SEQ Figure \* ARABIC </w:instrText>
      </w:r>
      <w:r>
        <w:fldChar w:fldCharType="separate"/>
      </w:r>
      <w:r w:rsidR="008167C1">
        <w:rPr>
          <w:noProof/>
        </w:rPr>
        <w:t>2</w:t>
      </w:r>
      <w:r>
        <w:fldChar w:fldCharType="end"/>
      </w:r>
    </w:p>
    <w:p w14:paraId="215E28A8" w14:textId="5BBF2A0A" w:rsidR="00673B29" w:rsidRDefault="00673B29" w:rsidP="00673B29">
      <w:pPr>
        <w:spacing w:after="0" w:line="240" w:lineRule="auto"/>
        <w:textAlignment w:val="baseline"/>
        <w:rPr>
          <w:rFonts w:ascii="Calibri" w:eastAsia="Times New Roman" w:hAnsi="Calibri" w:cs="Calibri"/>
          <w:lang w:eastAsia="en-GB"/>
        </w:rPr>
      </w:pPr>
      <w:r w:rsidRPr="00673B29">
        <w:rPr>
          <w:rFonts w:ascii="Calibri" w:eastAsia="Times New Roman" w:hAnsi="Calibri" w:cs="Calibri"/>
          <w:lang w:eastAsia="en-GB"/>
        </w:rPr>
        <w:t>The recognition of “antimicrobial resistance” led to questions like “how we combat this problem</w:t>
      </w:r>
      <w:r w:rsidR="008167C1">
        <w:rPr>
          <w:rFonts w:ascii="Calibri" w:eastAsia="Times New Roman" w:hAnsi="Calibri" w:cs="Calibri"/>
          <w:lang w:eastAsia="en-GB"/>
        </w:rPr>
        <w:t xml:space="preserve">?” </w:t>
      </w:r>
      <w:r w:rsidRPr="00673B29">
        <w:rPr>
          <w:rFonts w:ascii="Calibri" w:eastAsia="Times New Roman" w:hAnsi="Calibri" w:cs="Calibri"/>
          <w:lang w:eastAsia="en-GB"/>
        </w:rPr>
        <w:t xml:space="preserve"> The initial solution was to discover more antibiotics that are more precise in their action and work in multiple ways however it was evident that the antibacterial resistance will continue to increase with potential multiple ways of “</w:t>
      </w:r>
      <w:r w:rsidR="008167C1">
        <w:rPr>
          <w:rFonts w:ascii="Calibri" w:eastAsia="Times New Roman" w:hAnsi="Calibri" w:cs="Calibri"/>
          <w:lang w:eastAsia="en-GB"/>
        </w:rPr>
        <w:t>developed” resistance. Figure 3</w:t>
      </w:r>
      <w:r w:rsidRPr="00673B29">
        <w:rPr>
          <w:rFonts w:ascii="Calibri" w:eastAsia="Times New Roman" w:hAnsi="Calibri" w:cs="Calibri"/>
          <w:lang w:eastAsia="en-GB"/>
        </w:rPr>
        <w:t xml:space="preserve"> below shows timeline of antimicrobial resistance as it follows discovery if new classes of antimicrobials (Public Health England, 2015).  </w:t>
      </w:r>
    </w:p>
    <w:p w14:paraId="1E66C2F8" w14:textId="65C19E9A" w:rsidR="008167C1" w:rsidRDefault="008167C1" w:rsidP="00673B29">
      <w:pPr>
        <w:spacing w:after="0" w:line="240" w:lineRule="auto"/>
        <w:textAlignment w:val="baseline"/>
        <w:rPr>
          <w:rFonts w:ascii="Calibri" w:eastAsia="Times New Roman" w:hAnsi="Calibri" w:cs="Calibri"/>
          <w:lang w:eastAsia="en-GB"/>
        </w:rPr>
      </w:pPr>
      <w:r>
        <w:rPr>
          <w:noProof/>
        </w:rPr>
        <mc:AlternateContent>
          <mc:Choice Requires="wps">
            <w:drawing>
              <wp:anchor distT="0" distB="0" distL="114300" distR="114300" simplePos="0" relativeHeight="251693056" behindDoc="0" locked="0" layoutInCell="1" allowOverlap="1" wp14:anchorId="4FEE5B20" wp14:editId="04CF06F6">
                <wp:simplePos x="0" y="0"/>
                <wp:positionH relativeFrom="column">
                  <wp:posOffset>2978150</wp:posOffset>
                </wp:positionH>
                <wp:positionV relativeFrom="paragraph">
                  <wp:posOffset>2703195</wp:posOffset>
                </wp:positionV>
                <wp:extent cx="3048000" cy="635"/>
                <wp:effectExtent l="0" t="0" r="0" b="0"/>
                <wp:wrapThrough wrapText="bothSides">
                  <wp:wrapPolygon edited="0">
                    <wp:start x="0" y="0"/>
                    <wp:lineTo x="0" y="21600"/>
                    <wp:lineTo x="21600" y="21600"/>
                    <wp:lineTo x="21600" y="0"/>
                  </wp:wrapPolygon>
                </wp:wrapThrough>
                <wp:docPr id="23" name="Text Box 23"/>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10ABA6C4" w14:textId="3FB0839A" w:rsidR="008167C1" w:rsidRPr="008416AD" w:rsidRDefault="008167C1" w:rsidP="008167C1">
                            <w:pPr>
                              <w:pStyle w:val="Caption"/>
                              <w:rPr>
                                <w:rFonts w:ascii="Calibri" w:eastAsia="Times New Roman" w:hAnsi="Calibri" w:cs="Calibri"/>
                                <w:noProof/>
                              </w:rPr>
                            </w:pPr>
                            <w:r>
                              <w:t xml:space="preserve">Figure </w:t>
                            </w:r>
                            <w:r>
                              <w:fldChar w:fldCharType="begin"/>
                            </w:r>
                            <w:r>
                              <w:instrText xml:space="preserve"> SEQ Figure \* ARABIC </w:instrText>
                            </w:r>
                            <w:r>
                              <w:fldChar w:fldCharType="separate"/>
                            </w:r>
                            <w:r>
                              <w:rPr>
                                <w:noProof/>
                              </w:rPr>
                              <w:t>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EE5B20" id="Text Box 23" o:spid="_x0000_s1030" type="#_x0000_t202" style="position:absolute;margin-left:234.5pt;margin-top:212.85pt;width:240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" stroked="f">
                <v:textbox style="mso-fit-shape-to-text:t" inset="0,0,0,0">
                  <w:txbxContent>
                    <w:p w14:paraId="10ABA6C4" w14:textId="3FB0839A" w:rsidR="008167C1" w:rsidRPr="008416AD" w:rsidRDefault="008167C1" w:rsidP="008167C1">
                      <w:pPr>
                        <w:pStyle w:val="Caption"/>
                        <w:rPr>
                          <w:rFonts w:ascii="Calibri" w:eastAsia="Times New Roman" w:hAnsi="Calibri" w:cs="Calibri"/>
                          <w:noProof/>
                        </w:rPr>
                      </w:pPr>
                      <w:r>
                        <w:t xml:space="preserve">Figure </w:t>
                      </w:r>
                      <w:r>
                        <w:fldChar w:fldCharType="begin"/>
                      </w:r>
                      <w:r>
                        <w:instrText xml:space="preserve"> SEQ Figure \* ARABIC </w:instrText>
                      </w:r>
                      <w:r>
                        <w:fldChar w:fldCharType="separate"/>
                      </w:r>
                      <w:r>
                        <w:rPr>
                          <w:noProof/>
                        </w:rPr>
                        <w:t>3</w:t>
                      </w:r>
                      <w:r>
                        <w:fldChar w:fldCharType="end"/>
                      </w:r>
                    </w:p>
                  </w:txbxContent>
                </v:textbox>
                <w10:wrap type="through"/>
              </v:shape>
            </w:pict>
          </mc:Fallback>
        </mc:AlternateContent>
      </w:r>
      <w:r>
        <w:rPr>
          <w:rFonts w:ascii="Calibri" w:eastAsia="Times New Roman" w:hAnsi="Calibri" w:cs="Calibri"/>
          <w:noProof/>
          <w:lang w:eastAsia="en-GB"/>
        </w:rPr>
        <w:drawing>
          <wp:anchor distT="0" distB="0" distL="114300" distR="114300" simplePos="0" relativeHeight="251691008" behindDoc="1" locked="0" layoutInCell="1" allowOverlap="1" wp14:anchorId="6CF3FB7B" wp14:editId="6F358A45">
            <wp:simplePos x="0" y="0"/>
            <wp:positionH relativeFrom="margin">
              <wp:posOffset>2978150</wp:posOffset>
            </wp:positionH>
            <wp:positionV relativeFrom="paragraph">
              <wp:posOffset>42545</wp:posOffset>
            </wp:positionV>
            <wp:extent cx="3048000" cy="2603500"/>
            <wp:effectExtent l="0" t="0" r="0" b="6350"/>
            <wp:wrapThrough wrapText="bothSides">
              <wp:wrapPolygon edited="0">
                <wp:start x="1485" y="0"/>
                <wp:lineTo x="1485" y="2213"/>
                <wp:lineTo x="17685" y="2529"/>
                <wp:lineTo x="2295" y="3161"/>
                <wp:lineTo x="0" y="3477"/>
                <wp:lineTo x="0" y="16595"/>
                <wp:lineTo x="945" y="17701"/>
                <wp:lineTo x="945" y="19282"/>
                <wp:lineTo x="7695" y="20230"/>
                <wp:lineTo x="17685" y="20230"/>
                <wp:lineTo x="17685" y="21495"/>
                <wp:lineTo x="19170" y="21495"/>
                <wp:lineTo x="20790" y="21337"/>
                <wp:lineTo x="21195" y="21020"/>
                <wp:lineTo x="20655" y="20230"/>
                <wp:lineTo x="20925" y="19282"/>
                <wp:lineTo x="20250" y="18808"/>
                <wp:lineTo x="17685" y="17701"/>
                <wp:lineTo x="20790" y="17543"/>
                <wp:lineTo x="20790" y="15805"/>
                <wp:lineTo x="17820" y="15173"/>
                <wp:lineTo x="21465" y="13908"/>
                <wp:lineTo x="21465" y="13118"/>
                <wp:lineTo x="19035" y="12644"/>
                <wp:lineTo x="20520" y="11538"/>
                <wp:lineTo x="21195" y="10431"/>
                <wp:lineTo x="20655" y="10115"/>
                <wp:lineTo x="19845" y="7586"/>
                <wp:lineTo x="21330" y="7112"/>
                <wp:lineTo x="19575" y="5374"/>
                <wp:lineTo x="20520" y="4741"/>
                <wp:lineTo x="21330" y="3951"/>
                <wp:lineTo x="19710" y="2529"/>
                <wp:lineTo x="12285" y="0"/>
                <wp:lineTo x="1485"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30920_GrafikAnteil multiresistenter Mikroorganismen2005-2023_eng.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48000" cy="2603500"/>
                    </a:xfrm>
                    <a:prstGeom prst="rect">
                      <a:avLst/>
                    </a:prstGeom>
                  </pic:spPr>
                </pic:pic>
              </a:graphicData>
            </a:graphic>
            <wp14:sizeRelH relativeFrom="margin">
              <wp14:pctWidth>0</wp14:pctWidth>
            </wp14:sizeRelH>
            <wp14:sizeRelV relativeFrom="margin">
              <wp14:pctHeight>0</wp14:pctHeight>
            </wp14:sizeRelV>
          </wp:anchor>
        </w:drawing>
      </w:r>
    </w:p>
    <w:p w14:paraId="344A8581" w14:textId="763FABFA"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It is important to note that antimicrobials were not only being used in humans to treat infections but also made their way in farming and agricultural industry where they were used widely to reduce impact of diseas</w:t>
      </w:r>
      <w:r w:rsidR="008167C1">
        <w:rPr>
          <w:rFonts w:ascii="Calibri" w:eastAsia="Times New Roman" w:hAnsi="Calibri" w:cs="Calibri"/>
          <w:lang w:eastAsia="en-GB"/>
        </w:rPr>
        <w:t>e on crop productions. In 1969 S</w:t>
      </w:r>
      <w:r w:rsidRPr="00673B29">
        <w:rPr>
          <w:rFonts w:ascii="Calibri" w:eastAsia="Times New Roman" w:hAnsi="Calibri" w:cs="Calibri"/>
          <w:lang w:eastAsia="en-GB"/>
        </w:rPr>
        <w:t xml:space="preserve">wann report was published which led to the Great </w:t>
      </w:r>
      <w:r w:rsidR="008167C1" w:rsidRPr="00673B29">
        <w:rPr>
          <w:rFonts w:ascii="Calibri" w:eastAsia="Times New Roman" w:hAnsi="Calibri" w:cs="Calibri"/>
          <w:lang w:eastAsia="en-GB"/>
        </w:rPr>
        <w:t>Britain</w:t>
      </w:r>
      <w:r w:rsidRPr="00673B29">
        <w:rPr>
          <w:rFonts w:ascii="Calibri" w:eastAsia="Times New Roman" w:hAnsi="Calibri" w:cs="Calibri"/>
          <w:lang w:eastAsia="en-GB"/>
        </w:rPr>
        <w:t xml:space="preserve"> implementing a ban on use of antibiotics in farming industry (“Swann Song” for Routine Antibiotic Use, 50 Years On</w:t>
      </w:r>
      <w:proofErr w:type="gramStart"/>
      <w:r w:rsidRPr="00673B29">
        <w:rPr>
          <w:rFonts w:ascii="Calibri" w:eastAsia="Times New Roman" w:hAnsi="Calibri" w:cs="Calibri"/>
          <w:lang w:eastAsia="en-GB"/>
        </w:rPr>
        <w:t>?,</w:t>
      </w:r>
      <w:proofErr w:type="gramEnd"/>
      <w:r w:rsidRPr="00673B29">
        <w:rPr>
          <w:rFonts w:ascii="Calibri" w:eastAsia="Times New Roman" w:hAnsi="Calibri" w:cs="Calibri"/>
          <w:lang w:eastAsia="en-GB"/>
        </w:rPr>
        <w:t xml:space="preserve"> </w:t>
      </w:r>
      <w:proofErr w:type="spellStart"/>
      <w:r w:rsidRPr="00673B29">
        <w:rPr>
          <w:rFonts w:ascii="Calibri" w:eastAsia="Times New Roman" w:hAnsi="Calibri" w:cs="Calibri"/>
          <w:lang w:eastAsia="en-GB"/>
        </w:rPr>
        <w:t>n.d.</w:t>
      </w:r>
      <w:proofErr w:type="spellEnd"/>
      <w:r w:rsidRPr="00673B29">
        <w:rPr>
          <w:rFonts w:ascii="Calibri" w:eastAsia="Times New Roman" w:hAnsi="Calibri" w:cs="Calibri"/>
          <w:lang w:eastAsia="en-GB"/>
        </w:rPr>
        <w:t>). </w:t>
      </w:r>
    </w:p>
    <w:p w14:paraId="29F082DA" w14:textId="7E878EDC"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Apart </w:t>
      </w:r>
      <w:r w:rsidR="008167C1" w:rsidRPr="00673B29">
        <w:rPr>
          <w:rFonts w:ascii="Calibri" w:eastAsia="Times New Roman" w:hAnsi="Calibri" w:cs="Calibri"/>
          <w:lang w:eastAsia="en-GB"/>
        </w:rPr>
        <w:t>from</w:t>
      </w:r>
      <w:r w:rsidRPr="00673B29">
        <w:rPr>
          <w:rFonts w:ascii="Calibri" w:eastAsia="Times New Roman" w:hAnsi="Calibri" w:cs="Calibri"/>
          <w:lang w:eastAsia="en-GB"/>
        </w:rPr>
        <w:t xml:space="preserve"> this limited country specific effort there was not much being done at global level to combat this increasing problem. In 1981 a conference led by Stuart Levy, a scientist and clinician, issued “Statement Regarding Worldwide Antibiotic Misuse” by a group of 147 scientists. This statement then led to Alliance for the Prudent Use of Antibiotics (APUA) that formed the basis of global recognition of antimicrobial resistance as a concern and called for better use of antibiotic to preserve their effect for longer (</w:t>
      </w:r>
      <w:proofErr w:type="spellStart"/>
      <w:r w:rsidRPr="00673B29">
        <w:rPr>
          <w:rFonts w:ascii="Calibri" w:eastAsia="Times New Roman" w:hAnsi="Calibri" w:cs="Calibri"/>
          <w:lang w:eastAsia="en-GB"/>
        </w:rPr>
        <w:t>Podolsky</w:t>
      </w:r>
      <w:proofErr w:type="spellEnd"/>
      <w:r w:rsidRPr="00673B29">
        <w:rPr>
          <w:rFonts w:ascii="Calibri" w:eastAsia="Times New Roman" w:hAnsi="Calibri" w:cs="Calibri"/>
          <w:lang w:eastAsia="en-GB"/>
        </w:rPr>
        <w:t>, 2018).  </w:t>
      </w:r>
    </w:p>
    <w:p w14:paraId="0AD8A8A2" w14:textId="1570A716"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In 2015 World Health Organisation issued a global action plan on tackling antibiotic resistance. Antimicrobial resistance is on national risk register in Great Britain and WHO has declared it as one of top 10 global threats to public health (NHS, 2023). It is important to note that AMR is not only responsible for disease and death burden but have a severe negative impact on global economy as well. It is estimated that AMR will be responsible for equivalent of 1 trillion to 3.4 trillion USD losses in Gross Domestic Pro</w:t>
      </w:r>
      <w:r w:rsidR="008167C1">
        <w:rPr>
          <w:rFonts w:ascii="Calibri" w:eastAsia="Times New Roman" w:hAnsi="Calibri" w:cs="Calibri"/>
          <w:lang w:eastAsia="en-GB"/>
        </w:rPr>
        <w:t>duct (GDP) by 2030 and </w:t>
      </w:r>
      <w:r w:rsidRPr="00673B29">
        <w:rPr>
          <w:rFonts w:ascii="Calibri" w:eastAsia="Times New Roman" w:hAnsi="Calibri" w:cs="Calibri"/>
          <w:lang w:eastAsia="en-GB"/>
        </w:rPr>
        <w:t>1 trillion USD additional health costs by 2050.  </w:t>
      </w:r>
    </w:p>
    <w:p w14:paraId="34CA149C" w14:textId="5EB89372"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Antimicrobial Stewardship (AMS) programs have been developed globally to make collaborative efforts to combat AMR. Cambridge dictionary defines stewardship as “the job of supervising or taking care of something such as organisation or property” (Stewardship Noun - Definition, Pictures, Pronunciation and Usage Notes | Oxford Advanced Learner’s Dictionary at OxfordLearner</w:t>
      </w:r>
      <w:r w:rsidR="008167C1">
        <w:rPr>
          <w:rFonts w:ascii="Calibri" w:eastAsia="Times New Roman" w:hAnsi="Calibri" w:cs="Calibri"/>
          <w:lang w:eastAsia="en-GB"/>
        </w:rPr>
        <w:t>sDictionaries.com, 2023).  The U</w:t>
      </w:r>
      <w:r w:rsidRPr="00673B29">
        <w:rPr>
          <w:rFonts w:ascii="Calibri" w:eastAsia="Times New Roman" w:hAnsi="Calibri" w:cs="Calibri"/>
          <w:lang w:eastAsia="en-GB"/>
        </w:rPr>
        <w:t>nited Kingdom issued 5 year plan to reduce AMR. One important aspect of this plan is “optimal use of antimicrobials in humans” (HM Government, 2019).   In order to improve the prescribing of any medicine it is important to understand current prescribing trends, associated challenges and finding ways to improve prescribing.  There are several barriers to implementing AMS programs such</w:t>
      </w:r>
      <w:r w:rsidR="008167C1">
        <w:rPr>
          <w:rFonts w:ascii="Calibri" w:eastAsia="Times New Roman" w:hAnsi="Calibri" w:cs="Calibri"/>
          <w:lang w:eastAsia="en-GB"/>
        </w:rPr>
        <w:t xml:space="preserve"> as</w:t>
      </w:r>
      <w:r w:rsidRPr="00673B29">
        <w:rPr>
          <w:rFonts w:ascii="Calibri" w:eastAsia="Times New Roman" w:hAnsi="Calibri" w:cs="Calibri"/>
          <w:lang w:eastAsia="en-GB"/>
        </w:rPr>
        <w:t xml:space="preserve"> timely access to diagnostic tests, local AMR </w:t>
      </w:r>
      <w:r w:rsidRPr="00673B29">
        <w:rPr>
          <w:rFonts w:ascii="Calibri" w:eastAsia="Times New Roman" w:hAnsi="Calibri" w:cs="Calibri"/>
          <w:lang w:eastAsia="en-GB"/>
        </w:rPr>
        <w:lastRenderedPageBreak/>
        <w:t>prevalence, local and national guidelines implementation audits, as well as poor infection prevention programs.  </w:t>
      </w:r>
    </w:p>
    <w:p w14:paraId="478582A2" w14:textId="24D366E9"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In order to improve antibiotic prescribing one important element is to understand the disease and patient fac</w:t>
      </w:r>
      <w:r w:rsidR="008167C1">
        <w:rPr>
          <w:rFonts w:ascii="Calibri" w:eastAsia="Times New Roman" w:hAnsi="Calibri" w:cs="Calibri"/>
          <w:lang w:eastAsia="en-GB"/>
        </w:rPr>
        <w:t>tors which may have an impact on</w:t>
      </w:r>
      <w:r w:rsidRPr="00673B29">
        <w:rPr>
          <w:rFonts w:ascii="Calibri" w:eastAsia="Times New Roman" w:hAnsi="Calibri" w:cs="Calibri"/>
          <w:lang w:eastAsia="en-GB"/>
        </w:rPr>
        <w:t xml:space="preserve"> infection prevalence and management. Urinary tract infection (UTI) is the second most common infection in patients admitted in hospital for acute care. Understanding any patient factors th</w:t>
      </w:r>
      <w:r w:rsidR="008167C1">
        <w:rPr>
          <w:rFonts w:ascii="Calibri" w:eastAsia="Times New Roman" w:hAnsi="Calibri" w:cs="Calibri"/>
          <w:lang w:eastAsia="en-GB"/>
        </w:rPr>
        <w:t>at my increase the likelihood of</w:t>
      </w:r>
      <w:r w:rsidRPr="00673B29">
        <w:rPr>
          <w:rFonts w:ascii="Calibri" w:eastAsia="Times New Roman" w:hAnsi="Calibri" w:cs="Calibri"/>
          <w:lang w:eastAsia="en-GB"/>
        </w:rPr>
        <w:t xml:space="preserve"> UTI can help in development of infection prevention plans and improve prescribing for UTI across UTIs.  </w:t>
      </w:r>
    </w:p>
    <w:p w14:paraId="67F15226" w14:textId="77777777" w:rsidR="00673B29" w:rsidRPr="00673B29" w:rsidRDefault="00673B29" w:rsidP="00CF38B8">
      <w:pPr>
        <w:pStyle w:val="Heading1"/>
        <w:rPr>
          <w:rFonts w:ascii="Segoe UI" w:eastAsia="Times New Roman" w:hAnsi="Segoe UI" w:cs="Segoe UI"/>
          <w:sz w:val="18"/>
          <w:szCs w:val="18"/>
          <w:lang w:eastAsia="en-GB"/>
        </w:rPr>
      </w:pPr>
      <w:bookmarkStart w:id="2" w:name="_Toc166407153"/>
      <w:r w:rsidRPr="00673B29">
        <w:rPr>
          <w:rFonts w:eastAsia="Times New Roman"/>
          <w:lang w:eastAsia="en-GB"/>
        </w:rPr>
        <w:t>Context of Study:</w:t>
      </w:r>
      <w:bookmarkEnd w:id="2"/>
      <w:r w:rsidRPr="00673B29">
        <w:rPr>
          <w:rFonts w:eastAsia="Times New Roman"/>
          <w:lang w:eastAsia="en-GB"/>
        </w:rPr>
        <w:t>  </w:t>
      </w:r>
    </w:p>
    <w:p w14:paraId="2FE958B8" w14:textId="4F693DE8"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Healthcare associated infections (HAI) are the infections that occur during a stay or visit to an acute care setting such as hospital. HAI are a serious threat to patients, healthcare staff as well as the visitors. Therefore, it is pivotal to reduce the risks associated with these infections. UTIs are second most common HAI and where the treatment is relatively simple and generally successful, failure of timely treatment can lead to complications such as sepsis (Healthcare-Associated Infections | Topic | NICE, </w:t>
      </w:r>
      <w:proofErr w:type="spellStart"/>
      <w:r w:rsidRPr="00673B29">
        <w:rPr>
          <w:rFonts w:ascii="Calibri" w:eastAsia="Times New Roman" w:hAnsi="Calibri" w:cs="Calibri"/>
          <w:lang w:eastAsia="en-GB"/>
        </w:rPr>
        <w:t>n.d.</w:t>
      </w:r>
      <w:proofErr w:type="spellEnd"/>
      <w:r w:rsidRPr="00673B29">
        <w:rPr>
          <w:rFonts w:ascii="Calibri" w:eastAsia="Times New Roman" w:hAnsi="Calibri" w:cs="Calibri"/>
          <w:lang w:eastAsia="en-GB"/>
        </w:rPr>
        <w:t>).  </w:t>
      </w:r>
    </w:p>
    <w:p w14:paraId="25FD4750"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This study explores any relationship between patient factors such as age, gender, and catheter and disease prevalence. It also aims to identify if timely diagnostic tests improve prescribing trends for UTI across the three hospitals with CTM UHB. Identifying patient factors that may increase risk of UTI can help devise infection prevention strategies and understanding relationship between diagnostic tests and antibiotic prescribing can make a strong case for timely access for diagnostic tests and can influence the policies within the organisation.  </w:t>
      </w:r>
    </w:p>
    <w:p w14:paraId="00A591F2" w14:textId="77777777" w:rsidR="00673B29" w:rsidRPr="00673B29" w:rsidRDefault="00673B29" w:rsidP="00CF38B8">
      <w:pPr>
        <w:pStyle w:val="Heading1"/>
        <w:rPr>
          <w:rFonts w:ascii="Segoe UI" w:eastAsia="Times New Roman" w:hAnsi="Segoe UI" w:cs="Segoe UI"/>
          <w:sz w:val="18"/>
          <w:szCs w:val="18"/>
          <w:lang w:eastAsia="en-GB"/>
        </w:rPr>
      </w:pPr>
      <w:bookmarkStart w:id="3" w:name="_Toc166407154"/>
      <w:r w:rsidRPr="00673B29">
        <w:rPr>
          <w:rFonts w:eastAsia="Times New Roman"/>
          <w:lang w:eastAsia="en-GB"/>
        </w:rPr>
        <w:t>Aim of the Study:</w:t>
      </w:r>
      <w:bookmarkEnd w:id="3"/>
      <w:r w:rsidRPr="00673B29">
        <w:rPr>
          <w:rFonts w:eastAsia="Times New Roman"/>
          <w:lang w:eastAsia="en-GB"/>
        </w:rPr>
        <w:t>  </w:t>
      </w:r>
    </w:p>
    <w:p w14:paraId="6ADCA822" w14:textId="77777777" w:rsidR="00673B29" w:rsidRPr="00673B29" w:rsidRDefault="00673B29" w:rsidP="00673B29">
      <w:pPr>
        <w:numPr>
          <w:ilvl w:val="0"/>
          <w:numId w:val="1"/>
        </w:numPr>
        <w:spacing w:after="0" w:line="240" w:lineRule="auto"/>
        <w:ind w:left="360" w:firstLine="0"/>
        <w:textAlignment w:val="baseline"/>
        <w:rPr>
          <w:rFonts w:ascii="Calibri Light" w:eastAsia="Times New Roman" w:hAnsi="Calibri Light" w:cs="Calibri Light"/>
          <w:lang w:eastAsia="en-GB"/>
        </w:rPr>
      </w:pPr>
      <w:r w:rsidRPr="00673B29">
        <w:rPr>
          <w:rFonts w:ascii="Calibri Light" w:eastAsia="Times New Roman" w:hAnsi="Calibri Light" w:cs="Calibri Light"/>
          <w:b/>
          <w:bCs/>
          <w:lang w:eastAsia="en-GB"/>
        </w:rPr>
        <w:t>Evaluate patient specific characteristics that may have a correlation with UTI prevalence for in-patients.  </w:t>
      </w:r>
      <w:r w:rsidRPr="00673B29">
        <w:rPr>
          <w:rFonts w:ascii="Calibri Light" w:eastAsia="Times New Roman" w:hAnsi="Calibri Light" w:cs="Calibri Light"/>
          <w:lang w:eastAsia="en-GB"/>
        </w:rPr>
        <w:t> </w:t>
      </w:r>
    </w:p>
    <w:p w14:paraId="2E2B1B89" w14:textId="77777777" w:rsidR="00673B29" w:rsidRPr="00673B29" w:rsidRDefault="00673B29" w:rsidP="00673B29">
      <w:pPr>
        <w:numPr>
          <w:ilvl w:val="0"/>
          <w:numId w:val="2"/>
        </w:numPr>
        <w:spacing w:after="0" w:line="240" w:lineRule="auto"/>
        <w:ind w:left="360" w:firstLine="0"/>
        <w:textAlignment w:val="baseline"/>
        <w:rPr>
          <w:rFonts w:ascii="Calibri Light" w:eastAsia="Times New Roman" w:hAnsi="Calibri Light" w:cs="Calibri Light"/>
          <w:lang w:eastAsia="en-GB"/>
        </w:rPr>
      </w:pPr>
      <w:r w:rsidRPr="00673B29">
        <w:rPr>
          <w:rFonts w:ascii="Calibri Light" w:eastAsia="Times New Roman" w:hAnsi="Calibri Light" w:cs="Calibri Light"/>
          <w:b/>
          <w:bCs/>
          <w:lang w:eastAsia="en-GB"/>
        </w:rPr>
        <w:t xml:space="preserve">Evaluate aspects of clinical practice (diagnostic tests, catheter </w:t>
      </w:r>
      <w:proofErr w:type="spellStart"/>
      <w:r w:rsidRPr="00673B29">
        <w:rPr>
          <w:rFonts w:ascii="Calibri Light" w:eastAsia="Times New Roman" w:hAnsi="Calibri Light" w:cs="Calibri Light"/>
          <w:b/>
          <w:bCs/>
          <w:lang w:eastAsia="en-GB"/>
        </w:rPr>
        <w:t>etc</w:t>
      </w:r>
      <w:proofErr w:type="spellEnd"/>
      <w:r w:rsidRPr="00673B29">
        <w:rPr>
          <w:rFonts w:ascii="Calibri Light" w:eastAsia="Times New Roman" w:hAnsi="Calibri Light" w:cs="Calibri Light"/>
          <w:b/>
          <w:bCs/>
          <w:lang w:eastAsia="en-GB"/>
        </w:rPr>
        <w:t>) that may have a correlation with appropriate antimicrobial prescribing. </w:t>
      </w:r>
      <w:r w:rsidRPr="00673B29">
        <w:rPr>
          <w:rFonts w:ascii="Calibri Light" w:eastAsia="Times New Roman" w:hAnsi="Calibri Light" w:cs="Calibri Light"/>
          <w:lang w:eastAsia="en-GB"/>
        </w:rPr>
        <w:t> </w:t>
      </w:r>
    </w:p>
    <w:p w14:paraId="46CC2D76" w14:textId="77777777" w:rsidR="00673B29" w:rsidRPr="00673B29" w:rsidRDefault="00673B29" w:rsidP="00673B29">
      <w:pPr>
        <w:numPr>
          <w:ilvl w:val="0"/>
          <w:numId w:val="3"/>
        </w:numPr>
        <w:spacing w:after="0" w:line="240" w:lineRule="auto"/>
        <w:ind w:left="360" w:firstLine="0"/>
        <w:textAlignment w:val="baseline"/>
        <w:rPr>
          <w:rFonts w:ascii="Calibri Light" w:eastAsia="Times New Roman" w:hAnsi="Calibri Light" w:cs="Calibri Light"/>
          <w:lang w:eastAsia="en-GB"/>
        </w:rPr>
      </w:pPr>
      <w:r w:rsidRPr="00673B29">
        <w:rPr>
          <w:rFonts w:ascii="Calibri Light" w:eastAsia="Times New Roman" w:hAnsi="Calibri Light" w:cs="Calibri Light"/>
          <w:b/>
          <w:bCs/>
          <w:lang w:eastAsia="en-GB"/>
        </w:rPr>
        <w:t>Identify trends, if any, between prescribing trends and resistance to antibiotics in the given data set. </w:t>
      </w:r>
      <w:r w:rsidRPr="00673B29">
        <w:rPr>
          <w:rFonts w:ascii="Calibri Light" w:eastAsia="Times New Roman" w:hAnsi="Calibri Light" w:cs="Calibri Light"/>
          <w:lang w:eastAsia="en-GB"/>
        </w:rPr>
        <w:t> </w:t>
      </w:r>
    </w:p>
    <w:p w14:paraId="21F8E7C7" w14:textId="77777777" w:rsidR="00673B29" w:rsidRPr="00673B29" w:rsidRDefault="00673B29" w:rsidP="00CF38B8">
      <w:pPr>
        <w:pStyle w:val="Heading1"/>
        <w:rPr>
          <w:rFonts w:ascii="Segoe UI" w:eastAsia="Times New Roman" w:hAnsi="Segoe UI" w:cs="Segoe UI"/>
          <w:sz w:val="18"/>
          <w:szCs w:val="18"/>
          <w:lang w:eastAsia="en-GB"/>
        </w:rPr>
      </w:pPr>
      <w:bookmarkStart w:id="4" w:name="_Toc166407155"/>
      <w:r w:rsidRPr="00673B29">
        <w:rPr>
          <w:rFonts w:eastAsia="Times New Roman"/>
          <w:lang w:eastAsia="en-GB"/>
        </w:rPr>
        <w:t>Objectives:</w:t>
      </w:r>
      <w:bookmarkEnd w:id="4"/>
      <w:r w:rsidRPr="00673B29">
        <w:rPr>
          <w:rFonts w:eastAsia="Times New Roman"/>
          <w:lang w:eastAsia="en-GB"/>
        </w:rPr>
        <w:t>  </w:t>
      </w:r>
    </w:p>
    <w:p w14:paraId="64E083F3" w14:textId="77777777" w:rsidR="00673B29" w:rsidRPr="00673B29" w:rsidRDefault="00673B29" w:rsidP="00673B29">
      <w:pPr>
        <w:numPr>
          <w:ilvl w:val="0"/>
          <w:numId w:val="4"/>
        </w:numPr>
        <w:spacing w:after="0" w:line="240" w:lineRule="auto"/>
        <w:ind w:left="360" w:firstLine="0"/>
        <w:textAlignment w:val="baseline"/>
        <w:rPr>
          <w:rFonts w:ascii="Calibri Light" w:eastAsia="Times New Roman" w:hAnsi="Calibri Light" w:cs="Calibri Light"/>
          <w:lang w:eastAsia="en-GB"/>
        </w:rPr>
      </w:pPr>
      <w:r w:rsidRPr="00673B29">
        <w:rPr>
          <w:rFonts w:ascii="Calibri Light" w:eastAsia="Times New Roman" w:hAnsi="Calibri Light" w:cs="Calibri Light"/>
          <w:b/>
          <w:bCs/>
          <w:lang w:eastAsia="en-GB"/>
        </w:rPr>
        <w:t>Access appropriate data set suitable for the aim of the study. </w:t>
      </w:r>
      <w:r w:rsidRPr="00673B29">
        <w:rPr>
          <w:rFonts w:ascii="Calibri Light" w:eastAsia="Times New Roman" w:hAnsi="Calibri Light" w:cs="Calibri Light"/>
          <w:lang w:eastAsia="en-GB"/>
        </w:rPr>
        <w:t> </w:t>
      </w:r>
    </w:p>
    <w:p w14:paraId="1432E622" w14:textId="77777777" w:rsidR="00673B29" w:rsidRPr="00673B29" w:rsidRDefault="00673B29" w:rsidP="00673B29">
      <w:pPr>
        <w:numPr>
          <w:ilvl w:val="0"/>
          <w:numId w:val="5"/>
        </w:numPr>
        <w:spacing w:after="0" w:line="240" w:lineRule="auto"/>
        <w:ind w:left="360" w:firstLine="0"/>
        <w:textAlignment w:val="baseline"/>
        <w:rPr>
          <w:rFonts w:ascii="Calibri Light" w:eastAsia="Times New Roman" w:hAnsi="Calibri Light" w:cs="Calibri Light"/>
          <w:lang w:eastAsia="en-GB"/>
        </w:rPr>
      </w:pPr>
      <w:r w:rsidRPr="00673B29">
        <w:rPr>
          <w:rFonts w:ascii="Calibri Light" w:eastAsia="Times New Roman" w:hAnsi="Calibri Light" w:cs="Calibri Light"/>
          <w:b/>
          <w:bCs/>
          <w:lang w:eastAsia="en-GB"/>
        </w:rPr>
        <w:t>Identify patient characteristic such as age, gender, presence/absence of catheter, application of diagnostics tests and history of UTI. </w:t>
      </w:r>
      <w:r w:rsidRPr="00673B29">
        <w:rPr>
          <w:rFonts w:ascii="Calibri Light" w:eastAsia="Times New Roman" w:hAnsi="Calibri Light" w:cs="Calibri Light"/>
          <w:lang w:eastAsia="en-GB"/>
        </w:rPr>
        <w:t> </w:t>
      </w:r>
    </w:p>
    <w:p w14:paraId="7FB36C8E" w14:textId="5535EB66" w:rsidR="008167C1" w:rsidRDefault="00673B29" w:rsidP="00673B29">
      <w:pPr>
        <w:numPr>
          <w:ilvl w:val="0"/>
          <w:numId w:val="6"/>
        </w:numPr>
        <w:spacing w:after="0" w:line="240" w:lineRule="auto"/>
        <w:ind w:left="360" w:firstLine="0"/>
        <w:textAlignment w:val="baseline"/>
        <w:rPr>
          <w:rFonts w:ascii="Calibri Light" w:eastAsia="Times New Roman" w:hAnsi="Calibri Light" w:cs="Calibri Light"/>
          <w:lang w:eastAsia="en-GB"/>
        </w:rPr>
      </w:pPr>
      <w:r w:rsidRPr="00673B29">
        <w:rPr>
          <w:rFonts w:ascii="Calibri Light" w:eastAsia="Times New Roman" w:hAnsi="Calibri Light" w:cs="Calibri Light"/>
          <w:b/>
          <w:bCs/>
          <w:lang w:eastAsia="en-GB"/>
        </w:rPr>
        <w:t xml:space="preserve">Perform </w:t>
      </w:r>
      <w:r w:rsidR="008167C1">
        <w:rPr>
          <w:rFonts w:ascii="Calibri Light" w:eastAsia="Times New Roman" w:hAnsi="Calibri Light" w:cs="Calibri Light"/>
          <w:b/>
          <w:bCs/>
          <w:lang w:eastAsia="en-GB"/>
        </w:rPr>
        <w:t xml:space="preserve">and interpret </w:t>
      </w:r>
      <w:r w:rsidRPr="00673B29">
        <w:rPr>
          <w:rFonts w:ascii="Calibri Light" w:eastAsia="Times New Roman" w:hAnsi="Calibri Light" w:cs="Calibri Light"/>
          <w:b/>
          <w:bCs/>
          <w:lang w:eastAsia="en-GB"/>
        </w:rPr>
        <w:t>statistical analysis to identify correlation between patient factors, infection, prevalence and prescribing trends. </w:t>
      </w:r>
      <w:r w:rsidRPr="00673B29">
        <w:rPr>
          <w:rFonts w:ascii="Calibri Light" w:eastAsia="Times New Roman" w:hAnsi="Calibri Light" w:cs="Calibri Light"/>
          <w:lang w:eastAsia="en-GB"/>
        </w:rPr>
        <w:t> </w:t>
      </w:r>
    </w:p>
    <w:p w14:paraId="593B5B99" w14:textId="45798A1D" w:rsidR="00673B29" w:rsidRPr="00673B29" w:rsidRDefault="008167C1" w:rsidP="008167C1">
      <w:pPr>
        <w:rPr>
          <w:rFonts w:ascii="Calibri Light" w:eastAsia="Times New Roman" w:hAnsi="Calibri Light" w:cs="Calibri Light"/>
          <w:lang w:eastAsia="en-GB"/>
        </w:rPr>
      </w:pPr>
      <w:r>
        <w:rPr>
          <w:rFonts w:ascii="Calibri Light" w:eastAsia="Times New Roman" w:hAnsi="Calibri Light" w:cs="Calibri Light"/>
          <w:lang w:eastAsia="en-GB"/>
        </w:rPr>
        <w:br w:type="page"/>
      </w:r>
    </w:p>
    <w:p w14:paraId="21588B5C"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2E74B5"/>
          <w:lang w:eastAsia="en-GB"/>
        </w:rPr>
        <w:t> </w:t>
      </w:r>
    </w:p>
    <w:p w14:paraId="5CE700FE" w14:textId="3794A02E" w:rsidR="00673B29" w:rsidRDefault="00673B29" w:rsidP="00CF38B8">
      <w:pPr>
        <w:pStyle w:val="Heading1"/>
        <w:rPr>
          <w:rFonts w:eastAsia="Times New Roman"/>
          <w:lang w:eastAsia="en-GB"/>
        </w:rPr>
      </w:pPr>
      <w:bookmarkStart w:id="5" w:name="_Toc166407156"/>
      <w:r w:rsidRPr="00673B29">
        <w:rPr>
          <w:rFonts w:eastAsia="Times New Roman"/>
          <w:lang w:eastAsia="en-GB"/>
        </w:rPr>
        <w:t>Methodology:</w:t>
      </w:r>
      <w:bookmarkEnd w:id="5"/>
      <w:r w:rsidRPr="00673B29">
        <w:rPr>
          <w:rFonts w:eastAsia="Times New Roman"/>
          <w:lang w:eastAsia="en-GB"/>
        </w:rPr>
        <w:t>   </w:t>
      </w:r>
    </w:p>
    <w:p w14:paraId="5BD1D508" w14:textId="77777777" w:rsidR="008167C1" w:rsidRPr="008167C1" w:rsidRDefault="008167C1" w:rsidP="008167C1">
      <w:pPr>
        <w:rPr>
          <w:lang w:eastAsia="en-GB"/>
        </w:rPr>
      </w:pPr>
    </w:p>
    <w:p w14:paraId="251DEF6F" w14:textId="64036D08" w:rsidR="00673B29" w:rsidRPr="008167C1" w:rsidRDefault="00673B29" w:rsidP="00673B29">
      <w:pPr>
        <w:spacing w:after="0" w:line="240" w:lineRule="auto"/>
        <w:textAlignment w:val="baseline"/>
        <w:rPr>
          <w:rFonts w:ascii="Calibri" w:eastAsia="Times New Roman" w:hAnsi="Calibri" w:cs="Calibri"/>
          <w:lang w:eastAsia="en-GB"/>
        </w:rPr>
      </w:pPr>
      <w:r w:rsidRPr="00673B29">
        <w:rPr>
          <w:rFonts w:ascii="Calibri" w:eastAsia="Times New Roman" w:hAnsi="Calibri" w:cs="Calibri"/>
          <w:lang w:eastAsia="en-GB"/>
        </w:rPr>
        <w:t>This quantitative study takes on a positi</w:t>
      </w:r>
      <w:r w:rsidR="008167C1">
        <w:rPr>
          <w:rFonts w:ascii="Calibri" w:eastAsia="Times New Roman" w:hAnsi="Calibri" w:cs="Calibri"/>
          <w:lang w:eastAsia="en-GB"/>
        </w:rPr>
        <w:t>vist approach as it is built on the</w:t>
      </w:r>
      <w:r w:rsidRPr="00673B29">
        <w:rPr>
          <w:rFonts w:ascii="Calibri" w:eastAsia="Times New Roman" w:hAnsi="Calibri" w:cs="Calibri"/>
          <w:lang w:eastAsia="en-GB"/>
        </w:rPr>
        <w:t xml:space="preserve"> theoretical perspective that there is a single objective reality in relation to patient and disease factors. This “reality” can be </w:t>
      </w:r>
      <w:r w:rsidR="008167C1">
        <w:rPr>
          <w:rFonts w:ascii="Calibri" w:eastAsia="Times New Roman" w:hAnsi="Calibri" w:cs="Calibri"/>
          <w:lang w:eastAsia="en-GB"/>
        </w:rPr>
        <w:t>measured</w:t>
      </w:r>
      <w:r w:rsidRPr="00673B29">
        <w:rPr>
          <w:rFonts w:ascii="Calibri" w:eastAsia="Times New Roman" w:hAnsi="Calibri" w:cs="Calibri"/>
          <w:lang w:eastAsia="en-GB"/>
        </w:rPr>
        <w:t xml:space="preserve"> and statistically analysed to confirm</w:t>
      </w:r>
      <w:r w:rsidR="008167C1">
        <w:rPr>
          <w:rFonts w:ascii="Calibri" w:eastAsia="Times New Roman" w:hAnsi="Calibri" w:cs="Calibri"/>
          <w:lang w:eastAsia="en-GB"/>
        </w:rPr>
        <w:t xml:space="preserve"> its presence or</w:t>
      </w:r>
      <w:r w:rsidRPr="00673B29">
        <w:rPr>
          <w:rFonts w:ascii="Calibri" w:eastAsia="Times New Roman" w:hAnsi="Calibri" w:cs="Calibri"/>
          <w:lang w:eastAsia="en-GB"/>
        </w:rPr>
        <w:t xml:space="preserve"> absence (Godwin et al., 2021).  </w:t>
      </w:r>
    </w:p>
    <w:p w14:paraId="08774307" w14:textId="6A3664EE"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Ontologically, this study takes on a realist approach and </w:t>
      </w:r>
      <w:r w:rsidR="008167C1">
        <w:rPr>
          <w:rFonts w:ascii="Calibri" w:eastAsia="Times New Roman" w:hAnsi="Calibri" w:cs="Calibri"/>
          <w:lang w:eastAsia="en-GB"/>
        </w:rPr>
        <w:t xml:space="preserve">from </w:t>
      </w:r>
      <w:r w:rsidRPr="00673B29">
        <w:rPr>
          <w:rFonts w:ascii="Calibri" w:eastAsia="Times New Roman" w:hAnsi="Calibri" w:cs="Calibri"/>
          <w:lang w:eastAsia="en-GB"/>
        </w:rPr>
        <w:t>epistemological viewpoint seeks for objectivity and replicability of the results while establishing causality. The data collected and analysed for the purpose of this study will lead to an objective reality which can then be used to scope wider application of the results (Patel, 2015).  </w:t>
      </w:r>
    </w:p>
    <w:p w14:paraId="625324E1"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2ABAB491" w14:textId="77777777" w:rsidR="00673B29" w:rsidRPr="00673B29" w:rsidRDefault="00673B29" w:rsidP="00CF38B8">
      <w:pPr>
        <w:pStyle w:val="Heading1"/>
        <w:rPr>
          <w:rFonts w:ascii="Segoe UI" w:eastAsia="Times New Roman" w:hAnsi="Segoe UI" w:cs="Segoe UI"/>
          <w:sz w:val="18"/>
          <w:szCs w:val="18"/>
          <w:lang w:eastAsia="en-GB"/>
        </w:rPr>
      </w:pPr>
      <w:bookmarkStart w:id="6" w:name="_Toc166407157"/>
      <w:r w:rsidRPr="00673B29">
        <w:rPr>
          <w:rFonts w:eastAsia="Times New Roman"/>
          <w:lang w:eastAsia="en-GB"/>
        </w:rPr>
        <w:lastRenderedPageBreak/>
        <w:t>Method:</w:t>
      </w:r>
      <w:bookmarkEnd w:id="6"/>
      <w:r w:rsidRPr="00673B29">
        <w:rPr>
          <w:rFonts w:eastAsia="Times New Roman"/>
          <w:lang w:eastAsia="en-GB"/>
        </w:rPr>
        <w:t> </w:t>
      </w:r>
    </w:p>
    <w:p w14:paraId="57ADD692"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This health research study is aimed at identifying any disease or patient factors that may inform disease prevention or treatment decisions. From study design point of view it employs correlational research design while seeking to establish correlation between one or more variables.   </w:t>
      </w:r>
    </w:p>
    <w:p w14:paraId="430D8C36" w14:textId="3F501DBB"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This study is undertaken on secondary data collected by AMS team. </w:t>
      </w:r>
      <w:r w:rsidR="00CF38B8" w:rsidRPr="00673B29">
        <w:rPr>
          <w:rFonts w:ascii="Calibri" w:eastAsia="Times New Roman" w:hAnsi="Calibri" w:cs="Calibri"/>
          <w:lang w:eastAsia="en-GB"/>
        </w:rPr>
        <w:t>Secondary</w:t>
      </w:r>
      <w:r w:rsidRPr="00673B29">
        <w:rPr>
          <w:rFonts w:ascii="Calibri" w:eastAsia="Times New Roman" w:hAnsi="Calibri" w:cs="Calibri"/>
          <w:lang w:eastAsia="en-GB"/>
        </w:rPr>
        <w:t xml:space="preserve"> data has several advantages such as time saving and cost effectiveness. It is also readily available therefore can be used as needed avoiding any delay. Secondary </w:t>
      </w:r>
      <w:r w:rsidR="008167C1">
        <w:rPr>
          <w:rFonts w:ascii="Calibri" w:eastAsia="Times New Roman" w:hAnsi="Calibri" w:cs="Calibri"/>
          <w:lang w:eastAsia="en-GB"/>
        </w:rPr>
        <w:t xml:space="preserve">data </w:t>
      </w:r>
      <w:r w:rsidRPr="00673B29">
        <w:rPr>
          <w:rFonts w:ascii="Calibri" w:eastAsia="Times New Roman" w:hAnsi="Calibri" w:cs="Calibri"/>
          <w:lang w:eastAsia="en-GB"/>
        </w:rPr>
        <w:t>can also offer breadth of information which may or not be relevant to the study but can contribute to identify associated factors which may or may not affect the research question at hand. Moreover, existing data can be used to answer several question which may not have been explored when the data was initially collected.  </w:t>
      </w:r>
    </w:p>
    <w:p w14:paraId="79C8C00A" w14:textId="74D111E2" w:rsidR="00673B29" w:rsidRDefault="00673B29" w:rsidP="00673B29">
      <w:pPr>
        <w:spacing w:after="0" w:line="240" w:lineRule="auto"/>
        <w:textAlignment w:val="baseline"/>
        <w:rPr>
          <w:rFonts w:ascii="Calibri" w:eastAsia="Times New Roman" w:hAnsi="Calibri" w:cs="Calibri"/>
          <w:lang w:eastAsia="en-GB"/>
        </w:rPr>
      </w:pPr>
      <w:r w:rsidRPr="00673B29">
        <w:rPr>
          <w:rFonts w:ascii="Calibri" w:eastAsia="Times New Roman" w:hAnsi="Calibri" w:cs="Calibri"/>
          <w:lang w:eastAsia="en-GB"/>
        </w:rPr>
        <w:t>There are some inevitable disadvantages of using secondary data such as it may not contain all the relative information needed to answer the research question (Martins et al., 2018). Similarly the timeline or length of time over which the data was collected may not be appropriate which can result in affecting the outcome of study directly (Martins et al., 2018). For example if a study is exploring side effect of a certain treatment using secondary data then some side effects may not have come to light during the time of data collection and can</w:t>
      </w:r>
      <w:r w:rsidR="008167C1">
        <w:rPr>
          <w:rFonts w:ascii="Calibri" w:eastAsia="Times New Roman" w:hAnsi="Calibri" w:cs="Calibri"/>
          <w:lang w:eastAsia="en-GB"/>
        </w:rPr>
        <w:t xml:space="preserve"> be</w:t>
      </w:r>
      <w:r w:rsidRPr="00673B29">
        <w:rPr>
          <w:rFonts w:ascii="Calibri" w:eastAsia="Times New Roman" w:hAnsi="Calibri" w:cs="Calibri"/>
          <w:lang w:eastAsia="en-GB"/>
        </w:rPr>
        <w:t xml:space="preserve"> missed resulting in questionable application of the study outcome (Hassan, 2024).  </w:t>
      </w:r>
    </w:p>
    <w:p w14:paraId="13A7FF9E" w14:textId="77777777" w:rsidR="008167C1" w:rsidRPr="00673B29" w:rsidRDefault="008167C1" w:rsidP="00673B29">
      <w:pPr>
        <w:spacing w:after="0" w:line="240" w:lineRule="auto"/>
        <w:textAlignment w:val="baseline"/>
        <w:rPr>
          <w:rFonts w:ascii="Segoe UI" w:eastAsia="Times New Roman" w:hAnsi="Segoe UI" w:cs="Segoe UI"/>
          <w:sz w:val="18"/>
          <w:szCs w:val="18"/>
          <w:lang w:eastAsia="en-GB"/>
        </w:rPr>
      </w:pPr>
    </w:p>
    <w:p w14:paraId="257C4A54" w14:textId="69239F6B"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Sampling method appears to be </w:t>
      </w:r>
      <w:r w:rsidR="008167C1" w:rsidRPr="00673B29">
        <w:rPr>
          <w:rFonts w:ascii="Calibri" w:eastAsia="Times New Roman" w:hAnsi="Calibri" w:cs="Calibri"/>
          <w:lang w:eastAsia="en-GB"/>
        </w:rPr>
        <w:t>convenience</w:t>
      </w:r>
      <w:r w:rsidR="008167C1">
        <w:rPr>
          <w:rFonts w:ascii="Calibri" w:eastAsia="Times New Roman" w:hAnsi="Calibri" w:cs="Calibri"/>
          <w:lang w:eastAsia="en-GB"/>
        </w:rPr>
        <w:t xml:space="preserve"> sampling</w:t>
      </w:r>
      <w:r w:rsidRPr="00673B29">
        <w:rPr>
          <w:rFonts w:ascii="Calibri" w:eastAsia="Times New Roman" w:hAnsi="Calibri" w:cs="Calibri"/>
          <w:lang w:eastAsia="en-GB"/>
        </w:rPr>
        <w:t xml:space="preserve"> which is type of non-probability sampling (</w:t>
      </w:r>
      <w:proofErr w:type="spellStart"/>
      <w:r w:rsidRPr="00673B29">
        <w:rPr>
          <w:rFonts w:ascii="Calibri" w:eastAsia="Times New Roman" w:hAnsi="Calibri" w:cs="Calibri"/>
          <w:lang w:eastAsia="en-GB"/>
        </w:rPr>
        <w:t>Elfil</w:t>
      </w:r>
      <w:proofErr w:type="spellEnd"/>
      <w:r w:rsidRPr="00673B29">
        <w:rPr>
          <w:rFonts w:ascii="Calibri" w:eastAsia="Times New Roman" w:hAnsi="Calibri" w:cs="Calibri"/>
          <w:lang w:eastAsia="en-GB"/>
        </w:rPr>
        <w:t xml:space="preserve"> &amp; </w:t>
      </w:r>
      <w:proofErr w:type="spellStart"/>
      <w:r w:rsidRPr="00673B29">
        <w:rPr>
          <w:rFonts w:ascii="Calibri" w:eastAsia="Times New Roman" w:hAnsi="Calibri" w:cs="Calibri"/>
          <w:lang w:eastAsia="en-GB"/>
        </w:rPr>
        <w:t>Negida</w:t>
      </w:r>
      <w:proofErr w:type="spellEnd"/>
      <w:r w:rsidRPr="00673B29">
        <w:rPr>
          <w:rFonts w:ascii="Calibri" w:eastAsia="Times New Roman" w:hAnsi="Calibri" w:cs="Calibri"/>
          <w:lang w:eastAsia="en-GB"/>
        </w:rPr>
        <w:t>, 2017)</w:t>
      </w:r>
      <w:r w:rsidR="008167C1">
        <w:rPr>
          <w:rFonts w:ascii="Calibri" w:eastAsia="Times New Roman" w:hAnsi="Calibri" w:cs="Calibri"/>
          <w:lang w:eastAsia="en-GB"/>
        </w:rPr>
        <w:t xml:space="preserve"> where patients with UTI indication were selected across wards seen by AMS team</w:t>
      </w:r>
      <w:r w:rsidRPr="00673B29">
        <w:rPr>
          <w:rFonts w:ascii="Calibri" w:eastAsia="Times New Roman" w:hAnsi="Calibri" w:cs="Calibri"/>
          <w:lang w:eastAsia="en-GB"/>
        </w:rPr>
        <w:t>.  </w:t>
      </w:r>
      <w:r w:rsidR="008167C1">
        <w:rPr>
          <w:rFonts w:ascii="Calibri" w:eastAsia="Times New Roman" w:hAnsi="Calibri" w:cs="Calibri"/>
          <w:lang w:eastAsia="en-GB"/>
        </w:rPr>
        <w:t xml:space="preserve">Therefore, the data is not representative of all cohort of patients across DGHs. </w:t>
      </w:r>
    </w:p>
    <w:p w14:paraId="2C3C3463" w14:textId="377F1376" w:rsidR="00673B29" w:rsidRDefault="00673B29" w:rsidP="00673B29">
      <w:pPr>
        <w:spacing w:after="0" w:line="240" w:lineRule="auto"/>
        <w:textAlignment w:val="baseline"/>
        <w:rPr>
          <w:rFonts w:ascii="Calibri" w:eastAsia="Times New Roman" w:hAnsi="Calibri" w:cs="Calibri"/>
          <w:lang w:eastAsia="en-GB"/>
        </w:rPr>
      </w:pPr>
      <w:r w:rsidRPr="00673B29">
        <w:rPr>
          <w:rFonts w:ascii="Calibri" w:eastAsia="Times New Roman" w:hAnsi="Calibri" w:cs="Calibri"/>
          <w:lang w:eastAsia="en-GB"/>
        </w:rPr>
        <w:t xml:space="preserve">It is important to consider the sample size before conducting statistical analysis. Sample size larger or smaller than </w:t>
      </w:r>
      <w:r w:rsidR="008167C1">
        <w:rPr>
          <w:rFonts w:ascii="Calibri" w:eastAsia="Times New Roman" w:hAnsi="Calibri" w:cs="Calibri"/>
          <w:lang w:eastAsia="en-GB"/>
        </w:rPr>
        <w:t>the optimal sample size will</w:t>
      </w:r>
      <w:r w:rsidRPr="00673B29">
        <w:rPr>
          <w:rFonts w:ascii="Calibri" w:eastAsia="Times New Roman" w:hAnsi="Calibri" w:cs="Calibri"/>
          <w:lang w:eastAsia="en-GB"/>
        </w:rPr>
        <w:t xml:space="preserve"> have an impact on the accuracy/</w:t>
      </w:r>
      <w:r w:rsidR="008167C1" w:rsidRPr="00673B29">
        <w:rPr>
          <w:rFonts w:ascii="Calibri" w:eastAsia="Times New Roman" w:hAnsi="Calibri" w:cs="Calibri"/>
          <w:lang w:eastAsia="en-GB"/>
        </w:rPr>
        <w:t>reality</w:t>
      </w:r>
      <w:r w:rsidR="008167C1">
        <w:rPr>
          <w:rFonts w:ascii="Calibri" w:eastAsia="Times New Roman" w:hAnsi="Calibri" w:cs="Calibri"/>
          <w:lang w:eastAsia="en-GB"/>
        </w:rPr>
        <w:t xml:space="preserve"> of the results and will</w:t>
      </w:r>
      <w:r w:rsidRPr="00673B29">
        <w:rPr>
          <w:rFonts w:ascii="Calibri" w:eastAsia="Times New Roman" w:hAnsi="Calibri" w:cs="Calibri"/>
          <w:lang w:eastAsia="en-GB"/>
        </w:rPr>
        <w:t xml:space="preserve"> also have ethical implications.  </w:t>
      </w:r>
    </w:p>
    <w:p w14:paraId="211A72C8" w14:textId="77777777" w:rsidR="008167C1" w:rsidRPr="00673B29" w:rsidRDefault="008167C1" w:rsidP="00673B29">
      <w:pPr>
        <w:spacing w:after="0" w:line="240" w:lineRule="auto"/>
        <w:textAlignment w:val="baseline"/>
        <w:rPr>
          <w:rFonts w:ascii="Segoe UI" w:eastAsia="Times New Roman" w:hAnsi="Segoe UI" w:cs="Segoe UI"/>
          <w:sz w:val="18"/>
          <w:szCs w:val="18"/>
          <w:lang w:eastAsia="en-GB"/>
        </w:rPr>
      </w:pPr>
    </w:p>
    <w:p w14:paraId="1CB27277"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“In hypothesis testing studies, this is mathematically calculated, conventionally, as the sample size necessary to be 80% certain of identifying a statistically significant outcome should the hypothesis be true for the population.” (Andrade, 2020) </w:t>
      </w:r>
    </w:p>
    <w:p w14:paraId="04DDF110"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Data set is available in appendix 1. </w:t>
      </w:r>
    </w:p>
    <w:p w14:paraId="51759E45" w14:textId="77777777" w:rsidR="00673B29" w:rsidRPr="00673B29" w:rsidRDefault="00673B29" w:rsidP="00CF38B8">
      <w:pPr>
        <w:pStyle w:val="Heading1"/>
        <w:rPr>
          <w:rFonts w:ascii="Segoe UI" w:eastAsia="Times New Roman" w:hAnsi="Segoe UI" w:cs="Segoe UI"/>
          <w:sz w:val="18"/>
          <w:szCs w:val="18"/>
          <w:lang w:eastAsia="en-GB"/>
        </w:rPr>
      </w:pPr>
      <w:bookmarkStart w:id="7" w:name="_Toc166407158"/>
      <w:r w:rsidRPr="00673B29">
        <w:rPr>
          <w:rFonts w:eastAsia="Times New Roman"/>
          <w:lang w:eastAsia="en-GB"/>
        </w:rPr>
        <w:t>Ethical Approval:</w:t>
      </w:r>
      <w:bookmarkEnd w:id="7"/>
      <w:r w:rsidRPr="00673B29">
        <w:rPr>
          <w:rFonts w:eastAsia="Times New Roman"/>
          <w:lang w:eastAsia="en-GB"/>
        </w:rPr>
        <w:t>  </w:t>
      </w:r>
    </w:p>
    <w:p w14:paraId="2845A465"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Ethical approval was not required as the data set made available by the AMs team did not contain any personal or identifiable patient data.  </w:t>
      </w:r>
    </w:p>
    <w:p w14:paraId="12C07CAD"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7D7BC559" w14:textId="77777777" w:rsidR="00673B29" w:rsidRPr="00673B29" w:rsidRDefault="00673B29" w:rsidP="00CF38B8">
      <w:pPr>
        <w:pStyle w:val="Heading1"/>
        <w:rPr>
          <w:rFonts w:ascii="Segoe UI" w:eastAsia="Times New Roman" w:hAnsi="Segoe UI" w:cs="Segoe UI"/>
          <w:sz w:val="18"/>
          <w:szCs w:val="18"/>
          <w:lang w:eastAsia="en-GB"/>
        </w:rPr>
      </w:pPr>
      <w:bookmarkStart w:id="8" w:name="_Toc166407159"/>
      <w:r w:rsidRPr="00673B29">
        <w:rPr>
          <w:rFonts w:eastAsia="Times New Roman"/>
          <w:lang w:eastAsia="en-GB"/>
        </w:rPr>
        <w:t>Data Characteristics:</w:t>
      </w:r>
      <w:bookmarkEnd w:id="8"/>
      <w:r w:rsidRPr="00673B29">
        <w:rPr>
          <w:rFonts w:eastAsia="Times New Roman"/>
          <w:lang w:eastAsia="en-GB"/>
        </w:rPr>
        <w:t>   </w:t>
      </w:r>
    </w:p>
    <w:p w14:paraId="104ED2A2"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Since the study employs correlation study design statistical tests were performed using SPSS to explore correlation between different variables in the data set.  </w:t>
      </w:r>
    </w:p>
    <w:p w14:paraId="3AF34886"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The data set comprises of 62 patients across 3 DGHs within CTM UHB. The data was collected from Sep 23 till Nov 23. Some characteristics of the data are represented in the graphs below.  </w:t>
      </w:r>
    </w:p>
    <w:p w14:paraId="223214F3" w14:textId="77777777" w:rsidR="00673B29" w:rsidRPr="00673B29" w:rsidRDefault="00673B29" w:rsidP="00CF38B8">
      <w:pPr>
        <w:pStyle w:val="Heading1"/>
        <w:rPr>
          <w:rFonts w:ascii="Segoe UI" w:eastAsia="Times New Roman" w:hAnsi="Segoe UI" w:cs="Segoe UI"/>
          <w:sz w:val="18"/>
          <w:szCs w:val="18"/>
          <w:lang w:eastAsia="en-GB"/>
        </w:rPr>
      </w:pPr>
      <w:bookmarkStart w:id="9" w:name="_Toc166407160"/>
      <w:r w:rsidRPr="00673B29">
        <w:rPr>
          <w:rFonts w:eastAsia="Times New Roman"/>
          <w:lang w:eastAsia="en-GB"/>
        </w:rPr>
        <w:t>Type of Data:</w:t>
      </w:r>
      <w:bookmarkEnd w:id="9"/>
      <w:r w:rsidRPr="00673B29">
        <w:rPr>
          <w:rFonts w:eastAsia="Times New Roman"/>
          <w:lang w:eastAsia="en-GB"/>
        </w:rPr>
        <w:t>  </w:t>
      </w:r>
    </w:p>
    <w:p w14:paraId="765A60B3" w14:textId="556F0E2A"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The secondary data used for this study is nominal in nature. Therefore</w:t>
      </w:r>
      <w:r w:rsidR="008167C1">
        <w:rPr>
          <w:rFonts w:ascii="Calibri" w:eastAsia="Times New Roman" w:hAnsi="Calibri" w:cs="Calibri"/>
          <w:color w:val="000000"/>
          <w:lang w:eastAsia="en-GB"/>
        </w:rPr>
        <w:t>, there were</w:t>
      </w:r>
      <w:r w:rsidRPr="00673B29">
        <w:rPr>
          <w:rFonts w:ascii="Calibri" w:eastAsia="Times New Roman" w:hAnsi="Calibri" w:cs="Calibri"/>
          <w:color w:val="000000"/>
          <w:lang w:eastAsia="en-GB"/>
        </w:rPr>
        <w:t xml:space="preserve"> no numerical values except age of the patients. Nominal data is qualitative in nature and represents different characteristics such as patients’ gender, catheter and history of infection.  </w:t>
      </w:r>
    </w:p>
    <w:p w14:paraId="043CBC9A"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Some aspects of the data set are binary. Binary data represents two conceptually opposite values such as yes, no or present, absent.  </w:t>
      </w:r>
    </w:p>
    <w:p w14:paraId="291BFFF1" w14:textId="4628A485" w:rsidR="00673B29" w:rsidRDefault="00673B29" w:rsidP="00673B29">
      <w:pPr>
        <w:spacing w:after="0" w:line="240" w:lineRule="auto"/>
        <w:textAlignment w:val="baseline"/>
        <w:rPr>
          <w:rFonts w:ascii="Calibri" w:eastAsia="Times New Roman" w:hAnsi="Calibri" w:cs="Calibri"/>
          <w:color w:val="000000"/>
          <w:lang w:eastAsia="en-GB"/>
        </w:rPr>
      </w:pPr>
      <w:r w:rsidRPr="00673B29">
        <w:rPr>
          <w:rFonts w:ascii="Calibri" w:eastAsia="Times New Roman" w:hAnsi="Calibri" w:cs="Calibri"/>
          <w:color w:val="000000"/>
          <w:lang w:eastAsia="en-GB"/>
        </w:rPr>
        <w:t>Both types of data characteristics have been used for statistical analysis.  </w:t>
      </w:r>
    </w:p>
    <w:p w14:paraId="203C56B0" w14:textId="77777777" w:rsidR="008167C1" w:rsidRPr="00673B29" w:rsidRDefault="008167C1" w:rsidP="00673B29">
      <w:pPr>
        <w:spacing w:after="0" w:line="240" w:lineRule="auto"/>
        <w:textAlignment w:val="baseline"/>
        <w:rPr>
          <w:rFonts w:ascii="Segoe UI" w:eastAsia="Times New Roman" w:hAnsi="Segoe UI" w:cs="Segoe UI"/>
          <w:sz w:val="18"/>
          <w:szCs w:val="18"/>
          <w:lang w:eastAsia="en-GB"/>
        </w:rPr>
      </w:pPr>
    </w:p>
    <w:p w14:paraId="32368988"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bookmarkStart w:id="10" w:name="_Toc166407161"/>
      <w:r w:rsidRPr="00CF38B8">
        <w:rPr>
          <w:rStyle w:val="Heading1Char"/>
        </w:rPr>
        <w:t>Data normality:</w:t>
      </w:r>
      <w:bookmarkEnd w:id="10"/>
      <w:r w:rsidRPr="00673B29">
        <w:rPr>
          <w:rFonts w:ascii="Calibri" w:eastAsia="Times New Roman" w:hAnsi="Calibri" w:cs="Calibri"/>
          <w:color w:val="000000"/>
          <w:lang w:eastAsia="en-GB"/>
        </w:rPr>
        <w:t xml:space="preserve"> The data was tested for normality and it does not follow normal distribution curve.  </w:t>
      </w:r>
    </w:p>
    <w:p w14:paraId="7146FD18"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4B6887FD" w14:textId="05DDE886" w:rsidR="00673B29" w:rsidRDefault="00673B29" w:rsidP="00CF38B8">
      <w:pPr>
        <w:pStyle w:val="Heading1"/>
        <w:rPr>
          <w:rFonts w:eastAsia="Times New Roman"/>
          <w:lang w:eastAsia="en-GB"/>
        </w:rPr>
      </w:pPr>
      <w:bookmarkStart w:id="11" w:name="_Toc166407162"/>
      <w:r w:rsidRPr="00673B29">
        <w:rPr>
          <w:rFonts w:eastAsia="Times New Roman"/>
          <w:lang w:eastAsia="en-GB"/>
        </w:rPr>
        <w:lastRenderedPageBreak/>
        <w:t>Graphical representation of data:</w:t>
      </w:r>
      <w:bookmarkEnd w:id="11"/>
      <w:r w:rsidRPr="00673B29">
        <w:rPr>
          <w:rFonts w:eastAsia="Times New Roman"/>
          <w:lang w:eastAsia="en-GB"/>
        </w:rPr>
        <w:t>  </w:t>
      </w:r>
    </w:p>
    <w:p w14:paraId="245CCF2D" w14:textId="77777777" w:rsidR="008167C1" w:rsidRDefault="008167C1" w:rsidP="008167C1">
      <w:pPr>
        <w:rPr>
          <w:b/>
          <w:lang w:eastAsia="en-GB"/>
        </w:rPr>
      </w:pPr>
      <w:r>
        <w:rPr>
          <w:b/>
          <w:lang w:eastAsia="en-GB"/>
        </w:rPr>
        <w:t>Gender Distribution: </w:t>
      </w:r>
    </w:p>
    <w:p w14:paraId="22294C51" w14:textId="5C939234" w:rsidR="00673B29" w:rsidRPr="008167C1" w:rsidRDefault="008167C1" w:rsidP="008167C1">
      <w:pPr>
        <w:rPr>
          <w:rFonts w:ascii="Segoe UI" w:hAnsi="Segoe UI" w:cs="Segoe UI"/>
          <w:b/>
          <w:sz w:val="18"/>
          <w:szCs w:val="18"/>
          <w:lang w:eastAsia="en-GB"/>
        </w:rPr>
      </w:pPr>
      <w:r w:rsidRPr="00673B29">
        <w:rPr>
          <w:noProof/>
          <w:lang w:eastAsia="en-GB"/>
        </w:rPr>
        <w:drawing>
          <wp:anchor distT="0" distB="0" distL="114300" distR="114300" simplePos="0" relativeHeight="251676672" behindDoc="1" locked="0" layoutInCell="1" allowOverlap="1" wp14:anchorId="559DF4D9" wp14:editId="24990F46">
            <wp:simplePos x="0" y="0"/>
            <wp:positionH relativeFrom="margin">
              <wp:align>right</wp:align>
            </wp:positionH>
            <wp:positionV relativeFrom="paragraph">
              <wp:posOffset>3810</wp:posOffset>
            </wp:positionV>
            <wp:extent cx="3962400" cy="1943100"/>
            <wp:effectExtent l="0" t="0" r="0" b="0"/>
            <wp:wrapTight wrapText="bothSides">
              <wp:wrapPolygon edited="0">
                <wp:start x="0" y="0"/>
                <wp:lineTo x="0" y="21388"/>
                <wp:lineTo x="21496" y="21388"/>
                <wp:lineTo x="21496" y="0"/>
                <wp:lineTo x="0" y="0"/>
              </wp:wrapPolygon>
            </wp:wrapTight>
            <wp:docPr id="13" name="Picture 13" descr="C:\Users\Ra177043\AppData\Local\Microsoft\Windows\INetCache\Content.MSO\D9D5750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a177043\AppData\Local\Microsoft\Windows\INetCache\Content.MSO\D9D5750F.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62400" cy="1943100"/>
                    </a:xfrm>
                    <a:prstGeom prst="rect">
                      <a:avLst/>
                    </a:prstGeom>
                    <a:noFill/>
                    <a:ln>
                      <a:noFill/>
                    </a:ln>
                  </pic:spPr>
                </pic:pic>
              </a:graphicData>
            </a:graphic>
          </wp:anchor>
        </w:drawing>
      </w:r>
    </w:p>
    <w:p w14:paraId="29507943" w14:textId="03FAE02D" w:rsidR="00673B29" w:rsidRDefault="00673B29" w:rsidP="00673B29">
      <w:pPr>
        <w:spacing w:after="0" w:line="240" w:lineRule="auto"/>
        <w:textAlignment w:val="baseline"/>
        <w:rPr>
          <w:rFonts w:ascii="Calibri" w:eastAsia="Times New Roman" w:hAnsi="Calibri" w:cs="Calibri"/>
          <w:color w:val="000000"/>
          <w:lang w:eastAsia="en-GB"/>
        </w:rPr>
      </w:pPr>
      <w:r w:rsidRPr="00673B29">
        <w:rPr>
          <w:rFonts w:ascii="Calibri" w:eastAsia="Times New Roman" w:hAnsi="Calibri" w:cs="Calibri"/>
          <w:color w:val="000000"/>
          <w:lang w:eastAsia="en-GB"/>
        </w:rPr>
        <w:t>Among the data set female and male distribution was 34% and 66% respectively.  </w:t>
      </w:r>
    </w:p>
    <w:p w14:paraId="4A76D01A" w14:textId="77777777" w:rsidR="00CF38B8" w:rsidRPr="00673B29" w:rsidRDefault="00CF38B8" w:rsidP="00673B29">
      <w:pPr>
        <w:spacing w:after="0" w:line="240" w:lineRule="auto"/>
        <w:textAlignment w:val="baseline"/>
        <w:rPr>
          <w:rFonts w:ascii="Segoe UI" w:eastAsia="Times New Roman" w:hAnsi="Segoe UI" w:cs="Segoe UI"/>
          <w:sz w:val="18"/>
          <w:szCs w:val="18"/>
          <w:lang w:eastAsia="en-GB"/>
        </w:rPr>
      </w:pPr>
    </w:p>
    <w:p w14:paraId="0F48B7EA"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73C444CD"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4B906089"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7637B5FB" w14:textId="039A88D7" w:rsidR="00CF38B8" w:rsidRDefault="00673B29" w:rsidP="00CF38B8">
      <w:pPr>
        <w:pStyle w:val="Caption"/>
        <w:tabs>
          <w:tab w:val="left" w:pos="720"/>
          <w:tab w:val="left" w:pos="3205"/>
        </w:tabs>
      </w:pPr>
      <w:r w:rsidRPr="00673B29">
        <w:rPr>
          <w:rFonts w:ascii="Calibri" w:eastAsia="Times New Roman" w:hAnsi="Calibri" w:cs="Calibri"/>
          <w:lang w:eastAsia="en-GB"/>
        </w:rPr>
        <w:t> </w:t>
      </w:r>
      <w:r w:rsidR="00CF38B8">
        <w:rPr>
          <w:rFonts w:ascii="Calibri" w:eastAsia="Times New Roman" w:hAnsi="Calibri" w:cs="Calibri"/>
          <w:lang w:eastAsia="en-GB"/>
        </w:rPr>
        <w:tab/>
      </w:r>
      <w:r w:rsidR="00CF38B8">
        <w:rPr>
          <w:rFonts w:ascii="Calibri" w:eastAsia="Times New Roman" w:hAnsi="Calibri" w:cs="Calibri"/>
          <w:lang w:eastAsia="en-GB"/>
        </w:rPr>
        <w:tab/>
        <w:t>F</w:t>
      </w:r>
      <w:r w:rsidR="00CF38B8">
        <w:t xml:space="preserve">igure </w:t>
      </w:r>
      <w:r w:rsidR="00CF38B8">
        <w:fldChar w:fldCharType="begin"/>
      </w:r>
      <w:r w:rsidR="00CF38B8">
        <w:instrText xml:space="preserve"> SEQ Figure \* ARABIC </w:instrText>
      </w:r>
      <w:r w:rsidR="00CF38B8">
        <w:fldChar w:fldCharType="separate"/>
      </w:r>
      <w:r w:rsidR="008167C1">
        <w:rPr>
          <w:noProof/>
        </w:rPr>
        <w:t>4</w:t>
      </w:r>
      <w:r w:rsidR="00CF38B8">
        <w:fldChar w:fldCharType="end"/>
      </w:r>
      <w:r w:rsidR="00CF38B8">
        <w:t xml:space="preserve"> </w:t>
      </w:r>
      <w:proofErr w:type="gramStart"/>
      <w:r w:rsidR="00CF38B8">
        <w:t>( Y</w:t>
      </w:r>
      <w:proofErr w:type="gramEnd"/>
      <w:r w:rsidR="00CF38B8">
        <w:t>= %age of sample, X= gender (</w:t>
      </w:r>
      <w:proofErr w:type="spellStart"/>
      <w:r w:rsidR="00CF38B8">
        <w:t>male.female</w:t>
      </w:r>
      <w:proofErr w:type="spellEnd"/>
      <w:r w:rsidR="00CF38B8">
        <w:t>)</w:t>
      </w:r>
    </w:p>
    <w:p w14:paraId="7CD44F8B" w14:textId="7102099D" w:rsidR="00673B29" w:rsidRPr="00673B29" w:rsidRDefault="00673B29" w:rsidP="00CF38B8">
      <w:pPr>
        <w:tabs>
          <w:tab w:val="right" w:pos="2392"/>
        </w:tabs>
        <w:spacing w:after="0" w:line="240" w:lineRule="auto"/>
        <w:textAlignment w:val="baseline"/>
        <w:rPr>
          <w:rFonts w:ascii="Segoe UI" w:eastAsia="Times New Roman" w:hAnsi="Segoe UI" w:cs="Segoe UI"/>
          <w:sz w:val="18"/>
          <w:szCs w:val="18"/>
          <w:lang w:eastAsia="en-GB"/>
        </w:rPr>
      </w:pPr>
    </w:p>
    <w:p w14:paraId="2EA77872" w14:textId="7A68B548" w:rsidR="00866CB1" w:rsidRDefault="00866CB1" w:rsidP="00866CB1">
      <w:pPr>
        <w:keepNext/>
        <w:spacing w:after="0" w:line="240" w:lineRule="auto"/>
        <w:textAlignment w:val="baseline"/>
      </w:pPr>
    </w:p>
    <w:p w14:paraId="77FC7749" w14:textId="44F2B8C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0811A401" w14:textId="7E151440" w:rsidR="00CF38B8" w:rsidRPr="008167C1" w:rsidRDefault="00CF38B8" w:rsidP="008167C1">
      <w:pPr>
        <w:rPr>
          <w:b/>
          <w:lang w:eastAsia="en-GB"/>
        </w:rPr>
      </w:pPr>
      <w:r w:rsidRPr="008167C1">
        <w:rPr>
          <w:b/>
          <w:lang w:eastAsia="en-GB"/>
        </w:rPr>
        <w:t>Age Distribution:  </w:t>
      </w:r>
    </w:p>
    <w:p w14:paraId="5EE2599E" w14:textId="1238CB8B" w:rsidR="00CF38B8" w:rsidRPr="00673B29" w:rsidRDefault="00CF38B8" w:rsidP="00CF38B8">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Age range was 6 months to 95 years with median age 77.50 years.  </w:t>
      </w:r>
    </w:p>
    <w:p w14:paraId="397EC809" w14:textId="0097DA87" w:rsidR="008167C1" w:rsidRDefault="008167C1" w:rsidP="008167C1">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(Y = Age in years; X = sample)</w:t>
      </w:r>
    </w:p>
    <w:p w14:paraId="2B792C06" w14:textId="5ABB41FA" w:rsidR="00673B29" w:rsidRPr="00CF38B8" w:rsidRDefault="008167C1" w:rsidP="00CF38B8">
      <w:pPr>
        <w:pStyle w:val="Heading1"/>
        <w:rPr>
          <w:rFonts w:eastAsia="Times New Roman"/>
          <w:lang w:eastAsia="en-GB"/>
        </w:rPr>
      </w:pPr>
      <w:bookmarkStart w:id="12" w:name="_Toc166407163"/>
      <w:r w:rsidRPr="00673B29">
        <w:rPr>
          <w:noProof/>
          <w:lang w:eastAsia="en-GB"/>
        </w:rPr>
        <w:drawing>
          <wp:anchor distT="0" distB="0" distL="114300" distR="114300" simplePos="0" relativeHeight="251677696" behindDoc="1" locked="0" layoutInCell="1" allowOverlap="1" wp14:anchorId="64DB16CE" wp14:editId="067B5C08">
            <wp:simplePos x="0" y="0"/>
            <wp:positionH relativeFrom="margin">
              <wp:align>right</wp:align>
            </wp:positionH>
            <wp:positionV relativeFrom="paragraph">
              <wp:posOffset>29210</wp:posOffset>
            </wp:positionV>
            <wp:extent cx="3746500" cy="1536700"/>
            <wp:effectExtent l="0" t="0" r="6350" b="6350"/>
            <wp:wrapTight wrapText="bothSides">
              <wp:wrapPolygon edited="0">
                <wp:start x="0" y="0"/>
                <wp:lineTo x="0" y="21421"/>
                <wp:lineTo x="21527" y="21421"/>
                <wp:lineTo x="21527" y="0"/>
                <wp:lineTo x="0" y="0"/>
              </wp:wrapPolygon>
            </wp:wrapTight>
            <wp:docPr id="12" name="Picture 12" descr="C:\Users\Ra177043\AppData\Local\Microsoft\Windows\INetCache\Content.MSO\785D10F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a177043\AppData\Local\Microsoft\Windows\INetCache\Content.MSO\785D10F5.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46500" cy="153670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2"/>
    </w:p>
    <w:p w14:paraId="629AA96F" w14:textId="2F27EF30" w:rsidR="00673B29" w:rsidRDefault="00673B29" w:rsidP="00673B29">
      <w:pPr>
        <w:spacing w:after="0" w:line="240" w:lineRule="auto"/>
        <w:textAlignment w:val="baseline"/>
        <w:rPr>
          <w:rFonts w:ascii="Calibri Light" w:eastAsia="Times New Roman" w:hAnsi="Calibri Light" w:cs="Calibri Light"/>
          <w:color w:val="2E74B5"/>
          <w:sz w:val="26"/>
          <w:szCs w:val="26"/>
          <w:lang w:eastAsia="en-GB"/>
        </w:rPr>
      </w:pPr>
    </w:p>
    <w:p w14:paraId="586EDFB1" w14:textId="455EA3B5" w:rsidR="00CF38B8" w:rsidRDefault="00CF38B8" w:rsidP="00CF38B8">
      <w:pPr>
        <w:pStyle w:val="Heading1"/>
        <w:rPr>
          <w:rFonts w:eastAsia="Times New Roman"/>
          <w:lang w:eastAsia="en-GB"/>
        </w:rPr>
      </w:pPr>
    </w:p>
    <w:p w14:paraId="7C9D9EBF" w14:textId="77777777" w:rsidR="00CF38B8" w:rsidRDefault="00CF38B8" w:rsidP="00CF38B8">
      <w:pPr>
        <w:pStyle w:val="Heading1"/>
        <w:rPr>
          <w:rFonts w:eastAsia="Times New Roman"/>
          <w:lang w:eastAsia="en-GB"/>
        </w:rPr>
      </w:pPr>
    </w:p>
    <w:p w14:paraId="3B8BA2E6" w14:textId="77777777" w:rsidR="00CF38B8" w:rsidRDefault="00CF38B8" w:rsidP="00CF38B8">
      <w:pPr>
        <w:pStyle w:val="Heading1"/>
        <w:rPr>
          <w:rFonts w:eastAsia="Times New Roman"/>
          <w:lang w:eastAsia="en-GB"/>
        </w:rPr>
      </w:pPr>
    </w:p>
    <w:p w14:paraId="46F242D2" w14:textId="6A673E79" w:rsidR="008167C1" w:rsidRDefault="008167C1" w:rsidP="008167C1">
      <w:pPr>
        <w:rPr>
          <w:b/>
          <w:lang w:eastAsia="en-GB"/>
        </w:rPr>
      </w:pPr>
      <w:r w:rsidRPr="008167C1">
        <w:rPr>
          <w:b/>
          <w:lang w:eastAsia="en-GB"/>
        </w:rPr>
        <w:t>Distribution of lower UTI, Pyelonephritis and Urosepsis infections </w:t>
      </w:r>
    </w:p>
    <w:p w14:paraId="15D49A4D" w14:textId="637418B2" w:rsidR="008167C1" w:rsidRPr="008167C1" w:rsidRDefault="008167C1" w:rsidP="008167C1">
      <w:pPr>
        <w:rPr>
          <w:rFonts w:ascii="Segoe UI" w:hAnsi="Segoe UI" w:cs="Segoe UI"/>
          <w:b/>
          <w:sz w:val="18"/>
          <w:szCs w:val="18"/>
          <w:lang w:eastAsia="en-GB"/>
        </w:rPr>
      </w:pPr>
      <w:r w:rsidRPr="00673B29">
        <w:rPr>
          <w:noProof/>
          <w:lang w:eastAsia="en-GB"/>
        </w:rPr>
        <w:drawing>
          <wp:anchor distT="0" distB="0" distL="114300" distR="114300" simplePos="0" relativeHeight="251685888" behindDoc="1" locked="0" layoutInCell="1" allowOverlap="1" wp14:anchorId="0CA7544C" wp14:editId="2B457573">
            <wp:simplePos x="0" y="0"/>
            <wp:positionH relativeFrom="margin">
              <wp:align>right</wp:align>
            </wp:positionH>
            <wp:positionV relativeFrom="paragraph">
              <wp:posOffset>90805</wp:posOffset>
            </wp:positionV>
            <wp:extent cx="3695700" cy="2015490"/>
            <wp:effectExtent l="0" t="0" r="0" b="3810"/>
            <wp:wrapTight wrapText="bothSides">
              <wp:wrapPolygon edited="0">
                <wp:start x="0" y="0"/>
                <wp:lineTo x="0" y="21437"/>
                <wp:lineTo x="21489" y="21437"/>
                <wp:lineTo x="21489" y="0"/>
                <wp:lineTo x="0" y="0"/>
              </wp:wrapPolygon>
            </wp:wrapTight>
            <wp:docPr id="11" name="Picture 11" descr="C:\Users\Ra177043\AppData\Local\Microsoft\Windows\INetCache\Content.MSO\A039A3C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a177043\AppData\Local\Microsoft\Windows\INetCache\Content.MSO\A039A3CB.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95700" cy="2015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0F01D5" w14:textId="607E9C24" w:rsidR="008167C1" w:rsidRPr="00CF38B8" w:rsidRDefault="008167C1" w:rsidP="008167C1">
      <w:pPr>
        <w:pStyle w:val="Caption"/>
      </w:pPr>
      <w:r>
        <w:t xml:space="preserve">Figure </w:t>
      </w:r>
      <w:r>
        <w:fldChar w:fldCharType="begin"/>
      </w:r>
      <w:r>
        <w:instrText xml:space="preserve"> SEQ Figure \* ARABIC </w:instrText>
      </w:r>
      <w:r>
        <w:fldChar w:fldCharType="separate"/>
      </w:r>
      <w:r>
        <w:rPr>
          <w:noProof/>
        </w:rPr>
        <w:t>6</w:t>
      </w:r>
      <w:r>
        <w:fldChar w:fldCharType="end"/>
      </w:r>
      <w:r>
        <w:t xml:space="preserve"> (Y=number of patients in the sample, x= Diagnosis)</w:t>
      </w:r>
    </w:p>
    <w:p w14:paraId="19CCEF5B" w14:textId="5E3E02BC" w:rsidR="00CF38B8" w:rsidRPr="008167C1" w:rsidRDefault="00CF38B8" w:rsidP="00CF38B8">
      <w:pPr>
        <w:pStyle w:val="Caption"/>
        <w:rPr>
          <w:i w:val="0"/>
        </w:rPr>
      </w:pPr>
    </w:p>
    <w:p w14:paraId="3BA060A4" w14:textId="7FCC80BF" w:rsidR="00CF38B8" w:rsidRDefault="00CF38B8" w:rsidP="00CF38B8">
      <w:pPr>
        <w:pStyle w:val="Caption"/>
      </w:pPr>
    </w:p>
    <w:p w14:paraId="4B767DAE" w14:textId="77777777" w:rsidR="00CF38B8" w:rsidRDefault="00CF38B8" w:rsidP="00CF38B8">
      <w:pPr>
        <w:pStyle w:val="Heading1"/>
        <w:rPr>
          <w:rFonts w:eastAsia="Times New Roman"/>
          <w:lang w:eastAsia="en-GB"/>
        </w:rPr>
      </w:pPr>
    </w:p>
    <w:p w14:paraId="719D2E44"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3604E0D6"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74324E93"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48FD5FA1"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3B4A71A4" w14:textId="77777777" w:rsidR="00673B29" w:rsidRDefault="00673B29" w:rsidP="00673B29">
      <w:pPr>
        <w:spacing w:after="0" w:line="240" w:lineRule="auto"/>
        <w:textAlignment w:val="baseline"/>
        <w:rPr>
          <w:rFonts w:ascii="Calibri" w:eastAsia="Times New Roman" w:hAnsi="Calibri" w:cs="Calibri"/>
          <w:lang w:eastAsia="en-GB"/>
        </w:rPr>
      </w:pPr>
      <w:r w:rsidRPr="00673B29">
        <w:rPr>
          <w:rFonts w:ascii="Calibri" w:eastAsia="Times New Roman" w:hAnsi="Calibri" w:cs="Calibri"/>
          <w:lang w:eastAsia="en-GB"/>
        </w:rPr>
        <w:t> </w:t>
      </w:r>
    </w:p>
    <w:p w14:paraId="76201EBC" w14:textId="17ED5EB6" w:rsidR="00673B29" w:rsidRPr="00673B29" w:rsidRDefault="00673B29" w:rsidP="00673B29">
      <w:pPr>
        <w:spacing w:after="0" w:line="240" w:lineRule="auto"/>
        <w:textAlignment w:val="baseline"/>
        <w:rPr>
          <w:rFonts w:ascii="Segoe UI" w:eastAsia="Times New Roman" w:hAnsi="Segoe UI" w:cs="Segoe UI"/>
          <w:sz w:val="18"/>
          <w:szCs w:val="18"/>
          <w:lang w:eastAsia="en-GB"/>
        </w:rPr>
      </w:pPr>
    </w:p>
    <w:p w14:paraId="6DBE0173"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31ACFE11" w14:textId="032960D0" w:rsidR="00866CB1" w:rsidRDefault="00866CB1" w:rsidP="00866CB1">
      <w:pPr>
        <w:keepNext/>
        <w:spacing w:after="0" w:line="240" w:lineRule="auto"/>
        <w:textAlignment w:val="baseline"/>
      </w:pPr>
    </w:p>
    <w:p w14:paraId="3EFBD4AF" w14:textId="73AE3994" w:rsidR="00673B29" w:rsidRPr="008167C1" w:rsidRDefault="00673B29" w:rsidP="008167C1">
      <w:pPr>
        <w:rPr>
          <w:b/>
          <w:lang w:eastAsia="en-GB"/>
        </w:rPr>
      </w:pPr>
      <w:r w:rsidRPr="008167C1">
        <w:rPr>
          <w:b/>
          <w:lang w:eastAsia="en-GB"/>
        </w:rPr>
        <w:t>Gender and UTI distribution </w:t>
      </w:r>
    </w:p>
    <w:p w14:paraId="12B6B488" w14:textId="1ECCFE26" w:rsidR="00CF38B8" w:rsidRPr="00CF38B8" w:rsidRDefault="008167C1" w:rsidP="00CF38B8">
      <w:pPr>
        <w:rPr>
          <w:lang w:eastAsia="en-GB"/>
        </w:rPr>
      </w:pPr>
      <w:r>
        <w:rPr>
          <w:noProof/>
        </w:rPr>
        <mc:AlternateContent>
          <mc:Choice Requires="wps">
            <w:drawing>
              <wp:anchor distT="0" distB="0" distL="114300" distR="114300" simplePos="0" relativeHeight="251681792" behindDoc="1" locked="0" layoutInCell="1" allowOverlap="1" wp14:anchorId="4353CC0D" wp14:editId="17D7D8C2">
                <wp:simplePos x="0" y="0"/>
                <wp:positionH relativeFrom="column">
                  <wp:posOffset>-222250</wp:posOffset>
                </wp:positionH>
                <wp:positionV relativeFrom="paragraph">
                  <wp:posOffset>369570</wp:posOffset>
                </wp:positionV>
                <wp:extent cx="2006600" cy="635"/>
                <wp:effectExtent l="0" t="0" r="0" b="635"/>
                <wp:wrapTight wrapText="bothSides">
                  <wp:wrapPolygon edited="0">
                    <wp:start x="0" y="0"/>
                    <wp:lineTo x="0" y="20853"/>
                    <wp:lineTo x="21327" y="20853"/>
                    <wp:lineTo x="21327"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2006600" cy="635"/>
                        </a:xfrm>
                        <a:prstGeom prst="rect">
                          <a:avLst/>
                        </a:prstGeom>
                        <a:solidFill>
                          <a:prstClr val="white"/>
                        </a:solidFill>
                        <a:ln>
                          <a:noFill/>
                        </a:ln>
                      </wps:spPr>
                      <wps:txbx>
                        <w:txbxContent>
                          <w:p w14:paraId="662A8BC8" w14:textId="56529595" w:rsidR="008167C1" w:rsidRDefault="00CF38B8" w:rsidP="00CF38B8">
                            <w:pPr>
                              <w:pStyle w:val="Caption"/>
                            </w:pPr>
                            <w:r>
                              <w:t xml:space="preserve">Figure </w:t>
                            </w:r>
                            <w:r>
                              <w:fldChar w:fldCharType="begin"/>
                            </w:r>
                            <w:r>
                              <w:instrText xml:space="preserve"> SEQ Figure \* ARABIC </w:instrText>
                            </w:r>
                            <w:r>
                              <w:fldChar w:fldCharType="separate"/>
                            </w:r>
                            <w:r w:rsidR="008167C1">
                              <w:rPr>
                                <w:noProof/>
                              </w:rPr>
                              <w:t>7</w:t>
                            </w:r>
                            <w:r>
                              <w:fldChar w:fldCharType="end"/>
                            </w:r>
                            <w:r>
                              <w:t xml:space="preserve"> :</w:t>
                            </w:r>
                          </w:p>
                          <w:p w14:paraId="12887FE4" w14:textId="442BFA35" w:rsidR="00CF38B8" w:rsidRPr="00BF0B2A" w:rsidRDefault="00CF38B8" w:rsidP="00CF38B8">
                            <w:pPr>
                              <w:pStyle w:val="Caption"/>
                              <w:rPr>
                                <w:rFonts w:ascii="Calibri" w:eastAsia="Times New Roman" w:hAnsi="Calibri" w:cs="Calibri"/>
                              </w:rPr>
                            </w:pPr>
                            <w:r>
                              <w:t xml:space="preserve"> Y = number of patients, x= diagnosis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353CC0D" id="Text Box 21" o:spid="_x0000_s1031" type="#_x0000_t202" style="position:absolute;margin-left:-17.5pt;margin-top:29.1pt;width:158pt;height:.05pt;z-index:-251634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" stroked="f">
                <v:textbox style="mso-fit-shape-to-text:t" inset="0,0,0,0">
                  <w:txbxContent>
                    <w:p w14:paraId="662A8BC8" w14:textId="56529595" w:rsidR="008167C1" w:rsidRDefault="00CF38B8" w:rsidP="00CF38B8">
                      <w:pPr>
                        <w:pStyle w:val="Caption"/>
                      </w:pPr>
                      <w:r>
                        <w:t xml:space="preserve">Figure </w:t>
                      </w:r>
                      <w:r>
                        <w:fldChar w:fldCharType="begin"/>
                      </w:r>
                      <w:r>
                        <w:instrText xml:space="preserve"> SEQ Figure \* ARABIC </w:instrText>
                      </w:r>
                      <w:r>
                        <w:fldChar w:fldCharType="separate"/>
                      </w:r>
                      <w:r w:rsidR="008167C1">
                        <w:rPr>
                          <w:noProof/>
                        </w:rPr>
                        <w:t>7</w:t>
                      </w:r>
                      <w:r>
                        <w:fldChar w:fldCharType="end"/>
                      </w:r>
                      <w:r>
                        <w:t xml:space="preserve"> :</w:t>
                      </w:r>
                    </w:p>
                    <w:p w14:paraId="12887FE4" w14:textId="442BFA35" w:rsidR="00CF38B8" w:rsidRPr="00BF0B2A" w:rsidRDefault="00CF38B8" w:rsidP="00CF38B8">
                      <w:pPr>
                        <w:pStyle w:val="Caption"/>
                        <w:rPr>
                          <w:rFonts w:ascii="Calibri" w:eastAsia="Times New Roman" w:hAnsi="Calibri" w:cs="Calibri"/>
                        </w:rPr>
                      </w:pPr>
                      <w:r>
                        <w:t xml:space="preserve"> Y = number of patients, x= diagnosis</w:t>
                      </w:r>
                    </w:p>
                  </w:txbxContent>
                </v:textbox>
                <w10:wrap type="tight"/>
              </v:shape>
            </w:pict>
          </mc:Fallback>
        </mc:AlternateContent>
      </w:r>
      <w:r>
        <w:rPr>
          <w:noProof/>
          <w:lang w:eastAsia="en-GB"/>
        </w:rPr>
        <w:drawing>
          <wp:anchor distT="0" distB="0" distL="114300" distR="114300" simplePos="0" relativeHeight="251679744" behindDoc="1" locked="0" layoutInCell="1" allowOverlap="1" wp14:anchorId="00424BA2" wp14:editId="49CCC96E">
            <wp:simplePos x="0" y="0"/>
            <wp:positionH relativeFrom="margin">
              <wp:posOffset>1949450</wp:posOffset>
            </wp:positionH>
            <wp:positionV relativeFrom="paragraph">
              <wp:posOffset>7620</wp:posOffset>
            </wp:positionV>
            <wp:extent cx="3935095" cy="1793240"/>
            <wp:effectExtent l="0" t="0" r="8255" b="16510"/>
            <wp:wrapTight wrapText="bothSides">
              <wp:wrapPolygon edited="0">
                <wp:start x="0" y="0"/>
                <wp:lineTo x="0" y="21569"/>
                <wp:lineTo x="21541" y="21569"/>
                <wp:lineTo x="21541" y="0"/>
                <wp:lineTo x="0" y="0"/>
              </wp:wrapPolygon>
            </wp:wrapTight>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5C68BBC9" w14:textId="18C6D458" w:rsidR="00CF38B8" w:rsidRDefault="00673B29" w:rsidP="00CF38B8">
      <w:pPr>
        <w:pStyle w:val="Heading1"/>
        <w:rPr>
          <w:rFonts w:ascii="Calibri" w:eastAsia="Times New Roman" w:hAnsi="Calibri" w:cs="Calibri"/>
          <w:lang w:eastAsia="en-GB"/>
        </w:rPr>
      </w:pPr>
      <w:r w:rsidRPr="00673B29">
        <w:rPr>
          <w:rFonts w:ascii="Calibri" w:eastAsia="Times New Roman" w:hAnsi="Calibri" w:cs="Calibri"/>
          <w:lang w:eastAsia="en-GB"/>
        </w:rPr>
        <w:t> </w:t>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r w:rsidR="00CF38B8">
        <w:rPr>
          <w:rFonts w:ascii="Calibri" w:eastAsia="Times New Roman" w:hAnsi="Calibri" w:cs="Calibri"/>
          <w:lang w:eastAsia="en-GB"/>
        </w:rPr>
        <w:tab/>
      </w:r>
    </w:p>
    <w:p w14:paraId="094AE3BE" w14:textId="61C076E9" w:rsidR="00CF38B8" w:rsidRDefault="008167C1" w:rsidP="008167C1">
      <w:pPr>
        <w:rPr>
          <w:b/>
          <w:lang w:eastAsia="en-GB"/>
        </w:rPr>
      </w:pPr>
      <w:r w:rsidRPr="008167C1">
        <w:rPr>
          <w:b/>
          <w:noProof/>
          <w:lang w:eastAsia="en-GB"/>
        </w:rPr>
        <w:drawing>
          <wp:anchor distT="0" distB="0" distL="114300" distR="114300" simplePos="0" relativeHeight="251683840" behindDoc="1" locked="0" layoutInCell="1" allowOverlap="1" wp14:anchorId="24A6369B" wp14:editId="3A96FC68">
            <wp:simplePos x="0" y="0"/>
            <wp:positionH relativeFrom="column">
              <wp:posOffset>2127250</wp:posOffset>
            </wp:positionH>
            <wp:positionV relativeFrom="paragraph">
              <wp:posOffset>6985</wp:posOffset>
            </wp:positionV>
            <wp:extent cx="3981450" cy="1638300"/>
            <wp:effectExtent l="0" t="0" r="0" b="0"/>
            <wp:wrapTight wrapText="bothSides">
              <wp:wrapPolygon edited="0">
                <wp:start x="0" y="0"/>
                <wp:lineTo x="0" y="21349"/>
                <wp:lineTo x="21497" y="21349"/>
                <wp:lineTo x="21497" y="0"/>
                <wp:lineTo x="0" y="0"/>
              </wp:wrapPolygon>
            </wp:wrapTight>
            <wp:docPr id="9" name="Picture 9" descr="C:\Users\Ra177043\AppData\Local\Microsoft\Windows\INetCache\Content.MSO\17FFC0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Ra177043\AppData\Local\Microsoft\Windows\INetCache\Content.MSO\17FFC047.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81450" cy="1638300"/>
                    </a:xfrm>
                    <a:prstGeom prst="rect">
                      <a:avLst/>
                    </a:prstGeom>
                    <a:noFill/>
                    <a:ln>
                      <a:noFill/>
                    </a:ln>
                  </pic:spPr>
                </pic:pic>
              </a:graphicData>
            </a:graphic>
          </wp:anchor>
        </w:drawing>
      </w:r>
      <w:r w:rsidR="00CF38B8" w:rsidRPr="008167C1">
        <w:rPr>
          <w:b/>
          <w:lang w:eastAsia="en-GB"/>
        </w:rPr>
        <w:t>Catheter Distribution </w:t>
      </w:r>
    </w:p>
    <w:p w14:paraId="59F20304" w14:textId="61660193" w:rsidR="008167C1" w:rsidRDefault="008167C1" w:rsidP="008167C1">
      <w:pPr>
        <w:pStyle w:val="Caption"/>
      </w:pPr>
      <w:r>
        <w:t xml:space="preserve">Figure </w:t>
      </w:r>
      <w:r>
        <w:fldChar w:fldCharType="begin"/>
      </w:r>
      <w:r>
        <w:instrText xml:space="preserve"> SEQ Figure \* ARABIC </w:instrText>
      </w:r>
      <w:r>
        <w:fldChar w:fldCharType="separate"/>
      </w:r>
      <w:r>
        <w:rPr>
          <w:noProof/>
        </w:rPr>
        <w:t>8</w:t>
      </w:r>
      <w:r>
        <w:fldChar w:fldCharType="end"/>
      </w:r>
      <w:r>
        <w:t>:</w:t>
      </w:r>
    </w:p>
    <w:p w14:paraId="761A32FC" w14:textId="77777777" w:rsidR="008167C1" w:rsidRDefault="008167C1" w:rsidP="008167C1">
      <w:pPr>
        <w:pStyle w:val="Caption"/>
      </w:pPr>
      <w:r>
        <w:t xml:space="preserve"> </w:t>
      </w:r>
      <w:proofErr w:type="gramStart"/>
      <w:r>
        <w:t>( Y</w:t>
      </w:r>
      <w:proofErr w:type="gramEnd"/>
      <w:r>
        <w:t>= number of patients in sample,</w:t>
      </w:r>
    </w:p>
    <w:p w14:paraId="3C2848C1" w14:textId="346A8918" w:rsidR="008167C1" w:rsidRDefault="008167C1" w:rsidP="008167C1">
      <w:pPr>
        <w:pStyle w:val="Caption"/>
      </w:pPr>
      <w:r>
        <w:t xml:space="preserve"> X= presence or absence of catheter)</w:t>
      </w:r>
    </w:p>
    <w:p w14:paraId="5A3953E9" w14:textId="112F619D" w:rsidR="008167C1" w:rsidRPr="008167C1" w:rsidRDefault="008167C1" w:rsidP="008167C1">
      <w:pPr>
        <w:rPr>
          <w:rFonts w:ascii="Segoe UI" w:hAnsi="Segoe UI" w:cs="Segoe UI"/>
          <w:b/>
          <w:sz w:val="18"/>
          <w:szCs w:val="18"/>
          <w:lang w:eastAsia="en-GB"/>
        </w:rPr>
      </w:pPr>
    </w:p>
    <w:p w14:paraId="5E1B22F3" w14:textId="55F8CCE8" w:rsidR="00673B29" w:rsidRDefault="00673B29" w:rsidP="00673B29">
      <w:pPr>
        <w:spacing w:after="0" w:line="240" w:lineRule="auto"/>
        <w:textAlignment w:val="baseline"/>
        <w:rPr>
          <w:rFonts w:ascii="Segoe UI" w:eastAsia="Times New Roman" w:hAnsi="Segoe UI" w:cs="Segoe UI"/>
          <w:sz w:val="18"/>
          <w:szCs w:val="18"/>
          <w:lang w:eastAsia="en-GB"/>
        </w:rPr>
      </w:pPr>
    </w:p>
    <w:p w14:paraId="2364DAB2" w14:textId="7131A054" w:rsidR="008167C1" w:rsidRDefault="008167C1" w:rsidP="00673B29">
      <w:pPr>
        <w:spacing w:after="0" w:line="240" w:lineRule="auto"/>
        <w:textAlignment w:val="baseline"/>
        <w:rPr>
          <w:rFonts w:ascii="Segoe UI" w:eastAsia="Times New Roman" w:hAnsi="Segoe UI" w:cs="Segoe UI"/>
          <w:sz w:val="18"/>
          <w:szCs w:val="18"/>
          <w:lang w:eastAsia="en-GB"/>
        </w:rPr>
      </w:pPr>
    </w:p>
    <w:p w14:paraId="3B2222CE" w14:textId="48E04080" w:rsidR="008167C1" w:rsidRDefault="008167C1" w:rsidP="00673B29">
      <w:pPr>
        <w:spacing w:after="0" w:line="240" w:lineRule="auto"/>
        <w:textAlignment w:val="baseline"/>
        <w:rPr>
          <w:rFonts w:ascii="Segoe UI" w:eastAsia="Times New Roman" w:hAnsi="Segoe UI" w:cs="Segoe UI"/>
          <w:sz w:val="18"/>
          <w:szCs w:val="18"/>
          <w:lang w:eastAsia="en-GB"/>
        </w:rPr>
      </w:pPr>
    </w:p>
    <w:p w14:paraId="63463A07" w14:textId="77777777" w:rsidR="008167C1" w:rsidRDefault="008167C1" w:rsidP="00673B29">
      <w:pPr>
        <w:spacing w:after="0" w:line="240" w:lineRule="auto"/>
        <w:textAlignment w:val="baseline"/>
        <w:rPr>
          <w:b/>
        </w:rPr>
      </w:pPr>
    </w:p>
    <w:p w14:paraId="1512C1CC" w14:textId="77777777" w:rsidR="008167C1" w:rsidRDefault="008167C1" w:rsidP="00673B29">
      <w:pPr>
        <w:spacing w:after="0" w:line="240" w:lineRule="auto"/>
        <w:textAlignment w:val="baseline"/>
        <w:rPr>
          <w:b/>
        </w:rPr>
      </w:pPr>
    </w:p>
    <w:p w14:paraId="7219BB05" w14:textId="663999B2" w:rsidR="008167C1" w:rsidRPr="008167C1" w:rsidRDefault="008167C1" w:rsidP="00673B29">
      <w:pPr>
        <w:spacing w:after="0" w:line="240" w:lineRule="auto"/>
        <w:textAlignment w:val="baseline"/>
        <w:rPr>
          <w:b/>
        </w:rPr>
      </w:pPr>
      <w:r w:rsidRPr="008167C1">
        <w:rPr>
          <w:b/>
        </w:rPr>
        <mc:AlternateContent>
          <mc:Choice Requires="wps">
            <w:drawing>
              <wp:anchor distT="0" distB="0" distL="114300" distR="114300" simplePos="0" relativeHeight="251670528" behindDoc="1" locked="0" layoutInCell="1" allowOverlap="1" wp14:anchorId="76072DC3" wp14:editId="6E71EA5F">
                <wp:simplePos x="0" y="0"/>
                <wp:positionH relativeFrom="column">
                  <wp:posOffset>2711450</wp:posOffset>
                </wp:positionH>
                <wp:positionV relativeFrom="paragraph">
                  <wp:posOffset>2684145</wp:posOffset>
                </wp:positionV>
                <wp:extent cx="2686050" cy="635"/>
                <wp:effectExtent l="0" t="0" r="0" b="0"/>
                <wp:wrapTight wrapText="bothSides">
                  <wp:wrapPolygon edited="0">
                    <wp:start x="0" y="0"/>
                    <wp:lineTo x="0" y="20282"/>
                    <wp:lineTo x="21447" y="20282"/>
                    <wp:lineTo x="21447"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686050" cy="635"/>
                        </a:xfrm>
                        <a:prstGeom prst="rect">
                          <a:avLst/>
                        </a:prstGeom>
                        <a:solidFill>
                          <a:prstClr val="white"/>
                        </a:solidFill>
                        <a:ln>
                          <a:noFill/>
                        </a:ln>
                      </wps:spPr>
                      <wps:txbx>
                        <w:txbxContent>
                          <w:p w14:paraId="2757DD86" w14:textId="5E31F998" w:rsidR="00866CB1" w:rsidRPr="00192B48" w:rsidRDefault="00866CB1" w:rsidP="00866CB1">
                            <w:pPr>
                              <w:pStyle w:val="Caption"/>
                              <w:rPr>
                                <w:rFonts w:ascii="Calibri Light" w:eastAsia="Times New Roman" w:hAnsi="Calibri Light" w:cs="Calibri Light"/>
                                <w:color w:val="2E74B5"/>
                                <w:sz w:val="26"/>
                                <w:szCs w:val="26"/>
                              </w:rPr>
                            </w:pPr>
                            <w:r>
                              <w:t xml:space="preserve">Figure </w:t>
                            </w:r>
                            <w:r>
                              <w:fldChar w:fldCharType="begin"/>
                            </w:r>
                            <w:r>
                              <w:instrText xml:space="preserve"> SEQ Figure \* ARABIC </w:instrText>
                            </w:r>
                            <w:r>
                              <w:fldChar w:fldCharType="separate"/>
                            </w:r>
                            <w:r w:rsidR="008167C1">
                              <w:rPr>
                                <w:noProof/>
                              </w:rPr>
                              <w:t>9</w:t>
                            </w:r>
                            <w:r>
                              <w:fldChar w:fldCharType="end"/>
                            </w:r>
                            <w:r>
                              <w:t xml:space="preserve"> </w:t>
                            </w:r>
                            <w:proofErr w:type="gramStart"/>
                            <w:r>
                              <w:t>( Y</w:t>
                            </w:r>
                            <w:proofErr w:type="gramEnd"/>
                            <w:r>
                              <w:t>= number of patients in sample, X= presence or absence of blood culture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072DC3" id="Text Box 17" o:spid="_x0000_s1032" type="#_x0000_t202" style="position:absolute;margin-left:213.5pt;margin-top:211.35pt;width:211.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" stroked="f">
                <v:textbox style="mso-fit-shape-to-text:t" inset="0,0,0,0">
                  <w:txbxContent>
                    <w:p w14:paraId="2757DD86" w14:textId="5E31F998" w:rsidR="00866CB1" w:rsidRPr="00192B48" w:rsidRDefault="00866CB1" w:rsidP="00866CB1">
                      <w:pPr>
                        <w:pStyle w:val="Caption"/>
                        <w:rPr>
                          <w:rFonts w:ascii="Calibri Light" w:eastAsia="Times New Roman" w:hAnsi="Calibri Light" w:cs="Calibri Light"/>
                          <w:color w:val="2E74B5"/>
                          <w:sz w:val="26"/>
                          <w:szCs w:val="26"/>
                        </w:rPr>
                      </w:pPr>
                      <w:r>
                        <w:t xml:space="preserve">Figure </w:t>
                      </w:r>
                      <w:r>
                        <w:fldChar w:fldCharType="begin"/>
                      </w:r>
                      <w:r>
                        <w:instrText xml:space="preserve"> SEQ Figure \* ARABIC </w:instrText>
                      </w:r>
                      <w:r>
                        <w:fldChar w:fldCharType="separate"/>
                      </w:r>
                      <w:r w:rsidR="008167C1">
                        <w:rPr>
                          <w:noProof/>
                        </w:rPr>
                        <w:t>9</w:t>
                      </w:r>
                      <w:r>
                        <w:fldChar w:fldCharType="end"/>
                      </w:r>
                      <w:r>
                        <w:t xml:space="preserve"> </w:t>
                      </w:r>
                      <w:proofErr w:type="gramStart"/>
                      <w:r>
                        <w:t>( Y</w:t>
                      </w:r>
                      <w:proofErr w:type="gramEnd"/>
                      <w:r>
                        <w:t>= number of patients in sample, X= presence or absence of blood culture test)</w:t>
                      </w:r>
                    </w:p>
                  </w:txbxContent>
                </v:textbox>
                <w10:wrap type="tight"/>
              </v:shape>
            </w:pict>
          </mc:Fallback>
        </mc:AlternateContent>
      </w:r>
      <w:r w:rsidRPr="008167C1">
        <w:rPr>
          <w:b/>
        </w:rPr>
        <w:drawing>
          <wp:anchor distT="0" distB="0" distL="114300" distR="114300" simplePos="0" relativeHeight="251687936" behindDoc="1" locked="0" layoutInCell="1" allowOverlap="1" wp14:anchorId="11A45D9A" wp14:editId="159A57E2">
            <wp:simplePos x="0" y="0"/>
            <wp:positionH relativeFrom="column">
              <wp:posOffset>2190750</wp:posOffset>
            </wp:positionH>
            <wp:positionV relativeFrom="paragraph">
              <wp:posOffset>353695</wp:posOffset>
            </wp:positionV>
            <wp:extent cx="3822700" cy="2216150"/>
            <wp:effectExtent l="0" t="0" r="6350" b="0"/>
            <wp:wrapTight wrapText="bothSides">
              <wp:wrapPolygon edited="0">
                <wp:start x="0" y="0"/>
                <wp:lineTo x="0" y="21352"/>
                <wp:lineTo x="21528" y="21352"/>
                <wp:lineTo x="21528" y="0"/>
                <wp:lineTo x="0" y="0"/>
              </wp:wrapPolygon>
            </wp:wrapTight>
            <wp:docPr id="7" name="Picture 7" descr="C:\Users\Ra177043\AppData\Local\Microsoft\Windows\INetCache\Content.MSO\8585C68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a177043\AppData\Local\Microsoft\Windows\INetCache\Content.MSO\8585C683.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22700" cy="2216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167C1">
        <w:rPr>
          <w:b/>
        </w:rPr>
        <w:t>Patients who received Diagnostic Tests</w:t>
      </w:r>
      <w:r>
        <w:rPr>
          <w:b/>
        </w:rPr>
        <w:t xml:space="preserve">:  </w:t>
      </w:r>
      <w:r w:rsidRPr="008167C1">
        <w:rPr>
          <w:b/>
        </w:rPr>
        <w:drawing>
          <wp:anchor distT="0" distB="0" distL="114300" distR="114300" simplePos="0" relativeHeight="251689984" behindDoc="1" locked="0" layoutInCell="1" allowOverlap="1" wp14:anchorId="6FC630DD" wp14:editId="2F439CF3">
            <wp:simplePos x="0" y="0"/>
            <wp:positionH relativeFrom="column">
              <wp:posOffset>-6350</wp:posOffset>
            </wp:positionH>
            <wp:positionV relativeFrom="paragraph">
              <wp:posOffset>931545</wp:posOffset>
            </wp:positionV>
            <wp:extent cx="1974850" cy="602615"/>
            <wp:effectExtent l="0" t="0" r="6350" b="6985"/>
            <wp:wrapTight wrapText="bothSides">
              <wp:wrapPolygon edited="0">
                <wp:start x="0" y="0"/>
                <wp:lineTo x="0" y="21168"/>
                <wp:lineTo x="21461" y="21168"/>
                <wp:lineTo x="21461" y="0"/>
                <wp:lineTo x="0" y="0"/>
              </wp:wrapPolygon>
            </wp:wrapTight>
            <wp:docPr id="8" name="Picture 8" descr="C:\Users\Ra177043\AppData\Local\Microsoft\Windows\INetCache\Content.MSO\3190D8E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a177043\AppData\Local\Microsoft\Windows\INetCache\Content.MSO\3190D8ED.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74850" cy="602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167C1">
        <w:rPr>
          <w:b/>
        </w:rPr>
        <w:t xml:space="preserve"> </w:t>
      </w:r>
    </w:p>
    <w:p w14:paraId="19D4E444" w14:textId="693FCBE9" w:rsidR="00673B29" w:rsidRPr="00673B29" w:rsidRDefault="008167C1" w:rsidP="00CF38B8">
      <w:pPr>
        <w:spacing w:after="0" w:line="240" w:lineRule="auto"/>
        <w:ind w:firstLine="15840"/>
        <w:textAlignment w:val="baseline"/>
        <w:rPr>
          <w:rFonts w:ascii="Segoe UI" w:eastAsia="Times New Roman" w:hAnsi="Segoe UI" w:cs="Segoe UI"/>
          <w:sz w:val="18"/>
          <w:szCs w:val="18"/>
          <w:lang w:eastAsia="en-GB"/>
        </w:rPr>
      </w:pPr>
      <w:r>
        <w:rPr>
          <w:noProof/>
        </w:rPr>
        <w:lastRenderedPageBreak/>
        <mc:AlternateContent>
          <mc:Choice Requires="wps">
            <w:drawing>
              <wp:anchor distT="0" distB="0" distL="114300" distR="114300" simplePos="0" relativeHeight="251672576" behindDoc="1" locked="0" layoutInCell="1" allowOverlap="1" wp14:anchorId="2D377E5A" wp14:editId="5B9D65B3">
                <wp:simplePos x="0" y="0"/>
                <wp:positionH relativeFrom="column">
                  <wp:posOffset>2857500</wp:posOffset>
                </wp:positionH>
                <wp:positionV relativeFrom="paragraph">
                  <wp:posOffset>2590165</wp:posOffset>
                </wp:positionV>
                <wp:extent cx="272415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30244BD4" w14:textId="0D828595" w:rsidR="00866CB1" w:rsidRPr="00373AF3" w:rsidRDefault="00866CB1" w:rsidP="00866CB1">
                            <w:pPr>
                              <w:pStyle w:val="Caption"/>
                              <w:rPr>
                                <w:rFonts w:ascii="Calibri Light" w:eastAsia="Times New Roman" w:hAnsi="Calibri Light" w:cs="Calibri Light"/>
                                <w:color w:val="2E74B5"/>
                                <w:sz w:val="32"/>
                                <w:szCs w:val="32"/>
                              </w:rPr>
                            </w:pPr>
                            <w:r>
                              <w:t xml:space="preserve">Figure </w:t>
                            </w:r>
                            <w:r>
                              <w:fldChar w:fldCharType="begin"/>
                            </w:r>
                            <w:r>
                              <w:instrText xml:space="preserve"> SEQ Figure \* ARABIC </w:instrText>
                            </w:r>
                            <w:r>
                              <w:fldChar w:fldCharType="separate"/>
                            </w:r>
                            <w:r w:rsidR="008167C1">
                              <w:rPr>
                                <w:noProof/>
                              </w:rPr>
                              <w:t>10</w:t>
                            </w:r>
                            <w:r>
                              <w:fldChar w:fldCharType="end"/>
                            </w:r>
                            <w:r>
                              <w:t xml:space="preserve"> </w:t>
                            </w:r>
                            <w:proofErr w:type="gramStart"/>
                            <w:r>
                              <w:t>( Y</w:t>
                            </w:r>
                            <w:proofErr w:type="gramEnd"/>
                            <w:r>
                              <w:t>= number of patients in sample, X= presence or absence of urine sample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377E5A" id="Text Box 18" o:spid="_x0000_s1033" type="#_x0000_t202" style="position:absolute;left:0;text-align:left;margin-left:225pt;margin-top:203.95pt;width:214.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" stroked="f">
                <v:textbox style="mso-fit-shape-to-text:t" inset="0,0,0,0">
                  <w:txbxContent>
                    <w:p w14:paraId="30244BD4" w14:textId="0D828595" w:rsidR="00866CB1" w:rsidRPr="00373AF3" w:rsidRDefault="00866CB1" w:rsidP="00866CB1">
                      <w:pPr>
                        <w:pStyle w:val="Caption"/>
                        <w:rPr>
                          <w:rFonts w:ascii="Calibri Light" w:eastAsia="Times New Roman" w:hAnsi="Calibri Light" w:cs="Calibri Light"/>
                          <w:color w:val="2E74B5"/>
                          <w:sz w:val="32"/>
                          <w:szCs w:val="32"/>
                        </w:rPr>
                      </w:pPr>
                      <w:r>
                        <w:t xml:space="preserve">Figure </w:t>
                      </w:r>
                      <w:r>
                        <w:fldChar w:fldCharType="begin"/>
                      </w:r>
                      <w:r>
                        <w:instrText xml:space="preserve"> SEQ Figure \* ARABIC </w:instrText>
                      </w:r>
                      <w:r>
                        <w:fldChar w:fldCharType="separate"/>
                      </w:r>
                      <w:r w:rsidR="008167C1">
                        <w:rPr>
                          <w:noProof/>
                        </w:rPr>
                        <w:t>10</w:t>
                      </w:r>
                      <w:r>
                        <w:fldChar w:fldCharType="end"/>
                      </w:r>
                      <w:r>
                        <w:t xml:space="preserve"> </w:t>
                      </w:r>
                      <w:proofErr w:type="gramStart"/>
                      <w:r>
                        <w:t>( Y</w:t>
                      </w:r>
                      <w:proofErr w:type="gramEnd"/>
                      <w:r>
                        <w:t>= number of patients in sample, X= presence or absence of urine sample test)</w:t>
                      </w:r>
                    </w:p>
                  </w:txbxContent>
                </v:textbox>
                <w10:wrap type="tight"/>
              </v:shape>
            </w:pict>
          </mc:Fallback>
        </mc:AlternateContent>
      </w:r>
      <w:r w:rsidRPr="00673B29">
        <w:rPr>
          <w:noProof/>
          <w:lang w:eastAsia="en-GB"/>
        </w:rPr>
        <w:drawing>
          <wp:anchor distT="0" distB="0" distL="114300" distR="114300" simplePos="0" relativeHeight="251668480" behindDoc="1" locked="0" layoutInCell="1" allowOverlap="1" wp14:anchorId="510DCC61" wp14:editId="4326A10A">
            <wp:simplePos x="0" y="0"/>
            <wp:positionH relativeFrom="margin">
              <wp:posOffset>-171450</wp:posOffset>
            </wp:positionH>
            <wp:positionV relativeFrom="paragraph">
              <wp:posOffset>963930</wp:posOffset>
            </wp:positionV>
            <wp:extent cx="2381250" cy="565150"/>
            <wp:effectExtent l="0" t="0" r="0" b="6350"/>
            <wp:wrapTight wrapText="bothSides">
              <wp:wrapPolygon edited="0">
                <wp:start x="0" y="0"/>
                <wp:lineTo x="0" y="21115"/>
                <wp:lineTo x="21427" y="21115"/>
                <wp:lineTo x="21427" y="0"/>
                <wp:lineTo x="0" y="0"/>
              </wp:wrapPolygon>
            </wp:wrapTight>
            <wp:docPr id="6" name="Picture 6" descr="C:\Users\Ra177043\AppData\Local\Microsoft\Windows\INetCache\Content.MSO\6A68868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Ra177043\AppData\Local\Microsoft\Windows\INetCache\Content.MSO\6A688689.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81250" cy="565150"/>
                    </a:xfrm>
                    <a:prstGeom prst="rect">
                      <a:avLst/>
                    </a:prstGeom>
                    <a:noFill/>
                    <a:ln>
                      <a:noFill/>
                    </a:ln>
                  </pic:spPr>
                </pic:pic>
              </a:graphicData>
            </a:graphic>
          </wp:anchor>
        </w:drawing>
      </w:r>
      <w:r w:rsidRPr="00673B29">
        <w:rPr>
          <w:noProof/>
          <w:lang w:eastAsia="en-GB"/>
        </w:rPr>
        <w:drawing>
          <wp:anchor distT="0" distB="0" distL="114300" distR="114300" simplePos="0" relativeHeight="251667456" behindDoc="1" locked="0" layoutInCell="1" allowOverlap="1" wp14:anchorId="2BB45DE5" wp14:editId="48E63A1F">
            <wp:simplePos x="0" y="0"/>
            <wp:positionH relativeFrom="column">
              <wp:posOffset>2273300</wp:posOffset>
            </wp:positionH>
            <wp:positionV relativeFrom="paragraph">
              <wp:posOffset>44450</wp:posOffset>
            </wp:positionV>
            <wp:extent cx="3714750" cy="2266950"/>
            <wp:effectExtent l="0" t="0" r="0" b="0"/>
            <wp:wrapTight wrapText="bothSides">
              <wp:wrapPolygon edited="0">
                <wp:start x="0" y="0"/>
                <wp:lineTo x="0" y="21418"/>
                <wp:lineTo x="21489" y="21418"/>
                <wp:lineTo x="21489" y="0"/>
                <wp:lineTo x="0" y="0"/>
              </wp:wrapPolygon>
            </wp:wrapTight>
            <wp:docPr id="5" name="Picture 5" descr="C:\Users\Ra177043\AppData\Local\Microsoft\Windows\INetCache\Content.MSO\8C6B727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Ra177043\AppData\Local\Microsoft\Windows\INetCache\Content.MSO\8C6B727F.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14750" cy="2266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3B29" w:rsidRPr="00673B29">
        <w:rPr>
          <w:noProof/>
          <w:lang w:eastAsia="en-GB"/>
        </w:rPr>
        <w:drawing>
          <wp:inline distT="0" distB="0" distL="0" distR="0" wp14:anchorId="226CCADF" wp14:editId="42AF9E16">
            <wp:extent cx="3943350" cy="1809750"/>
            <wp:effectExtent l="0" t="0" r="0" b="0"/>
            <wp:docPr id="10" name="Picture 10" descr="C:\Users\Ra177043\AppData\Local\Microsoft\Windows\INetCache\Content.MSO\8E6B7B1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a177043\AppData\Local\Microsoft\Windows\INetCache\Content.MSO\8E6B7B11.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43350" cy="1809750"/>
                    </a:xfrm>
                    <a:prstGeom prst="rect">
                      <a:avLst/>
                    </a:prstGeom>
                    <a:noFill/>
                    <a:ln>
                      <a:noFill/>
                    </a:ln>
                  </pic:spPr>
                </pic:pic>
              </a:graphicData>
            </a:graphic>
          </wp:inline>
        </w:drawing>
      </w:r>
    </w:p>
    <w:p w14:paraId="1745BFE6" w14:textId="1DF3ACF5"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4332B9BB" w14:textId="2E818042"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4FACEF1B" w14:textId="48F34A9C" w:rsidR="00866CB1" w:rsidRDefault="00866CB1" w:rsidP="00866CB1">
      <w:pPr>
        <w:keepNext/>
        <w:spacing w:after="0" w:line="240" w:lineRule="auto"/>
        <w:textAlignment w:val="baseline"/>
      </w:pPr>
    </w:p>
    <w:p w14:paraId="0C0C0963" w14:textId="490BF823"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44D0D542" w14:textId="788D8BF9"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1A922AF5" w14:textId="5489BF4A"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7486B4A5" w14:textId="38431289" w:rsidR="00673B29" w:rsidRPr="00CF38B8" w:rsidRDefault="00673B29" w:rsidP="00673B29">
      <w:pPr>
        <w:spacing w:after="0" w:line="240" w:lineRule="auto"/>
        <w:textAlignment w:val="baseline"/>
        <w:rPr>
          <w:rStyle w:val="Heading1Char"/>
        </w:rPr>
      </w:pPr>
      <w:bookmarkStart w:id="13" w:name="_Toc166407164"/>
      <w:r w:rsidRPr="00CF38B8">
        <w:rPr>
          <w:rStyle w:val="Heading1Char"/>
        </w:rPr>
        <w:t>:</w:t>
      </w:r>
      <w:bookmarkEnd w:id="13"/>
      <w:r w:rsidRPr="00CF38B8">
        <w:rPr>
          <w:rStyle w:val="Heading1Char"/>
        </w:rPr>
        <w:t> </w:t>
      </w:r>
    </w:p>
    <w:p w14:paraId="6ECD0E42" w14:textId="0532A262" w:rsidR="00673B29" w:rsidRPr="00673B29" w:rsidRDefault="00673B29" w:rsidP="00673B29">
      <w:pPr>
        <w:spacing w:after="0" w:line="240" w:lineRule="auto"/>
        <w:ind w:firstLine="1440"/>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14935930" w14:textId="3F421AA5" w:rsidR="00866CB1" w:rsidRDefault="00866CB1">
      <w:pPr>
        <w:rPr>
          <w:rFonts w:ascii="Calibri Light" w:eastAsia="Times New Roman" w:hAnsi="Calibri Light" w:cs="Calibri Light"/>
          <w:color w:val="2E74B5"/>
          <w:sz w:val="32"/>
          <w:szCs w:val="32"/>
          <w:lang w:eastAsia="en-GB"/>
        </w:rPr>
      </w:pPr>
      <w:r>
        <w:rPr>
          <w:rFonts w:ascii="Calibri Light" w:eastAsia="Times New Roman" w:hAnsi="Calibri Light" w:cs="Calibri Light"/>
          <w:color w:val="2E74B5"/>
          <w:sz w:val="32"/>
          <w:szCs w:val="32"/>
          <w:lang w:eastAsia="en-GB"/>
        </w:rPr>
        <w:br w:type="page"/>
      </w:r>
    </w:p>
    <w:p w14:paraId="4BA8DE9B" w14:textId="7CBA5D1F" w:rsidR="00673B29" w:rsidRPr="00673B29" w:rsidRDefault="00673B29" w:rsidP="00CF38B8">
      <w:pPr>
        <w:pStyle w:val="Heading1"/>
        <w:rPr>
          <w:rFonts w:ascii="Segoe UI" w:eastAsia="Times New Roman" w:hAnsi="Segoe UI" w:cs="Segoe UI"/>
          <w:sz w:val="18"/>
          <w:szCs w:val="18"/>
          <w:lang w:eastAsia="en-GB"/>
        </w:rPr>
      </w:pPr>
      <w:bookmarkStart w:id="14" w:name="_Toc166407165"/>
      <w:r w:rsidRPr="00673B29">
        <w:rPr>
          <w:rFonts w:eastAsia="Times New Roman"/>
          <w:lang w:eastAsia="en-GB"/>
        </w:rPr>
        <w:lastRenderedPageBreak/>
        <w:t>Statistical Analysis:</w:t>
      </w:r>
      <w:bookmarkEnd w:id="14"/>
      <w:r w:rsidRPr="00673B29">
        <w:rPr>
          <w:rFonts w:eastAsia="Times New Roman"/>
          <w:lang w:eastAsia="en-GB"/>
        </w:rPr>
        <w:t>  </w:t>
      </w:r>
    </w:p>
    <w:p w14:paraId="2870B80D"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0751991A" w14:textId="77777777" w:rsidR="00673B29" w:rsidRPr="00673B29" w:rsidRDefault="00673B29" w:rsidP="00673B29">
      <w:pPr>
        <w:spacing w:after="0" w:line="240" w:lineRule="auto"/>
        <w:ind w:left="720"/>
        <w:jc w:val="center"/>
        <w:textAlignment w:val="baseline"/>
        <w:rPr>
          <w:rFonts w:ascii="Segoe UI" w:eastAsia="Times New Roman" w:hAnsi="Segoe UI" w:cs="Segoe UI"/>
          <w:sz w:val="18"/>
          <w:szCs w:val="18"/>
          <w:lang w:eastAsia="en-GB"/>
        </w:rPr>
      </w:pPr>
      <w:r w:rsidRPr="00673B29">
        <w:rPr>
          <w:rFonts w:ascii="Calibri" w:eastAsia="Times New Roman" w:hAnsi="Calibri" w:cs="Calibri"/>
          <w:b/>
          <w:bCs/>
          <w:lang w:eastAsia="en-GB"/>
        </w:rPr>
        <w:t>Hypothesis 1: Correlation of gender and UTI prevalence;</w:t>
      </w:r>
      <w:r w:rsidRPr="00673B29">
        <w:rPr>
          <w:rFonts w:ascii="Calibri" w:eastAsia="Times New Roman" w:hAnsi="Calibri" w:cs="Calibri"/>
          <w:lang w:eastAsia="en-GB"/>
        </w:rPr>
        <w:t> </w:t>
      </w:r>
    </w:p>
    <w:p w14:paraId="606B2DC5"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H0: There is no relationship between gender and diagnosis of UTI  </w:t>
      </w:r>
    </w:p>
    <w:p w14:paraId="0AC7C8AB"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HI: There is a positive relationship between gender and diagnosis of UTI </w:t>
      </w:r>
    </w:p>
    <w:p w14:paraId="2D6A0364"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5710E0CE"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This claim was tested using a correlation test and reports the Pearson Correlation coefficient.  The correlation attempts to explore the direction of the relationship, i.e. the relationship is positive or negative.  Interestingly the result -.084 indicate, there is weak negative correlation between gender and UTI diagnosis. The outcome is not statistically significant thereby the result is more likely to be random/occurring by chance.  Therefore, the null hypothesis is accepted and confirms a weak negative relationship where .514 (51%) of the variance may be explained by gender.  </w:t>
      </w:r>
    </w:p>
    <w:p w14:paraId="3D8D11A2"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Hypothesis 1: Female are more likely to suffer from lower UTI, rejected. </w:t>
      </w:r>
    </w:p>
    <w:p w14:paraId="67EA42AD"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25"/>
        <w:gridCol w:w="2535"/>
        <w:gridCol w:w="1350"/>
        <w:gridCol w:w="1755"/>
      </w:tblGrid>
      <w:tr w:rsidR="00673B29" w:rsidRPr="00673B29" w14:paraId="01C76BEC" w14:textId="77777777" w:rsidTr="00673B29">
        <w:trPr>
          <w:trHeight w:val="330"/>
        </w:trPr>
        <w:tc>
          <w:tcPr>
            <w:tcW w:w="7365" w:type="dxa"/>
            <w:gridSpan w:val="4"/>
            <w:tcBorders>
              <w:top w:val="nil"/>
              <w:left w:val="nil"/>
              <w:bottom w:val="nil"/>
              <w:right w:val="nil"/>
            </w:tcBorders>
            <w:shd w:val="clear" w:color="auto" w:fill="FFFFFF"/>
            <w:vAlign w:val="center"/>
            <w:hideMark/>
          </w:tcPr>
          <w:p w14:paraId="210CC3FC" w14:textId="77777777" w:rsidR="00673B29" w:rsidRPr="00673B29" w:rsidRDefault="00673B29" w:rsidP="00673B29">
            <w:pPr>
              <w:spacing w:after="0" w:line="240" w:lineRule="auto"/>
              <w:ind w:left="60" w:right="60"/>
              <w:jc w:val="center"/>
              <w:textAlignment w:val="baseline"/>
              <w:divId w:val="2038307884"/>
              <w:rPr>
                <w:rFonts w:ascii="Times New Roman" w:eastAsia="Times New Roman" w:hAnsi="Times New Roman" w:cs="Times New Roman"/>
                <w:sz w:val="24"/>
                <w:szCs w:val="24"/>
                <w:lang w:eastAsia="en-GB"/>
              </w:rPr>
            </w:pPr>
            <w:r w:rsidRPr="00673B29">
              <w:rPr>
                <w:rFonts w:ascii="Arial" w:eastAsia="Times New Roman" w:hAnsi="Arial" w:cs="Arial"/>
                <w:b/>
                <w:bCs/>
                <w:color w:val="010205"/>
                <w:sz w:val="28"/>
                <w:szCs w:val="28"/>
                <w:lang w:eastAsia="en-GB"/>
              </w:rPr>
              <w:t>Correlations</w:t>
            </w:r>
            <w:r w:rsidRPr="00673B29">
              <w:rPr>
                <w:rFonts w:ascii="Arial" w:eastAsia="Times New Roman" w:hAnsi="Arial" w:cs="Arial"/>
                <w:color w:val="010205"/>
                <w:sz w:val="28"/>
                <w:szCs w:val="28"/>
                <w:lang w:eastAsia="en-GB"/>
              </w:rPr>
              <w:t> </w:t>
            </w:r>
          </w:p>
        </w:tc>
      </w:tr>
      <w:tr w:rsidR="00673B29" w:rsidRPr="00673B29" w14:paraId="7051901F" w14:textId="77777777" w:rsidTr="00673B29">
        <w:trPr>
          <w:trHeight w:val="660"/>
        </w:trPr>
        <w:tc>
          <w:tcPr>
            <w:tcW w:w="4260" w:type="dxa"/>
            <w:gridSpan w:val="2"/>
            <w:tcBorders>
              <w:top w:val="nil"/>
              <w:left w:val="nil"/>
              <w:bottom w:val="single" w:sz="6" w:space="0" w:color="152935"/>
              <w:right w:val="nil"/>
            </w:tcBorders>
            <w:shd w:val="clear" w:color="auto" w:fill="FFFFFF"/>
            <w:vAlign w:val="bottom"/>
            <w:hideMark/>
          </w:tcPr>
          <w:p w14:paraId="5A83FA40" w14:textId="77777777" w:rsidR="00673B29" w:rsidRPr="00673B29" w:rsidRDefault="00673B29" w:rsidP="00673B29">
            <w:pPr>
              <w:spacing w:after="0" w:line="240" w:lineRule="auto"/>
              <w:textAlignment w:val="baseline"/>
              <w:rPr>
                <w:rFonts w:ascii="Times New Roman" w:eastAsia="Times New Roman" w:hAnsi="Times New Roman" w:cs="Times New Roman"/>
                <w:sz w:val="24"/>
                <w:szCs w:val="24"/>
                <w:lang w:eastAsia="en-GB"/>
              </w:rPr>
            </w:pPr>
            <w:r w:rsidRPr="00673B29">
              <w:rPr>
                <w:rFonts w:ascii="Times New Roman" w:eastAsia="Times New Roman" w:hAnsi="Times New Roman" w:cs="Times New Roman"/>
                <w:lang w:eastAsia="en-GB"/>
              </w:rPr>
              <w:t> </w:t>
            </w:r>
          </w:p>
        </w:tc>
        <w:tc>
          <w:tcPr>
            <w:tcW w:w="1350" w:type="dxa"/>
            <w:tcBorders>
              <w:top w:val="nil"/>
              <w:left w:val="nil"/>
              <w:bottom w:val="single" w:sz="6" w:space="0" w:color="152935"/>
              <w:right w:val="single" w:sz="6" w:space="0" w:color="E0E0E0"/>
            </w:tcBorders>
            <w:shd w:val="clear" w:color="auto" w:fill="FFFFFF"/>
            <w:vAlign w:val="bottom"/>
            <w:hideMark/>
          </w:tcPr>
          <w:p w14:paraId="142447F7" w14:textId="77777777" w:rsidR="00673B29" w:rsidRPr="00673B29" w:rsidRDefault="00673B29" w:rsidP="00673B2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Gender </w:t>
            </w:r>
          </w:p>
        </w:tc>
        <w:tc>
          <w:tcPr>
            <w:tcW w:w="1725" w:type="dxa"/>
            <w:tcBorders>
              <w:top w:val="nil"/>
              <w:left w:val="single" w:sz="6" w:space="0" w:color="E0E0E0"/>
              <w:bottom w:val="single" w:sz="6" w:space="0" w:color="152935"/>
              <w:right w:val="nil"/>
            </w:tcBorders>
            <w:shd w:val="clear" w:color="auto" w:fill="FFFFFF"/>
            <w:vAlign w:val="bottom"/>
            <w:hideMark/>
          </w:tcPr>
          <w:p w14:paraId="4EE989A0" w14:textId="77777777" w:rsidR="00673B29" w:rsidRPr="00673B29" w:rsidRDefault="00673B29" w:rsidP="00673B29">
            <w:pPr>
              <w:spacing w:after="0" w:line="240" w:lineRule="auto"/>
              <w:ind w:left="60" w:right="60"/>
              <w:jc w:val="center"/>
              <w:textAlignment w:val="baseline"/>
              <w:rPr>
                <w:rFonts w:ascii="Times New Roman" w:eastAsia="Times New Roman" w:hAnsi="Times New Roman" w:cs="Times New Roman"/>
                <w:sz w:val="24"/>
                <w:szCs w:val="24"/>
                <w:lang w:eastAsia="en-GB"/>
              </w:rPr>
            </w:pPr>
            <w:proofErr w:type="spellStart"/>
            <w:r w:rsidRPr="00673B29">
              <w:rPr>
                <w:rFonts w:ascii="Arial" w:eastAsia="Times New Roman" w:hAnsi="Arial" w:cs="Arial"/>
                <w:color w:val="264A60"/>
                <w:lang w:eastAsia="en-GB"/>
              </w:rPr>
              <w:t>UTIdiagnosis</w:t>
            </w:r>
            <w:proofErr w:type="spellEnd"/>
            <w:r w:rsidRPr="00673B29">
              <w:rPr>
                <w:rFonts w:ascii="Arial" w:eastAsia="Times New Roman" w:hAnsi="Arial" w:cs="Arial"/>
                <w:color w:val="264A60"/>
                <w:lang w:eastAsia="en-GB"/>
              </w:rPr>
              <w:t> </w:t>
            </w:r>
          </w:p>
        </w:tc>
      </w:tr>
      <w:tr w:rsidR="00673B29" w:rsidRPr="00673B29" w14:paraId="14FB1EB7" w14:textId="77777777" w:rsidTr="00673B29">
        <w:trPr>
          <w:trHeight w:val="660"/>
        </w:trPr>
        <w:tc>
          <w:tcPr>
            <w:tcW w:w="1725" w:type="dxa"/>
            <w:vMerge w:val="restart"/>
            <w:tcBorders>
              <w:top w:val="single" w:sz="6" w:space="0" w:color="152935"/>
              <w:left w:val="nil"/>
              <w:bottom w:val="nil"/>
              <w:right w:val="nil"/>
            </w:tcBorders>
            <w:shd w:val="clear" w:color="auto" w:fill="E0E0E0"/>
            <w:hideMark/>
          </w:tcPr>
          <w:p w14:paraId="0412DCAB"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Gender </w:t>
            </w:r>
          </w:p>
        </w:tc>
        <w:tc>
          <w:tcPr>
            <w:tcW w:w="2535" w:type="dxa"/>
            <w:tcBorders>
              <w:top w:val="single" w:sz="6" w:space="0" w:color="152935"/>
              <w:left w:val="nil"/>
              <w:bottom w:val="single" w:sz="6" w:space="0" w:color="AEAEAE"/>
              <w:right w:val="nil"/>
            </w:tcBorders>
            <w:shd w:val="clear" w:color="auto" w:fill="E0E0E0"/>
            <w:hideMark/>
          </w:tcPr>
          <w:p w14:paraId="62A832B5"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Pearson Correlation </w:t>
            </w:r>
          </w:p>
        </w:tc>
        <w:tc>
          <w:tcPr>
            <w:tcW w:w="1350" w:type="dxa"/>
            <w:tcBorders>
              <w:top w:val="single" w:sz="6" w:space="0" w:color="152935"/>
              <w:left w:val="nil"/>
              <w:bottom w:val="single" w:sz="6" w:space="0" w:color="AEAEAE"/>
              <w:right w:val="single" w:sz="6" w:space="0" w:color="E0E0E0"/>
            </w:tcBorders>
            <w:shd w:val="clear" w:color="auto" w:fill="F9F9FB"/>
            <w:hideMark/>
          </w:tcPr>
          <w:p w14:paraId="69AE387F"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1 </w:t>
            </w:r>
          </w:p>
        </w:tc>
        <w:tc>
          <w:tcPr>
            <w:tcW w:w="1725" w:type="dxa"/>
            <w:tcBorders>
              <w:top w:val="single" w:sz="6" w:space="0" w:color="152935"/>
              <w:left w:val="single" w:sz="6" w:space="0" w:color="E0E0E0"/>
              <w:bottom w:val="single" w:sz="6" w:space="0" w:color="AEAEAE"/>
              <w:right w:val="nil"/>
            </w:tcBorders>
            <w:shd w:val="clear" w:color="auto" w:fill="F9F9FB"/>
            <w:hideMark/>
          </w:tcPr>
          <w:p w14:paraId="5BBA4BCF"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-.084 </w:t>
            </w:r>
          </w:p>
        </w:tc>
      </w:tr>
      <w:tr w:rsidR="00673B29" w:rsidRPr="00673B29" w14:paraId="3603B288" w14:textId="77777777" w:rsidTr="00673B29">
        <w:trPr>
          <w:trHeight w:val="135"/>
        </w:trPr>
        <w:tc>
          <w:tcPr>
            <w:tcW w:w="0" w:type="auto"/>
            <w:vMerge/>
            <w:tcBorders>
              <w:top w:val="single" w:sz="6" w:space="0" w:color="152935"/>
              <w:left w:val="nil"/>
              <w:bottom w:val="nil"/>
              <w:right w:val="nil"/>
            </w:tcBorders>
            <w:shd w:val="clear" w:color="auto" w:fill="auto"/>
            <w:vAlign w:val="center"/>
            <w:hideMark/>
          </w:tcPr>
          <w:p w14:paraId="00D61625"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535" w:type="dxa"/>
            <w:tcBorders>
              <w:top w:val="single" w:sz="6" w:space="0" w:color="AEAEAE"/>
              <w:left w:val="nil"/>
              <w:bottom w:val="single" w:sz="6" w:space="0" w:color="AEAEAE"/>
              <w:right w:val="nil"/>
            </w:tcBorders>
            <w:shd w:val="clear" w:color="auto" w:fill="E0E0E0"/>
            <w:hideMark/>
          </w:tcPr>
          <w:p w14:paraId="301C3DBE"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Sig. (2-tailed) </w:t>
            </w:r>
          </w:p>
        </w:tc>
        <w:tc>
          <w:tcPr>
            <w:tcW w:w="1350" w:type="dxa"/>
            <w:tcBorders>
              <w:top w:val="single" w:sz="6" w:space="0" w:color="AEAEAE"/>
              <w:left w:val="nil"/>
              <w:bottom w:val="single" w:sz="6" w:space="0" w:color="AEAEAE"/>
              <w:right w:val="single" w:sz="6" w:space="0" w:color="E0E0E0"/>
            </w:tcBorders>
            <w:shd w:val="clear" w:color="auto" w:fill="F9F9FB"/>
            <w:vAlign w:val="center"/>
            <w:hideMark/>
          </w:tcPr>
          <w:p w14:paraId="4679739F" w14:textId="77777777" w:rsidR="00673B29" w:rsidRPr="00673B29" w:rsidRDefault="00673B29" w:rsidP="00673B29">
            <w:pPr>
              <w:spacing w:after="0" w:line="240" w:lineRule="auto"/>
              <w:textAlignment w:val="baseline"/>
              <w:rPr>
                <w:rFonts w:ascii="Times New Roman" w:eastAsia="Times New Roman" w:hAnsi="Times New Roman" w:cs="Times New Roman"/>
                <w:sz w:val="24"/>
                <w:szCs w:val="24"/>
                <w:lang w:eastAsia="en-GB"/>
              </w:rPr>
            </w:pPr>
            <w:r w:rsidRPr="00673B29">
              <w:rPr>
                <w:rFonts w:ascii="Times New Roman" w:eastAsia="Times New Roman" w:hAnsi="Times New Roman" w:cs="Times New Roman"/>
                <w:lang w:eastAsia="en-GB"/>
              </w:rPr>
              <w:t> </w:t>
            </w:r>
          </w:p>
        </w:tc>
        <w:tc>
          <w:tcPr>
            <w:tcW w:w="1725" w:type="dxa"/>
            <w:tcBorders>
              <w:top w:val="single" w:sz="6" w:space="0" w:color="AEAEAE"/>
              <w:left w:val="single" w:sz="6" w:space="0" w:color="E0E0E0"/>
              <w:bottom w:val="single" w:sz="6" w:space="0" w:color="AEAEAE"/>
              <w:right w:val="nil"/>
            </w:tcBorders>
            <w:shd w:val="clear" w:color="auto" w:fill="F9F9FB"/>
            <w:hideMark/>
          </w:tcPr>
          <w:p w14:paraId="3C5578AF"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.514 </w:t>
            </w:r>
          </w:p>
        </w:tc>
      </w:tr>
      <w:tr w:rsidR="00673B29" w:rsidRPr="00673B29" w14:paraId="5AA2523F" w14:textId="77777777" w:rsidTr="00673B29">
        <w:trPr>
          <w:trHeight w:val="135"/>
        </w:trPr>
        <w:tc>
          <w:tcPr>
            <w:tcW w:w="0" w:type="auto"/>
            <w:vMerge/>
            <w:tcBorders>
              <w:top w:val="single" w:sz="6" w:space="0" w:color="152935"/>
              <w:left w:val="nil"/>
              <w:bottom w:val="nil"/>
              <w:right w:val="nil"/>
            </w:tcBorders>
            <w:shd w:val="clear" w:color="auto" w:fill="auto"/>
            <w:vAlign w:val="center"/>
            <w:hideMark/>
          </w:tcPr>
          <w:p w14:paraId="46E4E6E5"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535" w:type="dxa"/>
            <w:tcBorders>
              <w:top w:val="single" w:sz="6" w:space="0" w:color="AEAEAE"/>
              <w:left w:val="nil"/>
              <w:bottom w:val="nil"/>
              <w:right w:val="nil"/>
            </w:tcBorders>
            <w:shd w:val="clear" w:color="auto" w:fill="E0E0E0"/>
            <w:hideMark/>
          </w:tcPr>
          <w:p w14:paraId="567AB0B6"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N </w:t>
            </w:r>
          </w:p>
        </w:tc>
        <w:tc>
          <w:tcPr>
            <w:tcW w:w="1350" w:type="dxa"/>
            <w:tcBorders>
              <w:top w:val="single" w:sz="6" w:space="0" w:color="AEAEAE"/>
              <w:left w:val="nil"/>
              <w:bottom w:val="nil"/>
              <w:right w:val="single" w:sz="6" w:space="0" w:color="E0E0E0"/>
            </w:tcBorders>
            <w:shd w:val="clear" w:color="auto" w:fill="F9F9FB"/>
            <w:hideMark/>
          </w:tcPr>
          <w:p w14:paraId="3BDA27EF"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c>
          <w:tcPr>
            <w:tcW w:w="1725" w:type="dxa"/>
            <w:tcBorders>
              <w:top w:val="single" w:sz="6" w:space="0" w:color="AEAEAE"/>
              <w:left w:val="single" w:sz="6" w:space="0" w:color="E0E0E0"/>
              <w:bottom w:val="nil"/>
              <w:right w:val="nil"/>
            </w:tcBorders>
            <w:shd w:val="clear" w:color="auto" w:fill="F9F9FB"/>
            <w:hideMark/>
          </w:tcPr>
          <w:p w14:paraId="3B3AD24B"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r>
      <w:tr w:rsidR="00673B29" w:rsidRPr="00673B29" w14:paraId="18DDFEB7" w14:textId="77777777" w:rsidTr="00673B29">
        <w:trPr>
          <w:trHeight w:val="660"/>
        </w:trPr>
        <w:tc>
          <w:tcPr>
            <w:tcW w:w="1725" w:type="dxa"/>
            <w:vMerge w:val="restart"/>
            <w:tcBorders>
              <w:top w:val="single" w:sz="6" w:space="0" w:color="AEAEAE"/>
              <w:left w:val="nil"/>
              <w:bottom w:val="single" w:sz="6" w:space="0" w:color="152935"/>
              <w:right w:val="nil"/>
            </w:tcBorders>
            <w:shd w:val="clear" w:color="auto" w:fill="E0E0E0"/>
            <w:hideMark/>
          </w:tcPr>
          <w:p w14:paraId="203A3446"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proofErr w:type="spellStart"/>
            <w:r w:rsidRPr="00673B29">
              <w:rPr>
                <w:rFonts w:ascii="Arial" w:eastAsia="Times New Roman" w:hAnsi="Arial" w:cs="Arial"/>
                <w:color w:val="264A60"/>
                <w:lang w:eastAsia="en-GB"/>
              </w:rPr>
              <w:t>UTIdiagnosis</w:t>
            </w:r>
            <w:proofErr w:type="spellEnd"/>
            <w:r w:rsidRPr="00673B29">
              <w:rPr>
                <w:rFonts w:ascii="Arial" w:eastAsia="Times New Roman" w:hAnsi="Arial" w:cs="Arial"/>
                <w:color w:val="264A60"/>
                <w:lang w:eastAsia="en-GB"/>
              </w:rPr>
              <w:t> </w:t>
            </w:r>
          </w:p>
        </w:tc>
        <w:tc>
          <w:tcPr>
            <w:tcW w:w="2535" w:type="dxa"/>
            <w:tcBorders>
              <w:top w:val="single" w:sz="6" w:space="0" w:color="AEAEAE"/>
              <w:left w:val="nil"/>
              <w:bottom w:val="single" w:sz="6" w:space="0" w:color="AEAEAE"/>
              <w:right w:val="nil"/>
            </w:tcBorders>
            <w:shd w:val="clear" w:color="auto" w:fill="E0E0E0"/>
            <w:hideMark/>
          </w:tcPr>
          <w:p w14:paraId="73F41ECB"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Pearson Correlation </w:t>
            </w:r>
          </w:p>
        </w:tc>
        <w:tc>
          <w:tcPr>
            <w:tcW w:w="1350" w:type="dxa"/>
            <w:tcBorders>
              <w:top w:val="single" w:sz="6" w:space="0" w:color="AEAEAE"/>
              <w:left w:val="nil"/>
              <w:bottom w:val="single" w:sz="6" w:space="0" w:color="AEAEAE"/>
              <w:right w:val="single" w:sz="6" w:space="0" w:color="E0E0E0"/>
            </w:tcBorders>
            <w:shd w:val="clear" w:color="auto" w:fill="F9F9FB"/>
            <w:hideMark/>
          </w:tcPr>
          <w:p w14:paraId="774E48E1"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-.084 </w:t>
            </w:r>
          </w:p>
        </w:tc>
        <w:tc>
          <w:tcPr>
            <w:tcW w:w="1725" w:type="dxa"/>
            <w:tcBorders>
              <w:top w:val="single" w:sz="6" w:space="0" w:color="AEAEAE"/>
              <w:left w:val="single" w:sz="6" w:space="0" w:color="E0E0E0"/>
              <w:bottom w:val="single" w:sz="6" w:space="0" w:color="AEAEAE"/>
              <w:right w:val="nil"/>
            </w:tcBorders>
            <w:shd w:val="clear" w:color="auto" w:fill="F9F9FB"/>
            <w:hideMark/>
          </w:tcPr>
          <w:p w14:paraId="114ED8C0"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1 </w:t>
            </w:r>
          </w:p>
        </w:tc>
      </w:tr>
      <w:tr w:rsidR="00673B29" w:rsidRPr="00673B29" w14:paraId="774DEADB" w14:textId="77777777" w:rsidTr="00673B29">
        <w:trPr>
          <w:trHeight w:val="135"/>
        </w:trPr>
        <w:tc>
          <w:tcPr>
            <w:tcW w:w="0" w:type="auto"/>
            <w:vMerge/>
            <w:tcBorders>
              <w:top w:val="single" w:sz="6" w:space="0" w:color="AEAEAE"/>
              <w:left w:val="nil"/>
              <w:bottom w:val="single" w:sz="6" w:space="0" w:color="152935"/>
              <w:right w:val="nil"/>
            </w:tcBorders>
            <w:shd w:val="clear" w:color="auto" w:fill="auto"/>
            <w:vAlign w:val="center"/>
            <w:hideMark/>
          </w:tcPr>
          <w:p w14:paraId="17817877"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535" w:type="dxa"/>
            <w:tcBorders>
              <w:top w:val="single" w:sz="6" w:space="0" w:color="AEAEAE"/>
              <w:left w:val="nil"/>
              <w:bottom w:val="single" w:sz="6" w:space="0" w:color="AEAEAE"/>
              <w:right w:val="nil"/>
            </w:tcBorders>
            <w:shd w:val="clear" w:color="auto" w:fill="E0E0E0"/>
            <w:hideMark/>
          </w:tcPr>
          <w:p w14:paraId="5CF739BB"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Sig. (2-tailed) </w:t>
            </w:r>
          </w:p>
        </w:tc>
        <w:tc>
          <w:tcPr>
            <w:tcW w:w="1350" w:type="dxa"/>
            <w:tcBorders>
              <w:top w:val="single" w:sz="6" w:space="0" w:color="AEAEAE"/>
              <w:left w:val="nil"/>
              <w:bottom w:val="single" w:sz="6" w:space="0" w:color="AEAEAE"/>
              <w:right w:val="single" w:sz="6" w:space="0" w:color="E0E0E0"/>
            </w:tcBorders>
            <w:shd w:val="clear" w:color="auto" w:fill="F9F9FB"/>
            <w:hideMark/>
          </w:tcPr>
          <w:p w14:paraId="136EA63C"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.514 </w:t>
            </w:r>
          </w:p>
        </w:tc>
        <w:tc>
          <w:tcPr>
            <w:tcW w:w="1725" w:type="dxa"/>
            <w:tcBorders>
              <w:top w:val="single" w:sz="6" w:space="0" w:color="AEAEAE"/>
              <w:left w:val="single" w:sz="6" w:space="0" w:color="E0E0E0"/>
              <w:bottom w:val="single" w:sz="6" w:space="0" w:color="AEAEAE"/>
              <w:right w:val="nil"/>
            </w:tcBorders>
            <w:shd w:val="clear" w:color="auto" w:fill="F9F9FB"/>
            <w:vAlign w:val="center"/>
            <w:hideMark/>
          </w:tcPr>
          <w:p w14:paraId="16EC0379" w14:textId="77777777" w:rsidR="00673B29" w:rsidRPr="00673B29" w:rsidRDefault="00673B29" w:rsidP="00673B29">
            <w:pPr>
              <w:spacing w:after="0" w:line="240" w:lineRule="auto"/>
              <w:textAlignment w:val="baseline"/>
              <w:rPr>
                <w:rFonts w:ascii="Times New Roman" w:eastAsia="Times New Roman" w:hAnsi="Times New Roman" w:cs="Times New Roman"/>
                <w:sz w:val="24"/>
                <w:szCs w:val="24"/>
                <w:lang w:eastAsia="en-GB"/>
              </w:rPr>
            </w:pPr>
            <w:r w:rsidRPr="00673B29">
              <w:rPr>
                <w:rFonts w:ascii="Times New Roman" w:eastAsia="Times New Roman" w:hAnsi="Times New Roman" w:cs="Times New Roman"/>
                <w:lang w:eastAsia="en-GB"/>
              </w:rPr>
              <w:t> </w:t>
            </w:r>
          </w:p>
        </w:tc>
      </w:tr>
      <w:tr w:rsidR="00673B29" w:rsidRPr="00673B29" w14:paraId="02EEA73C" w14:textId="77777777" w:rsidTr="00673B29">
        <w:trPr>
          <w:trHeight w:val="135"/>
        </w:trPr>
        <w:tc>
          <w:tcPr>
            <w:tcW w:w="0" w:type="auto"/>
            <w:vMerge/>
            <w:tcBorders>
              <w:top w:val="single" w:sz="6" w:space="0" w:color="AEAEAE"/>
              <w:left w:val="nil"/>
              <w:bottom w:val="single" w:sz="6" w:space="0" w:color="152935"/>
              <w:right w:val="nil"/>
            </w:tcBorders>
            <w:shd w:val="clear" w:color="auto" w:fill="auto"/>
            <w:vAlign w:val="center"/>
            <w:hideMark/>
          </w:tcPr>
          <w:p w14:paraId="0337D2B7"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535" w:type="dxa"/>
            <w:tcBorders>
              <w:top w:val="single" w:sz="6" w:space="0" w:color="AEAEAE"/>
              <w:left w:val="nil"/>
              <w:bottom w:val="single" w:sz="6" w:space="0" w:color="152935"/>
              <w:right w:val="nil"/>
            </w:tcBorders>
            <w:shd w:val="clear" w:color="auto" w:fill="E0E0E0"/>
            <w:hideMark/>
          </w:tcPr>
          <w:p w14:paraId="0F9B7367"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N </w:t>
            </w:r>
          </w:p>
        </w:tc>
        <w:tc>
          <w:tcPr>
            <w:tcW w:w="1350" w:type="dxa"/>
            <w:tcBorders>
              <w:top w:val="single" w:sz="6" w:space="0" w:color="AEAEAE"/>
              <w:left w:val="nil"/>
              <w:bottom w:val="single" w:sz="6" w:space="0" w:color="152935"/>
              <w:right w:val="single" w:sz="6" w:space="0" w:color="E0E0E0"/>
            </w:tcBorders>
            <w:shd w:val="clear" w:color="auto" w:fill="F9F9FB"/>
            <w:hideMark/>
          </w:tcPr>
          <w:p w14:paraId="59A6DD62"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c>
          <w:tcPr>
            <w:tcW w:w="1725" w:type="dxa"/>
            <w:tcBorders>
              <w:top w:val="single" w:sz="6" w:space="0" w:color="AEAEAE"/>
              <w:left w:val="single" w:sz="6" w:space="0" w:color="E0E0E0"/>
              <w:bottom w:val="single" w:sz="6" w:space="0" w:color="152935"/>
              <w:right w:val="nil"/>
            </w:tcBorders>
            <w:shd w:val="clear" w:color="auto" w:fill="F9F9FB"/>
            <w:hideMark/>
          </w:tcPr>
          <w:p w14:paraId="7187D476"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r>
    </w:tbl>
    <w:p w14:paraId="18925FB9" w14:textId="77777777" w:rsidR="00673B29" w:rsidRPr="00673B29" w:rsidRDefault="00673B29" w:rsidP="00673B29">
      <w:pPr>
        <w:spacing w:after="0" w:line="240" w:lineRule="auto"/>
        <w:ind w:firstLine="12240"/>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426EF528"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35BFCBCF" w14:textId="77777777" w:rsidR="00673B29" w:rsidRPr="00673B29" w:rsidRDefault="00673B29" w:rsidP="00673B29">
      <w:pPr>
        <w:spacing w:after="0" w:line="240" w:lineRule="auto"/>
        <w:jc w:val="center"/>
        <w:textAlignment w:val="baseline"/>
        <w:rPr>
          <w:rFonts w:ascii="Segoe UI" w:eastAsia="Times New Roman" w:hAnsi="Segoe UI" w:cs="Segoe UI"/>
          <w:sz w:val="18"/>
          <w:szCs w:val="18"/>
          <w:lang w:eastAsia="en-GB"/>
        </w:rPr>
      </w:pPr>
      <w:r w:rsidRPr="00673B29">
        <w:rPr>
          <w:rFonts w:ascii="Calibri" w:eastAsia="Times New Roman" w:hAnsi="Calibri" w:cs="Calibri"/>
          <w:b/>
          <w:bCs/>
          <w:lang w:eastAsia="en-GB"/>
        </w:rPr>
        <w:t>Hypothesis 2: Indwelling catheter is more likely to cause a UTI.</w:t>
      </w:r>
      <w:r w:rsidRPr="00673B29">
        <w:rPr>
          <w:rFonts w:ascii="Calibri" w:eastAsia="Times New Roman" w:hAnsi="Calibri" w:cs="Calibri"/>
          <w:lang w:eastAsia="en-GB"/>
        </w:rPr>
        <w:t> </w:t>
      </w:r>
    </w:p>
    <w:p w14:paraId="19FA9A98"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3E097D41"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H0: There is no association between Catheter in situ and UTI diagnosis </w:t>
      </w:r>
    </w:p>
    <w:p w14:paraId="0D16FDC2"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H1: There is a positive relationship between Cather in situ and UTI diagnosis (variables are related to each other) </w:t>
      </w:r>
    </w:p>
    <w:p w14:paraId="4611B878"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30DEA7E4"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b/>
          <w:bCs/>
          <w:color w:val="000000"/>
          <w:lang w:eastAsia="en-GB"/>
        </w:rPr>
        <w:t>Interpretation of result:</w:t>
      </w:r>
      <w:r w:rsidRPr="00673B29">
        <w:rPr>
          <w:rFonts w:ascii="Calibri" w:eastAsia="Times New Roman" w:hAnsi="Calibri" w:cs="Calibri"/>
          <w:color w:val="000000"/>
          <w:lang w:eastAsia="en-GB"/>
        </w:rPr>
        <w:t xml:space="preserve"> Kendal’s tau-b correlation was run to determine if there is a relation between prevalence of UTI and indwelling catheter for a data set of 62 patients. </w:t>
      </w:r>
    </w:p>
    <w:p w14:paraId="68DB9690"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The result -.092 shows a week negative correlation, and the result is statistically not significant.  </w:t>
      </w:r>
    </w:p>
    <w:p w14:paraId="4B2C101E"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xml:space="preserve">Consequently we will accept the null hypothesis and Hypothesis 2: Indwelling catheter is more likely with a UTI diagnosis, is rejected. , </w:t>
      </w:r>
      <w:proofErr w:type="spellStart"/>
      <w:r w:rsidRPr="00673B29">
        <w:rPr>
          <w:rFonts w:ascii="Calibri" w:eastAsia="Times New Roman" w:hAnsi="Calibri" w:cs="Calibri"/>
          <w:color w:val="000000"/>
          <w:lang w:eastAsia="en-GB"/>
        </w:rPr>
        <w:t>r</w:t>
      </w:r>
      <w:r w:rsidRPr="00673B29">
        <w:rPr>
          <w:rFonts w:ascii="Calibri" w:eastAsia="Times New Roman" w:hAnsi="Calibri" w:cs="Calibri"/>
          <w:color w:val="000000"/>
          <w:sz w:val="17"/>
          <w:szCs w:val="17"/>
          <w:vertAlign w:val="superscript"/>
          <w:lang w:eastAsia="en-GB"/>
        </w:rPr>
        <w:t>s</w:t>
      </w:r>
      <w:proofErr w:type="spellEnd"/>
      <w:r w:rsidRPr="00673B29">
        <w:rPr>
          <w:rFonts w:ascii="Calibri" w:eastAsia="Times New Roman" w:hAnsi="Calibri" w:cs="Calibri"/>
          <w:color w:val="000000"/>
          <w:lang w:eastAsia="en-GB"/>
        </w:rPr>
        <w:t>(62) = -.092, p &lt;.05, and this is explained by .458 (46%) variance with the points along the line , where 46% of the variation in UTI diagnosis occurs for reasons that are unconnected with that variable's relationship to Cather in situ. </w:t>
      </w:r>
    </w:p>
    <w:p w14:paraId="747327C3"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70"/>
        <w:gridCol w:w="1620"/>
        <w:gridCol w:w="2460"/>
        <w:gridCol w:w="1620"/>
        <w:gridCol w:w="1515"/>
      </w:tblGrid>
      <w:tr w:rsidR="00673B29" w:rsidRPr="00673B29" w14:paraId="45C2B1C4" w14:textId="77777777" w:rsidTr="00673B29">
        <w:trPr>
          <w:trHeight w:val="300"/>
        </w:trPr>
        <w:tc>
          <w:tcPr>
            <w:tcW w:w="8985" w:type="dxa"/>
            <w:gridSpan w:val="5"/>
            <w:tcBorders>
              <w:top w:val="nil"/>
              <w:left w:val="nil"/>
              <w:bottom w:val="nil"/>
              <w:right w:val="nil"/>
            </w:tcBorders>
            <w:shd w:val="clear" w:color="auto" w:fill="FFFFFF"/>
            <w:vAlign w:val="center"/>
            <w:hideMark/>
          </w:tcPr>
          <w:p w14:paraId="00C94E04" w14:textId="77777777" w:rsidR="00673B29" w:rsidRPr="00673B29" w:rsidRDefault="00673B29" w:rsidP="00673B29">
            <w:pPr>
              <w:spacing w:after="0" w:line="240" w:lineRule="auto"/>
              <w:ind w:left="60" w:right="60"/>
              <w:jc w:val="center"/>
              <w:textAlignment w:val="baseline"/>
              <w:divId w:val="1757898607"/>
              <w:rPr>
                <w:rFonts w:ascii="Times New Roman" w:eastAsia="Times New Roman" w:hAnsi="Times New Roman" w:cs="Times New Roman"/>
                <w:sz w:val="24"/>
                <w:szCs w:val="24"/>
                <w:lang w:eastAsia="en-GB"/>
              </w:rPr>
            </w:pPr>
            <w:r w:rsidRPr="00673B29">
              <w:rPr>
                <w:rFonts w:ascii="Arial" w:eastAsia="Times New Roman" w:hAnsi="Arial" w:cs="Arial"/>
                <w:b/>
                <w:bCs/>
                <w:color w:val="010205"/>
                <w:sz w:val="28"/>
                <w:szCs w:val="28"/>
                <w:lang w:eastAsia="en-GB"/>
              </w:rPr>
              <w:t>Correlations</w:t>
            </w:r>
            <w:r w:rsidRPr="00673B29">
              <w:rPr>
                <w:rFonts w:ascii="Arial" w:eastAsia="Times New Roman" w:hAnsi="Arial" w:cs="Arial"/>
                <w:color w:val="010205"/>
                <w:sz w:val="28"/>
                <w:szCs w:val="28"/>
                <w:lang w:eastAsia="en-GB"/>
              </w:rPr>
              <w:t> </w:t>
            </w:r>
          </w:p>
        </w:tc>
      </w:tr>
      <w:tr w:rsidR="00673B29" w:rsidRPr="00673B29" w14:paraId="1104F157" w14:textId="77777777" w:rsidTr="00673B29">
        <w:trPr>
          <w:trHeight w:val="300"/>
        </w:trPr>
        <w:tc>
          <w:tcPr>
            <w:tcW w:w="5850" w:type="dxa"/>
            <w:gridSpan w:val="3"/>
            <w:tcBorders>
              <w:top w:val="nil"/>
              <w:left w:val="nil"/>
              <w:bottom w:val="single" w:sz="6" w:space="0" w:color="152935"/>
              <w:right w:val="nil"/>
            </w:tcBorders>
            <w:shd w:val="clear" w:color="auto" w:fill="FFFFFF"/>
            <w:vAlign w:val="bottom"/>
            <w:hideMark/>
          </w:tcPr>
          <w:p w14:paraId="592A7C87" w14:textId="77777777" w:rsidR="00673B29" w:rsidRPr="00673B29" w:rsidRDefault="00673B29" w:rsidP="00673B29">
            <w:pPr>
              <w:spacing w:after="0" w:line="240" w:lineRule="auto"/>
              <w:textAlignment w:val="baseline"/>
              <w:rPr>
                <w:rFonts w:ascii="Times New Roman" w:eastAsia="Times New Roman" w:hAnsi="Times New Roman" w:cs="Times New Roman"/>
                <w:sz w:val="24"/>
                <w:szCs w:val="24"/>
                <w:lang w:eastAsia="en-GB"/>
              </w:rPr>
            </w:pPr>
            <w:r w:rsidRPr="00673B29">
              <w:rPr>
                <w:rFonts w:ascii="Times New Roman" w:eastAsia="Times New Roman" w:hAnsi="Times New Roman" w:cs="Times New Roman"/>
                <w:lang w:eastAsia="en-GB"/>
              </w:rPr>
              <w:t> </w:t>
            </w:r>
          </w:p>
        </w:tc>
        <w:tc>
          <w:tcPr>
            <w:tcW w:w="1620" w:type="dxa"/>
            <w:tcBorders>
              <w:top w:val="nil"/>
              <w:left w:val="nil"/>
              <w:bottom w:val="single" w:sz="6" w:space="0" w:color="152935"/>
              <w:right w:val="single" w:sz="6" w:space="0" w:color="E0E0E0"/>
            </w:tcBorders>
            <w:shd w:val="clear" w:color="auto" w:fill="FFFFFF"/>
            <w:vAlign w:val="bottom"/>
            <w:hideMark/>
          </w:tcPr>
          <w:p w14:paraId="4DF8218E" w14:textId="77777777" w:rsidR="00673B29" w:rsidRPr="00673B29" w:rsidRDefault="00673B29" w:rsidP="00673B2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Catheter in situ </w:t>
            </w:r>
          </w:p>
        </w:tc>
        <w:tc>
          <w:tcPr>
            <w:tcW w:w="1515" w:type="dxa"/>
            <w:tcBorders>
              <w:top w:val="nil"/>
              <w:left w:val="single" w:sz="6" w:space="0" w:color="E0E0E0"/>
              <w:bottom w:val="single" w:sz="6" w:space="0" w:color="152935"/>
              <w:right w:val="nil"/>
            </w:tcBorders>
            <w:shd w:val="clear" w:color="auto" w:fill="FFFFFF"/>
            <w:vAlign w:val="bottom"/>
            <w:hideMark/>
          </w:tcPr>
          <w:p w14:paraId="432C2E9C" w14:textId="77777777" w:rsidR="00673B29" w:rsidRPr="00673B29" w:rsidRDefault="00673B29" w:rsidP="00673B2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UTI Diagnosis </w:t>
            </w:r>
          </w:p>
        </w:tc>
      </w:tr>
      <w:tr w:rsidR="00673B29" w:rsidRPr="00673B29" w14:paraId="7AAC36BC" w14:textId="77777777" w:rsidTr="00673B29">
        <w:trPr>
          <w:trHeight w:val="300"/>
        </w:trPr>
        <w:tc>
          <w:tcPr>
            <w:tcW w:w="1770" w:type="dxa"/>
            <w:vMerge w:val="restart"/>
            <w:tcBorders>
              <w:top w:val="single" w:sz="6" w:space="0" w:color="152935"/>
              <w:left w:val="nil"/>
              <w:bottom w:val="single" w:sz="6" w:space="0" w:color="152935"/>
              <w:right w:val="nil"/>
            </w:tcBorders>
            <w:shd w:val="clear" w:color="auto" w:fill="E0E0E0"/>
            <w:hideMark/>
          </w:tcPr>
          <w:p w14:paraId="05AB41D8"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 xml:space="preserve">Kendall's </w:t>
            </w:r>
            <w:proofErr w:type="spellStart"/>
            <w:r w:rsidRPr="00673B29">
              <w:rPr>
                <w:rFonts w:ascii="Arial" w:eastAsia="Times New Roman" w:hAnsi="Arial" w:cs="Arial"/>
                <w:color w:val="264A60"/>
                <w:lang w:eastAsia="en-GB"/>
              </w:rPr>
              <w:t>tau_b</w:t>
            </w:r>
            <w:proofErr w:type="spellEnd"/>
            <w:r w:rsidRPr="00673B29">
              <w:rPr>
                <w:rFonts w:ascii="Arial" w:eastAsia="Times New Roman" w:hAnsi="Arial" w:cs="Arial"/>
                <w:color w:val="264A60"/>
                <w:lang w:eastAsia="en-GB"/>
              </w:rPr>
              <w:t> </w:t>
            </w:r>
          </w:p>
        </w:tc>
        <w:tc>
          <w:tcPr>
            <w:tcW w:w="1620" w:type="dxa"/>
            <w:vMerge w:val="restart"/>
            <w:tcBorders>
              <w:top w:val="single" w:sz="6" w:space="0" w:color="152935"/>
              <w:left w:val="nil"/>
              <w:bottom w:val="nil"/>
              <w:right w:val="nil"/>
            </w:tcBorders>
            <w:shd w:val="clear" w:color="auto" w:fill="E0E0E0"/>
            <w:hideMark/>
          </w:tcPr>
          <w:p w14:paraId="1609A788"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proofErr w:type="spellStart"/>
            <w:r w:rsidRPr="00673B29">
              <w:rPr>
                <w:rFonts w:ascii="Arial" w:eastAsia="Times New Roman" w:hAnsi="Arial" w:cs="Arial"/>
                <w:color w:val="264A60"/>
                <w:lang w:eastAsia="en-GB"/>
              </w:rPr>
              <w:t>Catheterinsitu</w:t>
            </w:r>
            <w:proofErr w:type="spellEnd"/>
            <w:r w:rsidRPr="00673B29">
              <w:rPr>
                <w:rFonts w:ascii="Arial" w:eastAsia="Times New Roman" w:hAnsi="Arial" w:cs="Arial"/>
                <w:color w:val="264A60"/>
                <w:lang w:eastAsia="en-GB"/>
              </w:rPr>
              <w:t> </w:t>
            </w:r>
          </w:p>
        </w:tc>
        <w:tc>
          <w:tcPr>
            <w:tcW w:w="2445" w:type="dxa"/>
            <w:tcBorders>
              <w:top w:val="single" w:sz="6" w:space="0" w:color="152935"/>
              <w:left w:val="nil"/>
              <w:bottom w:val="single" w:sz="6" w:space="0" w:color="AEAEAE"/>
              <w:right w:val="nil"/>
            </w:tcBorders>
            <w:shd w:val="clear" w:color="auto" w:fill="E0E0E0"/>
            <w:hideMark/>
          </w:tcPr>
          <w:p w14:paraId="0B6CB865"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Correlation Coefficient </w:t>
            </w:r>
          </w:p>
        </w:tc>
        <w:tc>
          <w:tcPr>
            <w:tcW w:w="1620" w:type="dxa"/>
            <w:tcBorders>
              <w:top w:val="single" w:sz="6" w:space="0" w:color="152935"/>
              <w:left w:val="nil"/>
              <w:bottom w:val="single" w:sz="6" w:space="0" w:color="AEAEAE"/>
              <w:right w:val="single" w:sz="6" w:space="0" w:color="E0E0E0"/>
            </w:tcBorders>
            <w:shd w:val="clear" w:color="auto" w:fill="F9F9FB"/>
            <w:hideMark/>
          </w:tcPr>
          <w:p w14:paraId="64EA9FB4"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1.000 </w:t>
            </w:r>
          </w:p>
        </w:tc>
        <w:tc>
          <w:tcPr>
            <w:tcW w:w="1515" w:type="dxa"/>
            <w:tcBorders>
              <w:top w:val="single" w:sz="6" w:space="0" w:color="152935"/>
              <w:left w:val="single" w:sz="6" w:space="0" w:color="E0E0E0"/>
              <w:bottom w:val="single" w:sz="6" w:space="0" w:color="AEAEAE"/>
              <w:right w:val="nil"/>
            </w:tcBorders>
            <w:shd w:val="clear" w:color="auto" w:fill="F9F9FB"/>
            <w:hideMark/>
          </w:tcPr>
          <w:p w14:paraId="17FDB241"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-.092 </w:t>
            </w:r>
          </w:p>
        </w:tc>
      </w:tr>
      <w:tr w:rsidR="00673B29" w:rsidRPr="00673B29" w14:paraId="53212DDB" w14:textId="77777777" w:rsidTr="00673B29">
        <w:trPr>
          <w:trHeight w:val="300"/>
        </w:trPr>
        <w:tc>
          <w:tcPr>
            <w:tcW w:w="0" w:type="auto"/>
            <w:vMerge/>
            <w:tcBorders>
              <w:top w:val="single" w:sz="6" w:space="0" w:color="152935"/>
              <w:left w:val="nil"/>
              <w:bottom w:val="single" w:sz="6" w:space="0" w:color="152935"/>
              <w:right w:val="nil"/>
            </w:tcBorders>
            <w:shd w:val="clear" w:color="auto" w:fill="auto"/>
            <w:vAlign w:val="center"/>
            <w:hideMark/>
          </w:tcPr>
          <w:p w14:paraId="3BBCC34F"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152935"/>
              <w:left w:val="nil"/>
              <w:bottom w:val="nil"/>
              <w:right w:val="nil"/>
            </w:tcBorders>
            <w:shd w:val="clear" w:color="auto" w:fill="auto"/>
            <w:vAlign w:val="center"/>
            <w:hideMark/>
          </w:tcPr>
          <w:p w14:paraId="539D6EA9"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445" w:type="dxa"/>
            <w:tcBorders>
              <w:top w:val="single" w:sz="6" w:space="0" w:color="AEAEAE"/>
              <w:left w:val="nil"/>
              <w:bottom w:val="single" w:sz="6" w:space="0" w:color="AEAEAE"/>
              <w:right w:val="nil"/>
            </w:tcBorders>
            <w:shd w:val="clear" w:color="auto" w:fill="E0E0E0"/>
            <w:hideMark/>
          </w:tcPr>
          <w:p w14:paraId="59AB35BD"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Sig. (2-tailed) </w:t>
            </w:r>
          </w:p>
        </w:tc>
        <w:tc>
          <w:tcPr>
            <w:tcW w:w="1620" w:type="dxa"/>
            <w:tcBorders>
              <w:top w:val="single" w:sz="6" w:space="0" w:color="AEAEAE"/>
              <w:left w:val="nil"/>
              <w:bottom w:val="single" w:sz="6" w:space="0" w:color="AEAEAE"/>
              <w:right w:val="single" w:sz="6" w:space="0" w:color="E0E0E0"/>
            </w:tcBorders>
            <w:shd w:val="clear" w:color="auto" w:fill="F9F9FB"/>
            <w:hideMark/>
          </w:tcPr>
          <w:p w14:paraId="18398687"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 </w:t>
            </w:r>
          </w:p>
        </w:tc>
        <w:tc>
          <w:tcPr>
            <w:tcW w:w="1515" w:type="dxa"/>
            <w:tcBorders>
              <w:top w:val="single" w:sz="6" w:space="0" w:color="AEAEAE"/>
              <w:left w:val="single" w:sz="6" w:space="0" w:color="E0E0E0"/>
              <w:bottom w:val="single" w:sz="6" w:space="0" w:color="AEAEAE"/>
              <w:right w:val="nil"/>
            </w:tcBorders>
            <w:shd w:val="clear" w:color="auto" w:fill="F9F9FB"/>
            <w:hideMark/>
          </w:tcPr>
          <w:p w14:paraId="71EAADF9"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.458 </w:t>
            </w:r>
          </w:p>
        </w:tc>
      </w:tr>
      <w:tr w:rsidR="00673B29" w:rsidRPr="00673B29" w14:paraId="41A6B54E" w14:textId="77777777" w:rsidTr="00673B29">
        <w:trPr>
          <w:trHeight w:val="300"/>
        </w:trPr>
        <w:tc>
          <w:tcPr>
            <w:tcW w:w="0" w:type="auto"/>
            <w:vMerge/>
            <w:tcBorders>
              <w:top w:val="single" w:sz="6" w:space="0" w:color="152935"/>
              <w:left w:val="nil"/>
              <w:bottom w:val="single" w:sz="6" w:space="0" w:color="152935"/>
              <w:right w:val="nil"/>
            </w:tcBorders>
            <w:shd w:val="clear" w:color="auto" w:fill="auto"/>
            <w:vAlign w:val="center"/>
            <w:hideMark/>
          </w:tcPr>
          <w:p w14:paraId="3AE902E6"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152935"/>
              <w:left w:val="nil"/>
              <w:bottom w:val="nil"/>
              <w:right w:val="nil"/>
            </w:tcBorders>
            <w:shd w:val="clear" w:color="auto" w:fill="auto"/>
            <w:vAlign w:val="center"/>
            <w:hideMark/>
          </w:tcPr>
          <w:p w14:paraId="18211151"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445" w:type="dxa"/>
            <w:tcBorders>
              <w:top w:val="single" w:sz="6" w:space="0" w:color="AEAEAE"/>
              <w:left w:val="nil"/>
              <w:bottom w:val="nil"/>
              <w:right w:val="nil"/>
            </w:tcBorders>
            <w:shd w:val="clear" w:color="auto" w:fill="E0E0E0"/>
            <w:hideMark/>
          </w:tcPr>
          <w:p w14:paraId="47A20925"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N </w:t>
            </w:r>
          </w:p>
        </w:tc>
        <w:tc>
          <w:tcPr>
            <w:tcW w:w="1620" w:type="dxa"/>
            <w:tcBorders>
              <w:top w:val="single" w:sz="6" w:space="0" w:color="AEAEAE"/>
              <w:left w:val="nil"/>
              <w:bottom w:val="nil"/>
              <w:right w:val="single" w:sz="6" w:space="0" w:color="E0E0E0"/>
            </w:tcBorders>
            <w:shd w:val="clear" w:color="auto" w:fill="F9F9FB"/>
            <w:hideMark/>
          </w:tcPr>
          <w:p w14:paraId="2E45BD8A"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c>
          <w:tcPr>
            <w:tcW w:w="1515" w:type="dxa"/>
            <w:tcBorders>
              <w:top w:val="single" w:sz="6" w:space="0" w:color="AEAEAE"/>
              <w:left w:val="single" w:sz="6" w:space="0" w:color="E0E0E0"/>
              <w:bottom w:val="nil"/>
              <w:right w:val="nil"/>
            </w:tcBorders>
            <w:shd w:val="clear" w:color="auto" w:fill="F9F9FB"/>
            <w:hideMark/>
          </w:tcPr>
          <w:p w14:paraId="44851C97"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r>
      <w:tr w:rsidR="00673B29" w:rsidRPr="00673B29" w14:paraId="2FD24DC0" w14:textId="77777777" w:rsidTr="00673B29">
        <w:trPr>
          <w:trHeight w:val="300"/>
        </w:trPr>
        <w:tc>
          <w:tcPr>
            <w:tcW w:w="0" w:type="auto"/>
            <w:vMerge/>
            <w:tcBorders>
              <w:top w:val="single" w:sz="6" w:space="0" w:color="152935"/>
              <w:left w:val="nil"/>
              <w:bottom w:val="single" w:sz="6" w:space="0" w:color="152935"/>
              <w:right w:val="nil"/>
            </w:tcBorders>
            <w:shd w:val="clear" w:color="auto" w:fill="auto"/>
            <w:vAlign w:val="center"/>
            <w:hideMark/>
          </w:tcPr>
          <w:p w14:paraId="3386531E"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1620" w:type="dxa"/>
            <w:vMerge w:val="restart"/>
            <w:tcBorders>
              <w:top w:val="single" w:sz="6" w:space="0" w:color="AEAEAE"/>
              <w:left w:val="nil"/>
              <w:bottom w:val="single" w:sz="6" w:space="0" w:color="152935"/>
              <w:right w:val="nil"/>
            </w:tcBorders>
            <w:shd w:val="clear" w:color="auto" w:fill="E0E0E0"/>
            <w:hideMark/>
          </w:tcPr>
          <w:p w14:paraId="432F8150"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proofErr w:type="spellStart"/>
            <w:r w:rsidRPr="00673B29">
              <w:rPr>
                <w:rFonts w:ascii="Arial" w:eastAsia="Times New Roman" w:hAnsi="Arial" w:cs="Arial"/>
                <w:color w:val="264A60"/>
                <w:lang w:eastAsia="en-GB"/>
              </w:rPr>
              <w:t>UTIdiagnosis</w:t>
            </w:r>
            <w:proofErr w:type="spellEnd"/>
            <w:r w:rsidRPr="00673B29">
              <w:rPr>
                <w:rFonts w:ascii="Arial" w:eastAsia="Times New Roman" w:hAnsi="Arial" w:cs="Arial"/>
                <w:color w:val="264A60"/>
                <w:lang w:eastAsia="en-GB"/>
              </w:rPr>
              <w:t> </w:t>
            </w:r>
          </w:p>
        </w:tc>
        <w:tc>
          <w:tcPr>
            <w:tcW w:w="2445" w:type="dxa"/>
            <w:tcBorders>
              <w:top w:val="single" w:sz="6" w:space="0" w:color="AEAEAE"/>
              <w:left w:val="nil"/>
              <w:bottom w:val="single" w:sz="6" w:space="0" w:color="AEAEAE"/>
              <w:right w:val="nil"/>
            </w:tcBorders>
            <w:shd w:val="clear" w:color="auto" w:fill="E0E0E0"/>
            <w:hideMark/>
          </w:tcPr>
          <w:p w14:paraId="1080A49F"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Correlation Coefficient </w:t>
            </w:r>
          </w:p>
        </w:tc>
        <w:tc>
          <w:tcPr>
            <w:tcW w:w="1620" w:type="dxa"/>
            <w:tcBorders>
              <w:top w:val="single" w:sz="6" w:space="0" w:color="AEAEAE"/>
              <w:left w:val="nil"/>
              <w:bottom w:val="single" w:sz="6" w:space="0" w:color="AEAEAE"/>
              <w:right w:val="single" w:sz="6" w:space="0" w:color="E0E0E0"/>
            </w:tcBorders>
            <w:shd w:val="clear" w:color="auto" w:fill="F9F9FB"/>
            <w:hideMark/>
          </w:tcPr>
          <w:p w14:paraId="323810F9"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-.092 </w:t>
            </w:r>
          </w:p>
        </w:tc>
        <w:tc>
          <w:tcPr>
            <w:tcW w:w="1515" w:type="dxa"/>
            <w:tcBorders>
              <w:top w:val="single" w:sz="6" w:space="0" w:color="AEAEAE"/>
              <w:left w:val="single" w:sz="6" w:space="0" w:color="E0E0E0"/>
              <w:bottom w:val="single" w:sz="6" w:space="0" w:color="AEAEAE"/>
              <w:right w:val="nil"/>
            </w:tcBorders>
            <w:shd w:val="clear" w:color="auto" w:fill="F9F9FB"/>
            <w:hideMark/>
          </w:tcPr>
          <w:p w14:paraId="2BEFF68D"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1.000 </w:t>
            </w:r>
          </w:p>
        </w:tc>
      </w:tr>
      <w:tr w:rsidR="00673B29" w:rsidRPr="00673B29" w14:paraId="2BCD637D" w14:textId="77777777" w:rsidTr="00673B29">
        <w:trPr>
          <w:trHeight w:val="300"/>
        </w:trPr>
        <w:tc>
          <w:tcPr>
            <w:tcW w:w="0" w:type="auto"/>
            <w:vMerge/>
            <w:tcBorders>
              <w:top w:val="single" w:sz="6" w:space="0" w:color="152935"/>
              <w:left w:val="nil"/>
              <w:bottom w:val="single" w:sz="6" w:space="0" w:color="152935"/>
              <w:right w:val="nil"/>
            </w:tcBorders>
            <w:shd w:val="clear" w:color="auto" w:fill="auto"/>
            <w:vAlign w:val="center"/>
            <w:hideMark/>
          </w:tcPr>
          <w:p w14:paraId="31FD8004"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EAEAE"/>
              <w:left w:val="nil"/>
              <w:bottom w:val="single" w:sz="6" w:space="0" w:color="152935"/>
              <w:right w:val="nil"/>
            </w:tcBorders>
            <w:shd w:val="clear" w:color="auto" w:fill="auto"/>
            <w:vAlign w:val="center"/>
            <w:hideMark/>
          </w:tcPr>
          <w:p w14:paraId="6524D4F2"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445" w:type="dxa"/>
            <w:tcBorders>
              <w:top w:val="single" w:sz="6" w:space="0" w:color="AEAEAE"/>
              <w:left w:val="nil"/>
              <w:bottom w:val="single" w:sz="6" w:space="0" w:color="AEAEAE"/>
              <w:right w:val="nil"/>
            </w:tcBorders>
            <w:shd w:val="clear" w:color="auto" w:fill="E0E0E0"/>
            <w:hideMark/>
          </w:tcPr>
          <w:p w14:paraId="510A2A4B"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Sig. (2-tailed) </w:t>
            </w:r>
          </w:p>
        </w:tc>
        <w:tc>
          <w:tcPr>
            <w:tcW w:w="1620" w:type="dxa"/>
            <w:tcBorders>
              <w:top w:val="single" w:sz="6" w:space="0" w:color="AEAEAE"/>
              <w:left w:val="nil"/>
              <w:bottom w:val="single" w:sz="6" w:space="0" w:color="AEAEAE"/>
              <w:right w:val="single" w:sz="6" w:space="0" w:color="E0E0E0"/>
            </w:tcBorders>
            <w:shd w:val="clear" w:color="auto" w:fill="F9F9FB"/>
            <w:hideMark/>
          </w:tcPr>
          <w:p w14:paraId="0E056C0C"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.458 </w:t>
            </w:r>
          </w:p>
        </w:tc>
        <w:tc>
          <w:tcPr>
            <w:tcW w:w="1515" w:type="dxa"/>
            <w:tcBorders>
              <w:top w:val="single" w:sz="6" w:space="0" w:color="AEAEAE"/>
              <w:left w:val="single" w:sz="6" w:space="0" w:color="E0E0E0"/>
              <w:bottom w:val="single" w:sz="6" w:space="0" w:color="AEAEAE"/>
              <w:right w:val="nil"/>
            </w:tcBorders>
            <w:shd w:val="clear" w:color="auto" w:fill="F9F9FB"/>
            <w:hideMark/>
          </w:tcPr>
          <w:p w14:paraId="010EB1F3"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 </w:t>
            </w:r>
          </w:p>
        </w:tc>
      </w:tr>
      <w:tr w:rsidR="00673B29" w:rsidRPr="00673B29" w14:paraId="0ACF06D3" w14:textId="77777777" w:rsidTr="00673B29">
        <w:trPr>
          <w:trHeight w:val="300"/>
        </w:trPr>
        <w:tc>
          <w:tcPr>
            <w:tcW w:w="0" w:type="auto"/>
            <w:vMerge/>
            <w:tcBorders>
              <w:top w:val="single" w:sz="6" w:space="0" w:color="152935"/>
              <w:left w:val="nil"/>
              <w:bottom w:val="single" w:sz="6" w:space="0" w:color="152935"/>
              <w:right w:val="nil"/>
            </w:tcBorders>
            <w:shd w:val="clear" w:color="auto" w:fill="auto"/>
            <w:vAlign w:val="center"/>
            <w:hideMark/>
          </w:tcPr>
          <w:p w14:paraId="016E6C56"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EAEAE"/>
              <w:left w:val="nil"/>
              <w:bottom w:val="single" w:sz="6" w:space="0" w:color="152935"/>
              <w:right w:val="nil"/>
            </w:tcBorders>
            <w:shd w:val="clear" w:color="auto" w:fill="auto"/>
            <w:vAlign w:val="center"/>
            <w:hideMark/>
          </w:tcPr>
          <w:p w14:paraId="043EC785"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445" w:type="dxa"/>
            <w:tcBorders>
              <w:top w:val="single" w:sz="6" w:space="0" w:color="AEAEAE"/>
              <w:left w:val="nil"/>
              <w:bottom w:val="single" w:sz="6" w:space="0" w:color="152935"/>
              <w:right w:val="nil"/>
            </w:tcBorders>
            <w:shd w:val="clear" w:color="auto" w:fill="E0E0E0"/>
            <w:hideMark/>
          </w:tcPr>
          <w:p w14:paraId="7778F1D9"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N </w:t>
            </w:r>
          </w:p>
        </w:tc>
        <w:tc>
          <w:tcPr>
            <w:tcW w:w="1620" w:type="dxa"/>
            <w:tcBorders>
              <w:top w:val="single" w:sz="6" w:space="0" w:color="AEAEAE"/>
              <w:left w:val="nil"/>
              <w:bottom w:val="single" w:sz="6" w:space="0" w:color="152935"/>
              <w:right w:val="single" w:sz="6" w:space="0" w:color="E0E0E0"/>
            </w:tcBorders>
            <w:shd w:val="clear" w:color="auto" w:fill="F9F9FB"/>
            <w:hideMark/>
          </w:tcPr>
          <w:p w14:paraId="75E30C2F"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c>
          <w:tcPr>
            <w:tcW w:w="1515" w:type="dxa"/>
            <w:tcBorders>
              <w:top w:val="single" w:sz="6" w:space="0" w:color="AEAEAE"/>
              <w:left w:val="single" w:sz="6" w:space="0" w:color="E0E0E0"/>
              <w:bottom w:val="single" w:sz="6" w:space="0" w:color="152935"/>
              <w:right w:val="nil"/>
            </w:tcBorders>
            <w:shd w:val="clear" w:color="auto" w:fill="F9F9FB"/>
            <w:hideMark/>
          </w:tcPr>
          <w:p w14:paraId="2257511A"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r>
    </w:tbl>
    <w:p w14:paraId="43457EDB"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5C2065DB"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61F07BA4" w14:textId="77777777" w:rsidR="00673B29" w:rsidRPr="00673B29" w:rsidRDefault="00673B29" w:rsidP="00673B29">
      <w:pPr>
        <w:spacing w:after="0" w:line="240" w:lineRule="auto"/>
        <w:jc w:val="center"/>
        <w:textAlignment w:val="baseline"/>
        <w:rPr>
          <w:rFonts w:ascii="Segoe UI" w:eastAsia="Times New Roman" w:hAnsi="Segoe UI" w:cs="Segoe UI"/>
          <w:sz w:val="18"/>
          <w:szCs w:val="18"/>
          <w:lang w:eastAsia="en-GB"/>
        </w:rPr>
      </w:pPr>
      <w:r w:rsidRPr="00673B29">
        <w:rPr>
          <w:rFonts w:ascii="Calibri" w:eastAsia="Times New Roman" w:hAnsi="Calibri" w:cs="Calibri"/>
          <w:b/>
          <w:bCs/>
          <w:color w:val="0D0D0D"/>
          <w:lang w:eastAsia="en-GB"/>
        </w:rPr>
        <w:t>Hypothesis 3: Use of diagnostic test is associated with appropriate antibiotic prescribing.</w:t>
      </w:r>
      <w:r w:rsidRPr="00673B29">
        <w:rPr>
          <w:rFonts w:ascii="Calibri" w:eastAsia="Times New Roman" w:hAnsi="Calibri" w:cs="Calibri"/>
          <w:color w:val="0D0D0D"/>
          <w:lang w:eastAsia="en-GB"/>
        </w:rPr>
        <w:t> </w:t>
      </w:r>
    </w:p>
    <w:p w14:paraId="61C430CC"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H0: Use of diagnostic test does not lead to appropriate antibiotic prescribing (they are not related to each other) </w:t>
      </w:r>
    </w:p>
    <w:p w14:paraId="3E90E35E"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xml:space="preserve">H1: There is a positive relationship between the </w:t>
      </w:r>
      <w:proofErr w:type="gramStart"/>
      <w:r w:rsidRPr="00673B29">
        <w:rPr>
          <w:rFonts w:ascii="Calibri" w:eastAsia="Times New Roman" w:hAnsi="Calibri" w:cs="Calibri"/>
          <w:color w:val="000000"/>
          <w:lang w:eastAsia="en-GB"/>
        </w:rPr>
        <w:t>use</w:t>
      </w:r>
      <w:proofErr w:type="gramEnd"/>
      <w:r w:rsidRPr="00673B29">
        <w:rPr>
          <w:rFonts w:ascii="Calibri" w:eastAsia="Times New Roman" w:hAnsi="Calibri" w:cs="Calibri"/>
          <w:color w:val="000000"/>
          <w:lang w:eastAsia="en-GB"/>
        </w:rPr>
        <w:t xml:space="preserve"> of diagnostic test leading to appropriate antibiotic prescribing. </w:t>
      </w:r>
    </w:p>
    <w:p w14:paraId="576F5E25"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b/>
          <w:bCs/>
          <w:color w:val="000000"/>
          <w:lang w:eastAsia="en-GB"/>
        </w:rPr>
        <w:t>Interpretation of results: </w:t>
      </w:r>
      <w:r w:rsidRPr="00673B29">
        <w:rPr>
          <w:rFonts w:ascii="Calibri" w:eastAsia="Times New Roman" w:hAnsi="Calibri" w:cs="Calibri"/>
          <w:color w:val="000000"/>
          <w:lang w:eastAsia="en-GB"/>
        </w:rPr>
        <w:t> </w:t>
      </w:r>
    </w:p>
    <w:p w14:paraId="667B98D7"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xml:space="preserve">Pearson correlation was performed on data of 62 patients who suffered with UTI (urinary tract infection) to evaluate a relationship between the use of a diagnostic test and appropriate antibiotic prescription. The result .242 shows low positive relationship, and the </w:t>
      </w:r>
      <w:r w:rsidRPr="00673B29">
        <w:rPr>
          <w:rFonts w:ascii="Calibri" w:eastAsia="Times New Roman" w:hAnsi="Calibri" w:cs="Calibri"/>
          <w:color w:val="000000"/>
          <w:shd w:val="clear" w:color="auto" w:fill="FFFFFF"/>
          <w:lang w:eastAsia="en-GB"/>
        </w:rPr>
        <w:t xml:space="preserve">p-value associated with the correlation is </w:t>
      </w:r>
      <w:r w:rsidRPr="00673B29">
        <w:rPr>
          <w:rFonts w:ascii="Calibri" w:eastAsia="Times New Roman" w:hAnsi="Calibri" w:cs="Calibri"/>
          <w:color w:val="000000"/>
          <w:lang w:eastAsia="en-GB"/>
        </w:rPr>
        <w:t xml:space="preserve">.058 which is not statistically significant. It is almost statistically significant. </w:t>
      </w:r>
      <w:r w:rsidRPr="00673B29">
        <w:rPr>
          <w:rFonts w:ascii="Calibri" w:eastAsia="Times New Roman" w:hAnsi="Calibri" w:cs="Calibri"/>
          <w:b/>
          <w:bCs/>
          <w:color w:val="000000"/>
          <w:lang w:eastAsia="en-GB"/>
        </w:rPr>
        <w:t>Therefore,</w:t>
      </w:r>
      <w:r w:rsidRPr="00673B29">
        <w:rPr>
          <w:rFonts w:ascii="Calibri" w:eastAsia="Times New Roman" w:hAnsi="Calibri" w:cs="Calibri"/>
          <w:color w:val="000000"/>
          <w:lang w:eastAsia="en-GB"/>
        </w:rPr>
        <w:t xml:space="preserve"> </w:t>
      </w:r>
      <w:r w:rsidRPr="00673B29">
        <w:rPr>
          <w:rFonts w:ascii="Calibri" w:eastAsia="Times New Roman" w:hAnsi="Calibri" w:cs="Calibri"/>
          <w:b/>
          <w:bCs/>
          <w:color w:val="000000"/>
          <w:lang w:eastAsia="en-GB"/>
        </w:rPr>
        <w:t>hypothesis 3: Use of diagnostic test leads to appropriate antibiotic prescribing, rejected.</w:t>
      </w:r>
      <w:r w:rsidRPr="00673B29">
        <w:rPr>
          <w:rFonts w:ascii="Calibri" w:eastAsia="Times New Roman" w:hAnsi="Calibri" w:cs="Calibri"/>
          <w:color w:val="000000"/>
          <w:lang w:eastAsia="en-GB"/>
        </w:rPr>
        <w:t> </w:t>
      </w:r>
    </w:p>
    <w:p w14:paraId="2EA3636C"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4D29EE9D"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50"/>
        <w:gridCol w:w="2220"/>
        <w:gridCol w:w="1695"/>
        <w:gridCol w:w="1725"/>
      </w:tblGrid>
      <w:tr w:rsidR="00673B29" w:rsidRPr="00673B29" w14:paraId="7CF34244" w14:textId="77777777" w:rsidTr="00673B29">
        <w:trPr>
          <w:trHeight w:val="300"/>
        </w:trPr>
        <w:tc>
          <w:tcPr>
            <w:tcW w:w="8490" w:type="dxa"/>
            <w:gridSpan w:val="4"/>
            <w:tcBorders>
              <w:top w:val="nil"/>
              <w:left w:val="nil"/>
              <w:bottom w:val="nil"/>
              <w:right w:val="nil"/>
            </w:tcBorders>
            <w:shd w:val="clear" w:color="auto" w:fill="FFFFFF"/>
            <w:vAlign w:val="center"/>
            <w:hideMark/>
          </w:tcPr>
          <w:p w14:paraId="5CB3E8B5" w14:textId="77777777" w:rsidR="00673B29" w:rsidRPr="00673B29" w:rsidRDefault="00673B29" w:rsidP="00673B29">
            <w:pPr>
              <w:spacing w:after="0" w:line="240" w:lineRule="auto"/>
              <w:ind w:left="60" w:right="60"/>
              <w:jc w:val="center"/>
              <w:textAlignment w:val="baseline"/>
              <w:divId w:val="1946040458"/>
              <w:rPr>
                <w:rFonts w:ascii="Times New Roman" w:eastAsia="Times New Roman" w:hAnsi="Times New Roman" w:cs="Times New Roman"/>
                <w:sz w:val="24"/>
                <w:szCs w:val="24"/>
                <w:lang w:eastAsia="en-GB"/>
              </w:rPr>
            </w:pPr>
            <w:r w:rsidRPr="00673B29">
              <w:rPr>
                <w:rFonts w:ascii="Arial" w:eastAsia="Times New Roman" w:hAnsi="Arial" w:cs="Arial"/>
                <w:b/>
                <w:bCs/>
                <w:color w:val="010205"/>
                <w:sz w:val="28"/>
                <w:szCs w:val="28"/>
                <w:lang w:eastAsia="en-GB"/>
              </w:rPr>
              <w:t>Correlations</w:t>
            </w:r>
            <w:r w:rsidRPr="00673B29">
              <w:rPr>
                <w:rFonts w:ascii="Arial" w:eastAsia="Times New Roman" w:hAnsi="Arial" w:cs="Arial"/>
                <w:color w:val="010205"/>
                <w:sz w:val="28"/>
                <w:szCs w:val="28"/>
                <w:lang w:eastAsia="en-GB"/>
              </w:rPr>
              <w:t> </w:t>
            </w:r>
          </w:p>
        </w:tc>
      </w:tr>
      <w:tr w:rsidR="00673B29" w:rsidRPr="00673B29" w14:paraId="6B3F0000" w14:textId="77777777" w:rsidTr="00673B29">
        <w:trPr>
          <w:trHeight w:val="300"/>
        </w:trPr>
        <w:tc>
          <w:tcPr>
            <w:tcW w:w="5070" w:type="dxa"/>
            <w:gridSpan w:val="2"/>
            <w:tcBorders>
              <w:top w:val="nil"/>
              <w:left w:val="nil"/>
              <w:bottom w:val="single" w:sz="6" w:space="0" w:color="152935"/>
              <w:right w:val="nil"/>
            </w:tcBorders>
            <w:shd w:val="clear" w:color="auto" w:fill="FFFFFF"/>
            <w:vAlign w:val="bottom"/>
            <w:hideMark/>
          </w:tcPr>
          <w:p w14:paraId="1B4214BB" w14:textId="77777777" w:rsidR="00673B29" w:rsidRPr="00673B29" w:rsidRDefault="00673B29" w:rsidP="00673B29">
            <w:pPr>
              <w:spacing w:after="0" w:line="240" w:lineRule="auto"/>
              <w:textAlignment w:val="baseline"/>
              <w:rPr>
                <w:rFonts w:ascii="Times New Roman" w:eastAsia="Times New Roman" w:hAnsi="Times New Roman" w:cs="Times New Roman"/>
                <w:sz w:val="24"/>
                <w:szCs w:val="24"/>
                <w:lang w:eastAsia="en-GB"/>
              </w:rPr>
            </w:pPr>
            <w:r w:rsidRPr="00673B29">
              <w:rPr>
                <w:rFonts w:ascii="Times New Roman" w:eastAsia="Times New Roman" w:hAnsi="Times New Roman" w:cs="Times New Roman"/>
                <w:lang w:eastAsia="en-GB"/>
              </w:rPr>
              <w:t> </w:t>
            </w:r>
          </w:p>
        </w:tc>
        <w:tc>
          <w:tcPr>
            <w:tcW w:w="1695" w:type="dxa"/>
            <w:tcBorders>
              <w:top w:val="nil"/>
              <w:left w:val="nil"/>
              <w:bottom w:val="single" w:sz="6" w:space="0" w:color="152935"/>
              <w:right w:val="single" w:sz="6" w:space="0" w:color="E0E0E0"/>
            </w:tcBorders>
            <w:shd w:val="clear" w:color="auto" w:fill="FFFFFF"/>
            <w:vAlign w:val="bottom"/>
            <w:hideMark/>
          </w:tcPr>
          <w:p w14:paraId="5121FE4F" w14:textId="77777777" w:rsidR="00673B29" w:rsidRPr="00673B29" w:rsidRDefault="00673B29" w:rsidP="00673B2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Diagnostic tests </w:t>
            </w:r>
          </w:p>
        </w:tc>
        <w:tc>
          <w:tcPr>
            <w:tcW w:w="1695" w:type="dxa"/>
            <w:tcBorders>
              <w:top w:val="nil"/>
              <w:left w:val="single" w:sz="6" w:space="0" w:color="E0E0E0"/>
              <w:bottom w:val="single" w:sz="6" w:space="0" w:color="152935"/>
              <w:right w:val="nil"/>
            </w:tcBorders>
            <w:shd w:val="clear" w:color="auto" w:fill="FFFFFF"/>
            <w:vAlign w:val="bottom"/>
            <w:hideMark/>
          </w:tcPr>
          <w:p w14:paraId="2025F544" w14:textId="77777777" w:rsidR="00673B29" w:rsidRPr="00673B29" w:rsidRDefault="00673B29" w:rsidP="00673B2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Appropriate Antibacterial </w:t>
            </w:r>
          </w:p>
        </w:tc>
      </w:tr>
      <w:tr w:rsidR="00673B29" w:rsidRPr="00673B29" w14:paraId="776FE2FC" w14:textId="77777777" w:rsidTr="00673B29">
        <w:trPr>
          <w:trHeight w:val="300"/>
        </w:trPr>
        <w:tc>
          <w:tcPr>
            <w:tcW w:w="2850" w:type="dxa"/>
            <w:vMerge w:val="restart"/>
            <w:tcBorders>
              <w:top w:val="single" w:sz="6" w:space="0" w:color="152935"/>
              <w:left w:val="nil"/>
              <w:bottom w:val="nil"/>
              <w:right w:val="nil"/>
            </w:tcBorders>
            <w:shd w:val="clear" w:color="auto" w:fill="E0E0E0"/>
            <w:hideMark/>
          </w:tcPr>
          <w:p w14:paraId="6AEFF915"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Diagnostic tests </w:t>
            </w:r>
          </w:p>
        </w:tc>
        <w:tc>
          <w:tcPr>
            <w:tcW w:w="2205" w:type="dxa"/>
            <w:tcBorders>
              <w:top w:val="single" w:sz="6" w:space="0" w:color="152935"/>
              <w:left w:val="nil"/>
              <w:bottom w:val="single" w:sz="6" w:space="0" w:color="AEAEAE"/>
              <w:right w:val="nil"/>
            </w:tcBorders>
            <w:shd w:val="clear" w:color="auto" w:fill="E0E0E0"/>
            <w:hideMark/>
          </w:tcPr>
          <w:p w14:paraId="133388DA"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Pearson Correlation </w:t>
            </w:r>
          </w:p>
        </w:tc>
        <w:tc>
          <w:tcPr>
            <w:tcW w:w="1695" w:type="dxa"/>
            <w:tcBorders>
              <w:top w:val="single" w:sz="6" w:space="0" w:color="152935"/>
              <w:left w:val="nil"/>
              <w:bottom w:val="single" w:sz="6" w:space="0" w:color="AEAEAE"/>
              <w:right w:val="single" w:sz="6" w:space="0" w:color="E0E0E0"/>
            </w:tcBorders>
            <w:shd w:val="clear" w:color="auto" w:fill="F9F9FB"/>
            <w:hideMark/>
          </w:tcPr>
          <w:p w14:paraId="3B15CE2A"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1 </w:t>
            </w:r>
          </w:p>
        </w:tc>
        <w:tc>
          <w:tcPr>
            <w:tcW w:w="1695" w:type="dxa"/>
            <w:tcBorders>
              <w:top w:val="single" w:sz="6" w:space="0" w:color="152935"/>
              <w:left w:val="single" w:sz="6" w:space="0" w:color="E0E0E0"/>
              <w:bottom w:val="single" w:sz="6" w:space="0" w:color="AEAEAE"/>
              <w:right w:val="nil"/>
            </w:tcBorders>
            <w:shd w:val="clear" w:color="auto" w:fill="F9F9FB"/>
            <w:hideMark/>
          </w:tcPr>
          <w:p w14:paraId="4E92F939"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.242 </w:t>
            </w:r>
          </w:p>
        </w:tc>
      </w:tr>
      <w:tr w:rsidR="00673B29" w:rsidRPr="00673B29" w14:paraId="1F2830D2" w14:textId="77777777" w:rsidTr="00673B29">
        <w:trPr>
          <w:trHeight w:val="300"/>
        </w:trPr>
        <w:tc>
          <w:tcPr>
            <w:tcW w:w="0" w:type="auto"/>
            <w:vMerge/>
            <w:tcBorders>
              <w:top w:val="single" w:sz="6" w:space="0" w:color="152935"/>
              <w:left w:val="nil"/>
              <w:bottom w:val="nil"/>
              <w:right w:val="nil"/>
            </w:tcBorders>
            <w:shd w:val="clear" w:color="auto" w:fill="auto"/>
            <w:vAlign w:val="center"/>
            <w:hideMark/>
          </w:tcPr>
          <w:p w14:paraId="1A63D13D"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205" w:type="dxa"/>
            <w:tcBorders>
              <w:top w:val="single" w:sz="6" w:space="0" w:color="AEAEAE"/>
              <w:left w:val="nil"/>
              <w:bottom w:val="single" w:sz="6" w:space="0" w:color="AEAEAE"/>
              <w:right w:val="nil"/>
            </w:tcBorders>
            <w:shd w:val="clear" w:color="auto" w:fill="E0E0E0"/>
            <w:hideMark/>
          </w:tcPr>
          <w:p w14:paraId="025ED606"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Sig. (2-tailed) </w:t>
            </w:r>
          </w:p>
        </w:tc>
        <w:tc>
          <w:tcPr>
            <w:tcW w:w="1695" w:type="dxa"/>
            <w:tcBorders>
              <w:top w:val="single" w:sz="6" w:space="0" w:color="AEAEAE"/>
              <w:left w:val="nil"/>
              <w:bottom w:val="single" w:sz="6" w:space="0" w:color="AEAEAE"/>
              <w:right w:val="single" w:sz="6" w:space="0" w:color="E0E0E0"/>
            </w:tcBorders>
            <w:shd w:val="clear" w:color="auto" w:fill="F9F9FB"/>
            <w:vAlign w:val="center"/>
            <w:hideMark/>
          </w:tcPr>
          <w:p w14:paraId="0B4554E3" w14:textId="77777777" w:rsidR="00673B29" w:rsidRPr="00673B29" w:rsidRDefault="00673B29" w:rsidP="00673B29">
            <w:pPr>
              <w:spacing w:after="0" w:line="240" w:lineRule="auto"/>
              <w:textAlignment w:val="baseline"/>
              <w:rPr>
                <w:rFonts w:ascii="Times New Roman" w:eastAsia="Times New Roman" w:hAnsi="Times New Roman" w:cs="Times New Roman"/>
                <w:sz w:val="24"/>
                <w:szCs w:val="24"/>
                <w:lang w:eastAsia="en-GB"/>
              </w:rPr>
            </w:pPr>
            <w:r w:rsidRPr="00673B29">
              <w:rPr>
                <w:rFonts w:ascii="Times New Roman" w:eastAsia="Times New Roman" w:hAnsi="Times New Roman" w:cs="Times New Roman"/>
                <w:lang w:eastAsia="en-GB"/>
              </w:rPr>
              <w:t> </w:t>
            </w:r>
          </w:p>
        </w:tc>
        <w:tc>
          <w:tcPr>
            <w:tcW w:w="1695" w:type="dxa"/>
            <w:tcBorders>
              <w:top w:val="single" w:sz="6" w:space="0" w:color="AEAEAE"/>
              <w:left w:val="single" w:sz="6" w:space="0" w:color="E0E0E0"/>
              <w:bottom w:val="single" w:sz="6" w:space="0" w:color="AEAEAE"/>
              <w:right w:val="nil"/>
            </w:tcBorders>
            <w:shd w:val="clear" w:color="auto" w:fill="F9F9FB"/>
            <w:hideMark/>
          </w:tcPr>
          <w:p w14:paraId="7DD63E7D"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.058 </w:t>
            </w:r>
          </w:p>
        </w:tc>
      </w:tr>
      <w:tr w:rsidR="00673B29" w:rsidRPr="00673B29" w14:paraId="1D26126D" w14:textId="77777777" w:rsidTr="00673B29">
        <w:trPr>
          <w:trHeight w:val="300"/>
        </w:trPr>
        <w:tc>
          <w:tcPr>
            <w:tcW w:w="0" w:type="auto"/>
            <w:vMerge/>
            <w:tcBorders>
              <w:top w:val="single" w:sz="6" w:space="0" w:color="152935"/>
              <w:left w:val="nil"/>
              <w:bottom w:val="nil"/>
              <w:right w:val="nil"/>
            </w:tcBorders>
            <w:shd w:val="clear" w:color="auto" w:fill="auto"/>
            <w:vAlign w:val="center"/>
            <w:hideMark/>
          </w:tcPr>
          <w:p w14:paraId="63E5B6BD"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205" w:type="dxa"/>
            <w:tcBorders>
              <w:top w:val="single" w:sz="6" w:space="0" w:color="AEAEAE"/>
              <w:left w:val="nil"/>
              <w:bottom w:val="nil"/>
              <w:right w:val="nil"/>
            </w:tcBorders>
            <w:shd w:val="clear" w:color="auto" w:fill="E0E0E0"/>
            <w:hideMark/>
          </w:tcPr>
          <w:p w14:paraId="7EA05150"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N </w:t>
            </w:r>
          </w:p>
        </w:tc>
        <w:tc>
          <w:tcPr>
            <w:tcW w:w="1695" w:type="dxa"/>
            <w:tcBorders>
              <w:top w:val="single" w:sz="6" w:space="0" w:color="AEAEAE"/>
              <w:left w:val="nil"/>
              <w:bottom w:val="nil"/>
              <w:right w:val="single" w:sz="6" w:space="0" w:color="E0E0E0"/>
            </w:tcBorders>
            <w:shd w:val="clear" w:color="auto" w:fill="F9F9FB"/>
            <w:hideMark/>
          </w:tcPr>
          <w:p w14:paraId="675C7667"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c>
          <w:tcPr>
            <w:tcW w:w="1695" w:type="dxa"/>
            <w:tcBorders>
              <w:top w:val="single" w:sz="6" w:space="0" w:color="AEAEAE"/>
              <w:left w:val="single" w:sz="6" w:space="0" w:color="E0E0E0"/>
              <w:bottom w:val="nil"/>
              <w:right w:val="nil"/>
            </w:tcBorders>
            <w:shd w:val="clear" w:color="auto" w:fill="F9F9FB"/>
            <w:hideMark/>
          </w:tcPr>
          <w:p w14:paraId="61372F7F"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r>
      <w:tr w:rsidR="00673B29" w:rsidRPr="00673B29" w14:paraId="5A500EAE" w14:textId="77777777" w:rsidTr="00673B29">
        <w:trPr>
          <w:trHeight w:val="300"/>
        </w:trPr>
        <w:tc>
          <w:tcPr>
            <w:tcW w:w="2850" w:type="dxa"/>
            <w:vMerge w:val="restart"/>
            <w:tcBorders>
              <w:top w:val="single" w:sz="6" w:space="0" w:color="AEAEAE"/>
              <w:left w:val="nil"/>
              <w:bottom w:val="single" w:sz="6" w:space="0" w:color="152935"/>
              <w:right w:val="nil"/>
            </w:tcBorders>
            <w:shd w:val="clear" w:color="auto" w:fill="E0E0E0"/>
            <w:hideMark/>
          </w:tcPr>
          <w:p w14:paraId="589D99AA"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Appropriate Antibacterial </w:t>
            </w:r>
          </w:p>
        </w:tc>
        <w:tc>
          <w:tcPr>
            <w:tcW w:w="2205" w:type="dxa"/>
            <w:tcBorders>
              <w:top w:val="single" w:sz="6" w:space="0" w:color="AEAEAE"/>
              <w:left w:val="nil"/>
              <w:bottom w:val="single" w:sz="6" w:space="0" w:color="AEAEAE"/>
              <w:right w:val="nil"/>
            </w:tcBorders>
            <w:shd w:val="clear" w:color="auto" w:fill="E0E0E0"/>
            <w:hideMark/>
          </w:tcPr>
          <w:p w14:paraId="311D0632"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Pearson Correlation </w:t>
            </w:r>
          </w:p>
        </w:tc>
        <w:tc>
          <w:tcPr>
            <w:tcW w:w="1695" w:type="dxa"/>
            <w:tcBorders>
              <w:top w:val="single" w:sz="6" w:space="0" w:color="AEAEAE"/>
              <w:left w:val="nil"/>
              <w:bottom w:val="single" w:sz="6" w:space="0" w:color="AEAEAE"/>
              <w:right w:val="single" w:sz="6" w:space="0" w:color="E0E0E0"/>
            </w:tcBorders>
            <w:shd w:val="clear" w:color="auto" w:fill="F9F9FB"/>
            <w:hideMark/>
          </w:tcPr>
          <w:p w14:paraId="4183742C"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.242 </w:t>
            </w:r>
          </w:p>
        </w:tc>
        <w:tc>
          <w:tcPr>
            <w:tcW w:w="1695" w:type="dxa"/>
            <w:tcBorders>
              <w:top w:val="single" w:sz="6" w:space="0" w:color="AEAEAE"/>
              <w:left w:val="single" w:sz="6" w:space="0" w:color="E0E0E0"/>
              <w:bottom w:val="single" w:sz="6" w:space="0" w:color="AEAEAE"/>
              <w:right w:val="nil"/>
            </w:tcBorders>
            <w:shd w:val="clear" w:color="auto" w:fill="F9F9FB"/>
            <w:hideMark/>
          </w:tcPr>
          <w:p w14:paraId="6B0C84D0"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1 </w:t>
            </w:r>
          </w:p>
        </w:tc>
      </w:tr>
      <w:tr w:rsidR="00673B29" w:rsidRPr="00673B29" w14:paraId="37A28E29" w14:textId="77777777" w:rsidTr="00673B29">
        <w:trPr>
          <w:trHeight w:val="300"/>
        </w:trPr>
        <w:tc>
          <w:tcPr>
            <w:tcW w:w="0" w:type="auto"/>
            <w:vMerge/>
            <w:tcBorders>
              <w:top w:val="single" w:sz="6" w:space="0" w:color="AEAEAE"/>
              <w:left w:val="nil"/>
              <w:bottom w:val="single" w:sz="6" w:space="0" w:color="152935"/>
              <w:right w:val="nil"/>
            </w:tcBorders>
            <w:shd w:val="clear" w:color="auto" w:fill="auto"/>
            <w:vAlign w:val="center"/>
            <w:hideMark/>
          </w:tcPr>
          <w:p w14:paraId="4C501170"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205" w:type="dxa"/>
            <w:tcBorders>
              <w:top w:val="single" w:sz="6" w:space="0" w:color="AEAEAE"/>
              <w:left w:val="nil"/>
              <w:bottom w:val="single" w:sz="6" w:space="0" w:color="AEAEAE"/>
              <w:right w:val="nil"/>
            </w:tcBorders>
            <w:shd w:val="clear" w:color="auto" w:fill="E0E0E0"/>
            <w:hideMark/>
          </w:tcPr>
          <w:p w14:paraId="36B9C291"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Sig. (2-tailed) </w:t>
            </w:r>
          </w:p>
        </w:tc>
        <w:tc>
          <w:tcPr>
            <w:tcW w:w="1695" w:type="dxa"/>
            <w:tcBorders>
              <w:top w:val="single" w:sz="6" w:space="0" w:color="AEAEAE"/>
              <w:left w:val="nil"/>
              <w:bottom w:val="single" w:sz="6" w:space="0" w:color="AEAEAE"/>
              <w:right w:val="single" w:sz="6" w:space="0" w:color="E0E0E0"/>
            </w:tcBorders>
            <w:shd w:val="clear" w:color="auto" w:fill="F9F9FB"/>
            <w:hideMark/>
          </w:tcPr>
          <w:p w14:paraId="0F69F617"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.058 </w:t>
            </w:r>
          </w:p>
        </w:tc>
        <w:tc>
          <w:tcPr>
            <w:tcW w:w="1695" w:type="dxa"/>
            <w:tcBorders>
              <w:top w:val="single" w:sz="6" w:space="0" w:color="AEAEAE"/>
              <w:left w:val="single" w:sz="6" w:space="0" w:color="E0E0E0"/>
              <w:bottom w:val="single" w:sz="6" w:space="0" w:color="AEAEAE"/>
              <w:right w:val="nil"/>
            </w:tcBorders>
            <w:shd w:val="clear" w:color="auto" w:fill="F9F9FB"/>
            <w:vAlign w:val="center"/>
            <w:hideMark/>
          </w:tcPr>
          <w:p w14:paraId="6F1299C8" w14:textId="77777777" w:rsidR="00673B29" w:rsidRPr="00673B29" w:rsidRDefault="00673B29" w:rsidP="00673B29">
            <w:pPr>
              <w:spacing w:after="0" w:line="240" w:lineRule="auto"/>
              <w:textAlignment w:val="baseline"/>
              <w:rPr>
                <w:rFonts w:ascii="Times New Roman" w:eastAsia="Times New Roman" w:hAnsi="Times New Roman" w:cs="Times New Roman"/>
                <w:sz w:val="24"/>
                <w:szCs w:val="24"/>
                <w:lang w:eastAsia="en-GB"/>
              </w:rPr>
            </w:pPr>
            <w:r w:rsidRPr="00673B29">
              <w:rPr>
                <w:rFonts w:ascii="Times New Roman" w:eastAsia="Times New Roman" w:hAnsi="Times New Roman" w:cs="Times New Roman"/>
                <w:lang w:eastAsia="en-GB"/>
              </w:rPr>
              <w:t> </w:t>
            </w:r>
          </w:p>
        </w:tc>
      </w:tr>
      <w:tr w:rsidR="00673B29" w:rsidRPr="00673B29" w14:paraId="0B559075" w14:textId="77777777" w:rsidTr="00673B29">
        <w:trPr>
          <w:trHeight w:val="300"/>
        </w:trPr>
        <w:tc>
          <w:tcPr>
            <w:tcW w:w="0" w:type="auto"/>
            <w:vMerge/>
            <w:tcBorders>
              <w:top w:val="single" w:sz="6" w:space="0" w:color="AEAEAE"/>
              <w:left w:val="nil"/>
              <w:bottom w:val="single" w:sz="6" w:space="0" w:color="152935"/>
              <w:right w:val="nil"/>
            </w:tcBorders>
            <w:shd w:val="clear" w:color="auto" w:fill="auto"/>
            <w:vAlign w:val="center"/>
            <w:hideMark/>
          </w:tcPr>
          <w:p w14:paraId="72348226" w14:textId="77777777" w:rsidR="00673B29" w:rsidRPr="00673B29" w:rsidRDefault="00673B29" w:rsidP="00673B29">
            <w:pPr>
              <w:spacing w:after="0" w:line="240" w:lineRule="auto"/>
              <w:rPr>
                <w:rFonts w:ascii="Times New Roman" w:eastAsia="Times New Roman" w:hAnsi="Times New Roman" w:cs="Times New Roman"/>
                <w:sz w:val="24"/>
                <w:szCs w:val="24"/>
                <w:lang w:eastAsia="en-GB"/>
              </w:rPr>
            </w:pPr>
          </w:p>
        </w:tc>
        <w:tc>
          <w:tcPr>
            <w:tcW w:w="2205" w:type="dxa"/>
            <w:tcBorders>
              <w:top w:val="single" w:sz="6" w:space="0" w:color="AEAEAE"/>
              <w:left w:val="nil"/>
              <w:bottom w:val="single" w:sz="6" w:space="0" w:color="152935"/>
              <w:right w:val="nil"/>
            </w:tcBorders>
            <w:shd w:val="clear" w:color="auto" w:fill="E0E0E0"/>
            <w:hideMark/>
          </w:tcPr>
          <w:p w14:paraId="6371E20A" w14:textId="77777777" w:rsidR="00673B29" w:rsidRPr="00673B29" w:rsidRDefault="00673B29" w:rsidP="00673B29">
            <w:pPr>
              <w:spacing w:after="0" w:line="240" w:lineRule="auto"/>
              <w:ind w:left="60" w:right="60"/>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264A60"/>
                <w:lang w:eastAsia="en-GB"/>
              </w:rPr>
              <w:t>N </w:t>
            </w:r>
          </w:p>
        </w:tc>
        <w:tc>
          <w:tcPr>
            <w:tcW w:w="1695" w:type="dxa"/>
            <w:tcBorders>
              <w:top w:val="single" w:sz="6" w:space="0" w:color="AEAEAE"/>
              <w:left w:val="nil"/>
              <w:bottom w:val="single" w:sz="6" w:space="0" w:color="152935"/>
              <w:right w:val="single" w:sz="6" w:space="0" w:color="E0E0E0"/>
            </w:tcBorders>
            <w:shd w:val="clear" w:color="auto" w:fill="F9F9FB"/>
            <w:hideMark/>
          </w:tcPr>
          <w:p w14:paraId="22F98BC0"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c>
          <w:tcPr>
            <w:tcW w:w="1695" w:type="dxa"/>
            <w:tcBorders>
              <w:top w:val="single" w:sz="6" w:space="0" w:color="AEAEAE"/>
              <w:left w:val="single" w:sz="6" w:space="0" w:color="E0E0E0"/>
              <w:bottom w:val="single" w:sz="6" w:space="0" w:color="152935"/>
              <w:right w:val="nil"/>
            </w:tcBorders>
            <w:shd w:val="clear" w:color="auto" w:fill="F9F9FB"/>
            <w:hideMark/>
          </w:tcPr>
          <w:p w14:paraId="5A7310BA" w14:textId="77777777" w:rsidR="00673B29" w:rsidRPr="00673B29" w:rsidRDefault="00673B29" w:rsidP="00673B2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73B29">
              <w:rPr>
                <w:rFonts w:ascii="Arial" w:eastAsia="Times New Roman" w:hAnsi="Arial" w:cs="Arial"/>
                <w:color w:val="010205"/>
                <w:lang w:eastAsia="en-GB"/>
              </w:rPr>
              <w:t>62 </w:t>
            </w:r>
          </w:p>
        </w:tc>
      </w:tr>
    </w:tbl>
    <w:p w14:paraId="6C9386A8"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72A1D709"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45C365C9" w14:textId="77777777" w:rsidR="00673B29" w:rsidRPr="00673B29" w:rsidRDefault="00673B29" w:rsidP="00673B29">
      <w:pPr>
        <w:spacing w:after="0" w:line="240" w:lineRule="auto"/>
        <w:jc w:val="center"/>
        <w:textAlignment w:val="baseline"/>
        <w:rPr>
          <w:rFonts w:ascii="Segoe UI" w:eastAsia="Times New Roman" w:hAnsi="Segoe UI" w:cs="Segoe UI"/>
          <w:sz w:val="18"/>
          <w:szCs w:val="18"/>
          <w:lang w:eastAsia="en-GB"/>
        </w:rPr>
      </w:pPr>
      <w:r w:rsidRPr="00673B29">
        <w:rPr>
          <w:rFonts w:ascii="Calibri" w:eastAsia="Times New Roman" w:hAnsi="Calibri" w:cs="Calibri"/>
          <w:color w:val="2E74B5"/>
          <w:lang w:eastAsia="en-GB"/>
        </w:rPr>
        <w:t> </w:t>
      </w:r>
    </w:p>
    <w:p w14:paraId="7424B10C"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3EA9222E"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79910C42" w14:textId="77777777" w:rsidR="00673B29" w:rsidRPr="00673B29" w:rsidRDefault="00673B29" w:rsidP="00673B29">
      <w:pPr>
        <w:spacing w:after="0" w:line="240" w:lineRule="auto"/>
        <w:jc w:val="center"/>
        <w:textAlignment w:val="baseline"/>
        <w:rPr>
          <w:rFonts w:ascii="Segoe UI" w:eastAsia="Times New Roman" w:hAnsi="Segoe UI" w:cs="Segoe UI"/>
          <w:sz w:val="18"/>
          <w:szCs w:val="18"/>
          <w:lang w:eastAsia="en-GB"/>
        </w:rPr>
      </w:pPr>
      <w:r w:rsidRPr="00673B29">
        <w:rPr>
          <w:rFonts w:ascii="Calibri" w:eastAsia="Times New Roman" w:hAnsi="Calibri" w:cs="Calibri"/>
          <w:b/>
          <w:bCs/>
          <w:color w:val="0D0D0D"/>
          <w:lang w:eastAsia="en-GB"/>
        </w:rPr>
        <w:t>Hypothesis 4: Risk of resistance is more likely in females</w:t>
      </w:r>
      <w:r w:rsidRPr="00673B29">
        <w:rPr>
          <w:rFonts w:ascii="Calibri" w:eastAsia="Times New Roman" w:hAnsi="Calibri" w:cs="Calibri"/>
          <w:color w:val="0D0D0D"/>
          <w:lang w:eastAsia="en-GB"/>
        </w:rPr>
        <w:t> </w:t>
      </w:r>
    </w:p>
    <w:p w14:paraId="4C90401A"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H0: There is no association between risk of resistance and patients gender (independent of each other) </w:t>
      </w:r>
    </w:p>
    <w:p w14:paraId="54F816A9"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H1: There is an association between risk of resistance and patient’s gender </w:t>
      </w:r>
    </w:p>
    <w:p w14:paraId="4C8A3CD7" w14:textId="77777777" w:rsidR="00673B29" w:rsidRPr="00673B29" w:rsidRDefault="00673B29" w:rsidP="00673B29">
      <w:pPr>
        <w:spacing w:beforeAutospacing="1" w:after="0" w:afterAutospacing="1"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sz w:val="24"/>
          <w:szCs w:val="24"/>
          <w:lang w:eastAsia="en-GB"/>
        </w:rPr>
        <w:t>Interpretation of results: A chi-squared test with 1 degree of freedom was performed resulting in a test statistic of 0.249.  </w:t>
      </w:r>
    </w:p>
    <w:p w14:paraId="6E4CF013"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Since the p-value is larger than the selected significance level (α =0.05), therefore, it can be concluded that there is not enough evidence to suggest an association between Risk of resistance and gender.  X</w:t>
      </w:r>
      <w:r w:rsidRPr="00673B29">
        <w:rPr>
          <w:rFonts w:ascii="Calibri" w:eastAsia="Times New Roman" w:hAnsi="Calibri" w:cs="Calibri"/>
          <w:color w:val="000000"/>
          <w:sz w:val="17"/>
          <w:szCs w:val="17"/>
          <w:vertAlign w:val="superscript"/>
          <w:lang w:eastAsia="en-GB"/>
        </w:rPr>
        <w:t xml:space="preserve">2 </w:t>
      </w:r>
      <w:r w:rsidRPr="00673B29">
        <w:rPr>
          <w:rFonts w:ascii="Calibri" w:eastAsia="Times New Roman" w:hAnsi="Calibri" w:cs="Calibri"/>
          <w:color w:val="000000"/>
          <w:lang w:eastAsia="en-GB"/>
        </w:rPr>
        <w:t>(</w:t>
      </w:r>
      <w:proofErr w:type="spellStart"/>
      <w:proofErr w:type="gramStart"/>
      <w:r w:rsidRPr="00673B29">
        <w:rPr>
          <w:rFonts w:ascii="Calibri" w:eastAsia="Times New Roman" w:hAnsi="Calibri" w:cs="Calibri"/>
          <w:color w:val="000000"/>
          <w:lang w:eastAsia="en-GB"/>
        </w:rPr>
        <w:t>df</w:t>
      </w:r>
      <w:proofErr w:type="spellEnd"/>
      <w:proofErr w:type="gramEnd"/>
      <w:r w:rsidRPr="00673B29">
        <w:rPr>
          <w:rFonts w:ascii="Calibri" w:eastAsia="Times New Roman" w:hAnsi="Calibri" w:cs="Calibri"/>
          <w:color w:val="000000"/>
          <w:lang w:eastAsia="en-GB"/>
        </w:rPr>
        <w:t xml:space="preserve"> =1, N=62) = .249, p=0.618. Since no statistical association is found between gender and risk of resistance, therefore null hypothesis is accepted. The finding suggests that Risk of resistance is independent of gender. Hypothesis 4: Risk of resistance is more likely in females, rejected. </w:t>
      </w:r>
    </w:p>
    <w:p w14:paraId="18A2FF4B"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noProof/>
          <w:lang w:eastAsia="en-GB"/>
        </w:rPr>
        <w:lastRenderedPageBreak/>
        <w:drawing>
          <wp:inline distT="0" distB="0" distL="0" distR="0" wp14:anchorId="688957A5" wp14:editId="77F43A51">
            <wp:extent cx="6165850" cy="6508750"/>
            <wp:effectExtent l="0" t="0" r="6350" b="6350"/>
            <wp:docPr id="4" name="Picture 4" descr="C:\Users\Ra177043\AppData\Local\Microsoft\Windows\INetCache\Content.MSO\C4F59FE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Ra177043\AppData\Local\Microsoft\Windows\INetCache\Content.MSO\C4F59FE5.tm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65850" cy="6508750"/>
                    </a:xfrm>
                    <a:prstGeom prst="rect">
                      <a:avLst/>
                    </a:prstGeom>
                    <a:noFill/>
                    <a:ln>
                      <a:noFill/>
                    </a:ln>
                  </pic:spPr>
                </pic:pic>
              </a:graphicData>
            </a:graphic>
          </wp:inline>
        </w:drawing>
      </w:r>
      <w:r w:rsidRPr="00673B29">
        <w:rPr>
          <w:rFonts w:ascii="Calibri" w:eastAsia="Times New Roman" w:hAnsi="Calibri" w:cs="Calibri"/>
          <w:color w:val="000000"/>
          <w:lang w:eastAsia="en-GB"/>
        </w:rPr>
        <w:t> </w:t>
      </w:r>
    </w:p>
    <w:p w14:paraId="4028936C" w14:textId="77777777" w:rsidR="00673B29" w:rsidRPr="00673B29" w:rsidRDefault="00673B29" w:rsidP="00673B29">
      <w:pPr>
        <w:spacing w:after="0" w:line="240" w:lineRule="auto"/>
        <w:jc w:val="center"/>
        <w:textAlignment w:val="baseline"/>
        <w:rPr>
          <w:rFonts w:ascii="Segoe UI" w:eastAsia="Times New Roman" w:hAnsi="Segoe UI" w:cs="Segoe UI"/>
          <w:sz w:val="18"/>
          <w:szCs w:val="18"/>
          <w:lang w:eastAsia="en-GB"/>
        </w:rPr>
      </w:pPr>
      <w:r w:rsidRPr="00673B29">
        <w:rPr>
          <w:rFonts w:ascii="Calibri" w:eastAsia="Times New Roman" w:hAnsi="Calibri" w:cs="Calibri"/>
          <w:color w:val="44546A"/>
          <w:lang w:eastAsia="en-GB"/>
        </w:rPr>
        <w:t> </w:t>
      </w:r>
    </w:p>
    <w:p w14:paraId="6FAC7265"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45AD7691"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2AAA657B"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6603DA20"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3CD3F18A"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29E614E6"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7ABC8641"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2D776F7D"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59FCDC42"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549AC59D"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509BF89E"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49E1EFDC" w14:textId="5F1CDA75" w:rsidR="00673B29" w:rsidRPr="00673B29" w:rsidRDefault="00673B29" w:rsidP="008167C1">
      <w:pPr>
        <w:spacing w:after="0" w:line="240" w:lineRule="auto"/>
        <w:textAlignment w:val="baseline"/>
        <w:rPr>
          <w:rFonts w:ascii="Segoe UI" w:eastAsia="Times New Roman" w:hAnsi="Segoe UI" w:cs="Segoe UI"/>
          <w:sz w:val="18"/>
          <w:szCs w:val="18"/>
          <w:lang w:eastAsia="en-GB"/>
        </w:rPr>
      </w:pPr>
    </w:p>
    <w:p w14:paraId="7BBBAC1A" w14:textId="77777777" w:rsidR="00673B29" w:rsidRPr="00673B29" w:rsidRDefault="00673B29" w:rsidP="00673B29">
      <w:pPr>
        <w:spacing w:after="0" w:line="240" w:lineRule="auto"/>
        <w:jc w:val="center"/>
        <w:textAlignment w:val="baseline"/>
        <w:rPr>
          <w:rFonts w:ascii="Segoe UI" w:eastAsia="Times New Roman" w:hAnsi="Segoe UI" w:cs="Segoe UI"/>
          <w:sz w:val="18"/>
          <w:szCs w:val="18"/>
          <w:lang w:eastAsia="en-GB"/>
        </w:rPr>
      </w:pPr>
      <w:r w:rsidRPr="00673B29">
        <w:rPr>
          <w:rFonts w:ascii="Calibri" w:eastAsia="Times New Roman" w:hAnsi="Calibri" w:cs="Calibri"/>
          <w:b/>
          <w:bCs/>
          <w:color w:val="0D0D0D"/>
          <w:lang w:eastAsia="en-GB"/>
        </w:rPr>
        <w:t>Hypothesis 5: Risk of resistance is independent of use of appropriate antibiotics</w:t>
      </w:r>
      <w:r w:rsidRPr="00673B29">
        <w:rPr>
          <w:rFonts w:ascii="Calibri" w:eastAsia="Times New Roman" w:hAnsi="Calibri" w:cs="Calibri"/>
          <w:color w:val="0D0D0D"/>
          <w:lang w:eastAsia="en-GB"/>
        </w:rPr>
        <w:t> </w:t>
      </w:r>
    </w:p>
    <w:p w14:paraId="69C651D6" w14:textId="40703378"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H0: There is no association between risk of resistance and use of appropriate antibiotics (independent of use of appropriate antibiotics) </w:t>
      </w:r>
    </w:p>
    <w:p w14:paraId="783E6A43" w14:textId="3DDB2890"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H1: There is an association between risk of resistance and use of appropriate antibiotics   </w:t>
      </w:r>
    </w:p>
    <w:p w14:paraId="0D7F7F49"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xml:space="preserve">Chi squared test was performed with 1 degree of freedom to establish if </w:t>
      </w:r>
      <w:r w:rsidRPr="00673B29">
        <w:rPr>
          <w:rFonts w:ascii="Calibri" w:eastAsia="Times New Roman" w:hAnsi="Calibri" w:cs="Calibri"/>
          <w:b/>
          <w:bCs/>
          <w:color w:val="000000"/>
          <w:lang w:eastAsia="en-GB"/>
        </w:rPr>
        <w:t>risk of resistance</w:t>
      </w:r>
      <w:r w:rsidRPr="00673B29">
        <w:rPr>
          <w:rFonts w:ascii="Calibri" w:eastAsia="Times New Roman" w:hAnsi="Calibri" w:cs="Calibri"/>
          <w:color w:val="000000"/>
          <w:lang w:eastAsia="en-GB"/>
        </w:rPr>
        <w:t xml:space="preserve"> is independent of </w:t>
      </w:r>
      <w:r w:rsidRPr="00673B29">
        <w:rPr>
          <w:rFonts w:ascii="Calibri" w:eastAsia="Times New Roman" w:hAnsi="Calibri" w:cs="Calibri"/>
          <w:b/>
          <w:bCs/>
          <w:color w:val="000000"/>
          <w:lang w:eastAsia="en-GB"/>
        </w:rPr>
        <w:t>use of appropriate antibiotics.</w:t>
      </w:r>
      <w:r w:rsidRPr="00673B29">
        <w:rPr>
          <w:rFonts w:ascii="Calibri" w:eastAsia="Times New Roman" w:hAnsi="Calibri" w:cs="Calibri"/>
          <w:color w:val="000000"/>
          <w:lang w:eastAsia="en-GB"/>
        </w:rPr>
        <w:t>  </w:t>
      </w:r>
    </w:p>
    <w:p w14:paraId="6F42B935" w14:textId="38CD0393"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The graphic presentation shows that there is a little difference in the mode (count) for yes or no among the two groups.  </w:t>
      </w:r>
    </w:p>
    <w:p w14:paraId="6DC80E1A" w14:textId="38E55361"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w:t>
      </w:r>
    </w:p>
    <w:p w14:paraId="2ED1F25C" w14:textId="78A445D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The chi-square test for independence shows that  there is not enough evidence to suggest an association between Risk of resistance and antibiotic administered  X</w:t>
      </w:r>
      <w:r w:rsidRPr="00673B29">
        <w:rPr>
          <w:rFonts w:ascii="Calibri" w:eastAsia="Times New Roman" w:hAnsi="Calibri" w:cs="Calibri"/>
          <w:color w:val="000000"/>
          <w:sz w:val="17"/>
          <w:szCs w:val="17"/>
          <w:vertAlign w:val="superscript"/>
          <w:lang w:eastAsia="en-GB"/>
        </w:rPr>
        <w:t xml:space="preserve">2 </w:t>
      </w:r>
      <w:r w:rsidRPr="00673B29">
        <w:rPr>
          <w:rFonts w:ascii="Calibri" w:eastAsia="Times New Roman" w:hAnsi="Calibri" w:cs="Calibri"/>
          <w:color w:val="000000"/>
          <w:lang w:eastAsia="en-GB"/>
        </w:rPr>
        <w:t>(</w:t>
      </w:r>
      <w:proofErr w:type="spellStart"/>
      <w:r w:rsidRPr="00673B29">
        <w:rPr>
          <w:rFonts w:ascii="Calibri" w:eastAsia="Times New Roman" w:hAnsi="Calibri" w:cs="Calibri"/>
          <w:color w:val="000000"/>
          <w:lang w:eastAsia="en-GB"/>
        </w:rPr>
        <w:t>df</w:t>
      </w:r>
      <w:proofErr w:type="spellEnd"/>
      <w:r w:rsidRPr="00673B29">
        <w:rPr>
          <w:rFonts w:ascii="Calibri" w:eastAsia="Times New Roman" w:hAnsi="Calibri" w:cs="Calibri"/>
          <w:color w:val="000000"/>
          <w:lang w:eastAsia="en-GB"/>
        </w:rPr>
        <w:t xml:space="preserve"> =1, N=62) = .017, p=0.895. Since there is no association, therefore, null hypothesis is accepted. The finding suggests that there is not enough evidence to suggest an association between the use of appropriate antibiotic and risk of resistance. Hypothesis 5: Risk of resistance is independent of use of appropriate antibiotics, accepted. </w:t>
      </w:r>
    </w:p>
    <w:p w14:paraId="474B7116" w14:textId="26827A5D" w:rsidR="00673B29" w:rsidRPr="00673B29" w:rsidRDefault="00866CB1" w:rsidP="00673B29">
      <w:pPr>
        <w:spacing w:after="0" w:line="240" w:lineRule="auto"/>
        <w:textAlignment w:val="baseline"/>
        <w:rPr>
          <w:rFonts w:ascii="Segoe UI" w:eastAsia="Times New Roman" w:hAnsi="Segoe UI" w:cs="Segoe UI"/>
          <w:sz w:val="18"/>
          <w:szCs w:val="18"/>
          <w:lang w:eastAsia="en-GB"/>
        </w:rPr>
      </w:pPr>
      <w:r>
        <w:rPr>
          <w:noProof/>
        </w:rPr>
        <mc:AlternateContent>
          <mc:Choice Requires="wps">
            <w:drawing>
              <wp:anchor distT="0" distB="0" distL="114300" distR="114300" simplePos="0" relativeHeight="251675648" behindDoc="1" locked="0" layoutInCell="1" allowOverlap="1" wp14:anchorId="769D03A5" wp14:editId="0434E57E">
                <wp:simplePos x="0" y="0"/>
                <wp:positionH relativeFrom="column">
                  <wp:posOffset>-516890</wp:posOffset>
                </wp:positionH>
                <wp:positionV relativeFrom="paragraph">
                  <wp:posOffset>3645535</wp:posOffset>
                </wp:positionV>
                <wp:extent cx="6667500"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6667500" cy="635"/>
                        </a:xfrm>
                        <a:prstGeom prst="rect">
                          <a:avLst/>
                        </a:prstGeom>
                        <a:solidFill>
                          <a:prstClr val="white"/>
                        </a:solidFill>
                        <a:ln>
                          <a:noFill/>
                        </a:ln>
                      </wps:spPr>
                      <wps:txbx>
                        <w:txbxContent>
                          <w:p w14:paraId="0AAC4EE1" w14:textId="145C801B" w:rsidR="00866CB1" w:rsidRPr="00874B0D" w:rsidRDefault="00866CB1" w:rsidP="00866CB1">
                            <w:pPr>
                              <w:pStyle w:val="Caption"/>
                              <w:rPr>
                                <w:rFonts w:ascii="Calibri" w:eastAsia="Times New Roman" w:hAnsi="Calibri" w:cs="Calibri"/>
                                <w:color w:val="000000"/>
                              </w:rPr>
                            </w:pPr>
                            <w:r>
                              <w:t xml:space="preserve">Figure </w:t>
                            </w:r>
                            <w:r>
                              <w:fldChar w:fldCharType="begin"/>
                            </w:r>
                            <w:r>
                              <w:instrText xml:space="preserve"> SEQ Figure \* ARABIC </w:instrText>
                            </w:r>
                            <w:r>
                              <w:fldChar w:fldCharType="separate"/>
                            </w:r>
                            <w:r w:rsidR="008167C1">
                              <w:rPr>
                                <w:noProof/>
                              </w:rPr>
                              <w:t>11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9D03A5" id="Text Box 19" o:spid="_x0000_s1034" type="#_x0000_t202" style="position:absolute;margin-left:-40.7pt;margin-top:287.05pt;width:52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" stroked="f">
                <v:textbox style="mso-fit-shape-to-text:t" inset="0,0,0,0">
                  <w:txbxContent>
                    <w:p w14:paraId="0AAC4EE1" w14:textId="145C801B" w:rsidR="00866CB1" w:rsidRPr="00874B0D" w:rsidRDefault="00866CB1" w:rsidP="00866CB1">
                      <w:pPr>
                        <w:pStyle w:val="Caption"/>
                        <w:rPr>
                          <w:rFonts w:ascii="Calibri" w:eastAsia="Times New Roman" w:hAnsi="Calibri" w:cs="Calibri"/>
                          <w:color w:val="000000"/>
                        </w:rPr>
                      </w:pPr>
                      <w:r>
                        <w:t xml:space="preserve">Figure </w:t>
                      </w:r>
                      <w:r>
                        <w:fldChar w:fldCharType="begin"/>
                      </w:r>
                      <w:r>
                        <w:instrText xml:space="preserve"> SEQ Figure \* ARABIC </w:instrText>
                      </w:r>
                      <w:r>
                        <w:fldChar w:fldCharType="separate"/>
                      </w:r>
                      <w:r w:rsidR="008167C1">
                        <w:rPr>
                          <w:noProof/>
                        </w:rPr>
                        <w:t>11</w:t>
                      </w:r>
                      <w:r>
                        <w:fldChar w:fldCharType="end"/>
                      </w:r>
                    </w:p>
                  </w:txbxContent>
                </v:textbox>
                <w10:wrap type="tight"/>
              </v:shape>
            </w:pict>
          </mc:Fallback>
        </mc:AlternateContent>
      </w:r>
      <w:r w:rsidRPr="00673B29">
        <w:rPr>
          <w:noProof/>
          <w:lang w:eastAsia="en-GB"/>
        </w:rPr>
        <w:drawing>
          <wp:anchor distT="0" distB="0" distL="114300" distR="114300" simplePos="0" relativeHeight="251673600" behindDoc="1" locked="0" layoutInCell="1" allowOverlap="1" wp14:anchorId="18D082BF" wp14:editId="781041EA">
            <wp:simplePos x="0" y="0"/>
            <wp:positionH relativeFrom="page">
              <wp:posOffset>397510</wp:posOffset>
            </wp:positionH>
            <wp:positionV relativeFrom="paragraph">
              <wp:posOffset>384175</wp:posOffset>
            </wp:positionV>
            <wp:extent cx="6667500" cy="3204777"/>
            <wp:effectExtent l="0" t="0" r="0" b="0"/>
            <wp:wrapTight wrapText="bothSides">
              <wp:wrapPolygon edited="0">
                <wp:start x="0" y="0"/>
                <wp:lineTo x="0" y="21446"/>
                <wp:lineTo x="21538" y="21446"/>
                <wp:lineTo x="21538" y="0"/>
                <wp:lineTo x="0" y="0"/>
              </wp:wrapPolygon>
            </wp:wrapTight>
            <wp:docPr id="3" name="Picture 3" descr="C:\Users\Ra177043\AppData\Local\Microsoft\Windows\INetCache\Content.MSO\D8CE403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Ra177043\AppData\Local\Microsoft\Windows\INetCache\Content.MSO\D8CE403B.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67500" cy="3204777"/>
                    </a:xfrm>
                    <a:prstGeom prst="rect">
                      <a:avLst/>
                    </a:prstGeom>
                    <a:noFill/>
                    <a:ln>
                      <a:noFill/>
                    </a:ln>
                  </pic:spPr>
                </pic:pic>
              </a:graphicData>
            </a:graphic>
            <wp14:sizeRelH relativeFrom="page">
              <wp14:pctWidth>0</wp14:pctWidth>
            </wp14:sizeRelH>
            <wp14:sizeRelV relativeFrom="page">
              <wp14:pctHeight>0</wp14:pctHeight>
            </wp14:sizeRelV>
          </wp:anchor>
        </w:drawing>
      </w:r>
      <w:r w:rsidR="00673B29" w:rsidRPr="00673B29">
        <w:rPr>
          <w:rFonts w:ascii="Calibri" w:eastAsia="Times New Roman" w:hAnsi="Calibri" w:cs="Calibri"/>
          <w:color w:val="000000"/>
          <w:lang w:eastAsia="en-GB"/>
        </w:rPr>
        <w:t> </w:t>
      </w:r>
    </w:p>
    <w:p w14:paraId="54026697"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7B2689AA" w14:textId="77777777" w:rsidR="00673B29" w:rsidRPr="00673B29" w:rsidRDefault="00673B29" w:rsidP="00CF38B8">
      <w:pPr>
        <w:pStyle w:val="Heading1"/>
        <w:rPr>
          <w:rFonts w:ascii="Segoe UI" w:eastAsia="Times New Roman" w:hAnsi="Segoe UI" w:cs="Segoe UI"/>
          <w:sz w:val="18"/>
          <w:szCs w:val="18"/>
          <w:lang w:eastAsia="en-GB"/>
        </w:rPr>
      </w:pPr>
      <w:bookmarkStart w:id="15" w:name="_Toc166407166"/>
      <w:r w:rsidRPr="00673B29">
        <w:rPr>
          <w:rFonts w:eastAsia="Times New Roman"/>
          <w:lang w:eastAsia="en-GB"/>
        </w:rPr>
        <w:t>Discussion:</w:t>
      </w:r>
      <w:bookmarkEnd w:id="15"/>
      <w:r w:rsidRPr="00673B29">
        <w:rPr>
          <w:rFonts w:eastAsia="Times New Roman"/>
          <w:lang w:eastAsia="en-GB"/>
        </w:rPr>
        <w:t>  </w:t>
      </w:r>
    </w:p>
    <w:p w14:paraId="107C44A8" w14:textId="16DF0C30"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b/>
          <w:bCs/>
          <w:lang w:eastAsia="en-GB"/>
        </w:rPr>
        <w:t>UTI prevalence and gender:</w:t>
      </w:r>
      <w:r w:rsidRPr="00673B29">
        <w:rPr>
          <w:rFonts w:ascii="Calibri" w:eastAsia="Times New Roman" w:hAnsi="Calibri" w:cs="Calibri"/>
          <w:lang w:eastAsia="en-GB"/>
        </w:rPr>
        <w:t xml:space="preserve"> Urinary tract infections occur commonly in women. UTIs are commonly caused by bacteria originating from g</w:t>
      </w:r>
      <w:r w:rsidR="008167C1">
        <w:rPr>
          <w:rFonts w:ascii="Calibri" w:eastAsia="Times New Roman" w:hAnsi="Calibri" w:cs="Calibri"/>
          <w:lang w:eastAsia="en-GB"/>
        </w:rPr>
        <w:t>astrointestinal tract. Women have</w:t>
      </w:r>
      <w:r w:rsidRPr="00673B29">
        <w:rPr>
          <w:rFonts w:ascii="Calibri" w:eastAsia="Times New Roman" w:hAnsi="Calibri" w:cs="Calibri"/>
          <w:lang w:eastAsia="en-GB"/>
        </w:rPr>
        <w:t xml:space="preserve"> shorter urethra which makes it relatively easier for bacteria to enter the urinary tract in females. Another anatomical reason for females to suffer with UTIs more commonly is presence of urethral opening in close proximity to vulvar vestibules leading to easier inflammation in case of change in urine PH</w:t>
      </w:r>
      <w:r w:rsidR="008167C1">
        <w:rPr>
          <w:rFonts w:ascii="Calibri" w:eastAsia="Times New Roman" w:hAnsi="Calibri" w:cs="Calibri"/>
          <w:lang w:eastAsia="en-GB"/>
        </w:rPr>
        <w:t xml:space="preserve"> or intercourse</w:t>
      </w:r>
      <w:r w:rsidRPr="00673B29">
        <w:rPr>
          <w:rFonts w:ascii="Calibri" w:eastAsia="Times New Roman" w:hAnsi="Calibri" w:cs="Calibri"/>
          <w:lang w:eastAsia="en-GB"/>
        </w:rPr>
        <w:t xml:space="preserve">. One more factor predisposing females to UTIs is excessive use of hygiene products which can affect normal vaginal flora making it possible for pathogens to flourish and cause infection. This also becomes important in females of post-menopausal age </w:t>
      </w:r>
      <w:r w:rsidR="008167C1">
        <w:rPr>
          <w:rFonts w:ascii="Calibri" w:eastAsia="Times New Roman" w:hAnsi="Calibri" w:cs="Calibri"/>
          <w:lang w:eastAsia="en-GB"/>
        </w:rPr>
        <w:t xml:space="preserve">as </w:t>
      </w:r>
      <w:r w:rsidRPr="00673B29">
        <w:rPr>
          <w:rFonts w:ascii="Calibri" w:eastAsia="Times New Roman" w:hAnsi="Calibri" w:cs="Calibri"/>
          <w:lang w:eastAsia="en-GB"/>
        </w:rPr>
        <w:t>change in hormonal balance can lead to vaginal dryness and atrophy and any change in urine PH is more likely to cause urinary tract inflammation and infection (</w:t>
      </w:r>
      <w:proofErr w:type="spellStart"/>
      <w:r w:rsidRPr="00673B29">
        <w:rPr>
          <w:rFonts w:ascii="Calibri" w:eastAsia="Times New Roman" w:hAnsi="Calibri" w:cs="Calibri"/>
          <w:lang w:eastAsia="en-GB"/>
        </w:rPr>
        <w:t>Czajkowski</w:t>
      </w:r>
      <w:proofErr w:type="spellEnd"/>
      <w:r w:rsidRPr="00673B29">
        <w:rPr>
          <w:rFonts w:ascii="Calibri" w:eastAsia="Times New Roman" w:hAnsi="Calibri" w:cs="Calibri"/>
          <w:lang w:eastAsia="en-GB"/>
        </w:rPr>
        <w:t xml:space="preserve"> et al., 2021).  </w:t>
      </w:r>
    </w:p>
    <w:p w14:paraId="0A62AB4A"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lastRenderedPageBreak/>
        <w:t> </w:t>
      </w:r>
    </w:p>
    <w:p w14:paraId="0651E996" w14:textId="775521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UTI is second most common healthcare associated infection. Therefore it would be useful to identify if there is significant difference between females and male patients suffering with</w:t>
      </w:r>
      <w:r w:rsidR="008167C1">
        <w:rPr>
          <w:rFonts w:ascii="Calibri" w:eastAsia="Times New Roman" w:hAnsi="Calibri" w:cs="Calibri"/>
          <w:lang w:eastAsia="en-GB"/>
        </w:rPr>
        <w:t xml:space="preserve"> lower</w:t>
      </w:r>
      <w:r w:rsidRPr="00673B29">
        <w:rPr>
          <w:rFonts w:ascii="Calibri" w:eastAsia="Times New Roman" w:hAnsi="Calibri" w:cs="Calibri"/>
          <w:lang w:eastAsia="en-GB"/>
        </w:rPr>
        <w:t xml:space="preserve"> UTI</w:t>
      </w:r>
      <w:r w:rsidR="008167C1">
        <w:rPr>
          <w:rFonts w:ascii="Calibri" w:eastAsia="Times New Roman" w:hAnsi="Calibri" w:cs="Calibri"/>
          <w:lang w:eastAsia="en-GB"/>
        </w:rPr>
        <w:t xml:space="preserve"> while in hospital</w:t>
      </w:r>
      <w:r w:rsidRPr="00673B29">
        <w:rPr>
          <w:rFonts w:ascii="Calibri" w:eastAsia="Times New Roman" w:hAnsi="Calibri" w:cs="Calibri"/>
          <w:lang w:eastAsia="en-GB"/>
        </w:rPr>
        <w:t xml:space="preserve">. The data set evaluated for this study had 66% male patients and 34% female patients. However statistical analysis of this data set does not prove a positive relationship between gender and UTI diagnosis. Review of literate indicated that there is significant research done in identifying risk factors predisposing females to </w:t>
      </w:r>
      <w:r w:rsidR="008167C1">
        <w:rPr>
          <w:rFonts w:ascii="Calibri" w:eastAsia="Times New Roman" w:hAnsi="Calibri" w:cs="Calibri"/>
          <w:lang w:eastAsia="en-GB"/>
        </w:rPr>
        <w:t xml:space="preserve">lower </w:t>
      </w:r>
      <w:r w:rsidRPr="00673B29">
        <w:rPr>
          <w:rFonts w:ascii="Calibri" w:eastAsia="Times New Roman" w:hAnsi="Calibri" w:cs="Calibri"/>
          <w:lang w:eastAsia="en-GB"/>
        </w:rPr>
        <w:t xml:space="preserve">UTI in certain clinical areas such as during pregnancy, postnatal, during other chronic illness but no direct comparison of gender related prevalence was found for healthcare associated UTI. (Fu et al., 2014) compared a data of more than 80,000 patients to study prevalence of UTI among women and men especially after the diagnosis of Type 2 Diabetes Mellitus (T2DM). Although this paper was focused on UTI prevalence in patients with T2DM but also provided direct comparison of male vs female suffering with UTI. This study </w:t>
      </w:r>
      <w:r w:rsidR="008167C1">
        <w:rPr>
          <w:rFonts w:ascii="Calibri" w:eastAsia="Times New Roman" w:hAnsi="Calibri" w:cs="Calibri"/>
          <w:lang w:eastAsia="en-GB"/>
        </w:rPr>
        <w:t>repots</w:t>
      </w:r>
      <w:r w:rsidRPr="00673B29">
        <w:rPr>
          <w:rFonts w:ascii="Calibri" w:eastAsia="Times New Roman" w:hAnsi="Calibri" w:cs="Calibri"/>
          <w:lang w:eastAsia="en-GB"/>
        </w:rPr>
        <w:t xml:space="preserve"> a direct relationship with gender and UTI </w:t>
      </w:r>
      <w:r w:rsidR="008167C1" w:rsidRPr="00673B29">
        <w:rPr>
          <w:rFonts w:ascii="Calibri" w:eastAsia="Times New Roman" w:hAnsi="Calibri" w:cs="Calibri"/>
          <w:lang w:eastAsia="en-GB"/>
        </w:rPr>
        <w:t>prevalence.</w:t>
      </w:r>
      <w:r w:rsidRPr="00673B29">
        <w:rPr>
          <w:rFonts w:ascii="Calibri" w:eastAsia="Times New Roman" w:hAnsi="Calibri" w:cs="Calibri"/>
          <w:lang w:eastAsia="en-GB"/>
        </w:rPr>
        <w:t>  </w:t>
      </w:r>
    </w:p>
    <w:p w14:paraId="1138AE3C" w14:textId="77777777" w:rsidR="00866CB1" w:rsidRDefault="00673B29" w:rsidP="00866CB1">
      <w:pPr>
        <w:keepNext/>
        <w:spacing w:after="0" w:line="240" w:lineRule="auto"/>
        <w:textAlignment w:val="baseline"/>
      </w:pPr>
      <w:r w:rsidRPr="00673B29">
        <w:rPr>
          <w:noProof/>
          <w:lang w:eastAsia="en-GB"/>
        </w:rPr>
        <w:drawing>
          <wp:inline distT="0" distB="0" distL="0" distR="0" wp14:anchorId="4C83AD83" wp14:editId="72A46BA7">
            <wp:extent cx="4959350" cy="2584450"/>
            <wp:effectExtent l="0" t="0" r="0" b="6350"/>
            <wp:docPr id="1" name="Picture 1" descr="C:\Users\Ra177043\AppData\Local\Microsoft\Windows\INetCache\Content.MSO\1E456BB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Ra177043\AppData\Local\Microsoft\Windows\INetCache\Content.MSO\1E456BB7.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59350" cy="2584450"/>
                    </a:xfrm>
                    <a:prstGeom prst="rect">
                      <a:avLst/>
                    </a:prstGeom>
                    <a:noFill/>
                    <a:ln>
                      <a:noFill/>
                    </a:ln>
                  </pic:spPr>
                </pic:pic>
              </a:graphicData>
            </a:graphic>
          </wp:inline>
        </w:drawing>
      </w:r>
    </w:p>
    <w:p w14:paraId="43BE3C96" w14:textId="6AE7185B" w:rsidR="00673B29" w:rsidRPr="00673B29" w:rsidRDefault="00866CB1" w:rsidP="00866CB1">
      <w:pPr>
        <w:pStyle w:val="Caption"/>
      </w:pPr>
      <w:r>
        <w:t xml:space="preserve">Figure </w:t>
      </w:r>
      <w:r>
        <w:fldChar w:fldCharType="begin"/>
      </w:r>
      <w:r>
        <w:instrText xml:space="preserve"> SEQ Figure \* ARABIC </w:instrText>
      </w:r>
      <w:r>
        <w:fldChar w:fldCharType="separate"/>
      </w:r>
      <w:r w:rsidR="008167C1">
        <w:rPr>
          <w:noProof/>
        </w:rPr>
        <w:t>12</w:t>
      </w:r>
      <w:r>
        <w:fldChar w:fldCharType="end"/>
      </w:r>
    </w:p>
    <w:p w14:paraId="74270CEC"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1927B00D" w14:textId="3ABD3F16" w:rsidR="00673B29" w:rsidRDefault="008167C1" w:rsidP="00673B29">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The results</w:t>
      </w:r>
      <w:r w:rsidR="00673B29" w:rsidRPr="00673B29">
        <w:rPr>
          <w:rFonts w:ascii="Calibri" w:eastAsia="Times New Roman" w:hAnsi="Calibri" w:cs="Calibri"/>
          <w:lang w:eastAsia="en-GB"/>
        </w:rPr>
        <w:t xml:space="preserve"> obtained from secondary data set were not found to be statistically significant thereby it is </w:t>
      </w:r>
      <w:r>
        <w:rPr>
          <w:rFonts w:ascii="Calibri" w:eastAsia="Times New Roman" w:hAnsi="Calibri" w:cs="Calibri"/>
          <w:lang w:eastAsia="en-GB"/>
        </w:rPr>
        <w:t>possible that lack of association</w:t>
      </w:r>
      <w:r w:rsidR="00673B29" w:rsidRPr="00673B29">
        <w:rPr>
          <w:rFonts w:ascii="Calibri" w:eastAsia="Times New Roman" w:hAnsi="Calibri" w:cs="Calibri"/>
          <w:lang w:eastAsia="en-GB"/>
        </w:rPr>
        <w:t xml:space="preserve"> between gender and UTI occurred by chance. One of the reason</w:t>
      </w:r>
      <w:r>
        <w:rPr>
          <w:rFonts w:ascii="Calibri" w:eastAsia="Times New Roman" w:hAnsi="Calibri" w:cs="Calibri"/>
          <w:lang w:eastAsia="en-GB"/>
        </w:rPr>
        <w:t>s</w:t>
      </w:r>
      <w:r w:rsidR="00673B29" w:rsidRPr="00673B29">
        <w:rPr>
          <w:rFonts w:ascii="Calibri" w:eastAsia="Times New Roman" w:hAnsi="Calibri" w:cs="Calibri"/>
          <w:lang w:eastAsia="en-GB"/>
        </w:rPr>
        <w:t xml:space="preserve"> could be small data set and that the data set was complete i.e. not all female and male were included in the data set. National Institute of Clinical Excellence (NICE) recognises that UTI prevalence in elderly patients is similar for both male and females. Since median age in the data set was 77 years, it is likely that this was contributing factor in “no association” outcome of correlation between gender and UTI diagnosis test.  </w:t>
      </w:r>
    </w:p>
    <w:p w14:paraId="092A0C22" w14:textId="77777777" w:rsidR="008167C1" w:rsidRPr="00673B29" w:rsidRDefault="008167C1" w:rsidP="00673B29">
      <w:pPr>
        <w:spacing w:after="0" w:line="240" w:lineRule="auto"/>
        <w:textAlignment w:val="baseline"/>
        <w:rPr>
          <w:rFonts w:ascii="Segoe UI" w:eastAsia="Times New Roman" w:hAnsi="Segoe UI" w:cs="Segoe UI"/>
          <w:sz w:val="18"/>
          <w:szCs w:val="18"/>
          <w:lang w:eastAsia="en-GB"/>
        </w:rPr>
      </w:pPr>
    </w:p>
    <w:p w14:paraId="22998F02" w14:textId="00F2B11B"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b/>
          <w:bCs/>
          <w:lang w:eastAsia="en-GB"/>
        </w:rPr>
        <w:t>Catheter as a risk factor of UTI:</w:t>
      </w:r>
      <w:r w:rsidRPr="00673B29">
        <w:rPr>
          <w:rFonts w:ascii="Calibri" w:eastAsia="Times New Roman" w:hAnsi="Calibri" w:cs="Calibri"/>
          <w:lang w:eastAsia="en-GB"/>
        </w:rPr>
        <w:t xml:space="preserve"> Having a catheter in situ is one of the major risk factors of developing UTI in or out of acute care settings including hospitals. Up to 46% of UTI infections are related to indwelling</w:t>
      </w:r>
      <w:r w:rsidR="008167C1">
        <w:rPr>
          <w:rFonts w:ascii="Calibri" w:eastAsia="Times New Roman" w:hAnsi="Calibri" w:cs="Calibri"/>
          <w:lang w:eastAsia="en-GB"/>
        </w:rPr>
        <w:t xml:space="preserve"> catheter (Loveday et al., 2014)</w:t>
      </w:r>
      <w:r w:rsidRPr="00673B29">
        <w:rPr>
          <w:rFonts w:ascii="Calibri" w:eastAsia="Times New Roman" w:hAnsi="Calibri" w:cs="Calibri"/>
          <w:lang w:eastAsia="en-GB"/>
        </w:rPr>
        <w:t>. In principle, urine is sterile while being produced by the kidneys. Urine accumulates in bladder until voided via urethra. Like other organs such as gut, mouth and mouth bladder also has its normal biome that is responsible for maintaining a healthy environment in the bladder and preventing infections. That biome film in catheter has been studies and there is limited literature on the variety of microbes found in the bladder. The existing literate on this topic also have limitation such as gender, age and comparison of comorbidities. Until these variables are studied in detail it is challenging to establish if microbes with</w:t>
      </w:r>
      <w:r w:rsidR="008167C1">
        <w:rPr>
          <w:rFonts w:ascii="Calibri" w:eastAsia="Times New Roman" w:hAnsi="Calibri" w:cs="Calibri"/>
          <w:lang w:eastAsia="en-GB"/>
        </w:rPr>
        <w:t>in U</w:t>
      </w:r>
      <w:r w:rsidR="008167C1" w:rsidRPr="00673B29">
        <w:rPr>
          <w:rFonts w:ascii="Calibri" w:eastAsia="Times New Roman" w:hAnsi="Calibri" w:cs="Calibri"/>
          <w:lang w:eastAsia="en-GB"/>
        </w:rPr>
        <w:t>robiom</w:t>
      </w:r>
      <w:r w:rsidRPr="00673B29">
        <w:rPr>
          <w:rFonts w:ascii="Calibri" w:eastAsia="Times New Roman" w:hAnsi="Calibri" w:cs="Calibri"/>
          <w:lang w:eastAsia="en-GB"/>
        </w:rPr>
        <w:t xml:space="preserve"> (bladder biome) can also cause UTIs</w:t>
      </w:r>
      <w:r w:rsidR="008167C1">
        <w:rPr>
          <w:rFonts w:ascii="Calibri" w:eastAsia="Times New Roman" w:hAnsi="Calibri" w:cs="Calibri"/>
          <w:lang w:eastAsia="en-GB"/>
        </w:rPr>
        <w:t xml:space="preserve"> or not</w:t>
      </w:r>
      <w:r w:rsidRPr="00673B29">
        <w:rPr>
          <w:rFonts w:ascii="Calibri" w:eastAsia="Times New Roman" w:hAnsi="Calibri" w:cs="Calibri"/>
          <w:lang w:eastAsia="en-GB"/>
        </w:rPr>
        <w:t xml:space="preserve"> (Wolfe &amp; Brubaker, 2015).  </w:t>
      </w:r>
    </w:p>
    <w:p w14:paraId="7810009D"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Catheters are sterile tubes inserted via urethra to the balder. Catheters are sterile while they are in packaging however after insertion they don’t remain sterile. Urine in itself is not sterile and contains microbes from urobiom. As a body fluid is has low PH and creates a hostile environment for external microbes to grow in it (Tang, 2017).When urine accumulates in the catheter bag over a period of </w:t>
      </w:r>
      <w:r w:rsidRPr="00673B29">
        <w:rPr>
          <w:rFonts w:ascii="Calibri" w:eastAsia="Times New Roman" w:hAnsi="Calibri" w:cs="Calibri"/>
          <w:lang w:eastAsia="en-GB"/>
        </w:rPr>
        <w:lastRenderedPageBreak/>
        <w:t>time microbes start growing in the bag and can ingress to the urinary tract via the catheter tube leading to infection. The length for which a patient will have catheter will also have an impact on the likelihood of the infection (</w:t>
      </w:r>
      <w:proofErr w:type="spellStart"/>
      <w:r w:rsidRPr="00673B29">
        <w:rPr>
          <w:rFonts w:ascii="Calibri" w:eastAsia="Times New Roman" w:hAnsi="Calibri" w:cs="Calibri"/>
          <w:lang w:eastAsia="en-GB"/>
        </w:rPr>
        <w:t>Werneburg</w:t>
      </w:r>
      <w:proofErr w:type="spellEnd"/>
      <w:r w:rsidRPr="00673B29">
        <w:rPr>
          <w:rFonts w:ascii="Calibri" w:eastAsia="Times New Roman" w:hAnsi="Calibri" w:cs="Calibri"/>
          <w:lang w:eastAsia="en-GB"/>
        </w:rPr>
        <w:t>, 2022). Additionally, catheter insertion as a procedure can cause irritation and micro trauma to epithelium of urinary tract making microbe adhesion easy which then leads to infection (</w:t>
      </w:r>
      <w:proofErr w:type="spellStart"/>
      <w:r w:rsidRPr="00673B29">
        <w:rPr>
          <w:rFonts w:ascii="Calibri" w:eastAsia="Times New Roman" w:hAnsi="Calibri" w:cs="Calibri"/>
          <w:lang w:eastAsia="en-GB"/>
        </w:rPr>
        <w:t>Werneburg</w:t>
      </w:r>
      <w:proofErr w:type="spellEnd"/>
      <w:r w:rsidRPr="00673B29">
        <w:rPr>
          <w:rFonts w:ascii="Calibri" w:eastAsia="Times New Roman" w:hAnsi="Calibri" w:cs="Calibri"/>
          <w:lang w:eastAsia="en-GB"/>
        </w:rPr>
        <w:t>, 2022).  </w:t>
      </w:r>
    </w:p>
    <w:p w14:paraId="18F46C6A" w14:textId="7A1EEFF6" w:rsidR="00673B29" w:rsidRDefault="00673B29" w:rsidP="00673B29">
      <w:pPr>
        <w:spacing w:after="0" w:line="240" w:lineRule="auto"/>
        <w:textAlignment w:val="baseline"/>
        <w:rPr>
          <w:rFonts w:ascii="Calibri" w:eastAsia="Times New Roman" w:hAnsi="Calibri" w:cs="Calibri"/>
          <w:color w:val="000000"/>
          <w:lang w:eastAsia="en-GB"/>
        </w:rPr>
      </w:pPr>
      <w:r w:rsidRPr="00673B29">
        <w:rPr>
          <w:rFonts w:ascii="Calibri" w:eastAsia="Times New Roman" w:hAnsi="Calibri" w:cs="Calibri"/>
          <w:lang w:eastAsia="en-GB"/>
        </w:rPr>
        <w:t xml:space="preserve">This study evaluates the data set to investigate correlation of indwelling catheter and UTI prevalence in the given population. </w:t>
      </w:r>
      <w:r w:rsidRPr="00673B29">
        <w:rPr>
          <w:rFonts w:ascii="Calibri" w:eastAsia="Times New Roman" w:hAnsi="Calibri" w:cs="Calibri"/>
          <w:color w:val="000000"/>
          <w:lang w:eastAsia="en-GB"/>
        </w:rPr>
        <w:t>Kendal’s tau-b correlation did not find any correlation between the two variables. There could be several explanations for this. One obvious reason is that the data set was not studying all patients with catheter. In the data set 24% patients had catheter however the correlation cannot be established statistically. It is possible that data set was not varied or large enough leading to this outcome. The length for which the catheter has been in situ is not clear from the data set which can affect the prevalence of UTI. 24% females and 25% males among the data set had indwelling catheter. NICE recognises male with catheter are more likely to get a UTI to anatomical reasons compared to female however the dataset at hand in unable to establish the correlation found in literate (NICE, 2023). </w:t>
      </w:r>
    </w:p>
    <w:p w14:paraId="0FE8A8DB" w14:textId="77777777" w:rsidR="008167C1" w:rsidRPr="00673B29" w:rsidRDefault="008167C1" w:rsidP="00673B29">
      <w:pPr>
        <w:spacing w:after="0" w:line="240" w:lineRule="auto"/>
        <w:textAlignment w:val="baseline"/>
        <w:rPr>
          <w:rFonts w:ascii="Segoe UI" w:eastAsia="Times New Roman" w:hAnsi="Segoe UI" w:cs="Segoe UI"/>
          <w:sz w:val="18"/>
          <w:szCs w:val="18"/>
          <w:lang w:eastAsia="en-GB"/>
        </w:rPr>
      </w:pPr>
    </w:p>
    <w:p w14:paraId="73EFEF34" w14:textId="51F034EB"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b/>
          <w:bCs/>
          <w:lang w:eastAsia="en-GB"/>
        </w:rPr>
        <w:t>Diagnostic tests and use of appropriate antibiotics:</w:t>
      </w:r>
      <w:r w:rsidRPr="00673B29">
        <w:rPr>
          <w:rFonts w:ascii="Calibri" w:eastAsia="Times New Roman" w:hAnsi="Calibri" w:cs="Calibri"/>
          <w:lang w:eastAsia="en-GB"/>
        </w:rPr>
        <w:t xml:space="preserve"> Diagnostic tests are very useful tool for clinicians in practice. They not onl</w:t>
      </w:r>
      <w:r w:rsidR="008167C1">
        <w:rPr>
          <w:rFonts w:ascii="Calibri" w:eastAsia="Times New Roman" w:hAnsi="Calibri" w:cs="Calibri"/>
          <w:lang w:eastAsia="en-GB"/>
        </w:rPr>
        <w:t>y help in confirming presence or</w:t>
      </w:r>
      <w:r w:rsidRPr="00673B29">
        <w:rPr>
          <w:rFonts w:ascii="Calibri" w:eastAsia="Times New Roman" w:hAnsi="Calibri" w:cs="Calibri"/>
          <w:lang w:eastAsia="en-GB"/>
        </w:rPr>
        <w:t xml:space="preserve"> absence of infection but depending on type of diagnostic test used they can also help in identifying the causative pathogen consequently making it easy to decide a treatment regimen (Ferrante di </w:t>
      </w:r>
      <w:proofErr w:type="spellStart"/>
      <w:r w:rsidRPr="00673B29">
        <w:rPr>
          <w:rFonts w:ascii="Calibri" w:eastAsia="Times New Roman" w:hAnsi="Calibri" w:cs="Calibri"/>
          <w:lang w:eastAsia="en-GB"/>
        </w:rPr>
        <w:t>Ruffano</w:t>
      </w:r>
      <w:proofErr w:type="spellEnd"/>
      <w:r w:rsidRPr="00673B29">
        <w:rPr>
          <w:rFonts w:ascii="Calibri" w:eastAsia="Times New Roman" w:hAnsi="Calibri" w:cs="Calibri"/>
          <w:lang w:eastAsia="en-GB"/>
        </w:rPr>
        <w:t xml:space="preserve"> et al., 2012).  </w:t>
      </w:r>
    </w:p>
    <w:p w14:paraId="56B88FC8" w14:textId="5E4BF51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Although diagnostic tests have their limitations and cannot be used in isolation of clinical presentation to treatment ailment. For example a positive test does not always mean a confirmati</w:t>
      </w:r>
      <w:r w:rsidR="008167C1">
        <w:rPr>
          <w:rFonts w:ascii="Calibri" w:eastAsia="Times New Roman" w:hAnsi="Calibri" w:cs="Calibri"/>
          <w:lang w:eastAsia="en-GB"/>
        </w:rPr>
        <w:t>on of a problem (false positive</w:t>
      </w:r>
      <w:r w:rsidRPr="00673B29">
        <w:rPr>
          <w:rFonts w:ascii="Calibri" w:eastAsia="Times New Roman" w:hAnsi="Calibri" w:cs="Calibri"/>
          <w:lang w:eastAsia="en-GB"/>
        </w:rPr>
        <w:t>) and vice versa (false negative). Therefor it is important to consider the tests alongside clinical presentation (Sheng et al., 2023). </w:t>
      </w:r>
    </w:p>
    <w:p w14:paraId="0170C919" w14:textId="34DE0FD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In the context of antimicrobial stewardship, diagnostic tests offer (especially microbial cultures) offer a unique insight into which pathogen has been found in the sample and if that pathogen is “sensitive” or “resistant” to antimicrobials  generally used to treat infections caused by those pathogens. This knowledge will provide the clinical</w:t>
      </w:r>
      <w:r w:rsidR="008167C1">
        <w:rPr>
          <w:rFonts w:ascii="Calibri" w:eastAsia="Times New Roman" w:hAnsi="Calibri" w:cs="Calibri"/>
          <w:lang w:eastAsia="en-GB"/>
        </w:rPr>
        <w:t>ly</w:t>
      </w:r>
      <w:r w:rsidRPr="00673B29">
        <w:rPr>
          <w:rFonts w:ascii="Calibri" w:eastAsia="Times New Roman" w:hAnsi="Calibri" w:cs="Calibri"/>
          <w:lang w:eastAsia="en-GB"/>
        </w:rPr>
        <w:t xml:space="preserve"> precise knowledge of which antimicrobial to use thereby treating the infection prompting avoiding any delays and risk of infection related </w:t>
      </w:r>
      <w:r w:rsidR="008167C1">
        <w:rPr>
          <w:rFonts w:ascii="Calibri" w:eastAsia="Times New Roman" w:hAnsi="Calibri" w:cs="Calibri"/>
          <w:lang w:eastAsia="en-GB"/>
        </w:rPr>
        <w:t xml:space="preserve">to </w:t>
      </w:r>
      <w:r w:rsidRPr="00673B29">
        <w:rPr>
          <w:rFonts w:ascii="Calibri" w:eastAsia="Times New Roman" w:hAnsi="Calibri" w:cs="Calibri"/>
          <w:lang w:eastAsia="en-GB"/>
        </w:rPr>
        <w:t>complications such as sepsis.  </w:t>
      </w:r>
    </w:p>
    <w:p w14:paraId="5EDF6499" w14:textId="57A5CE06"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With regards to UTIs, diagnostic tests include urine dip stick and urine culture and blood culture (for </w:t>
      </w:r>
      <w:r w:rsidR="008167C1" w:rsidRPr="00673B29">
        <w:rPr>
          <w:rFonts w:ascii="Calibri" w:eastAsia="Times New Roman" w:hAnsi="Calibri" w:cs="Calibri"/>
          <w:lang w:eastAsia="en-GB"/>
        </w:rPr>
        <w:t>Urosepsis</w:t>
      </w:r>
      <w:r w:rsidRPr="00673B29">
        <w:rPr>
          <w:rFonts w:ascii="Calibri" w:eastAsia="Times New Roman" w:hAnsi="Calibri" w:cs="Calibri"/>
          <w:lang w:eastAsia="en-GB"/>
        </w:rPr>
        <w:t>). Urine dip stick tests for presence of white blood cells (which i</w:t>
      </w:r>
      <w:r w:rsidR="008167C1">
        <w:rPr>
          <w:rFonts w:ascii="Calibri" w:eastAsia="Times New Roman" w:hAnsi="Calibri" w:cs="Calibri"/>
          <w:lang w:eastAsia="en-GB"/>
        </w:rPr>
        <w:t>ncrease in acute infection and</w:t>
      </w:r>
      <w:r w:rsidRPr="00673B29">
        <w:rPr>
          <w:rFonts w:ascii="Calibri" w:eastAsia="Times New Roman" w:hAnsi="Calibri" w:cs="Calibri"/>
          <w:lang w:eastAsia="en-GB"/>
        </w:rPr>
        <w:t xml:space="preserve"> several other reasons), nitrates and leukocyte esterase (LEs) which are specific to by-products of bacterial metabolism. Absence of Nitrated and LEs reduce the likelihood of UTI by 40 to 60% (</w:t>
      </w:r>
      <w:proofErr w:type="spellStart"/>
      <w:r w:rsidRPr="00673B29">
        <w:rPr>
          <w:rFonts w:ascii="Calibri" w:eastAsia="Times New Roman" w:hAnsi="Calibri" w:cs="Calibri"/>
          <w:lang w:eastAsia="en-GB"/>
        </w:rPr>
        <w:t>Simati</w:t>
      </w:r>
      <w:proofErr w:type="spellEnd"/>
      <w:r w:rsidRPr="00673B29">
        <w:rPr>
          <w:rFonts w:ascii="Calibri" w:eastAsia="Times New Roman" w:hAnsi="Calibri" w:cs="Calibri"/>
          <w:lang w:eastAsia="en-GB"/>
        </w:rPr>
        <w:t xml:space="preserve"> et al., 2013). Accuracy of urine dip stick</w:t>
      </w:r>
      <w:r w:rsidR="008167C1">
        <w:rPr>
          <w:rFonts w:ascii="Calibri" w:eastAsia="Times New Roman" w:hAnsi="Calibri" w:cs="Calibri"/>
          <w:lang w:eastAsia="en-GB"/>
        </w:rPr>
        <w:t xml:space="preserve"> is</w:t>
      </w:r>
      <w:r w:rsidRPr="00673B29">
        <w:rPr>
          <w:rFonts w:ascii="Calibri" w:eastAsia="Times New Roman" w:hAnsi="Calibri" w:cs="Calibri"/>
          <w:lang w:eastAsia="en-GB"/>
        </w:rPr>
        <w:t xml:space="preserve"> </w:t>
      </w:r>
      <w:r w:rsidR="008167C1">
        <w:rPr>
          <w:rFonts w:ascii="Calibri" w:eastAsia="Times New Roman" w:hAnsi="Calibri" w:cs="Calibri"/>
          <w:lang w:eastAsia="en-GB"/>
        </w:rPr>
        <w:t xml:space="preserve">not </w:t>
      </w:r>
      <w:r w:rsidRPr="00673B29">
        <w:rPr>
          <w:rFonts w:ascii="Calibri" w:eastAsia="Times New Roman" w:hAnsi="Calibri" w:cs="Calibri"/>
          <w:lang w:eastAsia="en-GB"/>
        </w:rPr>
        <w:t>independent of clinical presentation (e.g. symptoms)</w:t>
      </w:r>
      <w:r w:rsidR="008167C1">
        <w:rPr>
          <w:rFonts w:ascii="Calibri" w:eastAsia="Times New Roman" w:hAnsi="Calibri" w:cs="Calibri"/>
          <w:lang w:eastAsia="en-GB"/>
        </w:rPr>
        <w:t xml:space="preserve"> and is limited e.g.</w:t>
      </w:r>
      <w:r w:rsidRPr="00673B29">
        <w:rPr>
          <w:rFonts w:ascii="Calibri" w:eastAsia="Times New Roman" w:hAnsi="Calibri" w:cs="Calibri"/>
          <w:lang w:eastAsia="en-GB"/>
        </w:rPr>
        <w:t xml:space="preserve"> if the urine sample is not collected with caution then nitrates and LE don’t necessarily mean bacteria in urine it can also mean bacterial cross contamination from the environment</w:t>
      </w:r>
      <w:r w:rsidR="008167C1">
        <w:rPr>
          <w:rFonts w:ascii="Calibri" w:eastAsia="Times New Roman" w:hAnsi="Calibri" w:cs="Calibri"/>
          <w:lang w:eastAsia="en-GB"/>
        </w:rPr>
        <w:t xml:space="preserve"> (Urethra)</w:t>
      </w:r>
      <w:r w:rsidRPr="00673B29">
        <w:rPr>
          <w:rFonts w:ascii="Calibri" w:eastAsia="Times New Roman" w:hAnsi="Calibri" w:cs="Calibri"/>
          <w:lang w:eastAsia="en-GB"/>
        </w:rPr>
        <w:t xml:space="preserve">. Similarly using urine dip stick for the sample collected from catheter bag is redundant and </w:t>
      </w:r>
      <w:r w:rsidR="008167C1">
        <w:rPr>
          <w:rFonts w:ascii="Calibri" w:eastAsia="Times New Roman" w:hAnsi="Calibri" w:cs="Calibri"/>
          <w:lang w:eastAsia="en-GB"/>
        </w:rPr>
        <w:t>holds no value for diagnosis as catheter</w:t>
      </w:r>
      <w:r w:rsidRPr="00673B29">
        <w:rPr>
          <w:rFonts w:ascii="Calibri" w:eastAsia="Times New Roman" w:hAnsi="Calibri" w:cs="Calibri"/>
          <w:lang w:eastAsia="en-GB"/>
        </w:rPr>
        <w:t xml:space="preserve"> will inevitably have microbial growth since it is a non-sterile environment (Butcher &amp; </w:t>
      </w:r>
      <w:proofErr w:type="spellStart"/>
      <w:r w:rsidRPr="00673B29">
        <w:rPr>
          <w:rFonts w:ascii="Calibri" w:eastAsia="Times New Roman" w:hAnsi="Calibri" w:cs="Calibri"/>
          <w:lang w:eastAsia="en-GB"/>
        </w:rPr>
        <w:t>Baxi</w:t>
      </w:r>
      <w:proofErr w:type="spellEnd"/>
      <w:r w:rsidRPr="00673B29">
        <w:rPr>
          <w:rFonts w:ascii="Calibri" w:eastAsia="Times New Roman" w:hAnsi="Calibri" w:cs="Calibri"/>
          <w:lang w:eastAsia="en-GB"/>
        </w:rPr>
        <w:t>, 2023). Urine culture is superior to dip stick as it provides detailed information on which bacterial colonies grew on the sample and of their sensitivity information to antimicrobials.  </w:t>
      </w:r>
    </w:p>
    <w:p w14:paraId="3B233B58" w14:textId="5AEC988E"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Both urine dip stick test and urine culture become less useful in diagnosi</w:t>
      </w:r>
      <w:r w:rsidR="008167C1">
        <w:rPr>
          <w:rFonts w:ascii="Calibri" w:eastAsia="Times New Roman" w:hAnsi="Calibri" w:cs="Calibri"/>
          <w:lang w:eastAsia="en-GB"/>
        </w:rPr>
        <w:t>ng UTI in elderly. Around 50% of</w:t>
      </w:r>
      <w:r w:rsidRPr="00673B29">
        <w:rPr>
          <w:rFonts w:ascii="Calibri" w:eastAsia="Times New Roman" w:hAnsi="Calibri" w:cs="Calibri"/>
          <w:lang w:eastAsia="en-GB"/>
        </w:rPr>
        <w:t xml:space="preserve"> women over the age of 65 years and almost all patients with catheter have bacteria as part of urine, called bacteraemia and all clinical guidelines </w:t>
      </w:r>
      <w:proofErr w:type="gramStart"/>
      <w:r w:rsidRPr="00673B29">
        <w:rPr>
          <w:rFonts w:ascii="Calibri" w:eastAsia="Times New Roman" w:hAnsi="Calibri" w:cs="Calibri"/>
          <w:lang w:eastAsia="en-GB"/>
        </w:rPr>
        <w:t>advise</w:t>
      </w:r>
      <w:proofErr w:type="gramEnd"/>
      <w:r w:rsidRPr="00673B29">
        <w:rPr>
          <w:rFonts w:ascii="Calibri" w:eastAsia="Times New Roman" w:hAnsi="Calibri" w:cs="Calibri"/>
          <w:lang w:eastAsia="en-GB"/>
        </w:rPr>
        <w:t xml:space="preserve"> against treating asymptomatic bacteraemia (Morgan, 2021).   </w:t>
      </w:r>
    </w:p>
    <w:p w14:paraId="51A86447" w14:textId="1D71DA5D" w:rsidR="00673B29" w:rsidRDefault="00673B29" w:rsidP="00673B29">
      <w:pPr>
        <w:spacing w:after="0" w:line="240" w:lineRule="auto"/>
        <w:textAlignment w:val="baseline"/>
        <w:rPr>
          <w:rFonts w:ascii="Calibri" w:eastAsia="Times New Roman" w:hAnsi="Calibri" w:cs="Calibri"/>
          <w:color w:val="0D0D0D"/>
          <w:lang w:eastAsia="en-GB"/>
        </w:rPr>
      </w:pPr>
      <w:r w:rsidRPr="00673B29">
        <w:rPr>
          <w:rFonts w:ascii="Calibri" w:eastAsia="Times New Roman" w:hAnsi="Calibri" w:cs="Calibri"/>
          <w:lang w:eastAsia="en-GB"/>
        </w:rPr>
        <w:t>For the data set used in this study, median age is 77 and only 10 patients are under the age of 65 so using urine dip stick in the absence of symptoms would not hold a clinical value. However</w:t>
      </w:r>
      <w:r w:rsidR="008167C1">
        <w:rPr>
          <w:rFonts w:ascii="Calibri" w:eastAsia="Times New Roman" w:hAnsi="Calibri" w:cs="Calibri"/>
          <w:lang w:eastAsia="en-GB"/>
        </w:rPr>
        <w:t>,</w:t>
      </w:r>
      <w:r w:rsidRPr="00673B29">
        <w:rPr>
          <w:rFonts w:ascii="Calibri" w:eastAsia="Times New Roman" w:hAnsi="Calibri" w:cs="Calibri"/>
          <w:lang w:eastAsia="en-GB"/>
        </w:rPr>
        <w:t xml:space="preserve"> the data does not provide any information if patients were symptomatic or were treated empirically.  Pearson correlation ran on presence/absence of diagnostic test and use of appropriate antibiotic found that there was no correlation between these two variables. Since, this is a secondary data set it is unclear what is meant by “appropriate antibiotic” as it can have several </w:t>
      </w:r>
      <w:r w:rsidRPr="00673B29">
        <w:rPr>
          <w:rFonts w:ascii="Calibri" w:eastAsia="Times New Roman" w:hAnsi="Calibri" w:cs="Calibri"/>
          <w:lang w:eastAsia="en-GB"/>
        </w:rPr>
        <w:lastRenderedPageBreak/>
        <w:t xml:space="preserve">meanings. For example </w:t>
      </w:r>
      <w:r w:rsidR="008167C1">
        <w:rPr>
          <w:rFonts w:ascii="Calibri" w:eastAsia="Times New Roman" w:hAnsi="Calibri" w:cs="Calibri"/>
          <w:lang w:eastAsia="en-GB"/>
        </w:rPr>
        <w:t xml:space="preserve">does </w:t>
      </w:r>
      <w:r w:rsidRPr="00673B29">
        <w:rPr>
          <w:rFonts w:ascii="Calibri" w:eastAsia="Times New Roman" w:hAnsi="Calibri" w:cs="Calibri"/>
          <w:lang w:eastAsia="en-GB"/>
        </w:rPr>
        <w:t xml:space="preserve">appropriate antibiotic mean appropriate based on culture, clinical guidelines or antimicrobial </w:t>
      </w:r>
      <w:r w:rsidRPr="00673B29">
        <w:rPr>
          <w:rFonts w:ascii="Calibri" w:eastAsia="Times New Roman" w:hAnsi="Calibri" w:cs="Calibri"/>
          <w:color w:val="0D0D0D"/>
          <w:lang w:eastAsia="en-GB"/>
        </w:rPr>
        <w:t>resistance to certa</w:t>
      </w:r>
      <w:r w:rsidR="008167C1">
        <w:rPr>
          <w:rFonts w:ascii="Calibri" w:eastAsia="Times New Roman" w:hAnsi="Calibri" w:cs="Calibri"/>
          <w:color w:val="0D0D0D"/>
          <w:lang w:eastAsia="en-GB"/>
        </w:rPr>
        <w:t>in antibiotics in certain areas?</w:t>
      </w:r>
      <w:r w:rsidRPr="00673B29">
        <w:rPr>
          <w:rFonts w:ascii="Calibri" w:eastAsia="Times New Roman" w:hAnsi="Calibri" w:cs="Calibri"/>
          <w:color w:val="0D0D0D"/>
          <w:lang w:eastAsia="en-GB"/>
        </w:rPr>
        <w:t xml:space="preserve"> Appropriateness of antibiotic can also related to other patient factors such as renal functions, history of allergy or other contraindications such as comorbidities. From this dataset it is not possible to establish replicability or causality. </w:t>
      </w:r>
    </w:p>
    <w:p w14:paraId="33D2EB11" w14:textId="77777777" w:rsidR="008167C1" w:rsidRPr="00673B29" w:rsidRDefault="008167C1" w:rsidP="00673B29">
      <w:pPr>
        <w:spacing w:after="0" w:line="240" w:lineRule="auto"/>
        <w:textAlignment w:val="baseline"/>
        <w:rPr>
          <w:rFonts w:ascii="Segoe UI" w:eastAsia="Times New Roman" w:hAnsi="Segoe UI" w:cs="Segoe UI"/>
          <w:sz w:val="18"/>
          <w:szCs w:val="18"/>
          <w:lang w:eastAsia="en-GB"/>
        </w:rPr>
      </w:pPr>
    </w:p>
    <w:p w14:paraId="441BD24E"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b/>
          <w:bCs/>
          <w:color w:val="000000"/>
          <w:lang w:eastAsia="en-GB"/>
        </w:rPr>
        <w:t xml:space="preserve">Risk of resistance and gender: </w:t>
      </w:r>
      <w:r w:rsidRPr="00673B29">
        <w:rPr>
          <w:rFonts w:ascii="Calibri" w:eastAsia="Times New Roman" w:hAnsi="Calibri" w:cs="Calibri"/>
          <w:color w:val="000000"/>
          <w:lang w:eastAsia="en-GB"/>
        </w:rPr>
        <w:t>Overuse of antibiotics is associated with increased risk of AMR (</w:t>
      </w:r>
      <w:proofErr w:type="spellStart"/>
      <w:r w:rsidRPr="00673B29">
        <w:rPr>
          <w:rFonts w:ascii="Calibri" w:eastAsia="Times New Roman" w:hAnsi="Calibri" w:cs="Calibri"/>
          <w:color w:val="000000"/>
          <w:lang w:eastAsia="en-GB"/>
        </w:rPr>
        <w:t>Llor</w:t>
      </w:r>
      <w:proofErr w:type="spellEnd"/>
      <w:r w:rsidRPr="00673B29">
        <w:rPr>
          <w:rFonts w:ascii="Calibri" w:eastAsia="Times New Roman" w:hAnsi="Calibri" w:cs="Calibri"/>
          <w:color w:val="000000"/>
          <w:lang w:eastAsia="en-GB"/>
        </w:rPr>
        <w:t xml:space="preserve"> &amp; Bjerrum, 2014).</w:t>
      </w:r>
      <w:r w:rsidRPr="00673B29">
        <w:rPr>
          <w:rFonts w:ascii="Calibri" w:eastAsia="Times New Roman" w:hAnsi="Calibri" w:cs="Calibri"/>
          <w:lang w:eastAsia="en-GB"/>
        </w:rPr>
        <w:t xml:space="preserve"> It is important to note that excessive us of antimicrobials is not the only cause of AMR but there are other socio-economic and patient factors that contribute to AMR. </w:t>
      </w:r>
      <w:proofErr w:type="spellStart"/>
      <w:r w:rsidRPr="00673B29">
        <w:rPr>
          <w:rFonts w:ascii="Calibri" w:eastAsia="Times New Roman" w:hAnsi="Calibri" w:cs="Calibri"/>
          <w:lang w:eastAsia="en-GB"/>
        </w:rPr>
        <w:t>Schröder</w:t>
      </w:r>
      <w:proofErr w:type="spellEnd"/>
      <w:r w:rsidRPr="00673B29">
        <w:rPr>
          <w:rFonts w:ascii="Calibri" w:eastAsia="Times New Roman" w:hAnsi="Calibri" w:cs="Calibri"/>
          <w:lang w:eastAsia="en-GB"/>
        </w:rPr>
        <w:t xml:space="preserve"> et al (2016) identified that women are 27% more likely to have an antibiotic prescribed for them thereby linked to increased risk of AMR related to overuse of antimicrobials (</w:t>
      </w:r>
      <w:proofErr w:type="spellStart"/>
      <w:r w:rsidRPr="00673B29">
        <w:rPr>
          <w:rFonts w:ascii="Calibri" w:eastAsia="Times New Roman" w:hAnsi="Calibri" w:cs="Calibri"/>
          <w:lang w:eastAsia="en-GB"/>
        </w:rPr>
        <w:t>Schröder</w:t>
      </w:r>
      <w:proofErr w:type="spellEnd"/>
      <w:r w:rsidRPr="00673B29">
        <w:rPr>
          <w:rFonts w:ascii="Calibri" w:eastAsia="Times New Roman" w:hAnsi="Calibri" w:cs="Calibri"/>
          <w:lang w:eastAsia="en-GB"/>
        </w:rPr>
        <w:t xml:space="preserve"> et al., 2016). World Health Organisation recognises women to be at more risk of AMR due to both biological and social factors (World Health Organization, 2022). Healthcare is considered as female dominant profession which leads to increased exposure to infection consequently more antibiotic use.  </w:t>
      </w:r>
    </w:p>
    <w:p w14:paraId="7A5FE45B" w14:textId="570A1F9A" w:rsidR="00673B29" w:rsidRDefault="00673B29" w:rsidP="00673B29">
      <w:pPr>
        <w:spacing w:after="0" w:line="240" w:lineRule="auto"/>
        <w:textAlignment w:val="baseline"/>
        <w:rPr>
          <w:rFonts w:ascii="Calibri" w:eastAsia="Times New Roman" w:hAnsi="Calibri" w:cs="Calibri"/>
          <w:color w:val="0D0D0D"/>
          <w:lang w:eastAsia="en-GB"/>
        </w:rPr>
      </w:pPr>
      <w:r w:rsidRPr="00673B29">
        <w:rPr>
          <w:rFonts w:ascii="Calibri" w:eastAsia="Times New Roman" w:hAnsi="Calibri" w:cs="Calibri"/>
          <w:lang w:eastAsia="en-GB"/>
        </w:rPr>
        <w:t xml:space="preserve">Chi-squared test was run to see if there is a relationship between “risk of resistance” and gender. Since the data set was small it and p value was greater than the significance level (α) a relationship between these two variables could not be concluded. Size of the data set could be the limiting factor in this matter. Moreover, it is unclear how did the data set identified “risk of resistance”.  For example if treatment failure was used to determine risk of resistance or if it was related to patient’s age. If the categorical data listing risk of resistant as “yes” or “no” cannot be explained then it is </w:t>
      </w:r>
      <w:r w:rsidRPr="00673B29">
        <w:rPr>
          <w:rFonts w:ascii="Calibri" w:eastAsia="Times New Roman" w:hAnsi="Calibri" w:cs="Calibri"/>
          <w:color w:val="0D0D0D"/>
          <w:lang w:eastAsia="en-GB"/>
        </w:rPr>
        <w:t>difficult to establish a relationship even if it was statistically present.   </w:t>
      </w:r>
    </w:p>
    <w:p w14:paraId="3A6B42EB" w14:textId="77777777" w:rsidR="008167C1" w:rsidRPr="00673B29" w:rsidRDefault="008167C1" w:rsidP="00673B29">
      <w:pPr>
        <w:spacing w:after="0" w:line="240" w:lineRule="auto"/>
        <w:textAlignment w:val="baseline"/>
        <w:rPr>
          <w:rFonts w:ascii="Segoe UI" w:eastAsia="Times New Roman" w:hAnsi="Segoe UI" w:cs="Segoe UI"/>
          <w:sz w:val="18"/>
          <w:szCs w:val="18"/>
          <w:lang w:eastAsia="en-GB"/>
        </w:rPr>
      </w:pPr>
    </w:p>
    <w:p w14:paraId="4BC87816" w14:textId="74E39B2F"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b/>
          <w:bCs/>
          <w:color w:val="0D0D0D"/>
          <w:lang w:eastAsia="en-GB"/>
        </w:rPr>
        <w:t xml:space="preserve">Risk of resistance is independent of use of appropriate antibiotics: </w:t>
      </w:r>
      <w:r w:rsidR="008167C1">
        <w:rPr>
          <w:rFonts w:ascii="Calibri" w:eastAsia="Times New Roman" w:hAnsi="Calibri" w:cs="Calibri"/>
          <w:color w:val="0D0D0D"/>
          <w:lang w:eastAsia="en-GB"/>
        </w:rPr>
        <w:t xml:space="preserve">As discussed above </w:t>
      </w:r>
      <w:r w:rsidRPr="00673B29">
        <w:rPr>
          <w:rFonts w:ascii="Calibri" w:eastAsia="Times New Roman" w:hAnsi="Calibri" w:cs="Calibri"/>
          <w:color w:val="0D0D0D"/>
          <w:lang w:eastAsia="en-GB"/>
        </w:rPr>
        <w:t xml:space="preserve">inappropriate and overuse of antibiotics directly contributes to risk of resistance. Since the data set categorically indicates presence or absence of risk of resistance and appropriate use of antibiotics, it is prudent </w:t>
      </w:r>
      <w:r w:rsidR="008167C1">
        <w:rPr>
          <w:rFonts w:ascii="Calibri" w:eastAsia="Times New Roman" w:hAnsi="Calibri" w:cs="Calibri"/>
          <w:color w:val="0D0D0D"/>
          <w:lang w:eastAsia="en-GB"/>
        </w:rPr>
        <w:t xml:space="preserve">to </w:t>
      </w:r>
      <w:r w:rsidRPr="00673B29">
        <w:rPr>
          <w:rFonts w:ascii="Calibri" w:eastAsia="Times New Roman" w:hAnsi="Calibri" w:cs="Calibri"/>
          <w:color w:val="0D0D0D"/>
          <w:lang w:eastAsia="en-GB"/>
        </w:rPr>
        <w:t>attempt identifying a relationship between these variables. Due to the limitations discussed above including,  </w:t>
      </w:r>
    </w:p>
    <w:p w14:paraId="64B3B5BD" w14:textId="77777777" w:rsidR="00673B29" w:rsidRPr="00673B29" w:rsidRDefault="00673B29" w:rsidP="00673B29">
      <w:pPr>
        <w:numPr>
          <w:ilvl w:val="0"/>
          <w:numId w:val="7"/>
        </w:numPr>
        <w:spacing w:after="0" w:line="240" w:lineRule="auto"/>
        <w:ind w:left="360" w:firstLine="0"/>
        <w:textAlignment w:val="baseline"/>
        <w:rPr>
          <w:rFonts w:ascii="Calibri" w:eastAsia="Times New Roman" w:hAnsi="Calibri" w:cs="Calibri"/>
          <w:lang w:eastAsia="en-GB"/>
        </w:rPr>
      </w:pPr>
      <w:r w:rsidRPr="00673B29">
        <w:rPr>
          <w:rFonts w:ascii="Calibri" w:eastAsia="Times New Roman" w:hAnsi="Calibri" w:cs="Calibri"/>
          <w:color w:val="0D0D0D"/>
          <w:lang w:eastAsia="en-GB"/>
        </w:rPr>
        <w:t>Limited data set </w:t>
      </w:r>
    </w:p>
    <w:p w14:paraId="5D4FF404" w14:textId="77777777" w:rsidR="00673B29" w:rsidRPr="00673B29" w:rsidRDefault="00673B29" w:rsidP="00673B29">
      <w:pPr>
        <w:numPr>
          <w:ilvl w:val="0"/>
          <w:numId w:val="8"/>
        </w:numPr>
        <w:spacing w:after="0" w:line="240" w:lineRule="auto"/>
        <w:ind w:left="360" w:firstLine="0"/>
        <w:textAlignment w:val="baseline"/>
        <w:rPr>
          <w:rFonts w:ascii="Calibri" w:eastAsia="Times New Roman" w:hAnsi="Calibri" w:cs="Calibri"/>
          <w:lang w:eastAsia="en-GB"/>
        </w:rPr>
      </w:pPr>
      <w:r w:rsidRPr="00673B29">
        <w:rPr>
          <w:rFonts w:ascii="Calibri" w:eastAsia="Times New Roman" w:hAnsi="Calibri" w:cs="Calibri"/>
          <w:color w:val="0D0D0D"/>
          <w:lang w:eastAsia="en-GB"/>
        </w:rPr>
        <w:t>Lack of information how “risk of resistance” was categorised </w:t>
      </w:r>
    </w:p>
    <w:p w14:paraId="5F512DEB" w14:textId="77777777" w:rsidR="00673B29" w:rsidRPr="00673B29" w:rsidRDefault="00673B29" w:rsidP="00673B29">
      <w:pPr>
        <w:numPr>
          <w:ilvl w:val="0"/>
          <w:numId w:val="9"/>
        </w:numPr>
        <w:spacing w:after="0" w:line="240" w:lineRule="auto"/>
        <w:ind w:left="360" w:firstLine="0"/>
        <w:textAlignment w:val="baseline"/>
        <w:rPr>
          <w:rFonts w:ascii="Calibri" w:eastAsia="Times New Roman" w:hAnsi="Calibri" w:cs="Calibri"/>
          <w:lang w:eastAsia="en-GB"/>
        </w:rPr>
      </w:pPr>
      <w:r w:rsidRPr="00673B29">
        <w:rPr>
          <w:rFonts w:ascii="Calibri" w:eastAsia="Times New Roman" w:hAnsi="Calibri" w:cs="Calibri"/>
          <w:color w:val="0D0D0D"/>
          <w:lang w:eastAsia="en-GB"/>
        </w:rPr>
        <w:t>How “appropriateness” of antibiotic was established  </w:t>
      </w:r>
    </w:p>
    <w:p w14:paraId="485B82DD" w14:textId="12F5FA5A" w:rsidR="00673B29" w:rsidRPr="00673B29" w:rsidRDefault="008167C1"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D0D0D"/>
          <w:lang w:eastAsia="en-GB"/>
        </w:rPr>
        <w:t>No</w:t>
      </w:r>
      <w:r w:rsidR="00673B29" w:rsidRPr="00673B29">
        <w:rPr>
          <w:rFonts w:ascii="Calibri" w:eastAsia="Times New Roman" w:hAnsi="Calibri" w:cs="Calibri"/>
          <w:color w:val="0D0D0D"/>
          <w:lang w:eastAsia="en-GB"/>
        </w:rPr>
        <w:t xml:space="preserve"> statistical correlation could be established between these two variables.  </w:t>
      </w:r>
    </w:p>
    <w:p w14:paraId="79B820BD" w14:textId="77777777" w:rsidR="00673B29" w:rsidRPr="00673B29" w:rsidRDefault="00673B29" w:rsidP="00CF38B8">
      <w:pPr>
        <w:pStyle w:val="Heading1"/>
        <w:rPr>
          <w:rFonts w:ascii="Segoe UI" w:eastAsia="Times New Roman" w:hAnsi="Segoe UI" w:cs="Segoe UI"/>
          <w:sz w:val="18"/>
          <w:szCs w:val="18"/>
          <w:lang w:eastAsia="en-GB"/>
        </w:rPr>
      </w:pPr>
      <w:bookmarkStart w:id="16" w:name="_Toc166407167"/>
      <w:r w:rsidRPr="00673B29">
        <w:rPr>
          <w:rFonts w:eastAsia="Times New Roman"/>
          <w:lang w:eastAsia="en-GB"/>
        </w:rPr>
        <w:t>Conclusion:</w:t>
      </w:r>
      <w:bookmarkEnd w:id="16"/>
      <w:r w:rsidRPr="00673B29">
        <w:rPr>
          <w:rFonts w:eastAsia="Times New Roman"/>
          <w:lang w:eastAsia="en-GB"/>
        </w:rPr>
        <w:t>  </w:t>
      </w:r>
    </w:p>
    <w:p w14:paraId="27CCE54D" w14:textId="7EA8811D"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color w:val="000000"/>
          <w:lang w:eastAsia="en-GB"/>
        </w:rPr>
        <w:t xml:space="preserve">Antimicrobial resistance is a growing phenomenon and is currently recognised as a healthcare crisis (Michael et al., 2014). </w:t>
      </w:r>
      <w:r w:rsidRPr="00673B29">
        <w:rPr>
          <w:rFonts w:ascii="Calibri" w:eastAsia="Times New Roman" w:hAnsi="Calibri" w:cs="Calibri"/>
          <w:lang w:eastAsia="en-GB"/>
        </w:rPr>
        <w:t>It is not only a threat to public health but also has a huge economic impact. Centre of Disease Control (USA) estimated that over 2 million infections are caused due to AMR out of which 23,000 result into deaths (</w:t>
      </w:r>
      <w:proofErr w:type="spellStart"/>
      <w:r w:rsidRPr="00673B29">
        <w:rPr>
          <w:rFonts w:ascii="Calibri" w:eastAsia="Times New Roman" w:hAnsi="Calibri" w:cs="Calibri"/>
          <w:lang w:eastAsia="en-GB"/>
        </w:rPr>
        <w:t>Dadgost</w:t>
      </w:r>
      <w:r w:rsidR="008167C1">
        <w:rPr>
          <w:rFonts w:ascii="Calibri" w:eastAsia="Times New Roman" w:hAnsi="Calibri" w:cs="Calibri"/>
          <w:lang w:eastAsia="en-GB"/>
        </w:rPr>
        <w:t>ar</w:t>
      </w:r>
      <w:proofErr w:type="spellEnd"/>
      <w:r w:rsidR="008167C1">
        <w:rPr>
          <w:rFonts w:ascii="Calibri" w:eastAsia="Times New Roman" w:hAnsi="Calibri" w:cs="Calibri"/>
          <w:lang w:eastAsia="en-GB"/>
        </w:rPr>
        <w:t>, 2019). A review of AMR in the UK</w:t>
      </w:r>
      <w:r w:rsidRPr="00673B29">
        <w:rPr>
          <w:rFonts w:ascii="Calibri" w:eastAsia="Times New Roman" w:hAnsi="Calibri" w:cs="Calibri"/>
          <w:lang w:eastAsia="en-GB"/>
        </w:rPr>
        <w:t xml:space="preserve"> estimated global death to increase to 10 million death per year by 2050. Although, extrapolation of current data may not be accurate, importance of a coordinated global action is paramount (Murray, 2022).  Raising awareness on AMR and education public as well as healthcare professionals is an important part of battling AMR. To educate other</w:t>
      </w:r>
      <w:r w:rsidR="008167C1">
        <w:rPr>
          <w:rFonts w:ascii="Calibri" w:eastAsia="Times New Roman" w:hAnsi="Calibri" w:cs="Calibri"/>
          <w:lang w:eastAsia="en-GB"/>
        </w:rPr>
        <w:t>s</w:t>
      </w:r>
      <w:r w:rsidRPr="00673B29">
        <w:rPr>
          <w:rFonts w:ascii="Calibri" w:eastAsia="Times New Roman" w:hAnsi="Calibri" w:cs="Calibri"/>
          <w:lang w:eastAsia="en-GB"/>
        </w:rPr>
        <w:t>, we must first understand patterns and risk factors of AMR within our communities.  </w:t>
      </w:r>
    </w:p>
    <w:p w14:paraId="7A859183"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UTI is one of the most common healthcare associated infection affecting both patients and healthcare staff. A secondary data set on UTI infections within DGHs in CTM UHB was used to perform statistical evaluation which may help identify pattern or association between patient and disease factors. Outcome of this evaluation may directly contribute to UTI management policies with CTMUHB.  </w:t>
      </w:r>
    </w:p>
    <w:p w14:paraId="712C46EC" w14:textId="33D607F3" w:rsidR="00673B29" w:rsidRDefault="00673B29" w:rsidP="00673B29">
      <w:pPr>
        <w:spacing w:after="0" w:line="240" w:lineRule="auto"/>
        <w:textAlignment w:val="baseline"/>
        <w:rPr>
          <w:rFonts w:ascii="Calibri" w:eastAsia="Times New Roman" w:hAnsi="Calibri" w:cs="Calibri"/>
          <w:lang w:eastAsia="en-GB"/>
        </w:rPr>
      </w:pPr>
      <w:r w:rsidRPr="00673B29">
        <w:rPr>
          <w:rFonts w:ascii="Calibri" w:eastAsia="Times New Roman" w:hAnsi="Calibri" w:cs="Calibri"/>
          <w:lang w:eastAsia="en-GB"/>
        </w:rPr>
        <w:t xml:space="preserve">Based on the existing information in the literate, 5 hypotheses were proposed on possible correlation between patient and disease factors as well as risk of resistance and appropriateness of antibiotic choice. The hypotheses tested included relationship between gender and UTI prevalence, catheter and likelihood of UTI infection, correlation between diagnostic test and use of appropriate antibiotic, risk of resistance and gender and, risk of resistance to appropriate antibiotic prescribing. Statistically no correlation was established between these variables.  Which could be due to number </w:t>
      </w:r>
      <w:r w:rsidRPr="00673B29">
        <w:rPr>
          <w:rFonts w:ascii="Calibri" w:eastAsia="Times New Roman" w:hAnsi="Calibri" w:cs="Calibri"/>
          <w:lang w:eastAsia="en-GB"/>
        </w:rPr>
        <w:lastRenderedPageBreak/>
        <w:t>of factors such as data size, local population difference to global variation as well as the fact that data distribution was not normal. </w:t>
      </w:r>
    </w:p>
    <w:p w14:paraId="34FBCA9F" w14:textId="77777777" w:rsidR="008167C1" w:rsidRPr="00673B29" w:rsidRDefault="008167C1" w:rsidP="00673B29">
      <w:pPr>
        <w:spacing w:after="0" w:line="240" w:lineRule="auto"/>
        <w:textAlignment w:val="baseline"/>
        <w:rPr>
          <w:rFonts w:ascii="Segoe UI" w:eastAsia="Times New Roman" w:hAnsi="Segoe UI" w:cs="Segoe UI"/>
          <w:sz w:val="18"/>
          <w:szCs w:val="18"/>
          <w:lang w:eastAsia="en-GB"/>
        </w:rPr>
      </w:pPr>
    </w:p>
    <w:p w14:paraId="4AA9C126"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bookmarkStart w:id="17" w:name="_Toc166407168"/>
      <w:r w:rsidRPr="00CF38B8">
        <w:rPr>
          <w:rStyle w:val="Heading1Char"/>
        </w:rPr>
        <w:t>Limitations:</w:t>
      </w:r>
      <w:bookmarkEnd w:id="17"/>
      <w:r w:rsidRPr="00673B29">
        <w:rPr>
          <w:rFonts w:ascii="Calibri" w:eastAsia="Times New Roman" w:hAnsi="Calibri" w:cs="Calibri"/>
          <w:lang w:eastAsia="en-GB"/>
        </w:rPr>
        <w:t xml:space="preserve"> The study was done on secondary set of data therefore some aspects of categorical data such as “risk of resistance” and “appropriate us of antibiotic” could not be explained without further insight into the data. This has been discussed in more detail within “discussion”.  </w:t>
      </w:r>
    </w:p>
    <w:p w14:paraId="6D639A8E"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The data set also related to patients who were admitted to the hospital for acute care, their associated history of acute illness may have had an impact on the infection being studies i.e. UTI.  </w:t>
      </w:r>
    </w:p>
    <w:p w14:paraId="212D2BEE"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The data set did not follow a normal distribution; gender, age, site (relevant DGH) distribution was not normal in the data set.  </w:t>
      </w:r>
    </w:p>
    <w:p w14:paraId="5CFB0421" w14:textId="6D5CDED3"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Small sample size</w:t>
      </w:r>
      <w:r w:rsidR="008167C1">
        <w:rPr>
          <w:rFonts w:ascii="Calibri" w:eastAsia="Times New Roman" w:hAnsi="Calibri" w:cs="Calibri"/>
          <w:lang w:eastAsia="en-GB"/>
        </w:rPr>
        <w:t xml:space="preserve"> was</w:t>
      </w:r>
      <w:r w:rsidRPr="00673B29">
        <w:rPr>
          <w:rFonts w:ascii="Calibri" w:eastAsia="Times New Roman" w:hAnsi="Calibri" w:cs="Calibri"/>
          <w:lang w:eastAsia="en-GB"/>
        </w:rPr>
        <w:t xml:space="preserve"> a significant limitation of this study. Small sample size will affect “effect size” and “error rate” both of which can lead to false positive/negative premise i.e. Type I and Type II errors. The sample size or the power of the study is related to the “effect size” of the study (</w:t>
      </w:r>
      <w:proofErr w:type="spellStart"/>
      <w:r w:rsidRPr="00673B29">
        <w:rPr>
          <w:rFonts w:ascii="Calibri" w:eastAsia="Times New Roman" w:hAnsi="Calibri" w:cs="Calibri"/>
          <w:lang w:eastAsia="en-GB"/>
        </w:rPr>
        <w:t>Serdar</w:t>
      </w:r>
      <w:proofErr w:type="spellEnd"/>
      <w:r w:rsidRPr="00673B29">
        <w:rPr>
          <w:rFonts w:ascii="Calibri" w:eastAsia="Times New Roman" w:hAnsi="Calibri" w:cs="Calibri"/>
          <w:lang w:eastAsia="en-GB"/>
        </w:rPr>
        <w:t xml:space="preserve"> et al., 2021). Effect size explains how well independent variable related to dependent variable. Very small samples compromise the internal and external validity of a study (Faber &amp; Fonseca, 2014).   </w:t>
      </w:r>
    </w:p>
    <w:p w14:paraId="24DA4872"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Chi-squared test is sensitive to sample size and needs an adequately large sample size since it is based on an approximation approach (Kim, 2017). </w:t>
      </w:r>
    </w:p>
    <w:p w14:paraId="651A0AD0" w14:textId="77777777" w:rsidR="00673B29" w:rsidRPr="008167C1" w:rsidRDefault="00673B29" w:rsidP="00673B29">
      <w:pPr>
        <w:spacing w:after="0" w:line="240" w:lineRule="auto"/>
        <w:textAlignment w:val="baseline"/>
        <w:rPr>
          <w:rFonts w:ascii="Segoe UI" w:eastAsia="Times New Roman" w:hAnsi="Segoe UI" w:cs="Segoe UI"/>
          <w:color w:val="0D0D0D" w:themeColor="text1" w:themeTint="F2"/>
          <w:sz w:val="18"/>
          <w:szCs w:val="18"/>
          <w:lang w:eastAsia="en-GB"/>
        </w:rPr>
      </w:pPr>
      <w:r w:rsidRPr="00673B29">
        <w:rPr>
          <w:rFonts w:ascii="Calibri" w:eastAsia="Times New Roman" w:hAnsi="Calibri" w:cs="Calibri"/>
          <w:lang w:eastAsia="en-GB"/>
        </w:rPr>
        <w:t xml:space="preserve">For a significant Pearson correlation at a 0.05 level of significance, a power of 0.80, and a medium </w:t>
      </w:r>
      <w:r w:rsidRPr="008167C1">
        <w:rPr>
          <w:rFonts w:ascii="Calibri" w:eastAsia="Times New Roman" w:hAnsi="Calibri" w:cs="Calibri"/>
          <w:color w:val="0D0D0D" w:themeColor="text1" w:themeTint="F2"/>
          <w:lang w:eastAsia="en-GB"/>
        </w:rPr>
        <w:t>effect size, sample size of 62 is too small and could have affected the results.  </w:t>
      </w:r>
    </w:p>
    <w:p w14:paraId="331DBFC1" w14:textId="77777777" w:rsidR="00673B29" w:rsidRPr="008167C1" w:rsidRDefault="00673B29" w:rsidP="00673B29">
      <w:pPr>
        <w:spacing w:after="0" w:line="240" w:lineRule="auto"/>
        <w:textAlignment w:val="baseline"/>
        <w:rPr>
          <w:rFonts w:ascii="Segoe UI" w:eastAsia="Times New Roman" w:hAnsi="Segoe UI" w:cs="Segoe UI"/>
          <w:color w:val="0D0D0D" w:themeColor="text1" w:themeTint="F2"/>
          <w:sz w:val="18"/>
          <w:szCs w:val="18"/>
          <w:lang w:eastAsia="en-GB"/>
        </w:rPr>
      </w:pPr>
      <w:r w:rsidRPr="008167C1">
        <w:rPr>
          <w:rFonts w:ascii="Calibri" w:eastAsia="Times New Roman" w:hAnsi="Calibri" w:cs="Calibri"/>
          <w:color w:val="0D0D0D" w:themeColor="text1" w:themeTint="F2"/>
          <w:lang w:eastAsia="en-GB"/>
        </w:rPr>
        <w:t>May, J., &amp; Looney, S.W. (2020)., explains that Kendall Tau-b is robust test for testing correlation when data has non-normal distribution or have outliers although the variables need to have strong relationship.   </w:t>
      </w:r>
    </w:p>
    <w:p w14:paraId="17522210" w14:textId="39BA8B93"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xml:space="preserve">All three DHG are </w:t>
      </w:r>
      <w:r w:rsidR="008167C1">
        <w:rPr>
          <w:rFonts w:ascii="Calibri" w:eastAsia="Times New Roman" w:hAnsi="Calibri" w:cs="Calibri"/>
          <w:lang w:eastAsia="en-GB"/>
        </w:rPr>
        <w:t xml:space="preserve">more </w:t>
      </w:r>
      <w:r w:rsidRPr="00673B29">
        <w:rPr>
          <w:rFonts w:ascii="Calibri" w:eastAsia="Times New Roman" w:hAnsi="Calibri" w:cs="Calibri"/>
          <w:lang w:eastAsia="en-GB"/>
        </w:rPr>
        <w:t>than 500 bed</w:t>
      </w:r>
      <w:r w:rsidR="008167C1">
        <w:rPr>
          <w:rFonts w:ascii="Calibri" w:eastAsia="Times New Roman" w:hAnsi="Calibri" w:cs="Calibri"/>
          <w:lang w:eastAsia="en-GB"/>
        </w:rPr>
        <w:t>s</w:t>
      </w:r>
      <w:r w:rsidRPr="00673B29">
        <w:rPr>
          <w:rFonts w:ascii="Calibri" w:eastAsia="Times New Roman" w:hAnsi="Calibri" w:cs="Calibri"/>
          <w:lang w:eastAsia="en-GB"/>
        </w:rPr>
        <w:t xml:space="preserve"> and UTI being one of the most common healthcare associated infection and the data set </w:t>
      </w:r>
      <w:r w:rsidR="008167C1">
        <w:rPr>
          <w:rFonts w:ascii="Calibri" w:eastAsia="Times New Roman" w:hAnsi="Calibri" w:cs="Calibri"/>
          <w:lang w:eastAsia="en-GB"/>
        </w:rPr>
        <w:t xml:space="preserve">was </w:t>
      </w:r>
      <w:r w:rsidRPr="00673B29">
        <w:rPr>
          <w:rFonts w:ascii="Calibri" w:eastAsia="Times New Roman" w:hAnsi="Calibri" w:cs="Calibri"/>
          <w:lang w:eastAsia="en-GB"/>
        </w:rPr>
        <w:t>only for 62 patients over a 3 month period. The reason for a small data set is unclear.  </w:t>
      </w:r>
    </w:p>
    <w:p w14:paraId="44F17636" w14:textId="0B0563E5"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It is also not clear who the data was collected</w:t>
      </w:r>
      <w:r w:rsidR="008167C1">
        <w:rPr>
          <w:rFonts w:ascii="Calibri" w:eastAsia="Times New Roman" w:hAnsi="Calibri" w:cs="Calibri"/>
          <w:lang w:eastAsia="en-GB"/>
        </w:rPr>
        <w:t xml:space="preserve"> by</w:t>
      </w:r>
      <w:bookmarkStart w:id="18" w:name="_GoBack"/>
      <w:bookmarkEnd w:id="18"/>
      <w:r w:rsidRPr="00673B29">
        <w:rPr>
          <w:rFonts w:ascii="Calibri" w:eastAsia="Times New Roman" w:hAnsi="Calibri" w:cs="Calibri"/>
          <w:lang w:eastAsia="en-GB"/>
        </w:rPr>
        <w:t>. Since only patients from DGH within CTM UHB with UTI were included in the data set, purposive sampling technique was used (Suresh et al., 2011). However, it is it is unclear if data was collected was voluntary reporting, online survey, observation or any other.  </w:t>
      </w:r>
    </w:p>
    <w:p w14:paraId="7E50CA82" w14:textId="3E5398DB" w:rsidR="00673B29" w:rsidRDefault="00673B29" w:rsidP="00673B29">
      <w:pPr>
        <w:spacing w:after="0" w:line="240" w:lineRule="auto"/>
        <w:textAlignment w:val="baseline"/>
        <w:rPr>
          <w:rFonts w:ascii="Calibri" w:eastAsia="Times New Roman" w:hAnsi="Calibri" w:cs="Calibri"/>
          <w:lang w:eastAsia="en-GB"/>
        </w:rPr>
      </w:pPr>
      <w:r w:rsidRPr="00673B29">
        <w:rPr>
          <w:rFonts w:ascii="Calibri" w:eastAsia="Times New Roman" w:hAnsi="Calibri" w:cs="Calibri"/>
          <w:lang w:eastAsia="en-GB"/>
        </w:rPr>
        <w:t>Due to the nature of the data only correlation tests were performed. In the absence of numerical data or mean values tests like T test could not be performed as not appropriate for the type of data within the data set.  </w:t>
      </w:r>
    </w:p>
    <w:p w14:paraId="281BEE30" w14:textId="77777777" w:rsidR="008167C1" w:rsidRPr="00673B29" w:rsidRDefault="008167C1" w:rsidP="00673B29">
      <w:pPr>
        <w:spacing w:after="0" w:line="240" w:lineRule="auto"/>
        <w:textAlignment w:val="baseline"/>
        <w:rPr>
          <w:rFonts w:ascii="Segoe UI" w:eastAsia="Times New Roman" w:hAnsi="Segoe UI" w:cs="Segoe UI"/>
          <w:sz w:val="18"/>
          <w:szCs w:val="18"/>
          <w:lang w:eastAsia="en-GB"/>
        </w:rPr>
      </w:pPr>
    </w:p>
    <w:p w14:paraId="7E3E7D23" w14:textId="77777777" w:rsidR="008167C1" w:rsidRDefault="00673B29" w:rsidP="00673B29">
      <w:pPr>
        <w:spacing w:after="0" w:line="240" w:lineRule="auto"/>
        <w:textAlignment w:val="baseline"/>
        <w:rPr>
          <w:rFonts w:ascii="Calibri" w:eastAsia="Times New Roman" w:hAnsi="Calibri" w:cs="Calibri"/>
          <w:lang w:eastAsia="en-GB"/>
        </w:rPr>
      </w:pPr>
      <w:bookmarkStart w:id="19" w:name="_Toc166407169"/>
      <w:r w:rsidRPr="00CF38B8">
        <w:rPr>
          <w:rStyle w:val="Heading1Char"/>
        </w:rPr>
        <w:t>Declaration of Interest:</w:t>
      </w:r>
      <w:bookmarkEnd w:id="19"/>
      <w:r w:rsidRPr="00673B29">
        <w:rPr>
          <w:rFonts w:ascii="Calibri" w:eastAsia="Times New Roman" w:hAnsi="Calibri" w:cs="Calibri"/>
          <w:lang w:eastAsia="en-GB"/>
        </w:rPr>
        <w:t xml:space="preserve"> </w:t>
      </w:r>
    </w:p>
    <w:p w14:paraId="7C75D5B5" w14:textId="23152BD0"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The author is employee of CTM UHB. No funding was received to perform this study.  </w:t>
      </w:r>
    </w:p>
    <w:p w14:paraId="4F9483F4" w14:textId="77777777" w:rsidR="00673B29" w:rsidRDefault="00673B29" w:rsidP="00673B29">
      <w:pPr>
        <w:spacing w:after="0" w:line="240" w:lineRule="auto"/>
        <w:textAlignment w:val="baseline"/>
        <w:rPr>
          <w:rFonts w:ascii="Calibri" w:eastAsia="Times New Roman" w:hAnsi="Calibri" w:cs="Calibri"/>
          <w:lang w:eastAsia="en-GB"/>
        </w:rPr>
      </w:pPr>
      <w:r w:rsidRPr="00673B29">
        <w:rPr>
          <w:rFonts w:ascii="Calibri" w:eastAsia="Times New Roman" w:hAnsi="Calibri" w:cs="Calibri"/>
          <w:lang w:eastAsia="en-GB"/>
        </w:rPr>
        <w:t> </w:t>
      </w:r>
    </w:p>
    <w:p w14:paraId="0F970395" w14:textId="77777777" w:rsidR="00673B29" w:rsidRDefault="00673B29">
      <w:pPr>
        <w:rPr>
          <w:rFonts w:ascii="Calibri" w:eastAsia="Times New Roman" w:hAnsi="Calibri" w:cs="Calibri"/>
          <w:lang w:eastAsia="en-GB"/>
        </w:rPr>
      </w:pPr>
      <w:r>
        <w:rPr>
          <w:rFonts w:ascii="Calibri" w:eastAsia="Times New Roman" w:hAnsi="Calibri" w:cs="Calibri"/>
          <w:lang w:eastAsia="en-GB"/>
        </w:rPr>
        <w:br w:type="page"/>
      </w:r>
    </w:p>
    <w:p w14:paraId="2F7119BC"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p>
    <w:p w14:paraId="20F51A64" w14:textId="77777777" w:rsidR="00673B29" w:rsidRPr="00673B29" w:rsidRDefault="00673B29" w:rsidP="00CF38B8">
      <w:pPr>
        <w:pStyle w:val="Heading1"/>
        <w:rPr>
          <w:rFonts w:ascii="Segoe UI" w:eastAsia="Times New Roman" w:hAnsi="Segoe UI" w:cs="Segoe UI"/>
          <w:sz w:val="18"/>
          <w:szCs w:val="18"/>
          <w:lang w:eastAsia="en-GB"/>
        </w:rPr>
      </w:pPr>
      <w:bookmarkStart w:id="20" w:name="_Toc166407170"/>
      <w:r w:rsidRPr="00673B29">
        <w:rPr>
          <w:rFonts w:eastAsia="Times New Roman"/>
          <w:lang w:eastAsia="en-GB"/>
        </w:rPr>
        <w:t>References:</w:t>
      </w:r>
      <w:bookmarkEnd w:id="20"/>
      <w:r w:rsidRPr="00673B29">
        <w:rPr>
          <w:rFonts w:eastAsia="Times New Roman"/>
          <w:lang w:eastAsia="en-GB"/>
        </w:rPr>
        <w:t>  </w:t>
      </w:r>
    </w:p>
    <w:p w14:paraId="760220AD" w14:textId="77777777" w:rsidR="00673B29" w:rsidRPr="00673B29" w:rsidRDefault="00673B29" w:rsidP="00673B29">
      <w:pPr>
        <w:numPr>
          <w:ilvl w:val="0"/>
          <w:numId w:val="10"/>
        </w:numPr>
        <w:spacing w:after="0" w:line="240" w:lineRule="auto"/>
        <w:ind w:left="360" w:firstLine="0"/>
        <w:textAlignment w:val="baseline"/>
        <w:rPr>
          <w:rFonts w:ascii="Calibri" w:eastAsia="Times New Roman" w:hAnsi="Calibri" w:cs="Calibri"/>
          <w:lang w:eastAsia="en-GB"/>
        </w:rPr>
      </w:pPr>
      <w:r w:rsidRPr="00673B29">
        <w:rPr>
          <w:rFonts w:ascii="Calibri" w:eastAsia="Times New Roman" w:hAnsi="Calibri" w:cs="Calibri"/>
          <w:lang w:eastAsia="en-GB"/>
        </w:rPr>
        <w:t xml:space="preserve">Andrade, C. (2020). Sample size and its importance in research. Indian Journal of Psychological Medicine, 42(1), 102–103. NCBI. </w:t>
      </w:r>
      <w:r w:rsidRPr="00673B29">
        <w:rPr>
          <w:rFonts w:ascii="Calibri" w:eastAsia="Times New Roman" w:hAnsi="Calibri" w:cs="Calibri"/>
          <w:color w:val="2E74B5"/>
          <w:u w:val="single"/>
          <w:lang w:eastAsia="en-GB"/>
        </w:rPr>
        <w:t>https://doi.org/10.4103/IJPSYM.IJPSYM_504_19</w:t>
      </w:r>
      <w:r w:rsidRPr="00673B29">
        <w:rPr>
          <w:rFonts w:ascii="Calibri" w:eastAsia="Times New Roman" w:hAnsi="Calibri" w:cs="Calibri"/>
          <w:color w:val="2E74B5"/>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6"/>
      </w:tblGrid>
      <w:tr w:rsidR="00673B29" w:rsidRPr="00673B29" w14:paraId="21F50174" w14:textId="77777777" w:rsidTr="00673B29">
        <w:trPr>
          <w:trHeight w:val="855"/>
        </w:trPr>
        <w:tc>
          <w:tcPr>
            <w:tcW w:w="9000" w:type="dxa"/>
            <w:tcBorders>
              <w:top w:val="nil"/>
              <w:left w:val="nil"/>
              <w:bottom w:val="nil"/>
              <w:right w:val="nil"/>
            </w:tcBorders>
            <w:shd w:val="clear" w:color="auto" w:fill="auto"/>
            <w:vAlign w:val="center"/>
            <w:hideMark/>
          </w:tcPr>
          <w:p w14:paraId="4AAC8F73" w14:textId="77777777" w:rsidR="00673B29" w:rsidRPr="00673B29" w:rsidRDefault="00673B29" w:rsidP="00673B29">
            <w:pPr>
              <w:numPr>
                <w:ilvl w:val="0"/>
                <w:numId w:val="11"/>
              </w:numPr>
              <w:spacing w:after="0" w:line="240" w:lineRule="auto"/>
              <w:ind w:left="360" w:firstLine="0"/>
              <w:textAlignment w:val="baseline"/>
              <w:rPr>
                <w:rFonts w:ascii="Calibri" w:eastAsia="Times New Roman" w:hAnsi="Calibri" w:cs="Calibri"/>
                <w:lang w:eastAsia="en-GB"/>
              </w:rPr>
            </w:pPr>
            <w:hyperlink r:id="rId27" w:tgtFrame="_blank" w:history="1">
              <w:r w:rsidRPr="00673B29">
                <w:rPr>
                  <w:rFonts w:ascii="Calibri" w:eastAsia="Times New Roman" w:hAnsi="Calibri" w:cs="Calibri"/>
                  <w:color w:val="000000"/>
                  <w:lang w:eastAsia="en-GB"/>
                </w:rPr>
                <w:t>Czajkowski, K., Broś-Konopielko, M., &amp; Teliga-Czajkowska, J. (2021). Urinary tract infection in women. Menopausal Review, 20(1), 40–47. https://doi.org/10.5114/pm.2021.105382  </w:t>
              </w:r>
            </w:hyperlink>
            <w:r w:rsidRPr="00673B29">
              <w:rPr>
                <w:rFonts w:ascii="Calibri" w:eastAsia="Times New Roman" w:hAnsi="Calibri" w:cs="Calibri"/>
                <w:color w:val="000000"/>
                <w:lang w:eastAsia="en-GB"/>
              </w:rPr>
              <w:t> </w:t>
            </w:r>
          </w:p>
          <w:p w14:paraId="5907F954" w14:textId="77777777" w:rsidR="00673B29" w:rsidRPr="00673B29" w:rsidRDefault="00673B29" w:rsidP="00673B29">
            <w:pPr>
              <w:numPr>
                <w:ilvl w:val="0"/>
                <w:numId w:val="11"/>
              </w:numPr>
              <w:spacing w:after="0" w:line="240" w:lineRule="auto"/>
              <w:ind w:left="360" w:firstLine="0"/>
              <w:textAlignment w:val="baseline"/>
              <w:rPr>
                <w:rFonts w:ascii="Calibri" w:eastAsia="Times New Roman" w:hAnsi="Calibri" w:cs="Calibri"/>
                <w:lang w:eastAsia="en-GB"/>
              </w:rPr>
            </w:pPr>
            <w:proofErr w:type="spellStart"/>
            <w:r w:rsidRPr="00673B29">
              <w:rPr>
                <w:rFonts w:ascii="Calibri" w:eastAsia="Times New Roman" w:hAnsi="Calibri" w:cs="Calibri"/>
                <w:color w:val="000000"/>
                <w:lang w:eastAsia="en-GB"/>
              </w:rPr>
              <w:t>Elfil</w:t>
            </w:r>
            <w:proofErr w:type="spellEnd"/>
            <w:r w:rsidRPr="00673B29">
              <w:rPr>
                <w:rFonts w:ascii="Calibri" w:eastAsia="Times New Roman" w:hAnsi="Calibri" w:cs="Calibri"/>
                <w:color w:val="000000"/>
                <w:lang w:eastAsia="en-GB"/>
              </w:rPr>
              <w:t xml:space="preserve">, M., &amp; </w:t>
            </w:r>
            <w:proofErr w:type="spellStart"/>
            <w:r w:rsidRPr="00673B29">
              <w:rPr>
                <w:rFonts w:ascii="Calibri" w:eastAsia="Times New Roman" w:hAnsi="Calibri" w:cs="Calibri"/>
                <w:color w:val="000000"/>
                <w:lang w:eastAsia="en-GB"/>
              </w:rPr>
              <w:t>Negida</w:t>
            </w:r>
            <w:proofErr w:type="spellEnd"/>
            <w:r w:rsidRPr="00673B29">
              <w:rPr>
                <w:rFonts w:ascii="Calibri" w:eastAsia="Times New Roman" w:hAnsi="Calibri" w:cs="Calibri"/>
                <w:color w:val="000000"/>
                <w:lang w:eastAsia="en-GB"/>
              </w:rPr>
              <w:t xml:space="preserve">, A. (2017). Sampling Methods in Clinical research; an Educational Review. Emergency (Tehran, Iran), 5(1). </w:t>
            </w:r>
            <w:proofErr w:type="spellStart"/>
            <w:proofErr w:type="gramStart"/>
            <w:r w:rsidRPr="00673B29">
              <w:rPr>
                <w:rFonts w:ascii="Calibri" w:eastAsia="Times New Roman" w:hAnsi="Calibri" w:cs="Calibri"/>
                <w:color w:val="000000"/>
                <w:lang w:eastAsia="en-GB"/>
              </w:rPr>
              <w:t>ncbi</w:t>
            </w:r>
            <w:proofErr w:type="spellEnd"/>
            <w:proofErr w:type="gramEnd"/>
            <w:r w:rsidRPr="00673B29">
              <w:rPr>
                <w:rFonts w:ascii="Calibri" w:eastAsia="Times New Roman" w:hAnsi="Calibri" w:cs="Calibri"/>
                <w:color w:val="000000"/>
                <w:lang w:eastAsia="en-GB"/>
              </w:rPr>
              <w:t xml:space="preserve">. </w:t>
            </w:r>
            <w:hyperlink r:id="rId28" w:tgtFrame="_blank" w:history="1">
              <w:r w:rsidRPr="00673B29">
                <w:rPr>
                  <w:rFonts w:ascii="Calibri" w:eastAsia="Times New Roman" w:hAnsi="Calibri" w:cs="Calibri"/>
                  <w:color w:val="2E74B5"/>
                  <w:u w:val="single"/>
                  <w:lang w:eastAsia="en-GB"/>
                </w:rPr>
                <w:t>https://www.ncbi.nlm.nih.gov/pmc/articles/PMC5325924/</w:t>
              </w:r>
            </w:hyperlink>
            <w:r w:rsidRPr="00673B29">
              <w:rPr>
                <w:rFonts w:ascii="Calibri" w:eastAsia="Times New Roman" w:hAnsi="Calibri" w:cs="Calibri"/>
                <w:color w:val="2E74B5"/>
                <w:lang w:eastAsia="en-GB"/>
              </w:rPr>
              <w:t>  </w:t>
            </w:r>
          </w:p>
        </w:tc>
      </w:tr>
      <w:tr w:rsidR="00673B29" w:rsidRPr="00673B29" w14:paraId="3B7AED53" w14:textId="77777777" w:rsidTr="00673B29">
        <w:trPr>
          <w:trHeight w:val="1155"/>
        </w:trPr>
        <w:tc>
          <w:tcPr>
            <w:tcW w:w="9000" w:type="dxa"/>
            <w:tcBorders>
              <w:top w:val="nil"/>
              <w:left w:val="nil"/>
              <w:bottom w:val="nil"/>
              <w:right w:val="nil"/>
            </w:tcBorders>
            <w:shd w:val="clear" w:color="auto" w:fill="auto"/>
            <w:vAlign w:val="center"/>
            <w:hideMark/>
          </w:tcPr>
          <w:p w14:paraId="4F45953C" w14:textId="77777777" w:rsidR="00673B29" w:rsidRPr="00673B29" w:rsidRDefault="00673B29" w:rsidP="00673B29">
            <w:pPr>
              <w:numPr>
                <w:ilvl w:val="0"/>
                <w:numId w:val="12"/>
              </w:numPr>
              <w:spacing w:after="0" w:line="240" w:lineRule="auto"/>
              <w:ind w:left="360" w:firstLine="0"/>
              <w:textAlignment w:val="baseline"/>
              <w:rPr>
                <w:rFonts w:ascii="Calibri" w:eastAsia="Times New Roman" w:hAnsi="Calibri" w:cs="Calibri"/>
                <w:lang w:eastAsia="en-GB"/>
              </w:rPr>
            </w:pPr>
            <w:hyperlink r:id="rId29" w:tgtFrame="_blank" w:history="1">
              <w:r w:rsidRPr="00673B29">
                <w:rPr>
                  <w:rFonts w:ascii="Calibri" w:eastAsia="Times New Roman" w:hAnsi="Calibri" w:cs="Calibri"/>
                  <w:color w:val="000000"/>
                  <w:lang w:eastAsia="en-GB"/>
                </w:rPr>
                <w:t xml:space="preserve">‌ Ferrante di Ruffano, L., Hyde, C. J., McCaffery, K. J., Bossuyt, P. M. M., &amp; Deeks, J. J. (2012). Assessing the value of diagnostic tests: a framework for designing and evaluating trials. BMJ, 344(feb21 1), e686–e686. </w:t>
              </w:r>
              <w:r w:rsidRPr="00673B29">
                <w:rPr>
                  <w:rFonts w:ascii="Calibri" w:eastAsia="Times New Roman" w:hAnsi="Calibri" w:cs="Calibri"/>
                  <w:color w:val="2E74B5"/>
                  <w:u w:val="single"/>
                  <w:lang w:eastAsia="en-GB"/>
                </w:rPr>
                <w:t>https://doi.org/10.1136/bmj.e686  </w:t>
              </w:r>
            </w:hyperlink>
            <w:r w:rsidRPr="00673B29">
              <w:rPr>
                <w:rFonts w:ascii="Calibri" w:eastAsia="Times New Roman" w:hAnsi="Calibri" w:cs="Calibri"/>
                <w:color w:val="000000"/>
                <w:lang w:eastAsia="en-GB"/>
              </w:rPr>
              <w:t> </w:t>
            </w:r>
          </w:p>
        </w:tc>
      </w:tr>
      <w:tr w:rsidR="00673B29" w:rsidRPr="00673B29" w14:paraId="7806A65C" w14:textId="77777777" w:rsidTr="00673B29">
        <w:trPr>
          <w:trHeight w:val="1155"/>
        </w:trPr>
        <w:tc>
          <w:tcPr>
            <w:tcW w:w="9000" w:type="dxa"/>
            <w:tcBorders>
              <w:top w:val="nil"/>
              <w:left w:val="nil"/>
              <w:bottom w:val="nil"/>
              <w:right w:val="nil"/>
            </w:tcBorders>
            <w:shd w:val="clear" w:color="auto" w:fill="auto"/>
            <w:vAlign w:val="center"/>
            <w:hideMark/>
          </w:tcPr>
          <w:p w14:paraId="75EF4A69" w14:textId="77777777" w:rsidR="00673B29" w:rsidRPr="00673B29" w:rsidRDefault="00673B29" w:rsidP="00673B29">
            <w:pPr>
              <w:numPr>
                <w:ilvl w:val="0"/>
                <w:numId w:val="13"/>
              </w:numPr>
              <w:spacing w:after="0" w:line="240" w:lineRule="auto"/>
              <w:ind w:left="360" w:firstLine="0"/>
              <w:textAlignment w:val="baseline"/>
              <w:rPr>
                <w:rFonts w:ascii="Calibri" w:eastAsia="Times New Roman" w:hAnsi="Calibri" w:cs="Calibri"/>
                <w:lang w:eastAsia="en-GB"/>
              </w:rPr>
            </w:pPr>
            <w:hyperlink r:id="rId30" w:anchor=":~:text=Quantitative%20research%20methods%20are%20used%20to%20collect%20and" w:tgtFrame="_blank" w:history="1">
              <w:r w:rsidRPr="00673B29">
                <w:rPr>
                  <w:rFonts w:ascii="Calibri" w:eastAsia="Times New Roman" w:hAnsi="Calibri" w:cs="Calibri"/>
                  <w:color w:val="000000"/>
                  <w:lang w:eastAsia="en-GB"/>
                </w:rPr>
                <w:t xml:space="preserve">‌ Hassan, M. (2024, March 25). Research Methods - Types, Examples and Guide. Research Method. </w:t>
              </w:r>
              <w:r w:rsidRPr="00673B29">
                <w:rPr>
                  <w:rFonts w:ascii="Calibri" w:eastAsia="Times New Roman" w:hAnsi="Calibri" w:cs="Calibri"/>
                  <w:color w:val="2E74B5"/>
                  <w:u w:val="single"/>
                  <w:lang w:eastAsia="en-GB"/>
                </w:rPr>
                <w:t>https://researchmethod.net/researchmethods/#:~:text=Quantitative%20research%20methods%20are%20used%20to%20collect%20and  </w:t>
              </w:r>
            </w:hyperlink>
            <w:r w:rsidRPr="00673B29">
              <w:rPr>
                <w:rFonts w:ascii="Calibri" w:eastAsia="Times New Roman" w:hAnsi="Calibri" w:cs="Calibri"/>
                <w:color w:val="000000"/>
                <w:lang w:eastAsia="en-GB"/>
              </w:rPr>
              <w:t> </w:t>
            </w:r>
          </w:p>
        </w:tc>
      </w:tr>
      <w:tr w:rsidR="00673B29" w:rsidRPr="00673B29" w14:paraId="6EC997DE" w14:textId="77777777" w:rsidTr="00673B29">
        <w:trPr>
          <w:trHeight w:val="855"/>
        </w:trPr>
        <w:tc>
          <w:tcPr>
            <w:tcW w:w="9000" w:type="dxa"/>
            <w:tcBorders>
              <w:top w:val="nil"/>
              <w:left w:val="nil"/>
              <w:bottom w:val="nil"/>
              <w:right w:val="nil"/>
            </w:tcBorders>
            <w:shd w:val="clear" w:color="auto" w:fill="auto"/>
            <w:vAlign w:val="center"/>
            <w:hideMark/>
          </w:tcPr>
          <w:p w14:paraId="32292051" w14:textId="77777777" w:rsidR="00673B29" w:rsidRPr="00673B29" w:rsidRDefault="00673B29" w:rsidP="00673B29">
            <w:pPr>
              <w:numPr>
                <w:ilvl w:val="0"/>
                <w:numId w:val="14"/>
              </w:numPr>
              <w:spacing w:after="0" w:line="240" w:lineRule="auto"/>
              <w:ind w:left="360" w:firstLine="0"/>
              <w:textAlignment w:val="baseline"/>
              <w:rPr>
                <w:rFonts w:ascii="Calibri" w:eastAsia="Times New Roman" w:hAnsi="Calibri" w:cs="Calibri"/>
                <w:lang w:eastAsia="en-GB"/>
              </w:rPr>
            </w:pPr>
            <w:hyperlink r:id="rId31" w:tgtFrame="_blank" w:history="1">
              <w:r w:rsidRPr="00673B29">
                <w:rPr>
                  <w:rFonts w:ascii="Calibri" w:eastAsia="Times New Roman" w:hAnsi="Calibri" w:cs="Calibri"/>
                  <w:color w:val="000000"/>
                  <w:lang w:eastAsia="en-GB"/>
                </w:rPr>
                <w:t xml:space="preserve">‌ Llor, C., &amp; Bjerrum, L. (2014). Antimicrobial resistance: risk associated with antibiotic overuse and initiatives to reduce the problem. Therapeutic Advances in Drug Safety, 5(6), 229–241. </w:t>
              </w:r>
              <w:r w:rsidRPr="00673B29">
                <w:rPr>
                  <w:rFonts w:ascii="Calibri" w:eastAsia="Times New Roman" w:hAnsi="Calibri" w:cs="Calibri"/>
                  <w:color w:val="2E74B5"/>
                  <w:u w:val="single"/>
                  <w:lang w:eastAsia="en-GB"/>
                </w:rPr>
                <w:t>https://doi.org/10.1177/2042098614554919  </w:t>
              </w:r>
            </w:hyperlink>
            <w:r w:rsidRPr="00673B29">
              <w:rPr>
                <w:rFonts w:ascii="Calibri" w:eastAsia="Times New Roman" w:hAnsi="Calibri" w:cs="Calibri"/>
                <w:color w:val="000000"/>
                <w:lang w:eastAsia="en-GB"/>
              </w:rPr>
              <w:t> </w:t>
            </w:r>
          </w:p>
        </w:tc>
      </w:tr>
      <w:tr w:rsidR="00673B29" w:rsidRPr="00673B29" w14:paraId="512A7349" w14:textId="77777777" w:rsidTr="00673B29">
        <w:trPr>
          <w:trHeight w:val="1155"/>
        </w:trPr>
        <w:tc>
          <w:tcPr>
            <w:tcW w:w="9000" w:type="dxa"/>
            <w:tcBorders>
              <w:top w:val="nil"/>
              <w:left w:val="nil"/>
              <w:bottom w:val="nil"/>
              <w:right w:val="nil"/>
            </w:tcBorders>
            <w:shd w:val="clear" w:color="auto" w:fill="auto"/>
            <w:vAlign w:val="center"/>
            <w:hideMark/>
          </w:tcPr>
          <w:p w14:paraId="46D414B0" w14:textId="77777777" w:rsidR="00673B29" w:rsidRPr="00673B29" w:rsidRDefault="00673B29" w:rsidP="00673B29">
            <w:pPr>
              <w:numPr>
                <w:ilvl w:val="0"/>
                <w:numId w:val="15"/>
              </w:numPr>
              <w:spacing w:after="0" w:line="240" w:lineRule="auto"/>
              <w:ind w:left="360" w:firstLine="0"/>
              <w:textAlignment w:val="baseline"/>
              <w:rPr>
                <w:rFonts w:ascii="Calibri" w:eastAsia="Times New Roman" w:hAnsi="Calibri" w:cs="Calibri"/>
                <w:lang w:eastAsia="en-GB"/>
              </w:rPr>
            </w:pPr>
            <w:hyperlink r:id="rId32" w:tgtFrame="_blank" w:history="1">
              <w:r w:rsidRPr="00673B29">
                <w:rPr>
                  <w:rFonts w:ascii="Calibri" w:eastAsia="Times New Roman" w:hAnsi="Calibri" w:cs="Calibri"/>
                  <w:color w:val="000000"/>
                  <w:lang w:val="pt-BR" w:eastAsia="en-GB"/>
                </w:rPr>
                <w:t xml:space="preserve">‌ Martins, F. S., Cunha, J. A. C. da, &amp; Serra, F. A. R. (2018). Secondary Data in Research – Uses and Opportunities. Revista Ibero-Americana de Estratégia, 17(04), 01–04. Researchgate. </w:t>
              </w:r>
              <w:r w:rsidRPr="00673B29">
                <w:rPr>
                  <w:rFonts w:ascii="Calibri" w:eastAsia="Times New Roman" w:hAnsi="Calibri" w:cs="Calibri"/>
                  <w:color w:val="2E74B5"/>
                  <w:u w:val="single"/>
                  <w:lang w:val="pt-BR" w:eastAsia="en-GB"/>
                </w:rPr>
                <w:t>https://doi.org/10.5585/ijsm.v17i4.2723  </w:t>
              </w:r>
            </w:hyperlink>
            <w:r w:rsidRPr="00673B29">
              <w:rPr>
                <w:rFonts w:ascii="Calibri" w:eastAsia="Times New Roman" w:hAnsi="Calibri" w:cs="Calibri"/>
                <w:color w:val="000000"/>
                <w:lang w:eastAsia="en-GB"/>
              </w:rPr>
              <w:t> </w:t>
            </w:r>
          </w:p>
        </w:tc>
      </w:tr>
      <w:tr w:rsidR="00673B29" w:rsidRPr="00673B29" w14:paraId="5B04506D" w14:textId="77777777" w:rsidTr="00673B29">
        <w:trPr>
          <w:trHeight w:val="1155"/>
        </w:trPr>
        <w:tc>
          <w:tcPr>
            <w:tcW w:w="9000" w:type="dxa"/>
            <w:tcBorders>
              <w:top w:val="nil"/>
              <w:left w:val="nil"/>
              <w:bottom w:val="nil"/>
              <w:right w:val="nil"/>
            </w:tcBorders>
            <w:shd w:val="clear" w:color="auto" w:fill="auto"/>
            <w:vAlign w:val="center"/>
            <w:hideMark/>
          </w:tcPr>
          <w:p w14:paraId="1E3F564B" w14:textId="7106FE92" w:rsidR="00673B29" w:rsidRPr="008167C1" w:rsidRDefault="00673B29" w:rsidP="00673B29">
            <w:pPr>
              <w:numPr>
                <w:ilvl w:val="0"/>
                <w:numId w:val="16"/>
              </w:numPr>
              <w:spacing w:after="0" w:line="240" w:lineRule="auto"/>
              <w:ind w:left="360" w:firstLine="0"/>
              <w:textAlignment w:val="baseline"/>
              <w:rPr>
                <w:rFonts w:ascii="Calibri" w:eastAsia="Times New Roman" w:hAnsi="Calibri" w:cs="Calibri"/>
                <w:lang w:eastAsia="en-GB"/>
              </w:rPr>
            </w:pPr>
            <w:hyperlink r:id="rId33" w:tgtFrame="_blank" w:history="1">
              <w:r w:rsidRPr="00673B29">
                <w:rPr>
                  <w:rFonts w:ascii="Calibri" w:eastAsia="Times New Roman" w:hAnsi="Calibri" w:cs="Calibri"/>
                  <w:color w:val="000000"/>
                  <w:lang w:val="pt-BR" w:eastAsia="en-GB"/>
                </w:rPr>
                <w:t xml:space="preserve">‌ Martins, F. S., Cunha, J. A. C. da, &amp; Serra, F. A. R. (2018). Secondary Data in Research – Uses and Opportunities. Revista Ibero-Americana de Estratégia, 17(04), 01–04. Researchgate. </w:t>
              </w:r>
              <w:r w:rsidRPr="00673B29">
                <w:rPr>
                  <w:rFonts w:ascii="Calibri" w:eastAsia="Times New Roman" w:hAnsi="Calibri" w:cs="Calibri"/>
                  <w:color w:val="2E74B5"/>
                  <w:u w:val="single"/>
                  <w:lang w:val="pt-BR" w:eastAsia="en-GB"/>
                </w:rPr>
                <w:t>https://doi.org/10.5585/ijsm.v17i4.2723  </w:t>
              </w:r>
            </w:hyperlink>
            <w:r w:rsidRPr="00673B29">
              <w:rPr>
                <w:rFonts w:ascii="Calibri" w:eastAsia="Times New Roman" w:hAnsi="Calibri" w:cs="Calibri"/>
                <w:color w:val="000000"/>
                <w:lang w:eastAsia="en-GB"/>
              </w:rPr>
              <w:t> </w:t>
            </w:r>
          </w:p>
          <w:p w14:paraId="346121C6" w14:textId="77777777" w:rsidR="008167C1" w:rsidRPr="008167C1" w:rsidRDefault="008167C1" w:rsidP="008167C1">
            <w:pPr>
              <w:spacing w:after="0" w:line="240" w:lineRule="auto"/>
              <w:ind w:left="360"/>
              <w:textAlignment w:val="baseline"/>
              <w:rPr>
                <w:rFonts w:ascii="Calibri" w:eastAsia="Times New Roman" w:hAnsi="Calibri" w:cs="Calibri"/>
                <w:lang w:eastAsia="en-GB"/>
              </w:rPr>
            </w:pPr>
          </w:p>
          <w:p w14:paraId="64959F12" w14:textId="4799F9E0" w:rsidR="008167C1" w:rsidRPr="008167C1" w:rsidRDefault="008167C1" w:rsidP="008167C1">
            <w:pPr>
              <w:numPr>
                <w:ilvl w:val="0"/>
                <w:numId w:val="16"/>
              </w:numPr>
              <w:spacing w:after="0" w:line="240" w:lineRule="auto"/>
              <w:textAlignment w:val="baseline"/>
              <w:rPr>
                <w:rFonts w:ascii="Calibri" w:eastAsia="Times New Roman" w:hAnsi="Calibri" w:cs="Calibri"/>
                <w:lang w:eastAsia="en-GB"/>
              </w:rPr>
            </w:pPr>
            <w:r w:rsidRPr="008167C1">
              <w:rPr>
                <w:rFonts w:ascii="Calibri" w:eastAsia="Times New Roman" w:hAnsi="Calibri" w:cs="Calibri"/>
                <w:lang w:eastAsia="en-GB"/>
              </w:rPr>
              <w:t>Murray, C. J. (2022). Global Burden of Bacterial Antimicrobial Resistance in 2019: A Systematic Analysis. The Lancet, 399(10325), 629–655</w:t>
            </w:r>
            <w:r w:rsidRPr="008167C1">
              <w:rPr>
                <w:rFonts w:ascii="Calibri" w:eastAsia="Times New Roman" w:hAnsi="Calibri" w:cs="Calibri"/>
                <w:color w:val="2E74B5" w:themeColor="accent1" w:themeShade="BF"/>
                <w:lang w:eastAsia="en-GB"/>
              </w:rPr>
              <w:t xml:space="preserve">. </w:t>
            </w:r>
            <w:hyperlink r:id="rId34" w:history="1">
              <w:r w:rsidRPr="008167C1">
                <w:rPr>
                  <w:rStyle w:val="Hyperlink"/>
                  <w:rFonts w:ascii="Calibri" w:eastAsia="Times New Roman" w:hAnsi="Calibri" w:cs="Calibri"/>
                  <w:color w:val="2E74B5" w:themeColor="accent1" w:themeShade="BF"/>
                  <w:lang w:eastAsia="en-GB"/>
                </w:rPr>
                <w:t>https://doi.org/10.1016/S0140-6736(21)02724-0</w:t>
              </w:r>
            </w:hyperlink>
            <w:r w:rsidRPr="008167C1">
              <w:rPr>
                <w:rFonts w:ascii="Calibri" w:eastAsia="Times New Roman" w:hAnsi="Calibri" w:cs="Calibri"/>
                <w:color w:val="2E74B5" w:themeColor="accent1" w:themeShade="BF"/>
                <w:lang w:eastAsia="en-GB"/>
              </w:rPr>
              <w:t xml:space="preserve"> </w:t>
            </w:r>
          </w:p>
        </w:tc>
      </w:tr>
      <w:tr w:rsidR="00673B29" w:rsidRPr="00673B29" w14:paraId="210A4781" w14:textId="77777777" w:rsidTr="00673B29">
        <w:trPr>
          <w:trHeight w:val="1740"/>
        </w:trPr>
        <w:tc>
          <w:tcPr>
            <w:tcW w:w="9000" w:type="dxa"/>
            <w:tcBorders>
              <w:top w:val="nil"/>
              <w:left w:val="nil"/>
              <w:bottom w:val="nil"/>
              <w:right w:val="nil"/>
            </w:tcBorders>
            <w:shd w:val="clear" w:color="auto" w:fill="auto"/>
            <w:vAlign w:val="center"/>
            <w:hideMark/>
          </w:tcPr>
          <w:p w14:paraId="4F8E4C19" w14:textId="77777777" w:rsidR="00673B29" w:rsidRPr="00673B29" w:rsidRDefault="00673B29" w:rsidP="00673B29">
            <w:pPr>
              <w:numPr>
                <w:ilvl w:val="0"/>
                <w:numId w:val="17"/>
              </w:numPr>
              <w:spacing w:after="0" w:line="240" w:lineRule="auto"/>
              <w:ind w:left="360" w:firstLine="0"/>
              <w:textAlignment w:val="baseline"/>
              <w:rPr>
                <w:rFonts w:ascii="Calibri" w:eastAsia="Times New Roman" w:hAnsi="Calibri" w:cs="Calibri"/>
                <w:lang w:eastAsia="en-GB"/>
              </w:rPr>
            </w:pPr>
            <w:hyperlink r:id="rId35" w:tgtFrame="_blank" w:history="1">
              <w:r w:rsidRPr="00673B29">
                <w:rPr>
                  <w:rFonts w:ascii="Calibri" w:eastAsia="Times New Roman" w:hAnsi="Calibri" w:cs="Calibri"/>
                  <w:color w:val="000000"/>
                  <w:lang w:eastAsia="en-GB"/>
                </w:rPr>
                <w:t xml:space="preserve">‌ Sheng, T., Mayar Al Mohajer, Newton, J. A., Wilson, M. H., Monsees, E., Hayden, M. K., Messacar, K., Kisgen, J. J., Diekema, D. J., Morgan, D. J., Sifri, C. D., &amp; Vaughn, V. M. (2023). Improving antimicrobial use through better diagnosis: The relationship between diagnostic stewardship and antimicrobial stewardship. Infection Control and Hospital Epidemiology, 44(12), 1901–1908. </w:t>
              </w:r>
              <w:r w:rsidRPr="00673B29">
                <w:rPr>
                  <w:rFonts w:ascii="Calibri" w:eastAsia="Times New Roman" w:hAnsi="Calibri" w:cs="Calibri"/>
                  <w:color w:val="2E74B5"/>
                  <w:u w:val="single"/>
                  <w:lang w:eastAsia="en-GB"/>
                </w:rPr>
                <w:t>https://doi.org/10.1017/ice.2023.156  </w:t>
              </w:r>
            </w:hyperlink>
            <w:r w:rsidRPr="00673B29">
              <w:rPr>
                <w:rFonts w:ascii="Calibri" w:eastAsia="Times New Roman" w:hAnsi="Calibri" w:cs="Calibri"/>
                <w:color w:val="000000"/>
                <w:lang w:eastAsia="en-GB"/>
              </w:rPr>
              <w:t> </w:t>
            </w:r>
          </w:p>
        </w:tc>
      </w:tr>
      <w:tr w:rsidR="00673B29" w:rsidRPr="00673B29" w14:paraId="3C34EB0E" w14:textId="77777777" w:rsidTr="00673B29">
        <w:trPr>
          <w:trHeight w:val="855"/>
        </w:trPr>
        <w:tc>
          <w:tcPr>
            <w:tcW w:w="9000" w:type="dxa"/>
            <w:tcBorders>
              <w:top w:val="nil"/>
              <w:left w:val="nil"/>
              <w:bottom w:val="nil"/>
              <w:right w:val="nil"/>
            </w:tcBorders>
            <w:shd w:val="clear" w:color="auto" w:fill="auto"/>
            <w:vAlign w:val="center"/>
            <w:hideMark/>
          </w:tcPr>
          <w:p w14:paraId="2265F356" w14:textId="77777777" w:rsidR="00673B29" w:rsidRPr="00673B29" w:rsidRDefault="00673B29" w:rsidP="00673B29">
            <w:pPr>
              <w:numPr>
                <w:ilvl w:val="0"/>
                <w:numId w:val="18"/>
              </w:numPr>
              <w:spacing w:after="0" w:line="240" w:lineRule="auto"/>
              <w:ind w:left="360" w:firstLine="0"/>
              <w:textAlignment w:val="baseline"/>
              <w:rPr>
                <w:rFonts w:ascii="Calibri" w:eastAsia="Times New Roman" w:hAnsi="Calibri" w:cs="Calibri"/>
                <w:lang w:eastAsia="en-GB"/>
              </w:rPr>
            </w:pPr>
            <w:hyperlink r:id="rId36" w:tgtFrame="_blank" w:history="1">
              <w:r w:rsidRPr="00673B29">
                <w:rPr>
                  <w:rFonts w:ascii="Calibri" w:eastAsia="Times New Roman" w:hAnsi="Calibri" w:cs="Calibri"/>
                  <w:color w:val="000000"/>
                  <w:lang w:eastAsia="en-GB"/>
                </w:rPr>
                <w:t>‌ Wolfe, A. J., &amp; Brubaker, L. (2015). “Sterile Urine” and the Presence of Bacteria. European Urology, 68(2), 173–174.</w:t>
              </w:r>
              <w:r w:rsidRPr="00673B29">
                <w:rPr>
                  <w:rFonts w:ascii="Calibri" w:eastAsia="Times New Roman" w:hAnsi="Calibri" w:cs="Calibri"/>
                  <w:color w:val="2E74B5"/>
                  <w:u w:val="single"/>
                  <w:lang w:eastAsia="en-GB"/>
                </w:rPr>
                <w:t xml:space="preserve"> https://doi.org/10.1016/j.eururo.2015.02.041  </w:t>
              </w:r>
            </w:hyperlink>
            <w:r w:rsidRPr="00673B29">
              <w:rPr>
                <w:rFonts w:ascii="Calibri" w:eastAsia="Times New Roman" w:hAnsi="Calibri" w:cs="Calibri"/>
                <w:color w:val="000000"/>
                <w:lang w:eastAsia="en-GB"/>
              </w:rPr>
              <w:t> </w:t>
            </w:r>
          </w:p>
        </w:tc>
      </w:tr>
      <w:tr w:rsidR="00673B29" w:rsidRPr="00673B29" w14:paraId="54451AE1" w14:textId="77777777" w:rsidTr="00673B29">
        <w:trPr>
          <w:trHeight w:val="855"/>
        </w:trPr>
        <w:tc>
          <w:tcPr>
            <w:tcW w:w="9000" w:type="dxa"/>
            <w:tcBorders>
              <w:top w:val="nil"/>
              <w:left w:val="nil"/>
              <w:bottom w:val="nil"/>
              <w:right w:val="nil"/>
            </w:tcBorders>
            <w:shd w:val="clear" w:color="auto" w:fill="auto"/>
            <w:vAlign w:val="center"/>
            <w:hideMark/>
          </w:tcPr>
          <w:p w14:paraId="552A567F" w14:textId="77777777" w:rsidR="00673B29" w:rsidRPr="00673B29" w:rsidRDefault="00673B29" w:rsidP="00673B29">
            <w:pPr>
              <w:numPr>
                <w:ilvl w:val="0"/>
                <w:numId w:val="19"/>
              </w:numPr>
              <w:spacing w:after="0" w:line="240" w:lineRule="auto"/>
              <w:ind w:left="360" w:firstLine="0"/>
              <w:textAlignment w:val="baseline"/>
              <w:rPr>
                <w:rFonts w:ascii="Calibri" w:eastAsia="Times New Roman" w:hAnsi="Calibri" w:cs="Calibri"/>
                <w:lang w:eastAsia="en-GB"/>
              </w:rPr>
            </w:pPr>
            <w:hyperlink r:id="rId37" w:tgtFrame="_blank" w:history="1">
              <w:r w:rsidRPr="00673B29">
                <w:rPr>
                  <w:rFonts w:ascii="Calibri" w:eastAsia="Times New Roman" w:hAnsi="Calibri" w:cs="Calibri"/>
                  <w:color w:val="000000"/>
                  <w:lang w:eastAsia="en-GB"/>
                </w:rPr>
                <w:t xml:space="preserve">“Swann song” for routine antibiotic use, 50 years on? (n.d.). Retrieved May 10, 2024, from </w:t>
              </w:r>
              <w:r w:rsidRPr="00673B29">
                <w:rPr>
                  <w:rFonts w:ascii="Calibri" w:eastAsia="Times New Roman" w:hAnsi="Calibri" w:cs="Calibri"/>
                  <w:color w:val="2E74B5"/>
                  <w:u w:val="single"/>
                  <w:lang w:eastAsia="en-GB"/>
                </w:rPr>
                <w:t>https://www.saveourantibiotics.org/media/1808/swann-song-for-routine-antibiotic-use.pdf </w:t>
              </w:r>
            </w:hyperlink>
            <w:r w:rsidRPr="00673B29">
              <w:rPr>
                <w:rFonts w:ascii="Calibri" w:eastAsia="Times New Roman" w:hAnsi="Calibri" w:cs="Calibri"/>
                <w:color w:val="000000"/>
                <w:lang w:eastAsia="en-GB"/>
              </w:rPr>
              <w:t> </w:t>
            </w:r>
          </w:p>
        </w:tc>
      </w:tr>
      <w:tr w:rsidR="00673B29" w:rsidRPr="00673B29" w14:paraId="7B881998" w14:textId="77777777" w:rsidTr="00673B29">
        <w:trPr>
          <w:trHeight w:val="1740"/>
        </w:trPr>
        <w:tc>
          <w:tcPr>
            <w:tcW w:w="9000" w:type="dxa"/>
            <w:tcBorders>
              <w:top w:val="nil"/>
              <w:left w:val="nil"/>
              <w:bottom w:val="nil"/>
              <w:right w:val="nil"/>
            </w:tcBorders>
            <w:shd w:val="clear" w:color="auto" w:fill="auto"/>
            <w:vAlign w:val="center"/>
            <w:hideMark/>
          </w:tcPr>
          <w:p w14:paraId="7A251448" w14:textId="77777777" w:rsidR="00673B29" w:rsidRPr="00673B29" w:rsidRDefault="00673B29" w:rsidP="00673B29">
            <w:pPr>
              <w:numPr>
                <w:ilvl w:val="0"/>
                <w:numId w:val="20"/>
              </w:numPr>
              <w:spacing w:after="0" w:line="240" w:lineRule="auto"/>
              <w:ind w:left="360" w:firstLine="0"/>
              <w:textAlignment w:val="baseline"/>
              <w:rPr>
                <w:rFonts w:ascii="Calibri" w:eastAsia="Times New Roman" w:hAnsi="Calibri" w:cs="Calibri"/>
                <w:lang w:eastAsia="en-GB"/>
              </w:rPr>
            </w:pPr>
            <w:hyperlink r:id="rId38" w:tgtFrame="_blank" w:history="1">
              <w:r w:rsidRPr="00673B29">
                <w:rPr>
                  <w:rFonts w:ascii="Calibri" w:eastAsia="Times New Roman" w:hAnsi="Calibri" w:cs="Calibri"/>
                  <w:color w:val="000000"/>
                  <w:lang w:eastAsia="en-GB"/>
                </w:rPr>
                <w:t xml:space="preserve">Butcher, N., &amp; Baxi, D. (2023, December). URINARY TRACT INFECTIONS Quick Reference Guide for the Diagnosis of UTI in Adults in Primary Care [Review of URINARY TRACT INFECTIONS Quick Reference Guide for the Diagnosis of UTI in Adults in Primary Care]. </w:t>
              </w:r>
              <w:r w:rsidRPr="00673B29">
                <w:rPr>
                  <w:rFonts w:ascii="Calibri" w:eastAsia="Times New Roman" w:hAnsi="Calibri" w:cs="Calibri"/>
                  <w:color w:val="2E74B5"/>
                  <w:u w:val="single"/>
                  <w:lang w:eastAsia="en-GB"/>
                </w:rPr>
                <w:t>https://www.nottsapc.nhs.uk/media/vpbmirrm/diagnosis-of-uti-quick-reference.pdf  </w:t>
              </w:r>
            </w:hyperlink>
            <w:r w:rsidRPr="00673B29">
              <w:rPr>
                <w:rFonts w:ascii="Calibri" w:eastAsia="Times New Roman" w:hAnsi="Calibri" w:cs="Calibri"/>
                <w:color w:val="000000"/>
                <w:lang w:eastAsia="en-GB"/>
              </w:rPr>
              <w:t> </w:t>
            </w:r>
          </w:p>
        </w:tc>
      </w:tr>
      <w:tr w:rsidR="00673B29" w:rsidRPr="00673B29" w14:paraId="662AAAA7" w14:textId="77777777" w:rsidTr="00673B29">
        <w:trPr>
          <w:trHeight w:val="585"/>
        </w:trPr>
        <w:tc>
          <w:tcPr>
            <w:tcW w:w="9000" w:type="dxa"/>
            <w:tcBorders>
              <w:top w:val="nil"/>
              <w:left w:val="nil"/>
              <w:bottom w:val="nil"/>
              <w:right w:val="nil"/>
            </w:tcBorders>
            <w:shd w:val="clear" w:color="auto" w:fill="auto"/>
            <w:vAlign w:val="center"/>
            <w:hideMark/>
          </w:tcPr>
          <w:p w14:paraId="2F4ADDC5" w14:textId="77777777" w:rsidR="00673B29" w:rsidRPr="00673B29" w:rsidRDefault="00673B29" w:rsidP="00673B29">
            <w:pPr>
              <w:numPr>
                <w:ilvl w:val="0"/>
                <w:numId w:val="21"/>
              </w:numPr>
              <w:spacing w:after="0" w:line="240" w:lineRule="auto"/>
              <w:ind w:left="360" w:firstLine="0"/>
              <w:textAlignment w:val="baseline"/>
              <w:rPr>
                <w:rFonts w:ascii="Calibri" w:eastAsia="Times New Roman" w:hAnsi="Calibri" w:cs="Calibri"/>
                <w:lang w:eastAsia="en-GB"/>
              </w:rPr>
            </w:pPr>
            <w:hyperlink r:id="rId39" w:tgtFrame="_blank" w:history="1">
              <w:r w:rsidRPr="00673B29">
                <w:rPr>
                  <w:rFonts w:ascii="Calibri" w:eastAsia="Times New Roman" w:hAnsi="Calibri" w:cs="Calibri"/>
                  <w:color w:val="000000"/>
                  <w:lang w:eastAsia="en-GB"/>
                </w:rPr>
                <w:t xml:space="preserve">Dadgostar, P. (2019). Antimicrobial Resistance: Implications and Costs. Infection and Drug Resistance, 12(12), 3903–3910. </w:t>
              </w:r>
              <w:r w:rsidRPr="00673B29">
                <w:rPr>
                  <w:rFonts w:ascii="Calibri" w:eastAsia="Times New Roman" w:hAnsi="Calibri" w:cs="Calibri"/>
                  <w:color w:val="2E74B5"/>
                  <w:u w:val="single"/>
                  <w:lang w:eastAsia="en-GB"/>
                </w:rPr>
                <w:t>https://doi.org/10.2147/idr.s234610  </w:t>
              </w:r>
            </w:hyperlink>
            <w:r w:rsidRPr="00673B29">
              <w:rPr>
                <w:rFonts w:ascii="Calibri" w:eastAsia="Times New Roman" w:hAnsi="Calibri" w:cs="Calibri"/>
                <w:color w:val="000000"/>
                <w:lang w:eastAsia="en-GB"/>
              </w:rPr>
              <w:t> </w:t>
            </w:r>
          </w:p>
        </w:tc>
      </w:tr>
      <w:tr w:rsidR="00673B29" w:rsidRPr="00673B29" w14:paraId="257FF740" w14:textId="77777777" w:rsidTr="00673B29">
        <w:trPr>
          <w:trHeight w:val="585"/>
        </w:trPr>
        <w:tc>
          <w:tcPr>
            <w:tcW w:w="9000" w:type="dxa"/>
            <w:tcBorders>
              <w:top w:val="nil"/>
              <w:left w:val="nil"/>
              <w:bottom w:val="nil"/>
              <w:right w:val="nil"/>
            </w:tcBorders>
            <w:shd w:val="clear" w:color="auto" w:fill="auto"/>
            <w:vAlign w:val="center"/>
            <w:hideMark/>
          </w:tcPr>
          <w:p w14:paraId="0DE1AB94" w14:textId="77777777" w:rsidR="00673B29" w:rsidRPr="00673B29" w:rsidRDefault="00673B29" w:rsidP="00673B29">
            <w:pPr>
              <w:numPr>
                <w:ilvl w:val="0"/>
                <w:numId w:val="22"/>
              </w:numPr>
              <w:spacing w:after="0" w:line="240" w:lineRule="auto"/>
              <w:ind w:left="360" w:firstLine="0"/>
              <w:textAlignment w:val="baseline"/>
              <w:rPr>
                <w:rFonts w:ascii="Calibri" w:eastAsia="Times New Roman" w:hAnsi="Calibri" w:cs="Calibri"/>
                <w:lang w:eastAsia="en-GB"/>
              </w:rPr>
            </w:pPr>
            <w:r w:rsidRPr="00673B29">
              <w:rPr>
                <w:rFonts w:ascii="Calibri" w:eastAsia="Times New Roman" w:hAnsi="Calibri" w:cs="Calibri"/>
                <w:color w:val="000000"/>
                <w:lang w:eastAsia="en-GB"/>
              </w:rPr>
              <w:t>Davies, J., &amp; Davies, D. (2010). Origins and Evolution of Antibiotic Resistance. Microbiology and Molecular Biology Reviews, 74(3), 417–433.)  </w:t>
            </w:r>
          </w:p>
        </w:tc>
      </w:tr>
      <w:tr w:rsidR="00673B29" w:rsidRPr="00673B29" w14:paraId="2132147B" w14:textId="77777777" w:rsidTr="00673B29">
        <w:trPr>
          <w:trHeight w:val="585"/>
        </w:trPr>
        <w:tc>
          <w:tcPr>
            <w:tcW w:w="9000" w:type="dxa"/>
            <w:tcBorders>
              <w:top w:val="nil"/>
              <w:left w:val="nil"/>
              <w:bottom w:val="nil"/>
              <w:right w:val="nil"/>
            </w:tcBorders>
            <w:shd w:val="clear" w:color="auto" w:fill="auto"/>
            <w:vAlign w:val="center"/>
            <w:hideMark/>
          </w:tcPr>
          <w:p w14:paraId="393D2BB7" w14:textId="77777777" w:rsidR="00673B29" w:rsidRPr="00673B29" w:rsidRDefault="00673B29" w:rsidP="00673B29">
            <w:pPr>
              <w:numPr>
                <w:ilvl w:val="0"/>
                <w:numId w:val="23"/>
              </w:numPr>
              <w:spacing w:after="0" w:line="240" w:lineRule="auto"/>
              <w:ind w:left="360" w:firstLine="0"/>
              <w:textAlignment w:val="baseline"/>
              <w:rPr>
                <w:rFonts w:ascii="Calibri" w:eastAsia="Times New Roman" w:hAnsi="Calibri" w:cs="Calibri"/>
                <w:lang w:eastAsia="en-GB"/>
              </w:rPr>
            </w:pPr>
            <w:hyperlink r:id="rId40" w:tgtFrame="_blank" w:history="1">
              <w:r w:rsidRPr="00673B29">
                <w:rPr>
                  <w:rFonts w:ascii="Calibri" w:eastAsia="Times New Roman" w:hAnsi="Calibri" w:cs="Calibri"/>
                  <w:color w:val="000000"/>
                  <w:lang w:eastAsia="en-GB"/>
                </w:rPr>
                <w:t xml:space="preserve">Drexler, M. (2010). How Infection Works. National Library of Medicine; National Academies Press (US). </w:t>
              </w:r>
              <w:r w:rsidRPr="00673B29">
                <w:rPr>
                  <w:rFonts w:ascii="Calibri" w:eastAsia="Times New Roman" w:hAnsi="Calibri" w:cs="Calibri"/>
                  <w:color w:val="2E74B5"/>
                  <w:u w:val="single"/>
                  <w:lang w:eastAsia="en-GB"/>
                </w:rPr>
                <w:t>https://www.ncbi.nlm.nih.gov/books/NBK209710/ </w:t>
              </w:r>
            </w:hyperlink>
            <w:r w:rsidRPr="00673B29">
              <w:rPr>
                <w:rFonts w:ascii="Calibri" w:eastAsia="Times New Roman" w:hAnsi="Calibri" w:cs="Calibri"/>
                <w:color w:val="000000"/>
                <w:lang w:eastAsia="en-GB"/>
              </w:rPr>
              <w:t> </w:t>
            </w:r>
          </w:p>
          <w:p w14:paraId="7AC2E0AC" w14:textId="77777777" w:rsidR="00673B29" w:rsidRPr="00673B29" w:rsidRDefault="00673B29" w:rsidP="00673B29">
            <w:pPr>
              <w:numPr>
                <w:ilvl w:val="0"/>
                <w:numId w:val="23"/>
              </w:numPr>
              <w:spacing w:after="0" w:line="240" w:lineRule="auto"/>
              <w:ind w:left="360" w:firstLine="0"/>
              <w:textAlignment w:val="baseline"/>
              <w:rPr>
                <w:rFonts w:ascii="Calibri" w:eastAsia="Times New Roman" w:hAnsi="Calibri" w:cs="Calibri"/>
                <w:lang w:eastAsia="en-GB"/>
              </w:rPr>
            </w:pPr>
            <w:r w:rsidRPr="00673B29">
              <w:rPr>
                <w:rFonts w:ascii="Calibri" w:eastAsia="Times New Roman" w:hAnsi="Calibri" w:cs="Calibri"/>
                <w:color w:val="000000"/>
                <w:lang w:eastAsia="en-GB"/>
              </w:rPr>
              <w:t>Faber, J., &amp; Fonseca, L. M. (2014). How sample size influences research outcomes. Dental Press Journal of Orthodontics, 19(4), 27–29. NCBI. https://doi.org/10.1590/2176-9451.19.4.027-029.ebo </w:t>
            </w:r>
          </w:p>
        </w:tc>
      </w:tr>
      <w:tr w:rsidR="00673B29" w:rsidRPr="00673B29" w14:paraId="0D3E59A2" w14:textId="77777777" w:rsidTr="00673B29">
        <w:trPr>
          <w:trHeight w:val="1155"/>
        </w:trPr>
        <w:tc>
          <w:tcPr>
            <w:tcW w:w="9000" w:type="dxa"/>
            <w:tcBorders>
              <w:top w:val="nil"/>
              <w:left w:val="nil"/>
              <w:bottom w:val="nil"/>
              <w:right w:val="nil"/>
            </w:tcBorders>
            <w:shd w:val="clear" w:color="auto" w:fill="auto"/>
            <w:vAlign w:val="center"/>
            <w:hideMark/>
          </w:tcPr>
          <w:p w14:paraId="19487F0A" w14:textId="77777777" w:rsidR="00673B29" w:rsidRPr="00673B29" w:rsidRDefault="00673B29" w:rsidP="00673B29">
            <w:pPr>
              <w:numPr>
                <w:ilvl w:val="0"/>
                <w:numId w:val="24"/>
              </w:numPr>
              <w:spacing w:after="0" w:line="240" w:lineRule="auto"/>
              <w:ind w:left="360" w:firstLine="0"/>
              <w:textAlignment w:val="baseline"/>
              <w:rPr>
                <w:rFonts w:ascii="Calibri" w:eastAsia="Times New Roman" w:hAnsi="Calibri" w:cs="Calibri"/>
                <w:lang w:eastAsia="en-GB"/>
              </w:rPr>
            </w:pPr>
            <w:hyperlink r:id="rId41" w:tgtFrame="_blank" w:history="1">
              <w:r w:rsidRPr="00673B29">
                <w:rPr>
                  <w:rFonts w:ascii="Calibri" w:eastAsia="Times New Roman" w:hAnsi="Calibri" w:cs="Calibri"/>
                  <w:color w:val="000000"/>
                  <w:lang w:eastAsia="en-GB"/>
                </w:rPr>
                <w:t>Godwin, A., Benedict, B., Rohde, J., Thielmeyer, A., Perkins, H., Major, J., Clements, H., &amp; Chen, Z. (2021). New Epistemological Perspectives on Quantitative Methods: An Example Using Topological Data Analysis. Studies in Engineering Education, 2(1), 16. https://doi.org/10.21061/see.18  </w:t>
              </w:r>
            </w:hyperlink>
            <w:r w:rsidRPr="00673B29">
              <w:rPr>
                <w:rFonts w:ascii="Calibri" w:eastAsia="Times New Roman" w:hAnsi="Calibri" w:cs="Calibri"/>
                <w:color w:val="000000"/>
                <w:lang w:eastAsia="en-GB"/>
              </w:rPr>
              <w:t> </w:t>
            </w:r>
          </w:p>
        </w:tc>
      </w:tr>
      <w:tr w:rsidR="00673B29" w:rsidRPr="00673B29" w14:paraId="4B2A45B8" w14:textId="77777777" w:rsidTr="00673B29">
        <w:trPr>
          <w:trHeight w:val="855"/>
        </w:trPr>
        <w:tc>
          <w:tcPr>
            <w:tcW w:w="9000" w:type="dxa"/>
            <w:tcBorders>
              <w:top w:val="nil"/>
              <w:left w:val="nil"/>
              <w:bottom w:val="nil"/>
              <w:right w:val="nil"/>
            </w:tcBorders>
            <w:shd w:val="clear" w:color="auto" w:fill="auto"/>
            <w:vAlign w:val="center"/>
            <w:hideMark/>
          </w:tcPr>
          <w:p w14:paraId="2C015BC4" w14:textId="77777777" w:rsidR="00673B29" w:rsidRPr="00673B29" w:rsidRDefault="00673B29" w:rsidP="00673B29">
            <w:pPr>
              <w:numPr>
                <w:ilvl w:val="0"/>
                <w:numId w:val="25"/>
              </w:numPr>
              <w:spacing w:after="0" w:line="240" w:lineRule="auto"/>
              <w:ind w:left="360" w:firstLine="0"/>
              <w:textAlignment w:val="baseline"/>
              <w:rPr>
                <w:rFonts w:ascii="Calibri" w:eastAsia="Times New Roman" w:hAnsi="Calibri" w:cs="Calibri"/>
                <w:lang w:eastAsia="en-GB"/>
              </w:rPr>
            </w:pPr>
            <w:hyperlink r:id="rId42" w:tgtFrame="_blank" w:history="1">
              <w:r w:rsidRPr="00673B29">
                <w:rPr>
                  <w:rFonts w:ascii="Calibri" w:eastAsia="Times New Roman" w:hAnsi="Calibri" w:cs="Calibri"/>
                  <w:color w:val="000000"/>
                  <w:lang w:eastAsia="en-GB"/>
                </w:rPr>
                <w:t xml:space="preserve">Healthcare-associated infections | Topic | NICE. (n.d.). Www.nice.org.uk. </w:t>
              </w:r>
              <w:r w:rsidRPr="00673B29">
                <w:rPr>
                  <w:rFonts w:ascii="Calibri" w:eastAsia="Times New Roman" w:hAnsi="Calibri" w:cs="Calibri"/>
                  <w:color w:val="2E74B5"/>
                  <w:u w:val="single"/>
                  <w:lang w:eastAsia="en-GB"/>
                </w:rPr>
                <w:t>https://www.nice.org.uk/guidance/conditions-and-diseases/infections/healthcareassociated-infections  </w:t>
              </w:r>
            </w:hyperlink>
            <w:r w:rsidRPr="00673B29">
              <w:rPr>
                <w:rFonts w:ascii="Calibri" w:eastAsia="Times New Roman" w:hAnsi="Calibri" w:cs="Calibri"/>
                <w:color w:val="000000"/>
                <w:lang w:eastAsia="en-GB"/>
              </w:rPr>
              <w:t> </w:t>
            </w:r>
          </w:p>
        </w:tc>
      </w:tr>
      <w:tr w:rsidR="00673B29" w:rsidRPr="00673B29" w14:paraId="551C8587" w14:textId="77777777" w:rsidTr="00673B29">
        <w:trPr>
          <w:trHeight w:val="855"/>
        </w:trPr>
        <w:tc>
          <w:tcPr>
            <w:tcW w:w="9000" w:type="dxa"/>
            <w:tcBorders>
              <w:top w:val="nil"/>
              <w:left w:val="nil"/>
              <w:bottom w:val="nil"/>
              <w:right w:val="nil"/>
            </w:tcBorders>
            <w:shd w:val="clear" w:color="auto" w:fill="auto"/>
            <w:vAlign w:val="center"/>
            <w:hideMark/>
          </w:tcPr>
          <w:p w14:paraId="2FC183AE" w14:textId="77777777" w:rsidR="00673B29" w:rsidRPr="00673B29" w:rsidRDefault="00673B29" w:rsidP="00673B29">
            <w:pPr>
              <w:numPr>
                <w:ilvl w:val="0"/>
                <w:numId w:val="26"/>
              </w:numPr>
              <w:spacing w:after="0" w:line="240" w:lineRule="auto"/>
              <w:ind w:left="360" w:firstLine="0"/>
              <w:textAlignment w:val="baseline"/>
              <w:rPr>
                <w:rFonts w:ascii="Calibri" w:eastAsia="Times New Roman" w:hAnsi="Calibri" w:cs="Calibri"/>
                <w:lang w:eastAsia="en-GB"/>
              </w:rPr>
            </w:pPr>
            <w:hyperlink r:id="rId43" w:tgtFrame="_blank" w:history="1">
              <w:r w:rsidRPr="00673B29">
                <w:rPr>
                  <w:rFonts w:ascii="Calibri" w:eastAsia="Times New Roman" w:hAnsi="Calibri" w:cs="Calibri"/>
                  <w:color w:val="000000"/>
                  <w:lang w:eastAsia="en-GB"/>
                </w:rPr>
                <w:t xml:space="preserve">HM Government. (2019). Tackling antimicrobial resistance. </w:t>
              </w:r>
              <w:r w:rsidRPr="00673B29">
                <w:rPr>
                  <w:rFonts w:ascii="Calibri" w:eastAsia="Times New Roman" w:hAnsi="Calibri" w:cs="Calibri"/>
                  <w:color w:val="2E74B5"/>
                  <w:u w:val="single"/>
                  <w:lang w:eastAsia="en-GB"/>
                </w:rPr>
                <w:t>https://assets.publishing.service.gov.uk/media/6261392d8fa8f523bf22ab9e/UK_AMR_5_year_national_action_plan.pdf </w:t>
              </w:r>
            </w:hyperlink>
            <w:r w:rsidRPr="00673B29">
              <w:rPr>
                <w:rFonts w:ascii="Calibri" w:eastAsia="Times New Roman" w:hAnsi="Calibri" w:cs="Calibri"/>
                <w:color w:val="000000"/>
                <w:lang w:eastAsia="en-GB"/>
              </w:rPr>
              <w:t> </w:t>
            </w:r>
          </w:p>
          <w:p w14:paraId="2DE569E7" w14:textId="77777777" w:rsidR="00673B29" w:rsidRPr="00673B29" w:rsidRDefault="00673B29" w:rsidP="00673B29">
            <w:pPr>
              <w:numPr>
                <w:ilvl w:val="0"/>
                <w:numId w:val="26"/>
              </w:numPr>
              <w:spacing w:after="0" w:line="240" w:lineRule="auto"/>
              <w:ind w:left="360" w:firstLine="0"/>
              <w:textAlignment w:val="baseline"/>
              <w:rPr>
                <w:rFonts w:ascii="Calibri" w:eastAsia="Times New Roman" w:hAnsi="Calibri" w:cs="Calibri"/>
                <w:lang w:eastAsia="en-GB"/>
              </w:rPr>
            </w:pPr>
            <w:r w:rsidRPr="00673B29">
              <w:rPr>
                <w:rFonts w:ascii="Calibri" w:eastAsia="Times New Roman" w:hAnsi="Calibri" w:cs="Calibri"/>
                <w:color w:val="000000"/>
                <w:lang w:eastAsia="en-GB"/>
              </w:rPr>
              <w:t>Kim, H.-Y. (2017). Statistical notes for clinical researchers: Chi-squared test and Fisher’s exact test. Restorative Dentistry &amp; Endodontics, 42(2), 152. https://doi.org/10.5395/rde.2017.42.2.152 </w:t>
            </w:r>
          </w:p>
        </w:tc>
      </w:tr>
      <w:tr w:rsidR="00673B29" w:rsidRPr="00673B29" w14:paraId="27B0BC89" w14:textId="77777777" w:rsidTr="00673B29">
        <w:trPr>
          <w:trHeight w:val="1440"/>
        </w:trPr>
        <w:tc>
          <w:tcPr>
            <w:tcW w:w="9000" w:type="dxa"/>
            <w:tcBorders>
              <w:top w:val="nil"/>
              <w:left w:val="nil"/>
              <w:bottom w:val="nil"/>
              <w:right w:val="nil"/>
            </w:tcBorders>
            <w:shd w:val="clear" w:color="auto" w:fill="auto"/>
            <w:vAlign w:val="center"/>
            <w:hideMark/>
          </w:tcPr>
          <w:p w14:paraId="423B783D" w14:textId="77777777" w:rsidR="00673B29" w:rsidRPr="00673B29" w:rsidRDefault="00673B29" w:rsidP="00673B29">
            <w:pPr>
              <w:numPr>
                <w:ilvl w:val="0"/>
                <w:numId w:val="27"/>
              </w:numPr>
              <w:spacing w:after="0" w:line="240" w:lineRule="auto"/>
              <w:ind w:left="360" w:firstLine="0"/>
              <w:textAlignment w:val="baseline"/>
              <w:rPr>
                <w:rFonts w:ascii="Calibri" w:eastAsia="Times New Roman" w:hAnsi="Calibri" w:cs="Calibri"/>
                <w:lang w:eastAsia="en-GB"/>
              </w:rPr>
            </w:pPr>
            <w:hyperlink r:id="rId44" w:tgtFrame="_blank" w:history="1">
              <w:r w:rsidRPr="00673B29">
                <w:rPr>
                  <w:rFonts w:ascii="Calibri" w:eastAsia="Times New Roman" w:hAnsi="Calibri" w:cs="Calibri"/>
                  <w:color w:val="000000"/>
                  <w:lang w:eastAsia="en-GB"/>
                </w:rPr>
                <w:t xml:space="preserve">Loveday, H. P., Wilson, J. A., Pratt, R. J., Golsorkhi, M., Tingle, A., Bak, A., Browne, J., Prieto, J., &amp; Wilcox, M. (2014). National Evidence-Based Guidelines for Preventing Healthcare-Associated Infections in NHS Hospitals in England. Journal of Hospital Infection, 86(1), S1–S70. </w:t>
              </w:r>
              <w:r w:rsidRPr="00673B29">
                <w:rPr>
                  <w:rFonts w:ascii="Calibri" w:eastAsia="Times New Roman" w:hAnsi="Calibri" w:cs="Calibri"/>
                  <w:color w:val="2E74B5"/>
                  <w:u w:val="single"/>
                  <w:lang w:eastAsia="en-GB"/>
                </w:rPr>
                <w:t>https://doi.org/10.1016/S0195-6701(13)60012-2  </w:t>
              </w:r>
            </w:hyperlink>
            <w:r w:rsidRPr="00673B29">
              <w:rPr>
                <w:rFonts w:ascii="Calibri" w:eastAsia="Times New Roman" w:hAnsi="Calibri" w:cs="Calibri"/>
                <w:color w:val="000000"/>
                <w:lang w:eastAsia="en-GB"/>
              </w:rPr>
              <w:t> </w:t>
            </w:r>
          </w:p>
          <w:p w14:paraId="7E80A116" w14:textId="77777777" w:rsidR="00673B29" w:rsidRPr="00673B29" w:rsidRDefault="00673B29" w:rsidP="00673B29">
            <w:pPr>
              <w:numPr>
                <w:ilvl w:val="0"/>
                <w:numId w:val="27"/>
              </w:numPr>
              <w:spacing w:after="0" w:line="240" w:lineRule="auto"/>
              <w:ind w:left="360" w:firstLine="0"/>
              <w:textAlignment w:val="baseline"/>
              <w:rPr>
                <w:rFonts w:ascii="Calibri" w:eastAsia="Times New Roman" w:hAnsi="Calibri" w:cs="Calibri"/>
                <w:lang w:eastAsia="en-GB"/>
              </w:rPr>
            </w:pPr>
            <w:r w:rsidRPr="00673B29">
              <w:rPr>
                <w:rFonts w:ascii="Arial" w:eastAsia="Times New Roman" w:hAnsi="Arial" w:cs="Arial"/>
                <w:color w:val="2E414F"/>
                <w:sz w:val="21"/>
                <w:szCs w:val="21"/>
                <w:lang w:eastAsia="en-GB"/>
              </w:rPr>
              <w:t xml:space="preserve">May, J., &amp; Looney, S.W. (2020). Sample Size Charts for Spearman and Kendall Coefficients. </w:t>
            </w:r>
            <w:r w:rsidRPr="00673B29">
              <w:rPr>
                <w:rFonts w:ascii="Arial" w:eastAsia="Times New Roman" w:hAnsi="Arial" w:cs="Arial"/>
                <w:i/>
                <w:iCs/>
                <w:color w:val="2E414F"/>
                <w:sz w:val="21"/>
                <w:szCs w:val="21"/>
                <w:lang w:eastAsia="en-GB"/>
              </w:rPr>
              <w:t>Journal of biometrics &amp; biostatistics, 11</w:t>
            </w:r>
            <w:r w:rsidRPr="00673B29">
              <w:rPr>
                <w:rFonts w:ascii="Arial" w:eastAsia="Times New Roman" w:hAnsi="Arial" w:cs="Arial"/>
                <w:color w:val="2E414F"/>
                <w:sz w:val="21"/>
                <w:szCs w:val="21"/>
                <w:lang w:eastAsia="en-GB"/>
              </w:rPr>
              <w:t>, 1-7. </w:t>
            </w:r>
          </w:p>
        </w:tc>
      </w:tr>
      <w:tr w:rsidR="00673B29" w:rsidRPr="00673B29" w14:paraId="4E04475A" w14:textId="77777777" w:rsidTr="00673B29">
        <w:trPr>
          <w:trHeight w:val="855"/>
        </w:trPr>
        <w:tc>
          <w:tcPr>
            <w:tcW w:w="9000" w:type="dxa"/>
            <w:tcBorders>
              <w:top w:val="nil"/>
              <w:left w:val="nil"/>
              <w:bottom w:val="nil"/>
              <w:right w:val="nil"/>
            </w:tcBorders>
            <w:shd w:val="clear" w:color="auto" w:fill="auto"/>
            <w:vAlign w:val="center"/>
            <w:hideMark/>
          </w:tcPr>
          <w:p w14:paraId="423D8AD8" w14:textId="77777777" w:rsidR="00673B29" w:rsidRPr="00673B29" w:rsidRDefault="00673B29" w:rsidP="00673B29">
            <w:pPr>
              <w:numPr>
                <w:ilvl w:val="0"/>
                <w:numId w:val="28"/>
              </w:numPr>
              <w:spacing w:after="0" w:line="240" w:lineRule="auto"/>
              <w:ind w:left="360" w:firstLine="0"/>
              <w:textAlignment w:val="baseline"/>
              <w:rPr>
                <w:rFonts w:ascii="Calibri" w:eastAsia="Times New Roman" w:hAnsi="Calibri" w:cs="Calibri"/>
                <w:lang w:eastAsia="en-GB"/>
              </w:rPr>
            </w:pPr>
            <w:hyperlink r:id="rId45" w:tgtFrame="_blank" w:history="1">
              <w:r w:rsidRPr="00673B29">
                <w:rPr>
                  <w:rFonts w:ascii="Calibri" w:eastAsia="Times New Roman" w:hAnsi="Calibri" w:cs="Calibri"/>
                  <w:color w:val="000000"/>
                  <w:lang w:eastAsia="en-GB"/>
                </w:rPr>
                <w:t xml:space="preserve">Michael, C. A., Dominey-Howes, D., &amp; Labbate, M. (2014). The Antimicrobial Resistance Crisis: Causes, Consequences, and Management. Frontiers in Public Health, 2(145). </w:t>
              </w:r>
              <w:r w:rsidRPr="00673B29">
                <w:rPr>
                  <w:rFonts w:ascii="Calibri" w:eastAsia="Times New Roman" w:hAnsi="Calibri" w:cs="Calibri"/>
                  <w:color w:val="2E74B5"/>
                  <w:u w:val="single"/>
                  <w:lang w:eastAsia="en-GB"/>
                </w:rPr>
                <w:t>https://doi.org/10.3389/fpubh.2014.00145  </w:t>
              </w:r>
            </w:hyperlink>
            <w:r w:rsidRPr="00673B29">
              <w:rPr>
                <w:rFonts w:ascii="Calibri" w:eastAsia="Times New Roman" w:hAnsi="Calibri" w:cs="Calibri"/>
                <w:color w:val="000000"/>
                <w:lang w:eastAsia="en-GB"/>
              </w:rPr>
              <w:t> </w:t>
            </w:r>
          </w:p>
        </w:tc>
      </w:tr>
      <w:tr w:rsidR="00673B29" w:rsidRPr="00673B29" w14:paraId="3E462190" w14:textId="77777777" w:rsidTr="00673B29">
        <w:trPr>
          <w:trHeight w:val="855"/>
        </w:trPr>
        <w:tc>
          <w:tcPr>
            <w:tcW w:w="9000" w:type="dxa"/>
            <w:tcBorders>
              <w:top w:val="nil"/>
              <w:left w:val="nil"/>
              <w:bottom w:val="nil"/>
              <w:right w:val="nil"/>
            </w:tcBorders>
            <w:shd w:val="clear" w:color="auto" w:fill="auto"/>
            <w:vAlign w:val="center"/>
            <w:hideMark/>
          </w:tcPr>
          <w:p w14:paraId="15321B18" w14:textId="77777777" w:rsidR="00673B29" w:rsidRPr="00673B29" w:rsidRDefault="00673B29" w:rsidP="00673B29">
            <w:pPr>
              <w:numPr>
                <w:ilvl w:val="0"/>
                <w:numId w:val="29"/>
              </w:numPr>
              <w:spacing w:after="0" w:line="240" w:lineRule="auto"/>
              <w:ind w:left="360" w:firstLine="0"/>
              <w:textAlignment w:val="baseline"/>
              <w:rPr>
                <w:rFonts w:ascii="Calibri" w:eastAsia="Times New Roman" w:hAnsi="Calibri" w:cs="Calibri"/>
                <w:lang w:eastAsia="en-GB"/>
              </w:rPr>
            </w:pPr>
            <w:hyperlink r:id="rId46" w:tgtFrame="_blank" w:history="1">
              <w:r w:rsidRPr="00673B29">
                <w:rPr>
                  <w:rFonts w:ascii="Calibri" w:eastAsia="Times New Roman" w:hAnsi="Calibri" w:cs="Calibri"/>
                  <w:color w:val="000000"/>
                  <w:lang w:eastAsia="en-GB"/>
                </w:rPr>
                <w:t xml:space="preserve">Morgan, J. (2021). Diagnosing UTI in the over 65s [Review of Diagnosing UTI in the over 65s]. GP information leaflet for the Prescribing of </w:t>
              </w:r>
              <w:proofErr w:type="spellStart"/>
              <w:r w:rsidRPr="00673B29">
                <w:rPr>
                  <w:rFonts w:ascii="Calibri" w:eastAsia="Times New Roman" w:hAnsi="Calibri" w:cs="Calibri"/>
                  <w:color w:val="000000"/>
                  <w:lang w:eastAsia="en-GB"/>
                </w:rPr>
                <w:t>Lacosamide</w:t>
              </w:r>
              <w:proofErr w:type="spellEnd"/>
              <w:r w:rsidRPr="00673B29">
                <w:rPr>
                  <w:rFonts w:ascii="Calibri" w:eastAsia="Times New Roman" w:hAnsi="Calibri" w:cs="Calibri"/>
                  <w:color w:val="000000"/>
                  <w:lang w:eastAsia="en-GB"/>
                </w:rPr>
                <w:t xml:space="preserve"> in Epilepsy (hey.nhs.uk)  </w:t>
              </w:r>
            </w:hyperlink>
            <w:r w:rsidRPr="00673B29">
              <w:rPr>
                <w:rFonts w:ascii="Calibri" w:eastAsia="Times New Roman" w:hAnsi="Calibri" w:cs="Calibri"/>
                <w:color w:val="000000"/>
                <w:lang w:eastAsia="en-GB"/>
              </w:rPr>
              <w:t> </w:t>
            </w:r>
          </w:p>
        </w:tc>
      </w:tr>
      <w:tr w:rsidR="00673B29" w:rsidRPr="00673B29" w14:paraId="5EA2F9D6" w14:textId="77777777" w:rsidTr="00673B29">
        <w:trPr>
          <w:trHeight w:val="855"/>
        </w:trPr>
        <w:tc>
          <w:tcPr>
            <w:tcW w:w="9000" w:type="dxa"/>
            <w:tcBorders>
              <w:top w:val="nil"/>
              <w:left w:val="nil"/>
              <w:bottom w:val="nil"/>
              <w:right w:val="nil"/>
            </w:tcBorders>
            <w:shd w:val="clear" w:color="auto" w:fill="auto"/>
            <w:vAlign w:val="center"/>
            <w:hideMark/>
          </w:tcPr>
          <w:p w14:paraId="238273D8" w14:textId="77777777" w:rsidR="00673B29" w:rsidRPr="00673B29" w:rsidRDefault="00673B29" w:rsidP="00673B29">
            <w:pPr>
              <w:numPr>
                <w:ilvl w:val="0"/>
                <w:numId w:val="30"/>
              </w:numPr>
              <w:spacing w:after="0" w:line="240" w:lineRule="auto"/>
              <w:ind w:left="360" w:firstLine="0"/>
              <w:textAlignment w:val="baseline"/>
              <w:rPr>
                <w:rFonts w:ascii="Calibri" w:eastAsia="Times New Roman" w:hAnsi="Calibri" w:cs="Calibri"/>
                <w:lang w:eastAsia="en-GB"/>
              </w:rPr>
            </w:pPr>
            <w:hyperlink r:id="rId47" w:tgtFrame="_blank" w:history="1">
              <w:r w:rsidRPr="00673B29">
                <w:rPr>
                  <w:rFonts w:ascii="Calibri" w:eastAsia="Times New Roman" w:hAnsi="Calibri" w:cs="Calibri"/>
                  <w:color w:val="000000"/>
                  <w:lang w:eastAsia="en-GB"/>
                </w:rPr>
                <w:t xml:space="preserve">Murray, C. J. (2022). Global Burden of Bacterial Antimicrobial Resistance in 2019: A Systematic Analysis. The Lancet, 399(10325), 629–655. </w:t>
              </w:r>
              <w:r w:rsidRPr="00673B29">
                <w:rPr>
                  <w:rFonts w:ascii="Calibri" w:eastAsia="Times New Roman" w:hAnsi="Calibri" w:cs="Calibri"/>
                  <w:color w:val="2E74B5"/>
                  <w:lang w:eastAsia="en-GB"/>
                </w:rPr>
                <w:t>https://doi.org/10.1016/S0140-6736(21)02724-0  </w:t>
              </w:r>
            </w:hyperlink>
            <w:r w:rsidRPr="00673B29">
              <w:rPr>
                <w:rFonts w:ascii="Calibri" w:eastAsia="Times New Roman" w:hAnsi="Calibri" w:cs="Calibri"/>
                <w:color w:val="000000"/>
                <w:lang w:eastAsia="en-GB"/>
              </w:rPr>
              <w:t> </w:t>
            </w:r>
          </w:p>
        </w:tc>
      </w:tr>
      <w:tr w:rsidR="00673B29" w:rsidRPr="00673B29" w14:paraId="0F2922E3" w14:textId="77777777" w:rsidTr="00673B29">
        <w:trPr>
          <w:trHeight w:val="1155"/>
        </w:trPr>
        <w:tc>
          <w:tcPr>
            <w:tcW w:w="9000" w:type="dxa"/>
            <w:tcBorders>
              <w:top w:val="nil"/>
              <w:left w:val="nil"/>
              <w:bottom w:val="nil"/>
              <w:right w:val="nil"/>
            </w:tcBorders>
            <w:shd w:val="clear" w:color="auto" w:fill="auto"/>
            <w:vAlign w:val="center"/>
            <w:hideMark/>
          </w:tcPr>
          <w:p w14:paraId="2D5774D0" w14:textId="77777777" w:rsidR="00673B29" w:rsidRPr="00673B29" w:rsidRDefault="00673B29" w:rsidP="00673B29">
            <w:pPr>
              <w:numPr>
                <w:ilvl w:val="0"/>
                <w:numId w:val="31"/>
              </w:numPr>
              <w:spacing w:after="0" w:line="240" w:lineRule="auto"/>
              <w:ind w:left="360" w:firstLine="0"/>
              <w:textAlignment w:val="baseline"/>
              <w:rPr>
                <w:rFonts w:ascii="Calibri" w:eastAsia="Times New Roman" w:hAnsi="Calibri" w:cs="Calibri"/>
                <w:lang w:eastAsia="en-GB"/>
              </w:rPr>
            </w:pPr>
            <w:hyperlink r:id="rId48" w:tgtFrame="_blank" w:history="1">
              <w:r w:rsidRPr="00673B29">
                <w:rPr>
                  <w:rFonts w:ascii="Calibri" w:eastAsia="Times New Roman" w:hAnsi="Calibri" w:cs="Calibri"/>
                  <w:color w:val="000000"/>
                  <w:lang w:eastAsia="en-GB"/>
                </w:rPr>
                <w:t xml:space="preserve">NHS. (2023). NHS England» Antimicrobial Resistance (AMR). Www.england.nhs.uk. </w:t>
              </w:r>
              <w:r w:rsidRPr="00673B29">
                <w:rPr>
                  <w:rFonts w:ascii="Calibri" w:eastAsia="Times New Roman" w:hAnsi="Calibri" w:cs="Calibri"/>
                  <w:color w:val="2E74B5"/>
                  <w:u w:val="single"/>
                  <w:lang w:eastAsia="en-GB"/>
                </w:rPr>
                <w:t>https://www.england.nhs.uk/ourwork/prevention/antimicrobial-resistance-amr/ </w:t>
              </w:r>
            </w:hyperlink>
            <w:r w:rsidRPr="00673B29">
              <w:rPr>
                <w:rFonts w:ascii="Calibri" w:eastAsia="Times New Roman" w:hAnsi="Calibri" w:cs="Calibri"/>
                <w:color w:val="000000"/>
                <w:lang w:eastAsia="en-GB"/>
              </w:rPr>
              <w:t> </w:t>
            </w:r>
          </w:p>
        </w:tc>
      </w:tr>
      <w:tr w:rsidR="00673B29" w:rsidRPr="00673B29" w14:paraId="0DA21D43" w14:textId="77777777" w:rsidTr="00673B29">
        <w:trPr>
          <w:trHeight w:val="585"/>
        </w:trPr>
        <w:tc>
          <w:tcPr>
            <w:tcW w:w="9000" w:type="dxa"/>
            <w:tcBorders>
              <w:top w:val="nil"/>
              <w:left w:val="nil"/>
              <w:bottom w:val="nil"/>
              <w:right w:val="nil"/>
            </w:tcBorders>
            <w:shd w:val="clear" w:color="auto" w:fill="auto"/>
            <w:vAlign w:val="center"/>
            <w:hideMark/>
          </w:tcPr>
          <w:p w14:paraId="382C1158" w14:textId="77777777" w:rsidR="00673B29" w:rsidRPr="00673B29" w:rsidRDefault="00673B29" w:rsidP="00673B29">
            <w:pPr>
              <w:numPr>
                <w:ilvl w:val="0"/>
                <w:numId w:val="32"/>
              </w:numPr>
              <w:spacing w:after="0" w:line="240" w:lineRule="auto"/>
              <w:ind w:left="360" w:firstLine="0"/>
              <w:textAlignment w:val="baseline"/>
              <w:rPr>
                <w:rFonts w:ascii="Calibri" w:eastAsia="Times New Roman" w:hAnsi="Calibri" w:cs="Calibri"/>
                <w:lang w:eastAsia="en-GB"/>
              </w:rPr>
            </w:pPr>
            <w:hyperlink r:id="rId49" w:tgtFrame="_blank" w:history="1">
              <w:r w:rsidRPr="00673B29">
                <w:rPr>
                  <w:rFonts w:ascii="Calibri" w:eastAsia="Times New Roman" w:hAnsi="Calibri" w:cs="Calibri"/>
                  <w:color w:val="000000"/>
                  <w:lang w:eastAsia="en-GB"/>
                </w:rPr>
                <w:t xml:space="preserve">NICE. (2023). CKS is only available in the UK. NICE. </w:t>
              </w:r>
              <w:r w:rsidRPr="00673B29">
                <w:rPr>
                  <w:rFonts w:ascii="Calibri" w:eastAsia="Times New Roman" w:hAnsi="Calibri" w:cs="Calibri"/>
                  <w:color w:val="2E74B5"/>
                  <w:u w:val="single"/>
                  <w:lang w:eastAsia="en-GB"/>
                </w:rPr>
                <w:t>https://cks.nice.org.uk/topics/urinary-tract-infection-lower-men/  </w:t>
              </w:r>
            </w:hyperlink>
            <w:r w:rsidRPr="00673B29">
              <w:rPr>
                <w:rFonts w:ascii="Calibri" w:eastAsia="Times New Roman" w:hAnsi="Calibri" w:cs="Calibri"/>
                <w:color w:val="000000"/>
                <w:lang w:eastAsia="en-GB"/>
              </w:rPr>
              <w:t> </w:t>
            </w:r>
          </w:p>
        </w:tc>
      </w:tr>
      <w:tr w:rsidR="00673B29" w:rsidRPr="00673B29" w14:paraId="584E5BAF" w14:textId="77777777" w:rsidTr="00673B29">
        <w:trPr>
          <w:trHeight w:val="1155"/>
        </w:trPr>
        <w:tc>
          <w:tcPr>
            <w:tcW w:w="9000" w:type="dxa"/>
            <w:tcBorders>
              <w:top w:val="nil"/>
              <w:left w:val="nil"/>
              <w:bottom w:val="nil"/>
              <w:right w:val="nil"/>
            </w:tcBorders>
            <w:shd w:val="clear" w:color="auto" w:fill="auto"/>
            <w:vAlign w:val="center"/>
            <w:hideMark/>
          </w:tcPr>
          <w:p w14:paraId="1F4940F9" w14:textId="77777777" w:rsidR="00673B29" w:rsidRPr="00673B29" w:rsidRDefault="00673B29" w:rsidP="00673B29">
            <w:pPr>
              <w:numPr>
                <w:ilvl w:val="0"/>
                <w:numId w:val="33"/>
              </w:numPr>
              <w:spacing w:after="0" w:line="240" w:lineRule="auto"/>
              <w:ind w:left="360" w:firstLine="0"/>
              <w:textAlignment w:val="baseline"/>
              <w:rPr>
                <w:rFonts w:ascii="Calibri" w:eastAsia="Times New Roman" w:hAnsi="Calibri" w:cs="Calibri"/>
                <w:lang w:eastAsia="en-GB"/>
              </w:rPr>
            </w:pPr>
            <w:hyperlink r:id="rId50" w:tgtFrame="_blank" w:history="1">
              <w:r w:rsidRPr="00673B29">
                <w:rPr>
                  <w:rFonts w:ascii="Calibri" w:eastAsia="Times New Roman" w:hAnsi="Calibri" w:cs="Calibri"/>
                  <w:color w:val="000000"/>
                  <w:lang w:eastAsia="en-GB"/>
                </w:rPr>
                <w:t xml:space="preserve">Patel, S. (2015, July 15). The research paradigm – methodology, epistemology and ontology – explained in simple language. Salma Patel. </w:t>
              </w:r>
              <w:r w:rsidRPr="00673B29">
                <w:rPr>
                  <w:rFonts w:ascii="Calibri" w:eastAsia="Times New Roman" w:hAnsi="Calibri" w:cs="Calibri"/>
                  <w:color w:val="2E74B5"/>
                  <w:u w:val="single"/>
                  <w:lang w:eastAsia="en-GB"/>
                </w:rPr>
                <w:t>https://salmapatel.co.uk/academia/the-research-paradigm-methodology-epistemology-and-ontology-explained-in-simple-language/  </w:t>
              </w:r>
            </w:hyperlink>
            <w:r w:rsidRPr="00673B29">
              <w:rPr>
                <w:rFonts w:ascii="Calibri" w:eastAsia="Times New Roman" w:hAnsi="Calibri" w:cs="Calibri"/>
                <w:color w:val="000000"/>
                <w:lang w:eastAsia="en-GB"/>
              </w:rPr>
              <w:t> </w:t>
            </w:r>
          </w:p>
        </w:tc>
      </w:tr>
      <w:tr w:rsidR="00673B29" w:rsidRPr="00673B29" w14:paraId="5AF175DD" w14:textId="77777777" w:rsidTr="00673B29">
        <w:trPr>
          <w:trHeight w:val="855"/>
        </w:trPr>
        <w:tc>
          <w:tcPr>
            <w:tcW w:w="9000" w:type="dxa"/>
            <w:tcBorders>
              <w:top w:val="nil"/>
              <w:left w:val="nil"/>
              <w:bottom w:val="nil"/>
              <w:right w:val="nil"/>
            </w:tcBorders>
            <w:shd w:val="clear" w:color="auto" w:fill="auto"/>
            <w:vAlign w:val="center"/>
            <w:hideMark/>
          </w:tcPr>
          <w:p w14:paraId="51203080" w14:textId="77777777" w:rsidR="00673B29" w:rsidRPr="00673B29" w:rsidRDefault="00673B29" w:rsidP="00673B29">
            <w:pPr>
              <w:numPr>
                <w:ilvl w:val="0"/>
                <w:numId w:val="34"/>
              </w:numPr>
              <w:spacing w:after="0" w:line="240" w:lineRule="auto"/>
              <w:ind w:left="360" w:firstLine="0"/>
              <w:textAlignment w:val="baseline"/>
              <w:rPr>
                <w:rFonts w:ascii="Calibri" w:eastAsia="Times New Roman" w:hAnsi="Calibri" w:cs="Calibri"/>
                <w:lang w:eastAsia="en-GB"/>
              </w:rPr>
            </w:pPr>
            <w:hyperlink r:id="rId51" w:tgtFrame="_blank" w:history="1">
              <w:r w:rsidRPr="00673B29">
                <w:rPr>
                  <w:rFonts w:ascii="Calibri" w:eastAsia="Times New Roman" w:hAnsi="Calibri" w:cs="Calibri"/>
                  <w:color w:val="000000"/>
                  <w:lang w:eastAsia="en-GB"/>
                </w:rPr>
                <w:t xml:space="preserve">Pelczar, R. M., &amp; Pelczar, M. J. (2018). microbiology | Definition, History, &amp; Microorganisms. In Encyclopædia Britannica. </w:t>
              </w:r>
              <w:r w:rsidRPr="00673B29">
                <w:rPr>
                  <w:rFonts w:ascii="Calibri" w:eastAsia="Times New Roman" w:hAnsi="Calibri" w:cs="Calibri"/>
                  <w:color w:val="2E74B5"/>
                  <w:u w:val="single"/>
                  <w:lang w:eastAsia="en-GB"/>
                </w:rPr>
                <w:t>https://www.britannica.com/science/microbiology </w:t>
              </w:r>
            </w:hyperlink>
            <w:r w:rsidRPr="00673B29">
              <w:rPr>
                <w:rFonts w:ascii="Calibri" w:eastAsia="Times New Roman" w:hAnsi="Calibri" w:cs="Calibri"/>
                <w:color w:val="000000"/>
                <w:lang w:eastAsia="en-GB"/>
              </w:rPr>
              <w:t> </w:t>
            </w:r>
          </w:p>
        </w:tc>
      </w:tr>
      <w:tr w:rsidR="00673B29" w:rsidRPr="00673B29" w14:paraId="48199DCA" w14:textId="77777777" w:rsidTr="00673B29">
        <w:trPr>
          <w:trHeight w:val="855"/>
        </w:trPr>
        <w:tc>
          <w:tcPr>
            <w:tcW w:w="9000" w:type="dxa"/>
            <w:tcBorders>
              <w:top w:val="nil"/>
              <w:left w:val="nil"/>
              <w:bottom w:val="nil"/>
              <w:right w:val="nil"/>
            </w:tcBorders>
            <w:shd w:val="clear" w:color="auto" w:fill="auto"/>
            <w:vAlign w:val="center"/>
            <w:hideMark/>
          </w:tcPr>
          <w:p w14:paraId="7C43978B" w14:textId="77777777" w:rsidR="00673B29" w:rsidRPr="00673B29" w:rsidRDefault="00673B29" w:rsidP="00673B29">
            <w:pPr>
              <w:numPr>
                <w:ilvl w:val="0"/>
                <w:numId w:val="35"/>
              </w:numPr>
              <w:spacing w:after="0" w:line="240" w:lineRule="auto"/>
              <w:ind w:left="360" w:firstLine="0"/>
              <w:textAlignment w:val="baseline"/>
              <w:rPr>
                <w:rFonts w:ascii="Calibri" w:eastAsia="Times New Roman" w:hAnsi="Calibri" w:cs="Calibri"/>
                <w:lang w:eastAsia="en-GB"/>
              </w:rPr>
            </w:pPr>
            <w:hyperlink r:id="rId52" w:tgtFrame="_blank" w:history="1">
              <w:r w:rsidRPr="00673B29">
                <w:rPr>
                  <w:rFonts w:ascii="Calibri" w:eastAsia="Times New Roman" w:hAnsi="Calibri" w:cs="Calibri"/>
                  <w:color w:val="000000"/>
                  <w:lang w:eastAsia="en-GB"/>
                </w:rPr>
                <w:t xml:space="preserve">Podolsky, S. H. (2018). The evolving response to antibiotic resistance (1945–2018). Palgrave Communications, 4(1). </w:t>
              </w:r>
              <w:r w:rsidRPr="00673B29">
                <w:rPr>
                  <w:rFonts w:ascii="Calibri" w:eastAsia="Times New Roman" w:hAnsi="Calibri" w:cs="Calibri"/>
                  <w:color w:val="2E74B5"/>
                  <w:u w:val="single"/>
                  <w:lang w:eastAsia="en-GB"/>
                </w:rPr>
                <w:t>https://doi.org/10.1057/s41599-018-0181-x </w:t>
              </w:r>
            </w:hyperlink>
            <w:r w:rsidRPr="00673B29">
              <w:rPr>
                <w:rFonts w:ascii="Calibri" w:eastAsia="Times New Roman" w:hAnsi="Calibri" w:cs="Calibri"/>
                <w:color w:val="000000"/>
                <w:lang w:eastAsia="en-GB"/>
              </w:rPr>
              <w:t> </w:t>
            </w:r>
          </w:p>
        </w:tc>
      </w:tr>
      <w:tr w:rsidR="00673B29" w:rsidRPr="00673B29" w14:paraId="0A86CB8D" w14:textId="77777777" w:rsidTr="00673B29">
        <w:trPr>
          <w:trHeight w:val="1155"/>
        </w:trPr>
        <w:tc>
          <w:tcPr>
            <w:tcW w:w="9000" w:type="dxa"/>
            <w:tcBorders>
              <w:top w:val="nil"/>
              <w:left w:val="nil"/>
              <w:bottom w:val="nil"/>
              <w:right w:val="nil"/>
            </w:tcBorders>
            <w:shd w:val="clear" w:color="auto" w:fill="auto"/>
            <w:vAlign w:val="center"/>
            <w:hideMark/>
          </w:tcPr>
          <w:p w14:paraId="19C7369C" w14:textId="77777777" w:rsidR="00673B29" w:rsidRPr="00673B29" w:rsidRDefault="00673B29" w:rsidP="00673B29">
            <w:pPr>
              <w:numPr>
                <w:ilvl w:val="0"/>
                <w:numId w:val="36"/>
              </w:numPr>
              <w:spacing w:after="0" w:line="240" w:lineRule="auto"/>
              <w:ind w:left="360" w:firstLine="0"/>
              <w:textAlignment w:val="baseline"/>
              <w:rPr>
                <w:rFonts w:ascii="Calibri" w:eastAsia="Times New Roman" w:hAnsi="Calibri" w:cs="Calibri"/>
                <w:lang w:eastAsia="en-GB"/>
              </w:rPr>
            </w:pPr>
            <w:hyperlink r:id="rId53" w:tgtFrame="_blank" w:history="1">
              <w:r w:rsidRPr="00673B29">
                <w:rPr>
                  <w:rFonts w:ascii="Calibri" w:eastAsia="Times New Roman" w:hAnsi="Calibri" w:cs="Calibri"/>
                  <w:color w:val="000000"/>
                  <w:lang w:eastAsia="en-GB"/>
                </w:rPr>
                <w:t xml:space="preserve">Point prevalence survey of healthcare- associated infections and antimicrobial use in European acute- care hospitals Codebook v1.0. (2016). </w:t>
              </w:r>
              <w:r w:rsidRPr="00673B29">
                <w:rPr>
                  <w:rFonts w:ascii="Calibri" w:eastAsia="Times New Roman" w:hAnsi="Calibri" w:cs="Calibri"/>
                  <w:color w:val="2E74B5"/>
                  <w:u w:val="single"/>
                  <w:lang w:eastAsia="en-GB"/>
                </w:rPr>
                <w:t>https://assets.publishing.service.gov.uk/media/5c4f26a1e5274a491a413823/ECDC_PHE_HAI_AU_PPS_2016_single_codebook.pdf </w:t>
              </w:r>
            </w:hyperlink>
            <w:r w:rsidRPr="00673B29">
              <w:rPr>
                <w:rFonts w:ascii="Calibri" w:eastAsia="Times New Roman" w:hAnsi="Calibri" w:cs="Calibri"/>
                <w:color w:val="000000"/>
                <w:lang w:eastAsia="en-GB"/>
              </w:rPr>
              <w:t> </w:t>
            </w:r>
          </w:p>
        </w:tc>
      </w:tr>
      <w:tr w:rsidR="00673B29" w:rsidRPr="00673B29" w14:paraId="3AB4B3A5" w14:textId="77777777" w:rsidTr="00673B29">
        <w:trPr>
          <w:trHeight w:val="855"/>
        </w:trPr>
        <w:tc>
          <w:tcPr>
            <w:tcW w:w="9000" w:type="dxa"/>
            <w:tcBorders>
              <w:top w:val="nil"/>
              <w:left w:val="nil"/>
              <w:bottom w:val="nil"/>
              <w:right w:val="nil"/>
            </w:tcBorders>
            <w:shd w:val="clear" w:color="auto" w:fill="auto"/>
            <w:vAlign w:val="center"/>
            <w:hideMark/>
          </w:tcPr>
          <w:p w14:paraId="703BA1A2" w14:textId="77777777" w:rsidR="00673B29" w:rsidRPr="00673B29" w:rsidRDefault="00673B29" w:rsidP="00673B29">
            <w:pPr>
              <w:numPr>
                <w:ilvl w:val="0"/>
                <w:numId w:val="37"/>
              </w:numPr>
              <w:spacing w:after="0" w:line="240" w:lineRule="auto"/>
              <w:ind w:left="360" w:firstLine="0"/>
              <w:textAlignment w:val="baseline"/>
              <w:rPr>
                <w:rFonts w:ascii="Calibri" w:eastAsia="Times New Roman" w:hAnsi="Calibri" w:cs="Calibri"/>
                <w:lang w:eastAsia="en-GB"/>
              </w:rPr>
            </w:pPr>
            <w:hyperlink r:id="rId54" w:tgtFrame="_blank" w:history="1">
              <w:r w:rsidRPr="00673B29">
                <w:rPr>
                  <w:rFonts w:ascii="Calibri" w:eastAsia="Times New Roman" w:hAnsi="Calibri" w:cs="Calibri"/>
                  <w:color w:val="000000"/>
                  <w:lang w:eastAsia="en-GB"/>
                </w:rPr>
                <w:t xml:space="preserve">Public Health England. (2015, December 10). Health matters: antimicrobial resistance. GOV.UK. </w:t>
              </w:r>
              <w:r w:rsidRPr="00673B29">
                <w:rPr>
                  <w:rFonts w:ascii="Calibri" w:eastAsia="Times New Roman" w:hAnsi="Calibri" w:cs="Calibri"/>
                  <w:color w:val="2E74B5"/>
                  <w:u w:val="single"/>
                  <w:lang w:eastAsia="en-GB"/>
                </w:rPr>
                <w:t>https://www.gov.uk/government/publications/health-matters-antimicrobial-resistance/health-matters-antimicrobial-resistance </w:t>
              </w:r>
            </w:hyperlink>
            <w:r w:rsidRPr="00673B29">
              <w:rPr>
                <w:rFonts w:ascii="Calibri" w:eastAsia="Times New Roman" w:hAnsi="Calibri" w:cs="Calibri"/>
                <w:color w:val="000000"/>
                <w:lang w:eastAsia="en-GB"/>
              </w:rPr>
              <w:t> </w:t>
            </w:r>
          </w:p>
        </w:tc>
      </w:tr>
      <w:tr w:rsidR="00673B29" w:rsidRPr="00673B29" w14:paraId="18B63BD0" w14:textId="77777777" w:rsidTr="00673B29">
        <w:trPr>
          <w:trHeight w:val="1155"/>
        </w:trPr>
        <w:tc>
          <w:tcPr>
            <w:tcW w:w="9000" w:type="dxa"/>
            <w:tcBorders>
              <w:top w:val="nil"/>
              <w:left w:val="nil"/>
              <w:bottom w:val="nil"/>
              <w:right w:val="nil"/>
            </w:tcBorders>
            <w:shd w:val="clear" w:color="auto" w:fill="auto"/>
            <w:vAlign w:val="center"/>
            <w:hideMark/>
          </w:tcPr>
          <w:p w14:paraId="415C9B15" w14:textId="77777777" w:rsidR="00673B29" w:rsidRPr="00673B29" w:rsidRDefault="00673B29" w:rsidP="00673B29">
            <w:pPr>
              <w:numPr>
                <w:ilvl w:val="0"/>
                <w:numId w:val="38"/>
              </w:numPr>
              <w:spacing w:after="0" w:line="240" w:lineRule="auto"/>
              <w:ind w:left="360" w:firstLine="0"/>
              <w:textAlignment w:val="baseline"/>
              <w:rPr>
                <w:rFonts w:ascii="Calibri" w:eastAsia="Times New Roman" w:hAnsi="Calibri" w:cs="Calibri"/>
                <w:lang w:eastAsia="en-GB"/>
              </w:rPr>
            </w:pPr>
            <w:hyperlink r:id="rId55" w:tgtFrame="_blank" w:history="1">
              <w:r w:rsidRPr="00673B29">
                <w:rPr>
                  <w:rFonts w:ascii="Calibri" w:eastAsia="Times New Roman" w:hAnsi="Calibri" w:cs="Calibri"/>
                  <w:color w:val="000000"/>
                  <w:lang w:eastAsia="en-GB"/>
                </w:rPr>
                <w:t>Salari, N., Karami, M. M., Bokaee, S., Chaleshgar, M., Shohaimi, S., Akbari, H., &amp; Mohammadi, M. (2022). The prevalence of urinary tract infections in type 2 diabetic patients: a systematic review and meta-analysis. European Journal of Medical Research, 27(1).</w:t>
              </w:r>
              <w:r w:rsidRPr="00673B29">
                <w:rPr>
                  <w:rFonts w:ascii="Calibri" w:eastAsia="Times New Roman" w:hAnsi="Calibri" w:cs="Calibri"/>
                  <w:color w:val="2E74B5"/>
                  <w:u w:val="single"/>
                  <w:lang w:eastAsia="en-GB"/>
                </w:rPr>
                <w:t xml:space="preserve"> https://doi.org/10.1186/s40001-022-00644-9 </w:t>
              </w:r>
              <w:r w:rsidRPr="00673B29">
                <w:rPr>
                  <w:rFonts w:ascii="Calibri" w:eastAsia="Times New Roman" w:hAnsi="Calibri" w:cs="Calibri"/>
                  <w:color w:val="000000"/>
                  <w:lang w:eastAsia="en-GB"/>
                </w:rPr>
                <w:t> </w:t>
              </w:r>
            </w:hyperlink>
            <w:r w:rsidRPr="00673B29">
              <w:rPr>
                <w:rFonts w:ascii="Calibri" w:eastAsia="Times New Roman" w:hAnsi="Calibri" w:cs="Calibri"/>
                <w:color w:val="000000"/>
                <w:lang w:eastAsia="en-GB"/>
              </w:rPr>
              <w:t> </w:t>
            </w:r>
          </w:p>
        </w:tc>
      </w:tr>
      <w:tr w:rsidR="00673B29" w:rsidRPr="00673B29" w14:paraId="56B88174" w14:textId="77777777" w:rsidTr="00673B29">
        <w:trPr>
          <w:trHeight w:val="1155"/>
        </w:trPr>
        <w:tc>
          <w:tcPr>
            <w:tcW w:w="9000" w:type="dxa"/>
            <w:tcBorders>
              <w:top w:val="nil"/>
              <w:left w:val="nil"/>
              <w:bottom w:val="nil"/>
              <w:right w:val="nil"/>
            </w:tcBorders>
            <w:shd w:val="clear" w:color="auto" w:fill="auto"/>
            <w:vAlign w:val="center"/>
            <w:hideMark/>
          </w:tcPr>
          <w:p w14:paraId="22216378" w14:textId="77777777" w:rsidR="00673B29" w:rsidRPr="00673B29" w:rsidRDefault="00673B29" w:rsidP="00673B29">
            <w:pPr>
              <w:numPr>
                <w:ilvl w:val="0"/>
                <w:numId w:val="39"/>
              </w:numPr>
              <w:spacing w:after="0" w:line="240" w:lineRule="auto"/>
              <w:ind w:left="360" w:firstLine="0"/>
              <w:textAlignment w:val="baseline"/>
              <w:rPr>
                <w:rFonts w:ascii="Calibri" w:eastAsia="Times New Roman" w:hAnsi="Calibri" w:cs="Calibri"/>
                <w:lang w:eastAsia="en-GB"/>
              </w:rPr>
            </w:pPr>
            <w:hyperlink r:id="rId56" w:tgtFrame="_blank" w:history="1">
              <w:r w:rsidRPr="00673B29">
                <w:rPr>
                  <w:rFonts w:ascii="Calibri" w:eastAsia="Times New Roman" w:hAnsi="Calibri" w:cs="Calibri"/>
                  <w:color w:val="000000"/>
                  <w:lang w:eastAsia="en-GB"/>
                </w:rPr>
                <w:t xml:space="preserve">Schröder, W., Sommer, H., Gladstone, B. P., Foschi, F., Hellman, J., Evengard, B., &amp; Tacconelli, E. (2016). Gender differences in antibiotic prescribing in the community: a systematic review and meta-analysis. Journal of Antimicrobial Chemotherapy, 71(7), 1800–1806. </w:t>
              </w:r>
              <w:r w:rsidRPr="00673B29">
                <w:rPr>
                  <w:rFonts w:ascii="Calibri" w:eastAsia="Times New Roman" w:hAnsi="Calibri" w:cs="Calibri"/>
                  <w:color w:val="2E74B5"/>
                  <w:u w:val="single"/>
                  <w:lang w:eastAsia="en-GB"/>
                </w:rPr>
                <w:t>https://doi.org/10.1093/jac/dkw054  </w:t>
              </w:r>
            </w:hyperlink>
            <w:r w:rsidRPr="00673B29">
              <w:rPr>
                <w:rFonts w:ascii="Calibri" w:eastAsia="Times New Roman" w:hAnsi="Calibri" w:cs="Calibri"/>
                <w:color w:val="000000"/>
                <w:lang w:eastAsia="en-GB"/>
              </w:rPr>
              <w:t> </w:t>
            </w:r>
          </w:p>
          <w:p w14:paraId="75F1C251" w14:textId="77777777" w:rsidR="00673B29" w:rsidRPr="00673B29" w:rsidRDefault="00673B29" w:rsidP="00673B29">
            <w:pPr>
              <w:numPr>
                <w:ilvl w:val="0"/>
                <w:numId w:val="39"/>
              </w:numPr>
              <w:spacing w:after="0" w:line="240" w:lineRule="auto"/>
              <w:ind w:left="360" w:firstLine="0"/>
              <w:textAlignment w:val="baseline"/>
              <w:rPr>
                <w:rFonts w:ascii="Calibri" w:eastAsia="Times New Roman" w:hAnsi="Calibri" w:cs="Calibri"/>
                <w:lang w:eastAsia="en-GB"/>
              </w:rPr>
            </w:pPr>
            <w:proofErr w:type="spellStart"/>
            <w:r w:rsidRPr="00673B29">
              <w:rPr>
                <w:rFonts w:ascii="Calibri" w:eastAsia="Times New Roman" w:hAnsi="Calibri" w:cs="Calibri"/>
                <w:color w:val="000000"/>
                <w:lang w:eastAsia="en-GB"/>
              </w:rPr>
              <w:t>Serdar</w:t>
            </w:r>
            <w:proofErr w:type="spellEnd"/>
            <w:r w:rsidRPr="00673B29">
              <w:rPr>
                <w:rFonts w:ascii="Calibri" w:eastAsia="Times New Roman" w:hAnsi="Calibri" w:cs="Calibri"/>
                <w:color w:val="000000"/>
                <w:lang w:eastAsia="en-GB"/>
              </w:rPr>
              <w:t xml:space="preserve">, C. C., </w:t>
            </w:r>
            <w:proofErr w:type="spellStart"/>
            <w:r w:rsidRPr="00673B29">
              <w:rPr>
                <w:rFonts w:ascii="Calibri" w:eastAsia="Times New Roman" w:hAnsi="Calibri" w:cs="Calibri"/>
                <w:color w:val="000000"/>
                <w:lang w:eastAsia="en-GB"/>
              </w:rPr>
              <w:t>Cihan</w:t>
            </w:r>
            <w:proofErr w:type="spellEnd"/>
            <w:r w:rsidRPr="00673B29">
              <w:rPr>
                <w:rFonts w:ascii="Calibri" w:eastAsia="Times New Roman" w:hAnsi="Calibri" w:cs="Calibri"/>
                <w:color w:val="000000"/>
                <w:lang w:eastAsia="en-GB"/>
              </w:rPr>
              <w:t xml:space="preserve">, M., </w:t>
            </w:r>
            <w:proofErr w:type="spellStart"/>
            <w:r w:rsidRPr="00673B29">
              <w:rPr>
                <w:rFonts w:ascii="Calibri" w:eastAsia="Times New Roman" w:hAnsi="Calibri" w:cs="Calibri"/>
                <w:color w:val="000000"/>
                <w:lang w:eastAsia="en-GB"/>
              </w:rPr>
              <w:t>Yücel</w:t>
            </w:r>
            <w:proofErr w:type="spellEnd"/>
            <w:r w:rsidRPr="00673B29">
              <w:rPr>
                <w:rFonts w:ascii="Calibri" w:eastAsia="Times New Roman" w:hAnsi="Calibri" w:cs="Calibri"/>
                <w:color w:val="000000"/>
                <w:lang w:eastAsia="en-GB"/>
              </w:rPr>
              <w:t xml:space="preserve">, D., &amp; </w:t>
            </w:r>
            <w:proofErr w:type="spellStart"/>
            <w:r w:rsidRPr="00673B29">
              <w:rPr>
                <w:rFonts w:ascii="Calibri" w:eastAsia="Times New Roman" w:hAnsi="Calibri" w:cs="Calibri"/>
                <w:color w:val="000000"/>
                <w:lang w:eastAsia="en-GB"/>
              </w:rPr>
              <w:t>Serdar</w:t>
            </w:r>
            <w:proofErr w:type="spellEnd"/>
            <w:r w:rsidRPr="00673B29">
              <w:rPr>
                <w:rFonts w:ascii="Calibri" w:eastAsia="Times New Roman" w:hAnsi="Calibri" w:cs="Calibri"/>
                <w:color w:val="000000"/>
                <w:lang w:eastAsia="en-GB"/>
              </w:rPr>
              <w:t xml:space="preserve">, M. A. (2021). Sample size, Power and Effect Size revisited: Simplified and Practical Approaches in pre-clinical, Clinical and Laboratory Studies. </w:t>
            </w:r>
            <w:proofErr w:type="spellStart"/>
            <w:r w:rsidRPr="00673B29">
              <w:rPr>
                <w:rFonts w:ascii="Calibri" w:eastAsia="Times New Roman" w:hAnsi="Calibri" w:cs="Calibri"/>
                <w:color w:val="000000"/>
                <w:lang w:eastAsia="en-GB"/>
              </w:rPr>
              <w:t>Biochemia</w:t>
            </w:r>
            <w:proofErr w:type="spellEnd"/>
            <w:r w:rsidRPr="00673B29">
              <w:rPr>
                <w:rFonts w:ascii="Calibri" w:eastAsia="Times New Roman" w:hAnsi="Calibri" w:cs="Calibri"/>
                <w:color w:val="000000"/>
                <w:lang w:eastAsia="en-GB"/>
              </w:rPr>
              <w:t xml:space="preserve"> </w:t>
            </w:r>
            <w:proofErr w:type="spellStart"/>
            <w:r w:rsidRPr="00673B29">
              <w:rPr>
                <w:rFonts w:ascii="Calibri" w:eastAsia="Times New Roman" w:hAnsi="Calibri" w:cs="Calibri"/>
                <w:color w:val="000000"/>
                <w:lang w:eastAsia="en-GB"/>
              </w:rPr>
              <w:t>Medica</w:t>
            </w:r>
            <w:proofErr w:type="spellEnd"/>
            <w:r w:rsidRPr="00673B29">
              <w:rPr>
                <w:rFonts w:ascii="Calibri" w:eastAsia="Times New Roman" w:hAnsi="Calibri" w:cs="Calibri"/>
                <w:color w:val="000000"/>
                <w:lang w:eastAsia="en-GB"/>
              </w:rPr>
              <w:t>, 31(1), 27–53. https://doi.org/10.11613/bm.2021.010502 </w:t>
            </w:r>
          </w:p>
        </w:tc>
      </w:tr>
      <w:tr w:rsidR="00673B29" w:rsidRPr="00673B29" w14:paraId="01DE8645" w14:textId="77777777" w:rsidTr="00673B29">
        <w:trPr>
          <w:trHeight w:val="855"/>
        </w:trPr>
        <w:tc>
          <w:tcPr>
            <w:tcW w:w="9000" w:type="dxa"/>
            <w:tcBorders>
              <w:top w:val="nil"/>
              <w:left w:val="nil"/>
              <w:bottom w:val="nil"/>
              <w:right w:val="nil"/>
            </w:tcBorders>
            <w:shd w:val="clear" w:color="auto" w:fill="auto"/>
            <w:vAlign w:val="center"/>
            <w:hideMark/>
          </w:tcPr>
          <w:p w14:paraId="7F4B2BDC" w14:textId="77777777" w:rsidR="00673B29" w:rsidRPr="00673B29" w:rsidRDefault="00673B29" w:rsidP="00673B29">
            <w:pPr>
              <w:numPr>
                <w:ilvl w:val="0"/>
                <w:numId w:val="40"/>
              </w:numPr>
              <w:spacing w:after="0" w:line="240" w:lineRule="auto"/>
              <w:ind w:left="360" w:firstLine="0"/>
              <w:textAlignment w:val="baseline"/>
              <w:rPr>
                <w:rFonts w:ascii="Calibri" w:eastAsia="Times New Roman" w:hAnsi="Calibri" w:cs="Calibri"/>
                <w:lang w:eastAsia="en-GB"/>
              </w:rPr>
            </w:pPr>
            <w:hyperlink r:id="rId57" w:tgtFrame="_blank" w:history="1">
              <w:r w:rsidRPr="00673B29">
                <w:rPr>
                  <w:rFonts w:ascii="Calibri" w:eastAsia="Times New Roman" w:hAnsi="Calibri" w:cs="Calibri"/>
                  <w:color w:val="000000"/>
                  <w:lang w:eastAsia="en-GB"/>
                </w:rPr>
                <w:t xml:space="preserve">Simati, B., Kriegsman, W., &amp; Safranek, S. (2013). Dipstick Urinalysis for the Diagnosis of Acute UTI. American Family Physician, 87(10), online–online. </w:t>
              </w:r>
              <w:r w:rsidRPr="00673B29">
                <w:rPr>
                  <w:rFonts w:ascii="Calibri" w:eastAsia="Times New Roman" w:hAnsi="Calibri" w:cs="Calibri"/>
                  <w:color w:val="2E74B5"/>
                  <w:u w:val="single"/>
                  <w:lang w:eastAsia="en-GB"/>
                </w:rPr>
                <w:t>https://www.aafp.org/pubs/afp/issues/2013/0515/od2.html  </w:t>
              </w:r>
            </w:hyperlink>
            <w:r w:rsidRPr="00673B29">
              <w:rPr>
                <w:rFonts w:ascii="Calibri" w:eastAsia="Times New Roman" w:hAnsi="Calibri" w:cs="Calibri"/>
                <w:color w:val="000000"/>
                <w:lang w:eastAsia="en-GB"/>
              </w:rPr>
              <w:t> </w:t>
            </w:r>
          </w:p>
        </w:tc>
      </w:tr>
      <w:tr w:rsidR="00673B29" w:rsidRPr="00673B29" w14:paraId="182E8359" w14:textId="77777777" w:rsidTr="00673B29">
        <w:trPr>
          <w:trHeight w:val="1155"/>
        </w:trPr>
        <w:tc>
          <w:tcPr>
            <w:tcW w:w="9000" w:type="dxa"/>
            <w:tcBorders>
              <w:top w:val="nil"/>
              <w:left w:val="nil"/>
              <w:bottom w:val="nil"/>
              <w:right w:val="nil"/>
            </w:tcBorders>
            <w:shd w:val="clear" w:color="auto" w:fill="auto"/>
            <w:vAlign w:val="center"/>
            <w:hideMark/>
          </w:tcPr>
          <w:p w14:paraId="50D1B58B" w14:textId="77777777" w:rsidR="00673B29" w:rsidRPr="00673B29" w:rsidRDefault="00673B29" w:rsidP="00673B29">
            <w:pPr>
              <w:numPr>
                <w:ilvl w:val="0"/>
                <w:numId w:val="41"/>
              </w:numPr>
              <w:spacing w:after="0" w:line="240" w:lineRule="auto"/>
              <w:ind w:left="360" w:firstLine="0"/>
              <w:textAlignment w:val="baseline"/>
              <w:rPr>
                <w:rFonts w:ascii="Calibri" w:eastAsia="Times New Roman" w:hAnsi="Calibri" w:cs="Calibri"/>
                <w:lang w:eastAsia="en-GB"/>
              </w:rPr>
            </w:pPr>
            <w:hyperlink r:id="rId58" w:tgtFrame="_blank" w:history="1">
              <w:r w:rsidRPr="00673B29">
                <w:rPr>
                  <w:rFonts w:ascii="Calibri" w:eastAsia="Times New Roman" w:hAnsi="Calibri" w:cs="Calibri"/>
                  <w:color w:val="000000"/>
                  <w:lang w:eastAsia="en-GB"/>
                </w:rPr>
                <w:t xml:space="preserve">stewardship noun - Definition, pictures, pronunciation and usage notes | Oxford Advanced Learner’s Dictionary at OxfordLearnersDictionaries.com. (2023). Oxfordlearnersdictionaries.com. </w:t>
              </w:r>
              <w:r w:rsidRPr="00673B29">
                <w:rPr>
                  <w:rFonts w:ascii="Calibri" w:eastAsia="Times New Roman" w:hAnsi="Calibri" w:cs="Calibri"/>
                  <w:color w:val="2E74B5"/>
                  <w:u w:val="single"/>
                  <w:lang w:eastAsia="en-GB"/>
                </w:rPr>
                <w:t>https://www.oxfordlearnersdictionaries.com/definition/english/stewardship  </w:t>
              </w:r>
            </w:hyperlink>
            <w:r w:rsidRPr="00673B29">
              <w:rPr>
                <w:rFonts w:ascii="Calibri" w:eastAsia="Times New Roman" w:hAnsi="Calibri" w:cs="Calibri"/>
                <w:color w:val="000000"/>
                <w:lang w:eastAsia="en-GB"/>
              </w:rPr>
              <w:t> </w:t>
            </w:r>
          </w:p>
        </w:tc>
      </w:tr>
      <w:tr w:rsidR="00673B29" w:rsidRPr="00673B29" w14:paraId="60895E80" w14:textId="77777777" w:rsidTr="00673B29">
        <w:trPr>
          <w:trHeight w:val="855"/>
        </w:trPr>
        <w:tc>
          <w:tcPr>
            <w:tcW w:w="9000" w:type="dxa"/>
            <w:tcBorders>
              <w:top w:val="nil"/>
              <w:left w:val="nil"/>
              <w:bottom w:val="nil"/>
              <w:right w:val="nil"/>
            </w:tcBorders>
            <w:shd w:val="clear" w:color="auto" w:fill="auto"/>
            <w:vAlign w:val="center"/>
            <w:hideMark/>
          </w:tcPr>
          <w:p w14:paraId="4B719C63" w14:textId="77777777" w:rsidR="00673B29" w:rsidRPr="00673B29" w:rsidRDefault="00673B29" w:rsidP="00673B29">
            <w:pPr>
              <w:numPr>
                <w:ilvl w:val="0"/>
                <w:numId w:val="42"/>
              </w:numPr>
              <w:spacing w:after="0" w:line="240" w:lineRule="auto"/>
              <w:ind w:left="360" w:firstLine="0"/>
              <w:textAlignment w:val="baseline"/>
              <w:rPr>
                <w:rFonts w:ascii="Calibri" w:eastAsia="Times New Roman" w:hAnsi="Calibri" w:cs="Calibri"/>
                <w:lang w:eastAsia="en-GB"/>
              </w:rPr>
            </w:pPr>
            <w:hyperlink r:id="rId59" w:tgtFrame="_blank" w:history="1">
              <w:r w:rsidRPr="00673B29">
                <w:rPr>
                  <w:rFonts w:ascii="Calibri" w:eastAsia="Times New Roman" w:hAnsi="Calibri" w:cs="Calibri"/>
                  <w:color w:val="000000"/>
                  <w:lang w:eastAsia="en-GB"/>
                </w:rPr>
                <w:t xml:space="preserve">Suresh, G., Suresh, K., &amp; Thomas, S. (2011). Design, data analysis and sampling techniques for clinical research. Annals of Indian Academy of Neurology, 14(4), 287. </w:t>
              </w:r>
              <w:r w:rsidRPr="00673B29">
                <w:rPr>
                  <w:rFonts w:ascii="Calibri" w:eastAsia="Times New Roman" w:hAnsi="Calibri" w:cs="Calibri"/>
                  <w:color w:val="2E74B5"/>
                  <w:u w:val="single"/>
                  <w:lang w:eastAsia="en-GB"/>
                </w:rPr>
                <w:t>https://doi.org/10.4103/0972-2327.91951  </w:t>
              </w:r>
            </w:hyperlink>
            <w:r w:rsidRPr="00673B29">
              <w:rPr>
                <w:rFonts w:ascii="Calibri" w:eastAsia="Times New Roman" w:hAnsi="Calibri" w:cs="Calibri"/>
                <w:color w:val="000000"/>
                <w:lang w:eastAsia="en-GB"/>
              </w:rPr>
              <w:t> </w:t>
            </w:r>
          </w:p>
        </w:tc>
      </w:tr>
      <w:tr w:rsidR="00673B29" w:rsidRPr="00673B29" w14:paraId="110D9BAF" w14:textId="77777777" w:rsidTr="00673B29">
        <w:trPr>
          <w:trHeight w:val="585"/>
        </w:trPr>
        <w:tc>
          <w:tcPr>
            <w:tcW w:w="9000" w:type="dxa"/>
            <w:tcBorders>
              <w:top w:val="nil"/>
              <w:left w:val="nil"/>
              <w:bottom w:val="nil"/>
              <w:right w:val="nil"/>
            </w:tcBorders>
            <w:shd w:val="clear" w:color="auto" w:fill="auto"/>
            <w:vAlign w:val="center"/>
            <w:hideMark/>
          </w:tcPr>
          <w:p w14:paraId="10FB3ADB" w14:textId="77777777" w:rsidR="00673B29" w:rsidRPr="00673B29" w:rsidRDefault="00673B29" w:rsidP="00673B29">
            <w:pPr>
              <w:numPr>
                <w:ilvl w:val="0"/>
                <w:numId w:val="43"/>
              </w:numPr>
              <w:spacing w:after="0" w:line="240" w:lineRule="auto"/>
              <w:ind w:left="360" w:firstLine="0"/>
              <w:textAlignment w:val="baseline"/>
              <w:rPr>
                <w:rFonts w:ascii="Calibri" w:eastAsia="Times New Roman" w:hAnsi="Calibri" w:cs="Calibri"/>
                <w:lang w:eastAsia="en-GB"/>
              </w:rPr>
            </w:pPr>
            <w:hyperlink r:id="rId60" w:tgtFrame="_blank" w:history="1">
              <w:r w:rsidRPr="00673B29">
                <w:rPr>
                  <w:rFonts w:ascii="Calibri" w:eastAsia="Times New Roman" w:hAnsi="Calibri" w:cs="Calibri"/>
                  <w:color w:val="000000"/>
                  <w:lang w:eastAsia="en-GB"/>
                </w:rPr>
                <w:t xml:space="preserve">Tang, J. (2017). Microbiome in the urinary system—a review. AIMS Microbiology, 3(2), 143–154. </w:t>
              </w:r>
              <w:r w:rsidRPr="00673B29">
                <w:rPr>
                  <w:rFonts w:ascii="Calibri" w:eastAsia="Times New Roman" w:hAnsi="Calibri" w:cs="Calibri"/>
                  <w:color w:val="2E74B5"/>
                  <w:u w:val="single"/>
                  <w:lang w:eastAsia="en-GB"/>
                </w:rPr>
                <w:t>https://doi.org/10.3934/microbiol.2017.2.143 </w:t>
              </w:r>
            </w:hyperlink>
            <w:r w:rsidRPr="00673B29">
              <w:rPr>
                <w:rFonts w:ascii="Calibri" w:eastAsia="Times New Roman" w:hAnsi="Calibri" w:cs="Calibri"/>
                <w:color w:val="000000"/>
                <w:lang w:eastAsia="en-GB"/>
              </w:rPr>
              <w:t> </w:t>
            </w:r>
          </w:p>
        </w:tc>
      </w:tr>
      <w:tr w:rsidR="00673B29" w:rsidRPr="00673B29" w14:paraId="53C66D29" w14:textId="77777777" w:rsidTr="00673B29">
        <w:trPr>
          <w:trHeight w:val="855"/>
        </w:trPr>
        <w:tc>
          <w:tcPr>
            <w:tcW w:w="9000" w:type="dxa"/>
            <w:tcBorders>
              <w:top w:val="nil"/>
              <w:left w:val="nil"/>
              <w:bottom w:val="nil"/>
              <w:right w:val="nil"/>
            </w:tcBorders>
            <w:shd w:val="clear" w:color="auto" w:fill="auto"/>
            <w:vAlign w:val="center"/>
            <w:hideMark/>
          </w:tcPr>
          <w:p w14:paraId="521A3DEC" w14:textId="77777777" w:rsidR="00673B29" w:rsidRPr="00673B29" w:rsidRDefault="00673B29" w:rsidP="00673B29">
            <w:pPr>
              <w:numPr>
                <w:ilvl w:val="0"/>
                <w:numId w:val="44"/>
              </w:numPr>
              <w:spacing w:after="0" w:line="240" w:lineRule="auto"/>
              <w:ind w:left="360" w:firstLine="0"/>
              <w:textAlignment w:val="baseline"/>
              <w:rPr>
                <w:rFonts w:ascii="Calibri" w:eastAsia="Times New Roman" w:hAnsi="Calibri" w:cs="Calibri"/>
                <w:lang w:eastAsia="en-GB"/>
              </w:rPr>
            </w:pPr>
            <w:hyperlink r:id="rId61" w:tgtFrame="_blank" w:history="1">
              <w:r w:rsidRPr="00673B29">
                <w:rPr>
                  <w:rFonts w:ascii="Calibri" w:eastAsia="Times New Roman" w:hAnsi="Calibri" w:cs="Calibri"/>
                  <w:color w:val="000000"/>
                  <w:lang w:eastAsia="en-GB"/>
                </w:rPr>
                <w:t xml:space="preserve">Werneburg, G. T. (2022). Catheter-Associated Urinary Tract Infections: Current Challenges and Future Prospects. Research and Reports in Urology, 14(14), 109–133. </w:t>
              </w:r>
              <w:r w:rsidRPr="00673B29">
                <w:rPr>
                  <w:rFonts w:ascii="Calibri" w:eastAsia="Times New Roman" w:hAnsi="Calibri" w:cs="Calibri"/>
                  <w:color w:val="2E74B5"/>
                  <w:u w:val="single"/>
                  <w:lang w:eastAsia="en-GB"/>
                </w:rPr>
                <w:t>https://doi.org/10.2147/rru.s273663  </w:t>
              </w:r>
            </w:hyperlink>
            <w:r w:rsidRPr="00673B29">
              <w:rPr>
                <w:rFonts w:ascii="Calibri" w:eastAsia="Times New Roman" w:hAnsi="Calibri" w:cs="Calibri"/>
                <w:color w:val="000000"/>
                <w:lang w:eastAsia="en-GB"/>
              </w:rPr>
              <w:t> </w:t>
            </w:r>
          </w:p>
        </w:tc>
      </w:tr>
      <w:tr w:rsidR="00673B29" w:rsidRPr="00673B29" w14:paraId="5CC564EC" w14:textId="77777777" w:rsidTr="00673B29">
        <w:trPr>
          <w:trHeight w:val="1440"/>
        </w:trPr>
        <w:tc>
          <w:tcPr>
            <w:tcW w:w="9000" w:type="dxa"/>
            <w:tcBorders>
              <w:top w:val="nil"/>
              <w:left w:val="nil"/>
              <w:bottom w:val="nil"/>
              <w:right w:val="nil"/>
            </w:tcBorders>
            <w:shd w:val="clear" w:color="auto" w:fill="auto"/>
            <w:vAlign w:val="center"/>
            <w:hideMark/>
          </w:tcPr>
          <w:p w14:paraId="7E56A358" w14:textId="77777777" w:rsidR="00673B29" w:rsidRPr="00673B29" w:rsidRDefault="00673B29" w:rsidP="00673B29">
            <w:pPr>
              <w:numPr>
                <w:ilvl w:val="0"/>
                <w:numId w:val="45"/>
              </w:numPr>
              <w:spacing w:after="0" w:line="240" w:lineRule="auto"/>
              <w:ind w:left="360" w:firstLine="0"/>
              <w:textAlignment w:val="baseline"/>
              <w:rPr>
                <w:rFonts w:ascii="Calibri" w:eastAsia="Times New Roman" w:hAnsi="Calibri" w:cs="Calibri"/>
                <w:lang w:eastAsia="en-GB"/>
              </w:rPr>
            </w:pPr>
            <w:hyperlink r:id="rId62" w:tgtFrame="_blank" w:history="1">
              <w:r w:rsidRPr="00673B29">
                <w:rPr>
                  <w:rFonts w:ascii="Calibri" w:eastAsia="Times New Roman" w:hAnsi="Calibri" w:cs="Calibri"/>
                  <w:color w:val="000000"/>
                  <w:lang w:eastAsia="en-GB"/>
                </w:rPr>
                <w:t xml:space="preserve">World Health Organization. (2022). The fight against Antimicrobial Resistance requires a focus on gender [Review of The fight against Antimicrobial Resistance requires a focus on gender]. </w:t>
              </w:r>
              <w:r w:rsidRPr="00673B29">
                <w:rPr>
                  <w:rFonts w:ascii="Calibri" w:eastAsia="Times New Roman" w:hAnsi="Calibri" w:cs="Calibri"/>
                  <w:color w:val="2E74B5"/>
                  <w:u w:val="single"/>
                  <w:lang w:eastAsia="en-GB"/>
                </w:rPr>
                <w:t>https://iris.who.int/bitstream/handle/10665/352456/WHO-EURO-2021-3896-43655-61363-eng.pdf</w:t>
              </w:r>
              <w:r w:rsidRPr="00673B29">
                <w:rPr>
                  <w:rFonts w:ascii="Calibri" w:eastAsia="Times New Roman" w:hAnsi="Calibri" w:cs="Calibri"/>
                  <w:color w:val="000000"/>
                  <w:lang w:eastAsia="en-GB"/>
                </w:rPr>
                <w:t>  </w:t>
              </w:r>
            </w:hyperlink>
            <w:r w:rsidRPr="00673B29">
              <w:rPr>
                <w:rFonts w:ascii="Calibri" w:eastAsia="Times New Roman" w:hAnsi="Calibri" w:cs="Calibri"/>
                <w:color w:val="000000"/>
                <w:lang w:eastAsia="en-GB"/>
              </w:rPr>
              <w:t> </w:t>
            </w:r>
          </w:p>
        </w:tc>
      </w:tr>
    </w:tbl>
    <w:p w14:paraId="1BBD989D"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53948192"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033BA345"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21F350C1"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0E6DC8EC"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24C1B0D2"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lastRenderedPageBreak/>
        <w:t> </w:t>
      </w:r>
    </w:p>
    <w:p w14:paraId="35A92CC6"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36278285"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24C6F2F2"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7F630474"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14AECE7A"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1133ED5F"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10262131"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21D419D0"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 </w:t>
      </w:r>
    </w:p>
    <w:p w14:paraId="60EEFF33"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sidRPr="00673B29">
        <w:rPr>
          <w:rFonts w:ascii="Calibri" w:eastAsia="Times New Roman" w:hAnsi="Calibri" w:cs="Calibri"/>
          <w:lang w:eastAsia="en-GB"/>
        </w:rPr>
        <w:t>‌</w:t>
      </w:r>
    </w:p>
    <w:p w14:paraId="4BC14209"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p>
    <w:p w14:paraId="500F2C6F" w14:textId="77777777" w:rsidR="00673B29" w:rsidRPr="00673B29" w:rsidRDefault="00673B29" w:rsidP="00CF38B8">
      <w:pPr>
        <w:pStyle w:val="Heading1"/>
        <w:rPr>
          <w:rFonts w:ascii="Segoe UI" w:eastAsia="Times New Roman" w:hAnsi="Segoe UI" w:cs="Segoe UI"/>
          <w:sz w:val="18"/>
          <w:szCs w:val="18"/>
          <w:lang w:eastAsia="en-GB"/>
        </w:rPr>
      </w:pPr>
      <w:bookmarkStart w:id="21" w:name="_Toc166407171"/>
      <w:r w:rsidRPr="00673B29">
        <w:rPr>
          <w:rFonts w:eastAsia="Times New Roman"/>
          <w:lang w:eastAsia="en-GB"/>
        </w:rPr>
        <w:lastRenderedPageBreak/>
        <w:t>Appendix 1:</w:t>
      </w:r>
      <w:bookmarkEnd w:id="21"/>
      <w:r w:rsidRPr="00673B29">
        <w:rPr>
          <w:rFonts w:eastAsia="Times New Roman"/>
          <w:lang w:eastAsia="en-GB"/>
        </w:rPr>
        <w:t>  </w:t>
      </w:r>
    </w:p>
    <w:p w14:paraId="71287E01" w14:textId="77777777" w:rsidR="00673B29" w:rsidRDefault="00673B29" w:rsidP="00CF38B8">
      <w:pPr>
        <w:pStyle w:val="Heading1"/>
        <w:rPr>
          <w:rFonts w:eastAsia="Times New Roman"/>
          <w:lang w:eastAsia="en-GB"/>
        </w:rPr>
      </w:pPr>
      <w:r w:rsidRPr="00673B29">
        <w:rPr>
          <w:rFonts w:eastAsia="Times New Roman"/>
          <w:lang w:eastAsia="en-GB"/>
        </w:rPr>
        <w:t> </w:t>
      </w:r>
    </w:p>
    <w:p w14:paraId="3976EAD8" w14:textId="77777777" w:rsidR="00673B29" w:rsidRPr="00673B29" w:rsidRDefault="00673B29" w:rsidP="00673B29">
      <w:pPr>
        <w:spacing w:after="0" w:line="240" w:lineRule="auto"/>
        <w:textAlignment w:val="baseline"/>
        <w:rPr>
          <w:rFonts w:ascii="Segoe UI" w:eastAsia="Times New Roman" w:hAnsi="Segoe UI" w:cs="Segoe UI"/>
          <w:sz w:val="18"/>
          <w:szCs w:val="18"/>
          <w:lang w:eastAsia="en-GB"/>
        </w:rPr>
      </w:pPr>
      <w:r>
        <w:rPr>
          <w:rFonts w:ascii="Segoe UI" w:hAnsi="Segoe UI" w:cs="Segoe UI"/>
          <w:noProof/>
          <w:sz w:val="18"/>
          <w:szCs w:val="18"/>
          <w:lang w:eastAsia="en-GB"/>
        </w:rPr>
        <w:drawing>
          <wp:inline distT="0" distB="0" distL="0" distR="0" wp14:anchorId="28C2E98B" wp14:editId="58864758">
            <wp:extent cx="5731510" cy="7635666"/>
            <wp:effectExtent l="0" t="0" r="2540" b="3810"/>
            <wp:docPr id="16" name="Picture 16" descr="C:\Users\Ra177043\AppData\Local\Microsoft\Windows\INetCache\Content.MSO\EFAB45D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Ra177043\AppData\Local\Microsoft\Windows\INetCache\Content.MSO\EFAB45DD.tmp"/>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7635666"/>
                    </a:xfrm>
                    <a:prstGeom prst="rect">
                      <a:avLst/>
                    </a:prstGeom>
                    <a:noFill/>
                    <a:ln>
                      <a:noFill/>
                    </a:ln>
                  </pic:spPr>
                </pic:pic>
              </a:graphicData>
            </a:graphic>
          </wp:inline>
        </w:drawing>
      </w:r>
    </w:p>
    <w:p w14:paraId="221C2B53" w14:textId="77777777" w:rsidR="00673B29" w:rsidRPr="00673B29" w:rsidRDefault="00673B29" w:rsidP="00673B29">
      <w:pPr>
        <w:spacing w:after="0" w:line="240" w:lineRule="auto"/>
        <w:ind w:left="-255" w:right="-15"/>
        <w:textAlignment w:val="baseline"/>
        <w:rPr>
          <w:rFonts w:ascii="Times New Roman" w:eastAsia="Times New Roman" w:hAnsi="Times New Roman" w:cs="Times New Roman"/>
          <w:sz w:val="24"/>
          <w:szCs w:val="24"/>
          <w:bdr w:val="single" w:sz="6" w:space="0" w:color="CCCCCC" w:frame="1"/>
          <w:lang w:eastAsia="en-GB"/>
        </w:rPr>
      </w:pPr>
      <w:r w:rsidRPr="00673B29">
        <w:rPr>
          <w:rFonts w:ascii="Calibri" w:eastAsia="Times New Roman" w:hAnsi="Calibri" w:cs="Calibri"/>
          <w:lang w:eastAsia="en-GB"/>
        </w:rPr>
        <w:t> </w:t>
      </w:r>
    </w:p>
    <w:p w14:paraId="2DB6D43D" w14:textId="77777777" w:rsidR="00673B29" w:rsidRPr="00673B29" w:rsidRDefault="00673B29" w:rsidP="00673B29">
      <w:pPr>
        <w:shd w:val="clear" w:color="auto" w:fill="FFFFFF"/>
        <w:spacing w:after="0" w:line="240" w:lineRule="auto"/>
        <w:rPr>
          <w:rFonts w:ascii="Times New Roman" w:eastAsia="Times New Roman" w:hAnsi="Times New Roman" w:cs="Times New Roman"/>
          <w:color w:val="000000"/>
          <w:sz w:val="24"/>
          <w:szCs w:val="24"/>
          <w:lang w:eastAsia="en-GB"/>
        </w:rPr>
      </w:pPr>
      <w:r w:rsidRPr="00673B29">
        <w:rPr>
          <w:rFonts w:ascii="Calibri" w:eastAsia="Times New Roman" w:hAnsi="Calibri" w:cs="Calibri"/>
          <w:color w:val="000000"/>
          <w:lang w:eastAsia="en-GB"/>
        </w:rPr>
        <w:t> </w:t>
      </w:r>
    </w:p>
    <w:p w14:paraId="59F8EDC4" w14:textId="77777777" w:rsidR="00F560BB" w:rsidRDefault="00F560BB"/>
    <w:sectPr w:rsidR="00F560BB" w:rsidSect="00673B29">
      <w:footerReference w:type="default" r:id="rId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387777" w14:textId="77777777" w:rsidR="00766252" w:rsidRDefault="00766252" w:rsidP="00CF38B8">
      <w:pPr>
        <w:spacing w:after="0" w:line="240" w:lineRule="auto"/>
      </w:pPr>
      <w:r>
        <w:separator/>
      </w:r>
    </w:p>
  </w:endnote>
  <w:endnote w:type="continuationSeparator" w:id="0">
    <w:p w14:paraId="33041B44" w14:textId="77777777" w:rsidR="00766252" w:rsidRDefault="00766252" w:rsidP="00CF3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sto MT">
    <w:panose1 w:val="020406030505050303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9461746"/>
      <w:docPartObj>
        <w:docPartGallery w:val="Page Numbers (Bottom of Page)"/>
        <w:docPartUnique/>
      </w:docPartObj>
    </w:sdtPr>
    <w:sdtEndPr>
      <w:rPr>
        <w:color w:val="7F7F7F" w:themeColor="background1" w:themeShade="7F"/>
        <w:spacing w:val="60"/>
      </w:rPr>
    </w:sdtEndPr>
    <w:sdtContent>
      <w:p w14:paraId="65D83C8B" w14:textId="5B033C00" w:rsidR="008167C1" w:rsidRDefault="008167C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8167C1">
          <w:rPr>
            <w:b/>
            <w:bCs/>
            <w:noProof/>
          </w:rPr>
          <w:t>19</w:t>
        </w:r>
        <w:r>
          <w:rPr>
            <w:b/>
            <w:bCs/>
            <w:noProof/>
          </w:rPr>
          <w:fldChar w:fldCharType="end"/>
        </w:r>
        <w:r>
          <w:rPr>
            <w:b/>
            <w:bCs/>
          </w:rPr>
          <w:t xml:space="preserve"> | </w:t>
        </w:r>
        <w:r>
          <w:rPr>
            <w:color w:val="7F7F7F" w:themeColor="background1" w:themeShade="7F"/>
            <w:spacing w:val="60"/>
          </w:rPr>
          <w:t>Page</w:t>
        </w:r>
      </w:p>
    </w:sdtContent>
  </w:sdt>
  <w:p w14:paraId="59DF0650" w14:textId="77777777" w:rsidR="008167C1" w:rsidRDefault="008167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A41470" w14:textId="77777777" w:rsidR="00766252" w:rsidRDefault="00766252" w:rsidP="00CF38B8">
      <w:pPr>
        <w:spacing w:after="0" w:line="240" w:lineRule="auto"/>
      </w:pPr>
      <w:r>
        <w:separator/>
      </w:r>
    </w:p>
  </w:footnote>
  <w:footnote w:type="continuationSeparator" w:id="0">
    <w:p w14:paraId="4FD382DD" w14:textId="77777777" w:rsidR="00766252" w:rsidRDefault="00766252" w:rsidP="00CF38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6492F"/>
    <w:multiLevelType w:val="multilevel"/>
    <w:tmpl w:val="98742B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616949"/>
    <w:multiLevelType w:val="multilevel"/>
    <w:tmpl w:val="B546B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395904"/>
    <w:multiLevelType w:val="multilevel"/>
    <w:tmpl w:val="8D847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DC5CB4"/>
    <w:multiLevelType w:val="multilevel"/>
    <w:tmpl w:val="806C2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682469"/>
    <w:multiLevelType w:val="multilevel"/>
    <w:tmpl w:val="02781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052394"/>
    <w:multiLevelType w:val="multilevel"/>
    <w:tmpl w:val="368E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EC3D89"/>
    <w:multiLevelType w:val="multilevel"/>
    <w:tmpl w:val="F9167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811266"/>
    <w:multiLevelType w:val="multilevel"/>
    <w:tmpl w:val="089A68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F0157B3"/>
    <w:multiLevelType w:val="multilevel"/>
    <w:tmpl w:val="47D0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18E2D4A"/>
    <w:multiLevelType w:val="multilevel"/>
    <w:tmpl w:val="5EB84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2851BB3"/>
    <w:multiLevelType w:val="multilevel"/>
    <w:tmpl w:val="99D0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52F6613"/>
    <w:multiLevelType w:val="multilevel"/>
    <w:tmpl w:val="55F62AA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1BDA358A"/>
    <w:multiLevelType w:val="multilevel"/>
    <w:tmpl w:val="6AA22E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EF342F"/>
    <w:multiLevelType w:val="multilevel"/>
    <w:tmpl w:val="6D86350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28586B59"/>
    <w:multiLevelType w:val="multilevel"/>
    <w:tmpl w:val="E94E0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8C71F17"/>
    <w:multiLevelType w:val="multilevel"/>
    <w:tmpl w:val="C298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9F00A93"/>
    <w:multiLevelType w:val="multilevel"/>
    <w:tmpl w:val="B33A4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C305D00"/>
    <w:multiLevelType w:val="multilevel"/>
    <w:tmpl w:val="1048E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FBA2A22"/>
    <w:multiLevelType w:val="multilevel"/>
    <w:tmpl w:val="1E2C0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7C079B4"/>
    <w:multiLevelType w:val="multilevel"/>
    <w:tmpl w:val="A7284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C153F4C"/>
    <w:multiLevelType w:val="multilevel"/>
    <w:tmpl w:val="288A8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C235105"/>
    <w:multiLevelType w:val="multilevel"/>
    <w:tmpl w:val="D2605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C444301"/>
    <w:multiLevelType w:val="multilevel"/>
    <w:tmpl w:val="67B2A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1A51CA2"/>
    <w:multiLevelType w:val="multilevel"/>
    <w:tmpl w:val="75A2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3334100"/>
    <w:multiLevelType w:val="multilevel"/>
    <w:tmpl w:val="A3C41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9726C98"/>
    <w:multiLevelType w:val="multilevel"/>
    <w:tmpl w:val="B3EE6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BA83710"/>
    <w:multiLevelType w:val="multilevel"/>
    <w:tmpl w:val="246C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D6556E0"/>
    <w:multiLevelType w:val="multilevel"/>
    <w:tmpl w:val="2AEE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EFF591C"/>
    <w:multiLevelType w:val="multilevel"/>
    <w:tmpl w:val="8C58A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01626AA"/>
    <w:multiLevelType w:val="multilevel"/>
    <w:tmpl w:val="26DE9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32F6625"/>
    <w:multiLevelType w:val="multilevel"/>
    <w:tmpl w:val="C382E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32F6F95"/>
    <w:multiLevelType w:val="multilevel"/>
    <w:tmpl w:val="EA8CB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6EC52B4"/>
    <w:multiLevelType w:val="multilevel"/>
    <w:tmpl w:val="017C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8736A8C"/>
    <w:multiLevelType w:val="multilevel"/>
    <w:tmpl w:val="73446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CCC4ADA"/>
    <w:multiLevelType w:val="multilevel"/>
    <w:tmpl w:val="B41E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D901AA0"/>
    <w:multiLevelType w:val="multilevel"/>
    <w:tmpl w:val="49D6F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0975C09"/>
    <w:multiLevelType w:val="multilevel"/>
    <w:tmpl w:val="068A4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1611660"/>
    <w:multiLevelType w:val="multilevel"/>
    <w:tmpl w:val="15A6D1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7515C01"/>
    <w:multiLevelType w:val="multilevel"/>
    <w:tmpl w:val="9468C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D3D00F8"/>
    <w:multiLevelType w:val="multilevel"/>
    <w:tmpl w:val="8B6C0EB8"/>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0" w15:restartNumberingAfterBreak="0">
    <w:nsid w:val="7236444F"/>
    <w:multiLevelType w:val="multilevel"/>
    <w:tmpl w:val="B65A0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5691F72"/>
    <w:multiLevelType w:val="multilevel"/>
    <w:tmpl w:val="0BB20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6463D22"/>
    <w:multiLevelType w:val="multilevel"/>
    <w:tmpl w:val="FFAC0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6741847"/>
    <w:multiLevelType w:val="multilevel"/>
    <w:tmpl w:val="3C969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B7A4E1C"/>
    <w:multiLevelType w:val="multilevel"/>
    <w:tmpl w:val="7CEE4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5"/>
  </w:num>
  <w:num w:numId="2">
    <w:abstractNumId w:val="12"/>
  </w:num>
  <w:num w:numId="3">
    <w:abstractNumId w:val="7"/>
  </w:num>
  <w:num w:numId="4">
    <w:abstractNumId w:val="16"/>
  </w:num>
  <w:num w:numId="5">
    <w:abstractNumId w:val="0"/>
  </w:num>
  <w:num w:numId="6">
    <w:abstractNumId w:val="37"/>
  </w:num>
  <w:num w:numId="7">
    <w:abstractNumId w:val="11"/>
  </w:num>
  <w:num w:numId="8">
    <w:abstractNumId w:val="39"/>
  </w:num>
  <w:num w:numId="9">
    <w:abstractNumId w:val="13"/>
  </w:num>
  <w:num w:numId="10">
    <w:abstractNumId w:val="17"/>
  </w:num>
  <w:num w:numId="11">
    <w:abstractNumId w:val="5"/>
  </w:num>
  <w:num w:numId="12">
    <w:abstractNumId w:val="24"/>
  </w:num>
  <w:num w:numId="13">
    <w:abstractNumId w:val="8"/>
  </w:num>
  <w:num w:numId="14">
    <w:abstractNumId w:val="34"/>
  </w:num>
  <w:num w:numId="15">
    <w:abstractNumId w:val="2"/>
  </w:num>
  <w:num w:numId="16">
    <w:abstractNumId w:val="35"/>
  </w:num>
  <w:num w:numId="17">
    <w:abstractNumId w:val="10"/>
  </w:num>
  <w:num w:numId="18">
    <w:abstractNumId w:val="22"/>
  </w:num>
  <w:num w:numId="19">
    <w:abstractNumId w:val="44"/>
  </w:num>
  <w:num w:numId="20">
    <w:abstractNumId w:val="36"/>
  </w:num>
  <w:num w:numId="21">
    <w:abstractNumId w:val="41"/>
  </w:num>
  <w:num w:numId="22">
    <w:abstractNumId w:val="28"/>
  </w:num>
  <w:num w:numId="23">
    <w:abstractNumId w:val="43"/>
  </w:num>
  <w:num w:numId="24">
    <w:abstractNumId w:val="9"/>
  </w:num>
  <w:num w:numId="25">
    <w:abstractNumId w:val="26"/>
  </w:num>
  <w:num w:numId="26">
    <w:abstractNumId w:val="1"/>
  </w:num>
  <w:num w:numId="27">
    <w:abstractNumId w:val="21"/>
  </w:num>
  <w:num w:numId="28">
    <w:abstractNumId w:val="15"/>
  </w:num>
  <w:num w:numId="29">
    <w:abstractNumId w:val="40"/>
  </w:num>
  <w:num w:numId="30">
    <w:abstractNumId w:val="33"/>
  </w:num>
  <w:num w:numId="31">
    <w:abstractNumId w:val="31"/>
  </w:num>
  <w:num w:numId="32">
    <w:abstractNumId w:val="18"/>
  </w:num>
  <w:num w:numId="33">
    <w:abstractNumId w:val="14"/>
  </w:num>
  <w:num w:numId="34">
    <w:abstractNumId w:val="6"/>
  </w:num>
  <w:num w:numId="35">
    <w:abstractNumId w:val="29"/>
  </w:num>
  <w:num w:numId="36">
    <w:abstractNumId w:val="3"/>
  </w:num>
  <w:num w:numId="37">
    <w:abstractNumId w:val="32"/>
  </w:num>
  <w:num w:numId="38">
    <w:abstractNumId w:val="23"/>
  </w:num>
  <w:num w:numId="39">
    <w:abstractNumId w:val="38"/>
  </w:num>
  <w:num w:numId="40">
    <w:abstractNumId w:val="4"/>
  </w:num>
  <w:num w:numId="41">
    <w:abstractNumId w:val="20"/>
  </w:num>
  <w:num w:numId="42">
    <w:abstractNumId w:val="27"/>
  </w:num>
  <w:num w:numId="43">
    <w:abstractNumId w:val="30"/>
  </w:num>
  <w:num w:numId="44">
    <w:abstractNumId w:val="42"/>
  </w:num>
  <w:num w:numId="4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3B29"/>
    <w:rsid w:val="00673B29"/>
    <w:rsid w:val="00766252"/>
    <w:rsid w:val="008167C1"/>
    <w:rsid w:val="00866CB1"/>
    <w:rsid w:val="00CF38B8"/>
    <w:rsid w:val="00F56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04D9B99"/>
  <w15:chartTrackingRefBased/>
  <w15:docId w15:val="{2444B729-DCCF-449A-B1E0-C33E3FA4E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F38B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673B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673B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673B29"/>
  </w:style>
  <w:style w:type="character" w:customStyle="1" w:styleId="normaltextrun">
    <w:name w:val="normaltextrun"/>
    <w:basedOn w:val="DefaultParagraphFont"/>
    <w:rsid w:val="00673B29"/>
  </w:style>
  <w:style w:type="character" w:customStyle="1" w:styleId="eop">
    <w:name w:val="eop"/>
    <w:basedOn w:val="DefaultParagraphFont"/>
    <w:rsid w:val="00673B29"/>
  </w:style>
  <w:style w:type="character" w:customStyle="1" w:styleId="pagebreakblob">
    <w:name w:val="pagebreakblob"/>
    <w:basedOn w:val="DefaultParagraphFont"/>
    <w:rsid w:val="00673B29"/>
  </w:style>
  <w:style w:type="character" w:customStyle="1" w:styleId="pagebreakborderspan">
    <w:name w:val="pagebreakborderspan"/>
    <w:basedOn w:val="DefaultParagraphFont"/>
    <w:rsid w:val="00673B29"/>
  </w:style>
  <w:style w:type="character" w:customStyle="1" w:styleId="pagebreaktextspan">
    <w:name w:val="pagebreaktextspan"/>
    <w:basedOn w:val="DefaultParagraphFont"/>
    <w:rsid w:val="00673B29"/>
  </w:style>
  <w:style w:type="character" w:customStyle="1" w:styleId="wacimagegroupcontainer">
    <w:name w:val="wacimagegroupcontainer"/>
    <w:basedOn w:val="DefaultParagraphFont"/>
    <w:rsid w:val="00673B29"/>
  </w:style>
  <w:style w:type="character" w:customStyle="1" w:styleId="wacimagecontainer">
    <w:name w:val="wacimagecontainer"/>
    <w:basedOn w:val="DefaultParagraphFont"/>
    <w:rsid w:val="00673B29"/>
  </w:style>
  <w:style w:type="character" w:customStyle="1" w:styleId="wacimageborder">
    <w:name w:val="wacimageborder"/>
    <w:basedOn w:val="DefaultParagraphFont"/>
    <w:rsid w:val="00673B29"/>
  </w:style>
  <w:style w:type="character" w:customStyle="1" w:styleId="tabrun">
    <w:name w:val="tabrun"/>
    <w:basedOn w:val="DefaultParagraphFont"/>
    <w:rsid w:val="00673B29"/>
  </w:style>
  <w:style w:type="character" w:customStyle="1" w:styleId="tabchar">
    <w:name w:val="tabchar"/>
    <w:basedOn w:val="DefaultParagraphFont"/>
    <w:rsid w:val="00673B29"/>
  </w:style>
  <w:style w:type="character" w:customStyle="1" w:styleId="tableaderchars">
    <w:name w:val="tableaderchars"/>
    <w:basedOn w:val="DefaultParagraphFont"/>
    <w:rsid w:val="00673B29"/>
  </w:style>
  <w:style w:type="character" w:styleId="Hyperlink">
    <w:name w:val="Hyperlink"/>
    <w:basedOn w:val="DefaultParagraphFont"/>
    <w:uiPriority w:val="99"/>
    <w:unhideWhenUsed/>
    <w:rsid w:val="00673B29"/>
    <w:rPr>
      <w:color w:val="0000FF"/>
      <w:u w:val="single"/>
    </w:rPr>
  </w:style>
  <w:style w:type="character" w:styleId="FollowedHyperlink">
    <w:name w:val="FollowedHyperlink"/>
    <w:basedOn w:val="DefaultParagraphFont"/>
    <w:uiPriority w:val="99"/>
    <w:semiHidden/>
    <w:unhideWhenUsed/>
    <w:rsid w:val="00673B29"/>
    <w:rPr>
      <w:color w:val="800080"/>
      <w:u w:val="single"/>
    </w:rPr>
  </w:style>
  <w:style w:type="character" w:customStyle="1" w:styleId="wacimageplaceholder">
    <w:name w:val="wacimageplaceholder"/>
    <w:basedOn w:val="DefaultParagraphFont"/>
    <w:rsid w:val="00673B29"/>
  </w:style>
  <w:style w:type="character" w:customStyle="1" w:styleId="wacprogress">
    <w:name w:val="wacprogress"/>
    <w:basedOn w:val="DefaultParagraphFont"/>
    <w:rsid w:val="00673B29"/>
  </w:style>
  <w:style w:type="character" w:customStyle="1" w:styleId="wacimageplaceholderfiller">
    <w:name w:val="wacimageplaceholderfiller"/>
    <w:basedOn w:val="DefaultParagraphFont"/>
    <w:rsid w:val="00673B29"/>
  </w:style>
  <w:style w:type="paragraph" w:styleId="NoSpacing">
    <w:name w:val="No Spacing"/>
    <w:link w:val="NoSpacingChar"/>
    <w:uiPriority w:val="1"/>
    <w:qFormat/>
    <w:rsid w:val="00673B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3B29"/>
    <w:rPr>
      <w:rFonts w:eastAsiaTheme="minorEastAsia"/>
      <w:lang w:val="en-US"/>
    </w:rPr>
  </w:style>
  <w:style w:type="paragraph" w:styleId="BalloonText">
    <w:name w:val="Balloon Text"/>
    <w:basedOn w:val="Normal"/>
    <w:link w:val="BalloonTextChar"/>
    <w:uiPriority w:val="99"/>
    <w:semiHidden/>
    <w:unhideWhenUsed/>
    <w:rsid w:val="00673B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3B29"/>
    <w:rPr>
      <w:rFonts w:ascii="Segoe UI" w:hAnsi="Segoe UI" w:cs="Segoe UI"/>
      <w:sz w:val="18"/>
      <w:szCs w:val="18"/>
    </w:rPr>
  </w:style>
  <w:style w:type="paragraph" w:styleId="Caption">
    <w:name w:val="caption"/>
    <w:basedOn w:val="Normal"/>
    <w:next w:val="Normal"/>
    <w:uiPriority w:val="35"/>
    <w:unhideWhenUsed/>
    <w:qFormat/>
    <w:rsid w:val="00866CB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CF38B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F38B8"/>
    <w:pPr>
      <w:outlineLvl w:val="9"/>
    </w:pPr>
    <w:rPr>
      <w:lang w:val="en-US"/>
    </w:rPr>
  </w:style>
  <w:style w:type="paragraph" w:styleId="Header">
    <w:name w:val="header"/>
    <w:basedOn w:val="Normal"/>
    <w:link w:val="HeaderChar"/>
    <w:uiPriority w:val="99"/>
    <w:unhideWhenUsed/>
    <w:rsid w:val="00CF38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8B8"/>
  </w:style>
  <w:style w:type="paragraph" w:styleId="Footer">
    <w:name w:val="footer"/>
    <w:basedOn w:val="Normal"/>
    <w:link w:val="FooterChar"/>
    <w:uiPriority w:val="99"/>
    <w:unhideWhenUsed/>
    <w:rsid w:val="00CF38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8B8"/>
  </w:style>
  <w:style w:type="paragraph" w:styleId="TOC1">
    <w:name w:val="toc 1"/>
    <w:basedOn w:val="Normal"/>
    <w:next w:val="Normal"/>
    <w:autoRedefine/>
    <w:uiPriority w:val="39"/>
    <w:unhideWhenUsed/>
    <w:rsid w:val="008167C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9878037">
      <w:bodyDiv w:val="1"/>
      <w:marLeft w:val="0"/>
      <w:marRight w:val="0"/>
      <w:marTop w:val="0"/>
      <w:marBottom w:val="0"/>
      <w:divBdr>
        <w:top w:val="none" w:sz="0" w:space="0" w:color="auto"/>
        <w:left w:val="none" w:sz="0" w:space="0" w:color="auto"/>
        <w:bottom w:val="none" w:sz="0" w:space="0" w:color="auto"/>
        <w:right w:val="none" w:sz="0" w:space="0" w:color="auto"/>
      </w:divBdr>
    </w:div>
    <w:div w:id="563876571">
      <w:bodyDiv w:val="1"/>
      <w:marLeft w:val="0"/>
      <w:marRight w:val="0"/>
      <w:marTop w:val="0"/>
      <w:marBottom w:val="0"/>
      <w:divBdr>
        <w:top w:val="none" w:sz="0" w:space="0" w:color="auto"/>
        <w:left w:val="none" w:sz="0" w:space="0" w:color="auto"/>
        <w:bottom w:val="none" w:sz="0" w:space="0" w:color="auto"/>
        <w:right w:val="none" w:sz="0" w:space="0" w:color="auto"/>
      </w:divBdr>
    </w:div>
    <w:div w:id="1858617117">
      <w:bodyDiv w:val="1"/>
      <w:marLeft w:val="0"/>
      <w:marRight w:val="0"/>
      <w:marTop w:val="0"/>
      <w:marBottom w:val="0"/>
      <w:divBdr>
        <w:top w:val="none" w:sz="0" w:space="0" w:color="auto"/>
        <w:left w:val="none" w:sz="0" w:space="0" w:color="auto"/>
        <w:bottom w:val="none" w:sz="0" w:space="0" w:color="auto"/>
        <w:right w:val="none" w:sz="0" w:space="0" w:color="auto"/>
      </w:divBdr>
      <w:divsChild>
        <w:div w:id="3944128">
          <w:marLeft w:val="0"/>
          <w:marRight w:val="0"/>
          <w:marTop w:val="0"/>
          <w:marBottom w:val="0"/>
          <w:divBdr>
            <w:top w:val="none" w:sz="0" w:space="0" w:color="auto"/>
            <w:left w:val="none" w:sz="0" w:space="0" w:color="auto"/>
            <w:bottom w:val="none" w:sz="0" w:space="0" w:color="auto"/>
            <w:right w:val="none" w:sz="0" w:space="0" w:color="auto"/>
          </w:divBdr>
        </w:div>
        <w:div w:id="7028783">
          <w:marLeft w:val="0"/>
          <w:marRight w:val="0"/>
          <w:marTop w:val="0"/>
          <w:marBottom w:val="0"/>
          <w:divBdr>
            <w:top w:val="none" w:sz="0" w:space="0" w:color="auto"/>
            <w:left w:val="none" w:sz="0" w:space="0" w:color="auto"/>
            <w:bottom w:val="none" w:sz="0" w:space="0" w:color="auto"/>
            <w:right w:val="none" w:sz="0" w:space="0" w:color="auto"/>
          </w:divBdr>
        </w:div>
        <w:div w:id="8990445">
          <w:marLeft w:val="0"/>
          <w:marRight w:val="0"/>
          <w:marTop w:val="0"/>
          <w:marBottom w:val="0"/>
          <w:divBdr>
            <w:top w:val="none" w:sz="0" w:space="0" w:color="auto"/>
            <w:left w:val="none" w:sz="0" w:space="0" w:color="auto"/>
            <w:bottom w:val="none" w:sz="0" w:space="0" w:color="auto"/>
            <w:right w:val="none" w:sz="0" w:space="0" w:color="auto"/>
          </w:divBdr>
        </w:div>
        <w:div w:id="19552108">
          <w:marLeft w:val="0"/>
          <w:marRight w:val="0"/>
          <w:marTop w:val="0"/>
          <w:marBottom w:val="0"/>
          <w:divBdr>
            <w:top w:val="none" w:sz="0" w:space="0" w:color="auto"/>
            <w:left w:val="none" w:sz="0" w:space="0" w:color="auto"/>
            <w:bottom w:val="none" w:sz="0" w:space="0" w:color="auto"/>
            <w:right w:val="none" w:sz="0" w:space="0" w:color="auto"/>
          </w:divBdr>
        </w:div>
        <w:div w:id="25639289">
          <w:marLeft w:val="0"/>
          <w:marRight w:val="0"/>
          <w:marTop w:val="0"/>
          <w:marBottom w:val="0"/>
          <w:divBdr>
            <w:top w:val="none" w:sz="0" w:space="0" w:color="auto"/>
            <w:left w:val="none" w:sz="0" w:space="0" w:color="auto"/>
            <w:bottom w:val="none" w:sz="0" w:space="0" w:color="auto"/>
            <w:right w:val="none" w:sz="0" w:space="0" w:color="auto"/>
          </w:divBdr>
        </w:div>
        <w:div w:id="34888037">
          <w:marLeft w:val="0"/>
          <w:marRight w:val="0"/>
          <w:marTop w:val="0"/>
          <w:marBottom w:val="0"/>
          <w:divBdr>
            <w:top w:val="none" w:sz="0" w:space="0" w:color="auto"/>
            <w:left w:val="none" w:sz="0" w:space="0" w:color="auto"/>
            <w:bottom w:val="none" w:sz="0" w:space="0" w:color="auto"/>
            <w:right w:val="none" w:sz="0" w:space="0" w:color="auto"/>
          </w:divBdr>
        </w:div>
        <w:div w:id="67115492">
          <w:marLeft w:val="0"/>
          <w:marRight w:val="0"/>
          <w:marTop w:val="0"/>
          <w:marBottom w:val="0"/>
          <w:divBdr>
            <w:top w:val="none" w:sz="0" w:space="0" w:color="auto"/>
            <w:left w:val="none" w:sz="0" w:space="0" w:color="auto"/>
            <w:bottom w:val="none" w:sz="0" w:space="0" w:color="auto"/>
            <w:right w:val="none" w:sz="0" w:space="0" w:color="auto"/>
          </w:divBdr>
        </w:div>
        <w:div w:id="73092464">
          <w:marLeft w:val="0"/>
          <w:marRight w:val="0"/>
          <w:marTop w:val="0"/>
          <w:marBottom w:val="0"/>
          <w:divBdr>
            <w:top w:val="none" w:sz="0" w:space="0" w:color="auto"/>
            <w:left w:val="none" w:sz="0" w:space="0" w:color="auto"/>
            <w:bottom w:val="none" w:sz="0" w:space="0" w:color="auto"/>
            <w:right w:val="none" w:sz="0" w:space="0" w:color="auto"/>
          </w:divBdr>
        </w:div>
        <w:div w:id="88743322">
          <w:marLeft w:val="0"/>
          <w:marRight w:val="0"/>
          <w:marTop w:val="0"/>
          <w:marBottom w:val="0"/>
          <w:divBdr>
            <w:top w:val="none" w:sz="0" w:space="0" w:color="auto"/>
            <w:left w:val="none" w:sz="0" w:space="0" w:color="auto"/>
            <w:bottom w:val="none" w:sz="0" w:space="0" w:color="auto"/>
            <w:right w:val="none" w:sz="0" w:space="0" w:color="auto"/>
          </w:divBdr>
        </w:div>
        <w:div w:id="102917822">
          <w:marLeft w:val="0"/>
          <w:marRight w:val="0"/>
          <w:marTop w:val="0"/>
          <w:marBottom w:val="0"/>
          <w:divBdr>
            <w:top w:val="none" w:sz="0" w:space="0" w:color="auto"/>
            <w:left w:val="none" w:sz="0" w:space="0" w:color="auto"/>
            <w:bottom w:val="none" w:sz="0" w:space="0" w:color="auto"/>
            <w:right w:val="none" w:sz="0" w:space="0" w:color="auto"/>
          </w:divBdr>
        </w:div>
        <w:div w:id="104930227">
          <w:marLeft w:val="0"/>
          <w:marRight w:val="0"/>
          <w:marTop w:val="0"/>
          <w:marBottom w:val="0"/>
          <w:divBdr>
            <w:top w:val="none" w:sz="0" w:space="0" w:color="auto"/>
            <w:left w:val="none" w:sz="0" w:space="0" w:color="auto"/>
            <w:bottom w:val="none" w:sz="0" w:space="0" w:color="auto"/>
            <w:right w:val="none" w:sz="0" w:space="0" w:color="auto"/>
          </w:divBdr>
        </w:div>
        <w:div w:id="116336531">
          <w:marLeft w:val="0"/>
          <w:marRight w:val="0"/>
          <w:marTop w:val="0"/>
          <w:marBottom w:val="0"/>
          <w:divBdr>
            <w:top w:val="none" w:sz="0" w:space="0" w:color="auto"/>
            <w:left w:val="none" w:sz="0" w:space="0" w:color="auto"/>
            <w:bottom w:val="none" w:sz="0" w:space="0" w:color="auto"/>
            <w:right w:val="none" w:sz="0" w:space="0" w:color="auto"/>
          </w:divBdr>
        </w:div>
        <w:div w:id="128789241">
          <w:marLeft w:val="0"/>
          <w:marRight w:val="0"/>
          <w:marTop w:val="0"/>
          <w:marBottom w:val="0"/>
          <w:divBdr>
            <w:top w:val="none" w:sz="0" w:space="0" w:color="auto"/>
            <w:left w:val="none" w:sz="0" w:space="0" w:color="auto"/>
            <w:bottom w:val="none" w:sz="0" w:space="0" w:color="auto"/>
            <w:right w:val="none" w:sz="0" w:space="0" w:color="auto"/>
          </w:divBdr>
        </w:div>
        <w:div w:id="132723686">
          <w:marLeft w:val="0"/>
          <w:marRight w:val="0"/>
          <w:marTop w:val="0"/>
          <w:marBottom w:val="0"/>
          <w:divBdr>
            <w:top w:val="none" w:sz="0" w:space="0" w:color="auto"/>
            <w:left w:val="none" w:sz="0" w:space="0" w:color="auto"/>
            <w:bottom w:val="none" w:sz="0" w:space="0" w:color="auto"/>
            <w:right w:val="none" w:sz="0" w:space="0" w:color="auto"/>
          </w:divBdr>
        </w:div>
        <w:div w:id="134764331">
          <w:marLeft w:val="0"/>
          <w:marRight w:val="0"/>
          <w:marTop w:val="0"/>
          <w:marBottom w:val="0"/>
          <w:divBdr>
            <w:top w:val="none" w:sz="0" w:space="0" w:color="auto"/>
            <w:left w:val="none" w:sz="0" w:space="0" w:color="auto"/>
            <w:bottom w:val="none" w:sz="0" w:space="0" w:color="auto"/>
            <w:right w:val="none" w:sz="0" w:space="0" w:color="auto"/>
          </w:divBdr>
        </w:div>
        <w:div w:id="143472032">
          <w:marLeft w:val="0"/>
          <w:marRight w:val="0"/>
          <w:marTop w:val="0"/>
          <w:marBottom w:val="0"/>
          <w:divBdr>
            <w:top w:val="none" w:sz="0" w:space="0" w:color="auto"/>
            <w:left w:val="none" w:sz="0" w:space="0" w:color="auto"/>
            <w:bottom w:val="none" w:sz="0" w:space="0" w:color="auto"/>
            <w:right w:val="none" w:sz="0" w:space="0" w:color="auto"/>
          </w:divBdr>
        </w:div>
        <w:div w:id="148401633">
          <w:marLeft w:val="0"/>
          <w:marRight w:val="0"/>
          <w:marTop w:val="0"/>
          <w:marBottom w:val="0"/>
          <w:divBdr>
            <w:top w:val="none" w:sz="0" w:space="0" w:color="auto"/>
            <w:left w:val="none" w:sz="0" w:space="0" w:color="auto"/>
            <w:bottom w:val="none" w:sz="0" w:space="0" w:color="auto"/>
            <w:right w:val="none" w:sz="0" w:space="0" w:color="auto"/>
          </w:divBdr>
        </w:div>
        <w:div w:id="153305790">
          <w:marLeft w:val="0"/>
          <w:marRight w:val="0"/>
          <w:marTop w:val="0"/>
          <w:marBottom w:val="0"/>
          <w:divBdr>
            <w:top w:val="none" w:sz="0" w:space="0" w:color="auto"/>
            <w:left w:val="none" w:sz="0" w:space="0" w:color="auto"/>
            <w:bottom w:val="none" w:sz="0" w:space="0" w:color="auto"/>
            <w:right w:val="none" w:sz="0" w:space="0" w:color="auto"/>
          </w:divBdr>
        </w:div>
        <w:div w:id="166674537">
          <w:marLeft w:val="0"/>
          <w:marRight w:val="0"/>
          <w:marTop w:val="0"/>
          <w:marBottom w:val="0"/>
          <w:divBdr>
            <w:top w:val="none" w:sz="0" w:space="0" w:color="auto"/>
            <w:left w:val="none" w:sz="0" w:space="0" w:color="auto"/>
            <w:bottom w:val="none" w:sz="0" w:space="0" w:color="auto"/>
            <w:right w:val="none" w:sz="0" w:space="0" w:color="auto"/>
          </w:divBdr>
        </w:div>
        <w:div w:id="177889374">
          <w:marLeft w:val="0"/>
          <w:marRight w:val="0"/>
          <w:marTop w:val="0"/>
          <w:marBottom w:val="0"/>
          <w:divBdr>
            <w:top w:val="none" w:sz="0" w:space="0" w:color="auto"/>
            <w:left w:val="none" w:sz="0" w:space="0" w:color="auto"/>
            <w:bottom w:val="none" w:sz="0" w:space="0" w:color="auto"/>
            <w:right w:val="none" w:sz="0" w:space="0" w:color="auto"/>
          </w:divBdr>
        </w:div>
        <w:div w:id="186067280">
          <w:marLeft w:val="0"/>
          <w:marRight w:val="0"/>
          <w:marTop w:val="0"/>
          <w:marBottom w:val="0"/>
          <w:divBdr>
            <w:top w:val="none" w:sz="0" w:space="0" w:color="auto"/>
            <w:left w:val="none" w:sz="0" w:space="0" w:color="auto"/>
            <w:bottom w:val="none" w:sz="0" w:space="0" w:color="auto"/>
            <w:right w:val="none" w:sz="0" w:space="0" w:color="auto"/>
          </w:divBdr>
        </w:div>
        <w:div w:id="191650726">
          <w:marLeft w:val="0"/>
          <w:marRight w:val="0"/>
          <w:marTop w:val="0"/>
          <w:marBottom w:val="0"/>
          <w:divBdr>
            <w:top w:val="none" w:sz="0" w:space="0" w:color="auto"/>
            <w:left w:val="none" w:sz="0" w:space="0" w:color="auto"/>
            <w:bottom w:val="none" w:sz="0" w:space="0" w:color="auto"/>
            <w:right w:val="none" w:sz="0" w:space="0" w:color="auto"/>
          </w:divBdr>
        </w:div>
        <w:div w:id="193033057">
          <w:marLeft w:val="0"/>
          <w:marRight w:val="0"/>
          <w:marTop w:val="0"/>
          <w:marBottom w:val="0"/>
          <w:divBdr>
            <w:top w:val="none" w:sz="0" w:space="0" w:color="auto"/>
            <w:left w:val="none" w:sz="0" w:space="0" w:color="auto"/>
            <w:bottom w:val="none" w:sz="0" w:space="0" w:color="auto"/>
            <w:right w:val="none" w:sz="0" w:space="0" w:color="auto"/>
          </w:divBdr>
        </w:div>
        <w:div w:id="207766556">
          <w:marLeft w:val="0"/>
          <w:marRight w:val="0"/>
          <w:marTop w:val="0"/>
          <w:marBottom w:val="0"/>
          <w:divBdr>
            <w:top w:val="none" w:sz="0" w:space="0" w:color="auto"/>
            <w:left w:val="none" w:sz="0" w:space="0" w:color="auto"/>
            <w:bottom w:val="none" w:sz="0" w:space="0" w:color="auto"/>
            <w:right w:val="none" w:sz="0" w:space="0" w:color="auto"/>
          </w:divBdr>
        </w:div>
        <w:div w:id="234361548">
          <w:marLeft w:val="0"/>
          <w:marRight w:val="0"/>
          <w:marTop w:val="0"/>
          <w:marBottom w:val="0"/>
          <w:divBdr>
            <w:top w:val="none" w:sz="0" w:space="0" w:color="auto"/>
            <w:left w:val="none" w:sz="0" w:space="0" w:color="auto"/>
            <w:bottom w:val="none" w:sz="0" w:space="0" w:color="auto"/>
            <w:right w:val="none" w:sz="0" w:space="0" w:color="auto"/>
          </w:divBdr>
        </w:div>
        <w:div w:id="235406233">
          <w:marLeft w:val="0"/>
          <w:marRight w:val="0"/>
          <w:marTop w:val="0"/>
          <w:marBottom w:val="0"/>
          <w:divBdr>
            <w:top w:val="none" w:sz="0" w:space="0" w:color="auto"/>
            <w:left w:val="none" w:sz="0" w:space="0" w:color="auto"/>
            <w:bottom w:val="none" w:sz="0" w:space="0" w:color="auto"/>
            <w:right w:val="none" w:sz="0" w:space="0" w:color="auto"/>
          </w:divBdr>
        </w:div>
        <w:div w:id="236942777">
          <w:marLeft w:val="0"/>
          <w:marRight w:val="0"/>
          <w:marTop w:val="0"/>
          <w:marBottom w:val="0"/>
          <w:divBdr>
            <w:top w:val="none" w:sz="0" w:space="0" w:color="auto"/>
            <w:left w:val="none" w:sz="0" w:space="0" w:color="auto"/>
            <w:bottom w:val="none" w:sz="0" w:space="0" w:color="auto"/>
            <w:right w:val="none" w:sz="0" w:space="0" w:color="auto"/>
          </w:divBdr>
        </w:div>
        <w:div w:id="265386284">
          <w:marLeft w:val="0"/>
          <w:marRight w:val="0"/>
          <w:marTop w:val="0"/>
          <w:marBottom w:val="0"/>
          <w:divBdr>
            <w:top w:val="none" w:sz="0" w:space="0" w:color="auto"/>
            <w:left w:val="none" w:sz="0" w:space="0" w:color="auto"/>
            <w:bottom w:val="none" w:sz="0" w:space="0" w:color="auto"/>
            <w:right w:val="none" w:sz="0" w:space="0" w:color="auto"/>
          </w:divBdr>
        </w:div>
        <w:div w:id="266163050">
          <w:marLeft w:val="0"/>
          <w:marRight w:val="0"/>
          <w:marTop w:val="0"/>
          <w:marBottom w:val="0"/>
          <w:divBdr>
            <w:top w:val="none" w:sz="0" w:space="0" w:color="auto"/>
            <w:left w:val="none" w:sz="0" w:space="0" w:color="auto"/>
            <w:bottom w:val="none" w:sz="0" w:space="0" w:color="auto"/>
            <w:right w:val="none" w:sz="0" w:space="0" w:color="auto"/>
          </w:divBdr>
          <w:divsChild>
            <w:div w:id="1839268851">
              <w:marLeft w:val="-75"/>
              <w:marRight w:val="0"/>
              <w:marTop w:val="30"/>
              <w:marBottom w:val="30"/>
              <w:divBdr>
                <w:top w:val="none" w:sz="0" w:space="0" w:color="auto"/>
                <w:left w:val="none" w:sz="0" w:space="0" w:color="auto"/>
                <w:bottom w:val="none" w:sz="0" w:space="0" w:color="auto"/>
                <w:right w:val="none" w:sz="0" w:space="0" w:color="auto"/>
              </w:divBdr>
              <w:divsChild>
                <w:div w:id="261039271">
                  <w:marLeft w:val="0"/>
                  <w:marRight w:val="0"/>
                  <w:marTop w:val="0"/>
                  <w:marBottom w:val="0"/>
                  <w:divBdr>
                    <w:top w:val="none" w:sz="0" w:space="0" w:color="auto"/>
                    <w:left w:val="none" w:sz="0" w:space="0" w:color="auto"/>
                    <w:bottom w:val="none" w:sz="0" w:space="0" w:color="auto"/>
                    <w:right w:val="none" w:sz="0" w:space="0" w:color="auto"/>
                  </w:divBdr>
                  <w:divsChild>
                    <w:div w:id="437406896">
                      <w:marLeft w:val="0"/>
                      <w:marRight w:val="0"/>
                      <w:marTop w:val="0"/>
                      <w:marBottom w:val="0"/>
                      <w:divBdr>
                        <w:top w:val="none" w:sz="0" w:space="0" w:color="auto"/>
                        <w:left w:val="none" w:sz="0" w:space="0" w:color="auto"/>
                        <w:bottom w:val="none" w:sz="0" w:space="0" w:color="auto"/>
                        <w:right w:val="none" w:sz="0" w:space="0" w:color="auto"/>
                      </w:divBdr>
                    </w:div>
                  </w:divsChild>
                </w:div>
                <w:div w:id="276179039">
                  <w:marLeft w:val="0"/>
                  <w:marRight w:val="0"/>
                  <w:marTop w:val="0"/>
                  <w:marBottom w:val="0"/>
                  <w:divBdr>
                    <w:top w:val="none" w:sz="0" w:space="0" w:color="auto"/>
                    <w:left w:val="none" w:sz="0" w:space="0" w:color="auto"/>
                    <w:bottom w:val="none" w:sz="0" w:space="0" w:color="auto"/>
                    <w:right w:val="none" w:sz="0" w:space="0" w:color="auto"/>
                  </w:divBdr>
                  <w:divsChild>
                    <w:div w:id="1499270756">
                      <w:marLeft w:val="0"/>
                      <w:marRight w:val="0"/>
                      <w:marTop w:val="0"/>
                      <w:marBottom w:val="0"/>
                      <w:divBdr>
                        <w:top w:val="none" w:sz="0" w:space="0" w:color="auto"/>
                        <w:left w:val="none" w:sz="0" w:space="0" w:color="auto"/>
                        <w:bottom w:val="none" w:sz="0" w:space="0" w:color="auto"/>
                        <w:right w:val="none" w:sz="0" w:space="0" w:color="auto"/>
                      </w:divBdr>
                    </w:div>
                  </w:divsChild>
                </w:div>
                <w:div w:id="298413722">
                  <w:marLeft w:val="0"/>
                  <w:marRight w:val="0"/>
                  <w:marTop w:val="0"/>
                  <w:marBottom w:val="0"/>
                  <w:divBdr>
                    <w:top w:val="none" w:sz="0" w:space="0" w:color="auto"/>
                    <w:left w:val="none" w:sz="0" w:space="0" w:color="auto"/>
                    <w:bottom w:val="none" w:sz="0" w:space="0" w:color="auto"/>
                    <w:right w:val="none" w:sz="0" w:space="0" w:color="auto"/>
                  </w:divBdr>
                  <w:divsChild>
                    <w:div w:id="1910460992">
                      <w:marLeft w:val="0"/>
                      <w:marRight w:val="0"/>
                      <w:marTop w:val="0"/>
                      <w:marBottom w:val="0"/>
                      <w:divBdr>
                        <w:top w:val="none" w:sz="0" w:space="0" w:color="auto"/>
                        <w:left w:val="none" w:sz="0" w:space="0" w:color="auto"/>
                        <w:bottom w:val="none" w:sz="0" w:space="0" w:color="auto"/>
                        <w:right w:val="none" w:sz="0" w:space="0" w:color="auto"/>
                      </w:divBdr>
                    </w:div>
                  </w:divsChild>
                </w:div>
                <w:div w:id="357853283">
                  <w:marLeft w:val="0"/>
                  <w:marRight w:val="0"/>
                  <w:marTop w:val="0"/>
                  <w:marBottom w:val="0"/>
                  <w:divBdr>
                    <w:top w:val="none" w:sz="0" w:space="0" w:color="auto"/>
                    <w:left w:val="none" w:sz="0" w:space="0" w:color="auto"/>
                    <w:bottom w:val="none" w:sz="0" w:space="0" w:color="auto"/>
                    <w:right w:val="none" w:sz="0" w:space="0" w:color="auto"/>
                  </w:divBdr>
                  <w:divsChild>
                    <w:div w:id="1035615857">
                      <w:marLeft w:val="0"/>
                      <w:marRight w:val="0"/>
                      <w:marTop w:val="0"/>
                      <w:marBottom w:val="0"/>
                      <w:divBdr>
                        <w:top w:val="none" w:sz="0" w:space="0" w:color="auto"/>
                        <w:left w:val="none" w:sz="0" w:space="0" w:color="auto"/>
                        <w:bottom w:val="none" w:sz="0" w:space="0" w:color="auto"/>
                        <w:right w:val="none" w:sz="0" w:space="0" w:color="auto"/>
                      </w:divBdr>
                    </w:div>
                  </w:divsChild>
                </w:div>
                <w:div w:id="495220241">
                  <w:marLeft w:val="0"/>
                  <w:marRight w:val="0"/>
                  <w:marTop w:val="0"/>
                  <w:marBottom w:val="0"/>
                  <w:divBdr>
                    <w:top w:val="none" w:sz="0" w:space="0" w:color="auto"/>
                    <w:left w:val="none" w:sz="0" w:space="0" w:color="auto"/>
                    <w:bottom w:val="none" w:sz="0" w:space="0" w:color="auto"/>
                    <w:right w:val="none" w:sz="0" w:space="0" w:color="auto"/>
                  </w:divBdr>
                  <w:divsChild>
                    <w:div w:id="1946040458">
                      <w:marLeft w:val="0"/>
                      <w:marRight w:val="0"/>
                      <w:marTop w:val="0"/>
                      <w:marBottom w:val="0"/>
                      <w:divBdr>
                        <w:top w:val="none" w:sz="0" w:space="0" w:color="auto"/>
                        <w:left w:val="none" w:sz="0" w:space="0" w:color="auto"/>
                        <w:bottom w:val="none" w:sz="0" w:space="0" w:color="auto"/>
                        <w:right w:val="none" w:sz="0" w:space="0" w:color="auto"/>
                      </w:divBdr>
                    </w:div>
                  </w:divsChild>
                </w:div>
                <w:div w:id="554699579">
                  <w:marLeft w:val="0"/>
                  <w:marRight w:val="0"/>
                  <w:marTop w:val="0"/>
                  <w:marBottom w:val="0"/>
                  <w:divBdr>
                    <w:top w:val="none" w:sz="0" w:space="0" w:color="auto"/>
                    <w:left w:val="none" w:sz="0" w:space="0" w:color="auto"/>
                    <w:bottom w:val="none" w:sz="0" w:space="0" w:color="auto"/>
                    <w:right w:val="none" w:sz="0" w:space="0" w:color="auto"/>
                  </w:divBdr>
                  <w:divsChild>
                    <w:div w:id="2088260314">
                      <w:marLeft w:val="0"/>
                      <w:marRight w:val="0"/>
                      <w:marTop w:val="0"/>
                      <w:marBottom w:val="0"/>
                      <w:divBdr>
                        <w:top w:val="none" w:sz="0" w:space="0" w:color="auto"/>
                        <w:left w:val="none" w:sz="0" w:space="0" w:color="auto"/>
                        <w:bottom w:val="none" w:sz="0" w:space="0" w:color="auto"/>
                        <w:right w:val="none" w:sz="0" w:space="0" w:color="auto"/>
                      </w:divBdr>
                    </w:div>
                  </w:divsChild>
                </w:div>
                <w:div w:id="577787945">
                  <w:marLeft w:val="0"/>
                  <w:marRight w:val="0"/>
                  <w:marTop w:val="0"/>
                  <w:marBottom w:val="0"/>
                  <w:divBdr>
                    <w:top w:val="none" w:sz="0" w:space="0" w:color="auto"/>
                    <w:left w:val="none" w:sz="0" w:space="0" w:color="auto"/>
                    <w:bottom w:val="none" w:sz="0" w:space="0" w:color="auto"/>
                    <w:right w:val="none" w:sz="0" w:space="0" w:color="auto"/>
                  </w:divBdr>
                  <w:divsChild>
                    <w:div w:id="982929711">
                      <w:marLeft w:val="0"/>
                      <w:marRight w:val="0"/>
                      <w:marTop w:val="0"/>
                      <w:marBottom w:val="0"/>
                      <w:divBdr>
                        <w:top w:val="none" w:sz="0" w:space="0" w:color="auto"/>
                        <w:left w:val="none" w:sz="0" w:space="0" w:color="auto"/>
                        <w:bottom w:val="none" w:sz="0" w:space="0" w:color="auto"/>
                        <w:right w:val="none" w:sz="0" w:space="0" w:color="auto"/>
                      </w:divBdr>
                    </w:div>
                  </w:divsChild>
                </w:div>
                <w:div w:id="753555926">
                  <w:marLeft w:val="0"/>
                  <w:marRight w:val="0"/>
                  <w:marTop w:val="0"/>
                  <w:marBottom w:val="0"/>
                  <w:divBdr>
                    <w:top w:val="none" w:sz="0" w:space="0" w:color="auto"/>
                    <w:left w:val="none" w:sz="0" w:space="0" w:color="auto"/>
                    <w:bottom w:val="none" w:sz="0" w:space="0" w:color="auto"/>
                    <w:right w:val="none" w:sz="0" w:space="0" w:color="auto"/>
                  </w:divBdr>
                  <w:divsChild>
                    <w:div w:id="2049453460">
                      <w:marLeft w:val="0"/>
                      <w:marRight w:val="0"/>
                      <w:marTop w:val="0"/>
                      <w:marBottom w:val="0"/>
                      <w:divBdr>
                        <w:top w:val="none" w:sz="0" w:space="0" w:color="auto"/>
                        <w:left w:val="none" w:sz="0" w:space="0" w:color="auto"/>
                        <w:bottom w:val="none" w:sz="0" w:space="0" w:color="auto"/>
                        <w:right w:val="none" w:sz="0" w:space="0" w:color="auto"/>
                      </w:divBdr>
                    </w:div>
                  </w:divsChild>
                </w:div>
                <w:div w:id="847401747">
                  <w:marLeft w:val="0"/>
                  <w:marRight w:val="0"/>
                  <w:marTop w:val="0"/>
                  <w:marBottom w:val="0"/>
                  <w:divBdr>
                    <w:top w:val="none" w:sz="0" w:space="0" w:color="auto"/>
                    <w:left w:val="none" w:sz="0" w:space="0" w:color="auto"/>
                    <w:bottom w:val="none" w:sz="0" w:space="0" w:color="auto"/>
                    <w:right w:val="none" w:sz="0" w:space="0" w:color="auto"/>
                  </w:divBdr>
                  <w:divsChild>
                    <w:div w:id="486480545">
                      <w:marLeft w:val="0"/>
                      <w:marRight w:val="0"/>
                      <w:marTop w:val="0"/>
                      <w:marBottom w:val="0"/>
                      <w:divBdr>
                        <w:top w:val="none" w:sz="0" w:space="0" w:color="auto"/>
                        <w:left w:val="none" w:sz="0" w:space="0" w:color="auto"/>
                        <w:bottom w:val="none" w:sz="0" w:space="0" w:color="auto"/>
                        <w:right w:val="none" w:sz="0" w:space="0" w:color="auto"/>
                      </w:divBdr>
                    </w:div>
                  </w:divsChild>
                </w:div>
                <w:div w:id="878903863">
                  <w:marLeft w:val="0"/>
                  <w:marRight w:val="0"/>
                  <w:marTop w:val="0"/>
                  <w:marBottom w:val="0"/>
                  <w:divBdr>
                    <w:top w:val="none" w:sz="0" w:space="0" w:color="auto"/>
                    <w:left w:val="none" w:sz="0" w:space="0" w:color="auto"/>
                    <w:bottom w:val="none" w:sz="0" w:space="0" w:color="auto"/>
                    <w:right w:val="none" w:sz="0" w:space="0" w:color="auto"/>
                  </w:divBdr>
                  <w:divsChild>
                    <w:div w:id="1285307020">
                      <w:marLeft w:val="0"/>
                      <w:marRight w:val="0"/>
                      <w:marTop w:val="0"/>
                      <w:marBottom w:val="0"/>
                      <w:divBdr>
                        <w:top w:val="none" w:sz="0" w:space="0" w:color="auto"/>
                        <w:left w:val="none" w:sz="0" w:space="0" w:color="auto"/>
                        <w:bottom w:val="none" w:sz="0" w:space="0" w:color="auto"/>
                        <w:right w:val="none" w:sz="0" w:space="0" w:color="auto"/>
                      </w:divBdr>
                    </w:div>
                  </w:divsChild>
                </w:div>
                <w:div w:id="1028527225">
                  <w:marLeft w:val="0"/>
                  <w:marRight w:val="0"/>
                  <w:marTop w:val="0"/>
                  <w:marBottom w:val="0"/>
                  <w:divBdr>
                    <w:top w:val="none" w:sz="0" w:space="0" w:color="auto"/>
                    <w:left w:val="none" w:sz="0" w:space="0" w:color="auto"/>
                    <w:bottom w:val="none" w:sz="0" w:space="0" w:color="auto"/>
                    <w:right w:val="none" w:sz="0" w:space="0" w:color="auto"/>
                  </w:divBdr>
                  <w:divsChild>
                    <w:div w:id="1823346590">
                      <w:marLeft w:val="0"/>
                      <w:marRight w:val="0"/>
                      <w:marTop w:val="0"/>
                      <w:marBottom w:val="0"/>
                      <w:divBdr>
                        <w:top w:val="none" w:sz="0" w:space="0" w:color="auto"/>
                        <w:left w:val="none" w:sz="0" w:space="0" w:color="auto"/>
                        <w:bottom w:val="none" w:sz="0" w:space="0" w:color="auto"/>
                        <w:right w:val="none" w:sz="0" w:space="0" w:color="auto"/>
                      </w:divBdr>
                    </w:div>
                  </w:divsChild>
                </w:div>
                <w:div w:id="1053504389">
                  <w:marLeft w:val="0"/>
                  <w:marRight w:val="0"/>
                  <w:marTop w:val="0"/>
                  <w:marBottom w:val="0"/>
                  <w:divBdr>
                    <w:top w:val="none" w:sz="0" w:space="0" w:color="auto"/>
                    <w:left w:val="none" w:sz="0" w:space="0" w:color="auto"/>
                    <w:bottom w:val="none" w:sz="0" w:space="0" w:color="auto"/>
                    <w:right w:val="none" w:sz="0" w:space="0" w:color="auto"/>
                  </w:divBdr>
                  <w:divsChild>
                    <w:div w:id="1818107050">
                      <w:marLeft w:val="0"/>
                      <w:marRight w:val="0"/>
                      <w:marTop w:val="0"/>
                      <w:marBottom w:val="0"/>
                      <w:divBdr>
                        <w:top w:val="none" w:sz="0" w:space="0" w:color="auto"/>
                        <w:left w:val="none" w:sz="0" w:space="0" w:color="auto"/>
                        <w:bottom w:val="none" w:sz="0" w:space="0" w:color="auto"/>
                        <w:right w:val="none" w:sz="0" w:space="0" w:color="auto"/>
                      </w:divBdr>
                    </w:div>
                  </w:divsChild>
                </w:div>
                <w:div w:id="1169906021">
                  <w:marLeft w:val="0"/>
                  <w:marRight w:val="0"/>
                  <w:marTop w:val="0"/>
                  <w:marBottom w:val="0"/>
                  <w:divBdr>
                    <w:top w:val="none" w:sz="0" w:space="0" w:color="auto"/>
                    <w:left w:val="none" w:sz="0" w:space="0" w:color="auto"/>
                    <w:bottom w:val="none" w:sz="0" w:space="0" w:color="auto"/>
                    <w:right w:val="none" w:sz="0" w:space="0" w:color="auto"/>
                  </w:divBdr>
                  <w:divsChild>
                    <w:div w:id="1325815806">
                      <w:marLeft w:val="0"/>
                      <w:marRight w:val="0"/>
                      <w:marTop w:val="0"/>
                      <w:marBottom w:val="0"/>
                      <w:divBdr>
                        <w:top w:val="none" w:sz="0" w:space="0" w:color="auto"/>
                        <w:left w:val="none" w:sz="0" w:space="0" w:color="auto"/>
                        <w:bottom w:val="none" w:sz="0" w:space="0" w:color="auto"/>
                        <w:right w:val="none" w:sz="0" w:space="0" w:color="auto"/>
                      </w:divBdr>
                    </w:div>
                  </w:divsChild>
                </w:div>
                <w:div w:id="1185824755">
                  <w:marLeft w:val="0"/>
                  <w:marRight w:val="0"/>
                  <w:marTop w:val="0"/>
                  <w:marBottom w:val="0"/>
                  <w:divBdr>
                    <w:top w:val="none" w:sz="0" w:space="0" w:color="auto"/>
                    <w:left w:val="none" w:sz="0" w:space="0" w:color="auto"/>
                    <w:bottom w:val="none" w:sz="0" w:space="0" w:color="auto"/>
                    <w:right w:val="none" w:sz="0" w:space="0" w:color="auto"/>
                  </w:divBdr>
                  <w:divsChild>
                    <w:div w:id="379282150">
                      <w:marLeft w:val="0"/>
                      <w:marRight w:val="0"/>
                      <w:marTop w:val="0"/>
                      <w:marBottom w:val="0"/>
                      <w:divBdr>
                        <w:top w:val="none" w:sz="0" w:space="0" w:color="auto"/>
                        <w:left w:val="none" w:sz="0" w:space="0" w:color="auto"/>
                        <w:bottom w:val="none" w:sz="0" w:space="0" w:color="auto"/>
                        <w:right w:val="none" w:sz="0" w:space="0" w:color="auto"/>
                      </w:divBdr>
                    </w:div>
                  </w:divsChild>
                </w:div>
                <w:div w:id="1218785645">
                  <w:marLeft w:val="0"/>
                  <w:marRight w:val="0"/>
                  <w:marTop w:val="0"/>
                  <w:marBottom w:val="0"/>
                  <w:divBdr>
                    <w:top w:val="none" w:sz="0" w:space="0" w:color="auto"/>
                    <w:left w:val="none" w:sz="0" w:space="0" w:color="auto"/>
                    <w:bottom w:val="none" w:sz="0" w:space="0" w:color="auto"/>
                    <w:right w:val="none" w:sz="0" w:space="0" w:color="auto"/>
                  </w:divBdr>
                  <w:divsChild>
                    <w:div w:id="2090151537">
                      <w:marLeft w:val="0"/>
                      <w:marRight w:val="0"/>
                      <w:marTop w:val="0"/>
                      <w:marBottom w:val="0"/>
                      <w:divBdr>
                        <w:top w:val="none" w:sz="0" w:space="0" w:color="auto"/>
                        <w:left w:val="none" w:sz="0" w:space="0" w:color="auto"/>
                        <w:bottom w:val="none" w:sz="0" w:space="0" w:color="auto"/>
                        <w:right w:val="none" w:sz="0" w:space="0" w:color="auto"/>
                      </w:divBdr>
                    </w:div>
                  </w:divsChild>
                </w:div>
                <w:div w:id="1248273625">
                  <w:marLeft w:val="0"/>
                  <w:marRight w:val="0"/>
                  <w:marTop w:val="0"/>
                  <w:marBottom w:val="0"/>
                  <w:divBdr>
                    <w:top w:val="none" w:sz="0" w:space="0" w:color="auto"/>
                    <w:left w:val="none" w:sz="0" w:space="0" w:color="auto"/>
                    <w:bottom w:val="none" w:sz="0" w:space="0" w:color="auto"/>
                    <w:right w:val="none" w:sz="0" w:space="0" w:color="auto"/>
                  </w:divBdr>
                  <w:divsChild>
                    <w:div w:id="1117026414">
                      <w:marLeft w:val="0"/>
                      <w:marRight w:val="0"/>
                      <w:marTop w:val="0"/>
                      <w:marBottom w:val="0"/>
                      <w:divBdr>
                        <w:top w:val="none" w:sz="0" w:space="0" w:color="auto"/>
                        <w:left w:val="none" w:sz="0" w:space="0" w:color="auto"/>
                        <w:bottom w:val="none" w:sz="0" w:space="0" w:color="auto"/>
                        <w:right w:val="none" w:sz="0" w:space="0" w:color="auto"/>
                      </w:divBdr>
                    </w:div>
                  </w:divsChild>
                </w:div>
                <w:div w:id="1265961847">
                  <w:marLeft w:val="0"/>
                  <w:marRight w:val="0"/>
                  <w:marTop w:val="0"/>
                  <w:marBottom w:val="0"/>
                  <w:divBdr>
                    <w:top w:val="none" w:sz="0" w:space="0" w:color="auto"/>
                    <w:left w:val="none" w:sz="0" w:space="0" w:color="auto"/>
                    <w:bottom w:val="none" w:sz="0" w:space="0" w:color="auto"/>
                    <w:right w:val="none" w:sz="0" w:space="0" w:color="auto"/>
                  </w:divBdr>
                  <w:divsChild>
                    <w:div w:id="1287159802">
                      <w:marLeft w:val="0"/>
                      <w:marRight w:val="0"/>
                      <w:marTop w:val="0"/>
                      <w:marBottom w:val="0"/>
                      <w:divBdr>
                        <w:top w:val="none" w:sz="0" w:space="0" w:color="auto"/>
                        <w:left w:val="none" w:sz="0" w:space="0" w:color="auto"/>
                        <w:bottom w:val="none" w:sz="0" w:space="0" w:color="auto"/>
                        <w:right w:val="none" w:sz="0" w:space="0" w:color="auto"/>
                      </w:divBdr>
                    </w:div>
                  </w:divsChild>
                </w:div>
                <w:div w:id="1450860743">
                  <w:marLeft w:val="0"/>
                  <w:marRight w:val="0"/>
                  <w:marTop w:val="0"/>
                  <w:marBottom w:val="0"/>
                  <w:divBdr>
                    <w:top w:val="none" w:sz="0" w:space="0" w:color="auto"/>
                    <w:left w:val="none" w:sz="0" w:space="0" w:color="auto"/>
                    <w:bottom w:val="none" w:sz="0" w:space="0" w:color="auto"/>
                    <w:right w:val="none" w:sz="0" w:space="0" w:color="auto"/>
                  </w:divBdr>
                  <w:divsChild>
                    <w:div w:id="2062091600">
                      <w:marLeft w:val="0"/>
                      <w:marRight w:val="0"/>
                      <w:marTop w:val="0"/>
                      <w:marBottom w:val="0"/>
                      <w:divBdr>
                        <w:top w:val="none" w:sz="0" w:space="0" w:color="auto"/>
                        <w:left w:val="none" w:sz="0" w:space="0" w:color="auto"/>
                        <w:bottom w:val="none" w:sz="0" w:space="0" w:color="auto"/>
                        <w:right w:val="none" w:sz="0" w:space="0" w:color="auto"/>
                      </w:divBdr>
                    </w:div>
                  </w:divsChild>
                </w:div>
                <w:div w:id="1469281581">
                  <w:marLeft w:val="0"/>
                  <w:marRight w:val="0"/>
                  <w:marTop w:val="0"/>
                  <w:marBottom w:val="0"/>
                  <w:divBdr>
                    <w:top w:val="none" w:sz="0" w:space="0" w:color="auto"/>
                    <w:left w:val="none" w:sz="0" w:space="0" w:color="auto"/>
                    <w:bottom w:val="none" w:sz="0" w:space="0" w:color="auto"/>
                    <w:right w:val="none" w:sz="0" w:space="0" w:color="auto"/>
                  </w:divBdr>
                  <w:divsChild>
                    <w:div w:id="219053270">
                      <w:marLeft w:val="0"/>
                      <w:marRight w:val="0"/>
                      <w:marTop w:val="0"/>
                      <w:marBottom w:val="0"/>
                      <w:divBdr>
                        <w:top w:val="none" w:sz="0" w:space="0" w:color="auto"/>
                        <w:left w:val="none" w:sz="0" w:space="0" w:color="auto"/>
                        <w:bottom w:val="none" w:sz="0" w:space="0" w:color="auto"/>
                        <w:right w:val="none" w:sz="0" w:space="0" w:color="auto"/>
                      </w:divBdr>
                    </w:div>
                  </w:divsChild>
                </w:div>
                <w:div w:id="1618680727">
                  <w:marLeft w:val="0"/>
                  <w:marRight w:val="0"/>
                  <w:marTop w:val="0"/>
                  <w:marBottom w:val="0"/>
                  <w:divBdr>
                    <w:top w:val="none" w:sz="0" w:space="0" w:color="auto"/>
                    <w:left w:val="none" w:sz="0" w:space="0" w:color="auto"/>
                    <w:bottom w:val="none" w:sz="0" w:space="0" w:color="auto"/>
                    <w:right w:val="none" w:sz="0" w:space="0" w:color="auto"/>
                  </w:divBdr>
                  <w:divsChild>
                    <w:div w:id="804465533">
                      <w:marLeft w:val="0"/>
                      <w:marRight w:val="0"/>
                      <w:marTop w:val="0"/>
                      <w:marBottom w:val="0"/>
                      <w:divBdr>
                        <w:top w:val="none" w:sz="0" w:space="0" w:color="auto"/>
                        <w:left w:val="none" w:sz="0" w:space="0" w:color="auto"/>
                        <w:bottom w:val="none" w:sz="0" w:space="0" w:color="auto"/>
                        <w:right w:val="none" w:sz="0" w:space="0" w:color="auto"/>
                      </w:divBdr>
                    </w:div>
                  </w:divsChild>
                </w:div>
                <w:div w:id="1722552394">
                  <w:marLeft w:val="0"/>
                  <w:marRight w:val="0"/>
                  <w:marTop w:val="0"/>
                  <w:marBottom w:val="0"/>
                  <w:divBdr>
                    <w:top w:val="none" w:sz="0" w:space="0" w:color="auto"/>
                    <w:left w:val="none" w:sz="0" w:space="0" w:color="auto"/>
                    <w:bottom w:val="none" w:sz="0" w:space="0" w:color="auto"/>
                    <w:right w:val="none" w:sz="0" w:space="0" w:color="auto"/>
                  </w:divBdr>
                  <w:divsChild>
                    <w:div w:id="1984236337">
                      <w:marLeft w:val="0"/>
                      <w:marRight w:val="0"/>
                      <w:marTop w:val="0"/>
                      <w:marBottom w:val="0"/>
                      <w:divBdr>
                        <w:top w:val="none" w:sz="0" w:space="0" w:color="auto"/>
                        <w:left w:val="none" w:sz="0" w:space="0" w:color="auto"/>
                        <w:bottom w:val="none" w:sz="0" w:space="0" w:color="auto"/>
                        <w:right w:val="none" w:sz="0" w:space="0" w:color="auto"/>
                      </w:divBdr>
                    </w:div>
                  </w:divsChild>
                </w:div>
                <w:div w:id="1875539406">
                  <w:marLeft w:val="0"/>
                  <w:marRight w:val="0"/>
                  <w:marTop w:val="0"/>
                  <w:marBottom w:val="0"/>
                  <w:divBdr>
                    <w:top w:val="none" w:sz="0" w:space="0" w:color="auto"/>
                    <w:left w:val="none" w:sz="0" w:space="0" w:color="auto"/>
                    <w:bottom w:val="none" w:sz="0" w:space="0" w:color="auto"/>
                    <w:right w:val="none" w:sz="0" w:space="0" w:color="auto"/>
                  </w:divBdr>
                  <w:divsChild>
                    <w:div w:id="404650072">
                      <w:marLeft w:val="0"/>
                      <w:marRight w:val="0"/>
                      <w:marTop w:val="0"/>
                      <w:marBottom w:val="0"/>
                      <w:divBdr>
                        <w:top w:val="none" w:sz="0" w:space="0" w:color="auto"/>
                        <w:left w:val="none" w:sz="0" w:space="0" w:color="auto"/>
                        <w:bottom w:val="none" w:sz="0" w:space="0" w:color="auto"/>
                        <w:right w:val="none" w:sz="0" w:space="0" w:color="auto"/>
                      </w:divBdr>
                    </w:div>
                  </w:divsChild>
                </w:div>
                <w:div w:id="1938097381">
                  <w:marLeft w:val="0"/>
                  <w:marRight w:val="0"/>
                  <w:marTop w:val="0"/>
                  <w:marBottom w:val="0"/>
                  <w:divBdr>
                    <w:top w:val="none" w:sz="0" w:space="0" w:color="auto"/>
                    <w:left w:val="none" w:sz="0" w:space="0" w:color="auto"/>
                    <w:bottom w:val="none" w:sz="0" w:space="0" w:color="auto"/>
                    <w:right w:val="none" w:sz="0" w:space="0" w:color="auto"/>
                  </w:divBdr>
                  <w:divsChild>
                    <w:div w:id="652686426">
                      <w:marLeft w:val="0"/>
                      <w:marRight w:val="0"/>
                      <w:marTop w:val="0"/>
                      <w:marBottom w:val="0"/>
                      <w:divBdr>
                        <w:top w:val="none" w:sz="0" w:space="0" w:color="auto"/>
                        <w:left w:val="none" w:sz="0" w:space="0" w:color="auto"/>
                        <w:bottom w:val="none" w:sz="0" w:space="0" w:color="auto"/>
                        <w:right w:val="none" w:sz="0" w:space="0" w:color="auto"/>
                      </w:divBdr>
                    </w:div>
                  </w:divsChild>
                </w:div>
                <w:div w:id="2130930756">
                  <w:marLeft w:val="0"/>
                  <w:marRight w:val="0"/>
                  <w:marTop w:val="0"/>
                  <w:marBottom w:val="0"/>
                  <w:divBdr>
                    <w:top w:val="none" w:sz="0" w:space="0" w:color="auto"/>
                    <w:left w:val="none" w:sz="0" w:space="0" w:color="auto"/>
                    <w:bottom w:val="none" w:sz="0" w:space="0" w:color="auto"/>
                    <w:right w:val="none" w:sz="0" w:space="0" w:color="auto"/>
                  </w:divBdr>
                  <w:divsChild>
                    <w:div w:id="127482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572159">
          <w:marLeft w:val="0"/>
          <w:marRight w:val="0"/>
          <w:marTop w:val="0"/>
          <w:marBottom w:val="0"/>
          <w:divBdr>
            <w:top w:val="none" w:sz="0" w:space="0" w:color="auto"/>
            <w:left w:val="none" w:sz="0" w:space="0" w:color="auto"/>
            <w:bottom w:val="none" w:sz="0" w:space="0" w:color="auto"/>
            <w:right w:val="none" w:sz="0" w:space="0" w:color="auto"/>
          </w:divBdr>
          <w:divsChild>
            <w:div w:id="176774300">
              <w:marLeft w:val="0"/>
              <w:marRight w:val="0"/>
              <w:marTop w:val="0"/>
              <w:marBottom w:val="0"/>
              <w:divBdr>
                <w:top w:val="none" w:sz="0" w:space="0" w:color="auto"/>
                <w:left w:val="none" w:sz="0" w:space="0" w:color="auto"/>
                <w:bottom w:val="none" w:sz="0" w:space="0" w:color="auto"/>
                <w:right w:val="none" w:sz="0" w:space="0" w:color="auto"/>
              </w:divBdr>
            </w:div>
            <w:div w:id="254364828">
              <w:marLeft w:val="0"/>
              <w:marRight w:val="0"/>
              <w:marTop w:val="0"/>
              <w:marBottom w:val="0"/>
              <w:divBdr>
                <w:top w:val="none" w:sz="0" w:space="0" w:color="auto"/>
                <w:left w:val="none" w:sz="0" w:space="0" w:color="auto"/>
                <w:bottom w:val="none" w:sz="0" w:space="0" w:color="auto"/>
                <w:right w:val="none" w:sz="0" w:space="0" w:color="auto"/>
              </w:divBdr>
            </w:div>
            <w:div w:id="295646662">
              <w:marLeft w:val="0"/>
              <w:marRight w:val="0"/>
              <w:marTop w:val="0"/>
              <w:marBottom w:val="0"/>
              <w:divBdr>
                <w:top w:val="none" w:sz="0" w:space="0" w:color="auto"/>
                <w:left w:val="none" w:sz="0" w:space="0" w:color="auto"/>
                <w:bottom w:val="none" w:sz="0" w:space="0" w:color="auto"/>
                <w:right w:val="none" w:sz="0" w:space="0" w:color="auto"/>
              </w:divBdr>
            </w:div>
            <w:div w:id="423690476">
              <w:marLeft w:val="0"/>
              <w:marRight w:val="0"/>
              <w:marTop w:val="0"/>
              <w:marBottom w:val="0"/>
              <w:divBdr>
                <w:top w:val="none" w:sz="0" w:space="0" w:color="auto"/>
                <w:left w:val="none" w:sz="0" w:space="0" w:color="auto"/>
                <w:bottom w:val="none" w:sz="0" w:space="0" w:color="auto"/>
                <w:right w:val="none" w:sz="0" w:space="0" w:color="auto"/>
              </w:divBdr>
            </w:div>
            <w:div w:id="502745520">
              <w:marLeft w:val="0"/>
              <w:marRight w:val="0"/>
              <w:marTop w:val="0"/>
              <w:marBottom w:val="0"/>
              <w:divBdr>
                <w:top w:val="none" w:sz="0" w:space="0" w:color="auto"/>
                <w:left w:val="none" w:sz="0" w:space="0" w:color="auto"/>
                <w:bottom w:val="none" w:sz="0" w:space="0" w:color="auto"/>
                <w:right w:val="none" w:sz="0" w:space="0" w:color="auto"/>
              </w:divBdr>
            </w:div>
            <w:div w:id="521943656">
              <w:marLeft w:val="0"/>
              <w:marRight w:val="0"/>
              <w:marTop w:val="0"/>
              <w:marBottom w:val="0"/>
              <w:divBdr>
                <w:top w:val="none" w:sz="0" w:space="0" w:color="auto"/>
                <w:left w:val="none" w:sz="0" w:space="0" w:color="auto"/>
                <w:bottom w:val="none" w:sz="0" w:space="0" w:color="auto"/>
                <w:right w:val="none" w:sz="0" w:space="0" w:color="auto"/>
              </w:divBdr>
            </w:div>
            <w:div w:id="523640560">
              <w:marLeft w:val="0"/>
              <w:marRight w:val="0"/>
              <w:marTop w:val="0"/>
              <w:marBottom w:val="0"/>
              <w:divBdr>
                <w:top w:val="none" w:sz="0" w:space="0" w:color="auto"/>
                <w:left w:val="none" w:sz="0" w:space="0" w:color="auto"/>
                <w:bottom w:val="none" w:sz="0" w:space="0" w:color="auto"/>
                <w:right w:val="none" w:sz="0" w:space="0" w:color="auto"/>
              </w:divBdr>
            </w:div>
            <w:div w:id="582691178">
              <w:marLeft w:val="0"/>
              <w:marRight w:val="0"/>
              <w:marTop w:val="0"/>
              <w:marBottom w:val="0"/>
              <w:divBdr>
                <w:top w:val="none" w:sz="0" w:space="0" w:color="auto"/>
                <w:left w:val="none" w:sz="0" w:space="0" w:color="auto"/>
                <w:bottom w:val="none" w:sz="0" w:space="0" w:color="auto"/>
                <w:right w:val="none" w:sz="0" w:space="0" w:color="auto"/>
              </w:divBdr>
            </w:div>
            <w:div w:id="751776929">
              <w:marLeft w:val="0"/>
              <w:marRight w:val="0"/>
              <w:marTop w:val="0"/>
              <w:marBottom w:val="0"/>
              <w:divBdr>
                <w:top w:val="none" w:sz="0" w:space="0" w:color="auto"/>
                <w:left w:val="none" w:sz="0" w:space="0" w:color="auto"/>
                <w:bottom w:val="none" w:sz="0" w:space="0" w:color="auto"/>
                <w:right w:val="none" w:sz="0" w:space="0" w:color="auto"/>
              </w:divBdr>
            </w:div>
            <w:div w:id="1084306191">
              <w:marLeft w:val="0"/>
              <w:marRight w:val="0"/>
              <w:marTop w:val="0"/>
              <w:marBottom w:val="0"/>
              <w:divBdr>
                <w:top w:val="none" w:sz="0" w:space="0" w:color="auto"/>
                <w:left w:val="none" w:sz="0" w:space="0" w:color="auto"/>
                <w:bottom w:val="none" w:sz="0" w:space="0" w:color="auto"/>
                <w:right w:val="none" w:sz="0" w:space="0" w:color="auto"/>
              </w:divBdr>
            </w:div>
            <w:div w:id="1245995696">
              <w:marLeft w:val="0"/>
              <w:marRight w:val="0"/>
              <w:marTop w:val="0"/>
              <w:marBottom w:val="0"/>
              <w:divBdr>
                <w:top w:val="none" w:sz="0" w:space="0" w:color="auto"/>
                <w:left w:val="none" w:sz="0" w:space="0" w:color="auto"/>
                <w:bottom w:val="none" w:sz="0" w:space="0" w:color="auto"/>
                <w:right w:val="none" w:sz="0" w:space="0" w:color="auto"/>
              </w:divBdr>
            </w:div>
            <w:div w:id="1314143745">
              <w:marLeft w:val="0"/>
              <w:marRight w:val="0"/>
              <w:marTop w:val="0"/>
              <w:marBottom w:val="0"/>
              <w:divBdr>
                <w:top w:val="none" w:sz="0" w:space="0" w:color="auto"/>
                <w:left w:val="none" w:sz="0" w:space="0" w:color="auto"/>
                <w:bottom w:val="none" w:sz="0" w:space="0" w:color="auto"/>
                <w:right w:val="none" w:sz="0" w:space="0" w:color="auto"/>
              </w:divBdr>
            </w:div>
            <w:div w:id="1318875351">
              <w:marLeft w:val="0"/>
              <w:marRight w:val="0"/>
              <w:marTop w:val="0"/>
              <w:marBottom w:val="0"/>
              <w:divBdr>
                <w:top w:val="none" w:sz="0" w:space="0" w:color="auto"/>
                <w:left w:val="none" w:sz="0" w:space="0" w:color="auto"/>
                <w:bottom w:val="none" w:sz="0" w:space="0" w:color="auto"/>
                <w:right w:val="none" w:sz="0" w:space="0" w:color="auto"/>
              </w:divBdr>
            </w:div>
            <w:div w:id="1503083754">
              <w:marLeft w:val="0"/>
              <w:marRight w:val="0"/>
              <w:marTop w:val="0"/>
              <w:marBottom w:val="0"/>
              <w:divBdr>
                <w:top w:val="none" w:sz="0" w:space="0" w:color="auto"/>
                <w:left w:val="none" w:sz="0" w:space="0" w:color="auto"/>
                <w:bottom w:val="none" w:sz="0" w:space="0" w:color="auto"/>
                <w:right w:val="none" w:sz="0" w:space="0" w:color="auto"/>
              </w:divBdr>
            </w:div>
            <w:div w:id="1536844137">
              <w:marLeft w:val="0"/>
              <w:marRight w:val="0"/>
              <w:marTop w:val="0"/>
              <w:marBottom w:val="0"/>
              <w:divBdr>
                <w:top w:val="none" w:sz="0" w:space="0" w:color="auto"/>
                <w:left w:val="none" w:sz="0" w:space="0" w:color="auto"/>
                <w:bottom w:val="none" w:sz="0" w:space="0" w:color="auto"/>
                <w:right w:val="none" w:sz="0" w:space="0" w:color="auto"/>
              </w:divBdr>
            </w:div>
            <w:div w:id="1646467289">
              <w:marLeft w:val="0"/>
              <w:marRight w:val="0"/>
              <w:marTop w:val="0"/>
              <w:marBottom w:val="0"/>
              <w:divBdr>
                <w:top w:val="none" w:sz="0" w:space="0" w:color="auto"/>
                <w:left w:val="none" w:sz="0" w:space="0" w:color="auto"/>
                <w:bottom w:val="none" w:sz="0" w:space="0" w:color="auto"/>
                <w:right w:val="none" w:sz="0" w:space="0" w:color="auto"/>
              </w:divBdr>
            </w:div>
            <w:div w:id="1825008134">
              <w:marLeft w:val="0"/>
              <w:marRight w:val="0"/>
              <w:marTop w:val="0"/>
              <w:marBottom w:val="0"/>
              <w:divBdr>
                <w:top w:val="none" w:sz="0" w:space="0" w:color="auto"/>
                <w:left w:val="none" w:sz="0" w:space="0" w:color="auto"/>
                <w:bottom w:val="none" w:sz="0" w:space="0" w:color="auto"/>
                <w:right w:val="none" w:sz="0" w:space="0" w:color="auto"/>
              </w:divBdr>
            </w:div>
            <w:div w:id="2088917836">
              <w:marLeft w:val="0"/>
              <w:marRight w:val="0"/>
              <w:marTop w:val="0"/>
              <w:marBottom w:val="0"/>
              <w:divBdr>
                <w:top w:val="none" w:sz="0" w:space="0" w:color="auto"/>
                <w:left w:val="none" w:sz="0" w:space="0" w:color="auto"/>
                <w:bottom w:val="none" w:sz="0" w:space="0" w:color="auto"/>
                <w:right w:val="none" w:sz="0" w:space="0" w:color="auto"/>
              </w:divBdr>
            </w:div>
            <w:div w:id="2092312205">
              <w:marLeft w:val="0"/>
              <w:marRight w:val="0"/>
              <w:marTop w:val="0"/>
              <w:marBottom w:val="0"/>
              <w:divBdr>
                <w:top w:val="none" w:sz="0" w:space="0" w:color="auto"/>
                <w:left w:val="none" w:sz="0" w:space="0" w:color="auto"/>
                <w:bottom w:val="none" w:sz="0" w:space="0" w:color="auto"/>
                <w:right w:val="none" w:sz="0" w:space="0" w:color="auto"/>
              </w:divBdr>
            </w:div>
            <w:div w:id="2109696061">
              <w:marLeft w:val="0"/>
              <w:marRight w:val="0"/>
              <w:marTop w:val="0"/>
              <w:marBottom w:val="0"/>
              <w:divBdr>
                <w:top w:val="none" w:sz="0" w:space="0" w:color="auto"/>
                <w:left w:val="none" w:sz="0" w:space="0" w:color="auto"/>
                <w:bottom w:val="none" w:sz="0" w:space="0" w:color="auto"/>
                <w:right w:val="none" w:sz="0" w:space="0" w:color="auto"/>
              </w:divBdr>
            </w:div>
          </w:divsChild>
        </w:div>
        <w:div w:id="298539689">
          <w:marLeft w:val="0"/>
          <w:marRight w:val="0"/>
          <w:marTop w:val="0"/>
          <w:marBottom w:val="0"/>
          <w:divBdr>
            <w:top w:val="none" w:sz="0" w:space="0" w:color="auto"/>
            <w:left w:val="none" w:sz="0" w:space="0" w:color="auto"/>
            <w:bottom w:val="none" w:sz="0" w:space="0" w:color="auto"/>
            <w:right w:val="none" w:sz="0" w:space="0" w:color="auto"/>
          </w:divBdr>
        </w:div>
        <w:div w:id="299530755">
          <w:marLeft w:val="0"/>
          <w:marRight w:val="0"/>
          <w:marTop w:val="0"/>
          <w:marBottom w:val="0"/>
          <w:divBdr>
            <w:top w:val="none" w:sz="0" w:space="0" w:color="auto"/>
            <w:left w:val="none" w:sz="0" w:space="0" w:color="auto"/>
            <w:bottom w:val="none" w:sz="0" w:space="0" w:color="auto"/>
            <w:right w:val="none" w:sz="0" w:space="0" w:color="auto"/>
          </w:divBdr>
        </w:div>
        <w:div w:id="330135897">
          <w:marLeft w:val="0"/>
          <w:marRight w:val="0"/>
          <w:marTop w:val="0"/>
          <w:marBottom w:val="0"/>
          <w:divBdr>
            <w:top w:val="none" w:sz="0" w:space="0" w:color="auto"/>
            <w:left w:val="none" w:sz="0" w:space="0" w:color="auto"/>
            <w:bottom w:val="none" w:sz="0" w:space="0" w:color="auto"/>
            <w:right w:val="none" w:sz="0" w:space="0" w:color="auto"/>
          </w:divBdr>
        </w:div>
        <w:div w:id="333802722">
          <w:marLeft w:val="0"/>
          <w:marRight w:val="0"/>
          <w:marTop w:val="0"/>
          <w:marBottom w:val="0"/>
          <w:divBdr>
            <w:top w:val="none" w:sz="0" w:space="0" w:color="auto"/>
            <w:left w:val="none" w:sz="0" w:space="0" w:color="auto"/>
            <w:bottom w:val="none" w:sz="0" w:space="0" w:color="auto"/>
            <w:right w:val="none" w:sz="0" w:space="0" w:color="auto"/>
          </w:divBdr>
        </w:div>
        <w:div w:id="335888973">
          <w:marLeft w:val="0"/>
          <w:marRight w:val="0"/>
          <w:marTop w:val="0"/>
          <w:marBottom w:val="0"/>
          <w:divBdr>
            <w:top w:val="none" w:sz="0" w:space="0" w:color="auto"/>
            <w:left w:val="none" w:sz="0" w:space="0" w:color="auto"/>
            <w:bottom w:val="none" w:sz="0" w:space="0" w:color="auto"/>
            <w:right w:val="none" w:sz="0" w:space="0" w:color="auto"/>
          </w:divBdr>
        </w:div>
        <w:div w:id="338849668">
          <w:marLeft w:val="0"/>
          <w:marRight w:val="0"/>
          <w:marTop w:val="0"/>
          <w:marBottom w:val="0"/>
          <w:divBdr>
            <w:top w:val="none" w:sz="0" w:space="0" w:color="auto"/>
            <w:left w:val="none" w:sz="0" w:space="0" w:color="auto"/>
            <w:bottom w:val="none" w:sz="0" w:space="0" w:color="auto"/>
            <w:right w:val="none" w:sz="0" w:space="0" w:color="auto"/>
          </w:divBdr>
        </w:div>
        <w:div w:id="346709783">
          <w:marLeft w:val="0"/>
          <w:marRight w:val="0"/>
          <w:marTop w:val="0"/>
          <w:marBottom w:val="0"/>
          <w:divBdr>
            <w:top w:val="none" w:sz="0" w:space="0" w:color="auto"/>
            <w:left w:val="none" w:sz="0" w:space="0" w:color="auto"/>
            <w:bottom w:val="none" w:sz="0" w:space="0" w:color="auto"/>
            <w:right w:val="none" w:sz="0" w:space="0" w:color="auto"/>
          </w:divBdr>
        </w:div>
        <w:div w:id="354353760">
          <w:marLeft w:val="0"/>
          <w:marRight w:val="0"/>
          <w:marTop w:val="0"/>
          <w:marBottom w:val="0"/>
          <w:divBdr>
            <w:top w:val="none" w:sz="0" w:space="0" w:color="auto"/>
            <w:left w:val="none" w:sz="0" w:space="0" w:color="auto"/>
            <w:bottom w:val="none" w:sz="0" w:space="0" w:color="auto"/>
            <w:right w:val="none" w:sz="0" w:space="0" w:color="auto"/>
          </w:divBdr>
        </w:div>
        <w:div w:id="358237634">
          <w:marLeft w:val="0"/>
          <w:marRight w:val="0"/>
          <w:marTop w:val="0"/>
          <w:marBottom w:val="0"/>
          <w:divBdr>
            <w:top w:val="none" w:sz="0" w:space="0" w:color="auto"/>
            <w:left w:val="none" w:sz="0" w:space="0" w:color="auto"/>
            <w:bottom w:val="none" w:sz="0" w:space="0" w:color="auto"/>
            <w:right w:val="none" w:sz="0" w:space="0" w:color="auto"/>
          </w:divBdr>
        </w:div>
        <w:div w:id="363293073">
          <w:marLeft w:val="0"/>
          <w:marRight w:val="0"/>
          <w:marTop w:val="0"/>
          <w:marBottom w:val="0"/>
          <w:divBdr>
            <w:top w:val="none" w:sz="0" w:space="0" w:color="auto"/>
            <w:left w:val="none" w:sz="0" w:space="0" w:color="auto"/>
            <w:bottom w:val="none" w:sz="0" w:space="0" w:color="auto"/>
            <w:right w:val="none" w:sz="0" w:space="0" w:color="auto"/>
          </w:divBdr>
        </w:div>
        <w:div w:id="393313041">
          <w:marLeft w:val="0"/>
          <w:marRight w:val="0"/>
          <w:marTop w:val="0"/>
          <w:marBottom w:val="0"/>
          <w:divBdr>
            <w:top w:val="none" w:sz="0" w:space="0" w:color="auto"/>
            <w:left w:val="none" w:sz="0" w:space="0" w:color="auto"/>
            <w:bottom w:val="none" w:sz="0" w:space="0" w:color="auto"/>
            <w:right w:val="none" w:sz="0" w:space="0" w:color="auto"/>
          </w:divBdr>
        </w:div>
        <w:div w:id="394352773">
          <w:marLeft w:val="0"/>
          <w:marRight w:val="0"/>
          <w:marTop w:val="0"/>
          <w:marBottom w:val="0"/>
          <w:divBdr>
            <w:top w:val="none" w:sz="0" w:space="0" w:color="auto"/>
            <w:left w:val="none" w:sz="0" w:space="0" w:color="auto"/>
            <w:bottom w:val="none" w:sz="0" w:space="0" w:color="auto"/>
            <w:right w:val="none" w:sz="0" w:space="0" w:color="auto"/>
          </w:divBdr>
        </w:div>
        <w:div w:id="398942111">
          <w:marLeft w:val="0"/>
          <w:marRight w:val="0"/>
          <w:marTop w:val="0"/>
          <w:marBottom w:val="0"/>
          <w:divBdr>
            <w:top w:val="none" w:sz="0" w:space="0" w:color="auto"/>
            <w:left w:val="none" w:sz="0" w:space="0" w:color="auto"/>
            <w:bottom w:val="none" w:sz="0" w:space="0" w:color="auto"/>
            <w:right w:val="none" w:sz="0" w:space="0" w:color="auto"/>
          </w:divBdr>
        </w:div>
        <w:div w:id="399796320">
          <w:marLeft w:val="0"/>
          <w:marRight w:val="0"/>
          <w:marTop w:val="0"/>
          <w:marBottom w:val="0"/>
          <w:divBdr>
            <w:top w:val="none" w:sz="0" w:space="0" w:color="auto"/>
            <w:left w:val="none" w:sz="0" w:space="0" w:color="auto"/>
            <w:bottom w:val="none" w:sz="0" w:space="0" w:color="auto"/>
            <w:right w:val="none" w:sz="0" w:space="0" w:color="auto"/>
          </w:divBdr>
        </w:div>
        <w:div w:id="426927128">
          <w:marLeft w:val="0"/>
          <w:marRight w:val="0"/>
          <w:marTop w:val="0"/>
          <w:marBottom w:val="0"/>
          <w:divBdr>
            <w:top w:val="none" w:sz="0" w:space="0" w:color="auto"/>
            <w:left w:val="none" w:sz="0" w:space="0" w:color="auto"/>
            <w:bottom w:val="none" w:sz="0" w:space="0" w:color="auto"/>
            <w:right w:val="none" w:sz="0" w:space="0" w:color="auto"/>
          </w:divBdr>
        </w:div>
        <w:div w:id="458913959">
          <w:marLeft w:val="0"/>
          <w:marRight w:val="0"/>
          <w:marTop w:val="0"/>
          <w:marBottom w:val="0"/>
          <w:divBdr>
            <w:top w:val="none" w:sz="0" w:space="0" w:color="auto"/>
            <w:left w:val="none" w:sz="0" w:space="0" w:color="auto"/>
            <w:bottom w:val="none" w:sz="0" w:space="0" w:color="auto"/>
            <w:right w:val="none" w:sz="0" w:space="0" w:color="auto"/>
          </w:divBdr>
          <w:divsChild>
            <w:div w:id="670740">
              <w:marLeft w:val="0"/>
              <w:marRight w:val="0"/>
              <w:marTop w:val="0"/>
              <w:marBottom w:val="0"/>
              <w:divBdr>
                <w:top w:val="none" w:sz="0" w:space="0" w:color="auto"/>
                <w:left w:val="none" w:sz="0" w:space="0" w:color="auto"/>
                <w:bottom w:val="none" w:sz="0" w:space="0" w:color="auto"/>
                <w:right w:val="none" w:sz="0" w:space="0" w:color="auto"/>
              </w:divBdr>
            </w:div>
            <w:div w:id="27490422">
              <w:marLeft w:val="0"/>
              <w:marRight w:val="0"/>
              <w:marTop w:val="0"/>
              <w:marBottom w:val="0"/>
              <w:divBdr>
                <w:top w:val="none" w:sz="0" w:space="0" w:color="auto"/>
                <w:left w:val="none" w:sz="0" w:space="0" w:color="auto"/>
                <w:bottom w:val="none" w:sz="0" w:space="0" w:color="auto"/>
                <w:right w:val="none" w:sz="0" w:space="0" w:color="auto"/>
              </w:divBdr>
            </w:div>
            <w:div w:id="121269137">
              <w:marLeft w:val="0"/>
              <w:marRight w:val="0"/>
              <w:marTop w:val="0"/>
              <w:marBottom w:val="0"/>
              <w:divBdr>
                <w:top w:val="none" w:sz="0" w:space="0" w:color="auto"/>
                <w:left w:val="none" w:sz="0" w:space="0" w:color="auto"/>
                <w:bottom w:val="none" w:sz="0" w:space="0" w:color="auto"/>
                <w:right w:val="none" w:sz="0" w:space="0" w:color="auto"/>
              </w:divBdr>
            </w:div>
            <w:div w:id="210575317">
              <w:marLeft w:val="0"/>
              <w:marRight w:val="0"/>
              <w:marTop w:val="0"/>
              <w:marBottom w:val="0"/>
              <w:divBdr>
                <w:top w:val="none" w:sz="0" w:space="0" w:color="auto"/>
                <w:left w:val="none" w:sz="0" w:space="0" w:color="auto"/>
                <w:bottom w:val="none" w:sz="0" w:space="0" w:color="auto"/>
                <w:right w:val="none" w:sz="0" w:space="0" w:color="auto"/>
              </w:divBdr>
            </w:div>
            <w:div w:id="295529160">
              <w:marLeft w:val="0"/>
              <w:marRight w:val="0"/>
              <w:marTop w:val="0"/>
              <w:marBottom w:val="0"/>
              <w:divBdr>
                <w:top w:val="none" w:sz="0" w:space="0" w:color="auto"/>
                <w:left w:val="none" w:sz="0" w:space="0" w:color="auto"/>
                <w:bottom w:val="none" w:sz="0" w:space="0" w:color="auto"/>
                <w:right w:val="none" w:sz="0" w:space="0" w:color="auto"/>
              </w:divBdr>
            </w:div>
            <w:div w:id="303505741">
              <w:marLeft w:val="0"/>
              <w:marRight w:val="0"/>
              <w:marTop w:val="0"/>
              <w:marBottom w:val="0"/>
              <w:divBdr>
                <w:top w:val="none" w:sz="0" w:space="0" w:color="auto"/>
                <w:left w:val="none" w:sz="0" w:space="0" w:color="auto"/>
                <w:bottom w:val="none" w:sz="0" w:space="0" w:color="auto"/>
                <w:right w:val="none" w:sz="0" w:space="0" w:color="auto"/>
              </w:divBdr>
            </w:div>
            <w:div w:id="316761029">
              <w:marLeft w:val="0"/>
              <w:marRight w:val="0"/>
              <w:marTop w:val="0"/>
              <w:marBottom w:val="0"/>
              <w:divBdr>
                <w:top w:val="none" w:sz="0" w:space="0" w:color="auto"/>
                <w:left w:val="none" w:sz="0" w:space="0" w:color="auto"/>
                <w:bottom w:val="none" w:sz="0" w:space="0" w:color="auto"/>
                <w:right w:val="none" w:sz="0" w:space="0" w:color="auto"/>
              </w:divBdr>
            </w:div>
            <w:div w:id="436142144">
              <w:marLeft w:val="0"/>
              <w:marRight w:val="0"/>
              <w:marTop w:val="0"/>
              <w:marBottom w:val="0"/>
              <w:divBdr>
                <w:top w:val="none" w:sz="0" w:space="0" w:color="auto"/>
                <w:left w:val="none" w:sz="0" w:space="0" w:color="auto"/>
                <w:bottom w:val="none" w:sz="0" w:space="0" w:color="auto"/>
                <w:right w:val="none" w:sz="0" w:space="0" w:color="auto"/>
              </w:divBdr>
            </w:div>
            <w:div w:id="634409953">
              <w:marLeft w:val="0"/>
              <w:marRight w:val="0"/>
              <w:marTop w:val="0"/>
              <w:marBottom w:val="0"/>
              <w:divBdr>
                <w:top w:val="none" w:sz="0" w:space="0" w:color="auto"/>
                <w:left w:val="none" w:sz="0" w:space="0" w:color="auto"/>
                <w:bottom w:val="none" w:sz="0" w:space="0" w:color="auto"/>
                <w:right w:val="none" w:sz="0" w:space="0" w:color="auto"/>
              </w:divBdr>
            </w:div>
            <w:div w:id="638263555">
              <w:marLeft w:val="0"/>
              <w:marRight w:val="0"/>
              <w:marTop w:val="0"/>
              <w:marBottom w:val="0"/>
              <w:divBdr>
                <w:top w:val="none" w:sz="0" w:space="0" w:color="auto"/>
                <w:left w:val="none" w:sz="0" w:space="0" w:color="auto"/>
                <w:bottom w:val="none" w:sz="0" w:space="0" w:color="auto"/>
                <w:right w:val="none" w:sz="0" w:space="0" w:color="auto"/>
              </w:divBdr>
            </w:div>
            <w:div w:id="665668835">
              <w:marLeft w:val="0"/>
              <w:marRight w:val="0"/>
              <w:marTop w:val="0"/>
              <w:marBottom w:val="0"/>
              <w:divBdr>
                <w:top w:val="none" w:sz="0" w:space="0" w:color="auto"/>
                <w:left w:val="none" w:sz="0" w:space="0" w:color="auto"/>
                <w:bottom w:val="none" w:sz="0" w:space="0" w:color="auto"/>
                <w:right w:val="none" w:sz="0" w:space="0" w:color="auto"/>
              </w:divBdr>
            </w:div>
            <w:div w:id="790132376">
              <w:marLeft w:val="0"/>
              <w:marRight w:val="0"/>
              <w:marTop w:val="0"/>
              <w:marBottom w:val="0"/>
              <w:divBdr>
                <w:top w:val="none" w:sz="0" w:space="0" w:color="auto"/>
                <w:left w:val="none" w:sz="0" w:space="0" w:color="auto"/>
                <w:bottom w:val="none" w:sz="0" w:space="0" w:color="auto"/>
                <w:right w:val="none" w:sz="0" w:space="0" w:color="auto"/>
              </w:divBdr>
            </w:div>
            <w:div w:id="1076054535">
              <w:marLeft w:val="0"/>
              <w:marRight w:val="0"/>
              <w:marTop w:val="0"/>
              <w:marBottom w:val="0"/>
              <w:divBdr>
                <w:top w:val="none" w:sz="0" w:space="0" w:color="auto"/>
                <w:left w:val="none" w:sz="0" w:space="0" w:color="auto"/>
                <w:bottom w:val="none" w:sz="0" w:space="0" w:color="auto"/>
                <w:right w:val="none" w:sz="0" w:space="0" w:color="auto"/>
              </w:divBdr>
            </w:div>
            <w:div w:id="1167593428">
              <w:marLeft w:val="0"/>
              <w:marRight w:val="0"/>
              <w:marTop w:val="0"/>
              <w:marBottom w:val="0"/>
              <w:divBdr>
                <w:top w:val="none" w:sz="0" w:space="0" w:color="auto"/>
                <w:left w:val="none" w:sz="0" w:space="0" w:color="auto"/>
                <w:bottom w:val="none" w:sz="0" w:space="0" w:color="auto"/>
                <w:right w:val="none" w:sz="0" w:space="0" w:color="auto"/>
              </w:divBdr>
            </w:div>
            <w:div w:id="1176000340">
              <w:marLeft w:val="0"/>
              <w:marRight w:val="0"/>
              <w:marTop w:val="0"/>
              <w:marBottom w:val="0"/>
              <w:divBdr>
                <w:top w:val="none" w:sz="0" w:space="0" w:color="auto"/>
                <w:left w:val="none" w:sz="0" w:space="0" w:color="auto"/>
                <w:bottom w:val="none" w:sz="0" w:space="0" w:color="auto"/>
                <w:right w:val="none" w:sz="0" w:space="0" w:color="auto"/>
              </w:divBdr>
            </w:div>
            <w:div w:id="1300450580">
              <w:marLeft w:val="0"/>
              <w:marRight w:val="0"/>
              <w:marTop w:val="0"/>
              <w:marBottom w:val="0"/>
              <w:divBdr>
                <w:top w:val="none" w:sz="0" w:space="0" w:color="auto"/>
                <w:left w:val="none" w:sz="0" w:space="0" w:color="auto"/>
                <w:bottom w:val="none" w:sz="0" w:space="0" w:color="auto"/>
                <w:right w:val="none" w:sz="0" w:space="0" w:color="auto"/>
              </w:divBdr>
            </w:div>
            <w:div w:id="1337883337">
              <w:marLeft w:val="0"/>
              <w:marRight w:val="0"/>
              <w:marTop w:val="0"/>
              <w:marBottom w:val="0"/>
              <w:divBdr>
                <w:top w:val="none" w:sz="0" w:space="0" w:color="auto"/>
                <w:left w:val="none" w:sz="0" w:space="0" w:color="auto"/>
                <w:bottom w:val="none" w:sz="0" w:space="0" w:color="auto"/>
                <w:right w:val="none" w:sz="0" w:space="0" w:color="auto"/>
              </w:divBdr>
            </w:div>
            <w:div w:id="1729378042">
              <w:marLeft w:val="0"/>
              <w:marRight w:val="0"/>
              <w:marTop w:val="0"/>
              <w:marBottom w:val="0"/>
              <w:divBdr>
                <w:top w:val="none" w:sz="0" w:space="0" w:color="auto"/>
                <w:left w:val="none" w:sz="0" w:space="0" w:color="auto"/>
                <w:bottom w:val="none" w:sz="0" w:space="0" w:color="auto"/>
                <w:right w:val="none" w:sz="0" w:space="0" w:color="auto"/>
              </w:divBdr>
            </w:div>
            <w:div w:id="2026860992">
              <w:marLeft w:val="0"/>
              <w:marRight w:val="0"/>
              <w:marTop w:val="0"/>
              <w:marBottom w:val="0"/>
              <w:divBdr>
                <w:top w:val="none" w:sz="0" w:space="0" w:color="auto"/>
                <w:left w:val="none" w:sz="0" w:space="0" w:color="auto"/>
                <w:bottom w:val="none" w:sz="0" w:space="0" w:color="auto"/>
                <w:right w:val="none" w:sz="0" w:space="0" w:color="auto"/>
              </w:divBdr>
            </w:div>
          </w:divsChild>
        </w:div>
        <w:div w:id="462815362">
          <w:marLeft w:val="0"/>
          <w:marRight w:val="0"/>
          <w:marTop w:val="0"/>
          <w:marBottom w:val="0"/>
          <w:divBdr>
            <w:top w:val="none" w:sz="0" w:space="0" w:color="auto"/>
            <w:left w:val="none" w:sz="0" w:space="0" w:color="auto"/>
            <w:bottom w:val="none" w:sz="0" w:space="0" w:color="auto"/>
            <w:right w:val="none" w:sz="0" w:space="0" w:color="auto"/>
          </w:divBdr>
        </w:div>
        <w:div w:id="473912288">
          <w:marLeft w:val="0"/>
          <w:marRight w:val="0"/>
          <w:marTop w:val="0"/>
          <w:marBottom w:val="0"/>
          <w:divBdr>
            <w:top w:val="none" w:sz="0" w:space="0" w:color="auto"/>
            <w:left w:val="none" w:sz="0" w:space="0" w:color="auto"/>
            <w:bottom w:val="none" w:sz="0" w:space="0" w:color="auto"/>
            <w:right w:val="none" w:sz="0" w:space="0" w:color="auto"/>
          </w:divBdr>
        </w:div>
        <w:div w:id="478040462">
          <w:marLeft w:val="0"/>
          <w:marRight w:val="0"/>
          <w:marTop w:val="0"/>
          <w:marBottom w:val="0"/>
          <w:divBdr>
            <w:top w:val="none" w:sz="0" w:space="0" w:color="auto"/>
            <w:left w:val="none" w:sz="0" w:space="0" w:color="auto"/>
            <w:bottom w:val="none" w:sz="0" w:space="0" w:color="auto"/>
            <w:right w:val="none" w:sz="0" w:space="0" w:color="auto"/>
          </w:divBdr>
        </w:div>
        <w:div w:id="481584048">
          <w:marLeft w:val="0"/>
          <w:marRight w:val="0"/>
          <w:marTop w:val="0"/>
          <w:marBottom w:val="0"/>
          <w:divBdr>
            <w:top w:val="none" w:sz="0" w:space="0" w:color="auto"/>
            <w:left w:val="none" w:sz="0" w:space="0" w:color="auto"/>
            <w:bottom w:val="none" w:sz="0" w:space="0" w:color="auto"/>
            <w:right w:val="none" w:sz="0" w:space="0" w:color="auto"/>
          </w:divBdr>
        </w:div>
        <w:div w:id="487211316">
          <w:marLeft w:val="0"/>
          <w:marRight w:val="0"/>
          <w:marTop w:val="0"/>
          <w:marBottom w:val="0"/>
          <w:divBdr>
            <w:top w:val="none" w:sz="0" w:space="0" w:color="auto"/>
            <w:left w:val="none" w:sz="0" w:space="0" w:color="auto"/>
            <w:bottom w:val="none" w:sz="0" w:space="0" w:color="auto"/>
            <w:right w:val="none" w:sz="0" w:space="0" w:color="auto"/>
          </w:divBdr>
        </w:div>
        <w:div w:id="509298319">
          <w:marLeft w:val="0"/>
          <w:marRight w:val="0"/>
          <w:marTop w:val="0"/>
          <w:marBottom w:val="0"/>
          <w:divBdr>
            <w:top w:val="none" w:sz="0" w:space="0" w:color="auto"/>
            <w:left w:val="none" w:sz="0" w:space="0" w:color="auto"/>
            <w:bottom w:val="none" w:sz="0" w:space="0" w:color="auto"/>
            <w:right w:val="none" w:sz="0" w:space="0" w:color="auto"/>
          </w:divBdr>
        </w:div>
        <w:div w:id="520700193">
          <w:marLeft w:val="0"/>
          <w:marRight w:val="0"/>
          <w:marTop w:val="0"/>
          <w:marBottom w:val="0"/>
          <w:divBdr>
            <w:top w:val="none" w:sz="0" w:space="0" w:color="auto"/>
            <w:left w:val="none" w:sz="0" w:space="0" w:color="auto"/>
            <w:bottom w:val="none" w:sz="0" w:space="0" w:color="auto"/>
            <w:right w:val="none" w:sz="0" w:space="0" w:color="auto"/>
          </w:divBdr>
        </w:div>
        <w:div w:id="525486404">
          <w:marLeft w:val="0"/>
          <w:marRight w:val="0"/>
          <w:marTop w:val="0"/>
          <w:marBottom w:val="0"/>
          <w:divBdr>
            <w:top w:val="none" w:sz="0" w:space="0" w:color="auto"/>
            <w:left w:val="none" w:sz="0" w:space="0" w:color="auto"/>
            <w:bottom w:val="none" w:sz="0" w:space="0" w:color="auto"/>
            <w:right w:val="none" w:sz="0" w:space="0" w:color="auto"/>
          </w:divBdr>
        </w:div>
        <w:div w:id="530459538">
          <w:marLeft w:val="0"/>
          <w:marRight w:val="0"/>
          <w:marTop w:val="0"/>
          <w:marBottom w:val="0"/>
          <w:divBdr>
            <w:top w:val="none" w:sz="0" w:space="0" w:color="auto"/>
            <w:left w:val="none" w:sz="0" w:space="0" w:color="auto"/>
            <w:bottom w:val="none" w:sz="0" w:space="0" w:color="auto"/>
            <w:right w:val="none" w:sz="0" w:space="0" w:color="auto"/>
          </w:divBdr>
        </w:div>
        <w:div w:id="543106936">
          <w:marLeft w:val="0"/>
          <w:marRight w:val="0"/>
          <w:marTop w:val="0"/>
          <w:marBottom w:val="0"/>
          <w:divBdr>
            <w:top w:val="none" w:sz="0" w:space="0" w:color="auto"/>
            <w:left w:val="none" w:sz="0" w:space="0" w:color="auto"/>
            <w:bottom w:val="none" w:sz="0" w:space="0" w:color="auto"/>
            <w:right w:val="none" w:sz="0" w:space="0" w:color="auto"/>
          </w:divBdr>
        </w:div>
        <w:div w:id="544171894">
          <w:marLeft w:val="0"/>
          <w:marRight w:val="0"/>
          <w:marTop w:val="0"/>
          <w:marBottom w:val="0"/>
          <w:divBdr>
            <w:top w:val="none" w:sz="0" w:space="0" w:color="auto"/>
            <w:left w:val="none" w:sz="0" w:space="0" w:color="auto"/>
            <w:bottom w:val="none" w:sz="0" w:space="0" w:color="auto"/>
            <w:right w:val="none" w:sz="0" w:space="0" w:color="auto"/>
          </w:divBdr>
        </w:div>
        <w:div w:id="547227088">
          <w:marLeft w:val="0"/>
          <w:marRight w:val="0"/>
          <w:marTop w:val="0"/>
          <w:marBottom w:val="0"/>
          <w:divBdr>
            <w:top w:val="none" w:sz="0" w:space="0" w:color="auto"/>
            <w:left w:val="none" w:sz="0" w:space="0" w:color="auto"/>
            <w:bottom w:val="none" w:sz="0" w:space="0" w:color="auto"/>
            <w:right w:val="none" w:sz="0" w:space="0" w:color="auto"/>
          </w:divBdr>
        </w:div>
        <w:div w:id="563754849">
          <w:marLeft w:val="0"/>
          <w:marRight w:val="0"/>
          <w:marTop w:val="0"/>
          <w:marBottom w:val="0"/>
          <w:divBdr>
            <w:top w:val="none" w:sz="0" w:space="0" w:color="auto"/>
            <w:left w:val="none" w:sz="0" w:space="0" w:color="auto"/>
            <w:bottom w:val="none" w:sz="0" w:space="0" w:color="auto"/>
            <w:right w:val="none" w:sz="0" w:space="0" w:color="auto"/>
          </w:divBdr>
        </w:div>
        <w:div w:id="570384280">
          <w:marLeft w:val="0"/>
          <w:marRight w:val="0"/>
          <w:marTop w:val="0"/>
          <w:marBottom w:val="0"/>
          <w:divBdr>
            <w:top w:val="none" w:sz="0" w:space="0" w:color="auto"/>
            <w:left w:val="none" w:sz="0" w:space="0" w:color="auto"/>
            <w:bottom w:val="none" w:sz="0" w:space="0" w:color="auto"/>
            <w:right w:val="none" w:sz="0" w:space="0" w:color="auto"/>
          </w:divBdr>
        </w:div>
        <w:div w:id="577327318">
          <w:marLeft w:val="0"/>
          <w:marRight w:val="0"/>
          <w:marTop w:val="0"/>
          <w:marBottom w:val="0"/>
          <w:divBdr>
            <w:top w:val="none" w:sz="0" w:space="0" w:color="auto"/>
            <w:left w:val="none" w:sz="0" w:space="0" w:color="auto"/>
            <w:bottom w:val="none" w:sz="0" w:space="0" w:color="auto"/>
            <w:right w:val="none" w:sz="0" w:space="0" w:color="auto"/>
          </w:divBdr>
        </w:div>
        <w:div w:id="584800243">
          <w:marLeft w:val="0"/>
          <w:marRight w:val="0"/>
          <w:marTop w:val="0"/>
          <w:marBottom w:val="0"/>
          <w:divBdr>
            <w:top w:val="none" w:sz="0" w:space="0" w:color="auto"/>
            <w:left w:val="none" w:sz="0" w:space="0" w:color="auto"/>
            <w:bottom w:val="none" w:sz="0" w:space="0" w:color="auto"/>
            <w:right w:val="none" w:sz="0" w:space="0" w:color="auto"/>
          </w:divBdr>
        </w:div>
        <w:div w:id="597716958">
          <w:marLeft w:val="0"/>
          <w:marRight w:val="0"/>
          <w:marTop w:val="0"/>
          <w:marBottom w:val="0"/>
          <w:divBdr>
            <w:top w:val="none" w:sz="0" w:space="0" w:color="auto"/>
            <w:left w:val="none" w:sz="0" w:space="0" w:color="auto"/>
            <w:bottom w:val="none" w:sz="0" w:space="0" w:color="auto"/>
            <w:right w:val="none" w:sz="0" w:space="0" w:color="auto"/>
          </w:divBdr>
        </w:div>
        <w:div w:id="628703805">
          <w:marLeft w:val="0"/>
          <w:marRight w:val="0"/>
          <w:marTop w:val="0"/>
          <w:marBottom w:val="0"/>
          <w:divBdr>
            <w:top w:val="none" w:sz="0" w:space="0" w:color="auto"/>
            <w:left w:val="none" w:sz="0" w:space="0" w:color="auto"/>
            <w:bottom w:val="none" w:sz="0" w:space="0" w:color="auto"/>
            <w:right w:val="none" w:sz="0" w:space="0" w:color="auto"/>
          </w:divBdr>
        </w:div>
        <w:div w:id="646672018">
          <w:marLeft w:val="0"/>
          <w:marRight w:val="0"/>
          <w:marTop w:val="0"/>
          <w:marBottom w:val="0"/>
          <w:divBdr>
            <w:top w:val="none" w:sz="0" w:space="0" w:color="auto"/>
            <w:left w:val="none" w:sz="0" w:space="0" w:color="auto"/>
            <w:bottom w:val="none" w:sz="0" w:space="0" w:color="auto"/>
            <w:right w:val="none" w:sz="0" w:space="0" w:color="auto"/>
          </w:divBdr>
        </w:div>
        <w:div w:id="650602018">
          <w:marLeft w:val="0"/>
          <w:marRight w:val="0"/>
          <w:marTop w:val="0"/>
          <w:marBottom w:val="0"/>
          <w:divBdr>
            <w:top w:val="none" w:sz="0" w:space="0" w:color="auto"/>
            <w:left w:val="none" w:sz="0" w:space="0" w:color="auto"/>
            <w:bottom w:val="none" w:sz="0" w:space="0" w:color="auto"/>
            <w:right w:val="none" w:sz="0" w:space="0" w:color="auto"/>
          </w:divBdr>
        </w:div>
        <w:div w:id="679700138">
          <w:marLeft w:val="0"/>
          <w:marRight w:val="0"/>
          <w:marTop w:val="0"/>
          <w:marBottom w:val="0"/>
          <w:divBdr>
            <w:top w:val="none" w:sz="0" w:space="0" w:color="auto"/>
            <w:left w:val="none" w:sz="0" w:space="0" w:color="auto"/>
            <w:bottom w:val="none" w:sz="0" w:space="0" w:color="auto"/>
            <w:right w:val="none" w:sz="0" w:space="0" w:color="auto"/>
          </w:divBdr>
        </w:div>
        <w:div w:id="689452345">
          <w:marLeft w:val="0"/>
          <w:marRight w:val="0"/>
          <w:marTop w:val="0"/>
          <w:marBottom w:val="0"/>
          <w:divBdr>
            <w:top w:val="none" w:sz="0" w:space="0" w:color="auto"/>
            <w:left w:val="none" w:sz="0" w:space="0" w:color="auto"/>
            <w:bottom w:val="none" w:sz="0" w:space="0" w:color="auto"/>
            <w:right w:val="none" w:sz="0" w:space="0" w:color="auto"/>
          </w:divBdr>
        </w:div>
        <w:div w:id="694429555">
          <w:marLeft w:val="0"/>
          <w:marRight w:val="0"/>
          <w:marTop w:val="0"/>
          <w:marBottom w:val="0"/>
          <w:divBdr>
            <w:top w:val="none" w:sz="0" w:space="0" w:color="auto"/>
            <w:left w:val="none" w:sz="0" w:space="0" w:color="auto"/>
            <w:bottom w:val="none" w:sz="0" w:space="0" w:color="auto"/>
            <w:right w:val="none" w:sz="0" w:space="0" w:color="auto"/>
          </w:divBdr>
        </w:div>
        <w:div w:id="714736794">
          <w:marLeft w:val="0"/>
          <w:marRight w:val="0"/>
          <w:marTop w:val="0"/>
          <w:marBottom w:val="0"/>
          <w:divBdr>
            <w:top w:val="none" w:sz="0" w:space="0" w:color="auto"/>
            <w:left w:val="none" w:sz="0" w:space="0" w:color="auto"/>
            <w:bottom w:val="none" w:sz="0" w:space="0" w:color="auto"/>
            <w:right w:val="none" w:sz="0" w:space="0" w:color="auto"/>
          </w:divBdr>
        </w:div>
        <w:div w:id="716198522">
          <w:marLeft w:val="0"/>
          <w:marRight w:val="0"/>
          <w:marTop w:val="0"/>
          <w:marBottom w:val="0"/>
          <w:divBdr>
            <w:top w:val="none" w:sz="0" w:space="0" w:color="auto"/>
            <w:left w:val="none" w:sz="0" w:space="0" w:color="auto"/>
            <w:bottom w:val="none" w:sz="0" w:space="0" w:color="auto"/>
            <w:right w:val="none" w:sz="0" w:space="0" w:color="auto"/>
          </w:divBdr>
        </w:div>
        <w:div w:id="720789876">
          <w:marLeft w:val="0"/>
          <w:marRight w:val="0"/>
          <w:marTop w:val="0"/>
          <w:marBottom w:val="0"/>
          <w:divBdr>
            <w:top w:val="none" w:sz="0" w:space="0" w:color="auto"/>
            <w:left w:val="none" w:sz="0" w:space="0" w:color="auto"/>
            <w:bottom w:val="none" w:sz="0" w:space="0" w:color="auto"/>
            <w:right w:val="none" w:sz="0" w:space="0" w:color="auto"/>
          </w:divBdr>
        </w:div>
        <w:div w:id="730924747">
          <w:marLeft w:val="0"/>
          <w:marRight w:val="0"/>
          <w:marTop w:val="0"/>
          <w:marBottom w:val="0"/>
          <w:divBdr>
            <w:top w:val="none" w:sz="0" w:space="0" w:color="auto"/>
            <w:left w:val="none" w:sz="0" w:space="0" w:color="auto"/>
            <w:bottom w:val="none" w:sz="0" w:space="0" w:color="auto"/>
            <w:right w:val="none" w:sz="0" w:space="0" w:color="auto"/>
          </w:divBdr>
        </w:div>
        <w:div w:id="733625312">
          <w:marLeft w:val="0"/>
          <w:marRight w:val="0"/>
          <w:marTop w:val="0"/>
          <w:marBottom w:val="0"/>
          <w:divBdr>
            <w:top w:val="none" w:sz="0" w:space="0" w:color="auto"/>
            <w:left w:val="none" w:sz="0" w:space="0" w:color="auto"/>
            <w:bottom w:val="none" w:sz="0" w:space="0" w:color="auto"/>
            <w:right w:val="none" w:sz="0" w:space="0" w:color="auto"/>
          </w:divBdr>
        </w:div>
        <w:div w:id="752554588">
          <w:marLeft w:val="0"/>
          <w:marRight w:val="0"/>
          <w:marTop w:val="0"/>
          <w:marBottom w:val="0"/>
          <w:divBdr>
            <w:top w:val="none" w:sz="0" w:space="0" w:color="auto"/>
            <w:left w:val="none" w:sz="0" w:space="0" w:color="auto"/>
            <w:bottom w:val="none" w:sz="0" w:space="0" w:color="auto"/>
            <w:right w:val="none" w:sz="0" w:space="0" w:color="auto"/>
          </w:divBdr>
        </w:div>
        <w:div w:id="752972591">
          <w:marLeft w:val="0"/>
          <w:marRight w:val="0"/>
          <w:marTop w:val="0"/>
          <w:marBottom w:val="0"/>
          <w:divBdr>
            <w:top w:val="none" w:sz="0" w:space="0" w:color="auto"/>
            <w:left w:val="none" w:sz="0" w:space="0" w:color="auto"/>
            <w:bottom w:val="none" w:sz="0" w:space="0" w:color="auto"/>
            <w:right w:val="none" w:sz="0" w:space="0" w:color="auto"/>
          </w:divBdr>
        </w:div>
        <w:div w:id="758016738">
          <w:marLeft w:val="0"/>
          <w:marRight w:val="0"/>
          <w:marTop w:val="0"/>
          <w:marBottom w:val="0"/>
          <w:divBdr>
            <w:top w:val="none" w:sz="0" w:space="0" w:color="auto"/>
            <w:left w:val="none" w:sz="0" w:space="0" w:color="auto"/>
            <w:bottom w:val="none" w:sz="0" w:space="0" w:color="auto"/>
            <w:right w:val="none" w:sz="0" w:space="0" w:color="auto"/>
          </w:divBdr>
        </w:div>
        <w:div w:id="762533745">
          <w:marLeft w:val="0"/>
          <w:marRight w:val="0"/>
          <w:marTop w:val="0"/>
          <w:marBottom w:val="0"/>
          <w:divBdr>
            <w:top w:val="none" w:sz="0" w:space="0" w:color="auto"/>
            <w:left w:val="none" w:sz="0" w:space="0" w:color="auto"/>
            <w:bottom w:val="none" w:sz="0" w:space="0" w:color="auto"/>
            <w:right w:val="none" w:sz="0" w:space="0" w:color="auto"/>
          </w:divBdr>
        </w:div>
        <w:div w:id="774860768">
          <w:marLeft w:val="0"/>
          <w:marRight w:val="0"/>
          <w:marTop w:val="0"/>
          <w:marBottom w:val="0"/>
          <w:divBdr>
            <w:top w:val="none" w:sz="0" w:space="0" w:color="auto"/>
            <w:left w:val="none" w:sz="0" w:space="0" w:color="auto"/>
            <w:bottom w:val="none" w:sz="0" w:space="0" w:color="auto"/>
            <w:right w:val="none" w:sz="0" w:space="0" w:color="auto"/>
          </w:divBdr>
        </w:div>
        <w:div w:id="777912741">
          <w:marLeft w:val="0"/>
          <w:marRight w:val="0"/>
          <w:marTop w:val="0"/>
          <w:marBottom w:val="0"/>
          <w:divBdr>
            <w:top w:val="none" w:sz="0" w:space="0" w:color="auto"/>
            <w:left w:val="none" w:sz="0" w:space="0" w:color="auto"/>
            <w:bottom w:val="none" w:sz="0" w:space="0" w:color="auto"/>
            <w:right w:val="none" w:sz="0" w:space="0" w:color="auto"/>
          </w:divBdr>
        </w:div>
        <w:div w:id="781191903">
          <w:marLeft w:val="0"/>
          <w:marRight w:val="0"/>
          <w:marTop w:val="0"/>
          <w:marBottom w:val="0"/>
          <w:divBdr>
            <w:top w:val="none" w:sz="0" w:space="0" w:color="auto"/>
            <w:left w:val="none" w:sz="0" w:space="0" w:color="auto"/>
            <w:bottom w:val="none" w:sz="0" w:space="0" w:color="auto"/>
            <w:right w:val="none" w:sz="0" w:space="0" w:color="auto"/>
          </w:divBdr>
        </w:div>
        <w:div w:id="784621835">
          <w:marLeft w:val="0"/>
          <w:marRight w:val="0"/>
          <w:marTop w:val="0"/>
          <w:marBottom w:val="0"/>
          <w:divBdr>
            <w:top w:val="none" w:sz="0" w:space="0" w:color="auto"/>
            <w:left w:val="none" w:sz="0" w:space="0" w:color="auto"/>
            <w:bottom w:val="none" w:sz="0" w:space="0" w:color="auto"/>
            <w:right w:val="none" w:sz="0" w:space="0" w:color="auto"/>
          </w:divBdr>
        </w:div>
        <w:div w:id="792019281">
          <w:marLeft w:val="0"/>
          <w:marRight w:val="0"/>
          <w:marTop w:val="0"/>
          <w:marBottom w:val="0"/>
          <w:divBdr>
            <w:top w:val="none" w:sz="0" w:space="0" w:color="auto"/>
            <w:left w:val="none" w:sz="0" w:space="0" w:color="auto"/>
            <w:bottom w:val="none" w:sz="0" w:space="0" w:color="auto"/>
            <w:right w:val="none" w:sz="0" w:space="0" w:color="auto"/>
          </w:divBdr>
        </w:div>
        <w:div w:id="794494316">
          <w:marLeft w:val="0"/>
          <w:marRight w:val="0"/>
          <w:marTop w:val="0"/>
          <w:marBottom w:val="0"/>
          <w:divBdr>
            <w:top w:val="none" w:sz="0" w:space="0" w:color="auto"/>
            <w:left w:val="none" w:sz="0" w:space="0" w:color="auto"/>
            <w:bottom w:val="none" w:sz="0" w:space="0" w:color="auto"/>
            <w:right w:val="none" w:sz="0" w:space="0" w:color="auto"/>
          </w:divBdr>
        </w:div>
        <w:div w:id="801197192">
          <w:marLeft w:val="0"/>
          <w:marRight w:val="0"/>
          <w:marTop w:val="0"/>
          <w:marBottom w:val="0"/>
          <w:divBdr>
            <w:top w:val="none" w:sz="0" w:space="0" w:color="auto"/>
            <w:left w:val="none" w:sz="0" w:space="0" w:color="auto"/>
            <w:bottom w:val="none" w:sz="0" w:space="0" w:color="auto"/>
            <w:right w:val="none" w:sz="0" w:space="0" w:color="auto"/>
          </w:divBdr>
        </w:div>
        <w:div w:id="805779389">
          <w:marLeft w:val="0"/>
          <w:marRight w:val="0"/>
          <w:marTop w:val="0"/>
          <w:marBottom w:val="0"/>
          <w:divBdr>
            <w:top w:val="none" w:sz="0" w:space="0" w:color="auto"/>
            <w:left w:val="none" w:sz="0" w:space="0" w:color="auto"/>
            <w:bottom w:val="none" w:sz="0" w:space="0" w:color="auto"/>
            <w:right w:val="none" w:sz="0" w:space="0" w:color="auto"/>
          </w:divBdr>
        </w:div>
        <w:div w:id="842670062">
          <w:marLeft w:val="0"/>
          <w:marRight w:val="0"/>
          <w:marTop w:val="0"/>
          <w:marBottom w:val="0"/>
          <w:divBdr>
            <w:top w:val="none" w:sz="0" w:space="0" w:color="auto"/>
            <w:left w:val="none" w:sz="0" w:space="0" w:color="auto"/>
            <w:bottom w:val="none" w:sz="0" w:space="0" w:color="auto"/>
            <w:right w:val="none" w:sz="0" w:space="0" w:color="auto"/>
          </w:divBdr>
        </w:div>
        <w:div w:id="861557399">
          <w:marLeft w:val="0"/>
          <w:marRight w:val="0"/>
          <w:marTop w:val="0"/>
          <w:marBottom w:val="0"/>
          <w:divBdr>
            <w:top w:val="none" w:sz="0" w:space="0" w:color="auto"/>
            <w:left w:val="none" w:sz="0" w:space="0" w:color="auto"/>
            <w:bottom w:val="none" w:sz="0" w:space="0" w:color="auto"/>
            <w:right w:val="none" w:sz="0" w:space="0" w:color="auto"/>
          </w:divBdr>
        </w:div>
        <w:div w:id="863909351">
          <w:marLeft w:val="0"/>
          <w:marRight w:val="0"/>
          <w:marTop w:val="0"/>
          <w:marBottom w:val="0"/>
          <w:divBdr>
            <w:top w:val="none" w:sz="0" w:space="0" w:color="auto"/>
            <w:left w:val="none" w:sz="0" w:space="0" w:color="auto"/>
            <w:bottom w:val="none" w:sz="0" w:space="0" w:color="auto"/>
            <w:right w:val="none" w:sz="0" w:space="0" w:color="auto"/>
          </w:divBdr>
        </w:div>
        <w:div w:id="868685214">
          <w:marLeft w:val="0"/>
          <w:marRight w:val="0"/>
          <w:marTop w:val="0"/>
          <w:marBottom w:val="0"/>
          <w:divBdr>
            <w:top w:val="none" w:sz="0" w:space="0" w:color="auto"/>
            <w:left w:val="none" w:sz="0" w:space="0" w:color="auto"/>
            <w:bottom w:val="none" w:sz="0" w:space="0" w:color="auto"/>
            <w:right w:val="none" w:sz="0" w:space="0" w:color="auto"/>
          </w:divBdr>
        </w:div>
        <w:div w:id="877276178">
          <w:marLeft w:val="0"/>
          <w:marRight w:val="0"/>
          <w:marTop w:val="0"/>
          <w:marBottom w:val="0"/>
          <w:divBdr>
            <w:top w:val="none" w:sz="0" w:space="0" w:color="auto"/>
            <w:left w:val="none" w:sz="0" w:space="0" w:color="auto"/>
            <w:bottom w:val="none" w:sz="0" w:space="0" w:color="auto"/>
            <w:right w:val="none" w:sz="0" w:space="0" w:color="auto"/>
          </w:divBdr>
        </w:div>
        <w:div w:id="883102730">
          <w:marLeft w:val="0"/>
          <w:marRight w:val="0"/>
          <w:marTop w:val="0"/>
          <w:marBottom w:val="0"/>
          <w:divBdr>
            <w:top w:val="none" w:sz="0" w:space="0" w:color="auto"/>
            <w:left w:val="none" w:sz="0" w:space="0" w:color="auto"/>
            <w:bottom w:val="none" w:sz="0" w:space="0" w:color="auto"/>
            <w:right w:val="none" w:sz="0" w:space="0" w:color="auto"/>
          </w:divBdr>
        </w:div>
        <w:div w:id="900792803">
          <w:marLeft w:val="0"/>
          <w:marRight w:val="0"/>
          <w:marTop w:val="0"/>
          <w:marBottom w:val="0"/>
          <w:divBdr>
            <w:top w:val="none" w:sz="0" w:space="0" w:color="auto"/>
            <w:left w:val="none" w:sz="0" w:space="0" w:color="auto"/>
            <w:bottom w:val="none" w:sz="0" w:space="0" w:color="auto"/>
            <w:right w:val="none" w:sz="0" w:space="0" w:color="auto"/>
          </w:divBdr>
        </w:div>
        <w:div w:id="902103345">
          <w:marLeft w:val="0"/>
          <w:marRight w:val="0"/>
          <w:marTop w:val="0"/>
          <w:marBottom w:val="0"/>
          <w:divBdr>
            <w:top w:val="none" w:sz="0" w:space="0" w:color="auto"/>
            <w:left w:val="none" w:sz="0" w:space="0" w:color="auto"/>
            <w:bottom w:val="none" w:sz="0" w:space="0" w:color="auto"/>
            <w:right w:val="none" w:sz="0" w:space="0" w:color="auto"/>
          </w:divBdr>
        </w:div>
        <w:div w:id="908925309">
          <w:marLeft w:val="0"/>
          <w:marRight w:val="0"/>
          <w:marTop w:val="0"/>
          <w:marBottom w:val="0"/>
          <w:divBdr>
            <w:top w:val="none" w:sz="0" w:space="0" w:color="auto"/>
            <w:left w:val="none" w:sz="0" w:space="0" w:color="auto"/>
            <w:bottom w:val="none" w:sz="0" w:space="0" w:color="auto"/>
            <w:right w:val="none" w:sz="0" w:space="0" w:color="auto"/>
          </w:divBdr>
        </w:div>
        <w:div w:id="909196755">
          <w:marLeft w:val="0"/>
          <w:marRight w:val="0"/>
          <w:marTop w:val="0"/>
          <w:marBottom w:val="0"/>
          <w:divBdr>
            <w:top w:val="none" w:sz="0" w:space="0" w:color="auto"/>
            <w:left w:val="none" w:sz="0" w:space="0" w:color="auto"/>
            <w:bottom w:val="none" w:sz="0" w:space="0" w:color="auto"/>
            <w:right w:val="none" w:sz="0" w:space="0" w:color="auto"/>
          </w:divBdr>
        </w:div>
        <w:div w:id="912813562">
          <w:marLeft w:val="0"/>
          <w:marRight w:val="0"/>
          <w:marTop w:val="0"/>
          <w:marBottom w:val="0"/>
          <w:divBdr>
            <w:top w:val="none" w:sz="0" w:space="0" w:color="auto"/>
            <w:left w:val="none" w:sz="0" w:space="0" w:color="auto"/>
            <w:bottom w:val="none" w:sz="0" w:space="0" w:color="auto"/>
            <w:right w:val="none" w:sz="0" w:space="0" w:color="auto"/>
          </w:divBdr>
        </w:div>
        <w:div w:id="918709777">
          <w:marLeft w:val="0"/>
          <w:marRight w:val="0"/>
          <w:marTop w:val="0"/>
          <w:marBottom w:val="0"/>
          <w:divBdr>
            <w:top w:val="none" w:sz="0" w:space="0" w:color="auto"/>
            <w:left w:val="none" w:sz="0" w:space="0" w:color="auto"/>
            <w:bottom w:val="none" w:sz="0" w:space="0" w:color="auto"/>
            <w:right w:val="none" w:sz="0" w:space="0" w:color="auto"/>
          </w:divBdr>
        </w:div>
        <w:div w:id="920674279">
          <w:marLeft w:val="0"/>
          <w:marRight w:val="0"/>
          <w:marTop w:val="0"/>
          <w:marBottom w:val="0"/>
          <w:divBdr>
            <w:top w:val="none" w:sz="0" w:space="0" w:color="auto"/>
            <w:left w:val="none" w:sz="0" w:space="0" w:color="auto"/>
            <w:bottom w:val="none" w:sz="0" w:space="0" w:color="auto"/>
            <w:right w:val="none" w:sz="0" w:space="0" w:color="auto"/>
          </w:divBdr>
        </w:div>
        <w:div w:id="942685756">
          <w:marLeft w:val="0"/>
          <w:marRight w:val="0"/>
          <w:marTop w:val="0"/>
          <w:marBottom w:val="0"/>
          <w:divBdr>
            <w:top w:val="none" w:sz="0" w:space="0" w:color="auto"/>
            <w:left w:val="none" w:sz="0" w:space="0" w:color="auto"/>
            <w:bottom w:val="none" w:sz="0" w:space="0" w:color="auto"/>
            <w:right w:val="none" w:sz="0" w:space="0" w:color="auto"/>
          </w:divBdr>
        </w:div>
        <w:div w:id="955915506">
          <w:marLeft w:val="0"/>
          <w:marRight w:val="0"/>
          <w:marTop w:val="0"/>
          <w:marBottom w:val="0"/>
          <w:divBdr>
            <w:top w:val="none" w:sz="0" w:space="0" w:color="auto"/>
            <w:left w:val="none" w:sz="0" w:space="0" w:color="auto"/>
            <w:bottom w:val="none" w:sz="0" w:space="0" w:color="auto"/>
            <w:right w:val="none" w:sz="0" w:space="0" w:color="auto"/>
          </w:divBdr>
        </w:div>
        <w:div w:id="961959343">
          <w:marLeft w:val="0"/>
          <w:marRight w:val="0"/>
          <w:marTop w:val="0"/>
          <w:marBottom w:val="0"/>
          <w:divBdr>
            <w:top w:val="none" w:sz="0" w:space="0" w:color="auto"/>
            <w:left w:val="none" w:sz="0" w:space="0" w:color="auto"/>
            <w:bottom w:val="none" w:sz="0" w:space="0" w:color="auto"/>
            <w:right w:val="none" w:sz="0" w:space="0" w:color="auto"/>
          </w:divBdr>
        </w:div>
        <w:div w:id="964042418">
          <w:marLeft w:val="0"/>
          <w:marRight w:val="0"/>
          <w:marTop w:val="0"/>
          <w:marBottom w:val="0"/>
          <w:divBdr>
            <w:top w:val="none" w:sz="0" w:space="0" w:color="auto"/>
            <w:left w:val="none" w:sz="0" w:space="0" w:color="auto"/>
            <w:bottom w:val="none" w:sz="0" w:space="0" w:color="auto"/>
            <w:right w:val="none" w:sz="0" w:space="0" w:color="auto"/>
          </w:divBdr>
        </w:div>
        <w:div w:id="965964839">
          <w:marLeft w:val="0"/>
          <w:marRight w:val="0"/>
          <w:marTop w:val="0"/>
          <w:marBottom w:val="0"/>
          <w:divBdr>
            <w:top w:val="none" w:sz="0" w:space="0" w:color="auto"/>
            <w:left w:val="none" w:sz="0" w:space="0" w:color="auto"/>
            <w:bottom w:val="none" w:sz="0" w:space="0" w:color="auto"/>
            <w:right w:val="none" w:sz="0" w:space="0" w:color="auto"/>
          </w:divBdr>
        </w:div>
        <w:div w:id="984311006">
          <w:marLeft w:val="0"/>
          <w:marRight w:val="0"/>
          <w:marTop w:val="0"/>
          <w:marBottom w:val="0"/>
          <w:divBdr>
            <w:top w:val="none" w:sz="0" w:space="0" w:color="auto"/>
            <w:left w:val="none" w:sz="0" w:space="0" w:color="auto"/>
            <w:bottom w:val="none" w:sz="0" w:space="0" w:color="auto"/>
            <w:right w:val="none" w:sz="0" w:space="0" w:color="auto"/>
          </w:divBdr>
        </w:div>
        <w:div w:id="991103525">
          <w:marLeft w:val="0"/>
          <w:marRight w:val="0"/>
          <w:marTop w:val="0"/>
          <w:marBottom w:val="0"/>
          <w:divBdr>
            <w:top w:val="none" w:sz="0" w:space="0" w:color="auto"/>
            <w:left w:val="none" w:sz="0" w:space="0" w:color="auto"/>
            <w:bottom w:val="none" w:sz="0" w:space="0" w:color="auto"/>
            <w:right w:val="none" w:sz="0" w:space="0" w:color="auto"/>
          </w:divBdr>
        </w:div>
        <w:div w:id="1015378584">
          <w:marLeft w:val="0"/>
          <w:marRight w:val="0"/>
          <w:marTop w:val="0"/>
          <w:marBottom w:val="0"/>
          <w:divBdr>
            <w:top w:val="none" w:sz="0" w:space="0" w:color="auto"/>
            <w:left w:val="none" w:sz="0" w:space="0" w:color="auto"/>
            <w:bottom w:val="none" w:sz="0" w:space="0" w:color="auto"/>
            <w:right w:val="none" w:sz="0" w:space="0" w:color="auto"/>
          </w:divBdr>
        </w:div>
        <w:div w:id="1016272000">
          <w:marLeft w:val="0"/>
          <w:marRight w:val="0"/>
          <w:marTop w:val="0"/>
          <w:marBottom w:val="0"/>
          <w:divBdr>
            <w:top w:val="none" w:sz="0" w:space="0" w:color="auto"/>
            <w:left w:val="none" w:sz="0" w:space="0" w:color="auto"/>
            <w:bottom w:val="none" w:sz="0" w:space="0" w:color="auto"/>
            <w:right w:val="none" w:sz="0" w:space="0" w:color="auto"/>
          </w:divBdr>
        </w:div>
        <w:div w:id="1016418167">
          <w:marLeft w:val="0"/>
          <w:marRight w:val="0"/>
          <w:marTop w:val="0"/>
          <w:marBottom w:val="0"/>
          <w:divBdr>
            <w:top w:val="none" w:sz="0" w:space="0" w:color="auto"/>
            <w:left w:val="none" w:sz="0" w:space="0" w:color="auto"/>
            <w:bottom w:val="none" w:sz="0" w:space="0" w:color="auto"/>
            <w:right w:val="none" w:sz="0" w:space="0" w:color="auto"/>
          </w:divBdr>
        </w:div>
        <w:div w:id="1020856870">
          <w:marLeft w:val="0"/>
          <w:marRight w:val="0"/>
          <w:marTop w:val="0"/>
          <w:marBottom w:val="0"/>
          <w:divBdr>
            <w:top w:val="none" w:sz="0" w:space="0" w:color="auto"/>
            <w:left w:val="none" w:sz="0" w:space="0" w:color="auto"/>
            <w:bottom w:val="none" w:sz="0" w:space="0" w:color="auto"/>
            <w:right w:val="none" w:sz="0" w:space="0" w:color="auto"/>
          </w:divBdr>
        </w:div>
        <w:div w:id="1021011027">
          <w:marLeft w:val="0"/>
          <w:marRight w:val="0"/>
          <w:marTop w:val="0"/>
          <w:marBottom w:val="0"/>
          <w:divBdr>
            <w:top w:val="none" w:sz="0" w:space="0" w:color="auto"/>
            <w:left w:val="none" w:sz="0" w:space="0" w:color="auto"/>
            <w:bottom w:val="none" w:sz="0" w:space="0" w:color="auto"/>
            <w:right w:val="none" w:sz="0" w:space="0" w:color="auto"/>
          </w:divBdr>
        </w:div>
        <w:div w:id="1026055745">
          <w:marLeft w:val="0"/>
          <w:marRight w:val="0"/>
          <w:marTop w:val="0"/>
          <w:marBottom w:val="0"/>
          <w:divBdr>
            <w:top w:val="none" w:sz="0" w:space="0" w:color="auto"/>
            <w:left w:val="none" w:sz="0" w:space="0" w:color="auto"/>
            <w:bottom w:val="none" w:sz="0" w:space="0" w:color="auto"/>
            <w:right w:val="none" w:sz="0" w:space="0" w:color="auto"/>
          </w:divBdr>
        </w:div>
        <w:div w:id="1032532008">
          <w:marLeft w:val="0"/>
          <w:marRight w:val="0"/>
          <w:marTop w:val="0"/>
          <w:marBottom w:val="0"/>
          <w:divBdr>
            <w:top w:val="none" w:sz="0" w:space="0" w:color="auto"/>
            <w:left w:val="none" w:sz="0" w:space="0" w:color="auto"/>
            <w:bottom w:val="none" w:sz="0" w:space="0" w:color="auto"/>
            <w:right w:val="none" w:sz="0" w:space="0" w:color="auto"/>
          </w:divBdr>
        </w:div>
        <w:div w:id="1040672215">
          <w:marLeft w:val="0"/>
          <w:marRight w:val="0"/>
          <w:marTop w:val="0"/>
          <w:marBottom w:val="0"/>
          <w:divBdr>
            <w:top w:val="none" w:sz="0" w:space="0" w:color="auto"/>
            <w:left w:val="none" w:sz="0" w:space="0" w:color="auto"/>
            <w:bottom w:val="none" w:sz="0" w:space="0" w:color="auto"/>
            <w:right w:val="none" w:sz="0" w:space="0" w:color="auto"/>
          </w:divBdr>
        </w:div>
        <w:div w:id="1040939814">
          <w:marLeft w:val="0"/>
          <w:marRight w:val="0"/>
          <w:marTop w:val="0"/>
          <w:marBottom w:val="0"/>
          <w:divBdr>
            <w:top w:val="none" w:sz="0" w:space="0" w:color="auto"/>
            <w:left w:val="none" w:sz="0" w:space="0" w:color="auto"/>
            <w:bottom w:val="none" w:sz="0" w:space="0" w:color="auto"/>
            <w:right w:val="none" w:sz="0" w:space="0" w:color="auto"/>
          </w:divBdr>
          <w:divsChild>
            <w:div w:id="1883520483">
              <w:marLeft w:val="-75"/>
              <w:marRight w:val="0"/>
              <w:marTop w:val="30"/>
              <w:marBottom w:val="30"/>
              <w:divBdr>
                <w:top w:val="none" w:sz="0" w:space="0" w:color="auto"/>
                <w:left w:val="none" w:sz="0" w:space="0" w:color="auto"/>
                <w:bottom w:val="none" w:sz="0" w:space="0" w:color="auto"/>
                <w:right w:val="none" w:sz="0" w:space="0" w:color="auto"/>
              </w:divBdr>
              <w:divsChild>
                <w:div w:id="129439441">
                  <w:marLeft w:val="0"/>
                  <w:marRight w:val="0"/>
                  <w:marTop w:val="0"/>
                  <w:marBottom w:val="0"/>
                  <w:divBdr>
                    <w:top w:val="none" w:sz="0" w:space="0" w:color="auto"/>
                    <w:left w:val="none" w:sz="0" w:space="0" w:color="auto"/>
                    <w:bottom w:val="none" w:sz="0" w:space="0" w:color="auto"/>
                    <w:right w:val="none" w:sz="0" w:space="0" w:color="auto"/>
                  </w:divBdr>
                  <w:divsChild>
                    <w:div w:id="1567835037">
                      <w:marLeft w:val="0"/>
                      <w:marRight w:val="0"/>
                      <w:marTop w:val="0"/>
                      <w:marBottom w:val="0"/>
                      <w:divBdr>
                        <w:top w:val="none" w:sz="0" w:space="0" w:color="auto"/>
                        <w:left w:val="none" w:sz="0" w:space="0" w:color="auto"/>
                        <w:bottom w:val="none" w:sz="0" w:space="0" w:color="auto"/>
                        <w:right w:val="none" w:sz="0" w:space="0" w:color="auto"/>
                      </w:divBdr>
                    </w:div>
                  </w:divsChild>
                </w:div>
                <w:div w:id="159345691">
                  <w:marLeft w:val="0"/>
                  <w:marRight w:val="0"/>
                  <w:marTop w:val="0"/>
                  <w:marBottom w:val="0"/>
                  <w:divBdr>
                    <w:top w:val="none" w:sz="0" w:space="0" w:color="auto"/>
                    <w:left w:val="none" w:sz="0" w:space="0" w:color="auto"/>
                    <w:bottom w:val="none" w:sz="0" w:space="0" w:color="auto"/>
                    <w:right w:val="none" w:sz="0" w:space="0" w:color="auto"/>
                  </w:divBdr>
                  <w:divsChild>
                    <w:div w:id="1312563309">
                      <w:marLeft w:val="0"/>
                      <w:marRight w:val="0"/>
                      <w:marTop w:val="0"/>
                      <w:marBottom w:val="0"/>
                      <w:divBdr>
                        <w:top w:val="none" w:sz="0" w:space="0" w:color="auto"/>
                        <w:left w:val="none" w:sz="0" w:space="0" w:color="auto"/>
                        <w:bottom w:val="none" w:sz="0" w:space="0" w:color="auto"/>
                        <w:right w:val="none" w:sz="0" w:space="0" w:color="auto"/>
                      </w:divBdr>
                    </w:div>
                  </w:divsChild>
                </w:div>
                <w:div w:id="162938070">
                  <w:marLeft w:val="0"/>
                  <w:marRight w:val="0"/>
                  <w:marTop w:val="0"/>
                  <w:marBottom w:val="0"/>
                  <w:divBdr>
                    <w:top w:val="none" w:sz="0" w:space="0" w:color="auto"/>
                    <w:left w:val="none" w:sz="0" w:space="0" w:color="auto"/>
                    <w:bottom w:val="none" w:sz="0" w:space="0" w:color="auto"/>
                    <w:right w:val="none" w:sz="0" w:space="0" w:color="auto"/>
                  </w:divBdr>
                  <w:divsChild>
                    <w:div w:id="1469783686">
                      <w:marLeft w:val="0"/>
                      <w:marRight w:val="0"/>
                      <w:marTop w:val="0"/>
                      <w:marBottom w:val="0"/>
                      <w:divBdr>
                        <w:top w:val="none" w:sz="0" w:space="0" w:color="auto"/>
                        <w:left w:val="none" w:sz="0" w:space="0" w:color="auto"/>
                        <w:bottom w:val="none" w:sz="0" w:space="0" w:color="auto"/>
                        <w:right w:val="none" w:sz="0" w:space="0" w:color="auto"/>
                      </w:divBdr>
                    </w:div>
                  </w:divsChild>
                </w:div>
                <w:div w:id="174420755">
                  <w:marLeft w:val="0"/>
                  <w:marRight w:val="0"/>
                  <w:marTop w:val="0"/>
                  <w:marBottom w:val="0"/>
                  <w:divBdr>
                    <w:top w:val="none" w:sz="0" w:space="0" w:color="auto"/>
                    <w:left w:val="none" w:sz="0" w:space="0" w:color="auto"/>
                    <w:bottom w:val="none" w:sz="0" w:space="0" w:color="auto"/>
                    <w:right w:val="none" w:sz="0" w:space="0" w:color="auto"/>
                  </w:divBdr>
                  <w:divsChild>
                    <w:div w:id="1194927113">
                      <w:marLeft w:val="0"/>
                      <w:marRight w:val="0"/>
                      <w:marTop w:val="0"/>
                      <w:marBottom w:val="0"/>
                      <w:divBdr>
                        <w:top w:val="none" w:sz="0" w:space="0" w:color="auto"/>
                        <w:left w:val="none" w:sz="0" w:space="0" w:color="auto"/>
                        <w:bottom w:val="none" w:sz="0" w:space="0" w:color="auto"/>
                        <w:right w:val="none" w:sz="0" w:space="0" w:color="auto"/>
                      </w:divBdr>
                    </w:div>
                  </w:divsChild>
                </w:div>
                <w:div w:id="179008086">
                  <w:marLeft w:val="0"/>
                  <w:marRight w:val="0"/>
                  <w:marTop w:val="0"/>
                  <w:marBottom w:val="0"/>
                  <w:divBdr>
                    <w:top w:val="none" w:sz="0" w:space="0" w:color="auto"/>
                    <w:left w:val="none" w:sz="0" w:space="0" w:color="auto"/>
                    <w:bottom w:val="none" w:sz="0" w:space="0" w:color="auto"/>
                    <w:right w:val="none" w:sz="0" w:space="0" w:color="auto"/>
                  </w:divBdr>
                  <w:divsChild>
                    <w:div w:id="107900219">
                      <w:marLeft w:val="0"/>
                      <w:marRight w:val="0"/>
                      <w:marTop w:val="0"/>
                      <w:marBottom w:val="0"/>
                      <w:divBdr>
                        <w:top w:val="none" w:sz="0" w:space="0" w:color="auto"/>
                        <w:left w:val="none" w:sz="0" w:space="0" w:color="auto"/>
                        <w:bottom w:val="none" w:sz="0" w:space="0" w:color="auto"/>
                        <w:right w:val="none" w:sz="0" w:space="0" w:color="auto"/>
                      </w:divBdr>
                    </w:div>
                  </w:divsChild>
                </w:div>
                <w:div w:id="228536841">
                  <w:marLeft w:val="0"/>
                  <w:marRight w:val="0"/>
                  <w:marTop w:val="0"/>
                  <w:marBottom w:val="0"/>
                  <w:divBdr>
                    <w:top w:val="none" w:sz="0" w:space="0" w:color="auto"/>
                    <w:left w:val="none" w:sz="0" w:space="0" w:color="auto"/>
                    <w:bottom w:val="none" w:sz="0" w:space="0" w:color="auto"/>
                    <w:right w:val="none" w:sz="0" w:space="0" w:color="auto"/>
                  </w:divBdr>
                  <w:divsChild>
                    <w:div w:id="1749419078">
                      <w:marLeft w:val="0"/>
                      <w:marRight w:val="0"/>
                      <w:marTop w:val="0"/>
                      <w:marBottom w:val="0"/>
                      <w:divBdr>
                        <w:top w:val="none" w:sz="0" w:space="0" w:color="auto"/>
                        <w:left w:val="none" w:sz="0" w:space="0" w:color="auto"/>
                        <w:bottom w:val="none" w:sz="0" w:space="0" w:color="auto"/>
                        <w:right w:val="none" w:sz="0" w:space="0" w:color="auto"/>
                      </w:divBdr>
                    </w:div>
                  </w:divsChild>
                </w:div>
                <w:div w:id="474221863">
                  <w:marLeft w:val="0"/>
                  <w:marRight w:val="0"/>
                  <w:marTop w:val="0"/>
                  <w:marBottom w:val="0"/>
                  <w:divBdr>
                    <w:top w:val="none" w:sz="0" w:space="0" w:color="auto"/>
                    <w:left w:val="none" w:sz="0" w:space="0" w:color="auto"/>
                    <w:bottom w:val="none" w:sz="0" w:space="0" w:color="auto"/>
                    <w:right w:val="none" w:sz="0" w:space="0" w:color="auto"/>
                  </w:divBdr>
                  <w:divsChild>
                    <w:div w:id="1304114314">
                      <w:marLeft w:val="0"/>
                      <w:marRight w:val="0"/>
                      <w:marTop w:val="0"/>
                      <w:marBottom w:val="0"/>
                      <w:divBdr>
                        <w:top w:val="none" w:sz="0" w:space="0" w:color="auto"/>
                        <w:left w:val="none" w:sz="0" w:space="0" w:color="auto"/>
                        <w:bottom w:val="none" w:sz="0" w:space="0" w:color="auto"/>
                        <w:right w:val="none" w:sz="0" w:space="0" w:color="auto"/>
                      </w:divBdr>
                    </w:div>
                  </w:divsChild>
                </w:div>
                <w:div w:id="567960092">
                  <w:marLeft w:val="0"/>
                  <w:marRight w:val="0"/>
                  <w:marTop w:val="0"/>
                  <w:marBottom w:val="0"/>
                  <w:divBdr>
                    <w:top w:val="none" w:sz="0" w:space="0" w:color="auto"/>
                    <w:left w:val="none" w:sz="0" w:space="0" w:color="auto"/>
                    <w:bottom w:val="none" w:sz="0" w:space="0" w:color="auto"/>
                    <w:right w:val="none" w:sz="0" w:space="0" w:color="auto"/>
                  </w:divBdr>
                  <w:divsChild>
                    <w:div w:id="96947079">
                      <w:marLeft w:val="0"/>
                      <w:marRight w:val="0"/>
                      <w:marTop w:val="0"/>
                      <w:marBottom w:val="0"/>
                      <w:divBdr>
                        <w:top w:val="none" w:sz="0" w:space="0" w:color="auto"/>
                        <w:left w:val="none" w:sz="0" w:space="0" w:color="auto"/>
                        <w:bottom w:val="none" w:sz="0" w:space="0" w:color="auto"/>
                        <w:right w:val="none" w:sz="0" w:space="0" w:color="auto"/>
                      </w:divBdr>
                    </w:div>
                  </w:divsChild>
                </w:div>
                <w:div w:id="582569963">
                  <w:marLeft w:val="0"/>
                  <w:marRight w:val="0"/>
                  <w:marTop w:val="0"/>
                  <w:marBottom w:val="0"/>
                  <w:divBdr>
                    <w:top w:val="none" w:sz="0" w:space="0" w:color="auto"/>
                    <w:left w:val="none" w:sz="0" w:space="0" w:color="auto"/>
                    <w:bottom w:val="none" w:sz="0" w:space="0" w:color="auto"/>
                    <w:right w:val="none" w:sz="0" w:space="0" w:color="auto"/>
                  </w:divBdr>
                  <w:divsChild>
                    <w:div w:id="371809444">
                      <w:marLeft w:val="0"/>
                      <w:marRight w:val="0"/>
                      <w:marTop w:val="0"/>
                      <w:marBottom w:val="0"/>
                      <w:divBdr>
                        <w:top w:val="none" w:sz="0" w:space="0" w:color="auto"/>
                        <w:left w:val="none" w:sz="0" w:space="0" w:color="auto"/>
                        <w:bottom w:val="none" w:sz="0" w:space="0" w:color="auto"/>
                        <w:right w:val="none" w:sz="0" w:space="0" w:color="auto"/>
                      </w:divBdr>
                    </w:div>
                  </w:divsChild>
                </w:div>
                <w:div w:id="648099943">
                  <w:marLeft w:val="0"/>
                  <w:marRight w:val="0"/>
                  <w:marTop w:val="0"/>
                  <w:marBottom w:val="0"/>
                  <w:divBdr>
                    <w:top w:val="none" w:sz="0" w:space="0" w:color="auto"/>
                    <w:left w:val="none" w:sz="0" w:space="0" w:color="auto"/>
                    <w:bottom w:val="none" w:sz="0" w:space="0" w:color="auto"/>
                    <w:right w:val="none" w:sz="0" w:space="0" w:color="auto"/>
                  </w:divBdr>
                  <w:divsChild>
                    <w:div w:id="66005132">
                      <w:marLeft w:val="0"/>
                      <w:marRight w:val="0"/>
                      <w:marTop w:val="0"/>
                      <w:marBottom w:val="0"/>
                      <w:divBdr>
                        <w:top w:val="none" w:sz="0" w:space="0" w:color="auto"/>
                        <w:left w:val="none" w:sz="0" w:space="0" w:color="auto"/>
                        <w:bottom w:val="none" w:sz="0" w:space="0" w:color="auto"/>
                        <w:right w:val="none" w:sz="0" w:space="0" w:color="auto"/>
                      </w:divBdr>
                    </w:div>
                  </w:divsChild>
                </w:div>
                <w:div w:id="712996720">
                  <w:marLeft w:val="0"/>
                  <w:marRight w:val="0"/>
                  <w:marTop w:val="0"/>
                  <w:marBottom w:val="0"/>
                  <w:divBdr>
                    <w:top w:val="none" w:sz="0" w:space="0" w:color="auto"/>
                    <w:left w:val="none" w:sz="0" w:space="0" w:color="auto"/>
                    <w:bottom w:val="none" w:sz="0" w:space="0" w:color="auto"/>
                    <w:right w:val="none" w:sz="0" w:space="0" w:color="auto"/>
                  </w:divBdr>
                  <w:divsChild>
                    <w:div w:id="2092653886">
                      <w:marLeft w:val="0"/>
                      <w:marRight w:val="0"/>
                      <w:marTop w:val="0"/>
                      <w:marBottom w:val="0"/>
                      <w:divBdr>
                        <w:top w:val="none" w:sz="0" w:space="0" w:color="auto"/>
                        <w:left w:val="none" w:sz="0" w:space="0" w:color="auto"/>
                        <w:bottom w:val="none" w:sz="0" w:space="0" w:color="auto"/>
                        <w:right w:val="none" w:sz="0" w:space="0" w:color="auto"/>
                      </w:divBdr>
                    </w:div>
                  </w:divsChild>
                </w:div>
                <w:div w:id="728767168">
                  <w:marLeft w:val="0"/>
                  <w:marRight w:val="0"/>
                  <w:marTop w:val="0"/>
                  <w:marBottom w:val="0"/>
                  <w:divBdr>
                    <w:top w:val="none" w:sz="0" w:space="0" w:color="auto"/>
                    <w:left w:val="none" w:sz="0" w:space="0" w:color="auto"/>
                    <w:bottom w:val="none" w:sz="0" w:space="0" w:color="auto"/>
                    <w:right w:val="none" w:sz="0" w:space="0" w:color="auto"/>
                  </w:divBdr>
                  <w:divsChild>
                    <w:div w:id="1592661211">
                      <w:marLeft w:val="0"/>
                      <w:marRight w:val="0"/>
                      <w:marTop w:val="0"/>
                      <w:marBottom w:val="0"/>
                      <w:divBdr>
                        <w:top w:val="none" w:sz="0" w:space="0" w:color="auto"/>
                        <w:left w:val="none" w:sz="0" w:space="0" w:color="auto"/>
                        <w:bottom w:val="none" w:sz="0" w:space="0" w:color="auto"/>
                        <w:right w:val="none" w:sz="0" w:space="0" w:color="auto"/>
                      </w:divBdr>
                    </w:div>
                  </w:divsChild>
                </w:div>
                <w:div w:id="803354313">
                  <w:marLeft w:val="0"/>
                  <w:marRight w:val="0"/>
                  <w:marTop w:val="0"/>
                  <w:marBottom w:val="0"/>
                  <w:divBdr>
                    <w:top w:val="none" w:sz="0" w:space="0" w:color="auto"/>
                    <w:left w:val="none" w:sz="0" w:space="0" w:color="auto"/>
                    <w:bottom w:val="none" w:sz="0" w:space="0" w:color="auto"/>
                    <w:right w:val="none" w:sz="0" w:space="0" w:color="auto"/>
                  </w:divBdr>
                  <w:divsChild>
                    <w:div w:id="1136070431">
                      <w:marLeft w:val="0"/>
                      <w:marRight w:val="0"/>
                      <w:marTop w:val="0"/>
                      <w:marBottom w:val="0"/>
                      <w:divBdr>
                        <w:top w:val="none" w:sz="0" w:space="0" w:color="auto"/>
                        <w:left w:val="none" w:sz="0" w:space="0" w:color="auto"/>
                        <w:bottom w:val="none" w:sz="0" w:space="0" w:color="auto"/>
                        <w:right w:val="none" w:sz="0" w:space="0" w:color="auto"/>
                      </w:divBdr>
                    </w:div>
                  </w:divsChild>
                </w:div>
                <w:div w:id="962660799">
                  <w:marLeft w:val="0"/>
                  <w:marRight w:val="0"/>
                  <w:marTop w:val="0"/>
                  <w:marBottom w:val="0"/>
                  <w:divBdr>
                    <w:top w:val="none" w:sz="0" w:space="0" w:color="auto"/>
                    <w:left w:val="none" w:sz="0" w:space="0" w:color="auto"/>
                    <w:bottom w:val="none" w:sz="0" w:space="0" w:color="auto"/>
                    <w:right w:val="none" w:sz="0" w:space="0" w:color="auto"/>
                  </w:divBdr>
                  <w:divsChild>
                    <w:div w:id="784617015">
                      <w:marLeft w:val="0"/>
                      <w:marRight w:val="0"/>
                      <w:marTop w:val="0"/>
                      <w:marBottom w:val="0"/>
                      <w:divBdr>
                        <w:top w:val="none" w:sz="0" w:space="0" w:color="auto"/>
                        <w:left w:val="none" w:sz="0" w:space="0" w:color="auto"/>
                        <w:bottom w:val="none" w:sz="0" w:space="0" w:color="auto"/>
                        <w:right w:val="none" w:sz="0" w:space="0" w:color="auto"/>
                      </w:divBdr>
                    </w:div>
                  </w:divsChild>
                </w:div>
                <w:div w:id="1105073395">
                  <w:marLeft w:val="0"/>
                  <w:marRight w:val="0"/>
                  <w:marTop w:val="0"/>
                  <w:marBottom w:val="0"/>
                  <w:divBdr>
                    <w:top w:val="none" w:sz="0" w:space="0" w:color="auto"/>
                    <w:left w:val="none" w:sz="0" w:space="0" w:color="auto"/>
                    <w:bottom w:val="none" w:sz="0" w:space="0" w:color="auto"/>
                    <w:right w:val="none" w:sz="0" w:space="0" w:color="auto"/>
                  </w:divBdr>
                  <w:divsChild>
                    <w:div w:id="664281098">
                      <w:marLeft w:val="0"/>
                      <w:marRight w:val="0"/>
                      <w:marTop w:val="0"/>
                      <w:marBottom w:val="0"/>
                      <w:divBdr>
                        <w:top w:val="none" w:sz="0" w:space="0" w:color="auto"/>
                        <w:left w:val="none" w:sz="0" w:space="0" w:color="auto"/>
                        <w:bottom w:val="none" w:sz="0" w:space="0" w:color="auto"/>
                        <w:right w:val="none" w:sz="0" w:space="0" w:color="auto"/>
                      </w:divBdr>
                    </w:div>
                  </w:divsChild>
                </w:div>
                <w:div w:id="1219902730">
                  <w:marLeft w:val="0"/>
                  <w:marRight w:val="0"/>
                  <w:marTop w:val="0"/>
                  <w:marBottom w:val="0"/>
                  <w:divBdr>
                    <w:top w:val="none" w:sz="0" w:space="0" w:color="auto"/>
                    <w:left w:val="none" w:sz="0" w:space="0" w:color="auto"/>
                    <w:bottom w:val="none" w:sz="0" w:space="0" w:color="auto"/>
                    <w:right w:val="none" w:sz="0" w:space="0" w:color="auto"/>
                  </w:divBdr>
                  <w:divsChild>
                    <w:div w:id="2038307884">
                      <w:marLeft w:val="0"/>
                      <w:marRight w:val="0"/>
                      <w:marTop w:val="0"/>
                      <w:marBottom w:val="0"/>
                      <w:divBdr>
                        <w:top w:val="none" w:sz="0" w:space="0" w:color="auto"/>
                        <w:left w:val="none" w:sz="0" w:space="0" w:color="auto"/>
                        <w:bottom w:val="none" w:sz="0" w:space="0" w:color="auto"/>
                        <w:right w:val="none" w:sz="0" w:space="0" w:color="auto"/>
                      </w:divBdr>
                    </w:div>
                  </w:divsChild>
                </w:div>
                <w:div w:id="1301958022">
                  <w:marLeft w:val="0"/>
                  <w:marRight w:val="0"/>
                  <w:marTop w:val="0"/>
                  <w:marBottom w:val="0"/>
                  <w:divBdr>
                    <w:top w:val="none" w:sz="0" w:space="0" w:color="auto"/>
                    <w:left w:val="none" w:sz="0" w:space="0" w:color="auto"/>
                    <w:bottom w:val="none" w:sz="0" w:space="0" w:color="auto"/>
                    <w:right w:val="none" w:sz="0" w:space="0" w:color="auto"/>
                  </w:divBdr>
                  <w:divsChild>
                    <w:div w:id="1415542574">
                      <w:marLeft w:val="0"/>
                      <w:marRight w:val="0"/>
                      <w:marTop w:val="0"/>
                      <w:marBottom w:val="0"/>
                      <w:divBdr>
                        <w:top w:val="none" w:sz="0" w:space="0" w:color="auto"/>
                        <w:left w:val="none" w:sz="0" w:space="0" w:color="auto"/>
                        <w:bottom w:val="none" w:sz="0" w:space="0" w:color="auto"/>
                        <w:right w:val="none" w:sz="0" w:space="0" w:color="auto"/>
                      </w:divBdr>
                    </w:div>
                  </w:divsChild>
                </w:div>
                <w:div w:id="1462764273">
                  <w:marLeft w:val="0"/>
                  <w:marRight w:val="0"/>
                  <w:marTop w:val="0"/>
                  <w:marBottom w:val="0"/>
                  <w:divBdr>
                    <w:top w:val="none" w:sz="0" w:space="0" w:color="auto"/>
                    <w:left w:val="none" w:sz="0" w:space="0" w:color="auto"/>
                    <w:bottom w:val="none" w:sz="0" w:space="0" w:color="auto"/>
                    <w:right w:val="none" w:sz="0" w:space="0" w:color="auto"/>
                  </w:divBdr>
                  <w:divsChild>
                    <w:div w:id="53626467">
                      <w:marLeft w:val="0"/>
                      <w:marRight w:val="0"/>
                      <w:marTop w:val="0"/>
                      <w:marBottom w:val="0"/>
                      <w:divBdr>
                        <w:top w:val="none" w:sz="0" w:space="0" w:color="auto"/>
                        <w:left w:val="none" w:sz="0" w:space="0" w:color="auto"/>
                        <w:bottom w:val="none" w:sz="0" w:space="0" w:color="auto"/>
                        <w:right w:val="none" w:sz="0" w:space="0" w:color="auto"/>
                      </w:divBdr>
                    </w:div>
                  </w:divsChild>
                </w:div>
                <w:div w:id="1516111641">
                  <w:marLeft w:val="0"/>
                  <w:marRight w:val="0"/>
                  <w:marTop w:val="0"/>
                  <w:marBottom w:val="0"/>
                  <w:divBdr>
                    <w:top w:val="none" w:sz="0" w:space="0" w:color="auto"/>
                    <w:left w:val="none" w:sz="0" w:space="0" w:color="auto"/>
                    <w:bottom w:val="none" w:sz="0" w:space="0" w:color="auto"/>
                    <w:right w:val="none" w:sz="0" w:space="0" w:color="auto"/>
                  </w:divBdr>
                  <w:divsChild>
                    <w:div w:id="1275138251">
                      <w:marLeft w:val="0"/>
                      <w:marRight w:val="0"/>
                      <w:marTop w:val="0"/>
                      <w:marBottom w:val="0"/>
                      <w:divBdr>
                        <w:top w:val="none" w:sz="0" w:space="0" w:color="auto"/>
                        <w:left w:val="none" w:sz="0" w:space="0" w:color="auto"/>
                        <w:bottom w:val="none" w:sz="0" w:space="0" w:color="auto"/>
                        <w:right w:val="none" w:sz="0" w:space="0" w:color="auto"/>
                      </w:divBdr>
                    </w:div>
                  </w:divsChild>
                </w:div>
                <w:div w:id="1674722925">
                  <w:marLeft w:val="0"/>
                  <w:marRight w:val="0"/>
                  <w:marTop w:val="0"/>
                  <w:marBottom w:val="0"/>
                  <w:divBdr>
                    <w:top w:val="none" w:sz="0" w:space="0" w:color="auto"/>
                    <w:left w:val="none" w:sz="0" w:space="0" w:color="auto"/>
                    <w:bottom w:val="none" w:sz="0" w:space="0" w:color="auto"/>
                    <w:right w:val="none" w:sz="0" w:space="0" w:color="auto"/>
                  </w:divBdr>
                  <w:divsChild>
                    <w:div w:id="1785735277">
                      <w:marLeft w:val="0"/>
                      <w:marRight w:val="0"/>
                      <w:marTop w:val="0"/>
                      <w:marBottom w:val="0"/>
                      <w:divBdr>
                        <w:top w:val="none" w:sz="0" w:space="0" w:color="auto"/>
                        <w:left w:val="none" w:sz="0" w:space="0" w:color="auto"/>
                        <w:bottom w:val="none" w:sz="0" w:space="0" w:color="auto"/>
                        <w:right w:val="none" w:sz="0" w:space="0" w:color="auto"/>
                      </w:divBdr>
                    </w:div>
                  </w:divsChild>
                </w:div>
                <w:div w:id="1761559855">
                  <w:marLeft w:val="0"/>
                  <w:marRight w:val="0"/>
                  <w:marTop w:val="0"/>
                  <w:marBottom w:val="0"/>
                  <w:divBdr>
                    <w:top w:val="none" w:sz="0" w:space="0" w:color="auto"/>
                    <w:left w:val="none" w:sz="0" w:space="0" w:color="auto"/>
                    <w:bottom w:val="none" w:sz="0" w:space="0" w:color="auto"/>
                    <w:right w:val="none" w:sz="0" w:space="0" w:color="auto"/>
                  </w:divBdr>
                  <w:divsChild>
                    <w:div w:id="780996418">
                      <w:marLeft w:val="0"/>
                      <w:marRight w:val="0"/>
                      <w:marTop w:val="0"/>
                      <w:marBottom w:val="0"/>
                      <w:divBdr>
                        <w:top w:val="none" w:sz="0" w:space="0" w:color="auto"/>
                        <w:left w:val="none" w:sz="0" w:space="0" w:color="auto"/>
                        <w:bottom w:val="none" w:sz="0" w:space="0" w:color="auto"/>
                        <w:right w:val="none" w:sz="0" w:space="0" w:color="auto"/>
                      </w:divBdr>
                    </w:div>
                  </w:divsChild>
                </w:div>
                <w:div w:id="1790394539">
                  <w:marLeft w:val="0"/>
                  <w:marRight w:val="0"/>
                  <w:marTop w:val="0"/>
                  <w:marBottom w:val="0"/>
                  <w:divBdr>
                    <w:top w:val="none" w:sz="0" w:space="0" w:color="auto"/>
                    <w:left w:val="none" w:sz="0" w:space="0" w:color="auto"/>
                    <w:bottom w:val="none" w:sz="0" w:space="0" w:color="auto"/>
                    <w:right w:val="none" w:sz="0" w:space="0" w:color="auto"/>
                  </w:divBdr>
                  <w:divsChild>
                    <w:div w:id="65930230">
                      <w:marLeft w:val="0"/>
                      <w:marRight w:val="0"/>
                      <w:marTop w:val="0"/>
                      <w:marBottom w:val="0"/>
                      <w:divBdr>
                        <w:top w:val="none" w:sz="0" w:space="0" w:color="auto"/>
                        <w:left w:val="none" w:sz="0" w:space="0" w:color="auto"/>
                        <w:bottom w:val="none" w:sz="0" w:space="0" w:color="auto"/>
                        <w:right w:val="none" w:sz="0" w:space="0" w:color="auto"/>
                      </w:divBdr>
                    </w:div>
                  </w:divsChild>
                </w:div>
                <w:div w:id="1863084755">
                  <w:marLeft w:val="0"/>
                  <w:marRight w:val="0"/>
                  <w:marTop w:val="0"/>
                  <w:marBottom w:val="0"/>
                  <w:divBdr>
                    <w:top w:val="none" w:sz="0" w:space="0" w:color="auto"/>
                    <w:left w:val="none" w:sz="0" w:space="0" w:color="auto"/>
                    <w:bottom w:val="none" w:sz="0" w:space="0" w:color="auto"/>
                    <w:right w:val="none" w:sz="0" w:space="0" w:color="auto"/>
                  </w:divBdr>
                  <w:divsChild>
                    <w:div w:id="1095983490">
                      <w:marLeft w:val="0"/>
                      <w:marRight w:val="0"/>
                      <w:marTop w:val="0"/>
                      <w:marBottom w:val="0"/>
                      <w:divBdr>
                        <w:top w:val="none" w:sz="0" w:space="0" w:color="auto"/>
                        <w:left w:val="none" w:sz="0" w:space="0" w:color="auto"/>
                        <w:bottom w:val="none" w:sz="0" w:space="0" w:color="auto"/>
                        <w:right w:val="none" w:sz="0" w:space="0" w:color="auto"/>
                      </w:divBdr>
                    </w:div>
                  </w:divsChild>
                </w:div>
                <w:div w:id="1971789703">
                  <w:marLeft w:val="0"/>
                  <w:marRight w:val="0"/>
                  <w:marTop w:val="0"/>
                  <w:marBottom w:val="0"/>
                  <w:divBdr>
                    <w:top w:val="none" w:sz="0" w:space="0" w:color="auto"/>
                    <w:left w:val="none" w:sz="0" w:space="0" w:color="auto"/>
                    <w:bottom w:val="none" w:sz="0" w:space="0" w:color="auto"/>
                    <w:right w:val="none" w:sz="0" w:space="0" w:color="auto"/>
                  </w:divBdr>
                  <w:divsChild>
                    <w:div w:id="192718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246968">
          <w:marLeft w:val="0"/>
          <w:marRight w:val="0"/>
          <w:marTop w:val="0"/>
          <w:marBottom w:val="0"/>
          <w:divBdr>
            <w:top w:val="none" w:sz="0" w:space="0" w:color="auto"/>
            <w:left w:val="none" w:sz="0" w:space="0" w:color="auto"/>
            <w:bottom w:val="none" w:sz="0" w:space="0" w:color="auto"/>
            <w:right w:val="none" w:sz="0" w:space="0" w:color="auto"/>
          </w:divBdr>
        </w:div>
        <w:div w:id="1072502467">
          <w:marLeft w:val="0"/>
          <w:marRight w:val="0"/>
          <w:marTop w:val="0"/>
          <w:marBottom w:val="0"/>
          <w:divBdr>
            <w:top w:val="none" w:sz="0" w:space="0" w:color="auto"/>
            <w:left w:val="none" w:sz="0" w:space="0" w:color="auto"/>
            <w:bottom w:val="none" w:sz="0" w:space="0" w:color="auto"/>
            <w:right w:val="none" w:sz="0" w:space="0" w:color="auto"/>
          </w:divBdr>
        </w:div>
        <w:div w:id="1072653034">
          <w:marLeft w:val="0"/>
          <w:marRight w:val="0"/>
          <w:marTop w:val="0"/>
          <w:marBottom w:val="0"/>
          <w:divBdr>
            <w:top w:val="none" w:sz="0" w:space="0" w:color="auto"/>
            <w:left w:val="none" w:sz="0" w:space="0" w:color="auto"/>
            <w:bottom w:val="none" w:sz="0" w:space="0" w:color="auto"/>
            <w:right w:val="none" w:sz="0" w:space="0" w:color="auto"/>
          </w:divBdr>
        </w:div>
        <w:div w:id="1082724631">
          <w:marLeft w:val="0"/>
          <w:marRight w:val="0"/>
          <w:marTop w:val="0"/>
          <w:marBottom w:val="0"/>
          <w:divBdr>
            <w:top w:val="none" w:sz="0" w:space="0" w:color="auto"/>
            <w:left w:val="none" w:sz="0" w:space="0" w:color="auto"/>
            <w:bottom w:val="none" w:sz="0" w:space="0" w:color="auto"/>
            <w:right w:val="none" w:sz="0" w:space="0" w:color="auto"/>
          </w:divBdr>
        </w:div>
        <w:div w:id="1119645544">
          <w:marLeft w:val="0"/>
          <w:marRight w:val="0"/>
          <w:marTop w:val="0"/>
          <w:marBottom w:val="0"/>
          <w:divBdr>
            <w:top w:val="none" w:sz="0" w:space="0" w:color="auto"/>
            <w:left w:val="none" w:sz="0" w:space="0" w:color="auto"/>
            <w:bottom w:val="none" w:sz="0" w:space="0" w:color="auto"/>
            <w:right w:val="none" w:sz="0" w:space="0" w:color="auto"/>
          </w:divBdr>
        </w:div>
        <w:div w:id="1127506276">
          <w:marLeft w:val="0"/>
          <w:marRight w:val="0"/>
          <w:marTop w:val="0"/>
          <w:marBottom w:val="0"/>
          <w:divBdr>
            <w:top w:val="none" w:sz="0" w:space="0" w:color="auto"/>
            <w:left w:val="none" w:sz="0" w:space="0" w:color="auto"/>
            <w:bottom w:val="none" w:sz="0" w:space="0" w:color="auto"/>
            <w:right w:val="none" w:sz="0" w:space="0" w:color="auto"/>
          </w:divBdr>
        </w:div>
        <w:div w:id="1142817904">
          <w:marLeft w:val="0"/>
          <w:marRight w:val="0"/>
          <w:marTop w:val="0"/>
          <w:marBottom w:val="0"/>
          <w:divBdr>
            <w:top w:val="none" w:sz="0" w:space="0" w:color="auto"/>
            <w:left w:val="none" w:sz="0" w:space="0" w:color="auto"/>
            <w:bottom w:val="none" w:sz="0" w:space="0" w:color="auto"/>
            <w:right w:val="none" w:sz="0" w:space="0" w:color="auto"/>
          </w:divBdr>
        </w:div>
        <w:div w:id="1143961819">
          <w:marLeft w:val="0"/>
          <w:marRight w:val="0"/>
          <w:marTop w:val="0"/>
          <w:marBottom w:val="0"/>
          <w:divBdr>
            <w:top w:val="none" w:sz="0" w:space="0" w:color="auto"/>
            <w:left w:val="none" w:sz="0" w:space="0" w:color="auto"/>
            <w:bottom w:val="none" w:sz="0" w:space="0" w:color="auto"/>
            <w:right w:val="none" w:sz="0" w:space="0" w:color="auto"/>
          </w:divBdr>
        </w:div>
        <w:div w:id="1149203320">
          <w:marLeft w:val="0"/>
          <w:marRight w:val="0"/>
          <w:marTop w:val="0"/>
          <w:marBottom w:val="0"/>
          <w:divBdr>
            <w:top w:val="none" w:sz="0" w:space="0" w:color="auto"/>
            <w:left w:val="none" w:sz="0" w:space="0" w:color="auto"/>
            <w:bottom w:val="none" w:sz="0" w:space="0" w:color="auto"/>
            <w:right w:val="none" w:sz="0" w:space="0" w:color="auto"/>
          </w:divBdr>
        </w:div>
        <w:div w:id="1151097493">
          <w:marLeft w:val="0"/>
          <w:marRight w:val="0"/>
          <w:marTop w:val="0"/>
          <w:marBottom w:val="0"/>
          <w:divBdr>
            <w:top w:val="none" w:sz="0" w:space="0" w:color="auto"/>
            <w:left w:val="none" w:sz="0" w:space="0" w:color="auto"/>
            <w:bottom w:val="none" w:sz="0" w:space="0" w:color="auto"/>
            <w:right w:val="none" w:sz="0" w:space="0" w:color="auto"/>
          </w:divBdr>
        </w:div>
        <w:div w:id="1155679322">
          <w:marLeft w:val="0"/>
          <w:marRight w:val="0"/>
          <w:marTop w:val="0"/>
          <w:marBottom w:val="0"/>
          <w:divBdr>
            <w:top w:val="none" w:sz="0" w:space="0" w:color="auto"/>
            <w:left w:val="none" w:sz="0" w:space="0" w:color="auto"/>
            <w:bottom w:val="none" w:sz="0" w:space="0" w:color="auto"/>
            <w:right w:val="none" w:sz="0" w:space="0" w:color="auto"/>
          </w:divBdr>
        </w:div>
        <w:div w:id="1167746772">
          <w:marLeft w:val="0"/>
          <w:marRight w:val="0"/>
          <w:marTop w:val="0"/>
          <w:marBottom w:val="0"/>
          <w:divBdr>
            <w:top w:val="none" w:sz="0" w:space="0" w:color="auto"/>
            <w:left w:val="none" w:sz="0" w:space="0" w:color="auto"/>
            <w:bottom w:val="none" w:sz="0" w:space="0" w:color="auto"/>
            <w:right w:val="none" w:sz="0" w:space="0" w:color="auto"/>
          </w:divBdr>
        </w:div>
        <w:div w:id="1169519594">
          <w:marLeft w:val="0"/>
          <w:marRight w:val="0"/>
          <w:marTop w:val="0"/>
          <w:marBottom w:val="0"/>
          <w:divBdr>
            <w:top w:val="none" w:sz="0" w:space="0" w:color="auto"/>
            <w:left w:val="none" w:sz="0" w:space="0" w:color="auto"/>
            <w:bottom w:val="none" w:sz="0" w:space="0" w:color="auto"/>
            <w:right w:val="none" w:sz="0" w:space="0" w:color="auto"/>
          </w:divBdr>
        </w:div>
        <w:div w:id="1183589587">
          <w:marLeft w:val="0"/>
          <w:marRight w:val="0"/>
          <w:marTop w:val="0"/>
          <w:marBottom w:val="0"/>
          <w:divBdr>
            <w:top w:val="none" w:sz="0" w:space="0" w:color="auto"/>
            <w:left w:val="none" w:sz="0" w:space="0" w:color="auto"/>
            <w:bottom w:val="none" w:sz="0" w:space="0" w:color="auto"/>
            <w:right w:val="none" w:sz="0" w:space="0" w:color="auto"/>
          </w:divBdr>
        </w:div>
        <w:div w:id="1189951344">
          <w:marLeft w:val="0"/>
          <w:marRight w:val="0"/>
          <w:marTop w:val="0"/>
          <w:marBottom w:val="0"/>
          <w:divBdr>
            <w:top w:val="none" w:sz="0" w:space="0" w:color="auto"/>
            <w:left w:val="none" w:sz="0" w:space="0" w:color="auto"/>
            <w:bottom w:val="none" w:sz="0" w:space="0" w:color="auto"/>
            <w:right w:val="none" w:sz="0" w:space="0" w:color="auto"/>
          </w:divBdr>
        </w:div>
        <w:div w:id="1201741737">
          <w:marLeft w:val="0"/>
          <w:marRight w:val="0"/>
          <w:marTop w:val="0"/>
          <w:marBottom w:val="0"/>
          <w:divBdr>
            <w:top w:val="none" w:sz="0" w:space="0" w:color="auto"/>
            <w:left w:val="none" w:sz="0" w:space="0" w:color="auto"/>
            <w:bottom w:val="none" w:sz="0" w:space="0" w:color="auto"/>
            <w:right w:val="none" w:sz="0" w:space="0" w:color="auto"/>
          </w:divBdr>
        </w:div>
        <w:div w:id="1212301759">
          <w:marLeft w:val="0"/>
          <w:marRight w:val="0"/>
          <w:marTop w:val="0"/>
          <w:marBottom w:val="0"/>
          <w:divBdr>
            <w:top w:val="none" w:sz="0" w:space="0" w:color="auto"/>
            <w:left w:val="none" w:sz="0" w:space="0" w:color="auto"/>
            <w:bottom w:val="none" w:sz="0" w:space="0" w:color="auto"/>
            <w:right w:val="none" w:sz="0" w:space="0" w:color="auto"/>
          </w:divBdr>
        </w:div>
        <w:div w:id="1220900922">
          <w:marLeft w:val="0"/>
          <w:marRight w:val="0"/>
          <w:marTop w:val="0"/>
          <w:marBottom w:val="0"/>
          <w:divBdr>
            <w:top w:val="none" w:sz="0" w:space="0" w:color="auto"/>
            <w:left w:val="none" w:sz="0" w:space="0" w:color="auto"/>
            <w:bottom w:val="none" w:sz="0" w:space="0" w:color="auto"/>
            <w:right w:val="none" w:sz="0" w:space="0" w:color="auto"/>
          </w:divBdr>
        </w:div>
        <w:div w:id="1226455987">
          <w:marLeft w:val="0"/>
          <w:marRight w:val="0"/>
          <w:marTop w:val="0"/>
          <w:marBottom w:val="0"/>
          <w:divBdr>
            <w:top w:val="none" w:sz="0" w:space="0" w:color="auto"/>
            <w:left w:val="none" w:sz="0" w:space="0" w:color="auto"/>
            <w:bottom w:val="none" w:sz="0" w:space="0" w:color="auto"/>
            <w:right w:val="none" w:sz="0" w:space="0" w:color="auto"/>
          </w:divBdr>
        </w:div>
        <w:div w:id="1227304578">
          <w:marLeft w:val="0"/>
          <w:marRight w:val="0"/>
          <w:marTop w:val="0"/>
          <w:marBottom w:val="0"/>
          <w:divBdr>
            <w:top w:val="none" w:sz="0" w:space="0" w:color="auto"/>
            <w:left w:val="none" w:sz="0" w:space="0" w:color="auto"/>
            <w:bottom w:val="none" w:sz="0" w:space="0" w:color="auto"/>
            <w:right w:val="none" w:sz="0" w:space="0" w:color="auto"/>
          </w:divBdr>
        </w:div>
        <w:div w:id="1230262114">
          <w:marLeft w:val="0"/>
          <w:marRight w:val="0"/>
          <w:marTop w:val="0"/>
          <w:marBottom w:val="0"/>
          <w:divBdr>
            <w:top w:val="none" w:sz="0" w:space="0" w:color="auto"/>
            <w:left w:val="none" w:sz="0" w:space="0" w:color="auto"/>
            <w:bottom w:val="none" w:sz="0" w:space="0" w:color="auto"/>
            <w:right w:val="none" w:sz="0" w:space="0" w:color="auto"/>
          </w:divBdr>
          <w:divsChild>
            <w:div w:id="1336305563">
              <w:marLeft w:val="-75"/>
              <w:marRight w:val="0"/>
              <w:marTop w:val="30"/>
              <w:marBottom w:val="30"/>
              <w:divBdr>
                <w:top w:val="none" w:sz="0" w:space="0" w:color="auto"/>
                <w:left w:val="none" w:sz="0" w:space="0" w:color="auto"/>
                <w:bottom w:val="none" w:sz="0" w:space="0" w:color="auto"/>
                <w:right w:val="none" w:sz="0" w:space="0" w:color="auto"/>
              </w:divBdr>
              <w:divsChild>
                <w:div w:id="78337602">
                  <w:marLeft w:val="0"/>
                  <w:marRight w:val="0"/>
                  <w:marTop w:val="0"/>
                  <w:marBottom w:val="0"/>
                  <w:divBdr>
                    <w:top w:val="none" w:sz="0" w:space="0" w:color="auto"/>
                    <w:left w:val="none" w:sz="0" w:space="0" w:color="auto"/>
                    <w:bottom w:val="none" w:sz="0" w:space="0" w:color="auto"/>
                    <w:right w:val="none" w:sz="0" w:space="0" w:color="auto"/>
                  </w:divBdr>
                  <w:divsChild>
                    <w:div w:id="702677442">
                      <w:marLeft w:val="0"/>
                      <w:marRight w:val="0"/>
                      <w:marTop w:val="0"/>
                      <w:marBottom w:val="0"/>
                      <w:divBdr>
                        <w:top w:val="none" w:sz="0" w:space="0" w:color="auto"/>
                        <w:left w:val="none" w:sz="0" w:space="0" w:color="auto"/>
                        <w:bottom w:val="none" w:sz="0" w:space="0" w:color="auto"/>
                        <w:right w:val="none" w:sz="0" w:space="0" w:color="auto"/>
                      </w:divBdr>
                    </w:div>
                  </w:divsChild>
                </w:div>
                <w:div w:id="165903309">
                  <w:marLeft w:val="0"/>
                  <w:marRight w:val="0"/>
                  <w:marTop w:val="0"/>
                  <w:marBottom w:val="0"/>
                  <w:divBdr>
                    <w:top w:val="none" w:sz="0" w:space="0" w:color="auto"/>
                    <w:left w:val="none" w:sz="0" w:space="0" w:color="auto"/>
                    <w:bottom w:val="none" w:sz="0" w:space="0" w:color="auto"/>
                    <w:right w:val="none" w:sz="0" w:space="0" w:color="auto"/>
                  </w:divBdr>
                  <w:divsChild>
                    <w:div w:id="1921744028">
                      <w:marLeft w:val="0"/>
                      <w:marRight w:val="0"/>
                      <w:marTop w:val="0"/>
                      <w:marBottom w:val="0"/>
                      <w:divBdr>
                        <w:top w:val="none" w:sz="0" w:space="0" w:color="auto"/>
                        <w:left w:val="none" w:sz="0" w:space="0" w:color="auto"/>
                        <w:bottom w:val="none" w:sz="0" w:space="0" w:color="auto"/>
                        <w:right w:val="none" w:sz="0" w:space="0" w:color="auto"/>
                      </w:divBdr>
                    </w:div>
                  </w:divsChild>
                </w:div>
                <w:div w:id="314264418">
                  <w:marLeft w:val="0"/>
                  <w:marRight w:val="0"/>
                  <w:marTop w:val="0"/>
                  <w:marBottom w:val="0"/>
                  <w:divBdr>
                    <w:top w:val="none" w:sz="0" w:space="0" w:color="auto"/>
                    <w:left w:val="none" w:sz="0" w:space="0" w:color="auto"/>
                    <w:bottom w:val="none" w:sz="0" w:space="0" w:color="auto"/>
                    <w:right w:val="none" w:sz="0" w:space="0" w:color="auto"/>
                  </w:divBdr>
                  <w:divsChild>
                    <w:div w:id="1660887059">
                      <w:marLeft w:val="0"/>
                      <w:marRight w:val="0"/>
                      <w:marTop w:val="0"/>
                      <w:marBottom w:val="0"/>
                      <w:divBdr>
                        <w:top w:val="none" w:sz="0" w:space="0" w:color="auto"/>
                        <w:left w:val="none" w:sz="0" w:space="0" w:color="auto"/>
                        <w:bottom w:val="none" w:sz="0" w:space="0" w:color="auto"/>
                        <w:right w:val="none" w:sz="0" w:space="0" w:color="auto"/>
                      </w:divBdr>
                    </w:div>
                  </w:divsChild>
                </w:div>
                <w:div w:id="337732961">
                  <w:marLeft w:val="0"/>
                  <w:marRight w:val="0"/>
                  <w:marTop w:val="0"/>
                  <w:marBottom w:val="0"/>
                  <w:divBdr>
                    <w:top w:val="none" w:sz="0" w:space="0" w:color="auto"/>
                    <w:left w:val="none" w:sz="0" w:space="0" w:color="auto"/>
                    <w:bottom w:val="none" w:sz="0" w:space="0" w:color="auto"/>
                    <w:right w:val="none" w:sz="0" w:space="0" w:color="auto"/>
                  </w:divBdr>
                  <w:divsChild>
                    <w:div w:id="2104838520">
                      <w:marLeft w:val="0"/>
                      <w:marRight w:val="0"/>
                      <w:marTop w:val="0"/>
                      <w:marBottom w:val="0"/>
                      <w:divBdr>
                        <w:top w:val="none" w:sz="0" w:space="0" w:color="auto"/>
                        <w:left w:val="none" w:sz="0" w:space="0" w:color="auto"/>
                        <w:bottom w:val="none" w:sz="0" w:space="0" w:color="auto"/>
                        <w:right w:val="none" w:sz="0" w:space="0" w:color="auto"/>
                      </w:divBdr>
                    </w:div>
                  </w:divsChild>
                </w:div>
                <w:div w:id="445588981">
                  <w:marLeft w:val="0"/>
                  <w:marRight w:val="0"/>
                  <w:marTop w:val="0"/>
                  <w:marBottom w:val="0"/>
                  <w:divBdr>
                    <w:top w:val="none" w:sz="0" w:space="0" w:color="auto"/>
                    <w:left w:val="none" w:sz="0" w:space="0" w:color="auto"/>
                    <w:bottom w:val="none" w:sz="0" w:space="0" w:color="auto"/>
                    <w:right w:val="none" w:sz="0" w:space="0" w:color="auto"/>
                  </w:divBdr>
                  <w:divsChild>
                    <w:div w:id="1666937471">
                      <w:marLeft w:val="0"/>
                      <w:marRight w:val="0"/>
                      <w:marTop w:val="0"/>
                      <w:marBottom w:val="0"/>
                      <w:divBdr>
                        <w:top w:val="none" w:sz="0" w:space="0" w:color="auto"/>
                        <w:left w:val="none" w:sz="0" w:space="0" w:color="auto"/>
                        <w:bottom w:val="none" w:sz="0" w:space="0" w:color="auto"/>
                        <w:right w:val="none" w:sz="0" w:space="0" w:color="auto"/>
                      </w:divBdr>
                    </w:div>
                  </w:divsChild>
                </w:div>
                <w:div w:id="670450385">
                  <w:marLeft w:val="0"/>
                  <w:marRight w:val="0"/>
                  <w:marTop w:val="0"/>
                  <w:marBottom w:val="0"/>
                  <w:divBdr>
                    <w:top w:val="none" w:sz="0" w:space="0" w:color="auto"/>
                    <w:left w:val="none" w:sz="0" w:space="0" w:color="auto"/>
                    <w:bottom w:val="none" w:sz="0" w:space="0" w:color="auto"/>
                    <w:right w:val="none" w:sz="0" w:space="0" w:color="auto"/>
                  </w:divBdr>
                  <w:divsChild>
                    <w:div w:id="1757898607">
                      <w:marLeft w:val="0"/>
                      <w:marRight w:val="0"/>
                      <w:marTop w:val="0"/>
                      <w:marBottom w:val="0"/>
                      <w:divBdr>
                        <w:top w:val="none" w:sz="0" w:space="0" w:color="auto"/>
                        <w:left w:val="none" w:sz="0" w:space="0" w:color="auto"/>
                        <w:bottom w:val="none" w:sz="0" w:space="0" w:color="auto"/>
                        <w:right w:val="none" w:sz="0" w:space="0" w:color="auto"/>
                      </w:divBdr>
                    </w:div>
                  </w:divsChild>
                </w:div>
                <w:div w:id="764501529">
                  <w:marLeft w:val="0"/>
                  <w:marRight w:val="0"/>
                  <w:marTop w:val="0"/>
                  <w:marBottom w:val="0"/>
                  <w:divBdr>
                    <w:top w:val="none" w:sz="0" w:space="0" w:color="auto"/>
                    <w:left w:val="none" w:sz="0" w:space="0" w:color="auto"/>
                    <w:bottom w:val="none" w:sz="0" w:space="0" w:color="auto"/>
                    <w:right w:val="none" w:sz="0" w:space="0" w:color="auto"/>
                  </w:divBdr>
                  <w:divsChild>
                    <w:div w:id="1034698364">
                      <w:marLeft w:val="0"/>
                      <w:marRight w:val="0"/>
                      <w:marTop w:val="0"/>
                      <w:marBottom w:val="0"/>
                      <w:divBdr>
                        <w:top w:val="none" w:sz="0" w:space="0" w:color="auto"/>
                        <w:left w:val="none" w:sz="0" w:space="0" w:color="auto"/>
                        <w:bottom w:val="none" w:sz="0" w:space="0" w:color="auto"/>
                        <w:right w:val="none" w:sz="0" w:space="0" w:color="auto"/>
                      </w:divBdr>
                    </w:div>
                  </w:divsChild>
                </w:div>
                <w:div w:id="799424381">
                  <w:marLeft w:val="0"/>
                  <w:marRight w:val="0"/>
                  <w:marTop w:val="0"/>
                  <w:marBottom w:val="0"/>
                  <w:divBdr>
                    <w:top w:val="none" w:sz="0" w:space="0" w:color="auto"/>
                    <w:left w:val="none" w:sz="0" w:space="0" w:color="auto"/>
                    <w:bottom w:val="none" w:sz="0" w:space="0" w:color="auto"/>
                    <w:right w:val="none" w:sz="0" w:space="0" w:color="auto"/>
                  </w:divBdr>
                  <w:divsChild>
                    <w:div w:id="1408259466">
                      <w:marLeft w:val="0"/>
                      <w:marRight w:val="0"/>
                      <w:marTop w:val="0"/>
                      <w:marBottom w:val="0"/>
                      <w:divBdr>
                        <w:top w:val="none" w:sz="0" w:space="0" w:color="auto"/>
                        <w:left w:val="none" w:sz="0" w:space="0" w:color="auto"/>
                        <w:bottom w:val="none" w:sz="0" w:space="0" w:color="auto"/>
                        <w:right w:val="none" w:sz="0" w:space="0" w:color="auto"/>
                      </w:divBdr>
                    </w:div>
                  </w:divsChild>
                </w:div>
                <w:div w:id="899901991">
                  <w:marLeft w:val="0"/>
                  <w:marRight w:val="0"/>
                  <w:marTop w:val="0"/>
                  <w:marBottom w:val="0"/>
                  <w:divBdr>
                    <w:top w:val="none" w:sz="0" w:space="0" w:color="auto"/>
                    <w:left w:val="none" w:sz="0" w:space="0" w:color="auto"/>
                    <w:bottom w:val="none" w:sz="0" w:space="0" w:color="auto"/>
                    <w:right w:val="none" w:sz="0" w:space="0" w:color="auto"/>
                  </w:divBdr>
                  <w:divsChild>
                    <w:div w:id="494492600">
                      <w:marLeft w:val="0"/>
                      <w:marRight w:val="0"/>
                      <w:marTop w:val="0"/>
                      <w:marBottom w:val="0"/>
                      <w:divBdr>
                        <w:top w:val="none" w:sz="0" w:space="0" w:color="auto"/>
                        <w:left w:val="none" w:sz="0" w:space="0" w:color="auto"/>
                        <w:bottom w:val="none" w:sz="0" w:space="0" w:color="auto"/>
                        <w:right w:val="none" w:sz="0" w:space="0" w:color="auto"/>
                      </w:divBdr>
                    </w:div>
                  </w:divsChild>
                </w:div>
                <w:div w:id="1018581851">
                  <w:marLeft w:val="0"/>
                  <w:marRight w:val="0"/>
                  <w:marTop w:val="0"/>
                  <w:marBottom w:val="0"/>
                  <w:divBdr>
                    <w:top w:val="none" w:sz="0" w:space="0" w:color="auto"/>
                    <w:left w:val="none" w:sz="0" w:space="0" w:color="auto"/>
                    <w:bottom w:val="none" w:sz="0" w:space="0" w:color="auto"/>
                    <w:right w:val="none" w:sz="0" w:space="0" w:color="auto"/>
                  </w:divBdr>
                  <w:divsChild>
                    <w:div w:id="1027485524">
                      <w:marLeft w:val="0"/>
                      <w:marRight w:val="0"/>
                      <w:marTop w:val="0"/>
                      <w:marBottom w:val="0"/>
                      <w:divBdr>
                        <w:top w:val="none" w:sz="0" w:space="0" w:color="auto"/>
                        <w:left w:val="none" w:sz="0" w:space="0" w:color="auto"/>
                        <w:bottom w:val="none" w:sz="0" w:space="0" w:color="auto"/>
                        <w:right w:val="none" w:sz="0" w:space="0" w:color="auto"/>
                      </w:divBdr>
                    </w:div>
                  </w:divsChild>
                </w:div>
                <w:div w:id="1024474882">
                  <w:marLeft w:val="0"/>
                  <w:marRight w:val="0"/>
                  <w:marTop w:val="0"/>
                  <w:marBottom w:val="0"/>
                  <w:divBdr>
                    <w:top w:val="none" w:sz="0" w:space="0" w:color="auto"/>
                    <w:left w:val="none" w:sz="0" w:space="0" w:color="auto"/>
                    <w:bottom w:val="none" w:sz="0" w:space="0" w:color="auto"/>
                    <w:right w:val="none" w:sz="0" w:space="0" w:color="auto"/>
                  </w:divBdr>
                  <w:divsChild>
                    <w:div w:id="145558427">
                      <w:marLeft w:val="0"/>
                      <w:marRight w:val="0"/>
                      <w:marTop w:val="0"/>
                      <w:marBottom w:val="0"/>
                      <w:divBdr>
                        <w:top w:val="none" w:sz="0" w:space="0" w:color="auto"/>
                        <w:left w:val="none" w:sz="0" w:space="0" w:color="auto"/>
                        <w:bottom w:val="none" w:sz="0" w:space="0" w:color="auto"/>
                        <w:right w:val="none" w:sz="0" w:space="0" w:color="auto"/>
                      </w:divBdr>
                    </w:div>
                  </w:divsChild>
                </w:div>
                <w:div w:id="1119376751">
                  <w:marLeft w:val="0"/>
                  <w:marRight w:val="0"/>
                  <w:marTop w:val="0"/>
                  <w:marBottom w:val="0"/>
                  <w:divBdr>
                    <w:top w:val="none" w:sz="0" w:space="0" w:color="auto"/>
                    <w:left w:val="none" w:sz="0" w:space="0" w:color="auto"/>
                    <w:bottom w:val="none" w:sz="0" w:space="0" w:color="auto"/>
                    <w:right w:val="none" w:sz="0" w:space="0" w:color="auto"/>
                  </w:divBdr>
                  <w:divsChild>
                    <w:div w:id="485242001">
                      <w:marLeft w:val="0"/>
                      <w:marRight w:val="0"/>
                      <w:marTop w:val="0"/>
                      <w:marBottom w:val="0"/>
                      <w:divBdr>
                        <w:top w:val="none" w:sz="0" w:space="0" w:color="auto"/>
                        <w:left w:val="none" w:sz="0" w:space="0" w:color="auto"/>
                        <w:bottom w:val="none" w:sz="0" w:space="0" w:color="auto"/>
                        <w:right w:val="none" w:sz="0" w:space="0" w:color="auto"/>
                      </w:divBdr>
                    </w:div>
                  </w:divsChild>
                </w:div>
                <w:div w:id="1355838275">
                  <w:marLeft w:val="0"/>
                  <w:marRight w:val="0"/>
                  <w:marTop w:val="0"/>
                  <w:marBottom w:val="0"/>
                  <w:divBdr>
                    <w:top w:val="none" w:sz="0" w:space="0" w:color="auto"/>
                    <w:left w:val="none" w:sz="0" w:space="0" w:color="auto"/>
                    <w:bottom w:val="none" w:sz="0" w:space="0" w:color="auto"/>
                    <w:right w:val="none" w:sz="0" w:space="0" w:color="auto"/>
                  </w:divBdr>
                  <w:divsChild>
                    <w:div w:id="598410229">
                      <w:marLeft w:val="0"/>
                      <w:marRight w:val="0"/>
                      <w:marTop w:val="0"/>
                      <w:marBottom w:val="0"/>
                      <w:divBdr>
                        <w:top w:val="none" w:sz="0" w:space="0" w:color="auto"/>
                        <w:left w:val="none" w:sz="0" w:space="0" w:color="auto"/>
                        <w:bottom w:val="none" w:sz="0" w:space="0" w:color="auto"/>
                        <w:right w:val="none" w:sz="0" w:space="0" w:color="auto"/>
                      </w:divBdr>
                    </w:div>
                  </w:divsChild>
                </w:div>
                <w:div w:id="1410036847">
                  <w:marLeft w:val="0"/>
                  <w:marRight w:val="0"/>
                  <w:marTop w:val="0"/>
                  <w:marBottom w:val="0"/>
                  <w:divBdr>
                    <w:top w:val="none" w:sz="0" w:space="0" w:color="auto"/>
                    <w:left w:val="none" w:sz="0" w:space="0" w:color="auto"/>
                    <w:bottom w:val="none" w:sz="0" w:space="0" w:color="auto"/>
                    <w:right w:val="none" w:sz="0" w:space="0" w:color="auto"/>
                  </w:divBdr>
                  <w:divsChild>
                    <w:div w:id="1420567533">
                      <w:marLeft w:val="0"/>
                      <w:marRight w:val="0"/>
                      <w:marTop w:val="0"/>
                      <w:marBottom w:val="0"/>
                      <w:divBdr>
                        <w:top w:val="none" w:sz="0" w:space="0" w:color="auto"/>
                        <w:left w:val="none" w:sz="0" w:space="0" w:color="auto"/>
                        <w:bottom w:val="none" w:sz="0" w:space="0" w:color="auto"/>
                        <w:right w:val="none" w:sz="0" w:space="0" w:color="auto"/>
                      </w:divBdr>
                    </w:div>
                  </w:divsChild>
                </w:div>
                <w:div w:id="1459177088">
                  <w:marLeft w:val="0"/>
                  <w:marRight w:val="0"/>
                  <w:marTop w:val="0"/>
                  <w:marBottom w:val="0"/>
                  <w:divBdr>
                    <w:top w:val="none" w:sz="0" w:space="0" w:color="auto"/>
                    <w:left w:val="none" w:sz="0" w:space="0" w:color="auto"/>
                    <w:bottom w:val="none" w:sz="0" w:space="0" w:color="auto"/>
                    <w:right w:val="none" w:sz="0" w:space="0" w:color="auto"/>
                  </w:divBdr>
                  <w:divsChild>
                    <w:div w:id="242229996">
                      <w:marLeft w:val="0"/>
                      <w:marRight w:val="0"/>
                      <w:marTop w:val="0"/>
                      <w:marBottom w:val="0"/>
                      <w:divBdr>
                        <w:top w:val="none" w:sz="0" w:space="0" w:color="auto"/>
                        <w:left w:val="none" w:sz="0" w:space="0" w:color="auto"/>
                        <w:bottom w:val="none" w:sz="0" w:space="0" w:color="auto"/>
                        <w:right w:val="none" w:sz="0" w:space="0" w:color="auto"/>
                      </w:divBdr>
                    </w:div>
                  </w:divsChild>
                </w:div>
                <w:div w:id="1528955371">
                  <w:marLeft w:val="0"/>
                  <w:marRight w:val="0"/>
                  <w:marTop w:val="0"/>
                  <w:marBottom w:val="0"/>
                  <w:divBdr>
                    <w:top w:val="none" w:sz="0" w:space="0" w:color="auto"/>
                    <w:left w:val="none" w:sz="0" w:space="0" w:color="auto"/>
                    <w:bottom w:val="none" w:sz="0" w:space="0" w:color="auto"/>
                    <w:right w:val="none" w:sz="0" w:space="0" w:color="auto"/>
                  </w:divBdr>
                  <w:divsChild>
                    <w:div w:id="1039090785">
                      <w:marLeft w:val="0"/>
                      <w:marRight w:val="0"/>
                      <w:marTop w:val="0"/>
                      <w:marBottom w:val="0"/>
                      <w:divBdr>
                        <w:top w:val="none" w:sz="0" w:space="0" w:color="auto"/>
                        <w:left w:val="none" w:sz="0" w:space="0" w:color="auto"/>
                        <w:bottom w:val="none" w:sz="0" w:space="0" w:color="auto"/>
                        <w:right w:val="none" w:sz="0" w:space="0" w:color="auto"/>
                      </w:divBdr>
                    </w:div>
                  </w:divsChild>
                </w:div>
                <w:div w:id="1559392117">
                  <w:marLeft w:val="0"/>
                  <w:marRight w:val="0"/>
                  <w:marTop w:val="0"/>
                  <w:marBottom w:val="0"/>
                  <w:divBdr>
                    <w:top w:val="none" w:sz="0" w:space="0" w:color="auto"/>
                    <w:left w:val="none" w:sz="0" w:space="0" w:color="auto"/>
                    <w:bottom w:val="none" w:sz="0" w:space="0" w:color="auto"/>
                    <w:right w:val="none" w:sz="0" w:space="0" w:color="auto"/>
                  </w:divBdr>
                  <w:divsChild>
                    <w:div w:id="1815828939">
                      <w:marLeft w:val="0"/>
                      <w:marRight w:val="0"/>
                      <w:marTop w:val="0"/>
                      <w:marBottom w:val="0"/>
                      <w:divBdr>
                        <w:top w:val="none" w:sz="0" w:space="0" w:color="auto"/>
                        <w:left w:val="none" w:sz="0" w:space="0" w:color="auto"/>
                        <w:bottom w:val="none" w:sz="0" w:space="0" w:color="auto"/>
                        <w:right w:val="none" w:sz="0" w:space="0" w:color="auto"/>
                      </w:divBdr>
                    </w:div>
                  </w:divsChild>
                </w:div>
                <w:div w:id="1577397058">
                  <w:marLeft w:val="0"/>
                  <w:marRight w:val="0"/>
                  <w:marTop w:val="0"/>
                  <w:marBottom w:val="0"/>
                  <w:divBdr>
                    <w:top w:val="none" w:sz="0" w:space="0" w:color="auto"/>
                    <w:left w:val="none" w:sz="0" w:space="0" w:color="auto"/>
                    <w:bottom w:val="none" w:sz="0" w:space="0" w:color="auto"/>
                    <w:right w:val="none" w:sz="0" w:space="0" w:color="auto"/>
                  </w:divBdr>
                  <w:divsChild>
                    <w:div w:id="76248385">
                      <w:marLeft w:val="0"/>
                      <w:marRight w:val="0"/>
                      <w:marTop w:val="0"/>
                      <w:marBottom w:val="0"/>
                      <w:divBdr>
                        <w:top w:val="none" w:sz="0" w:space="0" w:color="auto"/>
                        <w:left w:val="none" w:sz="0" w:space="0" w:color="auto"/>
                        <w:bottom w:val="none" w:sz="0" w:space="0" w:color="auto"/>
                        <w:right w:val="none" w:sz="0" w:space="0" w:color="auto"/>
                      </w:divBdr>
                    </w:div>
                  </w:divsChild>
                </w:div>
                <w:div w:id="1585993260">
                  <w:marLeft w:val="0"/>
                  <w:marRight w:val="0"/>
                  <w:marTop w:val="0"/>
                  <w:marBottom w:val="0"/>
                  <w:divBdr>
                    <w:top w:val="none" w:sz="0" w:space="0" w:color="auto"/>
                    <w:left w:val="none" w:sz="0" w:space="0" w:color="auto"/>
                    <w:bottom w:val="none" w:sz="0" w:space="0" w:color="auto"/>
                    <w:right w:val="none" w:sz="0" w:space="0" w:color="auto"/>
                  </w:divBdr>
                  <w:divsChild>
                    <w:div w:id="1831217507">
                      <w:marLeft w:val="0"/>
                      <w:marRight w:val="0"/>
                      <w:marTop w:val="0"/>
                      <w:marBottom w:val="0"/>
                      <w:divBdr>
                        <w:top w:val="none" w:sz="0" w:space="0" w:color="auto"/>
                        <w:left w:val="none" w:sz="0" w:space="0" w:color="auto"/>
                        <w:bottom w:val="none" w:sz="0" w:space="0" w:color="auto"/>
                        <w:right w:val="none" w:sz="0" w:space="0" w:color="auto"/>
                      </w:divBdr>
                    </w:div>
                  </w:divsChild>
                </w:div>
                <w:div w:id="1620336739">
                  <w:marLeft w:val="0"/>
                  <w:marRight w:val="0"/>
                  <w:marTop w:val="0"/>
                  <w:marBottom w:val="0"/>
                  <w:divBdr>
                    <w:top w:val="none" w:sz="0" w:space="0" w:color="auto"/>
                    <w:left w:val="none" w:sz="0" w:space="0" w:color="auto"/>
                    <w:bottom w:val="none" w:sz="0" w:space="0" w:color="auto"/>
                    <w:right w:val="none" w:sz="0" w:space="0" w:color="auto"/>
                  </w:divBdr>
                  <w:divsChild>
                    <w:div w:id="1693920722">
                      <w:marLeft w:val="0"/>
                      <w:marRight w:val="0"/>
                      <w:marTop w:val="0"/>
                      <w:marBottom w:val="0"/>
                      <w:divBdr>
                        <w:top w:val="none" w:sz="0" w:space="0" w:color="auto"/>
                        <w:left w:val="none" w:sz="0" w:space="0" w:color="auto"/>
                        <w:bottom w:val="none" w:sz="0" w:space="0" w:color="auto"/>
                        <w:right w:val="none" w:sz="0" w:space="0" w:color="auto"/>
                      </w:divBdr>
                    </w:div>
                  </w:divsChild>
                </w:div>
                <w:div w:id="1623730649">
                  <w:marLeft w:val="0"/>
                  <w:marRight w:val="0"/>
                  <w:marTop w:val="0"/>
                  <w:marBottom w:val="0"/>
                  <w:divBdr>
                    <w:top w:val="none" w:sz="0" w:space="0" w:color="auto"/>
                    <w:left w:val="none" w:sz="0" w:space="0" w:color="auto"/>
                    <w:bottom w:val="none" w:sz="0" w:space="0" w:color="auto"/>
                    <w:right w:val="none" w:sz="0" w:space="0" w:color="auto"/>
                  </w:divBdr>
                  <w:divsChild>
                    <w:div w:id="125782154">
                      <w:marLeft w:val="0"/>
                      <w:marRight w:val="0"/>
                      <w:marTop w:val="0"/>
                      <w:marBottom w:val="0"/>
                      <w:divBdr>
                        <w:top w:val="none" w:sz="0" w:space="0" w:color="auto"/>
                        <w:left w:val="none" w:sz="0" w:space="0" w:color="auto"/>
                        <w:bottom w:val="none" w:sz="0" w:space="0" w:color="auto"/>
                        <w:right w:val="none" w:sz="0" w:space="0" w:color="auto"/>
                      </w:divBdr>
                    </w:div>
                  </w:divsChild>
                </w:div>
                <w:div w:id="1927304285">
                  <w:marLeft w:val="0"/>
                  <w:marRight w:val="0"/>
                  <w:marTop w:val="0"/>
                  <w:marBottom w:val="0"/>
                  <w:divBdr>
                    <w:top w:val="none" w:sz="0" w:space="0" w:color="auto"/>
                    <w:left w:val="none" w:sz="0" w:space="0" w:color="auto"/>
                    <w:bottom w:val="none" w:sz="0" w:space="0" w:color="auto"/>
                    <w:right w:val="none" w:sz="0" w:space="0" w:color="auto"/>
                  </w:divBdr>
                  <w:divsChild>
                    <w:div w:id="1450857654">
                      <w:marLeft w:val="0"/>
                      <w:marRight w:val="0"/>
                      <w:marTop w:val="0"/>
                      <w:marBottom w:val="0"/>
                      <w:divBdr>
                        <w:top w:val="none" w:sz="0" w:space="0" w:color="auto"/>
                        <w:left w:val="none" w:sz="0" w:space="0" w:color="auto"/>
                        <w:bottom w:val="none" w:sz="0" w:space="0" w:color="auto"/>
                        <w:right w:val="none" w:sz="0" w:space="0" w:color="auto"/>
                      </w:divBdr>
                    </w:div>
                  </w:divsChild>
                </w:div>
                <w:div w:id="1954749197">
                  <w:marLeft w:val="0"/>
                  <w:marRight w:val="0"/>
                  <w:marTop w:val="0"/>
                  <w:marBottom w:val="0"/>
                  <w:divBdr>
                    <w:top w:val="none" w:sz="0" w:space="0" w:color="auto"/>
                    <w:left w:val="none" w:sz="0" w:space="0" w:color="auto"/>
                    <w:bottom w:val="none" w:sz="0" w:space="0" w:color="auto"/>
                    <w:right w:val="none" w:sz="0" w:space="0" w:color="auto"/>
                  </w:divBdr>
                  <w:divsChild>
                    <w:div w:id="475996732">
                      <w:marLeft w:val="0"/>
                      <w:marRight w:val="0"/>
                      <w:marTop w:val="0"/>
                      <w:marBottom w:val="0"/>
                      <w:divBdr>
                        <w:top w:val="none" w:sz="0" w:space="0" w:color="auto"/>
                        <w:left w:val="none" w:sz="0" w:space="0" w:color="auto"/>
                        <w:bottom w:val="none" w:sz="0" w:space="0" w:color="auto"/>
                        <w:right w:val="none" w:sz="0" w:space="0" w:color="auto"/>
                      </w:divBdr>
                    </w:div>
                  </w:divsChild>
                </w:div>
                <w:div w:id="2011902920">
                  <w:marLeft w:val="0"/>
                  <w:marRight w:val="0"/>
                  <w:marTop w:val="0"/>
                  <w:marBottom w:val="0"/>
                  <w:divBdr>
                    <w:top w:val="none" w:sz="0" w:space="0" w:color="auto"/>
                    <w:left w:val="none" w:sz="0" w:space="0" w:color="auto"/>
                    <w:bottom w:val="none" w:sz="0" w:space="0" w:color="auto"/>
                    <w:right w:val="none" w:sz="0" w:space="0" w:color="auto"/>
                  </w:divBdr>
                  <w:divsChild>
                    <w:div w:id="1802920123">
                      <w:marLeft w:val="0"/>
                      <w:marRight w:val="0"/>
                      <w:marTop w:val="0"/>
                      <w:marBottom w:val="0"/>
                      <w:divBdr>
                        <w:top w:val="none" w:sz="0" w:space="0" w:color="auto"/>
                        <w:left w:val="none" w:sz="0" w:space="0" w:color="auto"/>
                        <w:bottom w:val="none" w:sz="0" w:space="0" w:color="auto"/>
                        <w:right w:val="none" w:sz="0" w:space="0" w:color="auto"/>
                      </w:divBdr>
                    </w:div>
                  </w:divsChild>
                </w:div>
                <w:div w:id="2082562154">
                  <w:marLeft w:val="0"/>
                  <w:marRight w:val="0"/>
                  <w:marTop w:val="0"/>
                  <w:marBottom w:val="0"/>
                  <w:divBdr>
                    <w:top w:val="none" w:sz="0" w:space="0" w:color="auto"/>
                    <w:left w:val="none" w:sz="0" w:space="0" w:color="auto"/>
                    <w:bottom w:val="none" w:sz="0" w:space="0" w:color="auto"/>
                    <w:right w:val="none" w:sz="0" w:space="0" w:color="auto"/>
                  </w:divBdr>
                  <w:divsChild>
                    <w:div w:id="18155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699301">
          <w:marLeft w:val="0"/>
          <w:marRight w:val="0"/>
          <w:marTop w:val="0"/>
          <w:marBottom w:val="0"/>
          <w:divBdr>
            <w:top w:val="none" w:sz="0" w:space="0" w:color="auto"/>
            <w:left w:val="none" w:sz="0" w:space="0" w:color="auto"/>
            <w:bottom w:val="none" w:sz="0" w:space="0" w:color="auto"/>
            <w:right w:val="none" w:sz="0" w:space="0" w:color="auto"/>
          </w:divBdr>
        </w:div>
        <w:div w:id="1249970689">
          <w:marLeft w:val="0"/>
          <w:marRight w:val="0"/>
          <w:marTop w:val="0"/>
          <w:marBottom w:val="0"/>
          <w:divBdr>
            <w:top w:val="none" w:sz="0" w:space="0" w:color="auto"/>
            <w:left w:val="none" w:sz="0" w:space="0" w:color="auto"/>
            <w:bottom w:val="none" w:sz="0" w:space="0" w:color="auto"/>
            <w:right w:val="none" w:sz="0" w:space="0" w:color="auto"/>
          </w:divBdr>
        </w:div>
        <w:div w:id="1252276599">
          <w:marLeft w:val="0"/>
          <w:marRight w:val="0"/>
          <w:marTop w:val="0"/>
          <w:marBottom w:val="0"/>
          <w:divBdr>
            <w:top w:val="none" w:sz="0" w:space="0" w:color="auto"/>
            <w:left w:val="none" w:sz="0" w:space="0" w:color="auto"/>
            <w:bottom w:val="none" w:sz="0" w:space="0" w:color="auto"/>
            <w:right w:val="none" w:sz="0" w:space="0" w:color="auto"/>
          </w:divBdr>
        </w:div>
        <w:div w:id="1252473138">
          <w:marLeft w:val="0"/>
          <w:marRight w:val="0"/>
          <w:marTop w:val="0"/>
          <w:marBottom w:val="0"/>
          <w:divBdr>
            <w:top w:val="none" w:sz="0" w:space="0" w:color="auto"/>
            <w:left w:val="none" w:sz="0" w:space="0" w:color="auto"/>
            <w:bottom w:val="none" w:sz="0" w:space="0" w:color="auto"/>
            <w:right w:val="none" w:sz="0" w:space="0" w:color="auto"/>
          </w:divBdr>
        </w:div>
        <w:div w:id="1257519406">
          <w:marLeft w:val="0"/>
          <w:marRight w:val="0"/>
          <w:marTop w:val="0"/>
          <w:marBottom w:val="0"/>
          <w:divBdr>
            <w:top w:val="none" w:sz="0" w:space="0" w:color="auto"/>
            <w:left w:val="none" w:sz="0" w:space="0" w:color="auto"/>
            <w:bottom w:val="none" w:sz="0" w:space="0" w:color="auto"/>
            <w:right w:val="none" w:sz="0" w:space="0" w:color="auto"/>
          </w:divBdr>
        </w:div>
        <w:div w:id="1285115470">
          <w:marLeft w:val="0"/>
          <w:marRight w:val="0"/>
          <w:marTop w:val="0"/>
          <w:marBottom w:val="0"/>
          <w:divBdr>
            <w:top w:val="none" w:sz="0" w:space="0" w:color="auto"/>
            <w:left w:val="none" w:sz="0" w:space="0" w:color="auto"/>
            <w:bottom w:val="none" w:sz="0" w:space="0" w:color="auto"/>
            <w:right w:val="none" w:sz="0" w:space="0" w:color="auto"/>
          </w:divBdr>
        </w:div>
        <w:div w:id="1287001299">
          <w:marLeft w:val="0"/>
          <w:marRight w:val="0"/>
          <w:marTop w:val="0"/>
          <w:marBottom w:val="0"/>
          <w:divBdr>
            <w:top w:val="none" w:sz="0" w:space="0" w:color="auto"/>
            <w:left w:val="none" w:sz="0" w:space="0" w:color="auto"/>
            <w:bottom w:val="none" w:sz="0" w:space="0" w:color="auto"/>
            <w:right w:val="none" w:sz="0" w:space="0" w:color="auto"/>
          </w:divBdr>
        </w:div>
        <w:div w:id="1297639013">
          <w:marLeft w:val="0"/>
          <w:marRight w:val="0"/>
          <w:marTop w:val="0"/>
          <w:marBottom w:val="0"/>
          <w:divBdr>
            <w:top w:val="none" w:sz="0" w:space="0" w:color="auto"/>
            <w:left w:val="none" w:sz="0" w:space="0" w:color="auto"/>
            <w:bottom w:val="none" w:sz="0" w:space="0" w:color="auto"/>
            <w:right w:val="none" w:sz="0" w:space="0" w:color="auto"/>
          </w:divBdr>
        </w:div>
        <w:div w:id="1299799021">
          <w:marLeft w:val="0"/>
          <w:marRight w:val="0"/>
          <w:marTop w:val="0"/>
          <w:marBottom w:val="0"/>
          <w:divBdr>
            <w:top w:val="none" w:sz="0" w:space="0" w:color="auto"/>
            <w:left w:val="none" w:sz="0" w:space="0" w:color="auto"/>
            <w:bottom w:val="none" w:sz="0" w:space="0" w:color="auto"/>
            <w:right w:val="none" w:sz="0" w:space="0" w:color="auto"/>
          </w:divBdr>
        </w:div>
        <w:div w:id="1324044411">
          <w:marLeft w:val="0"/>
          <w:marRight w:val="0"/>
          <w:marTop w:val="0"/>
          <w:marBottom w:val="0"/>
          <w:divBdr>
            <w:top w:val="none" w:sz="0" w:space="0" w:color="auto"/>
            <w:left w:val="none" w:sz="0" w:space="0" w:color="auto"/>
            <w:bottom w:val="none" w:sz="0" w:space="0" w:color="auto"/>
            <w:right w:val="none" w:sz="0" w:space="0" w:color="auto"/>
          </w:divBdr>
        </w:div>
        <w:div w:id="1329941070">
          <w:marLeft w:val="0"/>
          <w:marRight w:val="0"/>
          <w:marTop w:val="0"/>
          <w:marBottom w:val="0"/>
          <w:divBdr>
            <w:top w:val="none" w:sz="0" w:space="0" w:color="auto"/>
            <w:left w:val="none" w:sz="0" w:space="0" w:color="auto"/>
            <w:bottom w:val="none" w:sz="0" w:space="0" w:color="auto"/>
            <w:right w:val="none" w:sz="0" w:space="0" w:color="auto"/>
          </w:divBdr>
        </w:div>
        <w:div w:id="1335643792">
          <w:marLeft w:val="0"/>
          <w:marRight w:val="0"/>
          <w:marTop w:val="0"/>
          <w:marBottom w:val="0"/>
          <w:divBdr>
            <w:top w:val="none" w:sz="0" w:space="0" w:color="auto"/>
            <w:left w:val="none" w:sz="0" w:space="0" w:color="auto"/>
            <w:bottom w:val="none" w:sz="0" w:space="0" w:color="auto"/>
            <w:right w:val="none" w:sz="0" w:space="0" w:color="auto"/>
          </w:divBdr>
        </w:div>
        <w:div w:id="1335836005">
          <w:marLeft w:val="0"/>
          <w:marRight w:val="0"/>
          <w:marTop w:val="0"/>
          <w:marBottom w:val="0"/>
          <w:divBdr>
            <w:top w:val="none" w:sz="0" w:space="0" w:color="auto"/>
            <w:left w:val="none" w:sz="0" w:space="0" w:color="auto"/>
            <w:bottom w:val="none" w:sz="0" w:space="0" w:color="auto"/>
            <w:right w:val="none" w:sz="0" w:space="0" w:color="auto"/>
          </w:divBdr>
        </w:div>
        <w:div w:id="1359963624">
          <w:marLeft w:val="0"/>
          <w:marRight w:val="0"/>
          <w:marTop w:val="0"/>
          <w:marBottom w:val="0"/>
          <w:divBdr>
            <w:top w:val="none" w:sz="0" w:space="0" w:color="auto"/>
            <w:left w:val="none" w:sz="0" w:space="0" w:color="auto"/>
            <w:bottom w:val="none" w:sz="0" w:space="0" w:color="auto"/>
            <w:right w:val="none" w:sz="0" w:space="0" w:color="auto"/>
          </w:divBdr>
        </w:div>
        <w:div w:id="1372069590">
          <w:marLeft w:val="0"/>
          <w:marRight w:val="0"/>
          <w:marTop w:val="0"/>
          <w:marBottom w:val="0"/>
          <w:divBdr>
            <w:top w:val="none" w:sz="0" w:space="0" w:color="auto"/>
            <w:left w:val="none" w:sz="0" w:space="0" w:color="auto"/>
            <w:bottom w:val="none" w:sz="0" w:space="0" w:color="auto"/>
            <w:right w:val="none" w:sz="0" w:space="0" w:color="auto"/>
          </w:divBdr>
        </w:div>
        <w:div w:id="1383753292">
          <w:marLeft w:val="0"/>
          <w:marRight w:val="0"/>
          <w:marTop w:val="0"/>
          <w:marBottom w:val="0"/>
          <w:divBdr>
            <w:top w:val="none" w:sz="0" w:space="0" w:color="auto"/>
            <w:left w:val="none" w:sz="0" w:space="0" w:color="auto"/>
            <w:bottom w:val="none" w:sz="0" w:space="0" w:color="auto"/>
            <w:right w:val="none" w:sz="0" w:space="0" w:color="auto"/>
          </w:divBdr>
        </w:div>
        <w:div w:id="1384598626">
          <w:marLeft w:val="0"/>
          <w:marRight w:val="0"/>
          <w:marTop w:val="0"/>
          <w:marBottom w:val="0"/>
          <w:divBdr>
            <w:top w:val="none" w:sz="0" w:space="0" w:color="auto"/>
            <w:left w:val="none" w:sz="0" w:space="0" w:color="auto"/>
            <w:bottom w:val="none" w:sz="0" w:space="0" w:color="auto"/>
            <w:right w:val="none" w:sz="0" w:space="0" w:color="auto"/>
          </w:divBdr>
        </w:div>
        <w:div w:id="1385522203">
          <w:marLeft w:val="0"/>
          <w:marRight w:val="0"/>
          <w:marTop w:val="0"/>
          <w:marBottom w:val="0"/>
          <w:divBdr>
            <w:top w:val="none" w:sz="0" w:space="0" w:color="auto"/>
            <w:left w:val="none" w:sz="0" w:space="0" w:color="auto"/>
            <w:bottom w:val="none" w:sz="0" w:space="0" w:color="auto"/>
            <w:right w:val="none" w:sz="0" w:space="0" w:color="auto"/>
          </w:divBdr>
        </w:div>
        <w:div w:id="1397321317">
          <w:marLeft w:val="0"/>
          <w:marRight w:val="0"/>
          <w:marTop w:val="0"/>
          <w:marBottom w:val="0"/>
          <w:divBdr>
            <w:top w:val="none" w:sz="0" w:space="0" w:color="auto"/>
            <w:left w:val="none" w:sz="0" w:space="0" w:color="auto"/>
            <w:bottom w:val="none" w:sz="0" w:space="0" w:color="auto"/>
            <w:right w:val="none" w:sz="0" w:space="0" w:color="auto"/>
          </w:divBdr>
        </w:div>
        <w:div w:id="1397826243">
          <w:marLeft w:val="0"/>
          <w:marRight w:val="0"/>
          <w:marTop w:val="0"/>
          <w:marBottom w:val="0"/>
          <w:divBdr>
            <w:top w:val="none" w:sz="0" w:space="0" w:color="auto"/>
            <w:left w:val="none" w:sz="0" w:space="0" w:color="auto"/>
            <w:bottom w:val="none" w:sz="0" w:space="0" w:color="auto"/>
            <w:right w:val="none" w:sz="0" w:space="0" w:color="auto"/>
          </w:divBdr>
        </w:div>
        <w:div w:id="1397892759">
          <w:marLeft w:val="0"/>
          <w:marRight w:val="0"/>
          <w:marTop w:val="0"/>
          <w:marBottom w:val="0"/>
          <w:divBdr>
            <w:top w:val="none" w:sz="0" w:space="0" w:color="auto"/>
            <w:left w:val="none" w:sz="0" w:space="0" w:color="auto"/>
            <w:bottom w:val="none" w:sz="0" w:space="0" w:color="auto"/>
            <w:right w:val="none" w:sz="0" w:space="0" w:color="auto"/>
          </w:divBdr>
        </w:div>
        <w:div w:id="1405832432">
          <w:marLeft w:val="0"/>
          <w:marRight w:val="0"/>
          <w:marTop w:val="0"/>
          <w:marBottom w:val="0"/>
          <w:divBdr>
            <w:top w:val="none" w:sz="0" w:space="0" w:color="auto"/>
            <w:left w:val="none" w:sz="0" w:space="0" w:color="auto"/>
            <w:bottom w:val="none" w:sz="0" w:space="0" w:color="auto"/>
            <w:right w:val="none" w:sz="0" w:space="0" w:color="auto"/>
          </w:divBdr>
        </w:div>
        <w:div w:id="1407417389">
          <w:marLeft w:val="0"/>
          <w:marRight w:val="0"/>
          <w:marTop w:val="0"/>
          <w:marBottom w:val="0"/>
          <w:divBdr>
            <w:top w:val="none" w:sz="0" w:space="0" w:color="auto"/>
            <w:left w:val="none" w:sz="0" w:space="0" w:color="auto"/>
            <w:bottom w:val="none" w:sz="0" w:space="0" w:color="auto"/>
            <w:right w:val="none" w:sz="0" w:space="0" w:color="auto"/>
          </w:divBdr>
        </w:div>
        <w:div w:id="1430420173">
          <w:marLeft w:val="0"/>
          <w:marRight w:val="0"/>
          <w:marTop w:val="0"/>
          <w:marBottom w:val="0"/>
          <w:divBdr>
            <w:top w:val="none" w:sz="0" w:space="0" w:color="auto"/>
            <w:left w:val="none" w:sz="0" w:space="0" w:color="auto"/>
            <w:bottom w:val="none" w:sz="0" w:space="0" w:color="auto"/>
            <w:right w:val="none" w:sz="0" w:space="0" w:color="auto"/>
          </w:divBdr>
        </w:div>
        <w:div w:id="1436485853">
          <w:marLeft w:val="0"/>
          <w:marRight w:val="0"/>
          <w:marTop w:val="0"/>
          <w:marBottom w:val="0"/>
          <w:divBdr>
            <w:top w:val="none" w:sz="0" w:space="0" w:color="auto"/>
            <w:left w:val="none" w:sz="0" w:space="0" w:color="auto"/>
            <w:bottom w:val="none" w:sz="0" w:space="0" w:color="auto"/>
            <w:right w:val="none" w:sz="0" w:space="0" w:color="auto"/>
          </w:divBdr>
        </w:div>
        <w:div w:id="1453475776">
          <w:marLeft w:val="0"/>
          <w:marRight w:val="0"/>
          <w:marTop w:val="0"/>
          <w:marBottom w:val="0"/>
          <w:divBdr>
            <w:top w:val="none" w:sz="0" w:space="0" w:color="auto"/>
            <w:left w:val="none" w:sz="0" w:space="0" w:color="auto"/>
            <w:bottom w:val="none" w:sz="0" w:space="0" w:color="auto"/>
            <w:right w:val="none" w:sz="0" w:space="0" w:color="auto"/>
          </w:divBdr>
        </w:div>
        <w:div w:id="1485659142">
          <w:marLeft w:val="0"/>
          <w:marRight w:val="0"/>
          <w:marTop w:val="0"/>
          <w:marBottom w:val="0"/>
          <w:divBdr>
            <w:top w:val="none" w:sz="0" w:space="0" w:color="auto"/>
            <w:left w:val="none" w:sz="0" w:space="0" w:color="auto"/>
            <w:bottom w:val="none" w:sz="0" w:space="0" w:color="auto"/>
            <w:right w:val="none" w:sz="0" w:space="0" w:color="auto"/>
          </w:divBdr>
        </w:div>
        <w:div w:id="1488403028">
          <w:marLeft w:val="0"/>
          <w:marRight w:val="0"/>
          <w:marTop w:val="0"/>
          <w:marBottom w:val="0"/>
          <w:divBdr>
            <w:top w:val="none" w:sz="0" w:space="0" w:color="auto"/>
            <w:left w:val="none" w:sz="0" w:space="0" w:color="auto"/>
            <w:bottom w:val="none" w:sz="0" w:space="0" w:color="auto"/>
            <w:right w:val="none" w:sz="0" w:space="0" w:color="auto"/>
          </w:divBdr>
        </w:div>
        <w:div w:id="1494370753">
          <w:marLeft w:val="0"/>
          <w:marRight w:val="0"/>
          <w:marTop w:val="0"/>
          <w:marBottom w:val="0"/>
          <w:divBdr>
            <w:top w:val="none" w:sz="0" w:space="0" w:color="auto"/>
            <w:left w:val="none" w:sz="0" w:space="0" w:color="auto"/>
            <w:bottom w:val="none" w:sz="0" w:space="0" w:color="auto"/>
            <w:right w:val="none" w:sz="0" w:space="0" w:color="auto"/>
          </w:divBdr>
        </w:div>
        <w:div w:id="1501238099">
          <w:marLeft w:val="0"/>
          <w:marRight w:val="0"/>
          <w:marTop w:val="0"/>
          <w:marBottom w:val="0"/>
          <w:divBdr>
            <w:top w:val="none" w:sz="0" w:space="0" w:color="auto"/>
            <w:left w:val="none" w:sz="0" w:space="0" w:color="auto"/>
            <w:bottom w:val="none" w:sz="0" w:space="0" w:color="auto"/>
            <w:right w:val="none" w:sz="0" w:space="0" w:color="auto"/>
          </w:divBdr>
        </w:div>
        <w:div w:id="1513691401">
          <w:marLeft w:val="0"/>
          <w:marRight w:val="0"/>
          <w:marTop w:val="0"/>
          <w:marBottom w:val="0"/>
          <w:divBdr>
            <w:top w:val="none" w:sz="0" w:space="0" w:color="auto"/>
            <w:left w:val="none" w:sz="0" w:space="0" w:color="auto"/>
            <w:bottom w:val="none" w:sz="0" w:space="0" w:color="auto"/>
            <w:right w:val="none" w:sz="0" w:space="0" w:color="auto"/>
          </w:divBdr>
        </w:div>
        <w:div w:id="1562445940">
          <w:marLeft w:val="0"/>
          <w:marRight w:val="0"/>
          <w:marTop w:val="0"/>
          <w:marBottom w:val="0"/>
          <w:divBdr>
            <w:top w:val="none" w:sz="0" w:space="0" w:color="auto"/>
            <w:left w:val="none" w:sz="0" w:space="0" w:color="auto"/>
            <w:bottom w:val="none" w:sz="0" w:space="0" w:color="auto"/>
            <w:right w:val="none" w:sz="0" w:space="0" w:color="auto"/>
          </w:divBdr>
        </w:div>
        <w:div w:id="1576233696">
          <w:marLeft w:val="0"/>
          <w:marRight w:val="0"/>
          <w:marTop w:val="0"/>
          <w:marBottom w:val="0"/>
          <w:divBdr>
            <w:top w:val="none" w:sz="0" w:space="0" w:color="auto"/>
            <w:left w:val="none" w:sz="0" w:space="0" w:color="auto"/>
            <w:bottom w:val="none" w:sz="0" w:space="0" w:color="auto"/>
            <w:right w:val="none" w:sz="0" w:space="0" w:color="auto"/>
          </w:divBdr>
        </w:div>
        <w:div w:id="1583367297">
          <w:marLeft w:val="0"/>
          <w:marRight w:val="0"/>
          <w:marTop w:val="0"/>
          <w:marBottom w:val="0"/>
          <w:divBdr>
            <w:top w:val="none" w:sz="0" w:space="0" w:color="auto"/>
            <w:left w:val="none" w:sz="0" w:space="0" w:color="auto"/>
            <w:bottom w:val="none" w:sz="0" w:space="0" w:color="auto"/>
            <w:right w:val="none" w:sz="0" w:space="0" w:color="auto"/>
          </w:divBdr>
        </w:div>
        <w:div w:id="1593317563">
          <w:marLeft w:val="0"/>
          <w:marRight w:val="0"/>
          <w:marTop w:val="0"/>
          <w:marBottom w:val="0"/>
          <w:divBdr>
            <w:top w:val="none" w:sz="0" w:space="0" w:color="auto"/>
            <w:left w:val="none" w:sz="0" w:space="0" w:color="auto"/>
            <w:bottom w:val="none" w:sz="0" w:space="0" w:color="auto"/>
            <w:right w:val="none" w:sz="0" w:space="0" w:color="auto"/>
          </w:divBdr>
        </w:div>
        <w:div w:id="1610503269">
          <w:marLeft w:val="0"/>
          <w:marRight w:val="0"/>
          <w:marTop w:val="0"/>
          <w:marBottom w:val="0"/>
          <w:divBdr>
            <w:top w:val="none" w:sz="0" w:space="0" w:color="auto"/>
            <w:left w:val="none" w:sz="0" w:space="0" w:color="auto"/>
            <w:bottom w:val="none" w:sz="0" w:space="0" w:color="auto"/>
            <w:right w:val="none" w:sz="0" w:space="0" w:color="auto"/>
          </w:divBdr>
        </w:div>
        <w:div w:id="1611424890">
          <w:marLeft w:val="0"/>
          <w:marRight w:val="0"/>
          <w:marTop w:val="0"/>
          <w:marBottom w:val="0"/>
          <w:divBdr>
            <w:top w:val="none" w:sz="0" w:space="0" w:color="auto"/>
            <w:left w:val="none" w:sz="0" w:space="0" w:color="auto"/>
            <w:bottom w:val="none" w:sz="0" w:space="0" w:color="auto"/>
            <w:right w:val="none" w:sz="0" w:space="0" w:color="auto"/>
          </w:divBdr>
        </w:div>
        <w:div w:id="1615794436">
          <w:marLeft w:val="0"/>
          <w:marRight w:val="0"/>
          <w:marTop w:val="0"/>
          <w:marBottom w:val="0"/>
          <w:divBdr>
            <w:top w:val="none" w:sz="0" w:space="0" w:color="auto"/>
            <w:left w:val="none" w:sz="0" w:space="0" w:color="auto"/>
            <w:bottom w:val="none" w:sz="0" w:space="0" w:color="auto"/>
            <w:right w:val="none" w:sz="0" w:space="0" w:color="auto"/>
          </w:divBdr>
        </w:div>
        <w:div w:id="1617255707">
          <w:marLeft w:val="0"/>
          <w:marRight w:val="0"/>
          <w:marTop w:val="0"/>
          <w:marBottom w:val="0"/>
          <w:divBdr>
            <w:top w:val="none" w:sz="0" w:space="0" w:color="auto"/>
            <w:left w:val="none" w:sz="0" w:space="0" w:color="auto"/>
            <w:bottom w:val="none" w:sz="0" w:space="0" w:color="auto"/>
            <w:right w:val="none" w:sz="0" w:space="0" w:color="auto"/>
          </w:divBdr>
        </w:div>
        <w:div w:id="1639803461">
          <w:marLeft w:val="0"/>
          <w:marRight w:val="0"/>
          <w:marTop w:val="0"/>
          <w:marBottom w:val="0"/>
          <w:divBdr>
            <w:top w:val="none" w:sz="0" w:space="0" w:color="auto"/>
            <w:left w:val="none" w:sz="0" w:space="0" w:color="auto"/>
            <w:bottom w:val="none" w:sz="0" w:space="0" w:color="auto"/>
            <w:right w:val="none" w:sz="0" w:space="0" w:color="auto"/>
          </w:divBdr>
        </w:div>
        <w:div w:id="1644458892">
          <w:marLeft w:val="0"/>
          <w:marRight w:val="0"/>
          <w:marTop w:val="0"/>
          <w:marBottom w:val="0"/>
          <w:divBdr>
            <w:top w:val="none" w:sz="0" w:space="0" w:color="auto"/>
            <w:left w:val="none" w:sz="0" w:space="0" w:color="auto"/>
            <w:bottom w:val="none" w:sz="0" w:space="0" w:color="auto"/>
            <w:right w:val="none" w:sz="0" w:space="0" w:color="auto"/>
          </w:divBdr>
        </w:div>
        <w:div w:id="1667439274">
          <w:marLeft w:val="0"/>
          <w:marRight w:val="0"/>
          <w:marTop w:val="0"/>
          <w:marBottom w:val="0"/>
          <w:divBdr>
            <w:top w:val="none" w:sz="0" w:space="0" w:color="auto"/>
            <w:left w:val="none" w:sz="0" w:space="0" w:color="auto"/>
            <w:bottom w:val="none" w:sz="0" w:space="0" w:color="auto"/>
            <w:right w:val="none" w:sz="0" w:space="0" w:color="auto"/>
          </w:divBdr>
        </w:div>
        <w:div w:id="1668481920">
          <w:marLeft w:val="0"/>
          <w:marRight w:val="0"/>
          <w:marTop w:val="0"/>
          <w:marBottom w:val="0"/>
          <w:divBdr>
            <w:top w:val="none" w:sz="0" w:space="0" w:color="auto"/>
            <w:left w:val="none" w:sz="0" w:space="0" w:color="auto"/>
            <w:bottom w:val="none" w:sz="0" w:space="0" w:color="auto"/>
            <w:right w:val="none" w:sz="0" w:space="0" w:color="auto"/>
          </w:divBdr>
        </w:div>
        <w:div w:id="1682076429">
          <w:marLeft w:val="0"/>
          <w:marRight w:val="0"/>
          <w:marTop w:val="0"/>
          <w:marBottom w:val="0"/>
          <w:divBdr>
            <w:top w:val="none" w:sz="0" w:space="0" w:color="auto"/>
            <w:left w:val="none" w:sz="0" w:space="0" w:color="auto"/>
            <w:bottom w:val="none" w:sz="0" w:space="0" w:color="auto"/>
            <w:right w:val="none" w:sz="0" w:space="0" w:color="auto"/>
          </w:divBdr>
        </w:div>
        <w:div w:id="1685665716">
          <w:marLeft w:val="0"/>
          <w:marRight w:val="0"/>
          <w:marTop w:val="0"/>
          <w:marBottom w:val="0"/>
          <w:divBdr>
            <w:top w:val="none" w:sz="0" w:space="0" w:color="auto"/>
            <w:left w:val="none" w:sz="0" w:space="0" w:color="auto"/>
            <w:bottom w:val="none" w:sz="0" w:space="0" w:color="auto"/>
            <w:right w:val="none" w:sz="0" w:space="0" w:color="auto"/>
          </w:divBdr>
        </w:div>
        <w:div w:id="1703894742">
          <w:marLeft w:val="0"/>
          <w:marRight w:val="0"/>
          <w:marTop w:val="0"/>
          <w:marBottom w:val="0"/>
          <w:divBdr>
            <w:top w:val="none" w:sz="0" w:space="0" w:color="auto"/>
            <w:left w:val="none" w:sz="0" w:space="0" w:color="auto"/>
            <w:bottom w:val="none" w:sz="0" w:space="0" w:color="auto"/>
            <w:right w:val="none" w:sz="0" w:space="0" w:color="auto"/>
          </w:divBdr>
        </w:div>
        <w:div w:id="1711757015">
          <w:marLeft w:val="0"/>
          <w:marRight w:val="0"/>
          <w:marTop w:val="0"/>
          <w:marBottom w:val="0"/>
          <w:divBdr>
            <w:top w:val="none" w:sz="0" w:space="0" w:color="auto"/>
            <w:left w:val="none" w:sz="0" w:space="0" w:color="auto"/>
            <w:bottom w:val="none" w:sz="0" w:space="0" w:color="auto"/>
            <w:right w:val="none" w:sz="0" w:space="0" w:color="auto"/>
          </w:divBdr>
        </w:div>
        <w:div w:id="1756825090">
          <w:marLeft w:val="0"/>
          <w:marRight w:val="0"/>
          <w:marTop w:val="0"/>
          <w:marBottom w:val="0"/>
          <w:divBdr>
            <w:top w:val="none" w:sz="0" w:space="0" w:color="auto"/>
            <w:left w:val="none" w:sz="0" w:space="0" w:color="auto"/>
            <w:bottom w:val="none" w:sz="0" w:space="0" w:color="auto"/>
            <w:right w:val="none" w:sz="0" w:space="0" w:color="auto"/>
          </w:divBdr>
        </w:div>
        <w:div w:id="1757750540">
          <w:marLeft w:val="0"/>
          <w:marRight w:val="0"/>
          <w:marTop w:val="0"/>
          <w:marBottom w:val="0"/>
          <w:divBdr>
            <w:top w:val="none" w:sz="0" w:space="0" w:color="auto"/>
            <w:left w:val="none" w:sz="0" w:space="0" w:color="auto"/>
            <w:bottom w:val="none" w:sz="0" w:space="0" w:color="auto"/>
            <w:right w:val="none" w:sz="0" w:space="0" w:color="auto"/>
          </w:divBdr>
        </w:div>
        <w:div w:id="1761442471">
          <w:marLeft w:val="0"/>
          <w:marRight w:val="0"/>
          <w:marTop w:val="0"/>
          <w:marBottom w:val="0"/>
          <w:divBdr>
            <w:top w:val="none" w:sz="0" w:space="0" w:color="auto"/>
            <w:left w:val="none" w:sz="0" w:space="0" w:color="auto"/>
            <w:bottom w:val="none" w:sz="0" w:space="0" w:color="auto"/>
            <w:right w:val="none" w:sz="0" w:space="0" w:color="auto"/>
          </w:divBdr>
          <w:divsChild>
            <w:div w:id="1918008311">
              <w:marLeft w:val="-75"/>
              <w:marRight w:val="0"/>
              <w:marTop w:val="30"/>
              <w:marBottom w:val="30"/>
              <w:divBdr>
                <w:top w:val="none" w:sz="0" w:space="0" w:color="auto"/>
                <w:left w:val="none" w:sz="0" w:space="0" w:color="auto"/>
                <w:bottom w:val="none" w:sz="0" w:space="0" w:color="auto"/>
                <w:right w:val="none" w:sz="0" w:space="0" w:color="auto"/>
              </w:divBdr>
              <w:divsChild>
                <w:div w:id="96601778">
                  <w:marLeft w:val="0"/>
                  <w:marRight w:val="0"/>
                  <w:marTop w:val="0"/>
                  <w:marBottom w:val="0"/>
                  <w:divBdr>
                    <w:top w:val="none" w:sz="0" w:space="0" w:color="auto"/>
                    <w:left w:val="none" w:sz="0" w:space="0" w:color="auto"/>
                    <w:bottom w:val="none" w:sz="0" w:space="0" w:color="auto"/>
                    <w:right w:val="none" w:sz="0" w:space="0" w:color="auto"/>
                  </w:divBdr>
                  <w:divsChild>
                    <w:div w:id="993876648">
                      <w:marLeft w:val="0"/>
                      <w:marRight w:val="0"/>
                      <w:marTop w:val="0"/>
                      <w:marBottom w:val="0"/>
                      <w:divBdr>
                        <w:top w:val="none" w:sz="0" w:space="0" w:color="auto"/>
                        <w:left w:val="none" w:sz="0" w:space="0" w:color="auto"/>
                        <w:bottom w:val="none" w:sz="0" w:space="0" w:color="auto"/>
                        <w:right w:val="none" w:sz="0" w:space="0" w:color="auto"/>
                      </w:divBdr>
                    </w:div>
                  </w:divsChild>
                </w:div>
                <w:div w:id="244843869">
                  <w:marLeft w:val="0"/>
                  <w:marRight w:val="0"/>
                  <w:marTop w:val="0"/>
                  <w:marBottom w:val="0"/>
                  <w:divBdr>
                    <w:top w:val="none" w:sz="0" w:space="0" w:color="auto"/>
                    <w:left w:val="none" w:sz="0" w:space="0" w:color="auto"/>
                    <w:bottom w:val="none" w:sz="0" w:space="0" w:color="auto"/>
                    <w:right w:val="none" w:sz="0" w:space="0" w:color="auto"/>
                  </w:divBdr>
                  <w:divsChild>
                    <w:div w:id="2011716551">
                      <w:marLeft w:val="0"/>
                      <w:marRight w:val="0"/>
                      <w:marTop w:val="0"/>
                      <w:marBottom w:val="0"/>
                      <w:divBdr>
                        <w:top w:val="none" w:sz="0" w:space="0" w:color="auto"/>
                        <w:left w:val="none" w:sz="0" w:space="0" w:color="auto"/>
                        <w:bottom w:val="none" w:sz="0" w:space="0" w:color="auto"/>
                        <w:right w:val="none" w:sz="0" w:space="0" w:color="auto"/>
                      </w:divBdr>
                    </w:div>
                  </w:divsChild>
                </w:div>
                <w:div w:id="291400735">
                  <w:marLeft w:val="0"/>
                  <w:marRight w:val="0"/>
                  <w:marTop w:val="0"/>
                  <w:marBottom w:val="0"/>
                  <w:divBdr>
                    <w:top w:val="none" w:sz="0" w:space="0" w:color="auto"/>
                    <w:left w:val="none" w:sz="0" w:space="0" w:color="auto"/>
                    <w:bottom w:val="none" w:sz="0" w:space="0" w:color="auto"/>
                    <w:right w:val="none" w:sz="0" w:space="0" w:color="auto"/>
                  </w:divBdr>
                  <w:divsChild>
                    <w:div w:id="176046101">
                      <w:marLeft w:val="0"/>
                      <w:marRight w:val="0"/>
                      <w:marTop w:val="0"/>
                      <w:marBottom w:val="0"/>
                      <w:divBdr>
                        <w:top w:val="none" w:sz="0" w:space="0" w:color="auto"/>
                        <w:left w:val="none" w:sz="0" w:space="0" w:color="auto"/>
                        <w:bottom w:val="none" w:sz="0" w:space="0" w:color="auto"/>
                        <w:right w:val="none" w:sz="0" w:space="0" w:color="auto"/>
                      </w:divBdr>
                    </w:div>
                  </w:divsChild>
                </w:div>
                <w:div w:id="362827079">
                  <w:marLeft w:val="0"/>
                  <w:marRight w:val="0"/>
                  <w:marTop w:val="0"/>
                  <w:marBottom w:val="0"/>
                  <w:divBdr>
                    <w:top w:val="none" w:sz="0" w:space="0" w:color="auto"/>
                    <w:left w:val="none" w:sz="0" w:space="0" w:color="auto"/>
                    <w:bottom w:val="none" w:sz="0" w:space="0" w:color="auto"/>
                    <w:right w:val="none" w:sz="0" w:space="0" w:color="auto"/>
                  </w:divBdr>
                  <w:divsChild>
                    <w:div w:id="418256725">
                      <w:marLeft w:val="0"/>
                      <w:marRight w:val="0"/>
                      <w:marTop w:val="0"/>
                      <w:marBottom w:val="0"/>
                      <w:divBdr>
                        <w:top w:val="none" w:sz="0" w:space="0" w:color="auto"/>
                        <w:left w:val="none" w:sz="0" w:space="0" w:color="auto"/>
                        <w:bottom w:val="none" w:sz="0" w:space="0" w:color="auto"/>
                        <w:right w:val="none" w:sz="0" w:space="0" w:color="auto"/>
                      </w:divBdr>
                    </w:div>
                  </w:divsChild>
                </w:div>
                <w:div w:id="441340507">
                  <w:marLeft w:val="0"/>
                  <w:marRight w:val="0"/>
                  <w:marTop w:val="0"/>
                  <w:marBottom w:val="0"/>
                  <w:divBdr>
                    <w:top w:val="none" w:sz="0" w:space="0" w:color="auto"/>
                    <w:left w:val="none" w:sz="0" w:space="0" w:color="auto"/>
                    <w:bottom w:val="none" w:sz="0" w:space="0" w:color="auto"/>
                    <w:right w:val="none" w:sz="0" w:space="0" w:color="auto"/>
                  </w:divBdr>
                  <w:divsChild>
                    <w:div w:id="306474079">
                      <w:marLeft w:val="0"/>
                      <w:marRight w:val="0"/>
                      <w:marTop w:val="0"/>
                      <w:marBottom w:val="0"/>
                      <w:divBdr>
                        <w:top w:val="none" w:sz="0" w:space="0" w:color="auto"/>
                        <w:left w:val="none" w:sz="0" w:space="0" w:color="auto"/>
                        <w:bottom w:val="none" w:sz="0" w:space="0" w:color="auto"/>
                        <w:right w:val="none" w:sz="0" w:space="0" w:color="auto"/>
                      </w:divBdr>
                    </w:div>
                  </w:divsChild>
                </w:div>
                <w:div w:id="451746605">
                  <w:marLeft w:val="0"/>
                  <w:marRight w:val="0"/>
                  <w:marTop w:val="0"/>
                  <w:marBottom w:val="0"/>
                  <w:divBdr>
                    <w:top w:val="none" w:sz="0" w:space="0" w:color="auto"/>
                    <w:left w:val="none" w:sz="0" w:space="0" w:color="auto"/>
                    <w:bottom w:val="none" w:sz="0" w:space="0" w:color="auto"/>
                    <w:right w:val="none" w:sz="0" w:space="0" w:color="auto"/>
                  </w:divBdr>
                  <w:divsChild>
                    <w:div w:id="1594244658">
                      <w:marLeft w:val="0"/>
                      <w:marRight w:val="0"/>
                      <w:marTop w:val="0"/>
                      <w:marBottom w:val="0"/>
                      <w:divBdr>
                        <w:top w:val="none" w:sz="0" w:space="0" w:color="auto"/>
                        <w:left w:val="none" w:sz="0" w:space="0" w:color="auto"/>
                        <w:bottom w:val="none" w:sz="0" w:space="0" w:color="auto"/>
                        <w:right w:val="none" w:sz="0" w:space="0" w:color="auto"/>
                      </w:divBdr>
                    </w:div>
                  </w:divsChild>
                </w:div>
                <w:div w:id="455566823">
                  <w:marLeft w:val="0"/>
                  <w:marRight w:val="0"/>
                  <w:marTop w:val="0"/>
                  <w:marBottom w:val="0"/>
                  <w:divBdr>
                    <w:top w:val="none" w:sz="0" w:space="0" w:color="auto"/>
                    <w:left w:val="none" w:sz="0" w:space="0" w:color="auto"/>
                    <w:bottom w:val="none" w:sz="0" w:space="0" w:color="auto"/>
                    <w:right w:val="none" w:sz="0" w:space="0" w:color="auto"/>
                  </w:divBdr>
                  <w:divsChild>
                    <w:div w:id="313997323">
                      <w:marLeft w:val="0"/>
                      <w:marRight w:val="0"/>
                      <w:marTop w:val="0"/>
                      <w:marBottom w:val="0"/>
                      <w:divBdr>
                        <w:top w:val="none" w:sz="0" w:space="0" w:color="auto"/>
                        <w:left w:val="none" w:sz="0" w:space="0" w:color="auto"/>
                        <w:bottom w:val="none" w:sz="0" w:space="0" w:color="auto"/>
                        <w:right w:val="none" w:sz="0" w:space="0" w:color="auto"/>
                      </w:divBdr>
                    </w:div>
                  </w:divsChild>
                </w:div>
                <w:div w:id="480467436">
                  <w:marLeft w:val="0"/>
                  <w:marRight w:val="0"/>
                  <w:marTop w:val="0"/>
                  <w:marBottom w:val="0"/>
                  <w:divBdr>
                    <w:top w:val="none" w:sz="0" w:space="0" w:color="auto"/>
                    <w:left w:val="none" w:sz="0" w:space="0" w:color="auto"/>
                    <w:bottom w:val="none" w:sz="0" w:space="0" w:color="auto"/>
                    <w:right w:val="none" w:sz="0" w:space="0" w:color="auto"/>
                  </w:divBdr>
                  <w:divsChild>
                    <w:div w:id="1096514406">
                      <w:marLeft w:val="0"/>
                      <w:marRight w:val="0"/>
                      <w:marTop w:val="0"/>
                      <w:marBottom w:val="0"/>
                      <w:divBdr>
                        <w:top w:val="none" w:sz="0" w:space="0" w:color="auto"/>
                        <w:left w:val="none" w:sz="0" w:space="0" w:color="auto"/>
                        <w:bottom w:val="none" w:sz="0" w:space="0" w:color="auto"/>
                        <w:right w:val="none" w:sz="0" w:space="0" w:color="auto"/>
                      </w:divBdr>
                    </w:div>
                  </w:divsChild>
                </w:div>
                <w:div w:id="492993872">
                  <w:marLeft w:val="0"/>
                  <w:marRight w:val="0"/>
                  <w:marTop w:val="0"/>
                  <w:marBottom w:val="0"/>
                  <w:divBdr>
                    <w:top w:val="none" w:sz="0" w:space="0" w:color="auto"/>
                    <w:left w:val="none" w:sz="0" w:space="0" w:color="auto"/>
                    <w:bottom w:val="none" w:sz="0" w:space="0" w:color="auto"/>
                    <w:right w:val="none" w:sz="0" w:space="0" w:color="auto"/>
                  </w:divBdr>
                  <w:divsChild>
                    <w:div w:id="428965330">
                      <w:marLeft w:val="0"/>
                      <w:marRight w:val="0"/>
                      <w:marTop w:val="0"/>
                      <w:marBottom w:val="0"/>
                      <w:divBdr>
                        <w:top w:val="none" w:sz="0" w:space="0" w:color="auto"/>
                        <w:left w:val="none" w:sz="0" w:space="0" w:color="auto"/>
                        <w:bottom w:val="none" w:sz="0" w:space="0" w:color="auto"/>
                        <w:right w:val="none" w:sz="0" w:space="0" w:color="auto"/>
                      </w:divBdr>
                    </w:div>
                  </w:divsChild>
                </w:div>
                <w:div w:id="548689377">
                  <w:marLeft w:val="0"/>
                  <w:marRight w:val="0"/>
                  <w:marTop w:val="0"/>
                  <w:marBottom w:val="0"/>
                  <w:divBdr>
                    <w:top w:val="none" w:sz="0" w:space="0" w:color="auto"/>
                    <w:left w:val="none" w:sz="0" w:space="0" w:color="auto"/>
                    <w:bottom w:val="none" w:sz="0" w:space="0" w:color="auto"/>
                    <w:right w:val="none" w:sz="0" w:space="0" w:color="auto"/>
                  </w:divBdr>
                  <w:divsChild>
                    <w:div w:id="1599631108">
                      <w:marLeft w:val="0"/>
                      <w:marRight w:val="0"/>
                      <w:marTop w:val="0"/>
                      <w:marBottom w:val="0"/>
                      <w:divBdr>
                        <w:top w:val="none" w:sz="0" w:space="0" w:color="auto"/>
                        <w:left w:val="none" w:sz="0" w:space="0" w:color="auto"/>
                        <w:bottom w:val="none" w:sz="0" w:space="0" w:color="auto"/>
                        <w:right w:val="none" w:sz="0" w:space="0" w:color="auto"/>
                      </w:divBdr>
                    </w:div>
                  </w:divsChild>
                </w:div>
                <w:div w:id="593705374">
                  <w:marLeft w:val="0"/>
                  <w:marRight w:val="0"/>
                  <w:marTop w:val="0"/>
                  <w:marBottom w:val="0"/>
                  <w:divBdr>
                    <w:top w:val="none" w:sz="0" w:space="0" w:color="auto"/>
                    <w:left w:val="none" w:sz="0" w:space="0" w:color="auto"/>
                    <w:bottom w:val="none" w:sz="0" w:space="0" w:color="auto"/>
                    <w:right w:val="none" w:sz="0" w:space="0" w:color="auto"/>
                  </w:divBdr>
                  <w:divsChild>
                    <w:div w:id="1024021684">
                      <w:marLeft w:val="0"/>
                      <w:marRight w:val="0"/>
                      <w:marTop w:val="0"/>
                      <w:marBottom w:val="0"/>
                      <w:divBdr>
                        <w:top w:val="none" w:sz="0" w:space="0" w:color="auto"/>
                        <w:left w:val="none" w:sz="0" w:space="0" w:color="auto"/>
                        <w:bottom w:val="none" w:sz="0" w:space="0" w:color="auto"/>
                        <w:right w:val="none" w:sz="0" w:space="0" w:color="auto"/>
                      </w:divBdr>
                    </w:div>
                  </w:divsChild>
                </w:div>
                <w:div w:id="596862954">
                  <w:marLeft w:val="0"/>
                  <w:marRight w:val="0"/>
                  <w:marTop w:val="0"/>
                  <w:marBottom w:val="0"/>
                  <w:divBdr>
                    <w:top w:val="none" w:sz="0" w:space="0" w:color="auto"/>
                    <w:left w:val="none" w:sz="0" w:space="0" w:color="auto"/>
                    <w:bottom w:val="none" w:sz="0" w:space="0" w:color="auto"/>
                    <w:right w:val="none" w:sz="0" w:space="0" w:color="auto"/>
                  </w:divBdr>
                  <w:divsChild>
                    <w:div w:id="906958874">
                      <w:marLeft w:val="0"/>
                      <w:marRight w:val="0"/>
                      <w:marTop w:val="0"/>
                      <w:marBottom w:val="0"/>
                      <w:divBdr>
                        <w:top w:val="none" w:sz="0" w:space="0" w:color="auto"/>
                        <w:left w:val="none" w:sz="0" w:space="0" w:color="auto"/>
                        <w:bottom w:val="none" w:sz="0" w:space="0" w:color="auto"/>
                        <w:right w:val="none" w:sz="0" w:space="0" w:color="auto"/>
                      </w:divBdr>
                    </w:div>
                  </w:divsChild>
                </w:div>
                <w:div w:id="738284105">
                  <w:marLeft w:val="0"/>
                  <w:marRight w:val="0"/>
                  <w:marTop w:val="0"/>
                  <w:marBottom w:val="0"/>
                  <w:divBdr>
                    <w:top w:val="none" w:sz="0" w:space="0" w:color="auto"/>
                    <w:left w:val="none" w:sz="0" w:space="0" w:color="auto"/>
                    <w:bottom w:val="none" w:sz="0" w:space="0" w:color="auto"/>
                    <w:right w:val="none" w:sz="0" w:space="0" w:color="auto"/>
                  </w:divBdr>
                  <w:divsChild>
                    <w:div w:id="759257619">
                      <w:marLeft w:val="0"/>
                      <w:marRight w:val="0"/>
                      <w:marTop w:val="0"/>
                      <w:marBottom w:val="0"/>
                      <w:divBdr>
                        <w:top w:val="none" w:sz="0" w:space="0" w:color="auto"/>
                        <w:left w:val="none" w:sz="0" w:space="0" w:color="auto"/>
                        <w:bottom w:val="none" w:sz="0" w:space="0" w:color="auto"/>
                        <w:right w:val="none" w:sz="0" w:space="0" w:color="auto"/>
                      </w:divBdr>
                    </w:div>
                  </w:divsChild>
                </w:div>
                <w:div w:id="833882469">
                  <w:marLeft w:val="0"/>
                  <w:marRight w:val="0"/>
                  <w:marTop w:val="0"/>
                  <w:marBottom w:val="0"/>
                  <w:divBdr>
                    <w:top w:val="none" w:sz="0" w:space="0" w:color="auto"/>
                    <w:left w:val="none" w:sz="0" w:space="0" w:color="auto"/>
                    <w:bottom w:val="none" w:sz="0" w:space="0" w:color="auto"/>
                    <w:right w:val="none" w:sz="0" w:space="0" w:color="auto"/>
                  </w:divBdr>
                  <w:divsChild>
                    <w:div w:id="555624001">
                      <w:marLeft w:val="0"/>
                      <w:marRight w:val="0"/>
                      <w:marTop w:val="0"/>
                      <w:marBottom w:val="0"/>
                      <w:divBdr>
                        <w:top w:val="none" w:sz="0" w:space="0" w:color="auto"/>
                        <w:left w:val="none" w:sz="0" w:space="0" w:color="auto"/>
                        <w:bottom w:val="none" w:sz="0" w:space="0" w:color="auto"/>
                        <w:right w:val="none" w:sz="0" w:space="0" w:color="auto"/>
                      </w:divBdr>
                    </w:div>
                  </w:divsChild>
                </w:div>
                <w:div w:id="895043991">
                  <w:marLeft w:val="0"/>
                  <w:marRight w:val="0"/>
                  <w:marTop w:val="0"/>
                  <w:marBottom w:val="0"/>
                  <w:divBdr>
                    <w:top w:val="none" w:sz="0" w:space="0" w:color="auto"/>
                    <w:left w:val="none" w:sz="0" w:space="0" w:color="auto"/>
                    <w:bottom w:val="none" w:sz="0" w:space="0" w:color="auto"/>
                    <w:right w:val="none" w:sz="0" w:space="0" w:color="auto"/>
                  </w:divBdr>
                  <w:divsChild>
                    <w:div w:id="15087031">
                      <w:marLeft w:val="0"/>
                      <w:marRight w:val="0"/>
                      <w:marTop w:val="0"/>
                      <w:marBottom w:val="0"/>
                      <w:divBdr>
                        <w:top w:val="none" w:sz="0" w:space="0" w:color="auto"/>
                        <w:left w:val="none" w:sz="0" w:space="0" w:color="auto"/>
                        <w:bottom w:val="none" w:sz="0" w:space="0" w:color="auto"/>
                        <w:right w:val="none" w:sz="0" w:space="0" w:color="auto"/>
                      </w:divBdr>
                    </w:div>
                  </w:divsChild>
                </w:div>
                <w:div w:id="1069498581">
                  <w:marLeft w:val="0"/>
                  <w:marRight w:val="0"/>
                  <w:marTop w:val="0"/>
                  <w:marBottom w:val="0"/>
                  <w:divBdr>
                    <w:top w:val="none" w:sz="0" w:space="0" w:color="auto"/>
                    <w:left w:val="none" w:sz="0" w:space="0" w:color="auto"/>
                    <w:bottom w:val="none" w:sz="0" w:space="0" w:color="auto"/>
                    <w:right w:val="none" w:sz="0" w:space="0" w:color="auto"/>
                  </w:divBdr>
                  <w:divsChild>
                    <w:div w:id="809401094">
                      <w:marLeft w:val="0"/>
                      <w:marRight w:val="0"/>
                      <w:marTop w:val="0"/>
                      <w:marBottom w:val="0"/>
                      <w:divBdr>
                        <w:top w:val="none" w:sz="0" w:space="0" w:color="auto"/>
                        <w:left w:val="none" w:sz="0" w:space="0" w:color="auto"/>
                        <w:bottom w:val="none" w:sz="0" w:space="0" w:color="auto"/>
                        <w:right w:val="none" w:sz="0" w:space="0" w:color="auto"/>
                      </w:divBdr>
                    </w:div>
                  </w:divsChild>
                </w:div>
                <w:div w:id="1085342313">
                  <w:marLeft w:val="0"/>
                  <w:marRight w:val="0"/>
                  <w:marTop w:val="0"/>
                  <w:marBottom w:val="0"/>
                  <w:divBdr>
                    <w:top w:val="none" w:sz="0" w:space="0" w:color="auto"/>
                    <w:left w:val="none" w:sz="0" w:space="0" w:color="auto"/>
                    <w:bottom w:val="none" w:sz="0" w:space="0" w:color="auto"/>
                    <w:right w:val="none" w:sz="0" w:space="0" w:color="auto"/>
                  </w:divBdr>
                  <w:divsChild>
                    <w:div w:id="1001200133">
                      <w:marLeft w:val="0"/>
                      <w:marRight w:val="0"/>
                      <w:marTop w:val="0"/>
                      <w:marBottom w:val="0"/>
                      <w:divBdr>
                        <w:top w:val="none" w:sz="0" w:space="0" w:color="auto"/>
                        <w:left w:val="none" w:sz="0" w:space="0" w:color="auto"/>
                        <w:bottom w:val="none" w:sz="0" w:space="0" w:color="auto"/>
                        <w:right w:val="none" w:sz="0" w:space="0" w:color="auto"/>
                      </w:divBdr>
                    </w:div>
                  </w:divsChild>
                </w:div>
                <w:div w:id="1102843112">
                  <w:marLeft w:val="0"/>
                  <w:marRight w:val="0"/>
                  <w:marTop w:val="0"/>
                  <w:marBottom w:val="0"/>
                  <w:divBdr>
                    <w:top w:val="none" w:sz="0" w:space="0" w:color="auto"/>
                    <w:left w:val="none" w:sz="0" w:space="0" w:color="auto"/>
                    <w:bottom w:val="none" w:sz="0" w:space="0" w:color="auto"/>
                    <w:right w:val="none" w:sz="0" w:space="0" w:color="auto"/>
                  </w:divBdr>
                  <w:divsChild>
                    <w:div w:id="1709186479">
                      <w:marLeft w:val="0"/>
                      <w:marRight w:val="0"/>
                      <w:marTop w:val="0"/>
                      <w:marBottom w:val="0"/>
                      <w:divBdr>
                        <w:top w:val="none" w:sz="0" w:space="0" w:color="auto"/>
                        <w:left w:val="none" w:sz="0" w:space="0" w:color="auto"/>
                        <w:bottom w:val="none" w:sz="0" w:space="0" w:color="auto"/>
                        <w:right w:val="none" w:sz="0" w:space="0" w:color="auto"/>
                      </w:divBdr>
                    </w:div>
                  </w:divsChild>
                </w:div>
                <w:div w:id="1507329892">
                  <w:marLeft w:val="0"/>
                  <w:marRight w:val="0"/>
                  <w:marTop w:val="0"/>
                  <w:marBottom w:val="0"/>
                  <w:divBdr>
                    <w:top w:val="none" w:sz="0" w:space="0" w:color="auto"/>
                    <w:left w:val="none" w:sz="0" w:space="0" w:color="auto"/>
                    <w:bottom w:val="none" w:sz="0" w:space="0" w:color="auto"/>
                    <w:right w:val="none" w:sz="0" w:space="0" w:color="auto"/>
                  </w:divBdr>
                  <w:divsChild>
                    <w:div w:id="935288521">
                      <w:marLeft w:val="0"/>
                      <w:marRight w:val="0"/>
                      <w:marTop w:val="0"/>
                      <w:marBottom w:val="0"/>
                      <w:divBdr>
                        <w:top w:val="none" w:sz="0" w:space="0" w:color="auto"/>
                        <w:left w:val="none" w:sz="0" w:space="0" w:color="auto"/>
                        <w:bottom w:val="none" w:sz="0" w:space="0" w:color="auto"/>
                        <w:right w:val="none" w:sz="0" w:space="0" w:color="auto"/>
                      </w:divBdr>
                    </w:div>
                  </w:divsChild>
                </w:div>
                <w:div w:id="1596982196">
                  <w:marLeft w:val="0"/>
                  <w:marRight w:val="0"/>
                  <w:marTop w:val="0"/>
                  <w:marBottom w:val="0"/>
                  <w:divBdr>
                    <w:top w:val="none" w:sz="0" w:space="0" w:color="auto"/>
                    <w:left w:val="none" w:sz="0" w:space="0" w:color="auto"/>
                    <w:bottom w:val="none" w:sz="0" w:space="0" w:color="auto"/>
                    <w:right w:val="none" w:sz="0" w:space="0" w:color="auto"/>
                  </w:divBdr>
                  <w:divsChild>
                    <w:div w:id="827282841">
                      <w:marLeft w:val="0"/>
                      <w:marRight w:val="0"/>
                      <w:marTop w:val="0"/>
                      <w:marBottom w:val="0"/>
                      <w:divBdr>
                        <w:top w:val="none" w:sz="0" w:space="0" w:color="auto"/>
                        <w:left w:val="none" w:sz="0" w:space="0" w:color="auto"/>
                        <w:bottom w:val="none" w:sz="0" w:space="0" w:color="auto"/>
                        <w:right w:val="none" w:sz="0" w:space="0" w:color="auto"/>
                      </w:divBdr>
                    </w:div>
                  </w:divsChild>
                </w:div>
                <w:div w:id="1621836199">
                  <w:marLeft w:val="0"/>
                  <w:marRight w:val="0"/>
                  <w:marTop w:val="0"/>
                  <w:marBottom w:val="0"/>
                  <w:divBdr>
                    <w:top w:val="none" w:sz="0" w:space="0" w:color="auto"/>
                    <w:left w:val="none" w:sz="0" w:space="0" w:color="auto"/>
                    <w:bottom w:val="none" w:sz="0" w:space="0" w:color="auto"/>
                    <w:right w:val="none" w:sz="0" w:space="0" w:color="auto"/>
                  </w:divBdr>
                  <w:divsChild>
                    <w:div w:id="1849325769">
                      <w:marLeft w:val="0"/>
                      <w:marRight w:val="0"/>
                      <w:marTop w:val="0"/>
                      <w:marBottom w:val="0"/>
                      <w:divBdr>
                        <w:top w:val="none" w:sz="0" w:space="0" w:color="auto"/>
                        <w:left w:val="none" w:sz="0" w:space="0" w:color="auto"/>
                        <w:bottom w:val="none" w:sz="0" w:space="0" w:color="auto"/>
                        <w:right w:val="none" w:sz="0" w:space="0" w:color="auto"/>
                      </w:divBdr>
                    </w:div>
                  </w:divsChild>
                </w:div>
                <w:div w:id="1640306308">
                  <w:marLeft w:val="0"/>
                  <w:marRight w:val="0"/>
                  <w:marTop w:val="0"/>
                  <w:marBottom w:val="0"/>
                  <w:divBdr>
                    <w:top w:val="none" w:sz="0" w:space="0" w:color="auto"/>
                    <w:left w:val="none" w:sz="0" w:space="0" w:color="auto"/>
                    <w:bottom w:val="none" w:sz="0" w:space="0" w:color="auto"/>
                    <w:right w:val="none" w:sz="0" w:space="0" w:color="auto"/>
                  </w:divBdr>
                  <w:divsChild>
                    <w:div w:id="325061615">
                      <w:marLeft w:val="0"/>
                      <w:marRight w:val="0"/>
                      <w:marTop w:val="0"/>
                      <w:marBottom w:val="0"/>
                      <w:divBdr>
                        <w:top w:val="none" w:sz="0" w:space="0" w:color="auto"/>
                        <w:left w:val="none" w:sz="0" w:space="0" w:color="auto"/>
                        <w:bottom w:val="none" w:sz="0" w:space="0" w:color="auto"/>
                        <w:right w:val="none" w:sz="0" w:space="0" w:color="auto"/>
                      </w:divBdr>
                    </w:div>
                  </w:divsChild>
                </w:div>
                <w:div w:id="1653561087">
                  <w:marLeft w:val="0"/>
                  <w:marRight w:val="0"/>
                  <w:marTop w:val="0"/>
                  <w:marBottom w:val="0"/>
                  <w:divBdr>
                    <w:top w:val="none" w:sz="0" w:space="0" w:color="auto"/>
                    <w:left w:val="none" w:sz="0" w:space="0" w:color="auto"/>
                    <w:bottom w:val="none" w:sz="0" w:space="0" w:color="auto"/>
                    <w:right w:val="none" w:sz="0" w:space="0" w:color="auto"/>
                  </w:divBdr>
                  <w:divsChild>
                    <w:div w:id="1784224058">
                      <w:marLeft w:val="0"/>
                      <w:marRight w:val="0"/>
                      <w:marTop w:val="0"/>
                      <w:marBottom w:val="0"/>
                      <w:divBdr>
                        <w:top w:val="none" w:sz="0" w:space="0" w:color="auto"/>
                        <w:left w:val="none" w:sz="0" w:space="0" w:color="auto"/>
                        <w:bottom w:val="none" w:sz="0" w:space="0" w:color="auto"/>
                        <w:right w:val="none" w:sz="0" w:space="0" w:color="auto"/>
                      </w:divBdr>
                    </w:div>
                  </w:divsChild>
                </w:div>
                <w:div w:id="1674841061">
                  <w:marLeft w:val="0"/>
                  <w:marRight w:val="0"/>
                  <w:marTop w:val="0"/>
                  <w:marBottom w:val="0"/>
                  <w:divBdr>
                    <w:top w:val="none" w:sz="0" w:space="0" w:color="auto"/>
                    <w:left w:val="none" w:sz="0" w:space="0" w:color="auto"/>
                    <w:bottom w:val="none" w:sz="0" w:space="0" w:color="auto"/>
                    <w:right w:val="none" w:sz="0" w:space="0" w:color="auto"/>
                  </w:divBdr>
                  <w:divsChild>
                    <w:div w:id="750007522">
                      <w:marLeft w:val="0"/>
                      <w:marRight w:val="0"/>
                      <w:marTop w:val="0"/>
                      <w:marBottom w:val="0"/>
                      <w:divBdr>
                        <w:top w:val="none" w:sz="0" w:space="0" w:color="auto"/>
                        <w:left w:val="none" w:sz="0" w:space="0" w:color="auto"/>
                        <w:bottom w:val="none" w:sz="0" w:space="0" w:color="auto"/>
                        <w:right w:val="none" w:sz="0" w:space="0" w:color="auto"/>
                      </w:divBdr>
                    </w:div>
                  </w:divsChild>
                </w:div>
                <w:div w:id="1705591078">
                  <w:marLeft w:val="0"/>
                  <w:marRight w:val="0"/>
                  <w:marTop w:val="0"/>
                  <w:marBottom w:val="0"/>
                  <w:divBdr>
                    <w:top w:val="none" w:sz="0" w:space="0" w:color="auto"/>
                    <w:left w:val="none" w:sz="0" w:space="0" w:color="auto"/>
                    <w:bottom w:val="none" w:sz="0" w:space="0" w:color="auto"/>
                    <w:right w:val="none" w:sz="0" w:space="0" w:color="auto"/>
                  </w:divBdr>
                  <w:divsChild>
                    <w:div w:id="2071609214">
                      <w:marLeft w:val="0"/>
                      <w:marRight w:val="0"/>
                      <w:marTop w:val="0"/>
                      <w:marBottom w:val="0"/>
                      <w:divBdr>
                        <w:top w:val="none" w:sz="0" w:space="0" w:color="auto"/>
                        <w:left w:val="none" w:sz="0" w:space="0" w:color="auto"/>
                        <w:bottom w:val="none" w:sz="0" w:space="0" w:color="auto"/>
                        <w:right w:val="none" w:sz="0" w:space="0" w:color="auto"/>
                      </w:divBdr>
                    </w:div>
                  </w:divsChild>
                </w:div>
                <w:div w:id="1804493923">
                  <w:marLeft w:val="0"/>
                  <w:marRight w:val="0"/>
                  <w:marTop w:val="0"/>
                  <w:marBottom w:val="0"/>
                  <w:divBdr>
                    <w:top w:val="none" w:sz="0" w:space="0" w:color="auto"/>
                    <w:left w:val="none" w:sz="0" w:space="0" w:color="auto"/>
                    <w:bottom w:val="none" w:sz="0" w:space="0" w:color="auto"/>
                    <w:right w:val="none" w:sz="0" w:space="0" w:color="auto"/>
                  </w:divBdr>
                  <w:divsChild>
                    <w:div w:id="1756586984">
                      <w:marLeft w:val="0"/>
                      <w:marRight w:val="0"/>
                      <w:marTop w:val="0"/>
                      <w:marBottom w:val="0"/>
                      <w:divBdr>
                        <w:top w:val="none" w:sz="0" w:space="0" w:color="auto"/>
                        <w:left w:val="none" w:sz="0" w:space="0" w:color="auto"/>
                        <w:bottom w:val="none" w:sz="0" w:space="0" w:color="auto"/>
                        <w:right w:val="none" w:sz="0" w:space="0" w:color="auto"/>
                      </w:divBdr>
                    </w:div>
                  </w:divsChild>
                </w:div>
                <w:div w:id="1830362199">
                  <w:marLeft w:val="0"/>
                  <w:marRight w:val="0"/>
                  <w:marTop w:val="0"/>
                  <w:marBottom w:val="0"/>
                  <w:divBdr>
                    <w:top w:val="none" w:sz="0" w:space="0" w:color="auto"/>
                    <w:left w:val="none" w:sz="0" w:space="0" w:color="auto"/>
                    <w:bottom w:val="none" w:sz="0" w:space="0" w:color="auto"/>
                    <w:right w:val="none" w:sz="0" w:space="0" w:color="auto"/>
                  </w:divBdr>
                  <w:divsChild>
                    <w:div w:id="551891227">
                      <w:marLeft w:val="0"/>
                      <w:marRight w:val="0"/>
                      <w:marTop w:val="0"/>
                      <w:marBottom w:val="0"/>
                      <w:divBdr>
                        <w:top w:val="none" w:sz="0" w:space="0" w:color="auto"/>
                        <w:left w:val="none" w:sz="0" w:space="0" w:color="auto"/>
                        <w:bottom w:val="none" w:sz="0" w:space="0" w:color="auto"/>
                        <w:right w:val="none" w:sz="0" w:space="0" w:color="auto"/>
                      </w:divBdr>
                    </w:div>
                  </w:divsChild>
                </w:div>
                <w:div w:id="1849637647">
                  <w:marLeft w:val="0"/>
                  <w:marRight w:val="0"/>
                  <w:marTop w:val="0"/>
                  <w:marBottom w:val="0"/>
                  <w:divBdr>
                    <w:top w:val="none" w:sz="0" w:space="0" w:color="auto"/>
                    <w:left w:val="none" w:sz="0" w:space="0" w:color="auto"/>
                    <w:bottom w:val="none" w:sz="0" w:space="0" w:color="auto"/>
                    <w:right w:val="none" w:sz="0" w:space="0" w:color="auto"/>
                  </w:divBdr>
                  <w:divsChild>
                    <w:div w:id="40324611">
                      <w:marLeft w:val="0"/>
                      <w:marRight w:val="0"/>
                      <w:marTop w:val="0"/>
                      <w:marBottom w:val="0"/>
                      <w:divBdr>
                        <w:top w:val="none" w:sz="0" w:space="0" w:color="auto"/>
                        <w:left w:val="none" w:sz="0" w:space="0" w:color="auto"/>
                        <w:bottom w:val="none" w:sz="0" w:space="0" w:color="auto"/>
                        <w:right w:val="none" w:sz="0" w:space="0" w:color="auto"/>
                      </w:divBdr>
                    </w:div>
                  </w:divsChild>
                </w:div>
                <w:div w:id="1850412949">
                  <w:marLeft w:val="0"/>
                  <w:marRight w:val="0"/>
                  <w:marTop w:val="0"/>
                  <w:marBottom w:val="0"/>
                  <w:divBdr>
                    <w:top w:val="none" w:sz="0" w:space="0" w:color="auto"/>
                    <w:left w:val="none" w:sz="0" w:space="0" w:color="auto"/>
                    <w:bottom w:val="none" w:sz="0" w:space="0" w:color="auto"/>
                    <w:right w:val="none" w:sz="0" w:space="0" w:color="auto"/>
                  </w:divBdr>
                  <w:divsChild>
                    <w:div w:id="1055474409">
                      <w:marLeft w:val="0"/>
                      <w:marRight w:val="0"/>
                      <w:marTop w:val="0"/>
                      <w:marBottom w:val="0"/>
                      <w:divBdr>
                        <w:top w:val="none" w:sz="0" w:space="0" w:color="auto"/>
                        <w:left w:val="none" w:sz="0" w:space="0" w:color="auto"/>
                        <w:bottom w:val="none" w:sz="0" w:space="0" w:color="auto"/>
                        <w:right w:val="none" w:sz="0" w:space="0" w:color="auto"/>
                      </w:divBdr>
                    </w:div>
                  </w:divsChild>
                </w:div>
                <w:div w:id="1927883651">
                  <w:marLeft w:val="0"/>
                  <w:marRight w:val="0"/>
                  <w:marTop w:val="0"/>
                  <w:marBottom w:val="0"/>
                  <w:divBdr>
                    <w:top w:val="none" w:sz="0" w:space="0" w:color="auto"/>
                    <w:left w:val="none" w:sz="0" w:space="0" w:color="auto"/>
                    <w:bottom w:val="none" w:sz="0" w:space="0" w:color="auto"/>
                    <w:right w:val="none" w:sz="0" w:space="0" w:color="auto"/>
                  </w:divBdr>
                  <w:divsChild>
                    <w:div w:id="352146951">
                      <w:marLeft w:val="0"/>
                      <w:marRight w:val="0"/>
                      <w:marTop w:val="0"/>
                      <w:marBottom w:val="0"/>
                      <w:divBdr>
                        <w:top w:val="none" w:sz="0" w:space="0" w:color="auto"/>
                        <w:left w:val="none" w:sz="0" w:space="0" w:color="auto"/>
                        <w:bottom w:val="none" w:sz="0" w:space="0" w:color="auto"/>
                        <w:right w:val="none" w:sz="0" w:space="0" w:color="auto"/>
                      </w:divBdr>
                    </w:div>
                  </w:divsChild>
                </w:div>
                <w:div w:id="1980721777">
                  <w:marLeft w:val="0"/>
                  <w:marRight w:val="0"/>
                  <w:marTop w:val="0"/>
                  <w:marBottom w:val="0"/>
                  <w:divBdr>
                    <w:top w:val="none" w:sz="0" w:space="0" w:color="auto"/>
                    <w:left w:val="none" w:sz="0" w:space="0" w:color="auto"/>
                    <w:bottom w:val="none" w:sz="0" w:space="0" w:color="auto"/>
                    <w:right w:val="none" w:sz="0" w:space="0" w:color="auto"/>
                  </w:divBdr>
                  <w:divsChild>
                    <w:div w:id="1354769267">
                      <w:marLeft w:val="0"/>
                      <w:marRight w:val="0"/>
                      <w:marTop w:val="0"/>
                      <w:marBottom w:val="0"/>
                      <w:divBdr>
                        <w:top w:val="none" w:sz="0" w:space="0" w:color="auto"/>
                        <w:left w:val="none" w:sz="0" w:space="0" w:color="auto"/>
                        <w:bottom w:val="none" w:sz="0" w:space="0" w:color="auto"/>
                        <w:right w:val="none" w:sz="0" w:space="0" w:color="auto"/>
                      </w:divBdr>
                    </w:div>
                  </w:divsChild>
                </w:div>
                <w:div w:id="1992321461">
                  <w:marLeft w:val="0"/>
                  <w:marRight w:val="0"/>
                  <w:marTop w:val="0"/>
                  <w:marBottom w:val="0"/>
                  <w:divBdr>
                    <w:top w:val="none" w:sz="0" w:space="0" w:color="auto"/>
                    <w:left w:val="none" w:sz="0" w:space="0" w:color="auto"/>
                    <w:bottom w:val="none" w:sz="0" w:space="0" w:color="auto"/>
                    <w:right w:val="none" w:sz="0" w:space="0" w:color="auto"/>
                  </w:divBdr>
                  <w:divsChild>
                    <w:div w:id="1478573116">
                      <w:marLeft w:val="0"/>
                      <w:marRight w:val="0"/>
                      <w:marTop w:val="0"/>
                      <w:marBottom w:val="0"/>
                      <w:divBdr>
                        <w:top w:val="none" w:sz="0" w:space="0" w:color="auto"/>
                        <w:left w:val="none" w:sz="0" w:space="0" w:color="auto"/>
                        <w:bottom w:val="none" w:sz="0" w:space="0" w:color="auto"/>
                        <w:right w:val="none" w:sz="0" w:space="0" w:color="auto"/>
                      </w:divBdr>
                    </w:div>
                  </w:divsChild>
                </w:div>
                <w:div w:id="2045212372">
                  <w:marLeft w:val="0"/>
                  <w:marRight w:val="0"/>
                  <w:marTop w:val="0"/>
                  <w:marBottom w:val="0"/>
                  <w:divBdr>
                    <w:top w:val="none" w:sz="0" w:space="0" w:color="auto"/>
                    <w:left w:val="none" w:sz="0" w:space="0" w:color="auto"/>
                    <w:bottom w:val="none" w:sz="0" w:space="0" w:color="auto"/>
                    <w:right w:val="none" w:sz="0" w:space="0" w:color="auto"/>
                  </w:divBdr>
                  <w:divsChild>
                    <w:div w:id="244808435">
                      <w:marLeft w:val="0"/>
                      <w:marRight w:val="0"/>
                      <w:marTop w:val="0"/>
                      <w:marBottom w:val="0"/>
                      <w:divBdr>
                        <w:top w:val="none" w:sz="0" w:space="0" w:color="auto"/>
                        <w:left w:val="none" w:sz="0" w:space="0" w:color="auto"/>
                        <w:bottom w:val="none" w:sz="0" w:space="0" w:color="auto"/>
                        <w:right w:val="none" w:sz="0" w:space="0" w:color="auto"/>
                      </w:divBdr>
                    </w:div>
                  </w:divsChild>
                </w:div>
                <w:div w:id="2117213901">
                  <w:marLeft w:val="0"/>
                  <w:marRight w:val="0"/>
                  <w:marTop w:val="0"/>
                  <w:marBottom w:val="0"/>
                  <w:divBdr>
                    <w:top w:val="none" w:sz="0" w:space="0" w:color="auto"/>
                    <w:left w:val="none" w:sz="0" w:space="0" w:color="auto"/>
                    <w:bottom w:val="none" w:sz="0" w:space="0" w:color="auto"/>
                    <w:right w:val="none" w:sz="0" w:space="0" w:color="auto"/>
                  </w:divBdr>
                  <w:divsChild>
                    <w:div w:id="226500183">
                      <w:marLeft w:val="0"/>
                      <w:marRight w:val="0"/>
                      <w:marTop w:val="0"/>
                      <w:marBottom w:val="0"/>
                      <w:divBdr>
                        <w:top w:val="none" w:sz="0" w:space="0" w:color="auto"/>
                        <w:left w:val="none" w:sz="0" w:space="0" w:color="auto"/>
                        <w:bottom w:val="none" w:sz="0" w:space="0" w:color="auto"/>
                        <w:right w:val="none" w:sz="0" w:space="0" w:color="auto"/>
                      </w:divBdr>
                    </w:div>
                  </w:divsChild>
                </w:div>
                <w:div w:id="2126580907">
                  <w:marLeft w:val="0"/>
                  <w:marRight w:val="0"/>
                  <w:marTop w:val="0"/>
                  <w:marBottom w:val="0"/>
                  <w:divBdr>
                    <w:top w:val="none" w:sz="0" w:space="0" w:color="auto"/>
                    <w:left w:val="none" w:sz="0" w:space="0" w:color="auto"/>
                    <w:bottom w:val="none" w:sz="0" w:space="0" w:color="auto"/>
                    <w:right w:val="none" w:sz="0" w:space="0" w:color="auto"/>
                  </w:divBdr>
                  <w:divsChild>
                    <w:div w:id="86575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186334">
          <w:marLeft w:val="0"/>
          <w:marRight w:val="0"/>
          <w:marTop w:val="0"/>
          <w:marBottom w:val="0"/>
          <w:divBdr>
            <w:top w:val="none" w:sz="0" w:space="0" w:color="auto"/>
            <w:left w:val="none" w:sz="0" w:space="0" w:color="auto"/>
            <w:bottom w:val="none" w:sz="0" w:space="0" w:color="auto"/>
            <w:right w:val="none" w:sz="0" w:space="0" w:color="auto"/>
          </w:divBdr>
        </w:div>
        <w:div w:id="1774130263">
          <w:marLeft w:val="0"/>
          <w:marRight w:val="0"/>
          <w:marTop w:val="0"/>
          <w:marBottom w:val="0"/>
          <w:divBdr>
            <w:top w:val="none" w:sz="0" w:space="0" w:color="auto"/>
            <w:left w:val="none" w:sz="0" w:space="0" w:color="auto"/>
            <w:bottom w:val="none" w:sz="0" w:space="0" w:color="auto"/>
            <w:right w:val="none" w:sz="0" w:space="0" w:color="auto"/>
          </w:divBdr>
        </w:div>
        <w:div w:id="1777017560">
          <w:marLeft w:val="0"/>
          <w:marRight w:val="0"/>
          <w:marTop w:val="0"/>
          <w:marBottom w:val="0"/>
          <w:divBdr>
            <w:top w:val="none" w:sz="0" w:space="0" w:color="auto"/>
            <w:left w:val="none" w:sz="0" w:space="0" w:color="auto"/>
            <w:bottom w:val="none" w:sz="0" w:space="0" w:color="auto"/>
            <w:right w:val="none" w:sz="0" w:space="0" w:color="auto"/>
          </w:divBdr>
        </w:div>
        <w:div w:id="1778332471">
          <w:marLeft w:val="0"/>
          <w:marRight w:val="0"/>
          <w:marTop w:val="0"/>
          <w:marBottom w:val="0"/>
          <w:divBdr>
            <w:top w:val="none" w:sz="0" w:space="0" w:color="auto"/>
            <w:left w:val="none" w:sz="0" w:space="0" w:color="auto"/>
            <w:bottom w:val="none" w:sz="0" w:space="0" w:color="auto"/>
            <w:right w:val="none" w:sz="0" w:space="0" w:color="auto"/>
          </w:divBdr>
        </w:div>
        <w:div w:id="1784378222">
          <w:marLeft w:val="0"/>
          <w:marRight w:val="0"/>
          <w:marTop w:val="0"/>
          <w:marBottom w:val="0"/>
          <w:divBdr>
            <w:top w:val="none" w:sz="0" w:space="0" w:color="auto"/>
            <w:left w:val="none" w:sz="0" w:space="0" w:color="auto"/>
            <w:bottom w:val="none" w:sz="0" w:space="0" w:color="auto"/>
            <w:right w:val="none" w:sz="0" w:space="0" w:color="auto"/>
          </w:divBdr>
        </w:div>
        <w:div w:id="1802838844">
          <w:marLeft w:val="0"/>
          <w:marRight w:val="0"/>
          <w:marTop w:val="0"/>
          <w:marBottom w:val="0"/>
          <w:divBdr>
            <w:top w:val="none" w:sz="0" w:space="0" w:color="auto"/>
            <w:left w:val="none" w:sz="0" w:space="0" w:color="auto"/>
            <w:bottom w:val="none" w:sz="0" w:space="0" w:color="auto"/>
            <w:right w:val="none" w:sz="0" w:space="0" w:color="auto"/>
          </w:divBdr>
        </w:div>
        <w:div w:id="1808204520">
          <w:marLeft w:val="0"/>
          <w:marRight w:val="0"/>
          <w:marTop w:val="0"/>
          <w:marBottom w:val="0"/>
          <w:divBdr>
            <w:top w:val="none" w:sz="0" w:space="0" w:color="auto"/>
            <w:left w:val="none" w:sz="0" w:space="0" w:color="auto"/>
            <w:bottom w:val="none" w:sz="0" w:space="0" w:color="auto"/>
            <w:right w:val="none" w:sz="0" w:space="0" w:color="auto"/>
          </w:divBdr>
        </w:div>
        <w:div w:id="1815443460">
          <w:marLeft w:val="0"/>
          <w:marRight w:val="0"/>
          <w:marTop w:val="0"/>
          <w:marBottom w:val="0"/>
          <w:divBdr>
            <w:top w:val="none" w:sz="0" w:space="0" w:color="auto"/>
            <w:left w:val="none" w:sz="0" w:space="0" w:color="auto"/>
            <w:bottom w:val="none" w:sz="0" w:space="0" w:color="auto"/>
            <w:right w:val="none" w:sz="0" w:space="0" w:color="auto"/>
          </w:divBdr>
        </w:div>
        <w:div w:id="1817986969">
          <w:marLeft w:val="0"/>
          <w:marRight w:val="0"/>
          <w:marTop w:val="0"/>
          <w:marBottom w:val="0"/>
          <w:divBdr>
            <w:top w:val="none" w:sz="0" w:space="0" w:color="auto"/>
            <w:left w:val="none" w:sz="0" w:space="0" w:color="auto"/>
            <w:bottom w:val="none" w:sz="0" w:space="0" w:color="auto"/>
            <w:right w:val="none" w:sz="0" w:space="0" w:color="auto"/>
          </w:divBdr>
        </w:div>
        <w:div w:id="1827700513">
          <w:marLeft w:val="0"/>
          <w:marRight w:val="0"/>
          <w:marTop w:val="0"/>
          <w:marBottom w:val="0"/>
          <w:divBdr>
            <w:top w:val="none" w:sz="0" w:space="0" w:color="auto"/>
            <w:left w:val="none" w:sz="0" w:space="0" w:color="auto"/>
            <w:bottom w:val="none" w:sz="0" w:space="0" w:color="auto"/>
            <w:right w:val="none" w:sz="0" w:space="0" w:color="auto"/>
          </w:divBdr>
        </w:div>
        <w:div w:id="1831482274">
          <w:marLeft w:val="0"/>
          <w:marRight w:val="0"/>
          <w:marTop w:val="0"/>
          <w:marBottom w:val="0"/>
          <w:divBdr>
            <w:top w:val="none" w:sz="0" w:space="0" w:color="auto"/>
            <w:left w:val="none" w:sz="0" w:space="0" w:color="auto"/>
            <w:bottom w:val="none" w:sz="0" w:space="0" w:color="auto"/>
            <w:right w:val="none" w:sz="0" w:space="0" w:color="auto"/>
          </w:divBdr>
        </w:div>
        <w:div w:id="1838691893">
          <w:marLeft w:val="0"/>
          <w:marRight w:val="0"/>
          <w:marTop w:val="0"/>
          <w:marBottom w:val="0"/>
          <w:divBdr>
            <w:top w:val="none" w:sz="0" w:space="0" w:color="auto"/>
            <w:left w:val="none" w:sz="0" w:space="0" w:color="auto"/>
            <w:bottom w:val="none" w:sz="0" w:space="0" w:color="auto"/>
            <w:right w:val="none" w:sz="0" w:space="0" w:color="auto"/>
          </w:divBdr>
        </w:div>
        <w:div w:id="1842239941">
          <w:marLeft w:val="0"/>
          <w:marRight w:val="0"/>
          <w:marTop w:val="0"/>
          <w:marBottom w:val="0"/>
          <w:divBdr>
            <w:top w:val="none" w:sz="0" w:space="0" w:color="auto"/>
            <w:left w:val="none" w:sz="0" w:space="0" w:color="auto"/>
            <w:bottom w:val="none" w:sz="0" w:space="0" w:color="auto"/>
            <w:right w:val="none" w:sz="0" w:space="0" w:color="auto"/>
          </w:divBdr>
        </w:div>
        <w:div w:id="1848669564">
          <w:marLeft w:val="0"/>
          <w:marRight w:val="0"/>
          <w:marTop w:val="0"/>
          <w:marBottom w:val="0"/>
          <w:divBdr>
            <w:top w:val="none" w:sz="0" w:space="0" w:color="auto"/>
            <w:left w:val="none" w:sz="0" w:space="0" w:color="auto"/>
            <w:bottom w:val="none" w:sz="0" w:space="0" w:color="auto"/>
            <w:right w:val="none" w:sz="0" w:space="0" w:color="auto"/>
          </w:divBdr>
        </w:div>
        <w:div w:id="1852599547">
          <w:marLeft w:val="0"/>
          <w:marRight w:val="0"/>
          <w:marTop w:val="0"/>
          <w:marBottom w:val="0"/>
          <w:divBdr>
            <w:top w:val="none" w:sz="0" w:space="0" w:color="auto"/>
            <w:left w:val="none" w:sz="0" w:space="0" w:color="auto"/>
            <w:bottom w:val="none" w:sz="0" w:space="0" w:color="auto"/>
            <w:right w:val="none" w:sz="0" w:space="0" w:color="auto"/>
          </w:divBdr>
          <w:divsChild>
            <w:div w:id="611716238">
              <w:marLeft w:val="0"/>
              <w:marRight w:val="0"/>
              <w:marTop w:val="0"/>
              <w:marBottom w:val="0"/>
              <w:divBdr>
                <w:top w:val="none" w:sz="0" w:space="0" w:color="auto"/>
                <w:left w:val="none" w:sz="0" w:space="0" w:color="auto"/>
                <w:bottom w:val="none" w:sz="0" w:space="0" w:color="auto"/>
                <w:right w:val="none" w:sz="0" w:space="0" w:color="auto"/>
              </w:divBdr>
            </w:div>
            <w:div w:id="1038774232">
              <w:marLeft w:val="0"/>
              <w:marRight w:val="0"/>
              <w:marTop w:val="0"/>
              <w:marBottom w:val="0"/>
              <w:divBdr>
                <w:top w:val="none" w:sz="0" w:space="0" w:color="auto"/>
                <w:left w:val="none" w:sz="0" w:space="0" w:color="auto"/>
                <w:bottom w:val="none" w:sz="0" w:space="0" w:color="auto"/>
                <w:right w:val="none" w:sz="0" w:space="0" w:color="auto"/>
              </w:divBdr>
            </w:div>
            <w:div w:id="1123303006">
              <w:marLeft w:val="0"/>
              <w:marRight w:val="0"/>
              <w:marTop w:val="0"/>
              <w:marBottom w:val="0"/>
              <w:divBdr>
                <w:top w:val="none" w:sz="0" w:space="0" w:color="auto"/>
                <w:left w:val="none" w:sz="0" w:space="0" w:color="auto"/>
                <w:bottom w:val="none" w:sz="0" w:space="0" w:color="auto"/>
                <w:right w:val="none" w:sz="0" w:space="0" w:color="auto"/>
              </w:divBdr>
            </w:div>
            <w:div w:id="1256085650">
              <w:marLeft w:val="0"/>
              <w:marRight w:val="0"/>
              <w:marTop w:val="0"/>
              <w:marBottom w:val="0"/>
              <w:divBdr>
                <w:top w:val="none" w:sz="0" w:space="0" w:color="auto"/>
                <w:left w:val="none" w:sz="0" w:space="0" w:color="auto"/>
                <w:bottom w:val="none" w:sz="0" w:space="0" w:color="auto"/>
                <w:right w:val="none" w:sz="0" w:space="0" w:color="auto"/>
              </w:divBdr>
            </w:div>
            <w:div w:id="1568225166">
              <w:marLeft w:val="0"/>
              <w:marRight w:val="0"/>
              <w:marTop w:val="0"/>
              <w:marBottom w:val="0"/>
              <w:divBdr>
                <w:top w:val="none" w:sz="0" w:space="0" w:color="auto"/>
                <w:left w:val="none" w:sz="0" w:space="0" w:color="auto"/>
                <w:bottom w:val="none" w:sz="0" w:space="0" w:color="auto"/>
                <w:right w:val="none" w:sz="0" w:space="0" w:color="auto"/>
              </w:divBdr>
            </w:div>
            <w:div w:id="1635669846">
              <w:marLeft w:val="0"/>
              <w:marRight w:val="0"/>
              <w:marTop w:val="0"/>
              <w:marBottom w:val="0"/>
              <w:divBdr>
                <w:top w:val="none" w:sz="0" w:space="0" w:color="auto"/>
                <w:left w:val="none" w:sz="0" w:space="0" w:color="auto"/>
                <w:bottom w:val="none" w:sz="0" w:space="0" w:color="auto"/>
                <w:right w:val="none" w:sz="0" w:space="0" w:color="auto"/>
              </w:divBdr>
            </w:div>
            <w:div w:id="1714772893">
              <w:marLeft w:val="0"/>
              <w:marRight w:val="0"/>
              <w:marTop w:val="0"/>
              <w:marBottom w:val="0"/>
              <w:divBdr>
                <w:top w:val="none" w:sz="0" w:space="0" w:color="auto"/>
                <w:left w:val="none" w:sz="0" w:space="0" w:color="auto"/>
                <w:bottom w:val="none" w:sz="0" w:space="0" w:color="auto"/>
                <w:right w:val="none" w:sz="0" w:space="0" w:color="auto"/>
              </w:divBdr>
            </w:div>
          </w:divsChild>
        </w:div>
        <w:div w:id="1861698464">
          <w:marLeft w:val="0"/>
          <w:marRight w:val="0"/>
          <w:marTop w:val="0"/>
          <w:marBottom w:val="0"/>
          <w:divBdr>
            <w:top w:val="none" w:sz="0" w:space="0" w:color="auto"/>
            <w:left w:val="none" w:sz="0" w:space="0" w:color="auto"/>
            <w:bottom w:val="none" w:sz="0" w:space="0" w:color="auto"/>
            <w:right w:val="none" w:sz="0" w:space="0" w:color="auto"/>
          </w:divBdr>
        </w:div>
        <w:div w:id="1863394869">
          <w:marLeft w:val="0"/>
          <w:marRight w:val="0"/>
          <w:marTop w:val="0"/>
          <w:marBottom w:val="0"/>
          <w:divBdr>
            <w:top w:val="none" w:sz="0" w:space="0" w:color="auto"/>
            <w:left w:val="none" w:sz="0" w:space="0" w:color="auto"/>
            <w:bottom w:val="none" w:sz="0" w:space="0" w:color="auto"/>
            <w:right w:val="none" w:sz="0" w:space="0" w:color="auto"/>
          </w:divBdr>
        </w:div>
        <w:div w:id="1886595973">
          <w:marLeft w:val="0"/>
          <w:marRight w:val="0"/>
          <w:marTop w:val="0"/>
          <w:marBottom w:val="0"/>
          <w:divBdr>
            <w:top w:val="none" w:sz="0" w:space="0" w:color="auto"/>
            <w:left w:val="none" w:sz="0" w:space="0" w:color="auto"/>
            <w:bottom w:val="none" w:sz="0" w:space="0" w:color="auto"/>
            <w:right w:val="none" w:sz="0" w:space="0" w:color="auto"/>
          </w:divBdr>
        </w:div>
        <w:div w:id="1897859628">
          <w:marLeft w:val="0"/>
          <w:marRight w:val="0"/>
          <w:marTop w:val="0"/>
          <w:marBottom w:val="0"/>
          <w:divBdr>
            <w:top w:val="none" w:sz="0" w:space="0" w:color="auto"/>
            <w:left w:val="none" w:sz="0" w:space="0" w:color="auto"/>
            <w:bottom w:val="none" w:sz="0" w:space="0" w:color="auto"/>
            <w:right w:val="none" w:sz="0" w:space="0" w:color="auto"/>
          </w:divBdr>
        </w:div>
        <w:div w:id="1907036017">
          <w:marLeft w:val="0"/>
          <w:marRight w:val="0"/>
          <w:marTop w:val="0"/>
          <w:marBottom w:val="0"/>
          <w:divBdr>
            <w:top w:val="none" w:sz="0" w:space="0" w:color="auto"/>
            <w:left w:val="none" w:sz="0" w:space="0" w:color="auto"/>
            <w:bottom w:val="none" w:sz="0" w:space="0" w:color="auto"/>
            <w:right w:val="none" w:sz="0" w:space="0" w:color="auto"/>
          </w:divBdr>
        </w:div>
        <w:div w:id="1908882109">
          <w:marLeft w:val="0"/>
          <w:marRight w:val="0"/>
          <w:marTop w:val="0"/>
          <w:marBottom w:val="0"/>
          <w:divBdr>
            <w:top w:val="none" w:sz="0" w:space="0" w:color="auto"/>
            <w:left w:val="none" w:sz="0" w:space="0" w:color="auto"/>
            <w:bottom w:val="none" w:sz="0" w:space="0" w:color="auto"/>
            <w:right w:val="none" w:sz="0" w:space="0" w:color="auto"/>
          </w:divBdr>
        </w:div>
        <w:div w:id="1932930137">
          <w:marLeft w:val="0"/>
          <w:marRight w:val="0"/>
          <w:marTop w:val="0"/>
          <w:marBottom w:val="0"/>
          <w:divBdr>
            <w:top w:val="none" w:sz="0" w:space="0" w:color="auto"/>
            <w:left w:val="none" w:sz="0" w:space="0" w:color="auto"/>
            <w:bottom w:val="none" w:sz="0" w:space="0" w:color="auto"/>
            <w:right w:val="none" w:sz="0" w:space="0" w:color="auto"/>
          </w:divBdr>
        </w:div>
        <w:div w:id="1941446871">
          <w:marLeft w:val="0"/>
          <w:marRight w:val="0"/>
          <w:marTop w:val="0"/>
          <w:marBottom w:val="0"/>
          <w:divBdr>
            <w:top w:val="none" w:sz="0" w:space="0" w:color="auto"/>
            <w:left w:val="none" w:sz="0" w:space="0" w:color="auto"/>
            <w:bottom w:val="none" w:sz="0" w:space="0" w:color="auto"/>
            <w:right w:val="none" w:sz="0" w:space="0" w:color="auto"/>
          </w:divBdr>
        </w:div>
        <w:div w:id="1969817891">
          <w:marLeft w:val="0"/>
          <w:marRight w:val="0"/>
          <w:marTop w:val="0"/>
          <w:marBottom w:val="0"/>
          <w:divBdr>
            <w:top w:val="none" w:sz="0" w:space="0" w:color="auto"/>
            <w:left w:val="none" w:sz="0" w:space="0" w:color="auto"/>
            <w:bottom w:val="none" w:sz="0" w:space="0" w:color="auto"/>
            <w:right w:val="none" w:sz="0" w:space="0" w:color="auto"/>
          </w:divBdr>
        </w:div>
        <w:div w:id="1981223179">
          <w:marLeft w:val="0"/>
          <w:marRight w:val="0"/>
          <w:marTop w:val="0"/>
          <w:marBottom w:val="0"/>
          <w:divBdr>
            <w:top w:val="none" w:sz="0" w:space="0" w:color="auto"/>
            <w:left w:val="none" w:sz="0" w:space="0" w:color="auto"/>
            <w:bottom w:val="none" w:sz="0" w:space="0" w:color="auto"/>
            <w:right w:val="none" w:sz="0" w:space="0" w:color="auto"/>
          </w:divBdr>
        </w:div>
        <w:div w:id="1985770486">
          <w:marLeft w:val="0"/>
          <w:marRight w:val="0"/>
          <w:marTop w:val="0"/>
          <w:marBottom w:val="0"/>
          <w:divBdr>
            <w:top w:val="none" w:sz="0" w:space="0" w:color="auto"/>
            <w:left w:val="none" w:sz="0" w:space="0" w:color="auto"/>
            <w:bottom w:val="none" w:sz="0" w:space="0" w:color="auto"/>
            <w:right w:val="none" w:sz="0" w:space="0" w:color="auto"/>
          </w:divBdr>
        </w:div>
        <w:div w:id="1993829365">
          <w:marLeft w:val="0"/>
          <w:marRight w:val="0"/>
          <w:marTop w:val="0"/>
          <w:marBottom w:val="0"/>
          <w:divBdr>
            <w:top w:val="none" w:sz="0" w:space="0" w:color="auto"/>
            <w:left w:val="none" w:sz="0" w:space="0" w:color="auto"/>
            <w:bottom w:val="none" w:sz="0" w:space="0" w:color="auto"/>
            <w:right w:val="none" w:sz="0" w:space="0" w:color="auto"/>
          </w:divBdr>
        </w:div>
        <w:div w:id="2005627428">
          <w:marLeft w:val="0"/>
          <w:marRight w:val="0"/>
          <w:marTop w:val="0"/>
          <w:marBottom w:val="0"/>
          <w:divBdr>
            <w:top w:val="none" w:sz="0" w:space="0" w:color="auto"/>
            <w:left w:val="none" w:sz="0" w:space="0" w:color="auto"/>
            <w:bottom w:val="none" w:sz="0" w:space="0" w:color="auto"/>
            <w:right w:val="none" w:sz="0" w:space="0" w:color="auto"/>
          </w:divBdr>
        </w:div>
        <w:div w:id="2018385272">
          <w:marLeft w:val="0"/>
          <w:marRight w:val="0"/>
          <w:marTop w:val="0"/>
          <w:marBottom w:val="0"/>
          <w:divBdr>
            <w:top w:val="none" w:sz="0" w:space="0" w:color="auto"/>
            <w:left w:val="none" w:sz="0" w:space="0" w:color="auto"/>
            <w:bottom w:val="none" w:sz="0" w:space="0" w:color="auto"/>
            <w:right w:val="none" w:sz="0" w:space="0" w:color="auto"/>
          </w:divBdr>
        </w:div>
        <w:div w:id="2018463567">
          <w:marLeft w:val="0"/>
          <w:marRight w:val="0"/>
          <w:marTop w:val="0"/>
          <w:marBottom w:val="0"/>
          <w:divBdr>
            <w:top w:val="none" w:sz="0" w:space="0" w:color="auto"/>
            <w:left w:val="none" w:sz="0" w:space="0" w:color="auto"/>
            <w:bottom w:val="none" w:sz="0" w:space="0" w:color="auto"/>
            <w:right w:val="none" w:sz="0" w:space="0" w:color="auto"/>
          </w:divBdr>
        </w:div>
        <w:div w:id="2022316301">
          <w:marLeft w:val="0"/>
          <w:marRight w:val="0"/>
          <w:marTop w:val="0"/>
          <w:marBottom w:val="0"/>
          <w:divBdr>
            <w:top w:val="none" w:sz="0" w:space="0" w:color="auto"/>
            <w:left w:val="none" w:sz="0" w:space="0" w:color="auto"/>
            <w:bottom w:val="none" w:sz="0" w:space="0" w:color="auto"/>
            <w:right w:val="none" w:sz="0" w:space="0" w:color="auto"/>
          </w:divBdr>
        </w:div>
        <w:div w:id="2022658560">
          <w:marLeft w:val="0"/>
          <w:marRight w:val="0"/>
          <w:marTop w:val="0"/>
          <w:marBottom w:val="0"/>
          <w:divBdr>
            <w:top w:val="none" w:sz="0" w:space="0" w:color="auto"/>
            <w:left w:val="none" w:sz="0" w:space="0" w:color="auto"/>
            <w:bottom w:val="none" w:sz="0" w:space="0" w:color="auto"/>
            <w:right w:val="none" w:sz="0" w:space="0" w:color="auto"/>
          </w:divBdr>
        </w:div>
        <w:div w:id="2050642981">
          <w:marLeft w:val="0"/>
          <w:marRight w:val="0"/>
          <w:marTop w:val="0"/>
          <w:marBottom w:val="0"/>
          <w:divBdr>
            <w:top w:val="none" w:sz="0" w:space="0" w:color="auto"/>
            <w:left w:val="none" w:sz="0" w:space="0" w:color="auto"/>
            <w:bottom w:val="none" w:sz="0" w:space="0" w:color="auto"/>
            <w:right w:val="none" w:sz="0" w:space="0" w:color="auto"/>
          </w:divBdr>
        </w:div>
        <w:div w:id="2058579441">
          <w:marLeft w:val="0"/>
          <w:marRight w:val="0"/>
          <w:marTop w:val="0"/>
          <w:marBottom w:val="0"/>
          <w:divBdr>
            <w:top w:val="none" w:sz="0" w:space="0" w:color="auto"/>
            <w:left w:val="none" w:sz="0" w:space="0" w:color="auto"/>
            <w:bottom w:val="none" w:sz="0" w:space="0" w:color="auto"/>
            <w:right w:val="none" w:sz="0" w:space="0" w:color="auto"/>
          </w:divBdr>
        </w:div>
        <w:div w:id="2066054189">
          <w:marLeft w:val="0"/>
          <w:marRight w:val="0"/>
          <w:marTop w:val="0"/>
          <w:marBottom w:val="0"/>
          <w:divBdr>
            <w:top w:val="none" w:sz="0" w:space="0" w:color="auto"/>
            <w:left w:val="none" w:sz="0" w:space="0" w:color="auto"/>
            <w:bottom w:val="none" w:sz="0" w:space="0" w:color="auto"/>
            <w:right w:val="none" w:sz="0" w:space="0" w:color="auto"/>
          </w:divBdr>
        </w:div>
        <w:div w:id="2069372808">
          <w:marLeft w:val="0"/>
          <w:marRight w:val="0"/>
          <w:marTop w:val="0"/>
          <w:marBottom w:val="0"/>
          <w:divBdr>
            <w:top w:val="none" w:sz="0" w:space="0" w:color="auto"/>
            <w:left w:val="none" w:sz="0" w:space="0" w:color="auto"/>
            <w:bottom w:val="none" w:sz="0" w:space="0" w:color="auto"/>
            <w:right w:val="none" w:sz="0" w:space="0" w:color="auto"/>
          </w:divBdr>
        </w:div>
        <w:div w:id="2083913976">
          <w:marLeft w:val="0"/>
          <w:marRight w:val="0"/>
          <w:marTop w:val="0"/>
          <w:marBottom w:val="0"/>
          <w:divBdr>
            <w:top w:val="none" w:sz="0" w:space="0" w:color="auto"/>
            <w:left w:val="none" w:sz="0" w:space="0" w:color="auto"/>
            <w:bottom w:val="none" w:sz="0" w:space="0" w:color="auto"/>
            <w:right w:val="none" w:sz="0" w:space="0" w:color="auto"/>
          </w:divBdr>
        </w:div>
        <w:div w:id="2087191304">
          <w:marLeft w:val="0"/>
          <w:marRight w:val="0"/>
          <w:marTop w:val="0"/>
          <w:marBottom w:val="0"/>
          <w:divBdr>
            <w:top w:val="none" w:sz="0" w:space="0" w:color="auto"/>
            <w:left w:val="none" w:sz="0" w:space="0" w:color="auto"/>
            <w:bottom w:val="none" w:sz="0" w:space="0" w:color="auto"/>
            <w:right w:val="none" w:sz="0" w:space="0" w:color="auto"/>
          </w:divBdr>
        </w:div>
        <w:div w:id="2096704846">
          <w:marLeft w:val="0"/>
          <w:marRight w:val="0"/>
          <w:marTop w:val="0"/>
          <w:marBottom w:val="0"/>
          <w:divBdr>
            <w:top w:val="none" w:sz="0" w:space="0" w:color="auto"/>
            <w:left w:val="none" w:sz="0" w:space="0" w:color="auto"/>
            <w:bottom w:val="none" w:sz="0" w:space="0" w:color="auto"/>
            <w:right w:val="none" w:sz="0" w:space="0" w:color="auto"/>
          </w:divBdr>
        </w:div>
        <w:div w:id="2111730969">
          <w:marLeft w:val="0"/>
          <w:marRight w:val="0"/>
          <w:marTop w:val="0"/>
          <w:marBottom w:val="0"/>
          <w:divBdr>
            <w:top w:val="none" w:sz="0" w:space="0" w:color="auto"/>
            <w:left w:val="none" w:sz="0" w:space="0" w:color="auto"/>
            <w:bottom w:val="none" w:sz="0" w:space="0" w:color="auto"/>
            <w:right w:val="none" w:sz="0" w:space="0" w:color="auto"/>
          </w:divBdr>
        </w:div>
        <w:div w:id="2126119871">
          <w:marLeft w:val="0"/>
          <w:marRight w:val="0"/>
          <w:marTop w:val="0"/>
          <w:marBottom w:val="0"/>
          <w:divBdr>
            <w:top w:val="none" w:sz="0" w:space="0" w:color="auto"/>
            <w:left w:val="none" w:sz="0" w:space="0" w:color="auto"/>
            <w:bottom w:val="none" w:sz="0" w:space="0" w:color="auto"/>
            <w:right w:val="none" w:sz="0" w:space="0" w:color="auto"/>
          </w:divBdr>
        </w:div>
        <w:div w:id="2137674586">
          <w:marLeft w:val="0"/>
          <w:marRight w:val="0"/>
          <w:marTop w:val="0"/>
          <w:marBottom w:val="0"/>
          <w:divBdr>
            <w:top w:val="none" w:sz="0" w:space="0" w:color="auto"/>
            <w:left w:val="none" w:sz="0" w:space="0" w:color="auto"/>
            <w:bottom w:val="none" w:sz="0" w:space="0" w:color="auto"/>
            <w:right w:val="none" w:sz="0" w:space="0" w:color="auto"/>
          </w:divBdr>
        </w:div>
        <w:div w:id="21427202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png"/><Relationship Id="rId34" Type="http://schemas.openxmlformats.org/officeDocument/2006/relationships/hyperlink" Target="https://doi.org/10.1016/S0140-6736(21)02724-0" TargetMode="External"/><Relationship Id="rId42" Type="http://schemas.openxmlformats.org/officeDocument/2006/relationships/hyperlink" Target="https://www.nice.org.uk/guidance/conditions-and-diseases/infections/healthcareassociated-infections" TargetMode="External"/><Relationship Id="rId47" Type="http://schemas.openxmlformats.org/officeDocument/2006/relationships/hyperlink" Target="https://doi.org/10.1016/S0140-6736(21)02724-0" TargetMode="External"/><Relationship Id="rId50" Type="http://schemas.openxmlformats.org/officeDocument/2006/relationships/hyperlink" Target="https://salmapatel.co.uk/academia/the-research-paradigm-methodology-epistemology-and-ontology-explained-in-simple-language/" TargetMode="External"/><Relationship Id="rId55" Type="http://schemas.openxmlformats.org/officeDocument/2006/relationships/hyperlink" Target="https://doi.org/10.1186/s40001-022-00644-9" TargetMode="External"/><Relationship Id="rId63" Type="http://schemas.openxmlformats.org/officeDocument/2006/relationships/image" Target="media/image16.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doi.org/10.1136/bmj.e686" TargetMode="Externa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hyperlink" Target="https://doi.org/10.5585/ijsm.v17i4.2723" TargetMode="External"/><Relationship Id="rId37" Type="http://schemas.openxmlformats.org/officeDocument/2006/relationships/hyperlink" Target="https://www.saveourantibiotics.org/media/1808/swann-song-for-routine-antibiotic-use.pdf" TargetMode="External"/><Relationship Id="rId40" Type="http://schemas.openxmlformats.org/officeDocument/2006/relationships/hyperlink" Target="https://www.ncbi.nlm.nih.gov/books/NBK209710/" TargetMode="External"/><Relationship Id="rId45" Type="http://schemas.openxmlformats.org/officeDocument/2006/relationships/hyperlink" Target="https://doi.org/10.3389/fpubh.2014.00145" TargetMode="External"/><Relationship Id="rId53" Type="http://schemas.openxmlformats.org/officeDocument/2006/relationships/hyperlink" Target="https://assets.publishing.service.gov.uk/media/5c4f26a1e5274a491a413823/ECDC_PHE_HAI_AU_PPS_2016_single_codebook.pdf" TargetMode="External"/><Relationship Id="rId58" Type="http://schemas.openxmlformats.org/officeDocument/2006/relationships/hyperlink" Target="https://www.oxfordlearnersdictionaries.com/definition/english/stewardship"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doi.org/10.2147/rru.s273663" TargetMode="External"/><Relationship Id="rId19" Type="http://schemas.openxmlformats.org/officeDocument/2006/relationships/image" Target="media/image8.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hyperlink" Target="https://doi.org/10.5114/pm.2021.105382" TargetMode="External"/><Relationship Id="rId30" Type="http://schemas.openxmlformats.org/officeDocument/2006/relationships/hyperlink" Target="https://researchmethod.net/researchmethods/" TargetMode="External"/><Relationship Id="rId35" Type="http://schemas.openxmlformats.org/officeDocument/2006/relationships/hyperlink" Target="https://doi.org/10.1017/ice.2023.156" TargetMode="External"/><Relationship Id="rId43" Type="http://schemas.openxmlformats.org/officeDocument/2006/relationships/hyperlink" Target="https://assets.publishing.service.gov.uk/media/6261392d8fa8f523bf22ab9e/UK_AMR_5_year_national_action_plan.pdf" TargetMode="External"/><Relationship Id="rId48" Type="http://schemas.openxmlformats.org/officeDocument/2006/relationships/hyperlink" Target="https://www.england.nhs.uk/ourwork/prevention/antimicrobial-resistance-amr/" TargetMode="External"/><Relationship Id="rId56" Type="http://schemas.openxmlformats.org/officeDocument/2006/relationships/hyperlink" Target="https://doi.org/10.1093/jac/dkw054" TargetMode="External"/><Relationship Id="rId64"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www.britannica.com/science/microbiology"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chart" Target="charts/chart1.xml"/><Relationship Id="rId25" Type="http://schemas.openxmlformats.org/officeDocument/2006/relationships/image" Target="media/image14.png"/><Relationship Id="rId33" Type="http://schemas.openxmlformats.org/officeDocument/2006/relationships/hyperlink" Target="https://doi.org/10.5585/ijsm.v17i4.2723" TargetMode="External"/><Relationship Id="rId38" Type="http://schemas.openxmlformats.org/officeDocument/2006/relationships/hyperlink" Target="https://www.nottsapc.nhs.uk/media/vpbmirrm/diagnosis-of-uti-quick-reference.pdf" TargetMode="External"/><Relationship Id="rId46" Type="http://schemas.openxmlformats.org/officeDocument/2006/relationships/hyperlink" Target="https://www.hey.nhs.uk/wp/wp-content/uploads/2021/06/ditchTheDipstick.pdf" TargetMode="External"/><Relationship Id="rId59" Type="http://schemas.openxmlformats.org/officeDocument/2006/relationships/hyperlink" Target="https://doi.org/10.4103/0972-2327.91951" TargetMode="External"/><Relationship Id="rId20" Type="http://schemas.openxmlformats.org/officeDocument/2006/relationships/image" Target="media/image9.png"/><Relationship Id="rId41" Type="http://schemas.openxmlformats.org/officeDocument/2006/relationships/hyperlink" Target="https://doi.org/10.21061/see.18" TargetMode="External"/><Relationship Id="rId54" Type="http://schemas.openxmlformats.org/officeDocument/2006/relationships/hyperlink" Target="https://www.gov.uk/government/publications/health-matters-antimicrobial-resistance/health-matters-antimicrobial-resistance" TargetMode="External"/><Relationship Id="rId62" Type="http://schemas.openxmlformats.org/officeDocument/2006/relationships/hyperlink" Target="https://iris.who.int/bitstream/handle/10665/352456/WHO-EURO-2021-3896-43655-61363-eng.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hyperlink" Target="https://www.ncbi.nlm.nih.gov/pmc/articles/PMC5325924/" TargetMode="External"/><Relationship Id="rId36" Type="http://schemas.openxmlformats.org/officeDocument/2006/relationships/hyperlink" Target="https://doi.org/10.1016/j.eururo.2015.02.041" TargetMode="External"/><Relationship Id="rId49" Type="http://schemas.openxmlformats.org/officeDocument/2006/relationships/hyperlink" Target="https://cks.nice.org.uk/topics/urinary-tract-infection-lower-men/" TargetMode="External"/><Relationship Id="rId57" Type="http://schemas.openxmlformats.org/officeDocument/2006/relationships/hyperlink" Target="https://www.aafp.org/pubs/afp/issues/2013/0515/od2.html" TargetMode="External"/><Relationship Id="rId10" Type="http://schemas.openxmlformats.org/officeDocument/2006/relationships/endnotes" Target="endnotes.xml"/><Relationship Id="rId31" Type="http://schemas.openxmlformats.org/officeDocument/2006/relationships/hyperlink" Target="https://doi.org/10.1177/2042098614554919" TargetMode="External"/><Relationship Id="rId44" Type="http://schemas.openxmlformats.org/officeDocument/2006/relationships/hyperlink" Target="https://doi.org/10.1016/S0195-6701(13)60012-2" TargetMode="External"/><Relationship Id="rId52" Type="http://schemas.openxmlformats.org/officeDocument/2006/relationships/hyperlink" Target="https://doi.org/10.1057/s41599-018-0181-x" TargetMode="External"/><Relationship Id="rId60" Type="http://schemas.openxmlformats.org/officeDocument/2006/relationships/hyperlink" Target="https://doi.org/10.3934/microbiol.2017.2.143"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hyperlink" Target="https://doi.org/10.2147/idr.s234610"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rafia_jamil_wales_nhs_uk/Documents/Documents/cumulative%20uti%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8247594050743659E-2"/>
          <c:y val="0.17113480606590842"/>
          <c:w val="0.90286351706036749"/>
          <c:h val="0.61498432487605714"/>
        </c:manualLayout>
      </c:layout>
      <c:barChart>
        <c:barDir val="col"/>
        <c:grouping val="clustered"/>
        <c:varyColors val="0"/>
        <c:ser>
          <c:idx val="0"/>
          <c:order val="0"/>
          <c:tx>
            <c:strRef>
              <c:f>'UTI and Gender'!$F$5</c:f>
              <c:strCache>
                <c:ptCount val="1"/>
                <c:pt idx="0">
                  <c:v>Female</c:v>
                </c:pt>
              </c:strCache>
            </c:strRef>
          </c:tx>
          <c:spPr>
            <a:solidFill>
              <a:schemeClr val="accent1"/>
            </a:solidFill>
            <a:ln>
              <a:noFill/>
            </a:ln>
            <a:effectLst/>
          </c:spPr>
          <c:invertIfNegative val="0"/>
          <c:cat>
            <c:strRef>
              <c:f>'UTI and Gender'!$E$6:$E$8</c:f>
              <c:strCache>
                <c:ptCount val="3"/>
                <c:pt idx="0">
                  <c:v>Lower UTI</c:v>
                </c:pt>
                <c:pt idx="1">
                  <c:v>Urosepsis</c:v>
                </c:pt>
                <c:pt idx="2">
                  <c:v>Pyelonephritis</c:v>
                </c:pt>
              </c:strCache>
            </c:strRef>
          </c:cat>
          <c:val>
            <c:numRef>
              <c:f>'UTI and Gender'!$F$6:$F$8</c:f>
              <c:numCache>
                <c:formatCode>General</c:formatCode>
                <c:ptCount val="3"/>
                <c:pt idx="0">
                  <c:v>11</c:v>
                </c:pt>
                <c:pt idx="1">
                  <c:v>3</c:v>
                </c:pt>
                <c:pt idx="2">
                  <c:v>5</c:v>
                </c:pt>
              </c:numCache>
            </c:numRef>
          </c:val>
          <c:extLst>
            <c:ext xmlns:c16="http://schemas.microsoft.com/office/drawing/2014/chart" uri="{C3380CC4-5D6E-409C-BE32-E72D297353CC}">
              <c16:uniqueId val="{00000000-C3C6-41B6-87E2-164D482D8233}"/>
            </c:ext>
          </c:extLst>
        </c:ser>
        <c:ser>
          <c:idx val="1"/>
          <c:order val="1"/>
          <c:tx>
            <c:strRef>
              <c:f>'UTI and Gender'!$G$5</c:f>
              <c:strCache>
                <c:ptCount val="1"/>
                <c:pt idx="0">
                  <c:v>Male</c:v>
                </c:pt>
              </c:strCache>
            </c:strRef>
          </c:tx>
          <c:spPr>
            <a:solidFill>
              <a:schemeClr val="accent2"/>
            </a:solidFill>
            <a:ln>
              <a:noFill/>
            </a:ln>
            <a:effectLst/>
          </c:spPr>
          <c:invertIfNegative val="0"/>
          <c:cat>
            <c:strRef>
              <c:f>'UTI and Gender'!$E$6:$E$8</c:f>
              <c:strCache>
                <c:ptCount val="3"/>
                <c:pt idx="0">
                  <c:v>Lower UTI</c:v>
                </c:pt>
                <c:pt idx="1">
                  <c:v>Urosepsis</c:v>
                </c:pt>
                <c:pt idx="2">
                  <c:v>Pyelonephritis</c:v>
                </c:pt>
              </c:strCache>
            </c:strRef>
          </c:cat>
          <c:val>
            <c:numRef>
              <c:f>'UTI and Gender'!$G$6:$G$8</c:f>
              <c:numCache>
                <c:formatCode>General</c:formatCode>
                <c:ptCount val="3"/>
                <c:pt idx="0">
                  <c:v>33</c:v>
                </c:pt>
                <c:pt idx="1">
                  <c:v>5</c:v>
                </c:pt>
                <c:pt idx="2">
                  <c:v>5</c:v>
                </c:pt>
              </c:numCache>
            </c:numRef>
          </c:val>
          <c:extLst>
            <c:ext xmlns:c16="http://schemas.microsoft.com/office/drawing/2014/chart" uri="{C3380CC4-5D6E-409C-BE32-E72D297353CC}">
              <c16:uniqueId val="{00000001-C3C6-41B6-87E2-164D482D8233}"/>
            </c:ext>
          </c:extLst>
        </c:ser>
        <c:dLbls>
          <c:showLegendKey val="0"/>
          <c:showVal val="0"/>
          <c:showCatName val="0"/>
          <c:showSerName val="0"/>
          <c:showPercent val="0"/>
          <c:showBubbleSize val="0"/>
        </c:dLbls>
        <c:gapWidth val="219"/>
        <c:overlap val="-27"/>
        <c:axId val="148977424"/>
        <c:axId val="148984912"/>
      </c:barChart>
      <c:catAx>
        <c:axId val="148977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984912"/>
        <c:crosses val="autoZero"/>
        <c:auto val="1"/>
        <c:lblAlgn val="ctr"/>
        <c:lblOffset val="100"/>
        <c:noMultiLvlLbl val="0"/>
      </c:catAx>
      <c:valAx>
        <c:axId val="148984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97742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A5A10739976F442BBED1F10BA36D650" ma:contentTypeVersion="18" ma:contentTypeDescription="Create a new document." ma:contentTypeScope="" ma:versionID="a680f91144b94477144a68f25b47ca64">
  <xsd:schema xmlns:xsd="http://www.w3.org/2001/XMLSchema" xmlns:xs="http://www.w3.org/2001/XMLSchema" xmlns:p="http://schemas.microsoft.com/office/2006/metadata/properties" xmlns:ns3="4dd67e9e-812d-40ac-b10e-5338f99c6e8b" xmlns:ns4="a941397a-1632-497c-9d36-d6fd974ee79c" targetNamespace="http://schemas.microsoft.com/office/2006/metadata/properties" ma:root="true" ma:fieldsID="aa1918b6b74c6d16dcd9b82bf14fefea" ns3:_="" ns4:_="">
    <xsd:import namespace="4dd67e9e-812d-40ac-b10e-5338f99c6e8b"/>
    <xsd:import namespace="a941397a-1632-497c-9d36-d6fd974ee79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LengthInSeconds" minOccurs="0"/>
                <xsd:element ref="ns4:_activity" minOccurs="0"/>
                <xsd:element ref="ns4:MediaServiceObjectDetectorVersions" minOccurs="0"/>
                <xsd:element ref="ns4:MediaServiceLocation"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dd67e9e-812d-40ac-b10e-5338f99c6e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941397a-1632-497c-9d36-d6fd974ee79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941397a-1632-497c-9d36-d6fd974ee7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2773BE-4FAA-43DB-9650-7F4DDF8B9C53}">
  <ds:schemaRefs>
    <ds:schemaRef ds:uri="http://schemas.microsoft.com/sharepoint/v3/contenttype/forms"/>
  </ds:schemaRefs>
</ds:datastoreItem>
</file>

<file path=customXml/itemProps2.xml><?xml version="1.0" encoding="utf-8"?>
<ds:datastoreItem xmlns:ds="http://schemas.openxmlformats.org/officeDocument/2006/customXml" ds:itemID="{CECFC1E2-8B24-4E7E-8F8D-630279E104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dd67e9e-812d-40ac-b10e-5338f99c6e8b"/>
    <ds:schemaRef ds:uri="a941397a-1632-497c-9d36-d6fd974ee7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6777FA-F83F-4E88-9995-FA8553CE3A8B}">
  <ds:schemaRefs>
    <ds:schemaRef ds:uri="http://schemas.microsoft.com/office/2006/documentManagement/types"/>
    <ds:schemaRef ds:uri="http://schemas.microsoft.com/office/infopath/2007/PartnerControls"/>
    <ds:schemaRef ds:uri="http://schemas.openxmlformats.org/package/2006/metadata/core-properties"/>
    <ds:schemaRef ds:uri="http://purl.org/dc/terms/"/>
    <ds:schemaRef ds:uri="http://purl.org/dc/elements/1.1/"/>
    <ds:schemaRef ds:uri="http://purl.org/dc/dcmitype/"/>
    <ds:schemaRef ds:uri="4dd67e9e-812d-40ac-b10e-5338f99c6e8b"/>
    <ds:schemaRef ds:uri="a941397a-1632-497c-9d36-d6fd974ee79c"/>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4323BE23-5A1D-4EAC-9F91-8054776B6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2275</TotalTime>
  <Pages>24</Pages>
  <Words>7694</Words>
  <Characters>43857</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Evaluation of patient, disease and clinical practice factors that may impact Antimicrobial Resistance while treating patients with UTI within an acute care setting</vt:lpstr>
    </vt:vector>
  </TitlesOfParts>
  <Company>7A5B3SRVSCCMCB1</Company>
  <LinksUpToDate>false</LinksUpToDate>
  <CharactersWithSpaces>51449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patient, disease and,  clinical practice factors that may impact Antimicrobial Resistance while treating patients with UTI within an acute care setting</dc:title>
  <dc:subject>A Quantitative Study</dc:subject>
  <dc:creator>Rafia Jamil</dc:creator>
  <cp:keywords/>
  <dc:description/>
  <cp:lastModifiedBy>Rafia Jamil (CTM UHB - Pharmacy)</cp:lastModifiedBy>
  <cp:revision>1</cp:revision>
  <dcterms:created xsi:type="dcterms:W3CDTF">2024-05-10T20:59:00Z</dcterms:created>
  <dcterms:modified xsi:type="dcterms:W3CDTF">2024-05-12T11:51:00Z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0x0101001A5A10739976F442BBED1F10BA36D650</vt:lpwstr>
  </property>
</Properties>
</file>