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C3343" w14:textId="77777777" w:rsidR="00B53142" w:rsidRDefault="00B53142" w:rsidP="00B53142">
      <w:pPr>
        <w:jc w:val="center"/>
        <w:rPr>
          <w:sz w:val="28"/>
          <w:szCs w:val="28"/>
          <w:u w:val="single"/>
        </w:rPr>
      </w:pPr>
      <w:r>
        <w:rPr>
          <w:sz w:val="28"/>
          <w:szCs w:val="28"/>
          <w:u w:val="single"/>
        </w:rPr>
        <w:t xml:space="preserve">Using a Research Approach in Human Resources </w:t>
      </w:r>
    </w:p>
    <w:p w14:paraId="1F873B60" w14:textId="77777777" w:rsidR="00B53142" w:rsidRDefault="00B53142" w:rsidP="00B53142">
      <w:pPr>
        <w:rPr>
          <w:sz w:val="28"/>
          <w:szCs w:val="28"/>
        </w:rPr>
      </w:pPr>
    </w:p>
    <w:p w14:paraId="21FDA7E5" w14:textId="6081C635" w:rsidR="00B53142" w:rsidRPr="00F718CB" w:rsidRDefault="00B53142" w:rsidP="00F718CB">
      <w:pPr>
        <w:jc w:val="center"/>
        <w:rPr>
          <w:b/>
          <w:bCs/>
          <w:sz w:val="28"/>
          <w:szCs w:val="28"/>
        </w:rPr>
      </w:pPr>
      <w:r w:rsidRPr="00F718CB">
        <w:rPr>
          <w:b/>
          <w:bCs/>
          <w:sz w:val="28"/>
          <w:szCs w:val="28"/>
        </w:rPr>
        <w:t>Report Title:</w:t>
      </w:r>
      <w:r w:rsidR="007F6F4E" w:rsidRPr="00F718CB">
        <w:rPr>
          <w:b/>
          <w:bCs/>
          <w:sz w:val="28"/>
          <w:szCs w:val="28"/>
        </w:rPr>
        <w:t xml:space="preserve"> Exploring the Strategic Relationship between Employee Wellbeing and Organisational Success</w:t>
      </w:r>
    </w:p>
    <w:p w14:paraId="1B1EC3C0" w14:textId="77777777" w:rsidR="00B53142" w:rsidRDefault="00B53142" w:rsidP="00B53142">
      <w:pPr>
        <w:rPr>
          <w:sz w:val="28"/>
          <w:szCs w:val="28"/>
        </w:rPr>
      </w:pPr>
    </w:p>
    <w:p w14:paraId="5950C2AE" w14:textId="77777777" w:rsidR="00F718CB" w:rsidRDefault="00F718CB" w:rsidP="00B53142">
      <w:pPr>
        <w:rPr>
          <w:sz w:val="28"/>
          <w:szCs w:val="28"/>
        </w:rPr>
      </w:pPr>
    </w:p>
    <w:p w14:paraId="3DD22615" w14:textId="77777777" w:rsidR="00F718CB" w:rsidRDefault="00F718CB" w:rsidP="00B53142">
      <w:pPr>
        <w:rPr>
          <w:sz w:val="28"/>
          <w:szCs w:val="28"/>
        </w:rPr>
      </w:pPr>
    </w:p>
    <w:p w14:paraId="06486223" w14:textId="0A496C73" w:rsidR="00B53142" w:rsidRDefault="00B53142" w:rsidP="00B53142">
      <w:pPr>
        <w:rPr>
          <w:sz w:val="28"/>
          <w:szCs w:val="28"/>
        </w:rPr>
      </w:pPr>
      <w:r>
        <w:rPr>
          <w:sz w:val="28"/>
          <w:szCs w:val="28"/>
        </w:rPr>
        <w:t xml:space="preserve">Name: Victoria Lauren Evans </w:t>
      </w:r>
    </w:p>
    <w:p w14:paraId="21E993D6" w14:textId="77777777" w:rsidR="00B53142" w:rsidRDefault="00B53142" w:rsidP="00B53142">
      <w:pPr>
        <w:rPr>
          <w:sz w:val="28"/>
          <w:szCs w:val="28"/>
        </w:rPr>
      </w:pPr>
    </w:p>
    <w:p w14:paraId="18D93849" w14:textId="799257E7" w:rsidR="00B53142" w:rsidRDefault="00B53142" w:rsidP="00B53142">
      <w:pPr>
        <w:rPr>
          <w:sz w:val="28"/>
          <w:szCs w:val="28"/>
        </w:rPr>
      </w:pPr>
      <w:r>
        <w:rPr>
          <w:sz w:val="28"/>
          <w:szCs w:val="28"/>
        </w:rPr>
        <w:t>CIPD Membership Number:</w:t>
      </w:r>
      <w:r w:rsidR="00B551D8">
        <w:rPr>
          <w:sz w:val="28"/>
          <w:szCs w:val="28"/>
        </w:rPr>
        <w:t xml:space="preserve"> 48734057</w:t>
      </w:r>
      <w:bookmarkStart w:id="0" w:name="_GoBack"/>
      <w:bookmarkEnd w:id="0"/>
    </w:p>
    <w:p w14:paraId="6050FD31" w14:textId="77777777" w:rsidR="00B53142" w:rsidRDefault="00B53142" w:rsidP="00B53142">
      <w:pPr>
        <w:rPr>
          <w:sz w:val="28"/>
          <w:szCs w:val="28"/>
        </w:rPr>
      </w:pPr>
    </w:p>
    <w:p w14:paraId="1E0E353E" w14:textId="12966B68" w:rsidR="00B53142" w:rsidRDefault="00B53142" w:rsidP="00B53142">
      <w:pPr>
        <w:rPr>
          <w:sz w:val="28"/>
          <w:szCs w:val="28"/>
        </w:rPr>
      </w:pPr>
      <w:r>
        <w:rPr>
          <w:sz w:val="28"/>
          <w:szCs w:val="28"/>
        </w:rPr>
        <w:t xml:space="preserve">Date: </w:t>
      </w:r>
      <w:r w:rsidR="006E4B67">
        <w:rPr>
          <w:sz w:val="28"/>
          <w:szCs w:val="28"/>
        </w:rPr>
        <w:t>Submitted 16.09.2020</w:t>
      </w:r>
    </w:p>
    <w:p w14:paraId="221D4957" w14:textId="77777777" w:rsidR="00B53142" w:rsidRDefault="00B53142" w:rsidP="00B53142">
      <w:pPr>
        <w:rPr>
          <w:sz w:val="28"/>
          <w:szCs w:val="28"/>
        </w:rPr>
      </w:pPr>
    </w:p>
    <w:p w14:paraId="589362D3" w14:textId="77777777" w:rsidR="00B53142" w:rsidRDefault="00B53142" w:rsidP="00B53142">
      <w:pPr>
        <w:rPr>
          <w:sz w:val="28"/>
          <w:szCs w:val="28"/>
        </w:rPr>
      </w:pPr>
    </w:p>
    <w:p w14:paraId="294318C9" w14:textId="77777777" w:rsidR="00B53142" w:rsidRDefault="00B53142" w:rsidP="00B53142">
      <w:pPr>
        <w:rPr>
          <w:sz w:val="28"/>
          <w:szCs w:val="28"/>
        </w:rPr>
      </w:pPr>
    </w:p>
    <w:p w14:paraId="3141D69F" w14:textId="06E3F5D9" w:rsidR="00B53142" w:rsidRDefault="00B53142" w:rsidP="00B53142">
      <w:pPr>
        <w:spacing w:after="0" w:line="240" w:lineRule="auto"/>
        <w:rPr>
          <w:rFonts w:cs="Arial"/>
          <w:sz w:val="28"/>
          <w:szCs w:val="28"/>
        </w:rPr>
      </w:pPr>
      <w:r>
        <w:rPr>
          <w:rFonts w:cs="Arial"/>
          <w:sz w:val="28"/>
          <w:szCs w:val="28"/>
        </w:rPr>
        <w:t>Word count</w:t>
      </w:r>
      <w:r w:rsidR="00D21AB3">
        <w:rPr>
          <w:rFonts w:cs="Arial"/>
          <w:sz w:val="28"/>
          <w:szCs w:val="28"/>
        </w:rPr>
        <w:t>: 2,3</w:t>
      </w:r>
      <w:r w:rsidR="000570DB">
        <w:rPr>
          <w:rFonts w:cs="Arial"/>
          <w:sz w:val="28"/>
          <w:szCs w:val="28"/>
        </w:rPr>
        <w:t xml:space="preserve">79 </w:t>
      </w:r>
      <w:r w:rsidR="007F6F4E">
        <w:rPr>
          <w:rFonts w:cs="Arial"/>
          <w:sz w:val="28"/>
          <w:szCs w:val="28"/>
        </w:rPr>
        <w:t>(excluding Executive Summar</w:t>
      </w:r>
      <w:r w:rsidR="00D21AB3">
        <w:rPr>
          <w:rFonts w:cs="Arial"/>
          <w:sz w:val="28"/>
          <w:szCs w:val="28"/>
        </w:rPr>
        <w:t>y and References</w:t>
      </w:r>
      <w:r w:rsidR="007F6F4E">
        <w:rPr>
          <w:rFonts w:cs="Arial"/>
          <w:sz w:val="28"/>
          <w:szCs w:val="28"/>
        </w:rPr>
        <w:t xml:space="preserve">) </w:t>
      </w:r>
    </w:p>
    <w:p w14:paraId="45D35918" w14:textId="77777777" w:rsidR="00B53142" w:rsidRDefault="00B53142" w:rsidP="00B53142">
      <w:pPr>
        <w:rPr>
          <w:b/>
          <w:sz w:val="28"/>
          <w:szCs w:val="28"/>
        </w:rPr>
      </w:pPr>
    </w:p>
    <w:p w14:paraId="580DC48F" w14:textId="77777777" w:rsidR="00B53142" w:rsidRDefault="00B53142" w:rsidP="00B53142">
      <w:pPr>
        <w:rPr>
          <w:rFonts w:cs="Arial"/>
          <w:sz w:val="28"/>
          <w:szCs w:val="28"/>
        </w:rPr>
      </w:pPr>
      <w:r>
        <w:rPr>
          <w:rFonts w:cs="Arial"/>
          <w:sz w:val="28"/>
          <w:szCs w:val="28"/>
        </w:rPr>
        <w:t>By signing below, I confirm that the work/evidence presented is my own, unaided work. I understand the regulations pertaining to candidate malpractice and the action that may be taken as a result.</w:t>
      </w:r>
    </w:p>
    <w:p w14:paraId="233A8FCC" w14:textId="77777777" w:rsidR="00B53142" w:rsidRDefault="00B53142" w:rsidP="00B53142">
      <w:pPr>
        <w:rPr>
          <w:rFonts w:cs="Arial"/>
          <w:sz w:val="28"/>
          <w:szCs w:val="28"/>
        </w:rPr>
      </w:pPr>
    </w:p>
    <w:p w14:paraId="18AB4387" w14:textId="26CE88B8" w:rsidR="00B53142" w:rsidRDefault="00B53142" w:rsidP="00B53142">
      <w:pPr>
        <w:rPr>
          <w:rFonts w:cs="Arial"/>
          <w:sz w:val="28"/>
          <w:szCs w:val="28"/>
        </w:rPr>
      </w:pPr>
      <w:r>
        <w:rPr>
          <w:rFonts w:cs="Arial"/>
          <w:sz w:val="28"/>
          <w:szCs w:val="28"/>
        </w:rPr>
        <w:t xml:space="preserve">Signed: </w:t>
      </w:r>
      <w:r w:rsidR="00E72C75">
        <w:rPr>
          <w:rFonts w:cs="Arial"/>
          <w:sz w:val="28"/>
          <w:szCs w:val="28"/>
        </w:rPr>
        <w:t>Victoria Lauren Evans</w:t>
      </w:r>
    </w:p>
    <w:p w14:paraId="7D4A5147" w14:textId="4ABBE45C" w:rsidR="00B53142" w:rsidRDefault="00B53142" w:rsidP="00B53142">
      <w:pPr>
        <w:rPr>
          <w:rFonts w:cs="Arial"/>
          <w:sz w:val="28"/>
          <w:szCs w:val="28"/>
        </w:rPr>
      </w:pPr>
      <w:r>
        <w:rPr>
          <w:rFonts w:cs="Arial"/>
          <w:sz w:val="28"/>
          <w:szCs w:val="28"/>
        </w:rPr>
        <w:t xml:space="preserve">Date: </w:t>
      </w:r>
      <w:r w:rsidR="00E72C75">
        <w:rPr>
          <w:rFonts w:cs="Arial"/>
          <w:sz w:val="28"/>
          <w:szCs w:val="28"/>
        </w:rPr>
        <w:t>16.09.2020</w:t>
      </w:r>
    </w:p>
    <w:p w14:paraId="271D1CB0" w14:textId="77777777" w:rsidR="00B53142" w:rsidRDefault="00B53142" w:rsidP="00B53142">
      <w:pPr>
        <w:spacing w:after="0" w:line="240" w:lineRule="auto"/>
        <w:rPr>
          <w:rFonts w:cs="Arial"/>
        </w:rPr>
      </w:pPr>
    </w:p>
    <w:p w14:paraId="22E24436" w14:textId="77777777" w:rsidR="00B53142" w:rsidRDefault="00B53142" w:rsidP="00B53142">
      <w:pPr>
        <w:spacing w:after="0" w:line="240" w:lineRule="auto"/>
        <w:rPr>
          <w:rFonts w:cs="Arial"/>
        </w:rPr>
      </w:pPr>
    </w:p>
    <w:p w14:paraId="5CBEBF5F" w14:textId="77777777" w:rsidR="000F2C9F" w:rsidRDefault="000F2C9F" w:rsidP="007208C3">
      <w:pPr>
        <w:rPr>
          <w:rFonts w:ascii="Arial" w:hAnsi="Arial" w:cs="Arial"/>
          <w:b/>
          <w:sz w:val="20"/>
          <w:szCs w:val="20"/>
        </w:rPr>
      </w:pPr>
    </w:p>
    <w:p w14:paraId="215AC815" w14:textId="77777777" w:rsidR="000F2C9F" w:rsidRDefault="000F2C9F" w:rsidP="007208C3">
      <w:pPr>
        <w:rPr>
          <w:rFonts w:ascii="Arial" w:hAnsi="Arial" w:cs="Arial"/>
          <w:b/>
          <w:sz w:val="20"/>
          <w:szCs w:val="20"/>
        </w:rPr>
      </w:pPr>
    </w:p>
    <w:p w14:paraId="39D20524" w14:textId="77777777" w:rsidR="000F2C9F" w:rsidRDefault="000F2C9F" w:rsidP="007208C3">
      <w:pPr>
        <w:rPr>
          <w:rFonts w:ascii="Arial" w:hAnsi="Arial" w:cs="Arial"/>
          <w:b/>
          <w:sz w:val="20"/>
          <w:szCs w:val="20"/>
        </w:rPr>
      </w:pPr>
    </w:p>
    <w:p w14:paraId="561F8A95" w14:textId="77777777" w:rsidR="000F2C9F" w:rsidRDefault="000F2C9F" w:rsidP="007208C3">
      <w:pPr>
        <w:rPr>
          <w:rFonts w:ascii="Arial" w:hAnsi="Arial" w:cs="Arial"/>
          <w:b/>
          <w:sz w:val="20"/>
          <w:szCs w:val="20"/>
        </w:rPr>
      </w:pPr>
    </w:p>
    <w:p w14:paraId="10186E91" w14:textId="77777777" w:rsidR="000F2C9F" w:rsidRDefault="000F2C9F" w:rsidP="007208C3">
      <w:pPr>
        <w:rPr>
          <w:rFonts w:ascii="Arial" w:hAnsi="Arial" w:cs="Arial"/>
          <w:b/>
          <w:sz w:val="20"/>
          <w:szCs w:val="20"/>
        </w:rPr>
      </w:pPr>
    </w:p>
    <w:p w14:paraId="7E31C33C" w14:textId="14566D5F" w:rsidR="007208C3" w:rsidRPr="00B53142" w:rsidRDefault="007208C3" w:rsidP="007208C3">
      <w:pPr>
        <w:rPr>
          <w:rFonts w:cs="Arial"/>
          <w:b/>
          <w:bCs/>
          <w:sz w:val="20"/>
          <w:szCs w:val="20"/>
        </w:rPr>
      </w:pPr>
      <w:r w:rsidRPr="00B53142">
        <w:rPr>
          <w:b/>
          <w:bCs/>
          <w:lang w:val="en-US" w:eastAsia="ja-JP"/>
        </w:rPr>
        <w:lastRenderedPageBreak/>
        <w:t>Contents</w:t>
      </w:r>
    </w:p>
    <w:p w14:paraId="6BD9974C" w14:textId="7A50A225" w:rsidR="007208C3" w:rsidRPr="007208C3" w:rsidRDefault="007208C3" w:rsidP="007208C3">
      <w:pPr>
        <w:rPr>
          <w:lang w:val="en-US" w:eastAsia="ja-JP"/>
        </w:rPr>
      </w:pPr>
      <w:r>
        <w:rPr>
          <w:lang w:val="en-US" w:eastAsia="ja-JP"/>
        </w:rPr>
        <w:t xml:space="preserve">Executive Summary </w:t>
      </w:r>
    </w:p>
    <w:p w14:paraId="17E7BC52" w14:textId="5CF2CE45" w:rsidR="007208C3" w:rsidRDefault="007208C3" w:rsidP="007208C3">
      <w:pPr>
        <w:rPr>
          <w:lang w:val="en-US" w:eastAsia="ja-JP"/>
        </w:rPr>
      </w:pPr>
      <w:r>
        <w:rPr>
          <w:lang w:val="en-US" w:eastAsia="ja-JP"/>
        </w:rPr>
        <w:t>1. Introduction</w:t>
      </w:r>
    </w:p>
    <w:p w14:paraId="7200721A" w14:textId="68BCFEA3" w:rsidR="007208C3" w:rsidRPr="000F2C9F" w:rsidRDefault="007208C3" w:rsidP="007208C3">
      <w:pPr>
        <w:pStyle w:val="NoSpacing"/>
        <w:rPr>
          <w:lang w:val="en-US" w:eastAsia="ja-JP"/>
        </w:rPr>
      </w:pPr>
      <w:r w:rsidRPr="000F2C9F">
        <w:rPr>
          <w:lang w:val="en-US" w:eastAsia="ja-JP"/>
        </w:rPr>
        <w:t>2. Literature Review</w:t>
      </w:r>
    </w:p>
    <w:p w14:paraId="35819DEA" w14:textId="628D90D8" w:rsidR="007208C3" w:rsidRDefault="007208C3" w:rsidP="007208C3">
      <w:pPr>
        <w:pStyle w:val="NoSpacing"/>
        <w:ind w:firstLine="720"/>
        <w:rPr>
          <w:lang w:val="en-US" w:eastAsia="ja-JP"/>
        </w:rPr>
      </w:pPr>
      <w:r w:rsidRPr="000F2C9F">
        <w:rPr>
          <w:lang w:val="en-US" w:eastAsia="ja-JP"/>
        </w:rPr>
        <w:t xml:space="preserve">2.1 Employee Wellbeing at work </w:t>
      </w:r>
    </w:p>
    <w:p w14:paraId="6BFA878E" w14:textId="3B1A11DA" w:rsidR="00AE5043" w:rsidRDefault="00AE5043" w:rsidP="007208C3">
      <w:pPr>
        <w:pStyle w:val="NoSpacing"/>
        <w:ind w:firstLine="720"/>
        <w:rPr>
          <w:lang w:val="en-US" w:eastAsia="ja-JP"/>
        </w:rPr>
      </w:pPr>
      <w:r>
        <w:rPr>
          <w:lang w:val="en-US" w:eastAsia="ja-JP"/>
        </w:rPr>
        <w:t>2.2 Employee Wellbeing and Engagement</w:t>
      </w:r>
    </w:p>
    <w:p w14:paraId="722BAECF" w14:textId="6A725FF4" w:rsidR="00AE5043" w:rsidRPr="000F2C9F" w:rsidRDefault="00AE5043" w:rsidP="007208C3">
      <w:pPr>
        <w:pStyle w:val="NoSpacing"/>
        <w:ind w:firstLine="720"/>
        <w:rPr>
          <w:lang w:val="en-US" w:eastAsia="ja-JP"/>
        </w:rPr>
      </w:pPr>
      <w:r>
        <w:rPr>
          <w:lang w:val="en-US" w:eastAsia="ja-JP"/>
        </w:rPr>
        <w:t xml:space="preserve">2.3 Employee Wellbeing and Organisational Performance / Success </w:t>
      </w:r>
    </w:p>
    <w:p w14:paraId="4580828A" w14:textId="77777777" w:rsidR="007208C3" w:rsidRPr="007208C3" w:rsidRDefault="007208C3" w:rsidP="007208C3">
      <w:pPr>
        <w:pStyle w:val="NoSpacing"/>
      </w:pPr>
    </w:p>
    <w:p w14:paraId="4AAFCF12" w14:textId="2D3F93FB" w:rsidR="007208C3" w:rsidRDefault="007208C3" w:rsidP="007208C3">
      <w:pPr>
        <w:rPr>
          <w:lang w:val="en-US" w:eastAsia="ja-JP"/>
        </w:rPr>
      </w:pPr>
      <w:r>
        <w:rPr>
          <w:lang w:val="en-US" w:eastAsia="ja-JP"/>
        </w:rPr>
        <w:t>3. Methodology</w:t>
      </w:r>
    </w:p>
    <w:p w14:paraId="2CF38EA0" w14:textId="7276229C" w:rsidR="007208C3" w:rsidRDefault="007208C3" w:rsidP="007208C3">
      <w:pPr>
        <w:rPr>
          <w:lang w:val="en-US" w:eastAsia="ja-JP"/>
        </w:rPr>
      </w:pPr>
      <w:r>
        <w:rPr>
          <w:lang w:val="en-US" w:eastAsia="ja-JP"/>
        </w:rPr>
        <w:t>4. Findings</w:t>
      </w:r>
    </w:p>
    <w:p w14:paraId="565EFD7C" w14:textId="58BEEA07" w:rsidR="007208C3" w:rsidRDefault="007208C3" w:rsidP="007208C3">
      <w:pPr>
        <w:rPr>
          <w:lang w:val="en-US" w:eastAsia="ja-JP"/>
        </w:rPr>
      </w:pPr>
      <w:r>
        <w:rPr>
          <w:lang w:val="en-US" w:eastAsia="ja-JP"/>
        </w:rPr>
        <w:t>5. Conclusions</w:t>
      </w:r>
    </w:p>
    <w:p w14:paraId="5937ECEB" w14:textId="1727A88D" w:rsidR="007208C3" w:rsidRDefault="007208C3" w:rsidP="007208C3">
      <w:pPr>
        <w:rPr>
          <w:lang w:val="en-US" w:eastAsia="ja-JP"/>
        </w:rPr>
      </w:pPr>
      <w:r>
        <w:rPr>
          <w:lang w:val="en-US" w:eastAsia="ja-JP"/>
        </w:rPr>
        <w:t>6. Recommendations</w:t>
      </w:r>
    </w:p>
    <w:p w14:paraId="335694C7" w14:textId="5409CEF9" w:rsidR="007208C3" w:rsidRDefault="007208C3" w:rsidP="007208C3">
      <w:pPr>
        <w:rPr>
          <w:lang w:val="en-US" w:eastAsia="ja-JP"/>
        </w:rPr>
      </w:pPr>
      <w:r>
        <w:rPr>
          <w:lang w:val="en-US" w:eastAsia="ja-JP"/>
        </w:rPr>
        <w:t>7. Limitations</w:t>
      </w:r>
    </w:p>
    <w:p w14:paraId="4BC50AFE" w14:textId="59CBB8C5" w:rsidR="007208C3" w:rsidRPr="007208C3" w:rsidRDefault="007208C3" w:rsidP="007208C3">
      <w:pPr>
        <w:rPr>
          <w:lang w:val="en-US" w:eastAsia="ja-JP"/>
        </w:rPr>
      </w:pPr>
      <w:r>
        <w:rPr>
          <w:lang w:val="en-US" w:eastAsia="ja-JP"/>
        </w:rPr>
        <w:t xml:space="preserve">References </w:t>
      </w:r>
    </w:p>
    <w:p w14:paraId="18987CAD" w14:textId="04E4F3E2" w:rsidR="007208C3" w:rsidRDefault="007208C3" w:rsidP="007208C3">
      <w:pPr>
        <w:rPr>
          <w:rFonts w:cstheme="minorHAnsi"/>
          <w:lang w:val="en-US" w:eastAsia="ja-JP"/>
        </w:rPr>
      </w:pPr>
    </w:p>
    <w:p w14:paraId="5E6CE457" w14:textId="1280C323" w:rsidR="007208C3" w:rsidRDefault="007208C3" w:rsidP="007208C3">
      <w:pPr>
        <w:rPr>
          <w:rFonts w:cstheme="minorHAnsi"/>
          <w:lang w:val="en-US" w:eastAsia="ja-JP"/>
        </w:rPr>
      </w:pPr>
    </w:p>
    <w:p w14:paraId="70CACDE9" w14:textId="2F4A4654" w:rsidR="007208C3" w:rsidRDefault="007208C3" w:rsidP="007208C3">
      <w:pPr>
        <w:rPr>
          <w:rFonts w:cstheme="minorHAnsi"/>
          <w:lang w:val="en-US" w:eastAsia="ja-JP"/>
        </w:rPr>
      </w:pPr>
    </w:p>
    <w:p w14:paraId="4F78C088" w14:textId="667F0E33" w:rsidR="007208C3" w:rsidRDefault="007208C3" w:rsidP="007208C3">
      <w:pPr>
        <w:rPr>
          <w:rFonts w:cstheme="minorHAnsi"/>
          <w:lang w:val="en-US" w:eastAsia="ja-JP"/>
        </w:rPr>
      </w:pPr>
    </w:p>
    <w:p w14:paraId="3350B0D7" w14:textId="399CFAAD" w:rsidR="007208C3" w:rsidRDefault="007208C3" w:rsidP="007208C3">
      <w:pPr>
        <w:rPr>
          <w:rFonts w:cstheme="minorHAnsi"/>
          <w:lang w:val="en-US" w:eastAsia="ja-JP"/>
        </w:rPr>
      </w:pPr>
    </w:p>
    <w:p w14:paraId="56499F21" w14:textId="616A9E7C" w:rsidR="007208C3" w:rsidRDefault="007208C3" w:rsidP="007208C3">
      <w:pPr>
        <w:rPr>
          <w:rFonts w:cstheme="minorHAnsi"/>
          <w:lang w:val="en-US" w:eastAsia="ja-JP"/>
        </w:rPr>
      </w:pPr>
    </w:p>
    <w:p w14:paraId="524EF1A8" w14:textId="3999A87A" w:rsidR="007208C3" w:rsidRDefault="007208C3" w:rsidP="007208C3">
      <w:pPr>
        <w:rPr>
          <w:rFonts w:cstheme="minorHAnsi"/>
          <w:lang w:val="en-US" w:eastAsia="ja-JP"/>
        </w:rPr>
      </w:pPr>
    </w:p>
    <w:p w14:paraId="56E1201E" w14:textId="159A09E6" w:rsidR="007208C3" w:rsidRDefault="007208C3" w:rsidP="007208C3">
      <w:pPr>
        <w:rPr>
          <w:rFonts w:cstheme="minorHAnsi"/>
          <w:lang w:val="en-US" w:eastAsia="ja-JP"/>
        </w:rPr>
      </w:pPr>
    </w:p>
    <w:p w14:paraId="517A7EB7" w14:textId="635C1B3A" w:rsidR="007208C3" w:rsidRDefault="007208C3" w:rsidP="007208C3">
      <w:pPr>
        <w:rPr>
          <w:rFonts w:cstheme="minorHAnsi"/>
          <w:lang w:val="en-US" w:eastAsia="ja-JP"/>
        </w:rPr>
      </w:pPr>
    </w:p>
    <w:p w14:paraId="5F8D7DB9" w14:textId="521D137F" w:rsidR="007208C3" w:rsidRDefault="007208C3" w:rsidP="007208C3">
      <w:pPr>
        <w:rPr>
          <w:rFonts w:cstheme="minorHAnsi"/>
          <w:lang w:val="en-US" w:eastAsia="ja-JP"/>
        </w:rPr>
      </w:pPr>
    </w:p>
    <w:p w14:paraId="4081E18D" w14:textId="77777777" w:rsidR="007208C3" w:rsidRPr="007208C3" w:rsidRDefault="007208C3" w:rsidP="007208C3">
      <w:pPr>
        <w:rPr>
          <w:rFonts w:cstheme="minorHAnsi"/>
        </w:rPr>
      </w:pPr>
    </w:p>
    <w:p w14:paraId="7288AB16" w14:textId="001862A8" w:rsidR="007208C3" w:rsidRDefault="007208C3" w:rsidP="007208C3">
      <w:pPr>
        <w:rPr>
          <w:lang w:val="en-US" w:eastAsia="ja-JP"/>
        </w:rPr>
      </w:pPr>
    </w:p>
    <w:p w14:paraId="428D7DA7" w14:textId="491A5978" w:rsidR="007208C3" w:rsidRDefault="007208C3" w:rsidP="007208C3">
      <w:pPr>
        <w:rPr>
          <w:lang w:val="en-US" w:eastAsia="ja-JP"/>
        </w:rPr>
      </w:pPr>
    </w:p>
    <w:p w14:paraId="12E723FE" w14:textId="485C811E" w:rsidR="007208C3" w:rsidRDefault="007208C3" w:rsidP="007208C3">
      <w:pPr>
        <w:rPr>
          <w:lang w:val="en-US" w:eastAsia="ja-JP"/>
        </w:rPr>
      </w:pPr>
    </w:p>
    <w:p w14:paraId="1FD23E6E" w14:textId="5FB1D654" w:rsidR="007208C3" w:rsidRDefault="007208C3" w:rsidP="007208C3">
      <w:pPr>
        <w:rPr>
          <w:lang w:val="en-US" w:eastAsia="ja-JP"/>
        </w:rPr>
      </w:pPr>
    </w:p>
    <w:p w14:paraId="44784296" w14:textId="549F47D0" w:rsidR="007208C3" w:rsidRDefault="007208C3" w:rsidP="007208C3">
      <w:pPr>
        <w:rPr>
          <w:lang w:val="en-US" w:eastAsia="ja-JP"/>
        </w:rPr>
      </w:pPr>
    </w:p>
    <w:p w14:paraId="7D92CFCC" w14:textId="043AD221" w:rsidR="007208C3" w:rsidRDefault="007208C3" w:rsidP="007208C3">
      <w:pPr>
        <w:rPr>
          <w:lang w:val="en-US" w:eastAsia="ja-JP"/>
        </w:rPr>
      </w:pPr>
    </w:p>
    <w:p w14:paraId="5F9BE9C5" w14:textId="77777777" w:rsidR="007208C3" w:rsidRPr="007208C3" w:rsidRDefault="007208C3" w:rsidP="007208C3">
      <w:pPr>
        <w:rPr>
          <w:lang w:val="en-US" w:eastAsia="ja-JP"/>
        </w:rPr>
      </w:pPr>
    </w:p>
    <w:p w14:paraId="2FEB314E" w14:textId="77777777" w:rsidR="000F2C9F" w:rsidRDefault="000F2C9F" w:rsidP="00863624">
      <w:pPr>
        <w:rPr>
          <w:b/>
          <w:bCs/>
        </w:rPr>
      </w:pPr>
    </w:p>
    <w:p w14:paraId="1730EE05" w14:textId="0D87DB0D" w:rsidR="00863624" w:rsidRPr="00E32FA1" w:rsidRDefault="00863624" w:rsidP="00863624">
      <w:pPr>
        <w:rPr>
          <w:b/>
          <w:bCs/>
        </w:rPr>
      </w:pPr>
      <w:r w:rsidRPr="00E32FA1">
        <w:rPr>
          <w:b/>
          <w:bCs/>
        </w:rPr>
        <w:lastRenderedPageBreak/>
        <w:t>Executive Summary</w:t>
      </w:r>
    </w:p>
    <w:p w14:paraId="3307CB11" w14:textId="7DC8E7F2" w:rsidR="00863624" w:rsidRDefault="00863624" w:rsidP="00863624">
      <w:r>
        <w:t xml:space="preserve">The purpose of this report is to explore and recommend how Human Resources can support and implement wellbeing strategies for employees within Marelli. </w:t>
      </w:r>
    </w:p>
    <w:p w14:paraId="7428DBC6" w14:textId="430652A9" w:rsidR="00E32FA1" w:rsidRDefault="00863624" w:rsidP="00863624">
      <w:r>
        <w:t>Wellbeing, and more specifically, employee wellbeing is becoming an important strategic focus within organisations</w:t>
      </w:r>
      <w:r w:rsidR="00E32FA1">
        <w:t xml:space="preserve">. </w:t>
      </w:r>
      <w:r w:rsidR="00E32FA1" w:rsidRPr="008846FF">
        <w:t>R</w:t>
      </w:r>
      <w:r w:rsidRPr="008846FF">
        <w:t>esearch and studies have</w:t>
      </w:r>
      <w:r>
        <w:t xml:space="preserve"> shown a direct correlation between wellbeing and </w:t>
      </w:r>
      <w:r w:rsidR="00E32FA1">
        <w:t xml:space="preserve">employee </w:t>
      </w:r>
      <w:r>
        <w:t xml:space="preserve">productivity, satisfaction </w:t>
      </w:r>
      <w:r w:rsidR="00E32FA1">
        <w:t xml:space="preserve">and retention within many UK organisations. Employers are also recognising that wellbeing goes outside of work, and organisations now recognise the need for a ‘work-life balance’ for employees to feel valued and remain engaged with their employer. </w:t>
      </w:r>
    </w:p>
    <w:p w14:paraId="4F4983D5" w14:textId="625E390C" w:rsidR="007208C3" w:rsidRDefault="008D05ED" w:rsidP="00863624">
      <w:r>
        <w:t xml:space="preserve">It has been found, within the report, that employee wellbeing and organisational success are intrinsically linked; with employee engagement being a major factor in how employees feel and how they operate within their organisations. The focus previously has been on HR to manage employee engagement and </w:t>
      </w:r>
      <w:r w:rsidR="00D21AB3">
        <w:t>wellbeing;</w:t>
      </w:r>
      <w:r>
        <w:t xml:space="preserve"> however, this has slowly devolved into a responsibility that managers take on to develop more engaged teams. </w:t>
      </w:r>
    </w:p>
    <w:p w14:paraId="3F1A34C5" w14:textId="71CF4607" w:rsidR="008D05ED" w:rsidRDefault="008D05ED" w:rsidP="00863624">
      <w:r>
        <w:t xml:space="preserve">In summary, it has been identified that </w:t>
      </w:r>
      <w:r w:rsidR="00D21AB3">
        <w:t>several</w:t>
      </w:r>
      <w:r>
        <w:t xml:space="preserve"> initiatives can be carried out to enable a wellbeing strategy at Marelli, and key activities to support the implementation of a strategy have also been investigated. </w:t>
      </w:r>
    </w:p>
    <w:p w14:paraId="64D18D52" w14:textId="56277B59" w:rsidR="007208C3" w:rsidRDefault="007208C3" w:rsidP="00863624"/>
    <w:p w14:paraId="43B3E923" w14:textId="6803BB74" w:rsidR="007208C3" w:rsidRDefault="007208C3" w:rsidP="00863624"/>
    <w:p w14:paraId="723B45E0" w14:textId="66F4A26D" w:rsidR="007208C3" w:rsidRDefault="007208C3" w:rsidP="00863624"/>
    <w:p w14:paraId="520819C5" w14:textId="1BD1832B" w:rsidR="007208C3" w:rsidRDefault="007208C3" w:rsidP="00863624"/>
    <w:p w14:paraId="4FA1D1FA" w14:textId="0E0136FE" w:rsidR="007208C3" w:rsidRDefault="007208C3" w:rsidP="00863624"/>
    <w:p w14:paraId="5FA77993" w14:textId="36EFEB4C" w:rsidR="007208C3" w:rsidRDefault="007208C3" w:rsidP="00863624"/>
    <w:p w14:paraId="2D2295DB" w14:textId="22DBC4D5" w:rsidR="007208C3" w:rsidRDefault="007208C3" w:rsidP="00863624"/>
    <w:p w14:paraId="641AE3C9" w14:textId="76A19000" w:rsidR="007208C3" w:rsidRDefault="007208C3" w:rsidP="00863624"/>
    <w:p w14:paraId="2F1E451D" w14:textId="374E3FC7" w:rsidR="007208C3" w:rsidRDefault="007208C3" w:rsidP="00863624"/>
    <w:p w14:paraId="4FF191C1" w14:textId="01717880" w:rsidR="007208C3" w:rsidRDefault="007208C3" w:rsidP="00863624"/>
    <w:p w14:paraId="792882BD" w14:textId="222C8E5D" w:rsidR="007208C3" w:rsidRDefault="007208C3" w:rsidP="00863624"/>
    <w:p w14:paraId="225E54FD" w14:textId="17EF212A" w:rsidR="007208C3" w:rsidRDefault="007208C3" w:rsidP="00863624"/>
    <w:p w14:paraId="4BD80506" w14:textId="39459CEF" w:rsidR="007208C3" w:rsidRDefault="007208C3" w:rsidP="00863624"/>
    <w:p w14:paraId="3EA249ED" w14:textId="72FADF6A" w:rsidR="007208C3" w:rsidRDefault="007208C3" w:rsidP="00863624"/>
    <w:p w14:paraId="1D59C8F1" w14:textId="187E7A87" w:rsidR="007208C3" w:rsidRDefault="007208C3" w:rsidP="00863624"/>
    <w:p w14:paraId="472F50A1" w14:textId="7D35042E" w:rsidR="007208C3" w:rsidRDefault="007208C3" w:rsidP="00863624"/>
    <w:p w14:paraId="470D756D" w14:textId="37BE7E91" w:rsidR="007208C3" w:rsidRDefault="007208C3" w:rsidP="00863624"/>
    <w:p w14:paraId="220A5C9D" w14:textId="028FC802" w:rsidR="00D21AB3" w:rsidRDefault="00D21AB3" w:rsidP="00863624"/>
    <w:p w14:paraId="60F8A774" w14:textId="77777777" w:rsidR="00D21AB3" w:rsidRDefault="00D21AB3" w:rsidP="00863624"/>
    <w:p w14:paraId="4D89AB86" w14:textId="19998AF9" w:rsidR="007208C3" w:rsidRPr="007208C3" w:rsidRDefault="007208C3" w:rsidP="007208C3">
      <w:pPr>
        <w:rPr>
          <w:b/>
          <w:bCs/>
        </w:rPr>
      </w:pPr>
      <w:r w:rsidRPr="007208C3">
        <w:rPr>
          <w:b/>
          <w:bCs/>
        </w:rPr>
        <w:lastRenderedPageBreak/>
        <w:t xml:space="preserve">1. Introduction </w:t>
      </w:r>
    </w:p>
    <w:p w14:paraId="03684333" w14:textId="6A5EAFC3" w:rsidR="0000063E" w:rsidRDefault="0000063E" w:rsidP="00863624">
      <w:r w:rsidRPr="0000063E">
        <w:t>Marelli</w:t>
      </w:r>
      <w:r>
        <w:t xml:space="preserve"> is a global automotive business, with over 60,000 employees spanning 170 facilities worldwide</w:t>
      </w:r>
      <w:r w:rsidR="00BB0B8A">
        <w:t>.</w:t>
      </w:r>
      <w:r>
        <w:t xml:space="preserve"> (Marelli, 2020) </w:t>
      </w:r>
      <w:r w:rsidR="00BB0B8A">
        <w:t xml:space="preserve">This report will focus on the Llanelli division of the business, which employs just over 350 employees as of Summer 2020. The Llanelli manufacturing site has been established since 1965 and has gone through many changes over the past 55 years due to many mergers and acquisitions within the wider business. </w:t>
      </w:r>
    </w:p>
    <w:p w14:paraId="34CEF6E6" w14:textId="302334A5" w:rsidR="00BB0B8A" w:rsidRDefault="00BB0B8A" w:rsidP="00863624">
      <w:pPr>
        <w:rPr>
          <w:rFonts w:cstheme="minorHAnsi"/>
          <w:shd w:val="clear" w:color="auto" w:fill="FFFFFF"/>
        </w:rPr>
      </w:pPr>
      <w:r>
        <w:t xml:space="preserve">Since the most recent acquisition of Magneti Marelli in May of last year to “form the seventh largest automotive parts supplier” in the world (Reuters, 2018), there has been significant focus on aligning and harmonising policies and procedures throughout the business, both globally and regionally. One focus is to improve employee engagement and retention, through improving employee wellbeing strategies. It has been recognised that after a lot of change and restructuring within the business, not only recently, but historically, that a ‘formal’ focus on engaging employees and ensuring their </w:t>
      </w:r>
      <w:r w:rsidRPr="00586646">
        <w:t xml:space="preserve">wellbeing is lacking. Such strategies will be designed to support employees, but also will benefit the business overall </w:t>
      </w:r>
      <w:r w:rsidR="00586646" w:rsidRPr="00586646">
        <w:rPr>
          <w:rFonts w:cstheme="minorHAnsi"/>
          <w:shd w:val="clear" w:color="auto" w:fill="FFFFFF"/>
        </w:rPr>
        <w:t xml:space="preserve">as happier and valued employees </w:t>
      </w:r>
      <w:r w:rsidRPr="00586646">
        <w:rPr>
          <w:rFonts w:cstheme="minorHAnsi"/>
          <w:shd w:val="clear" w:color="auto" w:fill="FFFFFF"/>
        </w:rPr>
        <w:t xml:space="preserve">are also more likely to drive productivity, </w:t>
      </w:r>
      <w:r w:rsidR="00586646" w:rsidRPr="00586646">
        <w:rPr>
          <w:rFonts w:cstheme="minorHAnsi"/>
          <w:shd w:val="clear" w:color="auto" w:fill="FFFFFF"/>
        </w:rPr>
        <w:t>improved products</w:t>
      </w:r>
      <w:r w:rsidRPr="00586646">
        <w:rPr>
          <w:rFonts w:cstheme="minorHAnsi"/>
          <w:shd w:val="clear" w:color="auto" w:fill="FFFFFF"/>
        </w:rPr>
        <w:t xml:space="preserve"> and innovation</w:t>
      </w:r>
      <w:r w:rsidR="00586646" w:rsidRPr="00586646">
        <w:rPr>
          <w:rFonts w:cstheme="minorHAnsi"/>
          <w:shd w:val="clear" w:color="auto" w:fill="FFFFFF"/>
        </w:rPr>
        <w:t xml:space="preserve"> within an organisation. (CIPD, 2019) </w:t>
      </w:r>
    </w:p>
    <w:p w14:paraId="776B64D4" w14:textId="71B8E504" w:rsidR="000714B8" w:rsidRPr="007F6F4E" w:rsidRDefault="00586646" w:rsidP="007F6F4E">
      <w:pPr>
        <w:rPr>
          <w:rFonts w:cstheme="minorHAnsi"/>
          <w:shd w:val="clear" w:color="auto" w:fill="FFFFFF"/>
        </w:rPr>
      </w:pPr>
      <w:r>
        <w:rPr>
          <w:rFonts w:cstheme="minorHAnsi"/>
          <w:shd w:val="clear" w:color="auto" w:fill="FFFFFF"/>
        </w:rPr>
        <w:t xml:space="preserve">The </w:t>
      </w:r>
      <w:r w:rsidR="007F6F4E">
        <w:rPr>
          <w:rFonts w:cstheme="minorHAnsi"/>
          <w:shd w:val="clear" w:color="auto" w:fill="FFFFFF"/>
        </w:rPr>
        <w:t>aim</w:t>
      </w:r>
      <w:r>
        <w:rPr>
          <w:rFonts w:cstheme="minorHAnsi"/>
          <w:shd w:val="clear" w:color="auto" w:fill="FFFFFF"/>
        </w:rPr>
        <w:t xml:space="preserve"> of the following </w:t>
      </w:r>
      <w:r w:rsidR="007F6F4E">
        <w:rPr>
          <w:rFonts w:cstheme="minorHAnsi"/>
          <w:shd w:val="clear" w:color="auto" w:fill="FFFFFF"/>
        </w:rPr>
        <w:t>research</w:t>
      </w:r>
      <w:r>
        <w:rPr>
          <w:rFonts w:cstheme="minorHAnsi"/>
          <w:shd w:val="clear" w:color="auto" w:fill="FFFFFF"/>
        </w:rPr>
        <w:t xml:space="preserve"> is to explore</w:t>
      </w:r>
      <w:r w:rsidR="007F6F4E">
        <w:rPr>
          <w:rFonts w:cstheme="minorHAnsi"/>
          <w:shd w:val="clear" w:color="auto" w:fill="FFFFFF"/>
        </w:rPr>
        <w:t xml:space="preserve"> and critically analyse the correlation between</w:t>
      </w:r>
      <w:r>
        <w:rPr>
          <w:rFonts w:cstheme="minorHAnsi"/>
          <w:shd w:val="clear" w:color="auto" w:fill="FFFFFF"/>
        </w:rPr>
        <w:t xml:space="preserve"> employee wellbeing and organisational success</w:t>
      </w:r>
      <w:r w:rsidR="007F6F4E">
        <w:rPr>
          <w:rFonts w:cstheme="minorHAnsi"/>
          <w:shd w:val="clear" w:color="auto" w:fill="FFFFFF"/>
        </w:rPr>
        <w:t xml:space="preserve">. </w:t>
      </w:r>
      <w:r>
        <w:rPr>
          <w:rFonts w:cstheme="minorHAnsi"/>
          <w:shd w:val="clear" w:color="auto" w:fill="FFFFFF"/>
        </w:rPr>
        <w:t xml:space="preserve"> </w:t>
      </w:r>
    </w:p>
    <w:p w14:paraId="49548FA7" w14:textId="4A5267C8" w:rsidR="000714B8" w:rsidRPr="00B00DA8" w:rsidRDefault="00F718CB" w:rsidP="000714B8">
      <w:pPr>
        <w:spacing w:before="96" w:after="0" w:line="240" w:lineRule="auto"/>
        <w:rPr>
          <w:rFonts w:ascii="Calibri" w:eastAsiaTheme="minorEastAsia" w:hAnsi="Calibri"/>
          <w:b/>
          <w:bCs/>
          <w:color w:val="000000" w:themeColor="text1"/>
          <w:kern w:val="24"/>
          <w:lang w:eastAsia="en-GB"/>
        </w:rPr>
      </w:pPr>
      <w:r w:rsidRPr="00B00DA8">
        <w:rPr>
          <w:rFonts w:ascii="Calibri" w:eastAsiaTheme="minorEastAsia" w:hAnsi="Calibri"/>
          <w:b/>
          <w:bCs/>
          <w:color w:val="000000" w:themeColor="text1"/>
          <w:kern w:val="24"/>
          <w:lang w:eastAsia="en-GB"/>
        </w:rPr>
        <w:t>Objectives:</w:t>
      </w:r>
    </w:p>
    <w:p w14:paraId="3EA74568" w14:textId="40F84005" w:rsidR="00F718CB" w:rsidRPr="00B00DA8" w:rsidRDefault="00F718CB" w:rsidP="00F718CB">
      <w:pPr>
        <w:pStyle w:val="ListParagraph"/>
        <w:numPr>
          <w:ilvl w:val="0"/>
          <w:numId w:val="17"/>
        </w:numPr>
        <w:spacing w:before="96"/>
        <w:rPr>
          <w:rFonts w:ascii="Calibri" w:eastAsia="Times New Roman" w:hAnsi="Calibri"/>
          <w:lang w:eastAsia="en-GB"/>
        </w:rPr>
      </w:pPr>
      <w:r w:rsidRPr="00B00DA8">
        <w:rPr>
          <w:rFonts w:ascii="Calibri" w:eastAsia="Times New Roman" w:hAnsi="Calibri"/>
          <w:lang w:eastAsia="en-GB"/>
        </w:rPr>
        <w:t xml:space="preserve">To identify and explore how employee wellbeing impacts employee engagement and retention within organisations </w:t>
      </w:r>
    </w:p>
    <w:p w14:paraId="56644A62" w14:textId="694CB421" w:rsidR="00F718CB" w:rsidRPr="00B00DA8" w:rsidRDefault="00F718CB" w:rsidP="00F718CB">
      <w:pPr>
        <w:pStyle w:val="ListParagraph"/>
        <w:numPr>
          <w:ilvl w:val="0"/>
          <w:numId w:val="17"/>
        </w:numPr>
        <w:spacing w:before="96"/>
        <w:rPr>
          <w:rFonts w:ascii="Calibri" w:eastAsia="Times New Roman" w:hAnsi="Calibri"/>
          <w:lang w:eastAsia="en-GB"/>
        </w:rPr>
      </w:pPr>
      <w:r w:rsidRPr="00B00DA8">
        <w:rPr>
          <w:rFonts w:ascii="Calibri" w:eastAsia="Times New Roman" w:hAnsi="Calibri"/>
          <w:lang w:eastAsia="en-GB"/>
        </w:rPr>
        <w:t>To critically analyse the correlation between employee wellbeing and organisational success</w:t>
      </w:r>
    </w:p>
    <w:p w14:paraId="63A26D6C" w14:textId="0D56A975" w:rsidR="00F718CB" w:rsidRDefault="00D5087E" w:rsidP="00F718CB">
      <w:pPr>
        <w:pStyle w:val="ListParagraph"/>
        <w:numPr>
          <w:ilvl w:val="0"/>
          <w:numId w:val="17"/>
        </w:numPr>
        <w:spacing w:before="96"/>
        <w:rPr>
          <w:rFonts w:ascii="Calibri" w:eastAsia="Times New Roman" w:hAnsi="Calibri"/>
          <w:lang w:eastAsia="en-GB"/>
        </w:rPr>
      </w:pPr>
      <w:r>
        <w:rPr>
          <w:rFonts w:ascii="Calibri" w:eastAsia="Times New Roman" w:hAnsi="Calibri"/>
          <w:lang w:eastAsia="en-GB"/>
        </w:rPr>
        <w:t xml:space="preserve">To investigate if wellbeing does link directly with engagement of employees </w:t>
      </w:r>
    </w:p>
    <w:p w14:paraId="50AFA45A" w14:textId="7501D99B" w:rsidR="00D5087E" w:rsidRPr="00B00DA8" w:rsidRDefault="00D5087E" w:rsidP="00F718CB">
      <w:pPr>
        <w:pStyle w:val="ListParagraph"/>
        <w:numPr>
          <w:ilvl w:val="0"/>
          <w:numId w:val="17"/>
        </w:numPr>
        <w:spacing w:before="96"/>
        <w:rPr>
          <w:rFonts w:ascii="Calibri" w:eastAsia="Times New Roman" w:hAnsi="Calibri"/>
          <w:lang w:eastAsia="en-GB"/>
        </w:rPr>
      </w:pPr>
      <w:r>
        <w:rPr>
          <w:rFonts w:ascii="Calibri" w:eastAsia="Times New Roman" w:hAnsi="Calibri"/>
          <w:lang w:eastAsia="en-GB"/>
        </w:rPr>
        <w:t>To make recommendations for a wellbeing strategy to possibly be implemented at Marelli</w:t>
      </w:r>
    </w:p>
    <w:p w14:paraId="084D6A17" w14:textId="1CEBB5B2" w:rsidR="00B00DA8" w:rsidRDefault="00B00DA8" w:rsidP="00B00DA8">
      <w:pPr>
        <w:spacing w:after="0" w:line="216" w:lineRule="auto"/>
        <w:contextualSpacing/>
        <w:rPr>
          <w:rFonts w:eastAsiaTheme="minorEastAsia" w:hAnsi="Myriad Pro"/>
          <w:color w:val="000000" w:themeColor="text1"/>
          <w:kern w:val="24"/>
          <w:sz w:val="24"/>
          <w:szCs w:val="24"/>
          <w:lang w:eastAsia="en-GB"/>
        </w:rPr>
      </w:pPr>
    </w:p>
    <w:p w14:paraId="06FD13E2" w14:textId="04B2AD8C" w:rsidR="00976F7D" w:rsidRDefault="00B00DA8" w:rsidP="00976F7D">
      <w:pPr>
        <w:rPr>
          <w:rFonts w:cstheme="minorHAnsi"/>
          <w:shd w:val="clear" w:color="auto" w:fill="FFFFFF"/>
        </w:rPr>
      </w:pPr>
      <w:r w:rsidRPr="00586646">
        <w:t xml:space="preserve">Employee wellbeing is a critical topic within organisations and has become a part of strategic human resource management in recent years, due to its importance to the success of a business. The CIPD </w:t>
      </w:r>
      <w:r w:rsidRPr="00196D54">
        <w:t>advises that</w:t>
      </w:r>
      <w:r w:rsidRPr="00196D54">
        <w:rPr>
          <w:b/>
          <w:bCs/>
        </w:rPr>
        <w:t xml:space="preserve"> </w:t>
      </w:r>
      <w:r w:rsidRPr="00196D54">
        <w:rPr>
          <w:rFonts w:cstheme="minorHAnsi"/>
          <w:shd w:val="clear" w:color="auto" w:fill="FFFFFF"/>
        </w:rPr>
        <w:t xml:space="preserve">encouraging employee wellbeing is good for both employees and the employer.  Supporting and promoting wellbeing within work can help prevent stress and adopting positive working environments can support employees, and the wider organisation, to succeed. It is also noted that positive health and wellbeing can be a “core enabler” of engagement of employees and the performance of an organisation. (CIPD, 2020) </w:t>
      </w:r>
    </w:p>
    <w:p w14:paraId="072FC984" w14:textId="6348F82F" w:rsidR="00776BDC" w:rsidRPr="00196D54" w:rsidRDefault="00776BDC" w:rsidP="00976F7D">
      <w:pPr>
        <w:rPr>
          <w:rFonts w:cstheme="minorHAnsi"/>
          <w:shd w:val="clear" w:color="auto" w:fill="FFFFFF"/>
        </w:rPr>
      </w:pPr>
      <w:r w:rsidRPr="00196D54">
        <w:rPr>
          <w:rFonts w:cstheme="minorHAnsi"/>
          <w:shd w:val="clear" w:color="auto" w:fill="FFFFFF"/>
        </w:rPr>
        <w:t>The CIPD</w:t>
      </w:r>
      <w:r w:rsidR="00196D54" w:rsidRPr="00196D54">
        <w:rPr>
          <w:rFonts w:cstheme="minorHAnsi"/>
          <w:shd w:val="clear" w:color="auto" w:fill="FFFFFF"/>
        </w:rPr>
        <w:t xml:space="preserve"> also developed a pyramid model to demonstrate how organisations can integrate wellbeing into the workplace effectively.</w:t>
      </w:r>
      <w:r w:rsidR="00D21AB3">
        <w:rPr>
          <w:rFonts w:cstheme="minorHAnsi"/>
          <w:shd w:val="clear" w:color="auto" w:fill="FFFFFF"/>
        </w:rPr>
        <w:t xml:space="preserve"> The model includes engagement, wellbeing, culture, leadership and people management as factors to be considered when looking at wellbeing at work, and having strong leadership, culture and management at the ‘bottom’ of the pyramid (or at the core of the organisation) will lead to improved wellbeing and engagement of employees (CIPD, 2020)</w:t>
      </w:r>
    </w:p>
    <w:p w14:paraId="40E7B08E" w14:textId="77777777" w:rsidR="00D5087E" w:rsidRDefault="00196D54" w:rsidP="00976F7D">
      <w:pPr>
        <w:rPr>
          <w:rFonts w:cstheme="minorHAnsi"/>
          <w:shd w:val="clear" w:color="auto" w:fill="FFFFFF"/>
        </w:rPr>
      </w:pPr>
      <w:r w:rsidRPr="00196D54">
        <w:rPr>
          <w:rFonts w:cstheme="minorHAnsi"/>
          <w:shd w:val="clear" w:color="auto" w:fill="FFFFFF"/>
        </w:rPr>
        <w:t xml:space="preserve">In comparison, a wellbeing charter has been developed by the government as a model of how to integrate wellbeing successfully within businesses in the UK. </w:t>
      </w:r>
      <w:r>
        <w:rPr>
          <w:rFonts w:cstheme="minorHAnsi"/>
          <w:shd w:val="clear" w:color="auto" w:fill="FFFFFF"/>
        </w:rPr>
        <w:t xml:space="preserve">The </w:t>
      </w:r>
      <w:r w:rsidRPr="00196D54">
        <w:rPr>
          <w:rFonts w:cstheme="minorHAnsi"/>
          <w:shd w:val="clear" w:color="auto" w:fill="FFFFFF"/>
        </w:rPr>
        <w:t xml:space="preserve">Workplace </w:t>
      </w:r>
      <w:r>
        <w:rPr>
          <w:rFonts w:cstheme="minorHAnsi"/>
          <w:shd w:val="clear" w:color="auto" w:fill="FFFFFF"/>
        </w:rPr>
        <w:t>C</w:t>
      </w:r>
      <w:r w:rsidRPr="00196D54">
        <w:rPr>
          <w:rFonts w:cstheme="minorHAnsi"/>
          <w:shd w:val="clear" w:color="auto" w:fill="FFFFFF"/>
        </w:rPr>
        <w:t>harter</w:t>
      </w:r>
      <w:r>
        <w:rPr>
          <w:rFonts w:cstheme="minorHAnsi"/>
          <w:shd w:val="clear" w:color="auto" w:fill="FFFFFF"/>
        </w:rPr>
        <w:t xml:space="preserve"> provide guidance and ‘aims’ for employers</w:t>
      </w:r>
      <w:r w:rsidR="00D5087E">
        <w:rPr>
          <w:rFonts w:cstheme="minorHAnsi"/>
          <w:shd w:val="clear" w:color="auto" w:fill="FFFFFF"/>
        </w:rPr>
        <w:t>, however, as this is more specific to individual organisations, it can be subjective so isn’t a reliable model to utilise if an organisation is looking for more of a template in order to develop wellbeing strategies</w:t>
      </w:r>
      <w:r w:rsidRPr="00196D54">
        <w:rPr>
          <w:rFonts w:cstheme="minorHAnsi"/>
          <w:shd w:val="clear" w:color="auto" w:fill="FFFFFF"/>
        </w:rPr>
        <w:t>.</w:t>
      </w:r>
    </w:p>
    <w:p w14:paraId="28838B40" w14:textId="414AF5CC" w:rsidR="00776BDC" w:rsidRDefault="00D5087E" w:rsidP="00976F7D">
      <w:pPr>
        <w:rPr>
          <w:rFonts w:cstheme="minorHAnsi"/>
          <w:shd w:val="clear" w:color="auto" w:fill="FFFFFF"/>
        </w:rPr>
      </w:pPr>
      <w:r>
        <w:rPr>
          <w:rFonts w:cstheme="minorHAnsi"/>
          <w:shd w:val="clear" w:color="auto" w:fill="FFFFFF"/>
        </w:rPr>
        <w:t xml:space="preserve">This research showed a distinct gap in formal models for wellbeing, which emphasises the point that wellbeing is still emerging as a strategic principle for organisations </w:t>
      </w:r>
      <w:r w:rsidR="0038549D">
        <w:rPr>
          <w:rFonts w:cstheme="minorHAnsi"/>
          <w:shd w:val="clear" w:color="auto" w:fill="FFFFFF"/>
        </w:rPr>
        <w:t>and</w:t>
      </w:r>
      <w:r>
        <w:rPr>
          <w:rFonts w:cstheme="minorHAnsi"/>
          <w:shd w:val="clear" w:color="auto" w:fill="FFFFFF"/>
        </w:rPr>
        <w:t xml:space="preserve"> that formal recognition may be lacking. </w:t>
      </w:r>
      <w:r w:rsidR="00196D54" w:rsidRPr="00196D54">
        <w:rPr>
          <w:rFonts w:cstheme="minorHAnsi"/>
          <w:shd w:val="clear" w:color="auto" w:fill="FFFFFF"/>
        </w:rPr>
        <w:t> </w:t>
      </w:r>
    </w:p>
    <w:p w14:paraId="73C47AE2" w14:textId="53AB1FE5" w:rsidR="00D21AB3" w:rsidRDefault="00D21AB3" w:rsidP="00976F7D">
      <w:pPr>
        <w:rPr>
          <w:rFonts w:cstheme="minorHAnsi"/>
          <w:shd w:val="clear" w:color="auto" w:fill="FFFFFF"/>
        </w:rPr>
      </w:pPr>
    </w:p>
    <w:p w14:paraId="66F36E54" w14:textId="77777777" w:rsidR="00D21AB3" w:rsidRPr="00D21AB3" w:rsidRDefault="00D21AB3" w:rsidP="00976F7D">
      <w:pPr>
        <w:rPr>
          <w:rFonts w:cstheme="minorHAnsi"/>
          <w:shd w:val="clear" w:color="auto" w:fill="FFFFFF"/>
        </w:rPr>
      </w:pPr>
    </w:p>
    <w:p w14:paraId="4A1F24E2" w14:textId="2563F30B" w:rsidR="0000063E" w:rsidRDefault="007208C3" w:rsidP="00863624">
      <w:pPr>
        <w:rPr>
          <w:b/>
          <w:bCs/>
        </w:rPr>
      </w:pPr>
      <w:r>
        <w:rPr>
          <w:b/>
          <w:bCs/>
        </w:rPr>
        <w:t xml:space="preserve">2.1 </w:t>
      </w:r>
      <w:r w:rsidR="00586646">
        <w:rPr>
          <w:b/>
          <w:bCs/>
        </w:rPr>
        <w:t xml:space="preserve">Employee Wellbeing </w:t>
      </w:r>
      <w:r w:rsidR="00D5087E">
        <w:rPr>
          <w:b/>
          <w:bCs/>
        </w:rPr>
        <w:t xml:space="preserve">and HR </w:t>
      </w:r>
    </w:p>
    <w:p w14:paraId="4C8F9067" w14:textId="77777777" w:rsidR="009067DB" w:rsidRDefault="001C1119" w:rsidP="00863624">
      <w:pPr>
        <w:rPr>
          <w:rFonts w:cstheme="minorHAnsi"/>
          <w:shd w:val="clear" w:color="auto" w:fill="FFFFFF"/>
        </w:rPr>
      </w:pPr>
      <w:r w:rsidRPr="00D5087E">
        <w:rPr>
          <w:rFonts w:cstheme="minorHAnsi"/>
          <w:shd w:val="clear" w:color="auto" w:fill="FFFFFF"/>
        </w:rPr>
        <w:t xml:space="preserve">As wellbeing has become increasingly strategic due to the correlation between wellbeing and organisational performance, businesses have started to adopt formal policies and procedures, initiatives and changes to contractual terms (in some instances) to embed wellbeing into organisational culture. HR Managers have even been cited as “guardians of wellbeing” within organisations, such is their role in adopting a strategic approach to wellbeing. (Renwick, 2002) </w:t>
      </w:r>
      <w:r w:rsidR="00D53DA1" w:rsidRPr="00D5087E">
        <w:rPr>
          <w:rFonts w:cstheme="minorHAnsi"/>
          <w:shd w:val="clear" w:color="auto" w:fill="FFFFFF"/>
        </w:rPr>
        <w:t>However, as HR roles are becoming increasingly more strategic, devolvement of responsibility for employee wellbein</w:t>
      </w:r>
      <w:r w:rsidR="003053D0" w:rsidRPr="00D5087E">
        <w:rPr>
          <w:rFonts w:cstheme="minorHAnsi"/>
          <w:shd w:val="clear" w:color="auto" w:fill="FFFFFF"/>
        </w:rPr>
        <w:t xml:space="preserve">g to managers and supervisors is more common. </w:t>
      </w:r>
      <w:r w:rsidR="00A06303" w:rsidRPr="00D5087E">
        <w:rPr>
          <w:rFonts w:cstheme="minorHAnsi"/>
          <w:shd w:val="clear" w:color="auto" w:fill="FFFFFF"/>
        </w:rPr>
        <w:t xml:space="preserve">Organisations are therefore looking to support with this devolvement of responsibility by including wellbeing in its policies and procedures or having more formal guidance </w:t>
      </w:r>
      <w:r w:rsidR="00086B8E" w:rsidRPr="00D5087E">
        <w:rPr>
          <w:rFonts w:cstheme="minorHAnsi"/>
          <w:shd w:val="clear" w:color="auto" w:fill="FFFFFF"/>
        </w:rPr>
        <w:t xml:space="preserve">on how to foster employee wellbeing within the workplace. </w:t>
      </w:r>
    </w:p>
    <w:p w14:paraId="7F315A55" w14:textId="09658D84" w:rsidR="001C1119" w:rsidRPr="009067DB" w:rsidRDefault="009067DB" w:rsidP="00863624">
      <w:pPr>
        <w:rPr>
          <w:rFonts w:cstheme="minorHAnsi"/>
          <w:shd w:val="clear" w:color="auto" w:fill="FFFFFF"/>
        </w:rPr>
      </w:pPr>
      <w:r w:rsidRPr="009067DB">
        <w:rPr>
          <w:rFonts w:cstheme="minorHAnsi"/>
          <w:shd w:val="clear" w:color="auto" w:fill="FFFFFF"/>
        </w:rPr>
        <w:t xml:space="preserve">The </w:t>
      </w:r>
      <w:hyperlink r:id="rId6" w:history="1">
        <w:r w:rsidRPr="009067DB">
          <w:rPr>
            <w:rStyle w:val="Hyperlink"/>
            <w:rFonts w:cstheme="minorHAnsi"/>
            <w:color w:val="auto"/>
            <w:u w:val="none"/>
            <w:bdr w:val="none" w:sz="0" w:space="0" w:color="auto" w:frame="1"/>
            <w:shd w:val="clear" w:color="auto" w:fill="FFFFFF"/>
          </w:rPr>
          <w:t>2009 MacLeod review on employee engagement</w:t>
        </w:r>
      </w:hyperlink>
      <w:r w:rsidRPr="009067DB">
        <w:rPr>
          <w:rFonts w:cstheme="minorHAnsi"/>
          <w:shd w:val="clear" w:color="auto" w:fill="FFFFFF"/>
        </w:rPr>
        <w:t xml:space="preserve"> identified line managers as a </w:t>
      </w:r>
      <w:r>
        <w:rPr>
          <w:rFonts w:cstheme="minorHAnsi"/>
          <w:shd w:val="clear" w:color="auto" w:fill="FFFFFF"/>
        </w:rPr>
        <w:t>“</w:t>
      </w:r>
      <w:r w:rsidRPr="009067DB">
        <w:rPr>
          <w:rFonts w:cstheme="minorHAnsi"/>
          <w:shd w:val="clear" w:color="auto" w:fill="FFFFFF"/>
        </w:rPr>
        <w:t>key driver of better engagement.</w:t>
      </w:r>
      <w:r>
        <w:rPr>
          <w:rFonts w:cstheme="minorHAnsi"/>
          <w:shd w:val="clear" w:color="auto" w:fill="FFFFFF"/>
        </w:rPr>
        <w:t>” (</w:t>
      </w:r>
      <w:r w:rsidR="006B31D9">
        <w:rPr>
          <w:rFonts w:cstheme="minorHAnsi"/>
          <w:shd w:val="clear" w:color="auto" w:fill="FFFFFF"/>
        </w:rPr>
        <w:t>McLeod &amp; Clarke</w:t>
      </w:r>
      <w:r>
        <w:rPr>
          <w:rFonts w:cstheme="minorHAnsi"/>
          <w:shd w:val="clear" w:color="auto" w:fill="FFFFFF"/>
        </w:rPr>
        <w:t>, 2009)</w:t>
      </w:r>
      <w:r w:rsidRPr="009067DB">
        <w:rPr>
          <w:rFonts w:cstheme="minorHAnsi"/>
          <w:shd w:val="clear" w:color="auto" w:fill="FFFFFF"/>
        </w:rPr>
        <w:t xml:space="preserve"> </w:t>
      </w:r>
      <w:r>
        <w:rPr>
          <w:rFonts w:cstheme="minorHAnsi"/>
          <w:shd w:val="clear" w:color="auto" w:fill="FFFFFF"/>
        </w:rPr>
        <w:t>It argued that managers</w:t>
      </w:r>
      <w:r w:rsidRPr="009067DB">
        <w:rPr>
          <w:rFonts w:cstheme="minorHAnsi"/>
          <w:shd w:val="clear" w:color="auto" w:fill="FFFFFF"/>
        </w:rPr>
        <w:t xml:space="preserve"> need to </w:t>
      </w:r>
      <w:r>
        <w:rPr>
          <w:rFonts w:cstheme="minorHAnsi"/>
          <w:shd w:val="clear" w:color="auto" w:fill="FFFFFF"/>
        </w:rPr>
        <w:t>coach teams and develop them effectively</w:t>
      </w:r>
      <w:r w:rsidRPr="009067DB">
        <w:rPr>
          <w:rFonts w:cstheme="minorHAnsi"/>
          <w:shd w:val="clear" w:color="auto" w:fill="FFFFFF"/>
        </w:rPr>
        <w:t>.</w:t>
      </w:r>
      <w:r>
        <w:rPr>
          <w:rFonts w:cstheme="minorHAnsi"/>
          <w:shd w:val="clear" w:color="auto" w:fill="FFFFFF"/>
        </w:rPr>
        <w:t xml:space="preserve"> However, as in many organisations, promoting from lower levels into management can show that even though managers have technical ability, they may lack on having skills to engage their team</w:t>
      </w:r>
      <w:r w:rsidRPr="009067DB">
        <w:rPr>
          <w:rFonts w:cstheme="minorHAnsi"/>
          <w:shd w:val="clear" w:color="auto" w:fill="FFFFFF"/>
        </w:rPr>
        <w:t>.</w:t>
      </w:r>
      <w:r>
        <w:rPr>
          <w:rFonts w:cstheme="minorHAnsi"/>
          <w:shd w:val="clear" w:color="auto" w:fill="FFFFFF"/>
        </w:rPr>
        <w:t xml:space="preserve"> This is where a robust training and development programme for managers within an organisation can be beneficial, to give managers (both new and old) skills to develop highly engaged teams. </w:t>
      </w:r>
    </w:p>
    <w:p w14:paraId="332B4F4B" w14:textId="79342DD9" w:rsidR="00D5087E" w:rsidRDefault="00D5087E" w:rsidP="00863624">
      <w:pPr>
        <w:rPr>
          <w:rFonts w:cstheme="minorHAnsi"/>
          <w:b/>
          <w:bCs/>
          <w:shd w:val="clear" w:color="auto" w:fill="FFFFFF"/>
        </w:rPr>
      </w:pPr>
      <w:r w:rsidRPr="00D5087E">
        <w:rPr>
          <w:rFonts w:cstheme="minorHAnsi"/>
          <w:b/>
          <w:bCs/>
          <w:shd w:val="clear" w:color="auto" w:fill="FFFFFF"/>
        </w:rPr>
        <w:t xml:space="preserve">2.2 Employee Wellbeing and Engagement </w:t>
      </w:r>
    </w:p>
    <w:p w14:paraId="45604D75" w14:textId="6ECA9998" w:rsidR="009067DB" w:rsidRDefault="008F697B" w:rsidP="00863624">
      <w:pPr>
        <w:rPr>
          <w:rFonts w:cstheme="minorHAnsi"/>
          <w:color w:val="1C1D1E"/>
          <w:shd w:val="clear" w:color="auto" w:fill="FFFFFF"/>
        </w:rPr>
      </w:pPr>
      <w:r w:rsidRPr="00D00247">
        <w:rPr>
          <w:rFonts w:cstheme="minorHAnsi"/>
          <w:shd w:val="clear" w:color="auto" w:fill="FFFFFF"/>
        </w:rPr>
        <w:t>Many studies have shown a</w:t>
      </w:r>
      <w:r w:rsidR="006E453A" w:rsidRPr="00D00247">
        <w:rPr>
          <w:rFonts w:cstheme="minorHAnsi"/>
          <w:shd w:val="clear" w:color="auto" w:fill="FFFFFF"/>
        </w:rPr>
        <w:t xml:space="preserve"> </w:t>
      </w:r>
      <w:r w:rsidRPr="00D00247">
        <w:rPr>
          <w:rFonts w:cstheme="minorHAnsi"/>
          <w:shd w:val="clear" w:color="auto" w:fill="FFFFFF"/>
        </w:rPr>
        <w:t>link between employee wellbeing and engagement</w:t>
      </w:r>
      <w:r w:rsidR="00D00247" w:rsidRPr="00D00247">
        <w:rPr>
          <w:rFonts w:cstheme="minorHAnsi"/>
          <w:shd w:val="clear" w:color="auto" w:fill="FFFFFF"/>
        </w:rPr>
        <w:t xml:space="preserve"> and demonstrate a </w:t>
      </w:r>
      <w:r w:rsidR="00D00247" w:rsidRPr="00D00247">
        <w:rPr>
          <w:rFonts w:cstheme="minorHAnsi"/>
          <w:color w:val="212529"/>
          <w:shd w:val="clear" w:color="auto" w:fill="FFFFFF"/>
        </w:rPr>
        <w:t>positive relationship between work engagement and employee wellbeing.</w:t>
      </w:r>
      <w:r w:rsidR="00863D68">
        <w:rPr>
          <w:rFonts w:cstheme="minorHAnsi"/>
          <w:color w:val="212529"/>
          <w:shd w:val="clear" w:color="auto" w:fill="FFFFFF"/>
        </w:rPr>
        <w:t xml:space="preserve"> Kahn (1990) was one of the first theorists to write about employee engagement and how it impacts employees, and since, many theorists have studied and defined employee engagement and its link to wellbeing. </w:t>
      </w:r>
      <w:r w:rsidR="00863D68" w:rsidRPr="004E0229">
        <w:rPr>
          <w:rFonts w:cstheme="minorHAnsi"/>
          <w:color w:val="1C1D1E"/>
          <w:shd w:val="clear" w:color="auto" w:fill="FFFFFF"/>
        </w:rPr>
        <w:t xml:space="preserve">Interestingly, theories around engagement have not been developed in a structured or synthesised way, but instead there are </w:t>
      </w:r>
      <w:r w:rsidR="004E0229" w:rsidRPr="004E0229">
        <w:rPr>
          <w:rFonts w:cstheme="minorHAnsi"/>
          <w:color w:val="1C1D1E"/>
          <w:shd w:val="clear" w:color="auto" w:fill="FFFFFF"/>
        </w:rPr>
        <w:t>many ways</w:t>
      </w:r>
      <w:r w:rsidR="00863D68" w:rsidRPr="004E0229">
        <w:rPr>
          <w:rFonts w:cstheme="minorHAnsi"/>
          <w:color w:val="1C1D1E"/>
          <w:shd w:val="clear" w:color="auto" w:fill="FFFFFF"/>
        </w:rPr>
        <w:t xml:space="preserve"> of defining employee engagement</w:t>
      </w:r>
      <w:r w:rsidR="009067DB">
        <w:rPr>
          <w:rFonts w:cstheme="minorHAnsi"/>
          <w:color w:val="1C1D1E"/>
          <w:shd w:val="clear" w:color="auto" w:fill="FFFFFF"/>
        </w:rPr>
        <w:t xml:space="preserve"> as it is such a broad term and subject</w:t>
      </w:r>
      <w:r w:rsidR="00863D68" w:rsidRPr="004E0229">
        <w:rPr>
          <w:rFonts w:cstheme="minorHAnsi"/>
          <w:color w:val="1C1D1E"/>
          <w:shd w:val="clear" w:color="auto" w:fill="FFFFFF"/>
        </w:rPr>
        <w:t xml:space="preserve">. </w:t>
      </w:r>
    </w:p>
    <w:p w14:paraId="7A3814CF" w14:textId="77777777" w:rsidR="009067DB" w:rsidRDefault="00863D68" w:rsidP="00863624">
      <w:pPr>
        <w:rPr>
          <w:rFonts w:cstheme="minorHAnsi"/>
          <w:color w:val="212529"/>
          <w:shd w:val="clear" w:color="auto" w:fill="FFFFFF"/>
        </w:rPr>
      </w:pPr>
      <w:r w:rsidRPr="004E0229">
        <w:rPr>
          <w:rFonts w:cstheme="minorHAnsi"/>
          <w:color w:val="1C1D1E"/>
          <w:shd w:val="clear" w:color="auto" w:fill="FFFFFF"/>
        </w:rPr>
        <w:t>Broadly, employee engagement</w:t>
      </w:r>
      <w:r w:rsidR="004E0229">
        <w:rPr>
          <w:rFonts w:cstheme="minorHAnsi"/>
          <w:color w:val="1C1D1E"/>
          <w:shd w:val="clear" w:color="auto" w:fill="FFFFFF"/>
        </w:rPr>
        <w:t xml:space="preserve"> focuses on having mutual advantages for both employees and employers, by enhancing employee wellbeing and satisfaction, which in turn supports the organisation as they will perform better and be more likely to be committed leading to less turnover. (CIPD, 2019)</w:t>
      </w:r>
      <w:r w:rsidRPr="004E0229">
        <w:rPr>
          <w:rFonts w:cstheme="minorHAnsi"/>
          <w:color w:val="212529"/>
          <w:shd w:val="clear" w:color="auto" w:fill="FFFFFF"/>
        </w:rPr>
        <w:t xml:space="preserve"> </w:t>
      </w:r>
    </w:p>
    <w:p w14:paraId="68A9C698" w14:textId="3E048C9E" w:rsidR="003820EF" w:rsidRDefault="00D00247" w:rsidP="00863624">
      <w:pPr>
        <w:rPr>
          <w:rFonts w:ascii="Arial" w:hAnsi="Arial" w:cs="Arial"/>
          <w:color w:val="000000"/>
          <w:shd w:val="clear" w:color="auto" w:fill="FFFFFF"/>
        </w:rPr>
      </w:pPr>
      <w:r w:rsidRPr="004E0229">
        <w:rPr>
          <w:rFonts w:cstheme="minorHAnsi"/>
          <w:color w:val="212529"/>
          <w:shd w:val="clear" w:color="auto" w:fill="FFFFFF"/>
        </w:rPr>
        <w:t xml:space="preserve">Schaufeli et al (2008) </w:t>
      </w:r>
      <w:r w:rsidR="004E0229">
        <w:rPr>
          <w:rFonts w:cstheme="minorHAnsi"/>
          <w:color w:val="212529"/>
          <w:shd w:val="clear" w:color="auto" w:fill="FFFFFF"/>
        </w:rPr>
        <w:t xml:space="preserve">also </w:t>
      </w:r>
      <w:r w:rsidRPr="004E0229">
        <w:rPr>
          <w:rFonts w:cstheme="minorHAnsi"/>
          <w:color w:val="212529"/>
          <w:shd w:val="clear" w:color="auto" w:fill="FFFFFF"/>
        </w:rPr>
        <w:t>concluded that workers who are engaged in their work tend to have less reported illnesses and their emotional wellbeing is better than those who are not.</w:t>
      </w:r>
      <w:r>
        <w:rPr>
          <w:rFonts w:cstheme="minorHAnsi"/>
          <w:color w:val="212529"/>
          <w:shd w:val="clear" w:color="auto" w:fill="FFFFFF"/>
        </w:rPr>
        <w:t xml:space="preserve"> </w:t>
      </w:r>
      <w:r w:rsidR="004E0229">
        <w:rPr>
          <w:rFonts w:cstheme="minorHAnsi"/>
          <w:color w:val="212529"/>
          <w:shd w:val="clear" w:color="auto" w:fill="FFFFFF"/>
        </w:rPr>
        <w:t xml:space="preserve">This can lead to </w:t>
      </w:r>
      <w:r w:rsidR="004E0229" w:rsidRPr="00A62EDE">
        <w:rPr>
          <w:rFonts w:cstheme="minorHAnsi"/>
          <w:color w:val="212529"/>
          <w:shd w:val="clear" w:color="auto" w:fill="FFFFFF"/>
        </w:rPr>
        <w:t xml:space="preserve">less absenteeism and again, contribute to productivity. </w:t>
      </w:r>
      <w:r w:rsidRPr="00A62EDE">
        <w:rPr>
          <w:rFonts w:cstheme="minorHAnsi"/>
          <w:color w:val="212529"/>
          <w:shd w:val="clear" w:color="auto" w:fill="FFFFFF"/>
        </w:rPr>
        <w:t> </w:t>
      </w:r>
      <w:r w:rsidR="003820EF" w:rsidRPr="00A62EDE">
        <w:rPr>
          <w:rFonts w:cstheme="minorHAnsi"/>
          <w:color w:val="212529"/>
          <w:shd w:val="clear" w:color="auto" w:fill="FFFFFF"/>
        </w:rPr>
        <w:t xml:space="preserve">The Director of ACAS wrote in 2012 that there is a direct link between wellbeing and engagement, but also noted that the two factors are usually treated as separate issues by managers (ACAS, 2012). </w:t>
      </w:r>
      <w:r w:rsidR="003820EF" w:rsidRPr="00A62EDE">
        <w:rPr>
          <w:rFonts w:cstheme="minorHAnsi"/>
          <w:shd w:val="clear" w:color="auto" w:fill="FFFFFF"/>
        </w:rPr>
        <w:t xml:space="preserve">He also noted that </w:t>
      </w:r>
      <w:r w:rsidR="003820EF" w:rsidRPr="00A62EDE">
        <w:rPr>
          <w:rFonts w:cstheme="minorHAnsi"/>
          <w:color w:val="000000"/>
          <w:shd w:val="clear" w:color="auto" w:fill="FFFFFF"/>
        </w:rPr>
        <w:t xml:space="preserve">initiatives such as flexible working to reduce stress are linked with greater employee commitment and engagement. Also, organisations that take time to define roles clearly and enable employee voice yield far more engagement from employees than in organisations that do not </w:t>
      </w:r>
      <w:r w:rsidR="00A62EDE" w:rsidRPr="00A62EDE">
        <w:rPr>
          <w:rFonts w:cstheme="minorHAnsi"/>
          <w:color w:val="000000"/>
          <w:shd w:val="clear" w:color="auto" w:fill="FFFFFF"/>
        </w:rPr>
        <w:t>partake in such activities.</w:t>
      </w:r>
      <w:r w:rsidR="00A62EDE">
        <w:rPr>
          <w:rFonts w:ascii="Arial" w:hAnsi="Arial" w:cs="Arial"/>
          <w:color w:val="000000"/>
          <w:shd w:val="clear" w:color="auto" w:fill="FFFFFF"/>
        </w:rPr>
        <w:t xml:space="preserve"> </w:t>
      </w:r>
    </w:p>
    <w:p w14:paraId="4EA32689" w14:textId="55A9A848" w:rsidR="00D5087E" w:rsidRPr="003820EF" w:rsidRDefault="00D5087E" w:rsidP="00863624">
      <w:pPr>
        <w:rPr>
          <w:rFonts w:cstheme="minorHAnsi"/>
          <w:shd w:val="clear" w:color="auto" w:fill="FFFFFF"/>
        </w:rPr>
      </w:pPr>
      <w:r>
        <w:rPr>
          <w:rFonts w:cstheme="minorHAnsi"/>
          <w:b/>
          <w:bCs/>
        </w:rPr>
        <w:t xml:space="preserve">2.3 </w:t>
      </w:r>
      <w:r w:rsidR="008846FF">
        <w:rPr>
          <w:rFonts w:cstheme="minorHAnsi"/>
          <w:b/>
          <w:bCs/>
        </w:rPr>
        <w:t xml:space="preserve">Employee Wellbeing and Organisational Performance/Success </w:t>
      </w:r>
    </w:p>
    <w:p w14:paraId="636718E7" w14:textId="655C5F62" w:rsidR="00C57E94" w:rsidRPr="00C57E94" w:rsidRDefault="0041302C" w:rsidP="0041302C">
      <w:pPr>
        <w:rPr>
          <w:rFonts w:cstheme="minorHAnsi"/>
        </w:rPr>
      </w:pPr>
      <w:r w:rsidRPr="00C57E94">
        <w:rPr>
          <w:rFonts w:cstheme="minorHAnsi"/>
        </w:rPr>
        <w:lastRenderedPageBreak/>
        <w:t xml:space="preserve">Evidently, increased wellbeing and engagement amongst employees leads to an increase in productivity which in turn, leads to a better performing organisation. </w:t>
      </w:r>
      <w:r w:rsidRPr="00C57E94">
        <w:rPr>
          <w:rFonts w:cstheme="minorHAnsi"/>
          <w:shd w:val="clear" w:color="auto" w:fill="FFFFFF"/>
        </w:rPr>
        <w:t>The Macleod review</w:t>
      </w:r>
      <w:r w:rsidR="006B31D9">
        <w:rPr>
          <w:rFonts w:cstheme="minorHAnsi"/>
          <w:shd w:val="clear" w:color="auto" w:fill="FFFFFF"/>
        </w:rPr>
        <w:t>, as mentioned previously,</w:t>
      </w:r>
      <w:r w:rsidRPr="00C57E94">
        <w:rPr>
          <w:rFonts w:cstheme="minorHAnsi"/>
          <w:shd w:val="clear" w:color="auto" w:fill="FFFFFF"/>
        </w:rPr>
        <w:t xml:space="preserve"> explored employee engagement and </w:t>
      </w:r>
      <w:r w:rsidR="00C57E94" w:rsidRPr="00C57E94">
        <w:rPr>
          <w:rFonts w:cstheme="minorHAnsi"/>
          <w:shd w:val="clear" w:color="auto" w:fill="FFFFFF"/>
        </w:rPr>
        <w:t>how it impacts organisational performance.</w:t>
      </w:r>
      <w:r w:rsidRPr="00C57E94">
        <w:rPr>
          <w:rFonts w:cstheme="minorHAnsi"/>
          <w:shd w:val="clear" w:color="auto" w:fill="FFFFFF"/>
        </w:rPr>
        <w:t xml:space="preserve"> </w:t>
      </w:r>
      <w:r w:rsidRPr="00C57E94">
        <w:rPr>
          <w:rFonts w:cstheme="minorHAnsi"/>
        </w:rPr>
        <w:t>I</w:t>
      </w:r>
      <w:r w:rsidR="006B31D9">
        <w:rPr>
          <w:rFonts w:cstheme="minorHAnsi"/>
        </w:rPr>
        <w:t>t was argued within the report that employee engag</w:t>
      </w:r>
      <w:r w:rsidRPr="00C57E94">
        <w:rPr>
          <w:rFonts w:cstheme="minorHAnsi"/>
        </w:rPr>
        <w:t xml:space="preserve">ement was </w:t>
      </w:r>
      <w:r w:rsidR="00C57E94" w:rsidRPr="00C57E94">
        <w:rPr>
          <w:rFonts w:cstheme="minorHAnsi"/>
        </w:rPr>
        <w:t>vital</w:t>
      </w:r>
      <w:r w:rsidRPr="00C57E94">
        <w:rPr>
          <w:rFonts w:cstheme="minorHAnsi"/>
        </w:rPr>
        <w:t xml:space="preserve"> for organisational success. </w:t>
      </w:r>
      <w:r w:rsidR="006B31D9">
        <w:rPr>
          <w:rFonts w:cstheme="minorHAnsi"/>
        </w:rPr>
        <w:t>F</w:t>
      </w:r>
      <w:r w:rsidR="00C57E94" w:rsidRPr="00C57E94">
        <w:rPr>
          <w:rFonts w:cstheme="minorHAnsi"/>
        </w:rPr>
        <w:t>our</w:t>
      </w:r>
      <w:r w:rsidR="006B31D9">
        <w:rPr>
          <w:rFonts w:cstheme="minorHAnsi"/>
        </w:rPr>
        <w:t xml:space="preserve"> key</w:t>
      </w:r>
      <w:r w:rsidR="00C57E94" w:rsidRPr="00C57E94">
        <w:rPr>
          <w:rFonts w:cstheme="minorHAnsi"/>
        </w:rPr>
        <w:t xml:space="preserve"> ‘enablers’</w:t>
      </w:r>
      <w:r w:rsidRPr="00C57E94">
        <w:rPr>
          <w:rFonts w:cstheme="minorHAnsi"/>
        </w:rPr>
        <w:t xml:space="preserve"> of employee engagement</w:t>
      </w:r>
      <w:r w:rsidR="00C57E94" w:rsidRPr="00C57E94">
        <w:rPr>
          <w:rFonts w:cstheme="minorHAnsi"/>
        </w:rPr>
        <w:t xml:space="preserve"> </w:t>
      </w:r>
      <w:r w:rsidR="006B31D9">
        <w:rPr>
          <w:rFonts w:cstheme="minorHAnsi"/>
        </w:rPr>
        <w:t xml:space="preserve">were developed as a result of the report, </w:t>
      </w:r>
      <w:r w:rsidR="00C57E94" w:rsidRPr="00C57E94">
        <w:rPr>
          <w:rFonts w:cstheme="minorHAnsi"/>
        </w:rPr>
        <w:t xml:space="preserve">which were </w:t>
      </w:r>
      <w:r w:rsidRPr="00C57E94">
        <w:rPr>
          <w:rFonts w:cstheme="minorHAnsi"/>
        </w:rPr>
        <w:t xml:space="preserve">“commonly agreed to lie behind successful engagement approaches” (MacLeod </w:t>
      </w:r>
      <w:r w:rsidR="006B31D9">
        <w:rPr>
          <w:rFonts w:cstheme="minorHAnsi"/>
        </w:rPr>
        <w:t>&amp;</w:t>
      </w:r>
      <w:r w:rsidRPr="00C57E94">
        <w:rPr>
          <w:rFonts w:cstheme="minorHAnsi"/>
        </w:rPr>
        <w:t xml:space="preserve"> Clarke, 2009, p33). These </w:t>
      </w:r>
      <w:r w:rsidR="00C57E94" w:rsidRPr="00C57E94">
        <w:rPr>
          <w:rFonts w:cstheme="minorHAnsi"/>
        </w:rPr>
        <w:t>four enablers are:</w:t>
      </w:r>
      <w:r w:rsidRPr="00C57E94">
        <w:rPr>
          <w:rFonts w:cstheme="minorHAnsi"/>
        </w:rPr>
        <w:t xml:space="preserve"> </w:t>
      </w:r>
    </w:p>
    <w:p w14:paraId="62E5EE33" w14:textId="4D794796" w:rsidR="00C57E94" w:rsidRPr="00C57E94" w:rsidRDefault="00C57E94" w:rsidP="00C57E94">
      <w:pPr>
        <w:pStyle w:val="ListParagraph"/>
        <w:numPr>
          <w:ilvl w:val="0"/>
          <w:numId w:val="20"/>
        </w:numPr>
        <w:rPr>
          <w:rFonts w:asciiTheme="minorHAnsi" w:hAnsiTheme="minorHAnsi" w:cstheme="minorHAnsi"/>
          <w:shd w:val="clear" w:color="auto" w:fill="FFFFFF"/>
        </w:rPr>
      </w:pPr>
      <w:r w:rsidRPr="00C57E94">
        <w:rPr>
          <w:rFonts w:asciiTheme="minorHAnsi" w:hAnsiTheme="minorHAnsi" w:cstheme="minorHAnsi"/>
        </w:rPr>
        <w:t>A s</w:t>
      </w:r>
      <w:r w:rsidR="0041302C" w:rsidRPr="00C57E94">
        <w:rPr>
          <w:rFonts w:asciiTheme="minorHAnsi" w:hAnsiTheme="minorHAnsi" w:cstheme="minorHAnsi"/>
        </w:rPr>
        <w:t>trategic narrative</w:t>
      </w:r>
      <w:r w:rsidR="00EE1742">
        <w:rPr>
          <w:rFonts w:asciiTheme="minorHAnsi" w:hAnsiTheme="minorHAnsi" w:cstheme="minorHAnsi"/>
        </w:rPr>
        <w:t xml:space="preserve"> – ensuring engagement is a part of organisational strategy</w:t>
      </w:r>
    </w:p>
    <w:p w14:paraId="24DF6161" w14:textId="608832B0" w:rsidR="00C57E94" w:rsidRPr="00C57E94" w:rsidRDefault="00C57E94" w:rsidP="00C57E94">
      <w:pPr>
        <w:pStyle w:val="ListParagraph"/>
        <w:numPr>
          <w:ilvl w:val="0"/>
          <w:numId w:val="20"/>
        </w:numPr>
        <w:rPr>
          <w:rFonts w:asciiTheme="minorHAnsi" w:hAnsiTheme="minorHAnsi" w:cstheme="minorHAnsi"/>
          <w:shd w:val="clear" w:color="auto" w:fill="FFFFFF"/>
        </w:rPr>
      </w:pPr>
      <w:r w:rsidRPr="00C57E94">
        <w:rPr>
          <w:rFonts w:asciiTheme="minorHAnsi" w:hAnsiTheme="minorHAnsi" w:cstheme="minorHAnsi"/>
        </w:rPr>
        <w:t>E</w:t>
      </w:r>
      <w:r w:rsidR="0041302C" w:rsidRPr="00C57E94">
        <w:rPr>
          <w:rFonts w:asciiTheme="minorHAnsi" w:hAnsiTheme="minorHAnsi" w:cstheme="minorHAnsi"/>
        </w:rPr>
        <w:t>ngaging managers</w:t>
      </w:r>
      <w:r w:rsidR="00EE1742">
        <w:rPr>
          <w:rFonts w:asciiTheme="minorHAnsi" w:hAnsiTheme="minorHAnsi" w:cstheme="minorHAnsi"/>
        </w:rPr>
        <w:t xml:space="preserve"> – improving the </w:t>
      </w:r>
      <w:r w:rsidR="00AD364B">
        <w:rPr>
          <w:rFonts w:asciiTheme="minorHAnsi" w:hAnsiTheme="minorHAnsi" w:cstheme="minorHAnsi"/>
        </w:rPr>
        <w:t>link between management and the workforce</w:t>
      </w:r>
    </w:p>
    <w:p w14:paraId="4620DD95" w14:textId="53D8FEFF" w:rsidR="00C57E94" w:rsidRPr="00C57E94" w:rsidRDefault="00C57E94" w:rsidP="00C57E94">
      <w:pPr>
        <w:pStyle w:val="ListParagraph"/>
        <w:numPr>
          <w:ilvl w:val="0"/>
          <w:numId w:val="20"/>
        </w:numPr>
        <w:rPr>
          <w:rFonts w:asciiTheme="minorHAnsi" w:hAnsiTheme="minorHAnsi" w:cstheme="minorHAnsi"/>
          <w:shd w:val="clear" w:color="auto" w:fill="FFFFFF"/>
        </w:rPr>
      </w:pPr>
      <w:r w:rsidRPr="00C57E94">
        <w:rPr>
          <w:rFonts w:asciiTheme="minorHAnsi" w:hAnsiTheme="minorHAnsi" w:cstheme="minorHAnsi"/>
        </w:rPr>
        <w:t>E</w:t>
      </w:r>
      <w:r w:rsidR="0041302C" w:rsidRPr="00C57E94">
        <w:rPr>
          <w:rFonts w:asciiTheme="minorHAnsi" w:hAnsiTheme="minorHAnsi" w:cstheme="minorHAnsi"/>
        </w:rPr>
        <w:t xml:space="preserve">mployee voice </w:t>
      </w:r>
      <w:r w:rsidR="00AD364B">
        <w:rPr>
          <w:rFonts w:asciiTheme="minorHAnsi" w:hAnsiTheme="minorHAnsi" w:cstheme="minorHAnsi"/>
        </w:rPr>
        <w:t>– allowing employees to be involved in decision making</w:t>
      </w:r>
    </w:p>
    <w:p w14:paraId="43C615DB" w14:textId="764C6A81" w:rsidR="00D5087E" w:rsidRPr="00AD364B" w:rsidRDefault="00C57E94" w:rsidP="00863624">
      <w:pPr>
        <w:pStyle w:val="ListParagraph"/>
        <w:numPr>
          <w:ilvl w:val="0"/>
          <w:numId w:val="20"/>
        </w:numPr>
        <w:rPr>
          <w:rFonts w:asciiTheme="minorHAnsi" w:hAnsiTheme="minorHAnsi" w:cstheme="minorHAnsi"/>
          <w:shd w:val="clear" w:color="auto" w:fill="FFFFFF"/>
        </w:rPr>
      </w:pPr>
      <w:r w:rsidRPr="00C57E94">
        <w:rPr>
          <w:rFonts w:asciiTheme="minorHAnsi" w:hAnsiTheme="minorHAnsi" w:cstheme="minorHAnsi"/>
        </w:rPr>
        <w:t>I</w:t>
      </w:r>
      <w:r w:rsidR="0041302C" w:rsidRPr="00C57E94">
        <w:rPr>
          <w:rFonts w:asciiTheme="minorHAnsi" w:hAnsiTheme="minorHAnsi" w:cstheme="minorHAnsi"/>
        </w:rPr>
        <w:t>ntegrity</w:t>
      </w:r>
      <w:r w:rsidR="00AD364B">
        <w:rPr>
          <w:rFonts w:asciiTheme="minorHAnsi" w:hAnsiTheme="minorHAnsi" w:cstheme="minorHAnsi"/>
        </w:rPr>
        <w:t xml:space="preserve"> – being true to the organisations’ cultures and values</w:t>
      </w:r>
    </w:p>
    <w:p w14:paraId="27D5C88B" w14:textId="77777777" w:rsidR="00AD364B" w:rsidRPr="00AD364B" w:rsidRDefault="00AD364B" w:rsidP="00AD364B">
      <w:pPr>
        <w:pStyle w:val="ListParagraph"/>
        <w:rPr>
          <w:rFonts w:asciiTheme="minorHAnsi" w:hAnsiTheme="minorHAnsi" w:cstheme="minorHAnsi"/>
          <w:shd w:val="clear" w:color="auto" w:fill="FFFFFF"/>
        </w:rPr>
      </w:pPr>
    </w:p>
    <w:p w14:paraId="6580230D" w14:textId="05AA8534" w:rsidR="00D5087E" w:rsidRDefault="00EE1742" w:rsidP="00863624">
      <w:r>
        <w:t>The findings of the report, and developing the enablers, evidenced clearly that there is a link between organisational performance and the performance of employees</w:t>
      </w:r>
      <w:r w:rsidR="00AD364B">
        <w:t>, and organisations need to continually manage this</w:t>
      </w:r>
      <w:r>
        <w:t>. Crudely stated, organisations with high engagement tend to have high levels of performance</w:t>
      </w:r>
      <w:r w:rsidR="00AD364B">
        <w:t xml:space="preserve"> and </w:t>
      </w:r>
      <w:r>
        <w:t xml:space="preserve">engaging with staff should be a strategic priority. Employers should take innovative approaches to encourage engagement, with wellbeing being intrinsic to this strategy. This includes allowing a strong ‘employee voice’ as employees who feel valued and listened to are more likely to feel engaged in their work and wider organisation. </w:t>
      </w:r>
    </w:p>
    <w:p w14:paraId="79C4DD73" w14:textId="3884BE85" w:rsidR="003826A2" w:rsidRPr="00D5087E" w:rsidRDefault="003826A2" w:rsidP="00863624">
      <w:pPr>
        <w:rPr>
          <w:rFonts w:cstheme="minorHAnsi"/>
          <w:b/>
          <w:bCs/>
        </w:rPr>
      </w:pPr>
      <w:r>
        <w:t xml:space="preserve">However, engagement of employees is not something an organisation can </w:t>
      </w:r>
      <w:r w:rsidR="00080CA8">
        <w:t>adopt or make their employees suddenly have. Management are a key driver in engaging employees and furthermore, organisational performance. It has also been widely shown that employees who have positive relationsh</w:t>
      </w:r>
      <w:r w:rsidR="000E016E">
        <w:t>i</w:t>
      </w:r>
      <w:r w:rsidR="00080CA8">
        <w:t xml:space="preserve">ps with their managers, </w:t>
      </w:r>
      <w:r w:rsidR="000E016E">
        <w:t xml:space="preserve">are more likely to be satisfied at work, </w:t>
      </w:r>
      <w:r w:rsidR="006B31D9">
        <w:t>be motivated</w:t>
      </w:r>
      <w:r w:rsidR="000E016E">
        <w:t xml:space="preserve"> to improve themselves and the wider business. (Elicker et al, 2006)</w:t>
      </w:r>
      <w:r>
        <w:t xml:space="preserve"> </w:t>
      </w:r>
    </w:p>
    <w:p w14:paraId="43C89F8E" w14:textId="4C05D391" w:rsidR="00586646" w:rsidRPr="00976F7D" w:rsidRDefault="00976F7D" w:rsidP="00976F7D">
      <w:pPr>
        <w:rPr>
          <w:rFonts w:cstheme="minorHAnsi"/>
          <w:b/>
          <w:bCs/>
        </w:rPr>
      </w:pPr>
      <w:r w:rsidRPr="00976F7D">
        <w:rPr>
          <w:rFonts w:cstheme="minorHAnsi"/>
          <w:b/>
          <w:bCs/>
        </w:rPr>
        <w:t xml:space="preserve">3. Methodology </w:t>
      </w:r>
    </w:p>
    <w:p w14:paraId="1033EF0B" w14:textId="19988D4E" w:rsidR="00D5087E" w:rsidRDefault="00D5087E" w:rsidP="00D5087E">
      <w:pPr>
        <w:spacing w:after="200" w:line="276" w:lineRule="auto"/>
        <w:rPr>
          <w:rFonts w:cs="Arial"/>
        </w:rPr>
      </w:pPr>
      <w:r w:rsidRPr="000F2C9F">
        <w:rPr>
          <w:rFonts w:cs="Arial"/>
        </w:rPr>
        <w:t xml:space="preserve">Due to the nature of the topic researched, the approach to researching has been mostly interpretivist, as employee wellbeing is subjective to individual needs in many </w:t>
      </w:r>
      <w:r w:rsidR="000F2C9F" w:rsidRPr="000F2C9F">
        <w:rPr>
          <w:rFonts w:cs="Arial"/>
        </w:rPr>
        <w:t xml:space="preserve">organisations and thus is shaped appropriately. </w:t>
      </w:r>
    </w:p>
    <w:p w14:paraId="0C71A009" w14:textId="4C86A973" w:rsidR="0038549D" w:rsidRDefault="0038549D" w:rsidP="00D5087E">
      <w:pPr>
        <w:spacing w:after="200" w:line="276" w:lineRule="auto"/>
        <w:rPr>
          <w:rFonts w:cs="Arial"/>
        </w:rPr>
      </w:pPr>
      <w:r>
        <w:rPr>
          <w:rFonts w:cs="Arial"/>
        </w:rPr>
        <w:t>An employee engagement</w:t>
      </w:r>
      <w:r w:rsidR="00DF2EE6">
        <w:rPr>
          <w:rFonts w:cs="Arial"/>
        </w:rPr>
        <w:t xml:space="preserve"> survey</w:t>
      </w:r>
      <w:r>
        <w:rPr>
          <w:rFonts w:cs="Arial"/>
        </w:rPr>
        <w:t xml:space="preserve"> was delivered and completed within Marelli in October last year </w:t>
      </w:r>
      <w:r w:rsidR="00DF2EE6">
        <w:rPr>
          <w:rFonts w:cs="Arial"/>
        </w:rPr>
        <w:t xml:space="preserve">and is completed by employees annually. The response rate was positive, with 94% of employees participating. The most relevant section of the survey when looking at Employee Wellbeing and Engagement would be ‘Work Engagement’ where satisfaction at work was explored through a series of questions. Work engagement can be defined as “a positive, fulfilling, work-related state of mind that is characterised by vigour, dedication and absorption.” (Schaufeli &amp; Bakker, 2004) Employees were presented with </w:t>
      </w:r>
      <w:r w:rsidR="001C644A">
        <w:rPr>
          <w:rFonts w:cs="Arial"/>
        </w:rPr>
        <w:t>several</w:t>
      </w:r>
      <w:r w:rsidR="00DF2EE6">
        <w:rPr>
          <w:rFonts w:cs="Arial"/>
        </w:rPr>
        <w:t xml:space="preserve"> statements relating to engagement at work, for example “I am determined to give my best effort at work each day.” In this example, over 95% of employees agreed or strongly agreed with this statement which shows a very positive response to how engaged employees are. This is a positive reflection of the culture and engagement within the business, and in relation to introducing a new wellbeing strategy, could mean that employees will be open to introducing more strategic approaches to maintaining the already positive culture within the organisation. </w:t>
      </w:r>
    </w:p>
    <w:p w14:paraId="25C16C2E" w14:textId="77777777" w:rsidR="00F8726D" w:rsidRDefault="00DF2EE6" w:rsidP="00D5087E">
      <w:pPr>
        <w:spacing w:after="200" w:line="276" w:lineRule="auto"/>
        <w:rPr>
          <w:rFonts w:cs="Arial"/>
        </w:rPr>
      </w:pPr>
      <w:r>
        <w:rPr>
          <w:rFonts w:cs="Arial"/>
        </w:rPr>
        <w:t>However, we must also be mindful that employee engagement surveys are a snapshot in time</w:t>
      </w:r>
      <w:r w:rsidR="00AE45E2">
        <w:rPr>
          <w:rFonts w:cs="Arial"/>
        </w:rPr>
        <w:t xml:space="preserve"> </w:t>
      </w:r>
      <w:r>
        <w:rPr>
          <w:rFonts w:cs="Arial"/>
        </w:rPr>
        <w:t xml:space="preserve">and </w:t>
      </w:r>
      <w:r w:rsidR="001C644A">
        <w:rPr>
          <w:rFonts w:cs="Arial"/>
        </w:rPr>
        <w:t>can be seen as</w:t>
      </w:r>
      <w:r>
        <w:rPr>
          <w:rFonts w:cs="Arial"/>
        </w:rPr>
        <w:t xml:space="preserve"> having ‘rose tinted glasses’ approach to engagement of employees</w:t>
      </w:r>
      <w:r w:rsidR="00AE45E2">
        <w:rPr>
          <w:rFonts w:cs="Arial"/>
        </w:rPr>
        <w:t>. F</w:t>
      </w:r>
      <w:r>
        <w:rPr>
          <w:rFonts w:cs="Arial"/>
        </w:rPr>
        <w:t xml:space="preserve">or </w:t>
      </w:r>
      <w:r w:rsidR="00AE45E2">
        <w:rPr>
          <w:rFonts w:cs="Arial"/>
        </w:rPr>
        <w:t>example,</w:t>
      </w:r>
      <w:r>
        <w:rPr>
          <w:rFonts w:cs="Arial"/>
        </w:rPr>
        <w:t xml:space="preserve"> in </w:t>
      </w:r>
      <w:r>
        <w:rPr>
          <w:rFonts w:cs="Arial"/>
        </w:rPr>
        <w:lastRenderedPageBreak/>
        <w:t xml:space="preserve">the question above, we ask employees if they </w:t>
      </w:r>
      <w:r w:rsidR="00AE45E2">
        <w:rPr>
          <w:rFonts w:cs="Arial"/>
        </w:rPr>
        <w:t xml:space="preserve">are determined to give their best effort every day. This can result in misleading responses as on that day, an employee may have felt positive about work. </w:t>
      </w:r>
      <w:r w:rsidR="0030630F">
        <w:rPr>
          <w:rFonts w:cs="Arial"/>
        </w:rPr>
        <w:t xml:space="preserve">However, when asked on a different day the question may have yielded a different response. Also, when analysing other questions in the section of the survey for example, “My wellbeing is important to the organisation” only 63% strongly agreed or agreed with this statement. It can therefore be concluded that even though employees are engaged within the organisation, many feel they are not supported enough from a wellbeing perspective which is contextually interesting. It could be said that the organisation is doing well on developing a strong organisational culture, however, as in many organisations, there are improvements to be made. This is evident when looking at the responses linking to wellbeing within the organisation. </w:t>
      </w:r>
    </w:p>
    <w:p w14:paraId="7A51C7C1" w14:textId="2F1297AE" w:rsidR="00DF2EE6" w:rsidRDefault="00F8726D" w:rsidP="00D5087E">
      <w:pPr>
        <w:spacing w:after="200" w:line="276" w:lineRule="auto"/>
        <w:rPr>
          <w:rFonts w:cs="Arial"/>
        </w:rPr>
      </w:pPr>
      <w:r>
        <w:rPr>
          <w:rFonts w:cs="Arial"/>
        </w:rPr>
        <w:t xml:space="preserve">As above, surveys are a good source of feedback and data when exploring topics such as wellbeing and engagement. However, the data is very much current, and could change from one day to the next. </w:t>
      </w:r>
      <w:r w:rsidR="00AE45E2">
        <w:rPr>
          <w:rFonts w:cs="Arial"/>
        </w:rPr>
        <w:t>Being mindful of this is important when collating results from employee surveys such as this</w:t>
      </w:r>
      <w:r>
        <w:rPr>
          <w:rFonts w:cs="Arial"/>
        </w:rPr>
        <w:t xml:space="preserve">, and also, when looking at improvements based on employee surveys it is important to explore different options and thoughts rather than fixate on that point in time (for example collate regular feedback from employees throughout the year rather than once a year to ensure data is as accurate and current as possible. </w:t>
      </w:r>
    </w:p>
    <w:p w14:paraId="3F9144B9" w14:textId="423BC785" w:rsidR="0000063E" w:rsidRPr="0064721E" w:rsidRDefault="001C644A" w:rsidP="0064721E">
      <w:pPr>
        <w:spacing w:after="200" w:line="276" w:lineRule="auto"/>
        <w:rPr>
          <w:rFonts w:cs="Arial"/>
        </w:rPr>
      </w:pPr>
      <w:r>
        <w:rPr>
          <w:rFonts w:cs="Arial"/>
        </w:rPr>
        <w:t xml:space="preserve">The </w:t>
      </w:r>
      <w:r w:rsidR="00F8726D">
        <w:rPr>
          <w:rFonts w:cs="Arial"/>
        </w:rPr>
        <w:t xml:space="preserve">employee engagement survey </w:t>
      </w:r>
      <w:r>
        <w:rPr>
          <w:rFonts w:cs="Arial"/>
        </w:rPr>
        <w:t>data was collated and analysed using survey monkey, as this allowed for respondents to remain anonymous</w:t>
      </w:r>
      <w:r w:rsidR="00775958">
        <w:rPr>
          <w:rFonts w:cs="Arial"/>
        </w:rPr>
        <w:t xml:space="preserve"> and means a less manual approach to handling and analysing data</w:t>
      </w:r>
      <w:r>
        <w:rPr>
          <w:rFonts w:cs="Arial"/>
        </w:rPr>
        <w:t xml:space="preserve">. The decision to use an online anonymous method </w:t>
      </w:r>
      <w:r w:rsidR="003949E0">
        <w:rPr>
          <w:rFonts w:cs="Arial"/>
        </w:rPr>
        <w:t xml:space="preserve">came from employee feedback that there were concerns over anonymity and the desire to give honest responses to surveys. Ethically, this was a logical approach to ensuring employees felt comfortable with giving their views. An online response method was also logistically more beneficial in comparison with paper-based surveys, as the business operates multiple shift patterns including nights. Having the option to complete an online survey meant employees would not be limited by their shift patterns as to when and where they could complete the survey. </w:t>
      </w:r>
      <w:r w:rsidR="00775958">
        <w:rPr>
          <w:rFonts w:cs="Arial"/>
        </w:rPr>
        <w:t>The use of online surveys has also increased response rate, from 72% in 2015 to 94% in 2019, leading to far more cross</w:t>
      </w:r>
      <w:r w:rsidR="00594E9B">
        <w:rPr>
          <w:rFonts w:cs="Arial"/>
        </w:rPr>
        <w:t>-</w:t>
      </w:r>
      <w:r w:rsidR="00775958">
        <w:rPr>
          <w:rFonts w:cs="Arial"/>
        </w:rPr>
        <w:t xml:space="preserve">sectional data to analyse and respond to. </w:t>
      </w:r>
    </w:p>
    <w:p w14:paraId="05944B03" w14:textId="0EE2CFEE" w:rsidR="00976F7D" w:rsidRDefault="00976F7D" w:rsidP="00976F7D">
      <w:pPr>
        <w:rPr>
          <w:b/>
          <w:bCs/>
        </w:rPr>
      </w:pPr>
      <w:r w:rsidRPr="00976F7D">
        <w:rPr>
          <w:b/>
          <w:bCs/>
        </w:rPr>
        <w:t>4. Findings</w:t>
      </w:r>
    </w:p>
    <w:p w14:paraId="653322BE" w14:textId="0000C04F" w:rsidR="00A62EDE" w:rsidRPr="00A62EDE" w:rsidRDefault="00A62EDE" w:rsidP="00976F7D">
      <w:r w:rsidRPr="00A62EDE">
        <w:t xml:space="preserve">The report has found that employee engagement is a broad subject and has many definitions. It can also be an umbrella term for many other factors, such as motivation. It has been found that even though Marelli has a strong employee culture, improvements can be made in order to further develop engagement within the workforce.  </w:t>
      </w:r>
    </w:p>
    <w:p w14:paraId="15EC7459" w14:textId="4F936915" w:rsidR="00976F7D" w:rsidRDefault="00976F7D" w:rsidP="00976F7D">
      <w:pPr>
        <w:rPr>
          <w:b/>
          <w:bCs/>
        </w:rPr>
      </w:pPr>
      <w:r>
        <w:rPr>
          <w:b/>
          <w:bCs/>
        </w:rPr>
        <w:t>5. Conclusions</w:t>
      </w:r>
    </w:p>
    <w:p w14:paraId="3382F449" w14:textId="104DEE16" w:rsidR="008846FF" w:rsidRDefault="008846FF" w:rsidP="00976F7D">
      <w:pPr>
        <w:spacing w:after="0" w:line="240" w:lineRule="auto"/>
        <w:rPr>
          <w:rFonts w:cs="Arial"/>
        </w:rPr>
      </w:pPr>
      <w:r>
        <w:rPr>
          <w:rFonts w:cs="Arial"/>
        </w:rPr>
        <w:t xml:space="preserve">It can be said that employee wellbeing and engagement have a direct link, and that valued employees contribute more productively at work. Engagement of employees also correlates with organisational success, and it has been evidenced that increased wellbeing amongst employees has allowed organisations to be more productive, innovative and reduce employee turnover. </w:t>
      </w:r>
    </w:p>
    <w:p w14:paraId="404109C4" w14:textId="1FBADDB0" w:rsidR="008846FF" w:rsidRPr="00677FA6" w:rsidRDefault="00A671DE" w:rsidP="00677FA6">
      <w:pPr>
        <w:rPr>
          <w:rFonts w:cstheme="minorHAnsi"/>
          <w:shd w:val="clear" w:color="auto" w:fill="FFFFFF"/>
        </w:rPr>
      </w:pPr>
      <w:r w:rsidRPr="00A671DE">
        <w:rPr>
          <w:rFonts w:cstheme="minorHAnsi"/>
          <w:color w:val="1C1D1E"/>
          <w:shd w:val="clear" w:color="auto" w:fill="FFFFFF"/>
        </w:rPr>
        <w:t>However, even though it is clear that engagement has become a critical management concept in recent years (Crawford</w:t>
      </w:r>
      <w:r>
        <w:rPr>
          <w:rFonts w:cstheme="minorHAnsi"/>
          <w:color w:val="1C1D1E"/>
          <w:shd w:val="clear" w:color="auto" w:fill="FFFFFF"/>
        </w:rPr>
        <w:t xml:space="preserve"> et al.</w:t>
      </w:r>
      <w:r w:rsidRPr="00A671DE">
        <w:rPr>
          <w:rFonts w:cstheme="minorHAnsi"/>
          <w:color w:val="1C1D1E"/>
          <w:shd w:val="clear" w:color="auto" w:fill="FFFFFF"/>
        </w:rPr>
        <w:t>, </w:t>
      </w:r>
      <w:hyperlink r:id="rId7" w:anchor="ijmr12077-bib-0041" w:history="1">
        <w:r w:rsidRPr="00A671DE">
          <w:rPr>
            <w:rStyle w:val="Hyperlink"/>
            <w:rFonts w:cstheme="minorHAnsi"/>
            <w:color w:val="000000"/>
            <w:u w:val="none"/>
          </w:rPr>
          <w:t>2014</w:t>
        </w:r>
      </w:hyperlink>
      <w:r w:rsidRPr="00A671DE">
        <w:rPr>
          <w:rFonts w:cstheme="minorHAnsi"/>
          <w:color w:val="1C1D1E"/>
          <w:shd w:val="clear" w:color="auto" w:fill="FFFFFF"/>
        </w:rPr>
        <w:t xml:space="preserve">), there has been no formal evaluation of the subject that brings together evidence and studies relating to engagement in an organised approach. </w:t>
      </w:r>
      <w:r>
        <w:rPr>
          <w:rFonts w:cstheme="minorHAnsi"/>
          <w:color w:val="1C1D1E"/>
          <w:shd w:val="clear" w:color="auto" w:fill="FFFFFF"/>
        </w:rPr>
        <w:t xml:space="preserve">This can cause confusion around what employee engagement should be defined as, which has caused the subject of </w:t>
      </w:r>
      <w:r>
        <w:rPr>
          <w:rFonts w:cstheme="minorHAnsi"/>
          <w:color w:val="1C1D1E"/>
          <w:shd w:val="clear" w:color="auto" w:fill="FFFFFF"/>
        </w:rPr>
        <w:lastRenderedPageBreak/>
        <w:t xml:space="preserve">wellbeing to be a largely grey area in terms of how organisations can manage it. Many organisations therefore take the approach of utilising employee engagement surveys to identify employee wellbeing </w:t>
      </w:r>
      <w:r w:rsidR="00677FA6">
        <w:rPr>
          <w:rFonts w:cstheme="minorHAnsi"/>
          <w:color w:val="1C1D1E"/>
          <w:shd w:val="clear" w:color="auto" w:fill="FFFFFF"/>
        </w:rPr>
        <w:t xml:space="preserve">or how engagement can support wellbeing strategies. </w:t>
      </w:r>
    </w:p>
    <w:p w14:paraId="0FCBB3B3" w14:textId="20C243DC" w:rsidR="00976F7D" w:rsidRDefault="00D76CCE" w:rsidP="006E4B67">
      <w:pPr>
        <w:spacing w:after="0" w:line="240" w:lineRule="auto"/>
        <w:rPr>
          <w:rFonts w:cs="Arial"/>
        </w:rPr>
      </w:pPr>
      <w:r w:rsidRPr="0099400C">
        <w:rPr>
          <w:rFonts w:cs="Arial"/>
        </w:rPr>
        <w:t>It can be concluded</w:t>
      </w:r>
      <w:r w:rsidR="0099400C">
        <w:rPr>
          <w:rFonts w:cs="Arial"/>
        </w:rPr>
        <w:t>, particularly from the employee engagement survey, that</w:t>
      </w:r>
      <w:r w:rsidRPr="0099400C">
        <w:rPr>
          <w:rFonts w:cs="Arial"/>
        </w:rPr>
        <w:t xml:space="preserve"> </w:t>
      </w:r>
      <w:r w:rsidR="0099400C">
        <w:rPr>
          <w:rFonts w:cs="Arial"/>
        </w:rPr>
        <w:t>generally</w:t>
      </w:r>
      <w:r w:rsidRPr="0099400C">
        <w:rPr>
          <w:rFonts w:cs="Arial"/>
        </w:rPr>
        <w:t xml:space="preserve">, employees feel engaged within Marelli and are motivated to contribute to the organisation through their roles. The 2019 employee engagement survey concluded that employees are generally satisfied with work engagement, compensation, benefits and communication. However, it was noted that some work around wellbeing strategies and wider communication with employees regarding initiatives could be done, to improve employee wellbeing. </w:t>
      </w:r>
    </w:p>
    <w:p w14:paraId="57B207F1" w14:textId="77777777" w:rsidR="006E4B67" w:rsidRPr="006E4B67" w:rsidRDefault="006E4B67" w:rsidP="006E4B67">
      <w:pPr>
        <w:spacing w:after="0" w:line="240" w:lineRule="auto"/>
        <w:rPr>
          <w:rFonts w:cs="Arial"/>
        </w:rPr>
      </w:pPr>
    </w:p>
    <w:p w14:paraId="2403A51F" w14:textId="46FDE037" w:rsidR="00976F7D" w:rsidRDefault="00976F7D" w:rsidP="00976F7D">
      <w:pPr>
        <w:rPr>
          <w:b/>
          <w:bCs/>
        </w:rPr>
      </w:pPr>
      <w:r w:rsidRPr="0099400C">
        <w:rPr>
          <w:b/>
          <w:bCs/>
        </w:rPr>
        <w:t>6.  Recommendations</w:t>
      </w:r>
    </w:p>
    <w:p w14:paraId="148F68C3" w14:textId="73A9EFAC" w:rsidR="004E3778" w:rsidRPr="004E3778" w:rsidRDefault="004E3778" w:rsidP="00976F7D">
      <w:pPr>
        <w:rPr>
          <w:rFonts w:cstheme="minorHAnsi"/>
        </w:rPr>
      </w:pPr>
      <w:r w:rsidRPr="004E3778">
        <w:t xml:space="preserve">The recommendations to Marelli Stakeholders, namely employees and the senior management are as follows, to ensure employee development and organisational performance are developed </w:t>
      </w:r>
      <w:r w:rsidRPr="004E3778">
        <w:rPr>
          <w:rFonts w:cstheme="minorHAnsi"/>
        </w:rPr>
        <w:t>more strategically:</w:t>
      </w:r>
    </w:p>
    <w:p w14:paraId="2873A8E9" w14:textId="762A0CBA" w:rsidR="00D76CCE" w:rsidRPr="004E3778" w:rsidRDefault="00D76CCE" w:rsidP="004E3778">
      <w:pPr>
        <w:pStyle w:val="ListParagraph"/>
        <w:numPr>
          <w:ilvl w:val="0"/>
          <w:numId w:val="21"/>
        </w:numPr>
        <w:spacing w:line="252" w:lineRule="auto"/>
        <w:rPr>
          <w:rFonts w:asciiTheme="minorHAnsi" w:hAnsiTheme="minorHAnsi" w:cstheme="minorHAnsi"/>
          <w:color w:val="000000" w:themeColor="text1"/>
        </w:rPr>
      </w:pPr>
      <w:r w:rsidRPr="004E3778">
        <w:rPr>
          <w:rFonts w:asciiTheme="minorHAnsi" w:hAnsiTheme="minorHAnsi" w:cstheme="minorHAnsi"/>
          <w:color w:val="000000" w:themeColor="text1"/>
        </w:rPr>
        <w:t xml:space="preserve">Develop a </w:t>
      </w:r>
      <w:r w:rsidR="004E3778" w:rsidRPr="004E3778">
        <w:rPr>
          <w:rFonts w:asciiTheme="minorHAnsi" w:hAnsiTheme="minorHAnsi" w:cstheme="minorHAnsi"/>
          <w:color w:val="000000" w:themeColor="text1"/>
        </w:rPr>
        <w:t>high-level</w:t>
      </w:r>
      <w:r w:rsidRPr="004E3778">
        <w:rPr>
          <w:rFonts w:asciiTheme="minorHAnsi" w:hAnsiTheme="minorHAnsi" w:cstheme="minorHAnsi"/>
          <w:color w:val="000000" w:themeColor="text1"/>
        </w:rPr>
        <w:t xml:space="preserve"> </w:t>
      </w:r>
      <w:r w:rsidR="004E3778" w:rsidRPr="004E3778">
        <w:rPr>
          <w:rFonts w:asciiTheme="minorHAnsi" w:hAnsiTheme="minorHAnsi" w:cstheme="minorHAnsi"/>
          <w:color w:val="000000" w:themeColor="text1"/>
        </w:rPr>
        <w:t xml:space="preserve">wellbeing </w:t>
      </w:r>
      <w:r w:rsidRPr="004E3778">
        <w:rPr>
          <w:rFonts w:asciiTheme="minorHAnsi" w:hAnsiTheme="minorHAnsi" w:cstheme="minorHAnsi"/>
          <w:color w:val="000000" w:themeColor="text1"/>
        </w:rPr>
        <w:t>strategy</w:t>
      </w:r>
      <w:r w:rsidR="004E3778" w:rsidRPr="004E3778">
        <w:rPr>
          <w:rFonts w:asciiTheme="minorHAnsi" w:hAnsiTheme="minorHAnsi" w:cstheme="minorHAnsi"/>
          <w:color w:val="000000" w:themeColor="text1"/>
        </w:rPr>
        <w:t>, that utilises focus groups and pulse surveys to gauge workforce engagement and ideas for engagement within the organisation</w:t>
      </w:r>
      <w:r w:rsidR="004E3778">
        <w:rPr>
          <w:rFonts w:asciiTheme="minorHAnsi" w:hAnsiTheme="minorHAnsi" w:cstheme="minorHAnsi"/>
          <w:color w:val="000000" w:themeColor="text1"/>
        </w:rPr>
        <w:t>.</w:t>
      </w:r>
      <w:r w:rsidRPr="004E3778">
        <w:rPr>
          <w:rFonts w:asciiTheme="minorHAnsi" w:hAnsiTheme="minorHAnsi" w:cstheme="minorHAnsi"/>
          <w:color w:val="000000" w:themeColor="text1"/>
        </w:rPr>
        <w:t xml:space="preserve"> </w:t>
      </w:r>
    </w:p>
    <w:p w14:paraId="41D7240A" w14:textId="66DAE257" w:rsidR="00D76CCE" w:rsidRPr="004E3778" w:rsidRDefault="004E3778" w:rsidP="004E3778">
      <w:pPr>
        <w:pStyle w:val="ListParagraph"/>
        <w:numPr>
          <w:ilvl w:val="0"/>
          <w:numId w:val="21"/>
        </w:numPr>
        <w:spacing w:line="252" w:lineRule="auto"/>
        <w:rPr>
          <w:rFonts w:asciiTheme="minorHAnsi" w:hAnsiTheme="minorHAnsi" w:cstheme="minorHAnsi"/>
          <w:color w:val="000000" w:themeColor="text1"/>
        </w:rPr>
      </w:pPr>
      <w:r w:rsidRPr="004E3778">
        <w:rPr>
          <w:rFonts w:asciiTheme="minorHAnsi" w:hAnsiTheme="minorHAnsi" w:cstheme="minorHAnsi"/>
          <w:color w:val="000000" w:themeColor="text1"/>
        </w:rPr>
        <w:t xml:space="preserve">Improve </w:t>
      </w:r>
      <w:r w:rsidR="00D76CCE" w:rsidRPr="004E3778">
        <w:rPr>
          <w:rFonts w:asciiTheme="minorHAnsi" w:hAnsiTheme="minorHAnsi" w:cstheme="minorHAnsi"/>
          <w:color w:val="000000" w:themeColor="text1"/>
        </w:rPr>
        <w:t xml:space="preserve">Night shift communication and approach </w:t>
      </w:r>
      <w:r w:rsidRPr="004E3778">
        <w:rPr>
          <w:rFonts w:asciiTheme="minorHAnsi" w:hAnsiTheme="minorHAnsi" w:cstheme="minorHAnsi"/>
          <w:color w:val="000000" w:themeColor="text1"/>
        </w:rPr>
        <w:t>to how communications are made on different shifts across the business</w:t>
      </w:r>
      <w:r>
        <w:rPr>
          <w:rFonts w:asciiTheme="minorHAnsi" w:hAnsiTheme="minorHAnsi" w:cstheme="minorHAnsi"/>
          <w:color w:val="000000" w:themeColor="text1"/>
        </w:rPr>
        <w:t>.</w:t>
      </w:r>
    </w:p>
    <w:p w14:paraId="26814B7B" w14:textId="604C36B0" w:rsidR="00992DFE" w:rsidRPr="004E3778" w:rsidRDefault="00992DFE" w:rsidP="004E3778">
      <w:pPr>
        <w:pStyle w:val="ListParagraph"/>
        <w:numPr>
          <w:ilvl w:val="0"/>
          <w:numId w:val="21"/>
        </w:numPr>
        <w:spacing w:line="252" w:lineRule="auto"/>
        <w:rPr>
          <w:rFonts w:asciiTheme="minorHAnsi" w:hAnsiTheme="minorHAnsi" w:cstheme="minorHAnsi"/>
          <w:color w:val="000000" w:themeColor="text1"/>
        </w:rPr>
      </w:pPr>
      <w:r w:rsidRPr="004E3778">
        <w:rPr>
          <w:rFonts w:asciiTheme="minorHAnsi" w:hAnsiTheme="minorHAnsi" w:cstheme="minorHAnsi"/>
          <w:color w:val="000000" w:themeColor="text1"/>
        </w:rPr>
        <w:t xml:space="preserve">Develop a </w:t>
      </w:r>
      <w:r w:rsidR="004E3778" w:rsidRPr="004E3778">
        <w:rPr>
          <w:rFonts w:asciiTheme="minorHAnsi" w:hAnsiTheme="minorHAnsi" w:cstheme="minorHAnsi"/>
          <w:color w:val="000000" w:themeColor="text1"/>
        </w:rPr>
        <w:t xml:space="preserve">robust </w:t>
      </w:r>
      <w:r w:rsidRPr="004E3778">
        <w:rPr>
          <w:rFonts w:asciiTheme="minorHAnsi" w:hAnsiTheme="minorHAnsi" w:cstheme="minorHAnsi"/>
          <w:color w:val="000000" w:themeColor="text1"/>
        </w:rPr>
        <w:t xml:space="preserve">training programme that develops managers to coach their teams </w:t>
      </w:r>
      <w:r w:rsidR="004E3778" w:rsidRPr="004E3778">
        <w:rPr>
          <w:rFonts w:asciiTheme="minorHAnsi" w:hAnsiTheme="minorHAnsi" w:cstheme="minorHAnsi"/>
          <w:color w:val="000000" w:themeColor="text1"/>
        </w:rPr>
        <w:t>to improve engagement, innovation and autonomy</w:t>
      </w:r>
      <w:r w:rsidR="004E3778">
        <w:rPr>
          <w:rFonts w:asciiTheme="minorHAnsi" w:hAnsiTheme="minorHAnsi" w:cstheme="minorHAnsi"/>
          <w:color w:val="000000" w:themeColor="text1"/>
        </w:rPr>
        <w:t>.</w:t>
      </w:r>
    </w:p>
    <w:p w14:paraId="793B5F8E" w14:textId="65569405" w:rsidR="00976F7D" w:rsidRPr="004E3778" w:rsidRDefault="004E3778" w:rsidP="004E3778">
      <w:pPr>
        <w:pStyle w:val="ListParagraph"/>
        <w:numPr>
          <w:ilvl w:val="0"/>
          <w:numId w:val="21"/>
        </w:numPr>
        <w:rPr>
          <w:rFonts w:asciiTheme="minorHAnsi" w:hAnsiTheme="minorHAnsi" w:cstheme="minorHAnsi"/>
        </w:rPr>
      </w:pPr>
      <w:r w:rsidRPr="004E3778">
        <w:rPr>
          <w:rFonts w:asciiTheme="minorHAnsi" w:hAnsiTheme="minorHAnsi" w:cstheme="minorHAnsi"/>
          <w:color w:val="212529"/>
          <w:shd w:val="clear" w:color="auto" w:fill="FFFFFF"/>
        </w:rPr>
        <w:t>Identify other methods, alongside employee engagement surveys, of getting feedback or employee views on engagement</w:t>
      </w:r>
      <w:r>
        <w:rPr>
          <w:rFonts w:asciiTheme="minorHAnsi" w:hAnsiTheme="minorHAnsi" w:cstheme="minorHAnsi"/>
          <w:color w:val="212529"/>
          <w:shd w:val="clear" w:color="auto" w:fill="FFFFFF"/>
        </w:rPr>
        <w:t xml:space="preserve">. </w:t>
      </w:r>
      <w:r w:rsidRPr="004E3778">
        <w:rPr>
          <w:rFonts w:asciiTheme="minorHAnsi" w:hAnsiTheme="minorHAnsi" w:cstheme="minorHAnsi"/>
          <w:color w:val="212529"/>
          <w:shd w:val="clear" w:color="auto" w:fill="FFFFFF"/>
        </w:rPr>
        <w:t>For example,</w:t>
      </w:r>
      <w:r w:rsidR="003826A2" w:rsidRPr="004E3778">
        <w:rPr>
          <w:rFonts w:asciiTheme="minorHAnsi" w:hAnsiTheme="minorHAnsi" w:cstheme="minorHAnsi"/>
          <w:color w:val="212529"/>
          <w:shd w:val="clear" w:color="auto" w:fill="FFFFFF"/>
        </w:rPr>
        <w:t xml:space="preserve"> interviews, focus groups,</w:t>
      </w:r>
      <w:r w:rsidRPr="004E3778">
        <w:rPr>
          <w:rFonts w:asciiTheme="minorHAnsi" w:hAnsiTheme="minorHAnsi" w:cstheme="minorHAnsi"/>
          <w:color w:val="212529"/>
          <w:shd w:val="clear" w:color="auto" w:fill="FFFFFF"/>
        </w:rPr>
        <w:t xml:space="preserve"> pulse surveys and </w:t>
      </w:r>
      <w:r w:rsidR="003826A2" w:rsidRPr="004E3778">
        <w:rPr>
          <w:rFonts w:asciiTheme="minorHAnsi" w:hAnsiTheme="minorHAnsi" w:cstheme="minorHAnsi"/>
          <w:color w:val="212529"/>
          <w:shd w:val="clear" w:color="auto" w:fill="FFFFFF"/>
        </w:rPr>
        <w:t>case studies</w:t>
      </w:r>
      <w:r>
        <w:rPr>
          <w:rFonts w:asciiTheme="minorHAnsi" w:hAnsiTheme="minorHAnsi" w:cstheme="minorHAnsi"/>
          <w:color w:val="212529"/>
          <w:shd w:val="clear" w:color="auto" w:fill="FFFFFF"/>
        </w:rPr>
        <w:t>.</w:t>
      </w:r>
    </w:p>
    <w:p w14:paraId="45797A0E" w14:textId="77777777" w:rsidR="004E3778" w:rsidRPr="004E3778" w:rsidRDefault="004E3778" w:rsidP="004E3778">
      <w:pPr>
        <w:pStyle w:val="ListParagraph"/>
        <w:rPr>
          <w:rFonts w:asciiTheme="minorHAnsi" w:hAnsiTheme="minorHAnsi" w:cstheme="minorHAnsi"/>
        </w:rPr>
      </w:pPr>
    </w:p>
    <w:p w14:paraId="21E77E5C" w14:textId="3EF44F77" w:rsidR="00976F7D" w:rsidRDefault="00976F7D" w:rsidP="00976F7D">
      <w:pPr>
        <w:rPr>
          <w:b/>
          <w:bCs/>
        </w:rPr>
      </w:pPr>
      <w:r>
        <w:rPr>
          <w:b/>
          <w:bCs/>
        </w:rPr>
        <w:t>7. Limitations</w:t>
      </w:r>
    </w:p>
    <w:p w14:paraId="42A63858" w14:textId="1746DE5C" w:rsidR="007F6F4E" w:rsidRDefault="007F6F4E" w:rsidP="00976F7D">
      <w:pPr>
        <w:rPr>
          <w:sz w:val="24"/>
          <w:szCs w:val="24"/>
        </w:rPr>
      </w:pPr>
      <w:r>
        <w:rPr>
          <w:rFonts w:cstheme="minorHAnsi"/>
          <w:shd w:val="clear" w:color="auto" w:fill="FFFFFF"/>
        </w:rPr>
        <w:t xml:space="preserve">Due to the COVID-19 pandemic, primary studies have been limited; however, the report </w:t>
      </w:r>
      <w:r w:rsidR="00F8726D">
        <w:rPr>
          <w:rFonts w:cstheme="minorHAnsi"/>
          <w:shd w:val="clear" w:color="auto" w:fill="FFFFFF"/>
        </w:rPr>
        <w:t>has</w:t>
      </w:r>
      <w:r>
        <w:rPr>
          <w:rFonts w:cstheme="minorHAnsi"/>
          <w:shd w:val="clear" w:color="auto" w:fill="FFFFFF"/>
        </w:rPr>
        <w:t xml:space="preserve"> aim</w:t>
      </w:r>
      <w:r w:rsidR="00F8726D">
        <w:rPr>
          <w:rFonts w:cstheme="minorHAnsi"/>
          <w:shd w:val="clear" w:color="auto" w:fill="FFFFFF"/>
        </w:rPr>
        <w:t>ed</w:t>
      </w:r>
      <w:r>
        <w:rPr>
          <w:rFonts w:cstheme="minorHAnsi"/>
          <w:shd w:val="clear" w:color="auto" w:fill="FFFFFF"/>
        </w:rPr>
        <w:t xml:space="preserve"> to explore secondary data and theory alongside current Marelli policy and procedure in order to provide appropriate recommendations.</w:t>
      </w:r>
    </w:p>
    <w:p w14:paraId="2813C58C" w14:textId="198E50B9" w:rsidR="00976F7D" w:rsidRDefault="00976F7D" w:rsidP="00976F7D">
      <w:pPr>
        <w:rPr>
          <w:b/>
          <w:bCs/>
        </w:rPr>
      </w:pPr>
    </w:p>
    <w:p w14:paraId="6587769A" w14:textId="77777777" w:rsidR="000F2C9F" w:rsidRDefault="000F2C9F" w:rsidP="0000063E">
      <w:pPr>
        <w:rPr>
          <w:b/>
          <w:bCs/>
        </w:rPr>
      </w:pPr>
    </w:p>
    <w:p w14:paraId="10F96305" w14:textId="77777777" w:rsidR="000F2C9F" w:rsidRDefault="000F2C9F" w:rsidP="0000063E">
      <w:pPr>
        <w:rPr>
          <w:b/>
          <w:bCs/>
        </w:rPr>
      </w:pPr>
    </w:p>
    <w:p w14:paraId="3F98F266" w14:textId="77777777" w:rsidR="000F2C9F" w:rsidRDefault="000F2C9F" w:rsidP="0000063E">
      <w:pPr>
        <w:rPr>
          <w:b/>
          <w:bCs/>
        </w:rPr>
      </w:pPr>
    </w:p>
    <w:p w14:paraId="20137CF3" w14:textId="77777777" w:rsidR="00F8726D" w:rsidRDefault="00F8726D" w:rsidP="0000063E">
      <w:pPr>
        <w:rPr>
          <w:b/>
          <w:bCs/>
        </w:rPr>
      </w:pPr>
    </w:p>
    <w:p w14:paraId="5D41561C" w14:textId="77777777" w:rsidR="00F8726D" w:rsidRDefault="00F8726D" w:rsidP="0000063E">
      <w:pPr>
        <w:rPr>
          <w:b/>
          <w:bCs/>
        </w:rPr>
      </w:pPr>
    </w:p>
    <w:p w14:paraId="1977883E" w14:textId="77777777" w:rsidR="00F8726D" w:rsidRDefault="00F8726D" w:rsidP="0000063E">
      <w:pPr>
        <w:rPr>
          <w:b/>
          <w:bCs/>
        </w:rPr>
      </w:pPr>
    </w:p>
    <w:p w14:paraId="6FA8F582" w14:textId="77777777" w:rsidR="00F8726D" w:rsidRDefault="00F8726D" w:rsidP="0000063E">
      <w:pPr>
        <w:rPr>
          <w:b/>
          <w:bCs/>
        </w:rPr>
      </w:pPr>
    </w:p>
    <w:p w14:paraId="7B875BC6" w14:textId="77777777" w:rsidR="00F8726D" w:rsidRDefault="00F8726D" w:rsidP="0000063E">
      <w:pPr>
        <w:rPr>
          <w:b/>
          <w:bCs/>
        </w:rPr>
      </w:pPr>
    </w:p>
    <w:p w14:paraId="784E93B4" w14:textId="77777777" w:rsidR="0064721E" w:rsidRDefault="0064721E" w:rsidP="0000063E">
      <w:pPr>
        <w:rPr>
          <w:b/>
          <w:bCs/>
        </w:rPr>
      </w:pPr>
    </w:p>
    <w:p w14:paraId="2C48D243" w14:textId="63E78B28" w:rsidR="00CE4F47" w:rsidRDefault="00CE4F47" w:rsidP="0000063E">
      <w:pPr>
        <w:rPr>
          <w:b/>
          <w:bCs/>
        </w:rPr>
      </w:pPr>
    </w:p>
    <w:p w14:paraId="44D258DE" w14:textId="5C13C190" w:rsidR="006E4B67" w:rsidRDefault="006E4B67" w:rsidP="0000063E">
      <w:pPr>
        <w:rPr>
          <w:b/>
          <w:bCs/>
        </w:rPr>
      </w:pPr>
    </w:p>
    <w:p w14:paraId="7CF588C0" w14:textId="343C2532" w:rsidR="00E72C75" w:rsidRDefault="00E72C75" w:rsidP="0000063E">
      <w:pPr>
        <w:rPr>
          <w:b/>
          <w:bCs/>
        </w:rPr>
      </w:pPr>
      <w:r>
        <w:rPr>
          <w:b/>
          <w:bCs/>
        </w:rPr>
        <w:lastRenderedPageBreak/>
        <w:t>References</w:t>
      </w:r>
    </w:p>
    <w:sdt>
      <w:sdtPr>
        <w:id w:val="-573587230"/>
        <w:bibliography/>
      </w:sdtPr>
      <w:sdtEndPr/>
      <w:sdtContent>
        <w:p w14:paraId="7B451737" w14:textId="1A271F00" w:rsidR="00E72C75" w:rsidRPr="00E72C75" w:rsidRDefault="00E72C75" w:rsidP="00E72C75">
          <w:pPr>
            <w:pStyle w:val="Bibliography"/>
            <w:rPr>
              <w:rFonts w:cstheme="minorHAnsi"/>
              <w:noProof/>
            </w:rPr>
          </w:pPr>
          <w:r w:rsidRPr="00E72C75">
            <w:rPr>
              <w:rFonts w:cstheme="minorHAnsi"/>
            </w:rPr>
            <w:fldChar w:fldCharType="begin"/>
          </w:r>
          <w:r w:rsidRPr="00E72C75">
            <w:rPr>
              <w:rFonts w:cstheme="minorHAnsi"/>
            </w:rPr>
            <w:instrText xml:space="preserve"> BIBLIOGRAPHY </w:instrText>
          </w:r>
          <w:r w:rsidRPr="00E72C75">
            <w:rPr>
              <w:rFonts w:cstheme="minorHAnsi"/>
            </w:rPr>
            <w:fldChar w:fldCharType="separate"/>
          </w:r>
          <w:r w:rsidRPr="00E72C75">
            <w:rPr>
              <w:rFonts w:cstheme="minorHAnsi"/>
              <w:noProof/>
            </w:rPr>
            <w:t xml:space="preserve">ACAS, 2014. </w:t>
          </w:r>
          <w:r w:rsidRPr="00E72C75">
            <w:rPr>
              <w:rFonts w:cstheme="minorHAnsi"/>
              <w:i/>
              <w:iCs/>
              <w:noProof/>
            </w:rPr>
            <w:t xml:space="preserve">MacLeod and Clarke’s Concept of Employee Engagement: An Analysis based on the Workplace Employment Relations Study , </w:t>
          </w:r>
          <w:r w:rsidRPr="00E72C75">
            <w:rPr>
              <w:rFonts w:cstheme="minorHAnsi"/>
              <w:noProof/>
            </w:rPr>
            <w:t>London: IPA.</w:t>
          </w:r>
        </w:p>
        <w:p w14:paraId="2498851B" w14:textId="60BBA7F4" w:rsidR="00E72C75" w:rsidRPr="00E72C75" w:rsidRDefault="00E72C75" w:rsidP="00E72C75">
          <w:pPr>
            <w:pStyle w:val="Bibliography"/>
            <w:rPr>
              <w:rFonts w:cstheme="minorHAnsi"/>
              <w:noProof/>
            </w:rPr>
          </w:pPr>
          <w:r w:rsidRPr="00E72C75">
            <w:rPr>
              <w:rFonts w:cstheme="minorHAnsi"/>
              <w:noProof/>
            </w:rPr>
            <w:t xml:space="preserve">CIPD, 2020. </w:t>
          </w:r>
          <w:r w:rsidRPr="00E72C75">
            <w:rPr>
              <w:rFonts w:cstheme="minorHAnsi"/>
              <w:i/>
              <w:iCs/>
              <w:noProof/>
            </w:rPr>
            <w:t xml:space="preserve">Wellbeing at Work. </w:t>
          </w:r>
          <w:r w:rsidRPr="00E72C75">
            <w:rPr>
              <w:rFonts w:cstheme="minorHAnsi"/>
              <w:noProof/>
            </w:rPr>
            <w:t xml:space="preserve">[Online] </w:t>
          </w:r>
          <w:r w:rsidRPr="00E72C75">
            <w:rPr>
              <w:rFonts w:cstheme="minorHAnsi"/>
              <w:noProof/>
            </w:rPr>
            <w:br/>
            <w:t xml:space="preserve">Available at: </w:t>
          </w:r>
          <w:r w:rsidRPr="00E72C75">
            <w:rPr>
              <w:rFonts w:cstheme="minorHAnsi"/>
              <w:noProof/>
              <w:u w:val="single"/>
            </w:rPr>
            <w:t>https://www.cipd.co.uk/knowledge/culture/well-being/factsheet</w:t>
          </w:r>
          <w:r w:rsidRPr="00E72C75">
            <w:rPr>
              <w:rFonts w:cstheme="minorHAnsi"/>
              <w:noProof/>
            </w:rPr>
            <w:br/>
            <w:t>[Accessed 19 August 2020].</w:t>
          </w:r>
        </w:p>
        <w:p w14:paraId="0A37147C" w14:textId="77777777" w:rsidR="00E72C75" w:rsidRPr="00E72C75" w:rsidRDefault="00E72C75" w:rsidP="00E72C75">
          <w:pPr>
            <w:rPr>
              <w:rFonts w:cstheme="minorHAnsi"/>
            </w:rPr>
          </w:pPr>
          <w:r w:rsidRPr="00E72C75">
            <w:rPr>
              <w:rFonts w:cstheme="minorHAnsi"/>
            </w:rPr>
            <w:t xml:space="preserve">Elicker, Joelle &amp; Levy, Paul &amp; Hall, Rosalie. (2006). </w:t>
          </w:r>
          <w:r w:rsidRPr="00E72C75">
            <w:rPr>
              <w:rFonts w:cstheme="minorHAnsi"/>
              <w:i/>
              <w:iCs/>
            </w:rPr>
            <w:t>The Role of Leader-Member Exchange in the Performance Appraisal Process</w:t>
          </w:r>
          <w:r w:rsidRPr="00E72C75">
            <w:rPr>
              <w:rFonts w:cstheme="minorHAnsi"/>
            </w:rPr>
            <w:t>. Journal of Management - J MANAGE, 32, 531-55</w:t>
          </w:r>
        </w:p>
        <w:p w14:paraId="7E198AF2" w14:textId="77777777" w:rsidR="00E72C75" w:rsidRPr="00E72C75" w:rsidRDefault="00E72C75" w:rsidP="00E72C75">
          <w:pPr>
            <w:pStyle w:val="Bibliography"/>
            <w:rPr>
              <w:rFonts w:cstheme="minorHAnsi"/>
              <w:noProof/>
            </w:rPr>
          </w:pPr>
          <w:r w:rsidRPr="00E72C75">
            <w:rPr>
              <w:rFonts w:cstheme="minorHAnsi"/>
              <w:noProof/>
            </w:rPr>
            <w:t xml:space="preserve">Fujita, J. &amp; Flak, A., 2018. </w:t>
          </w:r>
          <w:r w:rsidRPr="00E72C75">
            <w:rPr>
              <w:rFonts w:cstheme="minorHAnsi"/>
              <w:i/>
              <w:iCs/>
              <w:noProof/>
            </w:rPr>
            <w:t xml:space="preserve">KKR's Calsonic buys Fiat Chrysler Parts Firm Magnti Marelli for $7.1 Billion. </w:t>
          </w:r>
          <w:r w:rsidRPr="00E72C75">
            <w:rPr>
              <w:rFonts w:cstheme="minorHAnsi"/>
              <w:noProof/>
            </w:rPr>
            <w:t xml:space="preserve">[Online] </w:t>
          </w:r>
          <w:r w:rsidRPr="00E72C75">
            <w:rPr>
              <w:rFonts w:cstheme="minorHAnsi"/>
              <w:noProof/>
            </w:rPr>
            <w:br/>
            <w:t xml:space="preserve">Available at: </w:t>
          </w:r>
          <w:r w:rsidRPr="00E72C75">
            <w:rPr>
              <w:rFonts w:cstheme="minorHAnsi"/>
              <w:noProof/>
              <w:u w:val="single"/>
            </w:rPr>
            <w:t>https://www.reuters.com/article/us-fiat-chrysler-m-a-magnetimarelli/kkrs-calsonic-buys-fiat-chrysler-parts-firm-magneti-marelli-for-7-1-billion-idUSKCN1MV0W3</w:t>
          </w:r>
          <w:r w:rsidRPr="00E72C75">
            <w:rPr>
              <w:rFonts w:cstheme="minorHAnsi"/>
              <w:noProof/>
            </w:rPr>
            <w:br/>
            <w:t>[Accessed 9 August 2020].</w:t>
          </w:r>
        </w:p>
        <w:p w14:paraId="34F46512" w14:textId="77777777" w:rsidR="00E72C75" w:rsidRPr="00E72C75" w:rsidRDefault="00E72C75" w:rsidP="00E72C75">
          <w:pPr>
            <w:pStyle w:val="Bibliography"/>
            <w:rPr>
              <w:rFonts w:cstheme="minorHAnsi"/>
              <w:noProof/>
            </w:rPr>
          </w:pPr>
          <w:r w:rsidRPr="00E72C75">
            <w:rPr>
              <w:rFonts w:cstheme="minorHAnsi"/>
              <w:noProof/>
            </w:rPr>
            <w:t xml:space="preserve">Gifford, J., 2019. </w:t>
          </w:r>
          <w:r w:rsidRPr="00E72C75">
            <w:rPr>
              <w:rFonts w:cstheme="minorHAnsi"/>
              <w:i/>
              <w:iCs/>
              <w:noProof/>
            </w:rPr>
            <w:t xml:space="preserve">Employee Engagement and Motivation. </w:t>
          </w:r>
          <w:r w:rsidRPr="00E72C75">
            <w:rPr>
              <w:rFonts w:cstheme="minorHAnsi"/>
              <w:noProof/>
            </w:rPr>
            <w:t xml:space="preserve">[Online] </w:t>
          </w:r>
          <w:r w:rsidRPr="00E72C75">
            <w:rPr>
              <w:rFonts w:cstheme="minorHAnsi"/>
              <w:noProof/>
            </w:rPr>
            <w:br/>
            <w:t xml:space="preserve">Available at: </w:t>
          </w:r>
          <w:r w:rsidRPr="00E72C75">
            <w:rPr>
              <w:rFonts w:cstheme="minorHAnsi"/>
              <w:noProof/>
              <w:u w:val="single"/>
            </w:rPr>
            <w:t>https://www.cipd.co.uk/knowledge/fundamentals/relations/engagement/factsheet</w:t>
          </w:r>
          <w:r w:rsidRPr="00E72C75">
            <w:rPr>
              <w:rFonts w:cstheme="minorHAnsi"/>
              <w:noProof/>
            </w:rPr>
            <w:br/>
            <w:t>[Accessed 17 August 2020].</w:t>
          </w:r>
        </w:p>
        <w:p w14:paraId="1ED62075" w14:textId="660716D8" w:rsidR="00E72C75" w:rsidRPr="00E72C75" w:rsidRDefault="00E72C75" w:rsidP="00E72C75">
          <w:pPr>
            <w:pStyle w:val="Bibliography"/>
            <w:rPr>
              <w:rFonts w:cstheme="minorHAnsi"/>
              <w:noProof/>
            </w:rPr>
          </w:pPr>
          <w:r w:rsidRPr="00E72C75">
            <w:rPr>
              <w:rFonts w:cstheme="minorHAnsi"/>
              <w:noProof/>
            </w:rPr>
            <w:t xml:space="preserve">Karanovic &amp; Partners , 2019. </w:t>
          </w:r>
          <w:r w:rsidRPr="00E72C75">
            <w:rPr>
              <w:rFonts w:cstheme="minorHAnsi"/>
              <w:i/>
              <w:iCs/>
              <w:noProof/>
            </w:rPr>
            <w:t xml:space="preserve">Calsonic Kansei acquires Magneti Marelli for EUR 5.8 Billion. </w:t>
          </w:r>
          <w:r w:rsidRPr="00E72C75">
            <w:rPr>
              <w:rFonts w:cstheme="minorHAnsi"/>
              <w:noProof/>
            </w:rPr>
            <w:t xml:space="preserve">[Online] </w:t>
          </w:r>
          <w:r w:rsidRPr="00E72C75">
            <w:rPr>
              <w:rFonts w:cstheme="minorHAnsi"/>
              <w:noProof/>
            </w:rPr>
            <w:br/>
            <w:t xml:space="preserve">Available at: </w:t>
          </w:r>
          <w:r w:rsidRPr="00E72C75">
            <w:rPr>
              <w:rFonts w:cstheme="minorHAnsi"/>
              <w:noProof/>
              <w:u w:val="single"/>
            </w:rPr>
            <w:t>https://www.karanovicpartners.com/news/calsonic-kansei-acquires-magneti-marelli/</w:t>
          </w:r>
          <w:r w:rsidRPr="00E72C75">
            <w:rPr>
              <w:rFonts w:cstheme="minorHAnsi"/>
              <w:noProof/>
            </w:rPr>
            <w:br/>
            <w:t>[Accessed 5 August 2020].</w:t>
          </w:r>
        </w:p>
        <w:p w14:paraId="3904376F" w14:textId="3FC664B0" w:rsidR="00E72C75" w:rsidRPr="00E72C75" w:rsidRDefault="00E72C75" w:rsidP="00E72C75">
          <w:r w:rsidRPr="00E72C75">
            <w:t xml:space="preserve">Kahn.W. (1990). Psychological conditions of personal engagement and disengagement at work. </w:t>
          </w:r>
          <w:r w:rsidRPr="00E72C75">
            <w:rPr>
              <w:i/>
              <w:iCs/>
            </w:rPr>
            <w:t>Academy of Management Journal,</w:t>
          </w:r>
          <w:r w:rsidRPr="00E72C75">
            <w:t xml:space="preserve"> 33, pp. 692 -724</w:t>
          </w:r>
        </w:p>
        <w:p w14:paraId="218EB13D" w14:textId="77777777" w:rsidR="00E72C75" w:rsidRPr="00E72C75" w:rsidRDefault="00E72C75" w:rsidP="00E72C75">
          <w:pPr>
            <w:rPr>
              <w:rFonts w:cstheme="minorHAnsi"/>
            </w:rPr>
          </w:pPr>
          <w:r w:rsidRPr="00E72C75">
            <w:rPr>
              <w:rFonts w:cstheme="minorHAnsi"/>
            </w:rPr>
            <w:t>MacLeod, D. Clarke N. (2009) Engaging for Success: Enhancing performance through employee engagement. London: BIS</w:t>
          </w:r>
        </w:p>
        <w:p w14:paraId="7A324839" w14:textId="77777777" w:rsidR="00E72C75" w:rsidRPr="00E72C75" w:rsidRDefault="00E72C75" w:rsidP="00E72C75">
          <w:pPr>
            <w:pStyle w:val="Bibliography"/>
            <w:rPr>
              <w:rFonts w:cstheme="minorHAnsi"/>
              <w:noProof/>
            </w:rPr>
          </w:pPr>
          <w:r w:rsidRPr="00E72C75">
            <w:rPr>
              <w:rFonts w:cstheme="minorHAnsi"/>
              <w:noProof/>
            </w:rPr>
            <w:t xml:space="preserve">Marelli, 2020. </w:t>
          </w:r>
          <w:r w:rsidRPr="00E72C75">
            <w:rPr>
              <w:rFonts w:cstheme="minorHAnsi"/>
              <w:i/>
              <w:iCs/>
              <w:noProof/>
            </w:rPr>
            <w:t xml:space="preserve">Marelli Company Profile. </w:t>
          </w:r>
          <w:r w:rsidRPr="00E72C75">
            <w:rPr>
              <w:rFonts w:cstheme="minorHAnsi"/>
              <w:noProof/>
            </w:rPr>
            <w:t xml:space="preserve">[Online] </w:t>
          </w:r>
          <w:r w:rsidRPr="00E72C75">
            <w:rPr>
              <w:rFonts w:cstheme="minorHAnsi"/>
              <w:noProof/>
            </w:rPr>
            <w:br/>
            <w:t xml:space="preserve">Available at: </w:t>
          </w:r>
          <w:r w:rsidRPr="00E72C75">
            <w:rPr>
              <w:rFonts w:cstheme="minorHAnsi"/>
              <w:noProof/>
              <w:u w:val="single"/>
            </w:rPr>
            <w:t>https://www.marelli.com/company-profile/</w:t>
          </w:r>
          <w:r w:rsidRPr="00E72C75">
            <w:rPr>
              <w:rFonts w:cstheme="minorHAnsi"/>
              <w:noProof/>
            </w:rPr>
            <w:br/>
            <w:t>[Accessed 5 August 2020].</w:t>
          </w:r>
        </w:p>
        <w:p w14:paraId="6D8321FE" w14:textId="39117F2B" w:rsidR="00E72C75" w:rsidRPr="00E72C75" w:rsidRDefault="00E72C75" w:rsidP="00E72C75">
          <w:pPr>
            <w:rPr>
              <w:rFonts w:cstheme="minorHAnsi"/>
            </w:rPr>
          </w:pPr>
          <w:r w:rsidRPr="00E72C75">
            <w:rPr>
              <w:rFonts w:cstheme="minorHAnsi"/>
            </w:rPr>
            <w:t xml:space="preserve">Schaufeli, W.B., Taris, T.W., &amp; Van Rhenen, W. (2008). </w:t>
          </w:r>
          <w:r w:rsidRPr="00E72C75">
            <w:rPr>
              <w:rFonts w:cstheme="minorHAnsi"/>
              <w:i/>
              <w:iCs/>
            </w:rPr>
            <w:t>Workaholism, burnout, and engagement: Three of a kind or three different kinds of employee well-being?</w:t>
          </w:r>
          <w:r w:rsidRPr="00E72C75">
            <w:rPr>
              <w:rFonts w:cstheme="minorHAnsi"/>
            </w:rPr>
            <w:t xml:space="preserve"> Applied Psychology: An International Review, 57, 173–203.</w:t>
          </w:r>
        </w:p>
        <w:p w14:paraId="6F48562E" w14:textId="451F2071" w:rsidR="00E72C75" w:rsidRPr="00E72C75" w:rsidRDefault="00E72C75" w:rsidP="00E72C75">
          <w:pPr>
            <w:rPr>
              <w:rFonts w:cstheme="minorHAnsi"/>
            </w:rPr>
          </w:pPr>
        </w:p>
        <w:p w14:paraId="562C6119" w14:textId="77777777" w:rsidR="00E72C75" w:rsidRPr="00E72C75" w:rsidRDefault="00E72C75" w:rsidP="00E72C75">
          <w:pPr>
            <w:rPr>
              <w:rFonts w:cstheme="minorHAnsi"/>
            </w:rPr>
          </w:pPr>
        </w:p>
        <w:p w14:paraId="7C9340E7" w14:textId="382DD86D" w:rsidR="00E72C75" w:rsidRPr="00E72C75" w:rsidRDefault="00E72C75" w:rsidP="00E72C75">
          <w:pPr>
            <w:rPr>
              <w:rFonts w:cstheme="minorHAnsi"/>
            </w:rPr>
          </w:pPr>
        </w:p>
        <w:p w14:paraId="51D4A6D6" w14:textId="77777777" w:rsidR="00E72C75" w:rsidRPr="00E72C75" w:rsidRDefault="00E72C75" w:rsidP="00E72C75">
          <w:pPr>
            <w:rPr>
              <w:rFonts w:cstheme="minorHAnsi"/>
            </w:rPr>
          </w:pPr>
        </w:p>
        <w:p w14:paraId="5ABBFB0B" w14:textId="77777777" w:rsidR="00E72C75" w:rsidRDefault="00E72C75" w:rsidP="00E72C75">
          <w:r w:rsidRPr="00E72C75">
            <w:rPr>
              <w:rFonts w:cstheme="minorHAnsi"/>
              <w:b/>
              <w:bCs/>
              <w:noProof/>
            </w:rPr>
            <w:fldChar w:fldCharType="end"/>
          </w:r>
        </w:p>
      </w:sdtContent>
    </w:sdt>
    <w:p w14:paraId="14A0A4E9" w14:textId="77777777" w:rsidR="008D5494" w:rsidRPr="00976F7D" w:rsidRDefault="008D5494" w:rsidP="0000063E">
      <w:pPr>
        <w:rPr>
          <w:b/>
          <w:bCs/>
        </w:rPr>
      </w:pPr>
    </w:p>
    <w:sectPr w:rsidR="008D5494" w:rsidRPr="00976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31C11"/>
    <w:multiLevelType w:val="hybridMultilevel"/>
    <w:tmpl w:val="CE60B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cs="Times New Roman" w:hint="default"/>
      </w:rPr>
    </w:lvl>
    <w:lvl w:ilvl="1" w:tplc="C1D482FC">
      <w:start w:val="1"/>
      <w:numFmt w:val="bullet"/>
      <w:lvlText w:val="•"/>
      <w:lvlJc w:val="left"/>
      <w:pPr>
        <w:tabs>
          <w:tab w:val="num" w:pos="1440"/>
        </w:tabs>
        <w:ind w:left="1440" w:hanging="360"/>
      </w:pPr>
      <w:rPr>
        <w:rFonts w:ascii="Arial" w:hAnsi="Arial" w:cs="Times New Roman" w:hint="default"/>
      </w:rPr>
    </w:lvl>
    <w:lvl w:ilvl="2" w:tplc="7BE0B788">
      <w:start w:val="1"/>
      <w:numFmt w:val="bullet"/>
      <w:lvlText w:val="•"/>
      <w:lvlJc w:val="left"/>
      <w:pPr>
        <w:tabs>
          <w:tab w:val="num" w:pos="2160"/>
        </w:tabs>
        <w:ind w:left="2160" w:hanging="360"/>
      </w:pPr>
      <w:rPr>
        <w:rFonts w:ascii="Arial" w:hAnsi="Arial" w:cs="Times New Roman" w:hint="default"/>
      </w:rPr>
    </w:lvl>
    <w:lvl w:ilvl="3" w:tplc="94BEB20A">
      <w:start w:val="1"/>
      <w:numFmt w:val="bullet"/>
      <w:lvlText w:val="•"/>
      <w:lvlJc w:val="left"/>
      <w:pPr>
        <w:tabs>
          <w:tab w:val="num" w:pos="2880"/>
        </w:tabs>
        <w:ind w:left="2880" w:hanging="360"/>
      </w:pPr>
      <w:rPr>
        <w:rFonts w:ascii="Arial" w:hAnsi="Arial" w:cs="Times New Roman" w:hint="default"/>
      </w:rPr>
    </w:lvl>
    <w:lvl w:ilvl="4" w:tplc="AAF60D7E">
      <w:start w:val="1"/>
      <w:numFmt w:val="bullet"/>
      <w:lvlText w:val="•"/>
      <w:lvlJc w:val="left"/>
      <w:pPr>
        <w:tabs>
          <w:tab w:val="num" w:pos="3600"/>
        </w:tabs>
        <w:ind w:left="3600" w:hanging="360"/>
      </w:pPr>
      <w:rPr>
        <w:rFonts w:ascii="Arial" w:hAnsi="Arial" w:cs="Times New Roman" w:hint="default"/>
      </w:rPr>
    </w:lvl>
    <w:lvl w:ilvl="5" w:tplc="00563A8A">
      <w:start w:val="1"/>
      <w:numFmt w:val="bullet"/>
      <w:lvlText w:val="•"/>
      <w:lvlJc w:val="left"/>
      <w:pPr>
        <w:tabs>
          <w:tab w:val="num" w:pos="4320"/>
        </w:tabs>
        <w:ind w:left="4320" w:hanging="360"/>
      </w:pPr>
      <w:rPr>
        <w:rFonts w:ascii="Arial" w:hAnsi="Arial" w:cs="Times New Roman" w:hint="default"/>
      </w:rPr>
    </w:lvl>
    <w:lvl w:ilvl="6" w:tplc="484862CA">
      <w:start w:val="1"/>
      <w:numFmt w:val="bullet"/>
      <w:lvlText w:val="•"/>
      <w:lvlJc w:val="left"/>
      <w:pPr>
        <w:tabs>
          <w:tab w:val="num" w:pos="5040"/>
        </w:tabs>
        <w:ind w:left="5040" w:hanging="360"/>
      </w:pPr>
      <w:rPr>
        <w:rFonts w:ascii="Arial" w:hAnsi="Arial" w:cs="Times New Roman" w:hint="default"/>
      </w:rPr>
    </w:lvl>
    <w:lvl w:ilvl="7" w:tplc="7B18B13A">
      <w:start w:val="1"/>
      <w:numFmt w:val="bullet"/>
      <w:lvlText w:val="•"/>
      <w:lvlJc w:val="left"/>
      <w:pPr>
        <w:tabs>
          <w:tab w:val="num" w:pos="5760"/>
        </w:tabs>
        <w:ind w:left="5760" w:hanging="360"/>
      </w:pPr>
      <w:rPr>
        <w:rFonts w:ascii="Arial" w:hAnsi="Arial" w:cs="Times New Roman" w:hint="default"/>
      </w:rPr>
    </w:lvl>
    <w:lvl w:ilvl="8" w:tplc="96DA8CD8">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AC7871"/>
    <w:multiLevelType w:val="hybridMultilevel"/>
    <w:tmpl w:val="16146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E82D26"/>
    <w:multiLevelType w:val="hybridMultilevel"/>
    <w:tmpl w:val="C2E2F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3962A7"/>
    <w:multiLevelType w:val="hybridMultilevel"/>
    <w:tmpl w:val="1D5839A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3884C9D"/>
    <w:multiLevelType w:val="hybridMultilevel"/>
    <w:tmpl w:val="CF6E5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62799A"/>
    <w:multiLevelType w:val="hybridMultilevel"/>
    <w:tmpl w:val="99525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1C5B3D"/>
    <w:multiLevelType w:val="hybridMultilevel"/>
    <w:tmpl w:val="1CB83B9C"/>
    <w:lvl w:ilvl="0" w:tplc="EF1207EC">
      <w:start w:val="7"/>
      <w:numFmt w:val="bullet"/>
      <w:lvlText w:val="-"/>
      <w:lvlJc w:val="left"/>
      <w:pPr>
        <w:ind w:left="720" w:hanging="360"/>
      </w:pPr>
      <w:rPr>
        <w:rFonts w:ascii="Calibri" w:eastAsiaTheme="minorEastAsia" w:hAnsi="Calibri" w:cs="Calibri" w:hint="default"/>
        <w:b/>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4213FB"/>
    <w:multiLevelType w:val="hybridMultilevel"/>
    <w:tmpl w:val="640A3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4A1A53"/>
    <w:multiLevelType w:val="hybridMultilevel"/>
    <w:tmpl w:val="CC323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CF6DFD"/>
    <w:multiLevelType w:val="hybridMultilevel"/>
    <w:tmpl w:val="4EC41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5528F3"/>
    <w:multiLevelType w:val="hybridMultilevel"/>
    <w:tmpl w:val="B25CED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582558"/>
    <w:multiLevelType w:val="hybridMultilevel"/>
    <w:tmpl w:val="2A0ED3C0"/>
    <w:lvl w:ilvl="0" w:tplc="EF1207EC">
      <w:start w:val="7"/>
      <w:numFmt w:val="bullet"/>
      <w:lvlText w:val="-"/>
      <w:lvlJc w:val="left"/>
      <w:pPr>
        <w:ind w:left="720" w:hanging="360"/>
      </w:pPr>
      <w:rPr>
        <w:rFonts w:ascii="Calibri" w:eastAsiaTheme="minorEastAsia" w:hAnsi="Calibri" w:cs="Calibri" w:hint="default"/>
        <w:b/>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1B0806"/>
    <w:multiLevelType w:val="hybridMultilevel"/>
    <w:tmpl w:val="C8D87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cs="Times New Roman" w:hint="default"/>
      </w:rPr>
    </w:lvl>
    <w:lvl w:ilvl="1" w:tplc="D65285A8">
      <w:start w:val="1"/>
      <w:numFmt w:val="bullet"/>
      <w:lvlText w:val="–"/>
      <w:lvlJc w:val="left"/>
      <w:pPr>
        <w:tabs>
          <w:tab w:val="num" w:pos="1440"/>
        </w:tabs>
        <w:ind w:left="1440" w:hanging="360"/>
      </w:pPr>
      <w:rPr>
        <w:rFonts w:ascii="Arial" w:hAnsi="Arial" w:cs="Times New Roman" w:hint="default"/>
      </w:rPr>
    </w:lvl>
    <w:lvl w:ilvl="2" w:tplc="09A4441E">
      <w:start w:val="1"/>
      <w:numFmt w:val="bullet"/>
      <w:lvlText w:val="–"/>
      <w:lvlJc w:val="left"/>
      <w:pPr>
        <w:tabs>
          <w:tab w:val="num" w:pos="2160"/>
        </w:tabs>
        <w:ind w:left="2160" w:hanging="360"/>
      </w:pPr>
      <w:rPr>
        <w:rFonts w:ascii="Arial" w:hAnsi="Arial" w:cs="Times New Roman" w:hint="default"/>
      </w:rPr>
    </w:lvl>
    <w:lvl w:ilvl="3" w:tplc="AD6CA904">
      <w:start w:val="1"/>
      <w:numFmt w:val="bullet"/>
      <w:lvlText w:val="–"/>
      <w:lvlJc w:val="left"/>
      <w:pPr>
        <w:tabs>
          <w:tab w:val="num" w:pos="2880"/>
        </w:tabs>
        <w:ind w:left="2880" w:hanging="360"/>
      </w:pPr>
      <w:rPr>
        <w:rFonts w:ascii="Arial" w:hAnsi="Arial" w:cs="Times New Roman" w:hint="default"/>
      </w:rPr>
    </w:lvl>
    <w:lvl w:ilvl="4" w:tplc="904E7FEA">
      <w:start w:val="1"/>
      <w:numFmt w:val="bullet"/>
      <w:lvlText w:val="–"/>
      <w:lvlJc w:val="left"/>
      <w:pPr>
        <w:tabs>
          <w:tab w:val="num" w:pos="3600"/>
        </w:tabs>
        <w:ind w:left="3600" w:hanging="360"/>
      </w:pPr>
      <w:rPr>
        <w:rFonts w:ascii="Arial" w:hAnsi="Arial" w:cs="Times New Roman" w:hint="default"/>
      </w:rPr>
    </w:lvl>
    <w:lvl w:ilvl="5" w:tplc="ACEC494A">
      <w:start w:val="1"/>
      <w:numFmt w:val="bullet"/>
      <w:lvlText w:val="–"/>
      <w:lvlJc w:val="left"/>
      <w:pPr>
        <w:tabs>
          <w:tab w:val="num" w:pos="4320"/>
        </w:tabs>
        <w:ind w:left="4320" w:hanging="360"/>
      </w:pPr>
      <w:rPr>
        <w:rFonts w:ascii="Arial" w:hAnsi="Arial" w:cs="Times New Roman" w:hint="default"/>
      </w:rPr>
    </w:lvl>
    <w:lvl w:ilvl="6" w:tplc="ED7A02CE">
      <w:start w:val="1"/>
      <w:numFmt w:val="bullet"/>
      <w:lvlText w:val="–"/>
      <w:lvlJc w:val="left"/>
      <w:pPr>
        <w:tabs>
          <w:tab w:val="num" w:pos="5040"/>
        </w:tabs>
        <w:ind w:left="5040" w:hanging="360"/>
      </w:pPr>
      <w:rPr>
        <w:rFonts w:ascii="Arial" w:hAnsi="Arial" w:cs="Times New Roman" w:hint="default"/>
      </w:rPr>
    </w:lvl>
    <w:lvl w:ilvl="7" w:tplc="157ED362">
      <w:start w:val="1"/>
      <w:numFmt w:val="bullet"/>
      <w:lvlText w:val="–"/>
      <w:lvlJc w:val="left"/>
      <w:pPr>
        <w:tabs>
          <w:tab w:val="num" w:pos="5760"/>
        </w:tabs>
        <w:ind w:left="5760" w:hanging="360"/>
      </w:pPr>
      <w:rPr>
        <w:rFonts w:ascii="Arial" w:hAnsi="Arial" w:cs="Times New Roman" w:hint="default"/>
      </w:rPr>
    </w:lvl>
    <w:lvl w:ilvl="8" w:tplc="03D42934">
      <w:start w:val="1"/>
      <w:numFmt w:val="bullet"/>
      <w:lvlText w:val="–"/>
      <w:lvlJc w:val="left"/>
      <w:pPr>
        <w:tabs>
          <w:tab w:val="num" w:pos="6480"/>
        </w:tabs>
        <w:ind w:left="6480" w:hanging="360"/>
      </w:pPr>
      <w:rPr>
        <w:rFonts w:ascii="Arial" w:hAnsi="Arial" w:cs="Times New Roman" w:hint="default"/>
      </w:rPr>
    </w:lvl>
  </w:abstractNum>
  <w:abstractNum w:abstractNumId="17" w15:restartNumberingAfterBreak="0">
    <w:nsid w:val="5F797608"/>
    <w:multiLevelType w:val="hybridMultilevel"/>
    <w:tmpl w:val="5EDC8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8160E1"/>
    <w:multiLevelType w:val="hybridMultilevel"/>
    <w:tmpl w:val="A30A4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C93FE8"/>
    <w:multiLevelType w:val="hybridMultilevel"/>
    <w:tmpl w:val="9F3E7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6"/>
  </w:num>
  <w:num w:numId="3">
    <w:abstractNumId w:val="1"/>
  </w:num>
  <w:num w:numId="4">
    <w:abstractNumId w:val="6"/>
  </w:num>
  <w:num w:numId="5">
    <w:abstractNumId w:val="2"/>
  </w:num>
  <w:num w:numId="6">
    <w:abstractNumId w:val="13"/>
  </w:num>
  <w:num w:numId="7">
    <w:abstractNumId w:val="10"/>
  </w:num>
  <w:num w:numId="8">
    <w:abstractNumId w:val="12"/>
  </w:num>
  <w:num w:numId="9">
    <w:abstractNumId w:val="18"/>
  </w:num>
  <w:num w:numId="10">
    <w:abstractNumId w:val="8"/>
  </w:num>
  <w:num w:numId="11">
    <w:abstractNumId w:val="4"/>
  </w:num>
  <w:num w:numId="12">
    <w:abstractNumId w:val="11"/>
  </w:num>
  <w:num w:numId="13">
    <w:abstractNumId w:val="7"/>
  </w:num>
  <w:num w:numId="14">
    <w:abstractNumId w:val="15"/>
  </w:num>
  <w:num w:numId="15">
    <w:abstractNumId w:val="17"/>
  </w:num>
  <w:num w:numId="16">
    <w:abstractNumId w:val="3"/>
  </w:num>
  <w:num w:numId="17">
    <w:abstractNumId w:val="14"/>
  </w:num>
  <w:num w:numId="18">
    <w:abstractNumId w:val="2"/>
  </w:num>
  <w:num w:numId="19">
    <w:abstractNumId w:val="9"/>
  </w:num>
  <w:num w:numId="20">
    <w:abstractNumId w:val="0"/>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624"/>
    <w:rsid w:val="0000063E"/>
    <w:rsid w:val="000570DB"/>
    <w:rsid w:val="00066DC3"/>
    <w:rsid w:val="000714B8"/>
    <w:rsid w:val="00080CA8"/>
    <w:rsid w:val="00086B8E"/>
    <w:rsid w:val="00092593"/>
    <w:rsid w:val="000E016E"/>
    <w:rsid w:val="000F2C9F"/>
    <w:rsid w:val="00196D54"/>
    <w:rsid w:val="001C1119"/>
    <w:rsid w:val="001C644A"/>
    <w:rsid w:val="00276D21"/>
    <w:rsid w:val="003053D0"/>
    <w:rsid w:val="0030630F"/>
    <w:rsid w:val="003820EF"/>
    <w:rsid w:val="003826A2"/>
    <w:rsid w:val="0038549D"/>
    <w:rsid w:val="003949E0"/>
    <w:rsid w:val="003E0E9C"/>
    <w:rsid w:val="0041302C"/>
    <w:rsid w:val="004C6730"/>
    <w:rsid w:val="004E0229"/>
    <w:rsid w:val="004E3778"/>
    <w:rsid w:val="0056526D"/>
    <w:rsid w:val="0058080B"/>
    <w:rsid w:val="00586646"/>
    <w:rsid w:val="00594E9B"/>
    <w:rsid w:val="0064721E"/>
    <w:rsid w:val="00677FA6"/>
    <w:rsid w:val="006B31D9"/>
    <w:rsid w:val="006E453A"/>
    <w:rsid w:val="006E4B67"/>
    <w:rsid w:val="007208C3"/>
    <w:rsid w:val="00775958"/>
    <w:rsid w:val="00776BDC"/>
    <w:rsid w:val="007F6F4E"/>
    <w:rsid w:val="00863624"/>
    <w:rsid w:val="00863D68"/>
    <w:rsid w:val="008846FF"/>
    <w:rsid w:val="008957FB"/>
    <w:rsid w:val="008D05ED"/>
    <w:rsid w:val="008D5494"/>
    <w:rsid w:val="008F697B"/>
    <w:rsid w:val="009067DB"/>
    <w:rsid w:val="00976F7D"/>
    <w:rsid w:val="00983207"/>
    <w:rsid w:val="00992DFE"/>
    <w:rsid w:val="0099400C"/>
    <w:rsid w:val="00A06303"/>
    <w:rsid w:val="00A62EDE"/>
    <w:rsid w:val="00A671DE"/>
    <w:rsid w:val="00AD364B"/>
    <w:rsid w:val="00AE45E2"/>
    <w:rsid w:val="00AE5043"/>
    <w:rsid w:val="00B00DA8"/>
    <w:rsid w:val="00B53142"/>
    <w:rsid w:val="00B551D8"/>
    <w:rsid w:val="00BB0B8A"/>
    <w:rsid w:val="00C57E94"/>
    <w:rsid w:val="00CE4F47"/>
    <w:rsid w:val="00D00247"/>
    <w:rsid w:val="00D21AB3"/>
    <w:rsid w:val="00D4627C"/>
    <w:rsid w:val="00D5087E"/>
    <w:rsid w:val="00D53DA1"/>
    <w:rsid w:val="00D76CCE"/>
    <w:rsid w:val="00DE441C"/>
    <w:rsid w:val="00DF2EE6"/>
    <w:rsid w:val="00E32FA1"/>
    <w:rsid w:val="00E72C75"/>
    <w:rsid w:val="00EE1742"/>
    <w:rsid w:val="00F718CB"/>
    <w:rsid w:val="00F8726D"/>
    <w:rsid w:val="00FA0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EB92D"/>
  <w15:chartTrackingRefBased/>
  <w15:docId w15:val="{89F208D9-BF77-422C-B2BD-6A2F855EC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8C3"/>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7208C3"/>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063E"/>
    <w:rPr>
      <w:color w:val="0563C1" w:themeColor="hyperlink"/>
      <w:u w:val="single"/>
    </w:rPr>
  </w:style>
  <w:style w:type="character" w:styleId="UnresolvedMention">
    <w:name w:val="Unresolved Mention"/>
    <w:basedOn w:val="DefaultParagraphFont"/>
    <w:uiPriority w:val="99"/>
    <w:semiHidden/>
    <w:unhideWhenUsed/>
    <w:rsid w:val="0000063E"/>
    <w:rPr>
      <w:color w:val="605E5C"/>
      <w:shd w:val="clear" w:color="auto" w:fill="E1DFDD"/>
    </w:rPr>
  </w:style>
  <w:style w:type="paragraph" w:styleId="ListParagraph">
    <w:name w:val="List Paragraph"/>
    <w:basedOn w:val="Normal"/>
    <w:uiPriority w:val="34"/>
    <w:qFormat/>
    <w:rsid w:val="007208C3"/>
    <w:pPr>
      <w:spacing w:after="0" w:line="240" w:lineRule="auto"/>
      <w:ind w:left="720"/>
      <w:contextualSpacing/>
    </w:pPr>
    <w:rPr>
      <w:rFonts w:ascii="Arial" w:eastAsia="Calibri" w:hAnsi="Arial" w:cs="Times New Roman"/>
    </w:rPr>
  </w:style>
  <w:style w:type="character" w:customStyle="1" w:styleId="Heading1Char">
    <w:name w:val="Heading 1 Char"/>
    <w:basedOn w:val="DefaultParagraphFont"/>
    <w:link w:val="Heading1"/>
    <w:uiPriority w:val="9"/>
    <w:rsid w:val="007208C3"/>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7208C3"/>
    <w:rPr>
      <w:rFonts w:asciiTheme="majorHAnsi" w:eastAsiaTheme="majorEastAsia" w:hAnsiTheme="majorHAnsi" w:cstheme="majorBidi"/>
      <w:b/>
      <w:bCs/>
      <w:color w:val="4472C4" w:themeColor="accent1"/>
      <w:sz w:val="26"/>
      <w:szCs w:val="26"/>
    </w:rPr>
  </w:style>
  <w:style w:type="paragraph" w:styleId="TOC1">
    <w:name w:val="toc 1"/>
    <w:basedOn w:val="Normal"/>
    <w:next w:val="Normal"/>
    <w:autoRedefine/>
    <w:uiPriority w:val="39"/>
    <w:unhideWhenUsed/>
    <w:rsid w:val="007208C3"/>
    <w:pPr>
      <w:spacing w:after="100" w:line="276" w:lineRule="auto"/>
    </w:pPr>
  </w:style>
  <w:style w:type="paragraph" w:styleId="TOC2">
    <w:name w:val="toc 2"/>
    <w:basedOn w:val="Normal"/>
    <w:next w:val="Normal"/>
    <w:autoRedefine/>
    <w:uiPriority w:val="39"/>
    <w:unhideWhenUsed/>
    <w:rsid w:val="007208C3"/>
    <w:pPr>
      <w:spacing w:after="100" w:line="276" w:lineRule="auto"/>
      <w:ind w:left="220"/>
    </w:pPr>
  </w:style>
  <w:style w:type="paragraph" w:styleId="TOCHeading">
    <w:name w:val="TOC Heading"/>
    <w:basedOn w:val="Heading1"/>
    <w:next w:val="Normal"/>
    <w:uiPriority w:val="39"/>
    <w:unhideWhenUsed/>
    <w:qFormat/>
    <w:rsid w:val="007208C3"/>
    <w:pPr>
      <w:outlineLvl w:val="9"/>
    </w:pPr>
    <w:rPr>
      <w:lang w:val="en-US" w:eastAsia="ja-JP"/>
    </w:rPr>
  </w:style>
  <w:style w:type="paragraph" w:styleId="TOC3">
    <w:name w:val="toc 3"/>
    <w:basedOn w:val="Normal"/>
    <w:next w:val="Normal"/>
    <w:autoRedefine/>
    <w:uiPriority w:val="39"/>
    <w:unhideWhenUsed/>
    <w:rsid w:val="007208C3"/>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7208C3"/>
    <w:rPr>
      <w:color w:val="954F72" w:themeColor="followedHyperlink"/>
      <w:u w:val="single"/>
    </w:rPr>
  </w:style>
  <w:style w:type="paragraph" w:styleId="NoSpacing">
    <w:name w:val="No Spacing"/>
    <w:uiPriority w:val="1"/>
    <w:qFormat/>
    <w:rsid w:val="007208C3"/>
    <w:pPr>
      <w:spacing w:after="0" w:line="240" w:lineRule="auto"/>
    </w:pPr>
  </w:style>
  <w:style w:type="paragraph" w:styleId="NormalWeb">
    <w:name w:val="Normal (Web)"/>
    <w:basedOn w:val="Normal"/>
    <w:uiPriority w:val="99"/>
    <w:unhideWhenUsed/>
    <w:rsid w:val="00196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863D68"/>
  </w:style>
  <w:style w:type="character" w:customStyle="1" w:styleId="pubyear">
    <w:name w:val="pubyear"/>
    <w:basedOn w:val="DefaultParagraphFont"/>
    <w:rsid w:val="00863D68"/>
  </w:style>
  <w:style w:type="character" w:customStyle="1" w:styleId="articletitle">
    <w:name w:val="articletitle"/>
    <w:basedOn w:val="DefaultParagraphFont"/>
    <w:rsid w:val="00863D68"/>
  </w:style>
  <w:style w:type="character" w:customStyle="1" w:styleId="journaltitle">
    <w:name w:val="journaltitle"/>
    <w:basedOn w:val="DefaultParagraphFont"/>
    <w:rsid w:val="00863D68"/>
  </w:style>
  <w:style w:type="character" w:customStyle="1" w:styleId="vol">
    <w:name w:val="vol"/>
    <w:basedOn w:val="DefaultParagraphFont"/>
    <w:rsid w:val="00863D68"/>
  </w:style>
  <w:style w:type="character" w:customStyle="1" w:styleId="pagefirst">
    <w:name w:val="pagefirst"/>
    <w:basedOn w:val="DefaultParagraphFont"/>
    <w:rsid w:val="00863D68"/>
  </w:style>
  <w:style w:type="character" w:customStyle="1" w:styleId="pagelast">
    <w:name w:val="pagelast"/>
    <w:basedOn w:val="DefaultParagraphFont"/>
    <w:rsid w:val="00863D68"/>
  </w:style>
  <w:style w:type="paragraph" w:styleId="Bibliography">
    <w:name w:val="Bibliography"/>
    <w:basedOn w:val="Normal"/>
    <w:next w:val="Normal"/>
    <w:uiPriority w:val="37"/>
    <w:unhideWhenUsed/>
    <w:rsid w:val="00E72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29860">
      <w:bodyDiv w:val="1"/>
      <w:marLeft w:val="0"/>
      <w:marRight w:val="0"/>
      <w:marTop w:val="0"/>
      <w:marBottom w:val="0"/>
      <w:divBdr>
        <w:top w:val="none" w:sz="0" w:space="0" w:color="auto"/>
        <w:left w:val="none" w:sz="0" w:space="0" w:color="auto"/>
        <w:bottom w:val="none" w:sz="0" w:space="0" w:color="auto"/>
        <w:right w:val="none" w:sz="0" w:space="0" w:color="auto"/>
      </w:divBdr>
    </w:div>
    <w:div w:id="272438697">
      <w:bodyDiv w:val="1"/>
      <w:marLeft w:val="0"/>
      <w:marRight w:val="0"/>
      <w:marTop w:val="0"/>
      <w:marBottom w:val="0"/>
      <w:divBdr>
        <w:top w:val="none" w:sz="0" w:space="0" w:color="auto"/>
        <w:left w:val="none" w:sz="0" w:space="0" w:color="auto"/>
        <w:bottom w:val="none" w:sz="0" w:space="0" w:color="auto"/>
        <w:right w:val="none" w:sz="0" w:space="0" w:color="auto"/>
      </w:divBdr>
    </w:div>
    <w:div w:id="443424111">
      <w:bodyDiv w:val="1"/>
      <w:marLeft w:val="0"/>
      <w:marRight w:val="0"/>
      <w:marTop w:val="0"/>
      <w:marBottom w:val="0"/>
      <w:divBdr>
        <w:top w:val="none" w:sz="0" w:space="0" w:color="auto"/>
        <w:left w:val="none" w:sz="0" w:space="0" w:color="auto"/>
        <w:bottom w:val="none" w:sz="0" w:space="0" w:color="auto"/>
        <w:right w:val="none" w:sz="0" w:space="0" w:color="auto"/>
      </w:divBdr>
    </w:div>
    <w:div w:id="491914180">
      <w:bodyDiv w:val="1"/>
      <w:marLeft w:val="0"/>
      <w:marRight w:val="0"/>
      <w:marTop w:val="0"/>
      <w:marBottom w:val="0"/>
      <w:divBdr>
        <w:top w:val="none" w:sz="0" w:space="0" w:color="auto"/>
        <w:left w:val="none" w:sz="0" w:space="0" w:color="auto"/>
        <w:bottom w:val="none" w:sz="0" w:space="0" w:color="auto"/>
        <w:right w:val="none" w:sz="0" w:space="0" w:color="auto"/>
      </w:divBdr>
    </w:div>
    <w:div w:id="631250445">
      <w:bodyDiv w:val="1"/>
      <w:marLeft w:val="0"/>
      <w:marRight w:val="0"/>
      <w:marTop w:val="0"/>
      <w:marBottom w:val="0"/>
      <w:divBdr>
        <w:top w:val="none" w:sz="0" w:space="0" w:color="auto"/>
        <w:left w:val="none" w:sz="0" w:space="0" w:color="auto"/>
        <w:bottom w:val="none" w:sz="0" w:space="0" w:color="auto"/>
        <w:right w:val="none" w:sz="0" w:space="0" w:color="auto"/>
      </w:divBdr>
    </w:div>
    <w:div w:id="1331056817">
      <w:bodyDiv w:val="1"/>
      <w:marLeft w:val="0"/>
      <w:marRight w:val="0"/>
      <w:marTop w:val="0"/>
      <w:marBottom w:val="0"/>
      <w:divBdr>
        <w:top w:val="none" w:sz="0" w:space="0" w:color="auto"/>
        <w:left w:val="none" w:sz="0" w:space="0" w:color="auto"/>
        <w:bottom w:val="none" w:sz="0" w:space="0" w:color="auto"/>
        <w:right w:val="none" w:sz="0" w:space="0" w:color="auto"/>
      </w:divBdr>
    </w:div>
    <w:div w:id="1394044405">
      <w:bodyDiv w:val="1"/>
      <w:marLeft w:val="0"/>
      <w:marRight w:val="0"/>
      <w:marTop w:val="0"/>
      <w:marBottom w:val="0"/>
      <w:divBdr>
        <w:top w:val="none" w:sz="0" w:space="0" w:color="auto"/>
        <w:left w:val="none" w:sz="0" w:space="0" w:color="auto"/>
        <w:bottom w:val="none" w:sz="0" w:space="0" w:color="auto"/>
        <w:right w:val="none" w:sz="0" w:space="0" w:color="auto"/>
      </w:divBdr>
    </w:div>
    <w:div w:id="1809737914">
      <w:bodyDiv w:val="1"/>
      <w:marLeft w:val="0"/>
      <w:marRight w:val="0"/>
      <w:marTop w:val="0"/>
      <w:marBottom w:val="0"/>
      <w:divBdr>
        <w:top w:val="none" w:sz="0" w:space="0" w:color="auto"/>
        <w:left w:val="none" w:sz="0" w:space="0" w:color="auto"/>
        <w:bottom w:val="none" w:sz="0" w:space="0" w:color="auto"/>
        <w:right w:val="none" w:sz="0" w:space="0" w:color="auto"/>
      </w:divBdr>
    </w:div>
    <w:div w:id="2039502282">
      <w:bodyDiv w:val="1"/>
      <w:marLeft w:val="0"/>
      <w:marRight w:val="0"/>
      <w:marTop w:val="0"/>
      <w:marBottom w:val="0"/>
      <w:divBdr>
        <w:top w:val="none" w:sz="0" w:space="0" w:color="auto"/>
        <w:left w:val="none" w:sz="0" w:space="0" w:color="auto"/>
        <w:bottom w:val="none" w:sz="0" w:space="0" w:color="auto"/>
        <w:right w:val="none" w:sz="0" w:space="0" w:color="auto"/>
      </w:divBdr>
    </w:div>
    <w:div w:id="2058121914">
      <w:bodyDiv w:val="1"/>
      <w:marLeft w:val="0"/>
      <w:marRight w:val="0"/>
      <w:marTop w:val="0"/>
      <w:marBottom w:val="0"/>
      <w:divBdr>
        <w:top w:val="none" w:sz="0" w:space="0" w:color="auto"/>
        <w:left w:val="none" w:sz="0" w:space="0" w:color="auto"/>
        <w:bottom w:val="none" w:sz="0" w:space="0" w:color="auto"/>
        <w:right w:val="none" w:sz="0" w:space="0" w:color="auto"/>
      </w:divBdr>
    </w:div>
    <w:div w:id="2069838025">
      <w:bodyDiv w:val="1"/>
      <w:marLeft w:val="0"/>
      <w:marRight w:val="0"/>
      <w:marTop w:val="0"/>
      <w:marBottom w:val="0"/>
      <w:divBdr>
        <w:top w:val="none" w:sz="0" w:space="0" w:color="auto"/>
        <w:left w:val="none" w:sz="0" w:space="0" w:color="auto"/>
        <w:bottom w:val="none" w:sz="0" w:space="0" w:color="auto"/>
        <w:right w:val="none" w:sz="0" w:space="0" w:color="auto"/>
      </w:divBdr>
    </w:div>
    <w:div w:id="213772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onlinelibrary.wiley.com/doi/full/10.1111/ijmr.1207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is.gov.uk/files/file52215.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InternetSite</b:SourceType>
    <b:Guid>{BF7147CE-D8B3-4F12-83F6-94CE0F25690A}</b:Guid>
    <b:Author>
      <b:Author>
        <b:Corporate>Marelli</b:Corporate>
      </b:Author>
    </b:Author>
    <b:Title>Marelli Company Profile</b:Title>
    <b:Year>2020</b:Year>
    <b:YearAccessed>2020</b:YearAccessed>
    <b:MonthAccessed>August </b:MonthAccessed>
    <b:DayAccessed>5</b:DayAccessed>
    <b:URL>https://www.marelli.com/company-profile/</b:URL>
    <b:RefOrder>1</b:RefOrder>
  </b:Source>
  <b:Source>
    <b:Tag>Kar19</b:Tag>
    <b:SourceType>InternetSite</b:SourceType>
    <b:Guid>{CB842E04-9BC4-49A8-AA20-3DAE492B4DA4}</b:Guid>
    <b:Author>
      <b:Author>
        <b:Corporate>Karanovic &amp; Partners </b:Corporate>
      </b:Author>
    </b:Author>
    <b:Title>Calsonic Kansei acquires Magneti Marelli for EUR 5.8 Billion</b:Title>
    <b:Year>2019</b:Year>
    <b:YearAccessed>2020</b:YearAccessed>
    <b:MonthAccessed>August </b:MonthAccessed>
    <b:DayAccessed>5</b:DayAccessed>
    <b:URL>https://www.karanovicpartners.com/news/calsonic-kansei-acquires-magneti-marelli/</b:URL>
    <b:RefOrder>2</b:RefOrder>
  </b:Source>
  <b:Source>
    <b:Tag>Fuj18</b:Tag>
    <b:SourceType>InternetSite</b:SourceType>
    <b:Guid>{BAA7186A-4E14-4F06-B52F-150EC709327E}</b:Guid>
    <b:Author>
      <b:Author>
        <b:NameList>
          <b:Person>
            <b:Last>Fujita</b:Last>
            <b:First>J</b:First>
          </b:Person>
          <b:Person>
            <b:Last>Flak</b:Last>
            <b:First>A</b:First>
          </b:Person>
        </b:NameList>
      </b:Author>
    </b:Author>
    <b:Title>KKR's Calsonic buys Fiat Chrysler Parts Firm Magnti Marelli for $7.1 Billion</b:Title>
    <b:Year>2018</b:Year>
    <b:YearAccessed>2020</b:YearAccessed>
    <b:MonthAccessed>August </b:MonthAccessed>
    <b:DayAccessed>9</b:DayAccessed>
    <b:URL>https://www.reuters.com/article/us-fiat-chrysler-m-a-magnetimarelli/kkrs-calsonic-buys-fiat-chrysler-parts-firm-magneti-marelli-for-7-1-billion-idUSKCN1MV0W3</b:URL>
    <b:RefOrder>3</b:RefOrder>
  </b:Source>
  <b:Source>
    <b:Tag>Gif19</b:Tag>
    <b:SourceType>InternetSite</b:SourceType>
    <b:Guid>{DD21BBF4-A820-4CAD-9109-30D2B35F422D}</b:Guid>
    <b:Author>
      <b:Author>
        <b:NameList>
          <b:Person>
            <b:Last>Gifford</b:Last>
            <b:First>J</b:First>
          </b:Person>
        </b:NameList>
      </b:Author>
    </b:Author>
    <b:Title>Employee Engagement and Motivation </b:Title>
    <b:Year>2019</b:Year>
    <b:YearAccessed>2020</b:YearAccessed>
    <b:MonthAccessed>August </b:MonthAccessed>
    <b:DayAccessed>17</b:DayAccessed>
    <b:URL>https://www.cipd.co.uk/knowledge/fundamentals/relations/engagement/factsheet</b:URL>
    <b:RefOrder>4</b:RefOrder>
  </b:Source>
  <b:Source>
    <b:Tag>CIP202</b:Tag>
    <b:SourceType>InternetSite</b:SourceType>
    <b:Guid>{090BFD6D-A0CC-408E-9B70-A38DE978A98C}</b:Guid>
    <b:Author>
      <b:Author>
        <b:Corporate>CIPD</b:Corporate>
      </b:Author>
    </b:Author>
    <b:Title>Wellbeing at Work </b:Title>
    <b:Year>2020</b:Year>
    <b:YearAccessed>2020</b:YearAccessed>
    <b:MonthAccessed>August </b:MonthAccessed>
    <b:DayAccessed>19</b:DayAccessed>
    <b:URL>https://www.cipd.co.uk/knowledge/culture/well-being/factsheet</b:URL>
    <b:RefOrder>5</b:RefOrder>
  </b:Source>
  <b:Source>
    <b:Tag>ACA14</b:Tag>
    <b:SourceType>Report</b:SourceType>
    <b:Guid>{935642FB-E798-411C-96CC-8BEC66296A8D}</b:Guid>
    <b:Author>
      <b:Author>
        <b:Corporate>ACAS</b:Corporate>
      </b:Author>
    </b:Author>
    <b:Title>MacLeod and Clarke’s Concept of Employee Engagement: An Analysis based on the Workplace Employment Relations Study </b:Title>
    <b:Year>2014</b:Year>
    <b:URL>https://archive.acas.org.uk/media/4029/MacLeod-and-Clarkes-Concept-of-Employee-Engagement-An-Analysis-based-on-the-Workplace-Employment-Relations-Study/pdf/08140-MacLeod-Clarkes-Concept-of-Employee-Engagement.pdf</b:URL>
    <b:Publisher>IPA</b:Publisher>
    <b:City>London</b:City>
    <b:RefOrder>6</b:RefOrder>
  </b:Source>
</b:Sources>
</file>

<file path=customXml/itemProps1.xml><?xml version="1.0" encoding="utf-8"?>
<ds:datastoreItem xmlns:ds="http://schemas.openxmlformats.org/officeDocument/2006/customXml" ds:itemID="{43EA73BB-A16F-4F75-A96B-F3A5FDE2D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2550</TotalTime>
  <Pages>9</Pages>
  <Words>2978</Words>
  <Characters>16977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56</cp:revision>
  <dcterms:created xsi:type="dcterms:W3CDTF">2020-08-30T10:53:00Z</dcterms:created>
  <dcterms:modified xsi:type="dcterms:W3CDTF">2020-09-16T17:35:00Z</dcterms:modified>
</cp:coreProperties>
</file>