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9.png" ContentType="image/png"/>
  <Override PartName="/word/media/image10.png" ContentType="image/png"/>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uppressAutoHyphens w:val="false"/>
        <w:spacing w:lineRule="auto" w:line="259" w:before="0" w:after="160"/>
        <w:ind w:hanging="0"/>
        <w:rPr/>
      </w:pPr>
      <w:r>
        <w:rPr/>
      </w:r>
    </w:p>
    <w:p>
      <w:pPr>
        <w:pStyle w:val="Normal"/>
        <w:suppressAutoHyphens w:val="false"/>
        <w:spacing w:lineRule="auto" w:line="259" w:before="0" w:after="160"/>
        <w:ind w:hanging="0"/>
        <w:rPr/>
      </w:pPr>
      <w:r>
        <w:rPr/>
      </w:r>
    </w:p>
    <w:p>
      <w:pPr>
        <w:pStyle w:val="Normal"/>
        <w:suppressAutoHyphens w:val="false"/>
        <w:spacing w:lineRule="auto" w:line="259" w:before="0" w:after="160"/>
        <w:ind w:hanging="0"/>
        <w:rPr>
          <w:b/>
          <w:b/>
          <w:bCs/>
          <w:color w:val="000000"/>
        </w:rPr>
      </w:pPr>
      <w:r>
        <w:rPr>
          <w:b/>
          <w:bCs/>
          <w:color w:val="000000"/>
        </w:rPr>
      </w:r>
    </w:p>
    <w:p>
      <w:pPr>
        <w:pStyle w:val="Heading1"/>
        <w:rPr>
          <w:rFonts w:ascii="Arial" w:hAnsi="Arial"/>
          <w:b/>
          <w:b/>
          <w:bCs/>
          <w:color w:val="000000"/>
          <w:sz w:val="40"/>
          <w:szCs w:val="40"/>
        </w:rPr>
      </w:pPr>
      <w:r>
        <w:rPr>
          <w:rFonts w:ascii="Arial" w:hAnsi="Arial"/>
          <w:b/>
          <w:bCs/>
          <w:color w:val="000000"/>
          <w:sz w:val="40"/>
          <w:szCs w:val="40"/>
        </w:rPr>
        <w:t>STUDENT NAME: SAJOR BAKAR JALLOH</w:t>
      </w:r>
    </w:p>
    <w:p>
      <w:pPr>
        <w:pStyle w:val="Heading1"/>
        <w:rPr>
          <w:rFonts w:ascii="Arial" w:hAnsi="Arial"/>
          <w:b/>
          <w:b/>
          <w:bCs/>
          <w:color w:val="000000"/>
          <w:sz w:val="40"/>
          <w:szCs w:val="40"/>
        </w:rPr>
      </w:pPr>
      <w:r>
        <w:rPr>
          <w:rFonts w:ascii="Arial" w:hAnsi="Arial"/>
          <w:b/>
          <w:bCs/>
          <w:color w:val="000000"/>
          <w:sz w:val="40"/>
          <w:szCs w:val="40"/>
        </w:rPr>
      </w:r>
    </w:p>
    <w:p>
      <w:pPr>
        <w:pStyle w:val="Heading1"/>
        <w:rPr>
          <w:rFonts w:ascii="Arial" w:hAnsi="Arial"/>
          <w:b/>
          <w:b/>
          <w:bCs/>
          <w:color w:val="000000"/>
          <w:sz w:val="40"/>
          <w:szCs w:val="40"/>
        </w:rPr>
      </w:pPr>
      <w:r>
        <w:rPr>
          <w:rFonts w:ascii="Arial" w:hAnsi="Arial"/>
          <w:b/>
          <w:bCs/>
          <w:color w:val="000000"/>
          <w:sz w:val="40"/>
          <w:szCs w:val="40"/>
        </w:rPr>
        <w:t>STUDENT REFERENCE NUMBER: 1920818</w:t>
      </w:r>
    </w:p>
    <w:p>
      <w:pPr>
        <w:pStyle w:val="Heading1"/>
        <w:rPr>
          <w:rFonts w:ascii="Arial" w:hAnsi="Arial"/>
          <w:b/>
          <w:b/>
          <w:bCs/>
          <w:color w:val="000000"/>
          <w:sz w:val="40"/>
          <w:szCs w:val="40"/>
        </w:rPr>
      </w:pPr>
      <w:r>
        <w:rPr>
          <w:rFonts w:ascii="Arial" w:hAnsi="Arial"/>
          <w:b/>
          <w:bCs/>
          <w:color w:val="000000"/>
          <w:sz w:val="40"/>
          <w:szCs w:val="40"/>
        </w:rPr>
      </w:r>
    </w:p>
    <w:p>
      <w:pPr>
        <w:pStyle w:val="Heading1"/>
        <w:rPr>
          <w:rFonts w:ascii="Arial" w:hAnsi="Arial"/>
          <w:b/>
          <w:b/>
          <w:bCs/>
          <w:color w:val="000000"/>
          <w:sz w:val="40"/>
          <w:szCs w:val="40"/>
        </w:rPr>
      </w:pPr>
      <w:r>
        <w:rPr>
          <w:rFonts w:ascii="Arial" w:hAnsi="Arial"/>
          <w:b/>
          <w:bCs/>
          <w:color w:val="000000"/>
          <w:sz w:val="40"/>
          <w:szCs w:val="40"/>
        </w:rPr>
        <w:t xml:space="preserve">COURSE: </w:t>
      </w:r>
      <w:r>
        <w:rPr>
          <w:rFonts w:ascii="Arial" w:hAnsi="Arial"/>
          <w:b/>
          <w:bCs/>
          <w:color w:val="000000"/>
          <w:sz w:val="40"/>
          <w:szCs w:val="40"/>
        </w:rPr>
        <w:t>MANAGEMENT ACCOUNTING</w:t>
      </w:r>
    </w:p>
    <w:p>
      <w:pPr>
        <w:pStyle w:val="Heading1"/>
        <w:rPr>
          <w:rFonts w:ascii="Arial" w:hAnsi="Arial"/>
          <w:b/>
          <w:b/>
          <w:bCs/>
          <w:color w:val="000000"/>
          <w:sz w:val="40"/>
          <w:szCs w:val="40"/>
        </w:rPr>
      </w:pPr>
      <w:r>
        <w:rPr>
          <w:rFonts w:ascii="Arial" w:hAnsi="Arial"/>
          <w:b/>
          <w:bCs/>
          <w:color w:val="000000"/>
          <w:sz w:val="40"/>
          <w:szCs w:val="40"/>
        </w:rPr>
      </w:r>
    </w:p>
    <w:p>
      <w:pPr>
        <w:pStyle w:val="Heading1"/>
        <w:rPr>
          <w:rFonts w:ascii="Arial" w:hAnsi="Arial"/>
          <w:b/>
          <w:b/>
          <w:bCs/>
          <w:color w:val="000000"/>
          <w:sz w:val="40"/>
          <w:szCs w:val="40"/>
        </w:rPr>
      </w:pPr>
      <w:r>
        <w:rPr>
          <w:rFonts w:ascii="Arial" w:hAnsi="Arial"/>
          <w:b/>
          <w:bCs/>
          <w:color w:val="000000"/>
          <w:sz w:val="40"/>
          <w:szCs w:val="40"/>
        </w:rPr>
        <w:t xml:space="preserve">LECTURE: DR </w:t>
      </w:r>
      <w:r>
        <w:rPr>
          <w:rFonts w:ascii="Arial" w:hAnsi="Arial"/>
          <w:b/>
          <w:bCs/>
          <w:color w:val="000000"/>
          <w:sz w:val="40"/>
          <w:szCs w:val="40"/>
        </w:rPr>
        <w:t xml:space="preserve">ZAINAB ATTA </w:t>
      </w:r>
    </w:p>
    <w:sdt>
      <w:sdtPr>
        <w:docPartObj>
          <w:docPartGallery w:val="Table of Contents"/>
          <w:docPartUnique w:val="true"/>
        </w:docPartObj>
      </w:sdtPr>
      <w:sdtContent>
        <w:p>
          <w:pPr>
            <w:pStyle w:val="ContentsHeading"/>
            <w:jc w:val="center"/>
            <w:rPr>
              <w:rFonts w:ascii="Times New Roman" w:hAnsi="Times New Roman" w:cs="Times New Roman"/>
              <w:b/>
              <w:b/>
              <w:color w:val="auto"/>
              <w:sz w:val="24"/>
            </w:rPr>
          </w:pPr>
          <w:r>
            <w:br w:type="page"/>
          </w:r>
          <w:r>
            <w:rPr>
              <w:rFonts w:cs="Times New Roman" w:ascii="Times New Roman" w:hAnsi="Times New Roman"/>
              <w:b/>
              <w:color w:val="auto"/>
              <w:sz w:val="24"/>
            </w:rPr>
            <w:t>Table of Contents</w:t>
          </w:r>
        </w:p>
        <w:p>
          <w:pPr>
            <w:pStyle w:val="Contents1"/>
            <w:rPr/>
          </w:pPr>
          <w:r>
            <w:fldChar w:fldCharType="begin"/>
          </w:r>
          <w:r>
            <w:rPr>
              <w:webHidden/>
              <w:rStyle w:val="IndexLink"/>
            </w:rPr>
            <w:instrText> TOC \z \o "1-3" \u \h</w:instrText>
          </w:r>
          <w:r>
            <w:rPr>
              <w:webHidden/>
              <w:rStyle w:val="IndexLink"/>
            </w:rPr>
            <w:fldChar w:fldCharType="separate"/>
          </w:r>
          <w:hyperlink w:anchor="_Toc121935659">
            <w:r>
              <w:rPr>
                <w:webHidden/>
                <w:rStyle w:val="IndexLink"/>
              </w:rPr>
              <w:t>Introduction</w:t>
            </w:r>
            <w:r>
              <w:rPr>
                <w:webHidden/>
              </w:rPr>
              <w:fldChar w:fldCharType="begin"/>
            </w:r>
            <w:r>
              <w:rPr>
                <w:webHidden/>
              </w:rPr>
              <w:instrText>PAGEREF _Toc121935659 \h</w:instrText>
            </w:r>
            <w:r>
              <w:rPr>
                <w:webHidden/>
              </w:rPr>
              <w:fldChar w:fldCharType="separate"/>
            </w:r>
            <w:r>
              <w:rPr>
                <w:rStyle w:val="IndexLink"/>
                <w:vanish w:val="false"/>
              </w:rPr>
              <w:tab/>
              <w:t>3</w:t>
            </w:r>
            <w:r>
              <w:rPr>
                <w:webHidden/>
              </w:rPr>
              <w:fldChar w:fldCharType="end"/>
            </w:r>
          </w:hyperlink>
        </w:p>
        <w:p>
          <w:pPr>
            <w:pStyle w:val="Contents1"/>
            <w:rPr/>
          </w:pPr>
          <w:hyperlink w:anchor="_Toc121935660">
            <w:r>
              <w:rPr>
                <w:webHidden/>
                <w:rStyle w:val="IndexLink"/>
              </w:rPr>
              <w:t>Part A</w:t>
            </w:r>
            <w:r>
              <w:rPr>
                <w:webHidden/>
              </w:rPr>
              <w:fldChar w:fldCharType="begin"/>
            </w:r>
            <w:r>
              <w:rPr>
                <w:webHidden/>
              </w:rPr>
              <w:instrText>PAGEREF _Toc121935660 \h</w:instrText>
            </w:r>
            <w:r>
              <w:rPr>
                <w:webHidden/>
              </w:rPr>
              <w:fldChar w:fldCharType="separate"/>
            </w:r>
            <w:r>
              <w:rPr>
                <w:rStyle w:val="IndexLink"/>
                <w:vanish w:val="false"/>
              </w:rPr>
              <w:tab/>
              <w:t>3</w:t>
            </w:r>
            <w:r>
              <w:rPr>
                <w:webHidden/>
              </w:rPr>
              <w:fldChar w:fldCharType="end"/>
            </w:r>
          </w:hyperlink>
        </w:p>
        <w:p>
          <w:pPr>
            <w:pStyle w:val="Contents2"/>
            <w:rPr/>
          </w:pPr>
          <w:hyperlink w:anchor="_Toc121935661">
            <w:r>
              <w:rPr>
                <w:webHidden/>
                <w:rStyle w:val="IndexLink"/>
              </w:rPr>
              <w:t>Monthly Control Report</w:t>
            </w:r>
            <w:r>
              <w:rPr>
                <w:webHidden/>
              </w:rPr>
              <w:fldChar w:fldCharType="begin"/>
            </w:r>
            <w:r>
              <w:rPr>
                <w:webHidden/>
              </w:rPr>
              <w:instrText>PAGEREF _Toc121935661 \h</w:instrText>
            </w:r>
            <w:r>
              <w:rPr>
                <w:webHidden/>
              </w:rPr>
              <w:fldChar w:fldCharType="separate"/>
            </w:r>
            <w:r>
              <w:rPr>
                <w:rStyle w:val="IndexLink"/>
                <w:vanish w:val="false"/>
              </w:rPr>
              <w:tab/>
              <w:t>3</w:t>
            </w:r>
            <w:r>
              <w:rPr>
                <w:webHidden/>
              </w:rPr>
              <w:fldChar w:fldCharType="end"/>
            </w:r>
          </w:hyperlink>
        </w:p>
        <w:p>
          <w:pPr>
            <w:pStyle w:val="Contents2"/>
            <w:rPr/>
          </w:pPr>
          <w:hyperlink w:anchor="_Toc121935662">
            <w:r>
              <w:rPr>
                <w:webHidden/>
                <w:rStyle w:val="IndexLink"/>
              </w:rPr>
              <w:t>Report on Amana’s Performance</w:t>
            </w:r>
            <w:r>
              <w:rPr>
                <w:webHidden/>
              </w:rPr>
              <w:fldChar w:fldCharType="begin"/>
            </w:r>
            <w:r>
              <w:rPr>
                <w:webHidden/>
              </w:rPr>
              <w:instrText>PAGEREF _Toc121935662 \h</w:instrText>
            </w:r>
            <w:r>
              <w:rPr>
                <w:webHidden/>
              </w:rPr>
              <w:fldChar w:fldCharType="separate"/>
            </w:r>
            <w:r>
              <w:rPr>
                <w:rStyle w:val="IndexLink"/>
                <w:vanish w:val="false"/>
              </w:rPr>
              <w:tab/>
              <w:t>4</w:t>
            </w:r>
            <w:r>
              <w:rPr>
                <w:webHidden/>
              </w:rPr>
              <w:fldChar w:fldCharType="end"/>
            </w:r>
          </w:hyperlink>
        </w:p>
        <w:p>
          <w:pPr>
            <w:pStyle w:val="Contents2"/>
            <w:rPr/>
          </w:pPr>
          <w:hyperlink w:anchor="_Toc121935663">
            <w:r>
              <w:rPr>
                <w:webHidden/>
                <w:rStyle w:val="IndexLink"/>
              </w:rPr>
              <w:t>Recommendation on Amana’s CEO CEO</w:t>
            </w:r>
            <w:r>
              <w:rPr>
                <w:webHidden/>
              </w:rPr>
              <w:fldChar w:fldCharType="begin"/>
            </w:r>
            <w:r>
              <w:rPr>
                <w:webHidden/>
              </w:rPr>
              <w:instrText>PAGEREF _Toc121935663 \h</w:instrText>
            </w:r>
            <w:r>
              <w:rPr>
                <w:webHidden/>
              </w:rPr>
              <w:fldChar w:fldCharType="separate"/>
            </w:r>
            <w:r>
              <w:rPr>
                <w:rStyle w:val="IndexLink"/>
                <w:vanish w:val="false"/>
              </w:rPr>
              <w:tab/>
              <w:t>6</w:t>
            </w:r>
            <w:r>
              <w:rPr>
                <w:webHidden/>
              </w:rPr>
              <w:fldChar w:fldCharType="end"/>
            </w:r>
          </w:hyperlink>
        </w:p>
        <w:p>
          <w:pPr>
            <w:pStyle w:val="Contents1"/>
            <w:rPr/>
          </w:pPr>
          <w:hyperlink w:anchor="_Toc121935664">
            <w:r>
              <w:rPr>
                <w:webHidden/>
                <w:rStyle w:val="IndexLink"/>
              </w:rPr>
              <w:t>Part B</w:t>
            </w:r>
            <w:r>
              <w:rPr>
                <w:webHidden/>
              </w:rPr>
              <w:fldChar w:fldCharType="begin"/>
            </w:r>
            <w:r>
              <w:rPr>
                <w:webHidden/>
              </w:rPr>
              <w:instrText>PAGEREF _Toc121935664 \h</w:instrText>
            </w:r>
            <w:r>
              <w:rPr>
                <w:webHidden/>
              </w:rPr>
              <w:fldChar w:fldCharType="separate"/>
            </w:r>
            <w:r>
              <w:rPr>
                <w:rStyle w:val="IndexLink"/>
                <w:vanish w:val="false"/>
              </w:rPr>
              <w:tab/>
              <w:t>8</w:t>
            </w:r>
            <w:r>
              <w:rPr>
                <w:webHidden/>
              </w:rPr>
              <w:fldChar w:fldCharType="end"/>
            </w:r>
          </w:hyperlink>
        </w:p>
        <w:p>
          <w:pPr>
            <w:pStyle w:val="Contents1"/>
            <w:rPr/>
          </w:pPr>
          <w:hyperlink w:anchor="_Toc121935665">
            <w:r>
              <w:rPr>
                <w:webHidden/>
                <w:rStyle w:val="IndexLink"/>
              </w:rPr>
              <w:t>Option 1</w:t>
            </w:r>
            <w:r>
              <w:rPr>
                <w:webHidden/>
              </w:rPr>
              <w:fldChar w:fldCharType="begin"/>
            </w:r>
            <w:r>
              <w:rPr>
                <w:webHidden/>
              </w:rPr>
              <w:instrText>PAGEREF _Toc121935665 \h</w:instrText>
            </w:r>
            <w:r>
              <w:rPr>
                <w:webHidden/>
              </w:rPr>
              <w:fldChar w:fldCharType="separate"/>
            </w:r>
            <w:r>
              <w:rPr>
                <w:rStyle w:val="IndexLink"/>
                <w:vanish w:val="false"/>
              </w:rPr>
              <w:tab/>
              <w:t>8</w:t>
            </w:r>
            <w:r>
              <w:rPr>
                <w:webHidden/>
              </w:rPr>
              <w:fldChar w:fldCharType="end"/>
            </w:r>
          </w:hyperlink>
        </w:p>
        <w:p>
          <w:pPr>
            <w:pStyle w:val="Contents2"/>
            <w:rPr/>
          </w:pPr>
          <w:hyperlink w:anchor="_Toc121935666">
            <w:r>
              <w:rPr>
                <w:webHidden/>
                <w:rStyle w:val="IndexLink"/>
              </w:rPr>
              <w:t>An analysis of Mr Amana’s decision to go online and advise</w:t>
            </w:r>
            <w:r>
              <w:rPr>
                <w:webHidden/>
              </w:rPr>
              <w:fldChar w:fldCharType="begin"/>
            </w:r>
            <w:r>
              <w:rPr>
                <w:webHidden/>
              </w:rPr>
              <w:instrText>PAGEREF _Toc121935666 \h</w:instrText>
            </w:r>
            <w:r>
              <w:rPr>
                <w:webHidden/>
              </w:rPr>
              <w:fldChar w:fldCharType="separate"/>
            </w:r>
            <w:r>
              <w:rPr>
                <w:rStyle w:val="IndexLink"/>
                <w:vanish w:val="false"/>
              </w:rPr>
              <w:tab/>
              <w:t>8</w:t>
            </w:r>
            <w:r>
              <w:rPr>
                <w:webHidden/>
              </w:rPr>
              <w:fldChar w:fldCharType="end"/>
            </w:r>
          </w:hyperlink>
        </w:p>
        <w:p>
          <w:pPr>
            <w:pStyle w:val="Contents3"/>
            <w:rPr/>
          </w:pPr>
          <w:hyperlink w:anchor="_Toc121935667">
            <w:r>
              <w:rPr>
                <w:webHidden/>
                <w:rStyle w:val="IndexLink"/>
              </w:rPr>
              <w:t>Cost-benefit</w:t>
            </w:r>
            <w:r>
              <w:rPr>
                <w:rStyle w:val="IndexLink"/>
                <w:spacing w:val="-4"/>
              </w:rPr>
              <w:t xml:space="preserve"> </w:t>
            </w:r>
            <w:r>
              <w:rPr>
                <w:rStyle w:val="IndexLink"/>
              </w:rPr>
              <w:t>analysis</w:t>
            </w:r>
            <w:r>
              <w:rPr>
                <w:webHidden/>
              </w:rPr>
              <w:fldChar w:fldCharType="begin"/>
            </w:r>
            <w:r>
              <w:rPr>
                <w:webHidden/>
              </w:rPr>
              <w:instrText>PAGEREF _Toc121935667 \h</w:instrText>
            </w:r>
            <w:r>
              <w:rPr>
                <w:webHidden/>
              </w:rPr>
              <w:fldChar w:fldCharType="separate"/>
            </w:r>
            <w:r>
              <w:rPr>
                <w:rStyle w:val="IndexLink"/>
                <w:vanish w:val="false"/>
              </w:rPr>
              <w:tab/>
              <w:t>8</w:t>
            </w:r>
            <w:r>
              <w:rPr>
                <w:webHidden/>
              </w:rPr>
              <w:fldChar w:fldCharType="end"/>
            </w:r>
          </w:hyperlink>
        </w:p>
        <w:p>
          <w:pPr>
            <w:pStyle w:val="Contents3"/>
            <w:rPr/>
          </w:pPr>
          <w:hyperlink w:anchor="_Toc121935668">
            <w:r>
              <w:rPr>
                <w:webHidden/>
                <w:rStyle w:val="IndexLink"/>
                <w:spacing w:val="-1"/>
              </w:rPr>
              <w:t>Cost-Volume-Profit</w:t>
            </w:r>
            <w:r>
              <w:rPr>
                <w:rStyle w:val="IndexLink"/>
                <w:spacing w:val="-10"/>
              </w:rPr>
              <w:t xml:space="preserve"> </w:t>
            </w:r>
            <w:r>
              <w:rPr>
                <w:rStyle w:val="IndexLink"/>
              </w:rPr>
              <w:t>analysis</w:t>
            </w:r>
            <w:r>
              <w:rPr>
                <w:webHidden/>
              </w:rPr>
              <w:fldChar w:fldCharType="begin"/>
            </w:r>
            <w:r>
              <w:rPr>
                <w:webHidden/>
              </w:rPr>
              <w:instrText>PAGEREF _Toc121935668 \h</w:instrText>
            </w:r>
            <w:r>
              <w:rPr>
                <w:webHidden/>
              </w:rPr>
              <w:fldChar w:fldCharType="separate"/>
            </w:r>
            <w:r>
              <w:rPr>
                <w:rStyle w:val="IndexLink"/>
                <w:vanish w:val="false"/>
              </w:rPr>
              <w:tab/>
              <w:t>8</w:t>
            </w:r>
            <w:r>
              <w:rPr>
                <w:webHidden/>
              </w:rPr>
              <w:fldChar w:fldCharType="end"/>
            </w:r>
          </w:hyperlink>
        </w:p>
        <w:p>
          <w:pPr>
            <w:pStyle w:val="Contents1"/>
            <w:rPr/>
          </w:pPr>
          <w:hyperlink w:anchor="_Toc121935669">
            <w:r>
              <w:rPr>
                <w:webHidden/>
                <w:rStyle w:val="IndexLink"/>
              </w:rPr>
              <w:t>Option 2</w:t>
            </w:r>
            <w:r>
              <w:rPr>
                <w:webHidden/>
              </w:rPr>
              <w:fldChar w:fldCharType="begin"/>
            </w:r>
            <w:r>
              <w:rPr>
                <w:webHidden/>
              </w:rPr>
              <w:instrText>PAGEREF _Toc121935669 \h</w:instrText>
            </w:r>
            <w:r>
              <w:rPr>
                <w:webHidden/>
              </w:rPr>
              <w:fldChar w:fldCharType="separate"/>
            </w:r>
            <w:r>
              <w:rPr>
                <w:rStyle w:val="IndexLink"/>
                <w:vanish w:val="false"/>
              </w:rPr>
              <w:tab/>
              <w:t>9</w:t>
            </w:r>
            <w:r>
              <w:rPr>
                <w:webHidden/>
              </w:rPr>
              <w:fldChar w:fldCharType="end"/>
            </w:r>
          </w:hyperlink>
        </w:p>
        <w:p>
          <w:pPr>
            <w:pStyle w:val="Contents3"/>
            <w:rPr/>
          </w:pPr>
          <w:hyperlink w:anchor="_Toc121935670">
            <w:r>
              <w:rPr>
                <w:webHidden/>
                <w:rStyle w:val="IndexLink"/>
              </w:rPr>
              <w:t>Cost-benefit</w:t>
            </w:r>
            <w:r>
              <w:rPr>
                <w:rStyle w:val="IndexLink"/>
                <w:spacing w:val="-4"/>
              </w:rPr>
              <w:t xml:space="preserve"> </w:t>
            </w:r>
            <w:r>
              <w:rPr>
                <w:rStyle w:val="IndexLink"/>
              </w:rPr>
              <w:t>analysis</w:t>
            </w:r>
            <w:r>
              <w:rPr>
                <w:webHidden/>
              </w:rPr>
              <w:fldChar w:fldCharType="begin"/>
            </w:r>
            <w:r>
              <w:rPr>
                <w:webHidden/>
              </w:rPr>
              <w:instrText>PAGEREF _Toc121935670 \h</w:instrText>
            </w:r>
            <w:r>
              <w:rPr>
                <w:webHidden/>
              </w:rPr>
              <w:fldChar w:fldCharType="separate"/>
            </w:r>
            <w:r>
              <w:rPr>
                <w:rStyle w:val="IndexLink"/>
                <w:vanish w:val="false"/>
              </w:rPr>
              <w:tab/>
              <w:t>9</w:t>
            </w:r>
            <w:r>
              <w:rPr>
                <w:webHidden/>
              </w:rPr>
              <w:fldChar w:fldCharType="end"/>
            </w:r>
          </w:hyperlink>
        </w:p>
        <w:p>
          <w:pPr>
            <w:pStyle w:val="Contents3"/>
            <w:rPr/>
          </w:pPr>
          <w:hyperlink w:anchor="_Toc121935671">
            <w:r>
              <w:rPr>
                <w:webHidden/>
                <w:rStyle w:val="IndexLink"/>
                <w:spacing w:val="-1"/>
              </w:rPr>
              <w:t>Cost-Volume-Profit</w:t>
            </w:r>
            <w:r>
              <w:rPr>
                <w:rStyle w:val="IndexLink"/>
                <w:spacing w:val="-10"/>
              </w:rPr>
              <w:t xml:space="preserve"> </w:t>
            </w:r>
            <w:r>
              <w:rPr>
                <w:rStyle w:val="IndexLink"/>
              </w:rPr>
              <w:t>analysis</w:t>
            </w:r>
            <w:r>
              <w:rPr>
                <w:webHidden/>
              </w:rPr>
              <w:fldChar w:fldCharType="begin"/>
            </w:r>
            <w:r>
              <w:rPr>
                <w:webHidden/>
              </w:rPr>
              <w:instrText>PAGEREF _Toc121935671 \h</w:instrText>
            </w:r>
            <w:r>
              <w:rPr>
                <w:webHidden/>
              </w:rPr>
              <w:fldChar w:fldCharType="separate"/>
            </w:r>
            <w:r>
              <w:rPr>
                <w:rStyle w:val="IndexLink"/>
                <w:vanish w:val="false"/>
              </w:rPr>
              <w:tab/>
              <w:t>10</w:t>
            </w:r>
            <w:r>
              <w:rPr>
                <w:webHidden/>
              </w:rPr>
              <w:fldChar w:fldCharType="end"/>
            </w:r>
          </w:hyperlink>
        </w:p>
        <w:p>
          <w:pPr>
            <w:pStyle w:val="Contents1"/>
            <w:rPr/>
          </w:pPr>
          <w:hyperlink w:anchor="_Toc121935672">
            <w:r>
              <w:rPr>
                <w:webHidden/>
                <w:rStyle w:val="IndexLink"/>
              </w:rPr>
              <w:t>Recommendation</w:t>
            </w:r>
            <w:r>
              <w:rPr>
                <w:webHidden/>
              </w:rPr>
              <w:fldChar w:fldCharType="begin"/>
            </w:r>
            <w:r>
              <w:rPr>
                <w:webHidden/>
              </w:rPr>
              <w:instrText>PAGEREF _Toc121935672 \h</w:instrText>
            </w:r>
            <w:r>
              <w:rPr>
                <w:webHidden/>
              </w:rPr>
              <w:fldChar w:fldCharType="separate"/>
            </w:r>
            <w:r>
              <w:rPr>
                <w:rStyle w:val="IndexLink"/>
                <w:vanish w:val="false"/>
              </w:rPr>
              <w:tab/>
              <w:t>10</w:t>
            </w:r>
            <w:r>
              <w:rPr>
                <w:webHidden/>
              </w:rPr>
              <w:fldChar w:fldCharType="end"/>
            </w:r>
          </w:hyperlink>
        </w:p>
        <w:p>
          <w:pPr>
            <w:pStyle w:val="Contents1"/>
            <w:rPr/>
          </w:pPr>
          <w:hyperlink w:anchor="_Toc121935673">
            <w:r>
              <w:rPr>
                <w:webHidden/>
                <w:rStyle w:val="IndexLink"/>
              </w:rPr>
              <w:t>References</w:t>
            </w:r>
            <w:r>
              <w:rPr>
                <w:webHidden/>
              </w:rPr>
              <w:fldChar w:fldCharType="begin"/>
            </w:r>
            <w:r>
              <w:rPr>
                <w:webHidden/>
              </w:rPr>
              <w:instrText>PAGEREF _Toc121935673 \h</w:instrText>
            </w:r>
            <w:r>
              <w:rPr>
                <w:webHidden/>
              </w:rPr>
              <w:fldChar w:fldCharType="separate"/>
            </w:r>
            <w:r>
              <w:rPr>
                <w:rStyle w:val="IndexLink"/>
                <w:vanish w:val="false"/>
              </w:rPr>
              <w:tab/>
              <w:t>13</w:t>
            </w:r>
            <w:r>
              <w:rPr>
                <w:webHidden/>
              </w:rPr>
              <w:fldChar w:fldCharType="end"/>
            </w:r>
          </w:hyperlink>
        </w:p>
        <w:p>
          <w:pPr>
            <w:pStyle w:val="Normal"/>
            <w:rPr/>
          </w:pPr>
          <w:r>
            <w:rPr/>
          </w:r>
          <w:r>
            <w:rPr/>
            <w:fldChar w:fldCharType="end"/>
          </w:r>
        </w:p>
      </w:sdtContent>
    </w:sdt>
    <w:p>
      <w:pPr>
        <w:pStyle w:val="Normal"/>
        <w:suppressAutoHyphens w:val="false"/>
        <w:spacing w:lineRule="auto" w:line="259" w:before="0" w:after="160"/>
        <w:ind w:hanging="0"/>
        <w:rPr>
          <w:rFonts w:eastAsia="" w:cs="Times New Roman" w:cstheme="majorBidi" w:eastAsiaTheme="majorEastAsia"/>
          <w:b/>
          <w:b/>
          <w:i/>
          <w:i/>
          <w:color w:val="000000" w:themeColor="text1"/>
          <w:szCs w:val="32"/>
        </w:rPr>
      </w:pPr>
      <w:r>
        <w:rPr>
          <w:rFonts w:eastAsia="" w:cs="Times New Roman" w:cstheme="majorBidi" w:eastAsiaTheme="majorEastAsia"/>
          <w:b/>
          <w:i/>
          <w:color w:val="000000" w:themeColor="text1"/>
          <w:szCs w:val="32"/>
        </w:rPr>
      </w:r>
      <w:r>
        <w:br w:type="page"/>
      </w:r>
    </w:p>
    <w:p>
      <w:pPr>
        <w:pStyle w:val="Heading1"/>
        <w:jc w:val="both"/>
        <w:rPr/>
      </w:pPr>
      <w:bookmarkStart w:id="0" w:name="_Toc121935659"/>
      <w:r>
        <w:rPr/>
        <w:t>Introduction</w:t>
      </w:r>
      <w:bookmarkEnd w:id="0"/>
      <w:r>
        <w:rPr/>
        <w:t xml:space="preserve"> </w:t>
      </w:r>
    </w:p>
    <w:p>
      <w:pPr>
        <w:pStyle w:val="Normal"/>
        <w:jc w:val="both"/>
        <w:rPr/>
      </w:pPr>
      <w:r>
        <w:rPr/>
        <w:t>Budget and variance in management accounting are the processes used to identify and analyse differences between the estimated cost of a project or program and the actual cost. A budget is a plan that outlines expected costs and revenues for a certain time (</w:t>
      </w:r>
      <w:r>
        <w:rPr>
          <w:shd w:fill="FFFFFF" w:val="clear"/>
        </w:rPr>
        <w:t>Alvarez</w:t>
      </w:r>
      <w:r>
        <w:rPr/>
        <w:t xml:space="preserve"> et al., </w:t>
      </w:r>
      <w:r>
        <w:rPr>
          <w:shd w:fill="FFFFFF" w:val="clear"/>
        </w:rPr>
        <w:t>2021</w:t>
      </w:r>
      <w:r>
        <w:rPr/>
        <w:t>). Variance is the difference between the actual results and the budgeted amount. This difference can be positive or negative and can be measured in terms of money, time, or resources. Management accounting uses these two processes to identify and analyse potential cost savings areas and ensure that financial resources are being used efficiently (</w:t>
      </w:r>
      <w:r>
        <w:rPr>
          <w:shd w:fill="FFFFFF" w:val="clear"/>
        </w:rPr>
        <w:t>Xolmirzaev</w:t>
      </w:r>
      <w:r>
        <w:rPr/>
        <w:t xml:space="preserve"> et al., </w:t>
      </w:r>
      <w:r>
        <w:rPr>
          <w:shd w:fill="FFFFFF" w:val="clear"/>
        </w:rPr>
        <w:t>2021</w:t>
      </w:r>
      <w:r>
        <w:rPr/>
        <w:t>). Management accounting can provide actionable insights to improve efficiency and profitability by monitoring and comparing actual results to budgeted amounts.</w:t>
      </w:r>
    </w:p>
    <w:p>
      <w:pPr>
        <w:pStyle w:val="Normal"/>
        <w:jc w:val="both"/>
        <w:rPr/>
      </w:pPr>
      <w:r>
        <w:rPr/>
        <w:t>Furthermore, the variance analysis can also be used to adjust and correct future budgets, ensuring that projects and programs remain financially sustainable (</w:t>
      </w:r>
      <w:r>
        <w:rPr>
          <w:shd w:fill="FFFFFF" w:val="clear"/>
        </w:rPr>
        <w:t>Maheshwari</w:t>
      </w:r>
      <w:r>
        <w:rPr/>
        <w:t xml:space="preserve"> et al., </w:t>
      </w:r>
      <w:r>
        <w:rPr>
          <w:shd w:fill="FFFFFF" w:val="clear"/>
        </w:rPr>
        <w:t>2021</w:t>
      </w:r>
      <w:r>
        <w:rPr/>
        <w:t>). This report aims to analyse and evaluate the monthly budget control report and the decision to go online and advise the company's CEO. A monthly control report including a static budget, actual costs, flexible budget, and variances for both activity and cost control has been prepared to evaluate this situation's current cost (</w:t>
      </w:r>
      <w:r>
        <w:rPr>
          <w:shd w:fill="FFFFFF" w:val="clear"/>
        </w:rPr>
        <w:t>Martin</w:t>
      </w:r>
      <w:r>
        <w:rPr/>
        <w:t xml:space="preserve"> et al., </w:t>
      </w:r>
      <w:r>
        <w:rPr>
          <w:shd w:fill="FFFFFF" w:val="clear"/>
        </w:rPr>
        <w:t>2021</w:t>
      </w:r>
      <w:r>
        <w:rPr/>
        <w:t xml:space="preserve">).  </w:t>
      </w:r>
    </w:p>
    <w:p>
      <w:pPr>
        <w:pStyle w:val="Heading1"/>
        <w:jc w:val="both"/>
        <w:rPr/>
      </w:pPr>
      <w:bookmarkStart w:id="1" w:name="_Toc121935660"/>
      <w:r>
        <w:rPr/>
        <w:t>Part A</w:t>
      </w:r>
      <w:bookmarkEnd w:id="1"/>
      <w:r>
        <w:rPr/>
        <w:t xml:space="preserve"> </w:t>
      </w:r>
    </w:p>
    <w:p>
      <w:pPr>
        <w:pStyle w:val="Heading2"/>
        <w:jc w:val="both"/>
        <w:rPr/>
      </w:pPr>
      <w:bookmarkStart w:id="2" w:name="_Toc121935661"/>
      <w:r>
        <w:rPr/>
        <w:t>Monthly Control Report</w:t>
      </w:r>
      <w:bookmarkEnd w:id="2"/>
    </w:p>
    <w:p>
      <w:pPr>
        <w:pStyle w:val="Normal"/>
        <w:jc w:val="center"/>
        <w:rPr/>
      </w:pPr>
      <w:r>
        <w:rPr/>
        <mc:AlternateContent>
          <mc:Choice Requires="wps">
            <w:drawing>
              <wp:inline distT="57150" distB="114300" distL="57150" distR="116205">
                <wp:extent cx="4627880" cy="2686685"/>
                <wp:effectExtent l="76200" t="76200" r="135255" b="133350"/>
                <wp:docPr id="1" name="Shape1"/>
                <a:graphic xmlns:a="http://schemas.openxmlformats.org/drawingml/2006/main">
                  <a:graphicData uri="http://schemas.openxmlformats.org/drawingml/2006/picture">
                    <pic:pic xmlns:pic="http://schemas.openxmlformats.org/drawingml/2006/picture">
                      <pic:nvPicPr>
                        <pic:cNvPr id="0" name="Shape1" descr=""/>
                        <pic:cNvPicPr/>
                      </pic:nvPicPr>
                      <pic:blipFill>
                        <a:blip r:embed="rId2"/>
                        <a:stretch/>
                      </pic:blipFill>
                      <pic:spPr>
                        <a:xfrm>
                          <a:off x="0" y="0"/>
                          <a:ext cx="4627080" cy="2685960"/>
                        </a:xfrm>
                        <a:prstGeom prst="rect">
                          <a:avLst/>
                        </a:prstGeom>
                        <a:ln cap="sq" w="38100">
                          <a:solidFill>
                            <a:srgbClr val="000000"/>
                          </a:solidFill>
                          <a:miter/>
                        </a:ln>
                        <a:effectLst>
                          <a:outerShdw algn="tl" blurRad="50760" dir="2700000" dist="37674" rotWithShape="0">
                            <a:srgbClr val="000000">
                              <a:alpha val="43000"/>
                            </a:srgbClr>
                          </a:outerShdw>
                        </a:effectLst>
                      </pic:spPr>
                    </pic:pic>
                  </a:graphicData>
                </a:graphic>
              </wp:inline>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Shape1" stroked="t" o:allowincell="f" style="position:absolute;margin-left:0pt;margin-top:-225.05pt;width:364.3pt;height:211.45pt;mso-wrap-style:none;v-text-anchor:middle;mso-position-vertical:top" type="_x0000_t75">
                <v:imagedata r:id="rId2" o:detectmouseclick="t"/>
                <v:stroke color="black" weight="38160" joinstyle="miter" endcap="square"/>
                <v:shadow on="t" obscured="f" color="black"/>
                <w10:wrap type="square"/>
              </v:shape>
            </w:pict>
          </mc:Fallback>
        </mc:AlternateContent>
      </w:r>
      <w:r>
        <w:rPr/>
        <w:tab/>
      </w:r>
    </w:p>
    <w:p>
      <w:pPr>
        <w:pStyle w:val="Normal"/>
        <w:jc w:val="center"/>
        <w:rPr/>
      </w:pPr>
      <w:r>
        <w:rPr/>
        <mc:AlternateContent>
          <mc:Choice Requires="wps">
            <w:drawing>
              <wp:inline distT="57150" distB="114300" distL="57150" distR="114300">
                <wp:extent cx="3011170" cy="2782570"/>
                <wp:effectExtent l="76200" t="76200" r="133350" b="133350"/>
                <wp:docPr id="2" name="Shape2"/>
                <a:graphic xmlns:a="http://schemas.openxmlformats.org/drawingml/2006/main">
                  <a:graphicData uri="http://schemas.openxmlformats.org/drawingml/2006/picture">
                    <pic:pic xmlns:pic="http://schemas.openxmlformats.org/drawingml/2006/picture">
                      <pic:nvPicPr>
                        <pic:cNvPr id="1" name="Shape2" descr=""/>
                        <pic:cNvPicPr/>
                      </pic:nvPicPr>
                      <pic:blipFill>
                        <a:blip r:embed="rId3"/>
                        <a:stretch/>
                      </pic:blipFill>
                      <pic:spPr>
                        <a:xfrm>
                          <a:off x="0" y="0"/>
                          <a:ext cx="3010680" cy="2782080"/>
                        </a:xfrm>
                        <a:prstGeom prst="rect">
                          <a:avLst/>
                        </a:prstGeom>
                        <a:ln cap="sq" w="38100">
                          <a:solidFill>
                            <a:srgbClr val="000000"/>
                          </a:solidFill>
                          <a:miter/>
                        </a:ln>
                        <a:effectLst>
                          <a:outerShdw algn="tl" blurRad="50760" dir="2700000" dist="37674" rotWithShape="0">
                            <a:srgbClr val="000000">
                              <a:alpha val="43000"/>
                            </a:srgbClr>
                          </a:outerShdw>
                        </a:effectLst>
                      </pic:spPr>
                    </pic:pic>
                  </a:graphicData>
                </a:graphic>
              </wp:inline>
            </w:drawing>
          </mc:Choice>
          <mc:Fallback>
            <w:pict>
              <v:shape id="shape_0" ID="Shape2" stroked="t" o:allowincell="f" style="position:absolute;margin-left:0pt;margin-top:-232.6pt;width:237pt;height:219pt;mso-wrap-style:none;v-text-anchor:middle;mso-position-vertical:top" type="_x0000_t75">
                <v:imagedata r:id="rId3" o:detectmouseclick="t"/>
                <v:stroke color="black" weight="38160" joinstyle="miter" endcap="square"/>
                <v:shadow on="t" obscured="f" color="black"/>
                <w10:wrap type="square"/>
              </v:shape>
            </w:pict>
          </mc:Fallback>
        </mc:AlternateContent>
      </w:r>
    </w:p>
    <w:p>
      <w:pPr>
        <w:pStyle w:val="Normal"/>
        <w:jc w:val="both"/>
        <w:rPr/>
      </w:pPr>
      <w:r>
        <w:rPr/>
      </w:r>
    </w:p>
    <w:p>
      <w:pPr>
        <w:pStyle w:val="Normal"/>
        <w:jc w:val="both"/>
        <w:rPr/>
      </w:pPr>
      <w:r>
        <w:rPr/>
        <w:t>The variance analysis results indicate that the company is operating in line with its budget. The activity variance of 160,000 shows that the company has completed the same activities as planned in the budget. In contrast, the cost variance of 155,000 suggests that the company has managed to stay within the budgeted cost for those activities. This suggests that the company is managing its resources effectively and efficiently. Overall, the result of the variance analysis suggests that Amana Ltd is performing well in terms of its budgeting and management of resources.</w:t>
      </w:r>
    </w:p>
    <w:p>
      <w:pPr>
        <w:pStyle w:val="Heading2"/>
        <w:jc w:val="both"/>
        <w:rPr/>
      </w:pPr>
      <w:bookmarkStart w:id="3" w:name="_Toc121935662"/>
      <w:r>
        <w:rPr/>
        <w:t>Report on Amana’s Performance</w:t>
      </w:r>
      <w:bookmarkEnd w:id="3"/>
    </w:p>
    <w:p>
      <w:pPr>
        <w:pStyle w:val="Normal"/>
        <w:jc w:val="both"/>
        <w:rPr/>
      </w:pPr>
      <w:r>
        <w:rPr/>
        <w:t>Regarding the flexible budget, Amana's performance in 2020 has been positive. The company produced 80,000 units of product and achieved a total revenue of £2.2 million. The variable costs associated with producing these units were £640,000, which consisted of £200,000 in materials, £320,000 in labour, and £120,000 in overhead. In addition, the company had fixed costs of £350,000, including warehouse rent, insurance, and a supervisor's salary. Overall, Amana had a total cost of £990,000. This resulted in a net profit of £1.21 million for 2020. This is a positive sign for the company and indicates that it has been able to generate a healthy profit relative to its costs (</w:t>
      </w:r>
      <w:r>
        <w:rPr>
          <w:shd w:fill="FFFFFF" w:val="clear"/>
        </w:rPr>
        <w:t>Oyewo</w:t>
      </w:r>
      <w:r>
        <w:rPr/>
        <w:t xml:space="preserve"> et al., </w:t>
      </w:r>
      <w:r>
        <w:rPr>
          <w:shd w:fill="FFFFFF" w:val="clear"/>
        </w:rPr>
        <w:t>2021</w:t>
      </w:r>
      <w:r>
        <w:rPr/>
        <w:t>).</w:t>
      </w:r>
    </w:p>
    <w:p>
      <w:pPr>
        <w:pStyle w:val="Normal"/>
        <w:jc w:val="both"/>
        <w:rPr/>
      </w:pPr>
      <w:r>
        <w:rPr/>
        <w:t>On the other hand, regarding efficiency, Amana produced 80,000 units of product with a total cost of £990,000. This equates to a cost of £12.38 per unit of product. This cost is relatively low compared to the product's market price, which suggests that Amana can produce its product efficiently. The company's performance in 2020 was largely driven by its ability to keep costs low while still producing a quality product. This is evidenced by the low cost per unit and the company's healthy profit margin (</w:t>
      </w:r>
      <w:r>
        <w:rPr>
          <w:shd w:fill="FFFFFF" w:val="clear"/>
        </w:rPr>
        <w:t>Maheshwari</w:t>
      </w:r>
      <w:r>
        <w:rPr/>
        <w:t xml:space="preserve"> et al., </w:t>
      </w:r>
      <w:r>
        <w:rPr>
          <w:shd w:fill="FFFFFF" w:val="clear"/>
        </w:rPr>
        <w:t>2022</w:t>
      </w:r>
      <w:r>
        <w:rPr/>
        <w:t>). Additionally, the company remained profitable despite increased fixed costs associated with warehouse rent, insurance, and a supervisor's salary (</w:t>
      </w:r>
      <w:r>
        <w:rPr>
          <w:shd w:fill="FFFFFF" w:val="clear"/>
        </w:rPr>
        <w:t>Usmanov</w:t>
      </w:r>
      <w:r>
        <w:rPr/>
        <w:t xml:space="preserve"> </w:t>
      </w:r>
      <w:r>
        <w:rPr>
          <w:shd w:fill="FFFFFF" w:val="clear"/>
        </w:rPr>
        <w:t>and Axmadaliev</w:t>
      </w:r>
      <w:r>
        <w:rPr/>
        <w:t xml:space="preserve">, </w:t>
      </w:r>
      <w:r>
        <w:rPr>
          <w:shd w:fill="FFFFFF" w:val="clear"/>
        </w:rPr>
        <w:t>2021</w:t>
      </w:r>
      <w:r>
        <w:rPr/>
        <w:t>).</w:t>
      </w:r>
    </w:p>
    <w:p>
      <w:pPr>
        <w:pStyle w:val="Normal"/>
        <w:jc w:val="both"/>
        <w:rPr/>
      </w:pPr>
      <w:r>
        <w:rPr/>
        <w:t>Regarding activity variance, Amana had a successful year in 2020, with revenues of £640,000. The company's variable costs, which include materials, labour, and overhead, totalled £160,000. This resulted in a net profit margin of 75%, a significant increase from the previous year. The materials costs were £50,000, labour costs were £80,000, and overhead costs were £30,000. This indicates that Amana could control costs and reduce spending in certain areas to increase its profits. Amana also made a conscious effort to increase efficiency, as the labour costs were relatively low compared to the amount of revenue generated. This suggests that the company was able to use its resources more efficiently and maximise its profits (</w:t>
      </w:r>
      <w:r>
        <w:rPr>
          <w:shd w:fill="FFFFFF" w:val="clear"/>
        </w:rPr>
        <w:t>Ax</w:t>
      </w:r>
      <w:r>
        <w:rPr/>
        <w:t xml:space="preserve"> </w:t>
      </w:r>
      <w:r>
        <w:rPr>
          <w:shd w:fill="FFFFFF" w:val="clear"/>
        </w:rPr>
        <w:t>and Ax</w:t>
      </w:r>
      <w:r>
        <w:rPr/>
        <w:t xml:space="preserve">, </w:t>
      </w:r>
      <w:r>
        <w:rPr>
          <w:shd w:fill="FFFFFF" w:val="clear"/>
        </w:rPr>
        <w:t>2022</w:t>
      </w:r>
      <w:r>
        <w:rPr/>
        <w:t>). Overall, Amana's performance during the year 2020 was positive. The company achieved a healthy profit margin and kept costs low while still producing a quality product. This demonstrates the company's ability to remain competitive and profitable in the current market (</w:t>
      </w:r>
      <w:r>
        <w:rPr>
          <w:shd w:fill="FFFFFF" w:val="clear"/>
        </w:rPr>
        <w:t>Maheshwari</w:t>
      </w:r>
      <w:r>
        <w:rPr/>
        <w:t xml:space="preserve"> et al., </w:t>
      </w:r>
      <w:r>
        <w:rPr>
          <w:shd w:fill="FFFFFF" w:val="clear"/>
        </w:rPr>
        <w:t>2022</w:t>
      </w:r>
      <w:r>
        <w:rPr/>
        <w:t>).</w:t>
      </w:r>
    </w:p>
    <w:p>
      <w:pPr>
        <w:pStyle w:val="Normal"/>
        <w:jc w:val="both"/>
        <w:rPr/>
      </w:pPr>
      <w:r>
        <w:rPr/>
        <w:t>In terms of cost variance, Amana Co. had a successful year in 2020, as the company saw an increase in revenues of £80,000, materials costs of 80,000 pounds, labour costs of 120,000 pounds, and overhead costs of £155,000. This resulted in a net profit of £25,000 for the year. The company reduced its materials costs by £20,000 from the previous year, which allowed it to increase its net profit. The labour costs increased by £30,000 but were offset by the reduction in materials costs. The company could maintain its overhead costs at the same level as the previous year. This was due to the fixed costs such as warehouse rent, insurance and supervisor salary, which remained unchanged (</w:t>
      </w:r>
      <w:r>
        <w:rPr>
          <w:shd w:fill="FFFFFF" w:val="clear"/>
        </w:rPr>
        <w:t>Campos</w:t>
      </w:r>
      <w:r>
        <w:rPr/>
        <w:t xml:space="preserve"> et al., </w:t>
      </w:r>
      <w:r>
        <w:rPr>
          <w:shd w:fill="FFFFFF" w:val="clear"/>
        </w:rPr>
        <w:t>2022</w:t>
      </w:r>
      <w:r>
        <w:rPr/>
        <w:t>). Overall, Amana Co. had a successful year in 2020. The company increased its net profit despite increasing labour costs and maintained its overhead costs, which allowed it to remain profitable and continue to grow (</w:t>
      </w:r>
      <w:r>
        <w:rPr>
          <w:shd w:fill="FFFFFF" w:val="clear"/>
        </w:rPr>
        <w:t>Bedford</w:t>
      </w:r>
      <w:r>
        <w:rPr/>
        <w:t xml:space="preserve">, </w:t>
      </w:r>
      <w:r>
        <w:rPr>
          <w:shd w:fill="FFFFFF" w:val="clear"/>
        </w:rPr>
        <w:t>2022</w:t>
      </w:r>
      <w:r>
        <w:rPr/>
        <w:t>).</w:t>
      </w:r>
    </w:p>
    <w:p>
      <w:pPr>
        <w:pStyle w:val="Normal"/>
        <w:jc w:val="both"/>
        <w:rPr/>
      </w:pPr>
      <w:r>
        <w:rPr/>
        <w:t>Based on the above analysis, the pandemic situation increased to an increase in both supply and cost. By 2020, as all know, most enterprises will cease operations. When COVID restarted operations, they increased their cost prices and business products to compensate for their losses (</w:t>
      </w:r>
      <w:r>
        <w:rPr>
          <w:shd w:fill="FFFFFF" w:val="clear"/>
        </w:rPr>
        <w:t>Bedford</w:t>
      </w:r>
      <w:r>
        <w:rPr/>
        <w:t xml:space="preserve">, </w:t>
      </w:r>
      <w:r>
        <w:rPr>
          <w:shd w:fill="FFFFFF" w:val="clear"/>
        </w:rPr>
        <w:t>2022</w:t>
      </w:r>
      <w:r>
        <w:rPr/>
        <w:t>). Even though the number of units sold was less than the static budget, variable expenses increased due to this situation. On the one hand, its overall costs were slightly higher than planned, resulting in a total cost variance of £155,000 unfavourable.</w:t>
      </w:r>
    </w:p>
    <w:p>
      <w:pPr>
        <w:pStyle w:val="Normal"/>
        <w:jc w:val="both"/>
        <w:rPr/>
      </w:pPr>
      <w:r>
        <w:rPr/>
        <w:t>On the other hand, there were some positives to be found in the numbers. Overall, Amana could keep its costs within budget, despite higher-than-expected actual costs. This is a testament to the company's financial planning and cost-control measures. With further refinement, the company can continue to improve its performance in the future. Amana's performance in 2020 was mixed (</w:t>
      </w:r>
      <w:r>
        <w:rPr>
          <w:shd w:fill="FFFFFF" w:val="clear"/>
        </w:rPr>
        <w:t>Oyewo</w:t>
      </w:r>
      <w:r>
        <w:rPr/>
        <w:t xml:space="preserve"> et al., </w:t>
      </w:r>
      <w:r>
        <w:rPr>
          <w:shd w:fill="FFFFFF" w:val="clear"/>
        </w:rPr>
        <w:t>2021</w:t>
      </w:r>
      <w:r>
        <w:rPr/>
        <w:t xml:space="preserve">). </w:t>
      </w:r>
    </w:p>
    <w:p>
      <w:pPr>
        <w:pStyle w:val="Normal"/>
        <w:jc w:val="both"/>
        <w:rPr/>
      </w:pPr>
      <w:r>
        <w:rPr/>
      </w:r>
    </w:p>
    <w:p>
      <w:pPr>
        <w:pStyle w:val="Heading2"/>
        <w:tabs>
          <w:tab w:val="clear" w:pos="720"/>
          <w:tab w:val="left" w:pos="4140" w:leader="none"/>
        </w:tabs>
        <w:jc w:val="both"/>
        <w:rPr/>
      </w:pPr>
      <w:bookmarkStart w:id="4" w:name="_Toc121935663"/>
      <w:r>
        <w:rPr/>
        <w:t>Recommendation on Amana’s CEO CEO</w:t>
      </w:r>
      <w:bookmarkEnd w:id="4"/>
      <w:r>
        <w:rPr/>
        <w:t xml:space="preserve"> </w:t>
        <w:tab/>
      </w:r>
    </w:p>
    <w:p>
      <w:pPr>
        <w:pStyle w:val="Normal"/>
        <w:jc w:val="both"/>
        <w:rPr/>
      </w:pPr>
      <w:r>
        <w:rPr/>
        <w:t>Due to new travel limitations imposed by the government, Mr Amana's tourist operator company is experiencing some operational difficulties (</w:t>
      </w:r>
      <w:r>
        <w:rPr>
          <w:shd w:fill="FFFFFF" w:val="clear"/>
        </w:rPr>
        <w:t>Langfield-Smith</w:t>
      </w:r>
      <w:r>
        <w:rPr/>
        <w:t xml:space="preserve"> et al., </w:t>
      </w:r>
      <w:r>
        <w:rPr>
          <w:shd w:fill="FFFFFF" w:val="clear"/>
        </w:rPr>
        <w:t>2018</w:t>
      </w:r>
      <w:r>
        <w:rPr/>
        <w:t>). However, there are several opportunities to enhance its cost structure. The following suggestions were made in response to the report in the preceding section:</w:t>
      </w:r>
    </w:p>
    <w:p>
      <w:pPr>
        <w:pStyle w:val="Normal"/>
        <w:jc w:val="both"/>
        <w:rPr/>
      </w:pPr>
      <w:r>
        <w:rPr/>
        <w:t>Due to the material's price has risen that mainly requires additional resources to produce the souvenirs they sell, businesses often need a range of other items that may be sold (</w:t>
      </w:r>
      <w:r>
        <w:rPr>
          <w:shd w:fill="FFFFFF" w:val="clear"/>
        </w:rPr>
        <w:t>Richardson</w:t>
      </w:r>
      <w:r>
        <w:rPr/>
        <w:t xml:space="preserve"> </w:t>
      </w:r>
      <w:r>
        <w:rPr>
          <w:shd w:fill="FFFFFF" w:val="clear"/>
        </w:rPr>
        <w:t>and Yigitbasioglu</w:t>
      </w:r>
      <w:r>
        <w:rPr/>
        <w:t xml:space="preserve">, </w:t>
      </w:r>
      <w:r>
        <w:rPr>
          <w:shd w:fill="FFFFFF" w:val="clear"/>
        </w:rPr>
        <w:t>2018</w:t>
      </w:r>
      <w:r>
        <w:rPr/>
        <w:t xml:space="preserve">). To control the volatility of material costs, they should develop a strategic partnership with the price supplier by negotiating a contract with a fixed price. Additionally, the company may do due diligence on the supplier to determine whether or not it produces high-quality products at reasonable costs </w:t>
      </w:r>
      <w:r>
        <w:rPr>
          <w:shd w:fill="FFFFFF" w:val="clear"/>
        </w:rPr>
        <w:t>(Macintosh</w:t>
      </w:r>
      <w:r>
        <w:rPr/>
        <w:t xml:space="preserve"> </w:t>
      </w:r>
      <w:r>
        <w:rPr>
          <w:shd w:fill="FFFFFF" w:val="clear"/>
        </w:rPr>
        <w:t>and Daft</w:t>
      </w:r>
      <w:r>
        <w:rPr/>
        <w:t xml:space="preserve">, </w:t>
      </w:r>
      <w:r>
        <w:rPr>
          <w:shd w:fill="FFFFFF" w:val="clear"/>
        </w:rPr>
        <w:t>2019</w:t>
      </w:r>
      <w:r>
        <w:rPr/>
        <w:t>). Following the screening, they may include suppliers and contact them to negotiate a long-term relationship that is advantageous to the company.</w:t>
      </w:r>
    </w:p>
    <w:p>
      <w:pPr>
        <w:pStyle w:val="Normal"/>
        <w:jc w:val="both"/>
        <w:rPr/>
      </w:pPr>
      <w:r>
        <w:rPr/>
        <w:t>Since business operations are normal, they may swiftly recruit staff who can effectively produce the souvenir while negotiating the price (</w:t>
      </w:r>
      <w:r>
        <w:rPr>
          <w:shd w:fill="FFFFFF" w:val="clear"/>
        </w:rPr>
        <w:t>Drury</w:t>
      </w:r>
      <w:r>
        <w:rPr/>
        <w:t xml:space="preserve"> et al., </w:t>
      </w:r>
      <w:r>
        <w:rPr>
          <w:shd w:fill="FFFFFF" w:val="clear"/>
        </w:rPr>
        <w:t>2018</w:t>
      </w:r>
      <w:r>
        <w:rPr/>
        <w:t>). Overhead expenses consist of a vast array of selling and administrative expenses, as Companies may be able to reduce administrative expenses if sales have decreased. During the lockdown, this expense was incurred since expenses were within budget. At the absolute least, they may design strategies for cost reduction during the pandemic. Moreover, they may reduce warehouse rent in this situation (</w:t>
      </w:r>
      <w:r>
        <w:rPr>
          <w:shd w:fill="FFFFFF" w:val="clear"/>
        </w:rPr>
        <w:t>Richardson</w:t>
      </w:r>
      <w:r>
        <w:rPr/>
        <w:t xml:space="preserve"> </w:t>
      </w:r>
      <w:r>
        <w:rPr>
          <w:shd w:fill="FFFFFF" w:val="clear"/>
        </w:rPr>
        <w:t>and Yigitbasioglu</w:t>
      </w:r>
      <w:r>
        <w:rPr/>
        <w:t xml:space="preserve">, </w:t>
      </w:r>
      <w:r>
        <w:rPr>
          <w:shd w:fill="FFFFFF" w:val="clear"/>
        </w:rPr>
        <w:t>2018</w:t>
      </w:r>
      <w:r>
        <w:rPr/>
        <w:t>). Due to the decrease in sales, fewer products must be stocked. Consequently, the organisation may temporarily or partly reduce these rental costs (</w:t>
      </w:r>
      <w:r>
        <w:rPr>
          <w:shd w:fill="FFFFFF" w:val="clear"/>
        </w:rPr>
        <w:t>Maheshwari</w:t>
      </w:r>
      <w:r>
        <w:rPr/>
        <w:t xml:space="preserve"> et al., </w:t>
      </w:r>
      <w:r>
        <w:rPr>
          <w:shd w:fill="FFFFFF" w:val="clear"/>
        </w:rPr>
        <w:t>2022</w:t>
      </w:r>
      <w:r>
        <w:rPr/>
        <w:t>).</w:t>
      </w:r>
    </w:p>
    <w:p>
      <w:pPr>
        <w:pStyle w:val="Normal"/>
        <w:jc w:val="both"/>
        <w:rPr/>
      </w:pPr>
      <w:r>
        <w:rPr/>
        <w:t xml:space="preserve">Furthermore, Amana Ltd must seek to increase sales by capitalising on the current market opportunity offered by its online presence. When people are bored during the lockdown, they seek to decorate the visual attractiveness of their houses by decorating or acquiring decorative goods. Therefore, they must start selling their products online, which helps them to attract customers to their brand. </w:t>
      </w:r>
    </w:p>
    <w:p>
      <w:pPr>
        <w:pStyle w:val="Normal"/>
        <w:suppressAutoHyphens w:val="false"/>
        <w:spacing w:lineRule="auto" w:line="259" w:before="0" w:after="160"/>
        <w:ind w:hanging="0"/>
        <w:jc w:val="both"/>
        <w:rPr/>
      </w:pPr>
      <w:r>
        <w:rPr/>
      </w:r>
      <w:r>
        <w:br w:type="page"/>
      </w:r>
    </w:p>
    <w:p>
      <w:pPr>
        <w:pStyle w:val="Heading1"/>
        <w:jc w:val="both"/>
        <w:rPr/>
      </w:pPr>
      <w:bookmarkStart w:id="5" w:name="_Toc121935664"/>
      <w:r>
        <w:rPr/>
        <w:t>Part B</w:t>
      </w:r>
      <w:bookmarkEnd w:id="5"/>
    </w:p>
    <w:p>
      <w:pPr>
        <w:pStyle w:val="Normal"/>
        <w:jc w:val="both"/>
        <w:rPr/>
      </w:pPr>
      <w:r>
        <w:rPr/>
        <w:t>As with other industries affected by the pandemic, the tourist sector has considered alternative operation procedures. The business practises of this company's competitors have changed, whether they are selling products or using marketing to acquire customers. This organisation can connect to the Internet since it has two online access points (</w:t>
      </w:r>
      <w:r>
        <w:rPr>
          <w:shd w:fill="FFFFFF" w:val="clear"/>
        </w:rPr>
        <w:t>Maheshwari</w:t>
      </w:r>
      <w:r>
        <w:rPr/>
        <w:t xml:space="preserve"> et al., </w:t>
      </w:r>
      <w:r>
        <w:rPr>
          <w:shd w:fill="FFFFFF" w:val="clear"/>
        </w:rPr>
        <w:t>2022</w:t>
      </w:r>
      <w:r>
        <w:rPr/>
        <w:t>). One website is dedicated to this purpose, which fulfils certain purposes. As a result, the business may establish a website for an online shop or sell its products on Amazon. Let us compare the costs and cons of the two options before deciding (</w:t>
      </w:r>
      <w:r>
        <w:rPr>
          <w:shd w:fill="FFFFFF" w:val="clear"/>
        </w:rPr>
        <w:t>Maheshwari</w:t>
      </w:r>
      <w:r>
        <w:rPr/>
        <w:t xml:space="preserve"> et al., </w:t>
      </w:r>
      <w:r>
        <w:rPr>
          <w:shd w:fill="FFFFFF" w:val="clear"/>
        </w:rPr>
        <w:t>2022</w:t>
      </w:r>
      <w:r>
        <w:rPr/>
        <w:t>).</w:t>
      </w:r>
    </w:p>
    <w:p>
      <w:pPr>
        <w:pStyle w:val="Heading1"/>
        <w:jc w:val="both"/>
        <w:rPr/>
      </w:pPr>
      <w:bookmarkStart w:id="6" w:name="_Toc121935665"/>
      <w:r>
        <w:rPr/>
        <w:t>Option 1</w:t>
      </w:r>
      <w:bookmarkEnd w:id="6"/>
      <w:r>
        <w:rPr/>
        <w:t xml:space="preserve"> </w:t>
      </w:r>
    </w:p>
    <w:p>
      <w:pPr>
        <w:pStyle w:val="Heading2"/>
        <w:jc w:val="both"/>
        <w:rPr/>
      </w:pPr>
      <w:bookmarkStart w:id="7" w:name="_Toc121935666"/>
      <w:r>
        <w:rPr/>
        <w:t>An analysis of Mr Amana’s decision to go online and advise</w:t>
      </w:r>
      <w:bookmarkEnd w:id="7"/>
    </w:p>
    <w:p>
      <w:pPr>
        <w:pStyle w:val="Heading3"/>
        <w:jc w:val="both"/>
        <w:rPr/>
      </w:pPr>
      <w:bookmarkStart w:id="8" w:name="_Toc121935667"/>
      <w:r>
        <w:rPr/>
        <w:t>Cost-benefit</w:t>
      </w:r>
      <w:r>
        <w:rPr>
          <w:spacing w:val="-4"/>
        </w:rPr>
        <w:t xml:space="preserve"> </w:t>
      </w:r>
      <w:r>
        <w:rPr/>
        <w:t>analysis</w:t>
      </w:r>
      <w:bookmarkEnd w:id="8"/>
    </w:p>
    <w:p>
      <w:pPr>
        <w:pStyle w:val="Normal"/>
        <w:jc w:val="center"/>
        <w:rPr/>
      </w:pPr>
      <w:r>
        <w:rPr/>
        <w:drawing>
          <wp:inline distT="0" distB="0" distL="0" distR="0">
            <wp:extent cx="3934460" cy="1962150"/>
            <wp:effectExtent l="0" t="0" r="0" b="0"/>
            <wp:docPr id="3"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
                    <pic:cNvPicPr>
                      <a:picLocks noChangeAspect="1" noChangeArrowheads="1"/>
                    </pic:cNvPicPr>
                  </pic:nvPicPr>
                  <pic:blipFill>
                    <a:blip r:embed="rId4"/>
                    <a:stretch>
                      <a:fillRect/>
                    </a:stretch>
                  </pic:blipFill>
                  <pic:spPr bwMode="auto">
                    <a:xfrm>
                      <a:off x="0" y="0"/>
                      <a:ext cx="3934460" cy="1962150"/>
                    </a:xfrm>
                    <a:prstGeom prst="rect">
                      <a:avLst/>
                    </a:prstGeom>
                  </pic:spPr>
                </pic:pic>
              </a:graphicData>
            </a:graphic>
          </wp:inline>
        </w:drawing>
      </w:r>
    </w:p>
    <w:p>
      <w:pPr>
        <w:pStyle w:val="Heading3"/>
        <w:jc w:val="both"/>
        <w:rPr/>
      </w:pPr>
      <w:bookmarkStart w:id="9" w:name="_Toc121935668"/>
      <w:r>
        <w:rPr>
          <w:spacing w:val="-1"/>
        </w:rPr>
        <w:t>Cost-Volume-Profit</w:t>
      </w:r>
      <w:r>
        <w:rPr>
          <w:spacing w:val="-10"/>
        </w:rPr>
        <w:t xml:space="preserve"> </w:t>
      </w:r>
      <w:r>
        <w:rPr/>
        <w:t>analysis</w:t>
      </w:r>
      <w:bookmarkEnd w:id="9"/>
    </w:p>
    <w:p>
      <w:pPr>
        <w:pStyle w:val="Normal"/>
        <w:jc w:val="center"/>
        <w:rPr/>
      </w:pPr>
      <w:r>
        <w:rPr/>
        <w:drawing>
          <wp:inline distT="0" distB="0" distL="0" distR="0">
            <wp:extent cx="3886835" cy="1762125"/>
            <wp:effectExtent l="0" t="0" r="0" b="0"/>
            <wp:docPr id="4"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
                    <pic:cNvPicPr>
                      <a:picLocks noChangeAspect="1" noChangeArrowheads="1"/>
                    </pic:cNvPicPr>
                  </pic:nvPicPr>
                  <pic:blipFill>
                    <a:blip r:embed="rId5"/>
                    <a:stretch>
                      <a:fillRect/>
                    </a:stretch>
                  </pic:blipFill>
                  <pic:spPr bwMode="auto">
                    <a:xfrm>
                      <a:off x="0" y="0"/>
                      <a:ext cx="3886835" cy="1762125"/>
                    </a:xfrm>
                    <a:prstGeom prst="rect">
                      <a:avLst/>
                    </a:prstGeom>
                  </pic:spPr>
                </pic:pic>
              </a:graphicData>
            </a:graphic>
          </wp:inline>
        </w:drawing>
      </w:r>
    </w:p>
    <w:p>
      <w:pPr>
        <w:pStyle w:val="Normal"/>
        <w:jc w:val="center"/>
        <w:rPr/>
      </w:pPr>
      <w:r>
        <w:rPr/>
        <w:drawing>
          <wp:inline distT="0" distB="0" distL="0" distR="0">
            <wp:extent cx="3943985" cy="628650"/>
            <wp:effectExtent l="0" t="0" r="0" b="0"/>
            <wp:docPr id="5"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
                    <pic:cNvPicPr>
                      <a:picLocks noChangeAspect="1" noChangeArrowheads="1"/>
                    </pic:cNvPicPr>
                  </pic:nvPicPr>
                  <pic:blipFill>
                    <a:blip r:embed="rId6"/>
                    <a:stretch>
                      <a:fillRect/>
                    </a:stretch>
                  </pic:blipFill>
                  <pic:spPr bwMode="auto">
                    <a:xfrm>
                      <a:off x="0" y="0"/>
                      <a:ext cx="3943985" cy="628650"/>
                    </a:xfrm>
                    <a:prstGeom prst="rect">
                      <a:avLst/>
                    </a:prstGeom>
                  </pic:spPr>
                </pic:pic>
              </a:graphicData>
            </a:graphic>
          </wp:inline>
        </w:drawing>
      </w:r>
    </w:p>
    <w:p>
      <w:pPr>
        <w:pStyle w:val="Normal"/>
        <w:jc w:val="center"/>
        <w:rPr/>
      </w:pPr>
      <w:r>
        <w:rPr/>
        <w:drawing>
          <wp:inline distT="0" distB="0" distL="0" distR="0">
            <wp:extent cx="3867785" cy="523875"/>
            <wp:effectExtent l="0" t="0" r="0" b="0"/>
            <wp:docPr id="6"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
                    <pic:cNvPicPr>
                      <a:picLocks noChangeAspect="1" noChangeArrowheads="1"/>
                    </pic:cNvPicPr>
                  </pic:nvPicPr>
                  <pic:blipFill>
                    <a:blip r:embed="rId7"/>
                    <a:stretch>
                      <a:fillRect/>
                    </a:stretch>
                  </pic:blipFill>
                  <pic:spPr bwMode="auto">
                    <a:xfrm>
                      <a:off x="0" y="0"/>
                      <a:ext cx="3867785" cy="523875"/>
                    </a:xfrm>
                    <a:prstGeom prst="rect">
                      <a:avLst/>
                    </a:prstGeom>
                  </pic:spPr>
                </pic:pic>
              </a:graphicData>
            </a:graphic>
          </wp:inline>
        </w:drawing>
      </w:r>
    </w:p>
    <w:p>
      <w:pPr>
        <w:pStyle w:val="Normal"/>
        <w:jc w:val="center"/>
        <w:rPr/>
      </w:pPr>
      <w:r>
        <w:rPr/>
        <w:drawing>
          <wp:inline distT="0" distB="0" distL="0" distR="0">
            <wp:extent cx="3067685" cy="723900"/>
            <wp:effectExtent l="0" t="0" r="0" b="0"/>
            <wp:docPr id="7"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
                    <pic:cNvPicPr>
                      <a:picLocks noChangeAspect="1" noChangeArrowheads="1"/>
                    </pic:cNvPicPr>
                  </pic:nvPicPr>
                  <pic:blipFill>
                    <a:blip r:embed="rId8"/>
                    <a:stretch>
                      <a:fillRect/>
                    </a:stretch>
                  </pic:blipFill>
                  <pic:spPr bwMode="auto">
                    <a:xfrm>
                      <a:off x="0" y="0"/>
                      <a:ext cx="3067685" cy="723900"/>
                    </a:xfrm>
                    <a:prstGeom prst="rect">
                      <a:avLst/>
                    </a:prstGeom>
                  </pic:spPr>
                </pic:pic>
              </a:graphicData>
            </a:graphic>
          </wp:inline>
        </w:drawing>
      </w:r>
    </w:p>
    <w:p>
      <w:pPr>
        <w:pStyle w:val="Normal"/>
        <w:jc w:val="both"/>
        <w:rPr/>
      </w:pPr>
      <w:r>
        <w:rPr/>
        <w:t>In addition to the previously mentioned fixed and variable costs, a company that wants to sell products on its website must pay for shipping costs, network enhancements, and an IT programmer's salary. As a result, when they consider the earlier fixed costs that were absorbed into the new online business, it is clear that the cost, in this case, is rather high (</w:t>
      </w:r>
      <w:r>
        <w:rPr>
          <w:shd w:fill="FFFFFF" w:val="clear"/>
        </w:rPr>
        <w:t>Martin</w:t>
      </w:r>
      <w:r>
        <w:rPr/>
        <w:t xml:space="preserve"> et al., </w:t>
      </w:r>
      <w:r>
        <w:rPr>
          <w:shd w:fill="FFFFFF" w:val="clear"/>
        </w:rPr>
        <w:t>2021</w:t>
      </w:r>
      <w:r>
        <w:rPr/>
        <w:t>). Assume there is a correlation between the managers' rent and salary at the closed branches. It mainly includes the salary and warehouse rent of these branches, boosting the benefit of this option to £615,000. This analysis analyses the correlation between rent and salary in Brighton, Birmingham, and Manchester. As a result, these costs will be excluded from our CVP analysis. Based on that, it has been analysed that if Amana Souvenir joins the online market, it might produce £100,000 in year sales; thus, 35,263 products must be sold for the company to return its original investment. This option generates £615,000 (64,737*9.5) in amount and 64,737 contribution margin units (100,000-35,263). Observables for Option 1 include the following Depending on market conditions, Amana Souvenir may sell one hundred thousand points on its website. Because starting an online business would consider the closure of three Amana branches, they excluded salary and rent costs from our cost-benefit analysis. After subtracting all of its costs, it is obvious that Amana may profit from this option if just the relevant costs are considered.</w:t>
      </w:r>
    </w:p>
    <w:p>
      <w:pPr>
        <w:pStyle w:val="Normal"/>
        <w:rPr/>
      </w:pPr>
      <w:r>
        <w:rPr/>
      </w:r>
    </w:p>
    <w:p>
      <w:pPr>
        <w:pStyle w:val="Heading1"/>
        <w:jc w:val="both"/>
        <w:rPr/>
      </w:pPr>
      <w:bookmarkStart w:id="10" w:name="_Toc121935669"/>
      <w:r>
        <w:rPr/>
        <w:t>Option 2</w:t>
      </w:r>
      <w:bookmarkEnd w:id="10"/>
      <w:r>
        <w:rPr/>
        <w:t xml:space="preserve"> </w:t>
      </w:r>
    </w:p>
    <w:p>
      <w:pPr>
        <w:pStyle w:val="Heading3"/>
        <w:jc w:val="both"/>
        <w:rPr/>
      </w:pPr>
      <w:bookmarkStart w:id="11" w:name="_Toc121935670"/>
      <w:r>
        <w:rPr/>
        <w:t>Cost-benefit</w:t>
      </w:r>
      <w:r>
        <w:rPr>
          <w:spacing w:val="-4"/>
        </w:rPr>
        <w:t xml:space="preserve"> </w:t>
      </w:r>
      <w:r>
        <w:rPr/>
        <w:t>analysis</w:t>
      </w:r>
      <w:bookmarkEnd w:id="11"/>
    </w:p>
    <w:p>
      <w:pPr>
        <w:pStyle w:val="Normal"/>
        <w:jc w:val="both"/>
        <w:rPr/>
      </w:pPr>
      <w:r>
        <w:rPr/>
        <w:drawing>
          <wp:inline distT="0" distB="0" distL="0" distR="0">
            <wp:extent cx="4401185" cy="1353185"/>
            <wp:effectExtent l="0" t="0" r="0" b="0"/>
            <wp:docPr id="8"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
                    <pic:cNvPicPr>
                      <a:picLocks noChangeAspect="1" noChangeArrowheads="1"/>
                    </pic:cNvPicPr>
                  </pic:nvPicPr>
                  <pic:blipFill>
                    <a:blip r:embed="rId9"/>
                    <a:stretch>
                      <a:fillRect/>
                    </a:stretch>
                  </pic:blipFill>
                  <pic:spPr bwMode="auto">
                    <a:xfrm>
                      <a:off x="0" y="0"/>
                      <a:ext cx="4401185" cy="1353185"/>
                    </a:xfrm>
                    <a:prstGeom prst="rect">
                      <a:avLst/>
                    </a:prstGeom>
                  </pic:spPr>
                </pic:pic>
              </a:graphicData>
            </a:graphic>
          </wp:inline>
        </w:drawing>
      </w:r>
    </w:p>
    <w:p>
      <w:pPr>
        <w:pStyle w:val="Normal"/>
        <w:jc w:val="both"/>
        <w:rPr/>
      </w:pPr>
      <w:r>
        <w:rPr/>
        <w:drawing>
          <wp:inline distT="0" distB="0" distL="0" distR="0">
            <wp:extent cx="4382135" cy="495300"/>
            <wp:effectExtent l="0" t="0" r="0" b="0"/>
            <wp:docPr id="9"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
                    <pic:cNvPicPr>
                      <a:picLocks noChangeAspect="1" noChangeArrowheads="1"/>
                    </pic:cNvPicPr>
                  </pic:nvPicPr>
                  <pic:blipFill>
                    <a:blip r:embed="rId10"/>
                    <a:stretch>
                      <a:fillRect/>
                    </a:stretch>
                  </pic:blipFill>
                  <pic:spPr bwMode="auto">
                    <a:xfrm>
                      <a:off x="0" y="0"/>
                      <a:ext cx="4382135" cy="495300"/>
                    </a:xfrm>
                    <a:prstGeom prst="rect">
                      <a:avLst/>
                    </a:prstGeom>
                  </pic:spPr>
                </pic:pic>
              </a:graphicData>
            </a:graphic>
          </wp:inline>
        </w:drawing>
      </w:r>
    </w:p>
    <w:p>
      <w:pPr>
        <w:pStyle w:val="Heading3"/>
        <w:jc w:val="both"/>
        <w:rPr/>
      </w:pPr>
      <w:bookmarkStart w:id="12" w:name="_Toc121935671"/>
      <w:r>
        <w:rPr>
          <w:spacing w:val="-1"/>
        </w:rPr>
        <w:t>Cost-Volume-Profit</w:t>
      </w:r>
      <w:r>
        <w:rPr>
          <w:spacing w:val="-10"/>
        </w:rPr>
        <w:t xml:space="preserve"> </w:t>
      </w:r>
      <w:r>
        <w:rPr/>
        <w:t>analysis</w:t>
      </w:r>
      <w:bookmarkEnd w:id="12"/>
    </w:p>
    <w:p>
      <w:pPr>
        <w:pStyle w:val="Normal"/>
        <w:jc w:val="both"/>
        <w:rPr/>
      </w:pPr>
      <w:r>
        <w:rPr/>
        <w:drawing>
          <wp:inline distT="0" distB="0" distL="0" distR="0">
            <wp:extent cx="4372610" cy="2009775"/>
            <wp:effectExtent l="0" t="0" r="0" b="0"/>
            <wp:docPr id="10"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
                    <pic:cNvPicPr>
                      <a:picLocks noChangeAspect="1" noChangeArrowheads="1"/>
                    </pic:cNvPicPr>
                  </pic:nvPicPr>
                  <pic:blipFill>
                    <a:blip r:embed="rId11"/>
                    <a:stretch>
                      <a:fillRect/>
                    </a:stretch>
                  </pic:blipFill>
                  <pic:spPr bwMode="auto">
                    <a:xfrm>
                      <a:off x="0" y="0"/>
                      <a:ext cx="4372610" cy="2009775"/>
                    </a:xfrm>
                    <a:prstGeom prst="rect">
                      <a:avLst/>
                    </a:prstGeom>
                  </pic:spPr>
                </pic:pic>
              </a:graphicData>
            </a:graphic>
          </wp:inline>
        </w:drawing>
      </w:r>
    </w:p>
    <w:p>
      <w:pPr>
        <w:pStyle w:val="Normal"/>
        <w:jc w:val="both"/>
        <w:rPr/>
      </w:pPr>
      <w:r>
        <w:rPr/>
        <w:t>In option 2, Amana Souvenir provides the option to do online business with Amazon. As with Option 1, the company will consider both options with and without rent and salary as relevant expenses. In the aforementioned cost-benefit analysis, a profit of £1,150,000 will be considered if just two fixed costs are considered. By considering the costs, the final result is a £945,00 profit. In addition, the contribution margin unit will be 49 211 if Amana adopts this option of action (65 000 - 157 89). Considering these two costs, the BEPBEP is 355 000/9.5, or 37 368 units. There are several points to consider while choosing this option. If Amana's products are equivalent to its competitors, it will be difficult to compete; boosting market demand will lead to higher sales. Therefore it may be essential to increase advertising expenditures to achieve this. To distinguish oneself, cost costs may be overly expensive. On the other hand, Amana will have little control over the pricing system since Amazon will be in charge of it. Additionally, Amana must conform to Amazon's return policy, which might be challenging.</w:t>
      </w:r>
    </w:p>
    <w:p>
      <w:pPr>
        <w:pStyle w:val="Heading1"/>
        <w:jc w:val="both"/>
        <w:rPr/>
      </w:pPr>
      <w:bookmarkStart w:id="13" w:name="_Toc121935672"/>
      <w:r>
        <w:rPr/>
        <w:t>Recommendation</w:t>
      </w:r>
      <w:bookmarkEnd w:id="13"/>
      <w:r>
        <w:rPr/>
        <w:t xml:space="preserve"> </w:t>
      </w:r>
    </w:p>
    <w:p>
      <w:pPr>
        <w:pStyle w:val="Normal"/>
        <w:jc w:val="both"/>
        <w:rPr/>
      </w:pPr>
      <w:r>
        <w:rPr/>
        <w:t xml:space="preserve">Mr Amana's decision to go online is wise, as it will increase the visibility of his souvenir business and allow him to tap into a larger market. However, there are some important considerations before deciding whether to set up their online shop or sell on Amazon. Based on the performed two options to validate the feasibility of each option. When determining the minimum sale for each option, CVP was considered into account, along with both fixed and variable costs. Based on Option 1 incurs higher fixed costs since Amana must build its own online business from the ground up as a physical shop. Consequently, all costs related to upgrading activities will be incurred. If it chooses Amazon over its website as its online platform, the benefit will be higher than Option 1. </w:t>
      </w:r>
    </w:p>
    <w:p>
      <w:pPr>
        <w:pStyle w:val="Normal"/>
        <w:jc w:val="both"/>
        <w:rPr/>
      </w:pPr>
      <w:r>
        <w:rPr/>
        <w:t>With the same volume of sales, it will spend less money. On the other hand, it is also recommended that Option 2's primary drawback is that the company will no longer be able to specify the return system, would lose control over its pricing system and would be forced to compete with Amazon's extreme competition. Option 1 will increase sales volumes and benefit the business in the long run since, although having higher initial costs, shipping and upgrading costs may be reduced. Even after the COVID situation, they may continue to use this option to provide online and offline services to people. Clients will have total control over all elements of company operations through the new website, which will attract new customers. Consequently, Option 1 would be advantageous for Amana Souvenir given that it has a promising future, will be helpful to the company in the long run, will increase operational capabilities, and will benefit the industry's market share.</w:t>
      </w:r>
    </w:p>
    <w:p>
      <w:pPr>
        <w:pStyle w:val="Normal"/>
        <w:jc w:val="both"/>
        <w:rPr/>
      </w:pPr>
      <w:r>
        <w:rPr/>
        <w:t>Mr Amana's decision to go online and sell on Amazon is wise. Amazon is the world's largest online marketplace and offers a great platform for sellers to reach a wide range of customers. The Amazon fulfilment fees of £50,000 per annum will be more than offset by the guaranteed sales of 65,000 units annually. Additionally, there is potential to increase sales depending on demand. However, there are a few drawbacks to selling on Amazon that Mr Amana should consider. Firstly, there is a high level of competition amongst sellers on these platforms, meaning that Amana souvenirs may not always be the first option customers choose.</w:t>
      </w:r>
    </w:p>
    <w:p>
      <w:pPr>
        <w:pStyle w:val="Normal"/>
        <w:jc w:val="both"/>
        <w:rPr/>
      </w:pPr>
      <w:r>
        <w:rPr/>
        <w:t>Additionally, Mr Amana may need more control over pricing and return policies. The high levels of competition on Amazon should also be considered. While there is a potential to sell more units, there might be less margin available to make a profit because of the competition. There is also the risk that customers may be drawn to cheaper alternatives, meaning that Mr Amana may need help to achieve the sales figures he hopes for.</w:t>
      </w:r>
    </w:p>
    <w:p>
      <w:pPr>
        <w:pStyle w:val="Normal"/>
        <w:jc w:val="both"/>
        <w:rPr/>
      </w:pPr>
      <w:r>
        <w:rPr/>
        <w:t>In conclusion, Mr Amana should consider selling on Amazon as well as setting up an online shop. This will give them the benefits of selling on Amazon, such as access to a wide customer base, while also allowing them to control pricing and return policies. This will also allow them to differentiate themselves from other sellers on Amazon, thus improving their chances of success. It would depend on Mr Amana's business objectives and financial situation. If his main goal is to have total control over pricing, return policy and branding, then setting up his online shop may be the best option. However, selling on Amazon is a viable option if he wants to reach more customers and make more sales. He should consider the costs and benefits of each option carefully before deciding.</w:t>
      </w:r>
    </w:p>
    <w:p>
      <w:pPr>
        <w:pStyle w:val="Normal"/>
        <w:rPr/>
      </w:pPr>
      <w:r>
        <w:rPr/>
      </w:r>
      <w:r>
        <w:br w:type="page"/>
      </w:r>
    </w:p>
    <w:p>
      <w:pPr>
        <w:pStyle w:val="Heading1"/>
        <w:rPr/>
      </w:pPr>
      <w:bookmarkStart w:id="14" w:name="_Toc121935673"/>
      <w:r>
        <w:rPr/>
        <w:t>References</w:t>
      </w:r>
      <w:bookmarkEnd w:id="14"/>
    </w:p>
    <w:p>
      <w:pPr>
        <w:pStyle w:val="NoSpacing"/>
        <w:ind w:left="720" w:hanging="720"/>
        <w:rPr>
          <w:shd w:fill="FFFFFF" w:val="clear"/>
        </w:rPr>
      </w:pPr>
      <w:r>
        <w:rPr>
          <w:shd w:fill="FFFFFF" w:val="clear"/>
        </w:rPr>
        <w:t>Alvarez, T., Sensini, L., Bello, C. and Vazquez, M., 2021. Management accounting practices and performance of SMEs in the Hotel industry: Evidence from an emerging economy. </w:t>
      </w:r>
      <w:r>
        <w:rPr>
          <w:i/>
          <w:iCs/>
          <w:shd w:fill="FFFFFF" w:val="clear"/>
        </w:rPr>
        <w:t>International Journal of Business and Social Science</w:t>
      </w:r>
      <w:r>
        <w:rPr>
          <w:shd w:fill="FFFFFF" w:val="clear"/>
        </w:rPr>
        <w:t>, </w:t>
      </w:r>
      <w:r>
        <w:rPr>
          <w:i/>
          <w:iCs/>
          <w:shd w:fill="FFFFFF" w:val="clear"/>
        </w:rPr>
        <w:t>12</w:t>
      </w:r>
      <w:r>
        <w:rPr>
          <w:shd w:fill="FFFFFF" w:val="clear"/>
        </w:rPr>
        <w:t>(2), pp.24-35.</w:t>
      </w:r>
    </w:p>
    <w:p>
      <w:pPr>
        <w:pStyle w:val="NoSpacing"/>
        <w:ind w:left="720" w:hanging="720"/>
        <w:rPr>
          <w:shd w:fill="FFFFFF" w:val="clear"/>
        </w:rPr>
      </w:pPr>
      <w:r>
        <w:rPr>
          <w:shd w:fill="FFFFFF" w:val="clear"/>
        </w:rPr>
        <w:t>Ax, C. and Ax, E., 2022. When the supply side of a management accounting innovation fails–the case of beyond budgeting in Sweden. </w:t>
      </w:r>
      <w:r>
        <w:rPr>
          <w:i/>
          <w:iCs/>
          <w:shd w:fill="FFFFFF" w:val="clear"/>
        </w:rPr>
        <w:t>Accounting and Business Research</w:t>
      </w:r>
      <w:r>
        <w:rPr>
          <w:shd w:fill="FFFFFF" w:val="clear"/>
        </w:rPr>
        <w:t>, </w:t>
      </w:r>
      <w:r>
        <w:rPr>
          <w:i/>
          <w:iCs/>
          <w:shd w:fill="FFFFFF" w:val="clear"/>
        </w:rPr>
        <w:t>52</w:t>
      </w:r>
      <w:r>
        <w:rPr>
          <w:shd w:fill="FFFFFF" w:val="clear"/>
        </w:rPr>
        <w:t>(4), pp.443-478.</w:t>
      </w:r>
    </w:p>
    <w:p>
      <w:pPr>
        <w:pStyle w:val="NoSpacing"/>
        <w:ind w:left="720" w:hanging="720"/>
        <w:rPr>
          <w:shd w:fill="FFFFFF" w:val="clear"/>
        </w:rPr>
      </w:pPr>
      <w:r>
        <w:rPr>
          <w:shd w:fill="FFFFFF" w:val="clear"/>
        </w:rPr>
        <w:t>Bedford, D.S., Speklé, R.F. and Widener, S.K., 2022. Budgeting and employee stress in times of crisis: Evidence from the Covid-19 pandemic. </w:t>
      </w:r>
      <w:r>
        <w:rPr>
          <w:i/>
          <w:iCs/>
          <w:shd w:fill="FFFFFF" w:val="clear"/>
        </w:rPr>
        <w:t>Accounting, Organisations and Society</w:t>
      </w:r>
      <w:r>
        <w:rPr>
          <w:shd w:fill="FFFFFF" w:val="clear"/>
        </w:rPr>
        <w:t>, p.101346.</w:t>
      </w:r>
    </w:p>
    <w:p>
      <w:pPr>
        <w:pStyle w:val="NoSpacing"/>
        <w:ind w:left="720" w:hanging="720"/>
        <w:rPr>
          <w:shd w:fill="FFFFFF" w:val="clear"/>
        </w:rPr>
      </w:pPr>
      <w:r>
        <w:rPr>
          <w:shd w:fill="FFFFFF" w:val="clear"/>
        </w:rPr>
        <w:t>Boyd, K.W., 2022. </w:t>
      </w:r>
      <w:r>
        <w:rPr>
          <w:i/>
          <w:iCs/>
          <w:shd w:fill="FFFFFF" w:val="clear"/>
        </w:rPr>
        <w:t>Cost Accounting For Dummies</w:t>
      </w:r>
      <w:r>
        <w:rPr>
          <w:shd w:fill="FFFFFF" w:val="clear"/>
        </w:rPr>
        <w:t>. John Wiley &amp; Sons.</w:t>
      </w:r>
    </w:p>
    <w:p>
      <w:pPr>
        <w:pStyle w:val="NoSpacing"/>
        <w:ind w:left="720" w:hanging="720"/>
        <w:rPr>
          <w:shd w:fill="FFFFFF" w:val="clear"/>
        </w:rPr>
      </w:pPr>
      <w:r>
        <w:rPr>
          <w:shd w:fill="FFFFFF" w:val="clear"/>
        </w:rPr>
        <w:t>Campos, F., Lima Santos, L., Gomes, C. and Cardoso, L., 2022. Management Accounting Practices in the Hospitality Industry: A Systematic Review and Critical Approach. </w:t>
      </w:r>
      <w:r>
        <w:rPr>
          <w:i/>
          <w:iCs/>
          <w:shd w:fill="FFFFFF" w:val="clear"/>
        </w:rPr>
        <w:t>Tourism and Hospitality</w:t>
      </w:r>
      <w:r>
        <w:rPr>
          <w:shd w:fill="FFFFFF" w:val="clear"/>
        </w:rPr>
        <w:t>, </w:t>
      </w:r>
      <w:r>
        <w:rPr>
          <w:i/>
          <w:iCs/>
          <w:shd w:fill="FFFFFF" w:val="clear"/>
        </w:rPr>
        <w:t>3</w:t>
      </w:r>
      <w:r>
        <w:rPr>
          <w:shd w:fill="FFFFFF" w:val="clear"/>
        </w:rPr>
        <w:t>(1), pp.243-264.</w:t>
      </w:r>
    </w:p>
    <w:p>
      <w:pPr>
        <w:pStyle w:val="NoSpacing"/>
        <w:ind w:left="720" w:hanging="720"/>
        <w:rPr>
          <w:shd w:fill="FFFFFF" w:val="clear"/>
        </w:rPr>
      </w:pPr>
      <w:r>
        <w:rPr>
          <w:shd w:fill="FFFFFF" w:val="clear"/>
        </w:rPr>
        <w:t>Drury, C., 2018. </w:t>
      </w:r>
      <w:r>
        <w:rPr>
          <w:i/>
          <w:iCs/>
          <w:shd w:fill="FFFFFF" w:val="clear"/>
        </w:rPr>
        <w:t>Cost and management accounting</w:t>
      </w:r>
      <w:r>
        <w:rPr>
          <w:shd w:fill="FFFFFF" w:val="clear"/>
        </w:rPr>
        <w:t>. Cengage Learning.</w:t>
      </w:r>
    </w:p>
    <w:p>
      <w:pPr>
        <w:pStyle w:val="NoSpacing"/>
        <w:ind w:left="720" w:hanging="720"/>
        <w:rPr>
          <w:shd w:fill="FFFFFF" w:val="clear"/>
        </w:rPr>
      </w:pPr>
      <w:r>
        <w:rPr>
          <w:shd w:fill="FFFFFF" w:val="clear"/>
        </w:rPr>
        <w:t>Ismanov, I.N. and Axmadaliev, B., 2021. Factors Influencing The Formation Of International Budget Accounting Systems. </w:t>
      </w:r>
      <w:r>
        <w:rPr>
          <w:i/>
          <w:iCs/>
          <w:shd w:fill="FFFFFF" w:val="clear"/>
        </w:rPr>
        <w:t>The American Journal of Management and Economics Innovations</w:t>
      </w:r>
      <w:r>
        <w:rPr>
          <w:shd w:fill="FFFFFF" w:val="clear"/>
        </w:rPr>
        <w:t>, </w:t>
      </w:r>
      <w:r>
        <w:rPr>
          <w:i/>
          <w:iCs/>
          <w:shd w:fill="FFFFFF" w:val="clear"/>
        </w:rPr>
        <w:t>3</w:t>
      </w:r>
      <w:r>
        <w:rPr>
          <w:shd w:fill="FFFFFF" w:val="clear"/>
        </w:rPr>
        <w:t>(09), pp.21-30.</w:t>
      </w:r>
    </w:p>
    <w:p>
      <w:pPr>
        <w:pStyle w:val="NoSpacing"/>
        <w:ind w:left="720" w:hanging="720"/>
        <w:rPr>
          <w:shd w:fill="FFFFFF" w:val="clear"/>
        </w:rPr>
      </w:pPr>
      <w:r>
        <w:rPr>
          <w:shd w:fill="FFFFFF" w:val="clear"/>
        </w:rPr>
        <w:t xml:space="preserve">Łada, M., Kozarkiewicz, A., Bartnik, B. and Haslam, J., 2022. Market liberalisation's impact on management accounting: a case study focused on a regional trade unit of the Polish gas company. </w:t>
      </w:r>
      <w:r>
        <w:rPr>
          <w:i/>
          <w:iCs/>
          <w:shd w:fill="FFFFFF" w:val="clear"/>
        </w:rPr>
        <w:t>Journal of Accounting in Emerging Economies</w:t>
      </w:r>
      <w:r>
        <w:rPr>
          <w:shd w:fill="FFFFFF" w:val="clear"/>
        </w:rPr>
        <w:t>.</w:t>
      </w:r>
    </w:p>
    <w:p>
      <w:pPr>
        <w:pStyle w:val="NoSpacing"/>
        <w:ind w:left="720" w:hanging="720"/>
        <w:rPr>
          <w:shd w:fill="FFFFFF" w:val="clear"/>
        </w:rPr>
      </w:pPr>
      <w:r>
        <w:rPr>
          <w:shd w:fill="FFFFFF" w:val="clear"/>
        </w:rPr>
        <w:t>Langfield-Smith, K., Thorne, H. and Hilton, R.W., 2018. </w:t>
      </w:r>
      <w:r>
        <w:rPr>
          <w:i/>
          <w:iCs/>
          <w:shd w:fill="FFFFFF" w:val="clear"/>
        </w:rPr>
        <w:t>Management accounting: Information for creating and managing value</w:t>
      </w:r>
      <w:r>
        <w:rPr>
          <w:shd w:fill="FFFFFF" w:val="clear"/>
        </w:rPr>
        <w:t>. Sydney: McGraw-Hill Education.</w:t>
      </w:r>
    </w:p>
    <w:p>
      <w:pPr>
        <w:pStyle w:val="NoSpacing"/>
        <w:ind w:left="720" w:hanging="720"/>
        <w:rPr>
          <w:shd w:fill="FFFFFF" w:val="clear"/>
        </w:rPr>
      </w:pPr>
      <w:r>
        <w:rPr>
          <w:shd w:fill="FFFFFF" w:val="clear"/>
        </w:rPr>
        <w:t>Ma, L., Chen, X., Zhou, J. and Aldieri, L., 2022. Strategic Management Accounting in Small and Medium-Sized Enterprises in Emerging Countries and Markets: A Case Study from China. </w:t>
      </w:r>
      <w:r>
        <w:rPr>
          <w:i/>
          <w:iCs/>
          <w:shd w:fill="FFFFFF" w:val="clear"/>
        </w:rPr>
        <w:t>Economies</w:t>
      </w:r>
      <w:r>
        <w:rPr>
          <w:shd w:fill="FFFFFF" w:val="clear"/>
        </w:rPr>
        <w:t>, </w:t>
      </w:r>
      <w:r>
        <w:rPr>
          <w:i/>
          <w:iCs/>
          <w:shd w:fill="FFFFFF" w:val="clear"/>
        </w:rPr>
        <w:t>10</w:t>
      </w:r>
      <w:r>
        <w:rPr>
          <w:shd w:fill="FFFFFF" w:val="clear"/>
        </w:rPr>
        <w:t>(4), p.74.</w:t>
      </w:r>
    </w:p>
    <w:p>
      <w:pPr>
        <w:pStyle w:val="NoSpacing"/>
        <w:ind w:left="720" w:hanging="720"/>
        <w:rPr>
          <w:shd w:fill="FFFFFF" w:val="clear"/>
        </w:rPr>
      </w:pPr>
      <w:r>
        <w:rPr>
          <w:shd w:fill="FFFFFF" w:val="clear"/>
        </w:rPr>
        <w:t>Macintosh, N.B. and Daft, R.L., 2019. Management control systems and departmental interdependences: an empirical study. In </w:t>
      </w:r>
      <w:r>
        <w:rPr>
          <w:i/>
          <w:iCs/>
          <w:shd w:fill="FFFFFF" w:val="clear"/>
        </w:rPr>
        <w:t>Management Control Theory</w:t>
      </w:r>
      <w:r>
        <w:rPr>
          <w:shd w:fill="FFFFFF" w:val="clear"/>
        </w:rPr>
        <w:t> (pp. 289-302). Routledge.</w:t>
      </w:r>
    </w:p>
    <w:p>
      <w:pPr>
        <w:pStyle w:val="NoSpacing"/>
        <w:ind w:left="720" w:hanging="720"/>
        <w:rPr>
          <w:shd w:fill="FFFFFF" w:val="clear"/>
        </w:rPr>
      </w:pPr>
      <w:r>
        <w:rPr>
          <w:shd w:fill="FFFFFF" w:val="clear"/>
        </w:rPr>
        <w:t xml:space="preserve">Maheshwari, SNSN, Maheshwari, SKSK and Maheshwari, CSKCSK, 2022. </w:t>
      </w:r>
      <w:r>
        <w:rPr>
          <w:i/>
          <w:iCs/>
          <w:shd w:fill="FFFFFF" w:val="clear"/>
        </w:rPr>
        <w:t>Financial and management accounting</w:t>
      </w:r>
      <w:r>
        <w:rPr>
          <w:shd w:fill="FFFFFF" w:val="clear"/>
        </w:rPr>
        <w:t>. Sultan Chand &amp; Sons.</w:t>
      </w:r>
      <w:r>
        <w:rPr/>
        <w:t xml:space="preserve"> </w:t>
      </w:r>
      <w:r>
        <w:rPr>
          <w:shd w:fill="FFFFFF" w:val="clear"/>
        </w:rPr>
        <w:t>Maheshwari, SNSN, Maheshwari, SKSK and Maheshwari, CSKCSK, 2022. Financial and management accounting. Sultan Chand &amp; Sons.</w:t>
      </w:r>
    </w:p>
    <w:p>
      <w:pPr>
        <w:pStyle w:val="NoSpacing"/>
        <w:ind w:left="720" w:hanging="720"/>
        <w:rPr>
          <w:shd w:fill="FFFFFF" w:val="clear"/>
        </w:rPr>
      </w:pPr>
      <w:r>
        <w:rPr>
          <w:shd w:fill="FFFFFF" w:val="clear"/>
        </w:rPr>
        <w:t xml:space="preserve">Maheshwari, SNSN, Maheshwari, SKSK and Maheshwari, CSKCSK, 2022. </w:t>
      </w:r>
      <w:r>
        <w:rPr>
          <w:i/>
          <w:iCs/>
          <w:shd w:fill="FFFFFF" w:val="clear"/>
        </w:rPr>
        <w:t>Financial and management accounting</w:t>
      </w:r>
      <w:r>
        <w:rPr>
          <w:shd w:fill="FFFFFF" w:val="clear"/>
        </w:rPr>
        <w:t>. Sultan Chand &amp; Sons.</w:t>
      </w:r>
    </w:p>
    <w:p>
      <w:pPr>
        <w:pStyle w:val="NoSpacing"/>
        <w:ind w:left="720" w:hanging="720"/>
        <w:rPr>
          <w:shd w:fill="FFFFFF" w:val="clear"/>
        </w:rPr>
      </w:pPr>
      <w:r>
        <w:rPr>
          <w:shd w:fill="FFFFFF" w:val="clear"/>
        </w:rPr>
        <w:t xml:space="preserve">Maheshwari, SNSN, Maheshwari, SKSK and Maheshwari, MSKMSK, 2021. </w:t>
      </w:r>
      <w:r>
        <w:rPr>
          <w:i/>
          <w:iCs/>
          <w:shd w:fill="FFFFFF" w:val="clear"/>
        </w:rPr>
        <w:t>Principles of Management Accounting</w:t>
      </w:r>
      <w:r>
        <w:rPr>
          <w:shd w:fill="FFFFFF" w:val="clear"/>
        </w:rPr>
        <w:t>. Sultan Chand &amp; Sons.</w:t>
      </w:r>
    </w:p>
    <w:p>
      <w:pPr>
        <w:pStyle w:val="NoSpacing"/>
        <w:ind w:left="720" w:hanging="720"/>
        <w:rPr>
          <w:shd w:fill="FFFFFF" w:val="clear"/>
        </w:rPr>
      </w:pPr>
      <w:r>
        <w:rPr>
          <w:shd w:fill="FFFFFF" w:val="clear"/>
        </w:rPr>
        <w:t>Martin, P.R., 2021. Corporate social responsibility and capital budgeting. </w:t>
      </w:r>
      <w:r>
        <w:rPr>
          <w:i/>
          <w:iCs/>
          <w:shd w:fill="FFFFFF" w:val="clear"/>
        </w:rPr>
        <w:t>Accounting, Organisations and Society</w:t>
      </w:r>
      <w:r>
        <w:rPr>
          <w:shd w:fill="FFFFFF" w:val="clear"/>
        </w:rPr>
        <w:t>, </w:t>
      </w:r>
      <w:r>
        <w:rPr>
          <w:i/>
          <w:iCs/>
          <w:shd w:fill="FFFFFF" w:val="clear"/>
        </w:rPr>
        <w:t>92</w:t>
      </w:r>
      <w:r>
        <w:rPr>
          <w:shd w:fill="FFFFFF" w:val="clear"/>
        </w:rPr>
        <w:t>, p.101236.</w:t>
      </w:r>
    </w:p>
    <w:p>
      <w:pPr>
        <w:pStyle w:val="NoSpacing"/>
        <w:ind w:left="720" w:hanging="720"/>
        <w:rPr>
          <w:shd w:fill="FFFFFF" w:val="clear"/>
        </w:rPr>
      </w:pPr>
      <w:r>
        <w:rPr>
          <w:shd w:fill="FFFFFF" w:val="clear"/>
        </w:rPr>
        <w:t xml:space="preserve">Oyewo, B.M., 2021. Outcomes of interaction between organisational characteristics and management accounting practice on corporate sustainability: the global management accounting principles (GMAP) approach. </w:t>
      </w:r>
      <w:r>
        <w:rPr>
          <w:i/>
          <w:iCs/>
          <w:shd w:fill="FFFFFF" w:val="clear"/>
        </w:rPr>
        <w:t>Journal of Sustainable Finance &amp; Investment</w:t>
      </w:r>
      <w:r>
        <w:rPr>
          <w:shd w:fill="FFFFFF" w:val="clear"/>
        </w:rPr>
        <w:t>, </w:t>
      </w:r>
      <w:r>
        <w:rPr>
          <w:i/>
          <w:iCs/>
          <w:shd w:fill="FFFFFF" w:val="clear"/>
        </w:rPr>
        <w:t>11</w:t>
      </w:r>
      <w:r>
        <w:rPr>
          <w:shd w:fill="FFFFFF" w:val="clear"/>
        </w:rPr>
        <w:t>(4), pp.351-385.</w:t>
      </w:r>
    </w:p>
    <w:p>
      <w:pPr>
        <w:pStyle w:val="NoSpacing"/>
        <w:ind w:left="720" w:hanging="720"/>
        <w:rPr>
          <w:shd w:fill="FFFFFF" w:val="clear"/>
        </w:rPr>
      </w:pPr>
      <w:r>
        <w:rPr>
          <w:shd w:fill="FFFFFF" w:val="clear"/>
        </w:rPr>
        <w:t>Rikhardsson, P. and Yigitbasioglu, O., 2018. Business intelligence &amp; analytics in management accounting research: Status and future focus. </w:t>
      </w:r>
      <w:r>
        <w:rPr>
          <w:i/>
          <w:iCs/>
          <w:shd w:fill="FFFFFF" w:val="clear"/>
        </w:rPr>
        <w:t>International Journal of Accounting Information Systems</w:t>
      </w:r>
      <w:r>
        <w:rPr>
          <w:shd w:fill="FFFFFF" w:val="clear"/>
        </w:rPr>
        <w:t>, </w:t>
      </w:r>
      <w:r>
        <w:rPr>
          <w:i/>
          <w:iCs/>
          <w:shd w:fill="FFFFFF" w:val="clear"/>
        </w:rPr>
        <w:t>29</w:t>
      </w:r>
      <w:r>
        <w:rPr>
          <w:shd w:fill="FFFFFF" w:val="clear"/>
        </w:rPr>
        <w:t>, pp.37-58.</w:t>
      </w:r>
    </w:p>
    <w:p>
      <w:pPr>
        <w:pStyle w:val="NoSpacing"/>
        <w:ind w:left="720" w:hanging="720"/>
        <w:rPr>
          <w:shd w:fill="FFFFFF" w:val="clear"/>
        </w:rPr>
      </w:pPr>
      <w:r>
        <w:rPr>
          <w:shd w:fill="FFFFFF" w:val="clear"/>
        </w:rPr>
        <w:t>Semenyshena, N., Khorunzhak, N., Lazaryshyna, I., Yurchenko, O. and Ostapenko, Y., 2021. Accounting institute: on the genesis and impact of management revolutions. </w:t>
      </w:r>
      <w:r>
        <w:rPr>
          <w:i/>
          <w:iCs/>
          <w:shd w:fill="FFFFFF" w:val="clear"/>
        </w:rPr>
        <w:t>Independent Journal of Management &amp; Production</w:t>
      </w:r>
      <w:r>
        <w:rPr>
          <w:shd w:fill="FFFFFF" w:val="clear"/>
        </w:rPr>
        <w:t>, </w:t>
      </w:r>
      <w:r>
        <w:rPr>
          <w:i/>
          <w:iCs/>
          <w:shd w:fill="FFFFFF" w:val="clear"/>
        </w:rPr>
        <w:t>12</w:t>
      </w:r>
      <w:r>
        <w:rPr>
          <w:shd w:fill="FFFFFF" w:val="clear"/>
        </w:rPr>
        <w:t>(3), pp.s243-s261.</w:t>
      </w:r>
    </w:p>
    <w:p>
      <w:pPr>
        <w:pStyle w:val="NoSpacing"/>
        <w:ind w:left="720" w:hanging="720"/>
        <w:rPr>
          <w:shd w:fill="FFFFFF" w:val="clear"/>
        </w:rPr>
      </w:pPr>
      <w:r>
        <w:rPr>
          <w:shd w:fill="FFFFFF" w:val="clear"/>
        </w:rPr>
        <w:t>Xolmirzaev, U., Juraev, E. and Axmadjonova, M., 2021. THE ROLE OF ACCOUNTING IN SMALL BUSINESS MANAGEMENT. </w:t>
      </w:r>
      <w:r>
        <w:rPr>
          <w:i/>
          <w:iCs/>
          <w:shd w:fill="FFFFFF" w:val="clear"/>
        </w:rPr>
        <w:t>Интернаука</w:t>
      </w:r>
      <w:r>
        <w:rPr>
          <w:shd w:fill="FFFFFF" w:val="clear"/>
        </w:rPr>
        <w:t>, (21-5), pp.20-22.</w:t>
      </w:r>
    </w:p>
    <w:p>
      <w:pPr>
        <w:pStyle w:val="Normal"/>
        <w:suppressAutoHyphens w:val="false"/>
        <w:spacing w:lineRule="auto" w:line="259" w:before="0" w:after="160"/>
        <w:ind w:hanging="0"/>
        <w:rPr>
          <w:shd w:fill="FFFFFF" w:val="clear"/>
          <w:lang w:eastAsia="zh-CN"/>
        </w:rPr>
      </w:pPr>
      <w:r>
        <w:rPr/>
      </w:r>
    </w:p>
    <w:sectPr>
      <w:headerReference w:type="default" r:id="rId12"/>
      <w:type w:val="nextPage"/>
      <w:pgSz w:w="12240" w:h="15840"/>
      <w:pgMar w:left="1440" w:right="1440" w:gutter="0" w:header="720" w:top="1440" w:footer="0" w:bottom="144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Calibri Light">
    <w:charset w:val="00"/>
    <w:family w:val="roman"/>
    <w:pitch w:val="variable"/>
  </w:font>
  <w:font w:name="Arial">
    <w:charset w:val="01"/>
    <w:family w:val="swiss"/>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666085305"/>
    </w:sdtPr>
    <w:sdtContent>
      <w:p>
        <w:pPr>
          <w:pStyle w:val="Header"/>
          <w:jc w:val="right"/>
          <w:rPr/>
        </w:pPr>
        <w:r>
          <w:rPr/>
          <w:fldChar w:fldCharType="begin"/>
        </w:r>
        <w:r>
          <w:rPr/>
          <w:instrText> PAGE </w:instrText>
        </w:r>
        <w:r>
          <w:rPr/>
          <w:fldChar w:fldCharType="separate"/>
        </w:r>
        <w:r>
          <w:rPr/>
          <w:t>14</w:t>
        </w:r>
        <w:r>
          <w:rPr/>
          <w:fldChar w:fldCharType="end"/>
        </w:r>
        <w:r>
          <w:rPr/>
          <w:t>| REPORT</w:t>
        </w:r>
      </w:p>
    </w:sdtContent>
  </w:sdt>
  <w:p>
    <w:pPr>
      <w:pStyle w:val="Header"/>
      <w:rPr/>
    </w:pPr>
    <w:r>
      <w:rPr/>
    </w:r>
  </w:p>
</w:hdr>
</file>

<file path=word/settings.xml><?xml version="1.0" encoding="utf-8"?>
<w:settings xmlns:w="http://schemas.openxmlformats.org/wordprocessingml/2006/main">
  <w:zoom w:percent="5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Arial"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40016"/>
    <w:pPr>
      <w:widowControl/>
      <w:suppressAutoHyphens w:val="true"/>
      <w:bidi w:val="0"/>
      <w:spacing w:lineRule="auto" w:line="360" w:before="120" w:after="120"/>
      <w:ind w:firstLine="720"/>
      <w:jc w:val="left"/>
    </w:pPr>
    <w:rPr>
      <w:rFonts w:ascii="Times New Roman" w:hAnsi="Times New Roman" w:eastAsia="SimSun" w:cs="Times New Roman"/>
      <w:color w:val="auto"/>
      <w:kern w:val="0"/>
      <w:sz w:val="24"/>
      <w:szCs w:val="24"/>
      <w:lang w:eastAsia="ar-SA" w:val="en-GB" w:bidi="ar-SA"/>
    </w:rPr>
  </w:style>
  <w:style w:type="paragraph" w:styleId="Heading1">
    <w:name w:val="Heading 1"/>
    <w:basedOn w:val="Normal"/>
    <w:next w:val="Normal"/>
    <w:link w:val="Heading1Char"/>
    <w:autoRedefine/>
    <w:uiPriority w:val="9"/>
    <w:qFormat/>
    <w:rsid w:val="005a70df"/>
    <w:pPr>
      <w:keepNext w:val="true"/>
      <w:keepLines/>
      <w:spacing w:lineRule="auto" w:line="259" w:before="0" w:after="160"/>
      <w:ind w:hanging="0"/>
      <w:outlineLvl w:val="0"/>
    </w:pPr>
    <w:rPr>
      <w:rFonts w:eastAsia="" w:cs="Times New Roman" w:cstheme="majorBidi" w:eastAsiaTheme="majorEastAsia"/>
      <w:b/>
      <w:i/>
      <w:color w:val="000000" w:themeColor="text1"/>
      <w:szCs w:val="32"/>
    </w:rPr>
  </w:style>
  <w:style w:type="paragraph" w:styleId="Heading2">
    <w:name w:val="Heading 2"/>
    <w:basedOn w:val="Normal"/>
    <w:next w:val="Normal"/>
    <w:link w:val="Heading2Char"/>
    <w:autoRedefine/>
    <w:uiPriority w:val="9"/>
    <w:unhideWhenUsed/>
    <w:qFormat/>
    <w:rsid w:val="005a70df"/>
    <w:pPr>
      <w:spacing w:lineRule="auto" w:line="259" w:before="0" w:after="160"/>
      <w:ind w:hanging="0"/>
      <w:outlineLvl w:val="1"/>
    </w:pPr>
    <w:rPr>
      <w:i/>
    </w:rPr>
  </w:style>
  <w:style w:type="paragraph" w:styleId="Heading3">
    <w:name w:val="Heading 3"/>
    <w:basedOn w:val="Normal"/>
    <w:next w:val="Normal"/>
    <w:link w:val="Heading3Char"/>
    <w:autoRedefine/>
    <w:uiPriority w:val="9"/>
    <w:unhideWhenUsed/>
    <w:qFormat/>
    <w:rsid w:val="005a70df"/>
    <w:pPr>
      <w:keepNext w:val="true"/>
      <w:keepLines/>
      <w:spacing w:lineRule="auto" w:line="259" w:before="0" w:after="160"/>
      <w:ind w:hanging="0"/>
      <w:jc w:val="center"/>
      <w:outlineLvl w:val="2"/>
    </w:pPr>
    <w:rPr>
      <w:rFonts w:eastAsia="" w:cs="Times New Roman" w:cstheme="majorBidi" w:eastAsiaTheme="majorEastAsia"/>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5a70df"/>
    <w:rPr>
      <w:rFonts w:ascii="Times New Roman" w:hAnsi="Times New Roman" w:eastAsia="" w:cs="Times New Roman" w:cstheme="majorBidi" w:eastAsiaTheme="majorEastAsia"/>
      <w:b/>
      <w:i/>
      <w:color w:val="000000" w:themeColor="text1"/>
      <w:sz w:val="24"/>
      <w:szCs w:val="32"/>
    </w:rPr>
  </w:style>
  <w:style w:type="character" w:styleId="Heading2Char" w:customStyle="1">
    <w:name w:val="Heading 2 Char"/>
    <w:basedOn w:val="DefaultParagraphFont"/>
    <w:link w:val="Heading2"/>
    <w:uiPriority w:val="9"/>
    <w:qFormat/>
    <w:rsid w:val="005a70df"/>
    <w:rPr>
      <w:rFonts w:ascii="Times New Roman" w:hAnsi="Times New Roman"/>
      <w:i/>
      <w:sz w:val="24"/>
    </w:rPr>
  </w:style>
  <w:style w:type="character" w:styleId="Heading3Char" w:customStyle="1">
    <w:name w:val="Heading 3 Char"/>
    <w:basedOn w:val="DefaultParagraphFont"/>
    <w:link w:val="Heading3"/>
    <w:uiPriority w:val="9"/>
    <w:qFormat/>
    <w:rsid w:val="005a70df"/>
    <w:rPr>
      <w:rFonts w:ascii="Times New Roman" w:hAnsi="Times New Roman" w:eastAsia="" w:cs="Times New Roman" w:cstheme="majorBidi" w:eastAsiaTheme="majorEastAsia"/>
      <w:sz w:val="24"/>
    </w:rPr>
  </w:style>
  <w:style w:type="character" w:styleId="SubtitleChar" w:customStyle="1">
    <w:name w:val="Subtitle Char"/>
    <w:basedOn w:val="DefaultParagraphFont"/>
    <w:link w:val="Subtitle"/>
    <w:uiPriority w:val="11"/>
    <w:qFormat/>
    <w:rsid w:val="00c306d6"/>
    <w:rPr>
      <w:rFonts w:ascii="Times New Roman" w:hAnsi="Times New Roman" w:eastAsia="" w:cs="Times New Roman" w:eastAsiaTheme="minorEastAsia"/>
      <w:b/>
      <w:spacing w:val="15"/>
      <w:sz w:val="24"/>
      <w:szCs w:val="24"/>
      <w:lang w:eastAsia="zh-CN"/>
    </w:rPr>
  </w:style>
  <w:style w:type="character" w:styleId="BodyTextChar" w:customStyle="1">
    <w:name w:val="Body Text Char"/>
    <w:basedOn w:val="DefaultParagraphFont"/>
    <w:link w:val="BodyText"/>
    <w:uiPriority w:val="1"/>
    <w:qFormat/>
    <w:rsid w:val="005a1178"/>
    <w:rPr>
      <w:rFonts w:ascii="Times New Roman" w:hAnsi="Times New Roman" w:eastAsia="Times New Roman" w:cs="Times New Roman"/>
      <w:sz w:val="24"/>
      <w:szCs w:val="24"/>
      <w:lang w:val="en-US"/>
    </w:rPr>
  </w:style>
  <w:style w:type="character" w:styleId="HeaderChar" w:customStyle="1">
    <w:name w:val="Header Char"/>
    <w:basedOn w:val="DefaultParagraphFont"/>
    <w:link w:val="Header"/>
    <w:uiPriority w:val="99"/>
    <w:qFormat/>
    <w:rsid w:val="00ce7967"/>
    <w:rPr>
      <w:rFonts w:ascii="Times New Roman" w:hAnsi="Times New Roman" w:eastAsia="SimSun" w:cs="Times New Roman"/>
      <w:sz w:val="24"/>
      <w:szCs w:val="24"/>
      <w:lang w:eastAsia="ar-SA"/>
    </w:rPr>
  </w:style>
  <w:style w:type="character" w:styleId="FooterChar" w:customStyle="1">
    <w:name w:val="Footer Char"/>
    <w:basedOn w:val="DefaultParagraphFont"/>
    <w:link w:val="Footer"/>
    <w:uiPriority w:val="99"/>
    <w:qFormat/>
    <w:rsid w:val="00ce7967"/>
    <w:rPr>
      <w:rFonts w:ascii="Times New Roman" w:hAnsi="Times New Roman" w:eastAsia="SimSun" w:cs="Times New Roman"/>
      <w:sz w:val="24"/>
      <w:szCs w:val="24"/>
      <w:lang w:eastAsia="ar-SA"/>
    </w:rPr>
  </w:style>
  <w:style w:type="character" w:styleId="InternetLink">
    <w:name w:val="Hyperlink"/>
    <w:basedOn w:val="DefaultParagraphFont"/>
    <w:uiPriority w:val="99"/>
    <w:unhideWhenUsed/>
    <w:rsid w:val="00ce7967"/>
    <w:rPr>
      <w:color w:val="0563C1"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link w:val="BodyTextChar"/>
    <w:uiPriority w:val="1"/>
    <w:qFormat/>
    <w:rsid w:val="005a1178"/>
    <w:pPr>
      <w:widowControl w:val="false"/>
      <w:suppressAutoHyphens w:val="false"/>
      <w:spacing w:lineRule="auto" w:line="240" w:before="0" w:after="0"/>
      <w:ind w:left="221" w:hanging="0"/>
    </w:pPr>
    <w:rPr>
      <w:rFonts w:eastAsia="Times New Roman"/>
      <w:lang w:val="en-US" w:eastAsia="en-US"/>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NoSpacing">
    <w:name w:val="No Spacing"/>
    <w:autoRedefine/>
    <w:uiPriority w:val="1"/>
    <w:qFormat/>
    <w:rsid w:val="0080163c"/>
    <w:pPr>
      <w:widowControl/>
      <w:bidi w:val="0"/>
      <w:spacing w:lineRule="auto" w:line="360" w:before="120" w:after="120"/>
      <w:jc w:val="both"/>
    </w:pPr>
    <w:rPr>
      <w:rFonts w:ascii="Times New Roman" w:hAnsi="Times New Roman" w:eastAsia="SimSun" w:cs="Times New Roman"/>
      <w:color w:val="auto"/>
      <w:kern w:val="0"/>
      <w:sz w:val="24"/>
      <w:szCs w:val="24"/>
      <w:lang w:eastAsia="zh-CN" w:val="en-GB" w:bidi="ar-SA"/>
    </w:rPr>
  </w:style>
  <w:style w:type="paragraph" w:styleId="Subtitle">
    <w:name w:val="Subtitle"/>
    <w:basedOn w:val="Normal"/>
    <w:next w:val="Normal"/>
    <w:link w:val="SubtitleChar"/>
    <w:autoRedefine/>
    <w:uiPriority w:val="11"/>
    <w:qFormat/>
    <w:rsid w:val="00c306d6"/>
    <w:pPr>
      <w:spacing w:before="120" w:after="160"/>
      <w:ind w:firstLine="720"/>
      <w:jc w:val="center"/>
    </w:pPr>
    <w:rPr>
      <w:rFonts w:eastAsia="" w:eastAsiaTheme="minorEastAsia"/>
      <w:b/>
      <w:spacing w:val="15"/>
    </w:rPr>
  </w:style>
  <w:style w:type="paragraph" w:styleId="HeaderandFooter">
    <w:name w:val="Header and Footer"/>
    <w:basedOn w:val="Normal"/>
    <w:qFormat/>
    <w:pPr/>
    <w:rPr/>
  </w:style>
  <w:style w:type="paragraph" w:styleId="Header">
    <w:name w:val="Header"/>
    <w:basedOn w:val="Normal"/>
    <w:link w:val="HeaderChar"/>
    <w:uiPriority w:val="99"/>
    <w:unhideWhenUsed/>
    <w:rsid w:val="00ce7967"/>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ce7967"/>
    <w:pPr>
      <w:tabs>
        <w:tab w:val="clear" w:pos="720"/>
        <w:tab w:val="center" w:pos="4513" w:leader="none"/>
        <w:tab w:val="right" w:pos="9026" w:leader="none"/>
      </w:tabs>
      <w:spacing w:lineRule="auto" w:line="240" w:before="0" w:after="0"/>
    </w:pPr>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ce7967"/>
    <w:pPr>
      <w:suppressAutoHyphens w:val="false"/>
      <w:spacing w:before="240" w:after="0"/>
      <w:outlineLvl w:val="9"/>
    </w:pPr>
    <w:rPr>
      <w:rFonts w:ascii="Calibri Light" w:hAnsi="Calibri Light" w:asciiTheme="majorHAnsi" w:hAnsiTheme="majorHAnsi"/>
      <w:b w:val="false"/>
      <w:i w:val="false"/>
      <w:color w:val="2F5496" w:themeColor="accent1" w:themeShade="bf"/>
      <w:sz w:val="32"/>
      <w:lang w:val="en-US" w:eastAsia="en-US"/>
    </w:rPr>
  </w:style>
  <w:style w:type="paragraph" w:styleId="Contents1">
    <w:name w:val="TOC 1"/>
    <w:basedOn w:val="Normal"/>
    <w:next w:val="Normal"/>
    <w:autoRedefine/>
    <w:uiPriority w:val="39"/>
    <w:unhideWhenUsed/>
    <w:rsid w:val="00ce7967"/>
    <w:pPr>
      <w:tabs>
        <w:tab w:val="clear" w:pos="720"/>
        <w:tab w:val="right" w:pos="9350" w:leader="dot"/>
      </w:tabs>
      <w:spacing w:before="120" w:after="100"/>
      <w:ind w:firstLine="180"/>
    </w:pPr>
    <w:rPr/>
  </w:style>
  <w:style w:type="paragraph" w:styleId="Contents2">
    <w:name w:val="TOC 2"/>
    <w:basedOn w:val="Normal"/>
    <w:next w:val="Normal"/>
    <w:autoRedefine/>
    <w:uiPriority w:val="39"/>
    <w:unhideWhenUsed/>
    <w:rsid w:val="00ce7967"/>
    <w:pPr>
      <w:tabs>
        <w:tab w:val="clear" w:pos="720"/>
        <w:tab w:val="right" w:pos="9350" w:leader="dot"/>
      </w:tabs>
      <w:spacing w:before="120" w:after="100"/>
      <w:ind w:left="240" w:firstLine="210"/>
    </w:pPr>
    <w:rPr/>
  </w:style>
  <w:style w:type="paragraph" w:styleId="Contents3">
    <w:name w:val="TOC 3"/>
    <w:basedOn w:val="Normal"/>
    <w:next w:val="Normal"/>
    <w:autoRedefine/>
    <w:uiPriority w:val="39"/>
    <w:unhideWhenUsed/>
    <w:rsid w:val="00ce7967"/>
    <w:pPr>
      <w:tabs>
        <w:tab w:val="clear" w:pos="720"/>
        <w:tab w:val="right" w:pos="9350" w:leader="dot"/>
      </w:tabs>
      <w:spacing w:before="120" w:after="100"/>
      <w:ind w:left="480" w:firstLine="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Relationship Id="rId1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D01EED-BD53-4E9A-9CE8-6595019DB2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Application>LibreOffice/7.2.7.2$Windows_X86_64 LibreOffice_project/8d71d29d553c0f7dcbfa38fbfda25ee34cce99a2</Application>
  <AppVersion>15.0000</AppVersion>
  <Pages>14</Pages>
  <Words>3023</Words>
  <Characters>16515</Characters>
  <CharactersWithSpaces>19475</CharactersWithSpaces>
  <Paragraphs>86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2022-12-30T22:52:00Z</dcterms:created>
  <dc:creator>Arham Sheikh</dc:creator>
  <dc:description/>
  <dc:language>en-GB</dc:language>
  <cp:lastModifiedBy/>
  <dcterms:modified xsi:type="dcterms:W3CDTF">2022-12-30T22:54:53Z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