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spacing w:lineRule="auto" w:line="360"/>
        <w:jc w:val="center"/>
        <w:rPr>
          <w:rFonts w:ascii="Times New Roman" w:hAnsi="Times New Roman" w:eastAsia="Times New Roman" w:cs="Times New Roman"/>
          <w:b/>
          <w:b/>
          <w:color w:val="000000" w:themeColor="text1"/>
          <w:sz w:val="36"/>
          <w:szCs w:val="36"/>
          <w:lang w:val="en-GB"/>
        </w:rPr>
      </w:pPr>
      <w:r>
        <w:rPr>
          <w:rFonts w:eastAsia="Times New Roman" w:cs="Times New Roman" w:ascii="Times New Roman" w:hAnsi="Times New Roman"/>
          <w:b/>
          <w:color w:val="000000" w:themeColor="text1"/>
          <w:sz w:val="36"/>
          <w:szCs w:val="36"/>
          <w:lang w:val="en-GB"/>
        </w:rPr>
      </w:r>
    </w:p>
    <w:p>
      <w:pPr>
        <w:pStyle w:val="Normal1"/>
        <w:spacing w:lineRule="auto" w:line="360"/>
        <w:jc w:val="center"/>
        <w:rPr>
          <w:rFonts w:ascii="Times New Roman" w:hAnsi="Times New Roman" w:eastAsia="Times New Roman" w:cs="Times New Roman"/>
          <w:b/>
          <w:b/>
          <w:color w:val="000000" w:themeColor="text1"/>
          <w:sz w:val="36"/>
          <w:szCs w:val="36"/>
          <w:lang w:val="en-GB"/>
        </w:rPr>
      </w:pPr>
      <w:r>
        <w:rPr>
          <w:rFonts w:eastAsia="Times New Roman" w:cs="Times New Roman" w:ascii="Times New Roman" w:hAnsi="Times New Roman"/>
          <w:b/>
          <w:color w:val="000000" w:themeColor="text1"/>
          <w:sz w:val="36"/>
          <w:szCs w:val="36"/>
          <w:lang w:val="en-GB"/>
        </w:rPr>
      </w:r>
    </w:p>
    <w:p>
      <w:pPr>
        <w:pStyle w:val="Normal1"/>
        <w:spacing w:lineRule="auto" w:line="360"/>
        <w:jc w:val="center"/>
        <w:rPr>
          <w:rFonts w:ascii="Times New Roman" w:hAnsi="Times New Roman" w:eastAsia="Times New Roman" w:cs="Times New Roman"/>
          <w:b/>
          <w:b/>
          <w:color w:val="000000" w:themeColor="text1"/>
          <w:sz w:val="36"/>
          <w:szCs w:val="36"/>
          <w:lang w:val="en-GB"/>
        </w:rPr>
      </w:pPr>
      <w:r>
        <w:rPr>
          <w:rFonts w:eastAsia="Times New Roman" w:cs="Times New Roman" w:ascii="Times New Roman" w:hAnsi="Times New Roman"/>
          <w:b/>
          <w:color w:val="000000" w:themeColor="text1"/>
          <w:sz w:val="36"/>
          <w:szCs w:val="36"/>
          <w:lang w:val="en-GB"/>
        </w:rPr>
      </w:r>
    </w:p>
    <w:p>
      <w:pPr>
        <w:pStyle w:val="Normal1"/>
        <w:spacing w:lineRule="auto" w:line="360"/>
        <w:jc w:val="center"/>
        <w:rPr>
          <w:rFonts w:ascii="Times New Roman" w:hAnsi="Times New Roman" w:eastAsia="Times New Roman" w:cs="Times New Roman"/>
          <w:b/>
          <w:b/>
          <w:color w:val="000000" w:themeColor="text1"/>
          <w:sz w:val="36"/>
          <w:szCs w:val="36"/>
          <w:lang w:val="en-GB"/>
        </w:rPr>
      </w:pPr>
      <w:r>
        <w:rPr>
          <w:rFonts w:eastAsia="Times New Roman" w:cs="Times New Roman" w:ascii="Times New Roman" w:hAnsi="Times New Roman"/>
          <w:b/>
          <w:color w:val="000000" w:themeColor="text1"/>
          <w:sz w:val="36"/>
          <w:szCs w:val="36"/>
          <w:lang w:val="en-GB"/>
        </w:rPr>
      </w:r>
    </w:p>
    <w:p>
      <w:pPr>
        <w:pStyle w:val="Normal1"/>
        <w:spacing w:lineRule="auto" w:line="360"/>
        <w:jc w:val="center"/>
        <w:rPr>
          <w:rFonts w:ascii="Times New Roman" w:hAnsi="Times New Roman" w:eastAsia="Times New Roman" w:cs="Times New Roman"/>
          <w:b/>
          <w:b/>
          <w:color w:val="000000" w:themeColor="text1"/>
          <w:sz w:val="36"/>
          <w:szCs w:val="36"/>
          <w:lang w:val="en-GB"/>
        </w:rPr>
      </w:pPr>
      <w:r>
        <w:rPr>
          <w:rFonts w:eastAsia="Times New Roman" w:cs="Times New Roman" w:ascii="Times New Roman" w:hAnsi="Times New Roman"/>
          <w:b/>
          <w:color w:val="000000" w:themeColor="text1"/>
          <w:sz w:val="36"/>
          <w:szCs w:val="36"/>
          <w:lang w:val="en-GB"/>
        </w:rPr>
      </w:r>
    </w:p>
    <w:p>
      <w:pPr>
        <w:pStyle w:val="Normal1"/>
        <w:spacing w:lineRule="auto" w:line="360"/>
        <w:jc w:val="center"/>
        <w:rPr>
          <w:rFonts w:ascii="Times New Roman" w:hAnsi="Times New Roman" w:eastAsia="Times New Roman" w:cs="Times New Roman"/>
          <w:b/>
          <w:b/>
          <w:color w:val="000000" w:themeColor="text1"/>
          <w:sz w:val="36"/>
          <w:szCs w:val="36"/>
          <w:u w:val="single"/>
          <w:lang w:val="en-GB"/>
        </w:rPr>
      </w:pPr>
      <w:r>
        <w:rPr>
          <w:rFonts w:eastAsia="Times New Roman" w:cs="Times New Roman" w:ascii="Times New Roman" w:hAnsi="Times New Roman"/>
          <w:b/>
          <w:color w:val="000000" w:themeColor="text1"/>
          <w:sz w:val="36"/>
          <w:szCs w:val="36"/>
          <w:u w:val="single"/>
          <w:lang w:val="en-GB"/>
        </w:rPr>
      </w:r>
    </w:p>
    <w:p>
      <w:pPr>
        <w:pStyle w:val="Normal1"/>
        <w:spacing w:lineRule="auto" w:line="360"/>
        <w:jc w:val="center"/>
        <w:rPr>
          <w:rFonts w:ascii="Times New Roman" w:hAnsi="Times New Roman" w:eastAsia="Times New Roman" w:cs="Times New Roman"/>
          <w:b/>
          <w:b/>
          <w:color w:val="000000" w:themeColor="text1"/>
          <w:sz w:val="36"/>
          <w:szCs w:val="36"/>
          <w:u w:val="single"/>
          <w:lang w:val="en-GB"/>
        </w:rPr>
      </w:pPr>
      <w:r>
        <w:rPr>
          <w:rFonts w:eastAsia="Times New Roman" w:cs="Times New Roman" w:ascii="Times New Roman" w:hAnsi="Times New Roman"/>
          <w:b/>
          <w:color w:val="000000" w:themeColor="text1"/>
          <w:sz w:val="36"/>
          <w:szCs w:val="36"/>
          <w:u w:val="single"/>
          <w:lang w:val="en-GB"/>
        </w:rPr>
        <w:t>Criminal Courts BMPL4011</w:t>
      </w:r>
    </w:p>
    <w:p>
      <w:pPr>
        <w:pStyle w:val="Normal1"/>
        <w:spacing w:lineRule="auto" w:line="360"/>
        <w:jc w:val="center"/>
        <w:rPr>
          <w:rFonts w:ascii="Times New Roman" w:hAnsi="Times New Roman" w:eastAsia="Times New Roman" w:cs="Times New Roman"/>
          <w:b/>
          <w:b/>
          <w:i/>
          <w:i/>
          <w:color w:val="000000" w:themeColor="text1"/>
          <w:sz w:val="24"/>
          <w:szCs w:val="24"/>
          <w:lang w:val="en-GB"/>
        </w:rPr>
      </w:pPr>
      <w:r>
        <w:rPr>
          <w:rFonts w:eastAsia="Times New Roman" w:cs="Times New Roman" w:ascii="Times New Roman" w:hAnsi="Times New Roman"/>
          <w:b/>
          <w:i/>
          <w:color w:val="000000" w:themeColor="text1"/>
          <w:sz w:val="24"/>
          <w:szCs w:val="24"/>
          <w:lang w:val="en-GB"/>
        </w:rPr>
      </w:r>
    </w:p>
    <w:p>
      <w:pPr>
        <w:pStyle w:val="Normal1"/>
        <w:spacing w:lineRule="auto" w:line="360"/>
        <w:jc w:val="center"/>
        <w:rPr>
          <w:rFonts w:ascii="Times New Roman" w:hAnsi="Times New Roman" w:eastAsia="Times New Roman" w:cs="Times New Roman"/>
          <w:b/>
          <w:b/>
          <w:i/>
          <w:i/>
          <w:color w:val="000000" w:themeColor="text1"/>
          <w:sz w:val="24"/>
          <w:szCs w:val="24"/>
          <w:lang w:val="en-GB"/>
        </w:rPr>
      </w:pPr>
      <w:r>
        <w:rPr>
          <w:rFonts w:eastAsia="Times New Roman" w:cs="Times New Roman" w:ascii="Times New Roman" w:hAnsi="Times New Roman"/>
          <w:b/>
          <w:i/>
          <w:color w:val="000000" w:themeColor="text1"/>
          <w:sz w:val="24"/>
          <w:szCs w:val="24"/>
          <w:lang w:val="en-GB"/>
        </w:rPr>
        <w:t xml:space="preserve">Student Name: </w:t>
      </w:r>
      <w:r>
        <w:rPr>
          <w:rFonts w:eastAsia="Times New Roman" w:cs="Times New Roman" w:ascii="Times New Roman" w:hAnsi="Times New Roman"/>
          <w:b/>
          <w:i/>
          <w:color w:val="000000" w:themeColor="text1"/>
          <w:sz w:val="24"/>
          <w:szCs w:val="24"/>
          <w:lang w:val="en-GB"/>
        </w:rPr>
        <w:t>Stefania Steliana Boaba</w:t>
      </w:r>
    </w:p>
    <w:p>
      <w:pPr>
        <w:pStyle w:val="Normal1"/>
        <w:spacing w:lineRule="auto" w:line="360"/>
        <w:jc w:val="center"/>
        <w:rPr>
          <w:rFonts w:ascii="Times New Roman" w:hAnsi="Times New Roman" w:eastAsia="Times New Roman" w:cs="Times New Roman"/>
          <w:b/>
          <w:b/>
          <w:i/>
          <w:i/>
          <w:color w:val="000000" w:themeColor="text1"/>
          <w:sz w:val="24"/>
          <w:szCs w:val="24"/>
          <w:lang w:val="en-GB"/>
        </w:rPr>
      </w:pPr>
      <w:r>
        <w:rPr>
          <w:rFonts w:eastAsia="Times New Roman" w:cs="Times New Roman" w:ascii="Times New Roman" w:hAnsi="Times New Roman"/>
          <w:b/>
          <w:i/>
          <w:color w:val="000000" w:themeColor="text1"/>
          <w:sz w:val="24"/>
          <w:szCs w:val="24"/>
          <w:lang w:val="en-GB"/>
        </w:rPr>
        <w:t xml:space="preserve">Student Id: </w:t>
      </w:r>
      <w:r>
        <w:rPr>
          <w:rFonts w:eastAsia="Times New Roman" w:cs="Times New Roman" w:ascii="Times New Roman" w:hAnsi="Times New Roman"/>
          <w:b/>
          <w:i/>
          <w:color w:val="000000" w:themeColor="text1"/>
          <w:sz w:val="24"/>
          <w:szCs w:val="24"/>
          <w:lang w:val="en-GB"/>
        </w:rPr>
        <w:t>2245096</w:t>
      </w:r>
    </w:p>
    <w:p>
      <w:pPr>
        <w:pStyle w:val="Normal1"/>
        <w:spacing w:lineRule="auto" w:line="360"/>
        <w:jc w:val="center"/>
        <w:rPr>
          <w:rFonts w:ascii="Times New Roman" w:hAnsi="Times New Roman" w:eastAsia="Times New Roman" w:cs="Times New Roman"/>
          <w:b/>
          <w:b/>
          <w:i/>
          <w:i/>
          <w:color w:val="000000" w:themeColor="text1"/>
          <w:sz w:val="24"/>
          <w:szCs w:val="24"/>
          <w:lang w:val="en-GB"/>
        </w:rPr>
      </w:pPr>
      <w:r>
        <w:rPr>
          <w:rFonts w:eastAsia="Times New Roman" w:cs="Times New Roman" w:ascii="Times New Roman" w:hAnsi="Times New Roman"/>
          <w:b/>
          <w:i/>
          <w:color w:val="000000" w:themeColor="text1"/>
          <w:sz w:val="24"/>
          <w:szCs w:val="24"/>
          <w:lang w:val="en-GB"/>
        </w:rPr>
        <w:t xml:space="preserve">Course Name: </w:t>
      </w:r>
      <w:r>
        <w:rPr>
          <w:rFonts w:eastAsia="Times New Roman" w:cs="Times New Roman" w:ascii="Times New Roman" w:hAnsi="Times New Roman"/>
          <w:b/>
          <w:i/>
          <w:color w:val="000000" w:themeColor="text1"/>
          <w:sz w:val="24"/>
          <w:szCs w:val="24"/>
          <w:lang w:val="en-GB"/>
        </w:rPr>
        <w:t>Legal Process</w:t>
      </w:r>
    </w:p>
    <w:p>
      <w:pPr>
        <w:pStyle w:val="Normal1"/>
        <w:spacing w:lineRule="auto" w:line="360"/>
        <w:jc w:val="center"/>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b/>
          <w:color w:val="000000" w:themeColor="text1"/>
          <w:sz w:val="24"/>
          <w:szCs w:val="24"/>
          <w:lang w:val="en-GB"/>
        </w:rPr>
      </w:r>
      <w:r>
        <w:br w:type="page"/>
      </w:r>
    </w:p>
    <w:p>
      <w:pPr>
        <w:pStyle w:val="Heading1"/>
        <w:rPr>
          <w:color w:val="000000" w:themeColor="text1"/>
          <w:lang w:val="en-GB"/>
        </w:rPr>
      </w:pPr>
      <w:r>
        <w:rPr>
          <w:color w:val="000000" w:themeColor="text1"/>
          <w:lang w:val="en-GB"/>
        </w:rPr>
        <w:t xml:space="preserve">Introduction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 xml:space="preserve">As per </w:t>
      </w:r>
      <w:r>
        <w:rPr>
          <w:rFonts w:eastAsia="Times New Roman" w:cs="Times New Roman" w:ascii="Times New Roman" w:hAnsi="Times New Roman"/>
          <w:color w:val="000000" w:themeColor="text1"/>
          <w:sz w:val="24"/>
          <w:szCs w:val="24"/>
          <w:highlight w:val="white"/>
          <w:lang w:val="en-GB"/>
        </w:rPr>
        <w:t xml:space="preserve">Chigara, (2019, p.420), </w:t>
      </w:r>
      <w:r>
        <w:rPr>
          <w:rFonts w:eastAsia="Times New Roman" w:cs="Times New Roman" w:ascii="Times New Roman" w:hAnsi="Times New Roman"/>
          <w:color w:val="000000" w:themeColor="text1"/>
          <w:sz w:val="24"/>
          <w:szCs w:val="24"/>
          <w:lang w:val="en-GB"/>
        </w:rPr>
        <w:t xml:space="preserve">the criminal court of the UK is consisting of Magistrate and a Crown court. The magistrate is the first court in which the offence gets registered whereas the Crown court is the court that lies above the Magistrate court. The magistrates and the judges are a very crucial part of the criminal court that plays a very important role in deciding whether the individual is guilty or not. The majority of the cases are heard in the criminal court where the decision is made by the district judge or the panel of three magistrates. After the successful hearing and decision-delivery of the Magistrate court, if the defendant is not satisfied with the result then they may appeal to the Crown court for further judgement. The criminal court of the UK has experienced some major amendments but still, there are various areas where development is crucial. The entire aspect regarding the criminal court and the needed development has been effectively evaluated in the essay.   </w:t>
      </w:r>
    </w:p>
    <w:p>
      <w:pPr>
        <w:pStyle w:val="Heading1"/>
        <w:rPr>
          <w:color w:val="000000" w:themeColor="text1"/>
          <w:lang w:val="en-GB"/>
        </w:rPr>
      </w:pPr>
      <w:r>
        <w:rPr>
          <w:color w:val="000000" w:themeColor="text1"/>
          <w:lang w:val="en-GB"/>
        </w:rPr>
        <w:t>Discussion</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The UK can be considered a constitutional monarchy and the head of the State is considered the monarchy and the derivation of power, duties and functions of the monarchy are effectively conscribed from the conventions. Among various conventions, one is that the monarchy is politically neutral (</w:t>
      </w:r>
      <w:r>
        <w:rPr>
          <w:rFonts w:eastAsia="Times New Roman" w:cs="Times New Roman" w:ascii="Times New Roman" w:hAnsi="Times New Roman"/>
          <w:color w:val="000000" w:themeColor="text1"/>
          <w:sz w:val="24"/>
          <w:szCs w:val="24"/>
          <w:highlight w:val="white"/>
          <w:lang w:val="en-GB"/>
        </w:rPr>
        <w:t xml:space="preserve">Handika </w:t>
      </w:r>
      <w:r>
        <w:rPr>
          <w:rFonts w:eastAsia="Times New Roman" w:cs="Times New Roman" w:ascii="Times New Roman" w:hAnsi="Times New Roman"/>
          <w:i/>
          <w:color w:val="000000" w:themeColor="text1"/>
          <w:sz w:val="24"/>
          <w:szCs w:val="24"/>
          <w:highlight w:val="white"/>
          <w:lang w:val="en-GB"/>
        </w:rPr>
        <w:t>et al</w:t>
      </w:r>
      <w:r>
        <w:rPr>
          <w:rFonts w:eastAsia="Times New Roman" w:cs="Times New Roman" w:ascii="Times New Roman" w:hAnsi="Times New Roman"/>
          <w:color w:val="000000" w:themeColor="text1"/>
          <w:sz w:val="24"/>
          <w:szCs w:val="24"/>
          <w:highlight w:val="white"/>
          <w:lang w:val="en-GB"/>
        </w:rPr>
        <w:t>., 2020, p.74</w:t>
      </w:r>
      <w:r>
        <w:rPr>
          <w:rFonts w:eastAsia="Times New Roman" w:cs="Times New Roman" w:ascii="Times New Roman" w:hAnsi="Times New Roman"/>
          <w:color w:val="000000" w:themeColor="text1"/>
          <w:sz w:val="24"/>
          <w:szCs w:val="24"/>
          <w:lang w:val="en-GB"/>
        </w:rPr>
        <w:t xml:space="preserve">).  The law system that is operated by England and Wales are common which is also a combination of the passing of the legislation and also the formation of precedent from the case law. Any laws that are established in the country are done by passing the legislation by the parliament that also contains the ‘Monarch’, the House of Lords and the House of Commons. As opined by </w:t>
      </w:r>
      <w:r>
        <w:rPr>
          <w:rFonts w:eastAsia="Times New Roman" w:cs="Times New Roman" w:ascii="Times New Roman" w:hAnsi="Times New Roman"/>
          <w:color w:val="000000" w:themeColor="text1"/>
          <w:sz w:val="24"/>
          <w:szCs w:val="24"/>
          <w:highlight w:val="white"/>
          <w:lang w:val="en-GB"/>
        </w:rPr>
        <w:t>Morgan and Levin, (2019, p.250),</w:t>
      </w:r>
      <w:r>
        <w:rPr>
          <w:rFonts w:eastAsia="Times New Roman" w:cs="Times New Roman" w:ascii="Times New Roman" w:hAnsi="Times New Roman"/>
          <w:color w:val="000000" w:themeColor="text1"/>
          <w:sz w:val="24"/>
          <w:szCs w:val="24"/>
          <w:lang w:val="en-GB"/>
        </w:rPr>
        <w:t xml:space="preserve"> the people under the House of Commons are individuals who are elected by the prime minister or the public directly. The case law and Court System is typically controlled by the judiciary which is also considered separate and different from the Parliament.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The above-mentioned structure is the current court structure of England and Wales that indicates that the supreme court is the final court for all the civil and criminal cases of the country and under that, the court of appeal is present that is divided into two sections and named as the civil division and criminal division and below that is the High court that consists of several divisions and courts such as the Queen’s Bench Division, Divisional Court, Family Division, Administrative Court, and Chancery Division. Below the administrative court, Crown Court and Magistrate Court are present and Under the Divisional Court, Country Court and Tribunal are present (</w:t>
      </w:r>
      <w:r>
        <w:rPr>
          <w:rFonts w:eastAsia="Times New Roman" w:cs="Times New Roman" w:ascii="Times New Roman" w:hAnsi="Times New Roman"/>
          <w:color w:val="000000" w:themeColor="text1"/>
          <w:sz w:val="24"/>
          <w:szCs w:val="24"/>
          <w:highlight w:val="white"/>
          <w:lang w:val="en-GB"/>
        </w:rPr>
        <w:t>Jolliffe and Farrington, 2020, p.950</w:t>
      </w:r>
      <w:r>
        <w:rPr>
          <w:rFonts w:eastAsia="Times New Roman" w:cs="Times New Roman" w:ascii="Times New Roman" w:hAnsi="Times New Roman"/>
          <w:color w:val="000000" w:themeColor="text1"/>
          <w:sz w:val="24"/>
          <w:szCs w:val="24"/>
          <w:lang w:val="en-GB"/>
        </w:rPr>
        <w:t xml:space="preserve">).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Under the criminal court of the UK, there are three courts which consist of the magistrate court, crown court, and youth court. Criminal cases in the UK start at the magistrate court and the cases in this court are generally heard by a district judge and two or three magistrates and there is no presence of a jury in the magistrate court. The cases that are dealt with under the magistrate court ae consist of minor criminal damage, most motoring offences, and the common type of assaults that do not possess any significant injury. Some of the serious aspects that are dealt with under this court are drug offences and burglary. The sentences and punishment that can be imposed by the magistrate court are generally 6 months of imprisonment, a community sentence, a fine and a ban (</w:t>
      </w:r>
      <w:r>
        <w:rPr>
          <w:rFonts w:eastAsia="Times New Roman" w:cs="Times New Roman" w:ascii="Times New Roman" w:hAnsi="Times New Roman"/>
          <w:color w:val="000000" w:themeColor="text1"/>
          <w:sz w:val="24"/>
          <w:szCs w:val="24"/>
          <w:highlight w:val="white"/>
          <w:lang w:val="en-GB"/>
        </w:rPr>
        <w:t>Zamir, 2022, p.27</w:t>
      </w:r>
      <w:r>
        <w:rPr>
          <w:rFonts w:eastAsia="Times New Roman" w:cs="Times New Roman" w:ascii="Times New Roman" w:hAnsi="Times New Roman"/>
          <w:color w:val="000000" w:themeColor="text1"/>
          <w:sz w:val="24"/>
          <w:szCs w:val="24"/>
          <w:lang w:val="en-GB"/>
        </w:rPr>
        <w:t>). This punishment can also be sentenced by the court in a combined form such as unpaid work in a specific community along with a certain amount of fine. There are various cases that are not being dealt with under the magistrate court and are generally transferred to the Crown Court and these matters are rape, murder or robbery which are also commonly known as ‘indictable offences’. The Crown Court normally holds a jury for deciding the verdict along with a judge who gives a sentence to the plaintiff and the defendant. Apart from the indictable offences, appeal against the magistrate court and cases passed from the magistrate court are the subject matter of the court. The Crown Court is eligible to give sentences regarding imprisonment sentences that involve life sentences and community sentences. The Youth Court can be considered as a different type of magistrate court which generally operates for people who belong to the age group of 10 to 17 years (</w:t>
      </w:r>
      <w:r>
        <w:rPr>
          <w:rFonts w:eastAsia="Times New Roman" w:cs="Times New Roman" w:ascii="Times New Roman" w:hAnsi="Times New Roman"/>
          <w:color w:val="000000" w:themeColor="text1"/>
          <w:lang w:val="en-GB"/>
        </w:rPr>
        <w:t>Gov.uk, 2023</w:t>
      </w:r>
      <w:r>
        <w:rPr>
          <w:rFonts w:eastAsia="Times New Roman" w:cs="Times New Roman" w:ascii="Times New Roman" w:hAnsi="Times New Roman"/>
          <w:color w:val="000000" w:themeColor="text1"/>
          <w:sz w:val="24"/>
          <w:szCs w:val="24"/>
          <w:lang w:val="en-GB"/>
        </w:rPr>
        <w:t>). The youth court consists of either a district judge or 3 magistrates and there is no presence of any jury in the court. The court provides guidelines for the youths to bring their parents or legal guardians with them if the defendant is under 16 years or if the defendant’s age is between 16 years to 17 years and the court has prescribed such parents visit. The court also has a distinct rule of operating such as the defendant is called by the first name and the members of the public are not permitted inside except for the fact that they hold permission for such entrance (</w:t>
      </w:r>
      <w:r>
        <w:rPr>
          <w:rFonts w:eastAsia="Times New Roman" w:cs="Times New Roman" w:ascii="Times New Roman" w:hAnsi="Times New Roman"/>
          <w:color w:val="000000" w:themeColor="text1"/>
          <w:sz w:val="24"/>
          <w:szCs w:val="24"/>
          <w:highlight w:val="white"/>
          <w:lang w:val="en-GB"/>
        </w:rPr>
        <w:t>Hanretty, 2020</w:t>
      </w:r>
      <w:r>
        <w:rPr>
          <w:rFonts w:eastAsia="Times New Roman" w:cs="Times New Roman" w:ascii="Times New Roman" w:hAnsi="Times New Roman"/>
          <w:color w:val="000000" w:themeColor="text1"/>
          <w:sz w:val="24"/>
          <w:szCs w:val="24"/>
          <w:lang w:val="en-GB"/>
        </w:rPr>
        <w:t xml:space="preserve">).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The lay magistrate age appointed by the local resident so that they can demonstrate local knowledge. They represent the social based on gender, are unpaid and are case-hardened. The magistrates of the criminal court get huge caseloads but this has significantly declined from the past ten years. But in 2021, the magistrate courts of Wales and England reported nearly 1.14 million cases and the Crown court received nearly 98000 cases along with that there are various backlogs of cases that are ongoing in these courts which have been termed as outstanding cases. As reported by the Parliament.uk, there were 347,820 outstanding cases in the magistrate court alone which can also be considered significantly lower than 422000 cases in the mid-2020. On the other hand, the cases outstanding with the Crown court is nearly 62,766 at the end of September 2022 which is reflecting a higher number than the 61000 cases in the mid of 2021. The study has further indicated that the time length between the hearing and completion of criminal cases has increased since 2010 and currently, the magistrate court takes approximately 196 days to complete the case on average. Previously the time taken for completing the family cases and civil cases take nearly five years. As per the tribunal statistics of 2020/21, 305000 cases were registered and the outstanding cases during June 2022 were numbered at 650000 (</w:t>
      </w:r>
      <w:r>
        <w:rPr>
          <w:rFonts w:eastAsia="Times New Roman" w:cs="Times New Roman" w:ascii="Times New Roman" w:hAnsi="Times New Roman"/>
          <w:color w:val="000000" w:themeColor="text1"/>
          <w:lang w:val="en-GB"/>
        </w:rPr>
        <w:t>Commonslibrary.parliament.uk, 2023</w:t>
      </w:r>
      <w:r>
        <w:rPr>
          <w:rFonts w:eastAsia="Times New Roman" w:cs="Times New Roman" w:ascii="Times New Roman" w:hAnsi="Times New Roman"/>
          <w:color w:val="000000" w:themeColor="text1"/>
          <w:sz w:val="24"/>
          <w:szCs w:val="24"/>
          <w:lang w:val="en-GB"/>
        </w:rPr>
        <w:t xml:space="preserve">). There are various examples of the cases that can be evaluated to provide a rough idea regarding the long cases under the criminal court and these are the Stephen Lawrence case of 1993 that 18 years completion, the Hatton Garden Heist case of 2015 and the Tottenham Riots case of 2011. </w:t>
      </w:r>
    </w:p>
    <w:p>
      <w:pPr>
        <w:pStyle w:val="Normal1"/>
        <w:spacing w:lineRule="auto" w:line="360"/>
        <w:jc w:val="both"/>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color w:val="000000" w:themeColor="text1"/>
          <w:sz w:val="24"/>
          <w:szCs w:val="24"/>
          <w:lang w:val="en-GB"/>
        </w:rPr>
        <w:t>The Juries Act 1974 is a part of the UK legislation that guides and governs the services and selection of jurors in Wales and England. The act provides the legal framework for governing the selection and eligibility of the juries for the criminal court in the UK.  The eligibility to become a jury under the criminal court must be between the age of 18 to 76 years and people with mental illness, criminal conviction related, and people with a significant conflict of interest are disqualified from participating in enrolling themselves as the jury (</w:t>
      </w:r>
      <w:r>
        <w:rPr>
          <w:rFonts w:eastAsia="Times New Roman" w:cs="Times New Roman" w:ascii="Times New Roman" w:hAnsi="Times New Roman"/>
          <w:color w:val="000000" w:themeColor="text1"/>
          <w:sz w:val="24"/>
          <w:szCs w:val="24"/>
          <w:highlight w:val="white"/>
          <w:lang w:val="en-GB"/>
        </w:rPr>
        <w:t xml:space="preserve">Rossner </w:t>
      </w:r>
      <w:r>
        <w:rPr>
          <w:rFonts w:eastAsia="Times New Roman" w:cs="Times New Roman" w:ascii="Times New Roman" w:hAnsi="Times New Roman"/>
          <w:i/>
          <w:color w:val="000000" w:themeColor="text1"/>
          <w:sz w:val="24"/>
          <w:szCs w:val="24"/>
          <w:highlight w:val="white"/>
          <w:lang w:val="en-GB"/>
        </w:rPr>
        <w:t>et al</w:t>
      </w:r>
      <w:r>
        <w:rPr>
          <w:rFonts w:eastAsia="Times New Roman" w:cs="Times New Roman" w:ascii="Times New Roman" w:hAnsi="Times New Roman"/>
          <w:color w:val="000000" w:themeColor="text1"/>
          <w:sz w:val="24"/>
          <w:szCs w:val="24"/>
          <w:highlight w:val="white"/>
          <w:lang w:val="en-GB"/>
        </w:rPr>
        <w:t>., 2021, p.95</w:t>
      </w:r>
      <w:r>
        <w:rPr>
          <w:rFonts w:eastAsia="Times New Roman" w:cs="Times New Roman" w:ascii="Times New Roman" w:hAnsi="Times New Roman"/>
          <w:color w:val="000000" w:themeColor="text1"/>
          <w:sz w:val="24"/>
          <w:szCs w:val="24"/>
          <w:lang w:val="en-GB"/>
        </w:rPr>
        <w:t xml:space="preserve">).  The limit prescribed for the jury under each trial is approximately 12.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The Reform Suggestions that can be made as per the analysed situation of the criminal court within the UK are improving efficiency and decreasing the delays in the completion of the cases and this can be done by gathering quality evidence that can target a better and faster decision making. Increasing the accessibility of the public of the UK to the courts and justice. The efficiency of the judiciary system gets limited if the people of the country are not efficiently receiving the deserved services and justice. The amendment in the sentences that are conveyed by the court and the judiciary bodies can lead to a better implementation of the various reforms that are needed in the potential generation of the Acts and Laws of the land. The reforms regarding the introduction of modern technology can highly deviate from the way the criminal court actually works in the current days (</w:t>
      </w:r>
      <w:r>
        <w:rPr>
          <w:rFonts w:eastAsia="Times New Roman" w:cs="Times New Roman" w:ascii="Times New Roman" w:hAnsi="Times New Roman"/>
          <w:color w:val="000000" w:themeColor="text1"/>
          <w:sz w:val="24"/>
          <w:szCs w:val="24"/>
          <w:highlight w:val="white"/>
          <w:lang w:val="en-GB"/>
        </w:rPr>
        <w:t>Bloemberg, 2020, p.390</w:t>
      </w:r>
      <w:r>
        <w:rPr>
          <w:rFonts w:eastAsia="Times New Roman" w:cs="Times New Roman" w:ascii="Times New Roman" w:hAnsi="Times New Roman"/>
          <w:color w:val="000000" w:themeColor="text1"/>
          <w:sz w:val="24"/>
          <w:szCs w:val="24"/>
          <w:lang w:val="en-GB"/>
        </w:rPr>
        <w:t xml:space="preserve">).  </w:t>
      </w:r>
    </w:p>
    <w:p>
      <w:pPr>
        <w:pStyle w:val="Heading1"/>
        <w:rPr>
          <w:color w:val="000000" w:themeColor="text1"/>
          <w:lang w:val="en-GB"/>
        </w:rPr>
      </w:pPr>
      <w:r>
        <w:rPr>
          <w:color w:val="000000" w:themeColor="text1"/>
          <w:lang w:val="en-GB"/>
        </w:rPr>
        <w:t xml:space="preserve">Conclusion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 xml:space="preserve">This can be concluded that the criminal of the UK which includes the Crown Court and the magistrate court, needs various reforms to gain a structure that can be relevant to the current scenario of the UK. The lives of the people in the UK are evolving at a higher rate due to the various technologies that have been innovative in the country but the judiciary processes are still lagging behind and the modernisation and technological factors can be easily used by the government to implement a better judiciary structure within the country.  Further, the Crown Court and the Magistrate Court hold various cases that are still pending and need more attention as backlogs can create a huge barrier to the implementation of effective reforms. </w:t>
      </w:r>
    </w:p>
    <w:p>
      <w:pPr>
        <w:pStyle w:val="Normal"/>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r>
      <w:r>
        <w:br w:type="page"/>
      </w:r>
    </w:p>
    <w:p>
      <w:pPr>
        <w:pStyle w:val="Heading1"/>
        <w:rPr>
          <w:color w:val="000000" w:themeColor="text1"/>
          <w:lang w:val="en-GB"/>
        </w:rPr>
      </w:pPr>
      <w:r>
        <w:rPr>
          <w:color w:val="000000" w:themeColor="text1"/>
          <w:lang w:val="en-GB"/>
        </w:rPr>
        <w:t xml:space="preserve">References </w:t>
      </w:r>
    </w:p>
    <w:p>
      <w:pPr>
        <w:pStyle w:val="Normal1"/>
        <w:spacing w:lineRule="auto" w:line="360"/>
        <w:jc w:val="both"/>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b/>
          <w:color w:val="000000" w:themeColor="text1"/>
          <w:sz w:val="24"/>
          <w:szCs w:val="24"/>
          <w:lang w:val="en-GB"/>
        </w:rPr>
        <w:t xml:space="preserve">Websites </w:t>
      </w:r>
    </w:p>
    <w:p>
      <w:pPr>
        <w:pStyle w:val="NormalWeb"/>
        <w:spacing w:lineRule="auto" w:line="360" w:beforeAutospacing="0" w:before="0" w:afterAutospacing="0" w:after="0"/>
        <w:jc w:val="both"/>
        <w:rPr>
          <w:color w:val="000000" w:themeColor="text1"/>
          <w:lang w:val="en-GB"/>
        </w:rPr>
      </w:pPr>
      <w:r>
        <w:rPr>
          <w:color w:val="000000" w:themeColor="text1"/>
          <w:lang w:val="en-GB"/>
        </w:rPr>
        <w:t xml:space="preserve">Commonslibrary.parliament.uk, 2023, Available at: </w:t>
      </w:r>
      <w:hyperlink r:id="rId2">
        <w:r>
          <w:rPr>
            <w:rStyle w:val="InternetLink"/>
            <w:color w:val="000000" w:themeColor="text1"/>
            <w:lang w:val="en-GB"/>
          </w:rPr>
          <w:t>https://commonslibrary.parliament.uk/research-briefings/cbp-8372/</w:t>
        </w:r>
      </w:hyperlink>
      <w:r>
        <w:rPr>
          <w:color w:val="000000" w:themeColor="text1"/>
          <w:lang w:val="en-GB"/>
        </w:rPr>
        <w:t xml:space="preserve"> (Accessed on July 19th, 2023)</w:t>
      </w:r>
    </w:p>
    <w:p>
      <w:pPr>
        <w:pStyle w:val="NormalWeb"/>
        <w:spacing w:lineRule="auto" w:line="360" w:beforeAutospacing="0" w:before="0" w:afterAutospacing="0" w:after="0"/>
        <w:jc w:val="both"/>
        <w:rPr>
          <w:color w:val="000000" w:themeColor="text1"/>
          <w:lang w:val="en-GB"/>
        </w:rPr>
      </w:pPr>
      <w:r>
        <w:rPr>
          <w:color w:val="000000" w:themeColor="text1"/>
          <w:lang w:val="en-GB"/>
        </w:rPr>
        <w:t xml:space="preserve">Gov.uk, 2023, Available at: </w:t>
      </w:r>
      <w:hyperlink r:id="rId3">
        <w:r>
          <w:rPr>
            <w:rStyle w:val="InternetLink"/>
            <w:color w:val="000000" w:themeColor="text1"/>
            <w:lang w:val="en-GB"/>
          </w:rPr>
          <w:t>https://www.gov.uk/courts/youth-courts</w:t>
        </w:r>
      </w:hyperlink>
      <w:r>
        <w:rPr>
          <w:color w:val="000000" w:themeColor="text1"/>
          <w:lang w:val="en-GB"/>
        </w:rPr>
        <w:t xml:space="preserve"> (Accessed on July 19th, 2023)</w:t>
      </w:r>
    </w:p>
    <w:p>
      <w:pPr>
        <w:pStyle w:val="NormalWeb"/>
        <w:spacing w:lineRule="auto" w:line="360" w:beforeAutospacing="0" w:before="0" w:afterAutospacing="0" w:after="0"/>
        <w:jc w:val="both"/>
        <w:rPr>
          <w:color w:val="000000" w:themeColor="text1"/>
          <w:lang w:val="en-GB"/>
        </w:rPr>
      </w:pPr>
      <w:r>
        <w:rPr>
          <w:color w:val="000000" w:themeColor="text1"/>
          <w:lang w:val="en-GB"/>
        </w:rPr>
        <w:t xml:space="preserve">Gov.uk, 2023, Available at: </w:t>
      </w:r>
      <w:hyperlink r:id="rId4">
        <w:r>
          <w:rPr>
            <w:rStyle w:val="InternetLink"/>
            <w:color w:val="000000" w:themeColor="text1"/>
            <w:lang w:val="en-GB"/>
          </w:rPr>
          <w:t>https://www.gov.uk/government/organisations/hm-courts-and-tribunals-service</w:t>
        </w:r>
      </w:hyperlink>
      <w:r>
        <w:rPr>
          <w:color w:val="000000" w:themeColor="text1"/>
          <w:lang w:val="en-GB"/>
        </w:rPr>
        <w:t xml:space="preserve"> (Accessed on July 19th, 2023)</w:t>
      </w:r>
    </w:p>
    <w:p>
      <w:pPr>
        <w:pStyle w:val="Normal1"/>
        <w:spacing w:lineRule="auto" w:line="360"/>
        <w:jc w:val="both"/>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b/>
          <w:color w:val="000000" w:themeColor="text1"/>
          <w:sz w:val="24"/>
          <w:szCs w:val="24"/>
          <w:lang w:val="en-GB"/>
        </w:rPr>
        <w:t xml:space="preserve">Journals/Books </w:t>
      </w:r>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Bloemberg, R., 2020. The Criminal Law of Evidence in the United Kingdom of the Netherlands 1813–1830. In </w:t>
      </w:r>
      <w:r>
        <w:rPr>
          <w:i/>
          <w:iCs/>
          <w:color w:val="000000" w:themeColor="text1"/>
          <w:shd w:fill="FFFFFF" w:val="clear"/>
          <w:lang w:val="en-GB"/>
        </w:rPr>
        <w:t>The Development of the Criminal Law of Evidence in the Netherlands, France and Germany between 1750 and 1870</w:t>
      </w:r>
      <w:r>
        <w:rPr>
          <w:color w:val="000000" w:themeColor="text1"/>
          <w:shd w:fill="FFFFFF" w:val="clear"/>
          <w:lang w:val="en-GB"/>
        </w:rPr>
        <w:t xml:space="preserve"> (pp. 385-451). Brill Nijhoff. </w:t>
      </w:r>
      <w:hyperlink r:id="rId5">
        <w:r>
          <w:rPr>
            <w:rStyle w:val="InternetLink"/>
            <w:color w:val="000000" w:themeColor="text1"/>
            <w:shd w:fill="FFFFFF" w:val="clear"/>
            <w:lang w:val="en-GB"/>
          </w:rPr>
          <w:t>https://brill.com/display/book/9789004415027/BP000011.xml?alreadyAuthRedirecting</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Chigara, B.A., 2019. Towards a nemo judex in parte sua Critique of the International Criminal Court?. </w:t>
      </w:r>
      <w:r>
        <w:rPr>
          <w:i/>
          <w:iCs/>
          <w:color w:val="000000" w:themeColor="text1"/>
          <w:shd w:fill="FFFFFF" w:val="clear"/>
          <w:lang w:val="en-GB"/>
        </w:rPr>
        <w:t>international criminal law review</w:t>
      </w:r>
      <w:r>
        <w:rPr>
          <w:color w:val="000000" w:themeColor="text1"/>
          <w:shd w:fill="FFFFFF" w:val="clear"/>
          <w:lang w:val="en-GB"/>
        </w:rPr>
        <w:t xml:space="preserve">, </w:t>
      </w:r>
      <w:r>
        <w:rPr>
          <w:i/>
          <w:iCs/>
          <w:color w:val="000000" w:themeColor="text1"/>
          <w:shd w:fill="FFFFFF" w:val="clear"/>
          <w:lang w:val="en-GB"/>
        </w:rPr>
        <w:t>19</w:t>
      </w:r>
      <w:r>
        <w:rPr>
          <w:color w:val="000000" w:themeColor="text1"/>
          <w:shd w:fill="FFFFFF" w:val="clear"/>
          <w:lang w:val="en-GB"/>
        </w:rPr>
        <w:t xml:space="preserve">(3), pp.412-444. </w:t>
      </w:r>
      <w:hyperlink r:id="rId6">
        <w:r>
          <w:rPr>
            <w:rStyle w:val="InternetLink"/>
            <w:color w:val="000000" w:themeColor="text1"/>
            <w:shd w:fill="FFFFFF" w:val="clear"/>
            <w:lang w:val="en-GB"/>
          </w:rPr>
          <w:t>https://brill.com/view/journals/icla/19/3/article-p412_412.xml</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Handika, S., Rahim, M.I.F. and Sudirdja, R.P., 2020. Virtual Court Policy For Criminal Justice on Corona Virus Disease Pandemic. </w:t>
      </w:r>
      <w:r>
        <w:rPr>
          <w:i/>
          <w:iCs/>
          <w:color w:val="000000" w:themeColor="text1"/>
          <w:shd w:fill="FFFFFF" w:val="clear"/>
          <w:lang w:val="en-GB"/>
        </w:rPr>
        <w:t>Substantive Justice International Journal of Law</w:t>
      </w:r>
      <w:r>
        <w:rPr>
          <w:color w:val="000000" w:themeColor="text1"/>
          <w:shd w:fill="FFFFFF" w:val="clear"/>
          <w:lang w:val="en-GB"/>
        </w:rPr>
        <w:t xml:space="preserve">, </w:t>
      </w:r>
      <w:r>
        <w:rPr>
          <w:i/>
          <w:iCs/>
          <w:color w:val="000000" w:themeColor="text1"/>
          <w:shd w:fill="FFFFFF" w:val="clear"/>
          <w:lang w:val="en-GB"/>
        </w:rPr>
        <w:t>3</w:t>
      </w:r>
      <w:r>
        <w:rPr>
          <w:color w:val="000000" w:themeColor="text1"/>
          <w:shd w:fill="FFFFFF" w:val="clear"/>
          <w:lang w:val="en-GB"/>
        </w:rPr>
        <w:t xml:space="preserve">(1), pp.74-93. </w:t>
      </w:r>
      <w:hyperlink r:id="rId7">
        <w:r>
          <w:rPr>
            <w:rStyle w:val="InternetLink"/>
            <w:color w:val="000000" w:themeColor="text1"/>
            <w:shd w:fill="FFFFFF" w:val="clear"/>
            <w:lang w:val="en-GB"/>
          </w:rPr>
          <w:t>https://substantivejustice.id/index.php/sucila/article/view/67</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Hanretty, C., 2020. </w:t>
      </w:r>
      <w:r>
        <w:rPr>
          <w:i/>
          <w:iCs/>
          <w:color w:val="000000" w:themeColor="text1"/>
          <w:shd w:fill="FFFFFF" w:val="clear"/>
          <w:lang w:val="en-GB"/>
        </w:rPr>
        <w:t>A court of specialists: Judicial behavior on the UK Supreme Court</w:t>
      </w:r>
      <w:r>
        <w:rPr>
          <w:color w:val="000000" w:themeColor="text1"/>
          <w:shd w:fill="FFFFFF" w:val="clear"/>
          <w:lang w:val="en-GB"/>
        </w:rPr>
        <w:t xml:space="preserve">. Oxford University Press, USA. </w:t>
      </w:r>
      <w:hyperlink r:id="rId8">
        <w:r>
          <w:rPr>
            <w:rStyle w:val="InternetLink"/>
            <w:color w:val="000000" w:themeColor="text1"/>
            <w:shd w:fill="FFFFFF" w:val="clear"/>
            <w:lang w:val="en-GB"/>
          </w:rPr>
          <w:t>https://books.google.com/books?hl=en&amp;lr=&amp;id=6t2ZDwAAQBAJ&amp;oi=fnd&amp;pg=PP1&amp;dq=Criminal+court+of+the+UK&amp;ots=uc7nIefsWY&amp;sig=PGDQWEf_yWMZnrMTsF1Ia0pz-Kw</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Jolliffe, D. and Farrington, D.P., 2020. The criminal careers of those imprisoned for hate crime in the UK. </w:t>
      </w:r>
      <w:r>
        <w:rPr>
          <w:i/>
          <w:iCs/>
          <w:color w:val="000000" w:themeColor="text1"/>
          <w:shd w:fill="FFFFFF" w:val="clear"/>
          <w:lang w:val="en-GB"/>
        </w:rPr>
        <w:t>European journal of criminology</w:t>
      </w:r>
      <w:r>
        <w:rPr>
          <w:color w:val="000000" w:themeColor="text1"/>
          <w:shd w:fill="FFFFFF" w:val="clear"/>
          <w:lang w:val="en-GB"/>
        </w:rPr>
        <w:t xml:space="preserve">, </w:t>
      </w:r>
      <w:r>
        <w:rPr>
          <w:i/>
          <w:iCs/>
          <w:color w:val="000000" w:themeColor="text1"/>
          <w:shd w:fill="FFFFFF" w:val="clear"/>
          <w:lang w:val="en-GB"/>
        </w:rPr>
        <w:t>17</w:t>
      </w:r>
      <w:r>
        <w:rPr>
          <w:color w:val="000000" w:themeColor="text1"/>
          <w:shd w:fill="FFFFFF" w:val="clear"/>
          <w:lang w:val="en-GB"/>
        </w:rPr>
        <w:t xml:space="preserve">(6), pp.936-955. </w:t>
      </w:r>
      <w:hyperlink r:id="rId9">
        <w:r>
          <w:rPr>
            <w:rStyle w:val="InternetLink"/>
            <w:color w:val="000000" w:themeColor="text1"/>
            <w:shd w:fill="FFFFFF" w:val="clear"/>
            <w:lang w:val="en-GB"/>
          </w:rPr>
          <w:t>https://journals.sagepub.com/doi/abs/10.1177/1477370819839598</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Morgan, R.M. and Levin, E.A., 2019. A crisis for the future of forensic science: lessons from the UK of the importance of epistemology for funding research and development. </w:t>
      </w:r>
      <w:r>
        <w:rPr>
          <w:i/>
          <w:iCs/>
          <w:color w:val="000000" w:themeColor="text1"/>
          <w:shd w:fill="FFFFFF" w:val="clear"/>
          <w:lang w:val="en-GB"/>
        </w:rPr>
        <w:t>Forensic science international: Synergy</w:t>
      </w:r>
      <w:r>
        <w:rPr>
          <w:color w:val="000000" w:themeColor="text1"/>
          <w:shd w:fill="FFFFFF" w:val="clear"/>
          <w:lang w:val="en-GB"/>
        </w:rPr>
        <w:t xml:space="preserve">, </w:t>
      </w:r>
      <w:r>
        <w:rPr>
          <w:i/>
          <w:iCs/>
          <w:color w:val="000000" w:themeColor="text1"/>
          <w:shd w:fill="FFFFFF" w:val="clear"/>
          <w:lang w:val="en-GB"/>
        </w:rPr>
        <w:t>1</w:t>
      </w:r>
      <w:r>
        <w:rPr>
          <w:color w:val="000000" w:themeColor="text1"/>
          <w:shd w:fill="FFFFFF" w:val="clear"/>
          <w:lang w:val="en-GB"/>
        </w:rPr>
        <w:t xml:space="preserve">, pp.243-252. </w:t>
      </w:r>
      <w:hyperlink r:id="rId10">
        <w:r>
          <w:rPr>
            <w:rStyle w:val="InternetLink"/>
            <w:color w:val="000000" w:themeColor="text1"/>
            <w:shd w:fill="FFFFFF" w:val="clear"/>
            <w:lang w:val="en-GB"/>
          </w:rPr>
          <w:t>https://doi.org/10.1016/j.fsisyn.2019.09.002</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Rossner, M., Tait, D. and McCurdy, M., 2021. Justice reimagined: challenges and opportunities with implementing virtual courts. </w:t>
      </w:r>
      <w:r>
        <w:rPr>
          <w:i/>
          <w:iCs/>
          <w:color w:val="000000" w:themeColor="text1"/>
          <w:shd w:fill="FFFFFF" w:val="clear"/>
          <w:lang w:val="en-GB"/>
        </w:rPr>
        <w:t>Current Issues in Criminal Justice</w:t>
      </w:r>
      <w:r>
        <w:rPr>
          <w:color w:val="000000" w:themeColor="text1"/>
          <w:shd w:fill="FFFFFF" w:val="clear"/>
          <w:lang w:val="en-GB"/>
        </w:rPr>
        <w:t xml:space="preserve">, </w:t>
      </w:r>
      <w:r>
        <w:rPr>
          <w:i/>
          <w:iCs/>
          <w:color w:val="000000" w:themeColor="text1"/>
          <w:shd w:fill="FFFFFF" w:val="clear"/>
          <w:lang w:val="en-GB"/>
        </w:rPr>
        <w:t>33</w:t>
      </w:r>
      <w:r>
        <w:rPr>
          <w:color w:val="000000" w:themeColor="text1"/>
          <w:shd w:fill="FFFFFF" w:val="clear"/>
          <w:lang w:val="en-GB"/>
        </w:rPr>
        <w:t xml:space="preserve">(1), pp.94-110. </w:t>
      </w:r>
      <w:hyperlink r:id="rId11">
        <w:r>
          <w:rPr>
            <w:rStyle w:val="InternetLink"/>
            <w:color w:val="000000" w:themeColor="text1"/>
            <w:shd w:fill="FFFFFF" w:val="clear"/>
            <w:lang w:val="en-GB"/>
          </w:rPr>
          <w:t>https://www.tandfonline.com/doi/abs/10.1080/10345329.2020.1859968</w:t>
        </w:r>
      </w:hyperlink>
    </w:p>
    <w:p>
      <w:pPr>
        <w:pStyle w:val="NormalWeb"/>
        <w:spacing w:lineRule="auto" w:line="360" w:beforeAutospacing="0" w:before="0" w:afterAutospacing="0" w:after="0"/>
        <w:jc w:val="both"/>
        <w:rPr>
          <w:color w:val="000000" w:themeColor="text1"/>
          <w:lang w:val="en-GB"/>
        </w:rPr>
      </w:pPr>
      <w:r>
        <w:rPr>
          <w:color w:val="000000" w:themeColor="text1"/>
          <w:shd w:fill="FFFFFF" w:val="clear"/>
          <w:lang w:val="en-GB"/>
        </w:rPr>
        <w:t xml:space="preserve">Zamir, A., 2022. Judicial Stay of Criminal Proceedings: An Israeli Development to a British Doctrine. </w:t>
      </w:r>
      <w:r>
        <w:rPr>
          <w:i/>
          <w:iCs/>
          <w:color w:val="000000" w:themeColor="text1"/>
          <w:shd w:fill="FFFFFF" w:val="clear"/>
          <w:lang w:val="en-GB"/>
        </w:rPr>
        <w:t>Regional L. Rev.</w:t>
      </w:r>
      <w:r>
        <w:rPr>
          <w:color w:val="000000" w:themeColor="text1"/>
          <w:shd w:fill="FFFFFF" w:val="clear"/>
          <w:lang w:val="en-GB"/>
        </w:rPr>
        <w:t xml:space="preserve">, p.27. </w:t>
      </w:r>
      <w:hyperlink r:id="rId12">
        <w:r>
          <w:rPr>
            <w:rStyle w:val="InternetLink"/>
            <w:color w:val="000000" w:themeColor="text1"/>
            <w:shd w:fill="FFFFFF" w:val="clear"/>
            <w:lang w:val="en-GB"/>
          </w:rPr>
          <w:t>https://heinonline.org/hol-cgi-bin/get_pdf.cgi?handle=hein.journals/rgllr2022&amp;section=6</w:t>
        </w:r>
      </w:hyperlink>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r>
    </w:p>
    <w:p>
      <w:pPr>
        <w:pStyle w:val="Normal"/>
        <w:rPr>
          <w:rFonts w:ascii="Times New Roman" w:hAnsi="Times New Roman"/>
          <w:b/>
          <w:b/>
          <w:color w:val="000000" w:themeColor="text1"/>
          <w:sz w:val="24"/>
          <w:szCs w:val="40"/>
          <w:lang w:val="en-GB"/>
        </w:rPr>
      </w:pPr>
      <w:r>
        <w:rPr>
          <w:rFonts w:ascii="Times New Roman" w:hAnsi="Times New Roman"/>
          <w:b/>
          <w:color w:val="000000" w:themeColor="text1"/>
          <w:sz w:val="24"/>
          <w:szCs w:val="40"/>
          <w:lang w:val="en-GB"/>
        </w:rPr>
      </w:r>
      <w:r>
        <w:br w:type="page"/>
      </w:r>
    </w:p>
    <w:p>
      <w:pPr>
        <w:pStyle w:val="Heading1"/>
        <w:rPr>
          <w:color w:val="000000" w:themeColor="text1"/>
          <w:lang w:val="en-GB"/>
        </w:rPr>
      </w:pPr>
      <w:r>
        <w:rPr>
          <w:color w:val="000000" w:themeColor="text1"/>
          <w:lang w:val="en-GB"/>
        </w:rPr>
        <w:t>Appendices</w:t>
      </w:r>
    </w:p>
    <w:p>
      <w:pPr>
        <w:pStyle w:val="Normal1"/>
        <w:spacing w:lineRule="auto" w:line="360"/>
        <w:jc w:val="both"/>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b/>
          <w:color w:val="000000" w:themeColor="text1"/>
          <w:sz w:val="24"/>
          <w:szCs w:val="24"/>
          <w:lang w:val="en-GB"/>
        </w:rPr>
        <w:t>Appendix.1</w:t>
      </w:r>
    </w:p>
    <w:p>
      <w:pPr>
        <w:pStyle w:val="Normal1"/>
        <w:spacing w:lineRule="auto" w:line="360"/>
        <w:jc w:val="center"/>
        <w:rPr>
          <w:rFonts w:ascii="Times New Roman" w:hAnsi="Times New Roman" w:eastAsia="Times New Roman" w:cs="Times New Roman"/>
          <w:color w:val="000000" w:themeColor="text1"/>
          <w:sz w:val="24"/>
          <w:szCs w:val="24"/>
          <w:lang w:val="en-GB"/>
        </w:rPr>
      </w:pPr>
      <w:r>
        <w:rPr/>
        <w:drawing>
          <wp:inline distT="0" distB="0" distL="0" distR="0">
            <wp:extent cx="3736340" cy="4691380"/>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13"/>
                    <a:stretch>
                      <a:fillRect/>
                    </a:stretch>
                  </pic:blipFill>
                  <pic:spPr bwMode="auto">
                    <a:xfrm>
                      <a:off x="0" y="0"/>
                      <a:ext cx="3736340" cy="4691380"/>
                    </a:xfrm>
                    <a:prstGeom prst="rect">
                      <a:avLst/>
                    </a:prstGeom>
                    <a:ln w="25400">
                      <a:solidFill>
                        <a:srgbClr val="000000"/>
                      </a:solidFill>
                    </a:ln>
                  </pic:spPr>
                </pic:pic>
              </a:graphicData>
            </a:graphic>
          </wp:inline>
        </w:drawing>
      </w:r>
      <w:r>
        <w:rPr>
          <w:rFonts w:eastAsia="Times New Roman" w:cs="Times New Roman" w:ascii="Times New Roman" w:hAnsi="Times New Roman"/>
          <w:color w:val="000000" w:themeColor="text1"/>
          <w:sz w:val="24"/>
          <w:szCs w:val="24"/>
          <w:lang w:val="en-GB"/>
        </w:rPr>
        <w:t xml:space="preserve"> </w:t>
      </w:r>
    </w:p>
    <w:p>
      <w:pPr>
        <w:pStyle w:val="Normal1"/>
        <w:spacing w:lineRule="auto" w:line="360"/>
        <w:jc w:val="center"/>
        <w:rPr>
          <w:rFonts w:ascii="Times New Roman" w:hAnsi="Times New Roman" w:eastAsia="Times New Roman" w:cs="Times New Roman"/>
          <w:b/>
          <w:b/>
          <w:color w:val="000000" w:themeColor="text1"/>
          <w:sz w:val="24"/>
          <w:szCs w:val="24"/>
          <w:lang w:val="en-GB"/>
        </w:rPr>
      </w:pPr>
      <w:r>
        <w:rPr>
          <w:rFonts w:eastAsia="Times New Roman" w:cs="Times New Roman" w:ascii="Times New Roman" w:hAnsi="Times New Roman"/>
          <w:b/>
          <w:color w:val="000000" w:themeColor="text1"/>
          <w:sz w:val="24"/>
          <w:szCs w:val="24"/>
          <w:lang w:val="en-GB"/>
        </w:rPr>
        <w:t xml:space="preserve">Figure 1: Court Structure of Wales and England </w:t>
      </w:r>
    </w:p>
    <w:p>
      <w:pPr>
        <w:pStyle w:val="Normal1"/>
        <w:spacing w:lineRule="auto" w:line="360"/>
        <w:jc w:val="center"/>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t xml:space="preserve">(Source: </w:t>
      </w:r>
      <w:r>
        <w:rPr>
          <w:rFonts w:eastAsia="Times New Roman" w:cs="Times New Roman" w:ascii="Times New Roman" w:hAnsi="Times New Roman"/>
          <w:color w:val="000000" w:themeColor="text1"/>
          <w:lang w:val="en-GB"/>
        </w:rPr>
        <w:t>Gov.uk, 2023</w:t>
      </w:r>
      <w:r>
        <w:rPr>
          <w:rFonts w:eastAsia="Times New Roman" w:cs="Times New Roman" w:ascii="Times New Roman" w:hAnsi="Times New Roman"/>
          <w:color w:val="000000" w:themeColor="text1"/>
          <w:sz w:val="24"/>
          <w:szCs w:val="24"/>
          <w:lang w:val="en-GB"/>
        </w:rPr>
        <w:t xml:space="preserve">)  </w:t>
      </w:r>
    </w:p>
    <w:p>
      <w:pPr>
        <w:pStyle w:val="Normal1"/>
        <w:spacing w:lineRule="auto" w:line="360"/>
        <w:jc w:val="both"/>
        <w:rPr>
          <w:rFonts w:ascii="Times New Roman" w:hAnsi="Times New Roman" w:eastAsia="Times New Roman" w:cs="Times New Roman"/>
          <w:color w:val="000000" w:themeColor="text1"/>
          <w:sz w:val="24"/>
          <w:szCs w:val="24"/>
          <w:lang w:val="en-GB"/>
        </w:rPr>
      </w:pPr>
      <w:r>
        <w:rPr>
          <w:rFonts w:eastAsia="Times New Roman" w:cs="Times New Roman" w:ascii="Times New Roman" w:hAnsi="Times New Roman"/>
          <w:color w:val="000000" w:themeColor="text1"/>
          <w:sz w:val="24"/>
          <w:szCs w:val="24"/>
          <w:lang w:val="en-GB"/>
        </w:rPr>
      </w:r>
      <w:r>
        <w:br w:type="page"/>
      </w:r>
    </w:p>
    <w:p>
      <w:pPr>
        <w:pStyle w:val="Heading1"/>
        <w:rPr>
          <w:color w:val="000000" w:themeColor="text1"/>
          <w:lang w:val="en-GB"/>
        </w:rPr>
      </w:pPr>
      <w:r>
        <w:rPr>
          <w:color w:val="000000" w:themeColor="text1"/>
          <w:lang w:val="en-GB"/>
        </w:rPr>
        <w:t xml:space="preserve"> </w:t>
      </w:r>
    </w:p>
    <w:p>
      <w:pPr>
        <w:pStyle w:val="Normal1"/>
        <w:spacing w:lineRule="auto" w:line="360"/>
        <w:jc w:val="both"/>
        <w:rPr>
          <w:rFonts w:ascii="Times New Roman" w:hAnsi="Times New Roman" w:eastAsia="Times New Roman" w:cs="Times New Roman"/>
          <w:color w:val="000000" w:themeColor="text1"/>
          <w:sz w:val="24"/>
          <w:szCs w:val="24"/>
          <w:lang w:val="en-GB"/>
        </w:rPr>
      </w:pPr>
      <w:r>
        <w:rPr/>
      </w:r>
    </w:p>
    <w:sectPr>
      <w:footerReference w:type="default" r:id="rId14"/>
      <w:type w:val="nextPage"/>
      <w:pgSz w:w="11906" w:h="16838"/>
      <w:pgMar w:left="1440" w:right="1440" w:gutter="0" w:header="0" w:top="1440" w:footer="72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imes New Roman">
    <w:charset w:val="00"/>
    <w:family w:val="swiss"/>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974667196"/>
    </w:sdtPr>
    <w:sdtContent>
      <w:p>
        <w:pPr>
          <w:pStyle w:val="Footer"/>
          <w:jc w:val="right"/>
          <w:rPr/>
        </w:pPr>
        <w:r>
          <w:rPr/>
          <w:fldChar w:fldCharType="begin"/>
        </w:r>
        <w:r>
          <w:rPr/>
          <w:instrText xml:space="preserve"> PAGE </w:instrText>
        </w:r>
        <w:r>
          <w:rPr/>
          <w:fldChar w:fldCharType="separate"/>
        </w:r>
        <w:r>
          <w:rPr/>
          <w:t>9</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pPr>
      <w:widowControl/>
      <w:bidi w:val="0"/>
      <w:spacing w:lineRule="auto" w:line="276" w:before="0" w:after="0"/>
      <w:jc w:val="left"/>
    </w:pPr>
    <w:rPr>
      <w:rFonts w:ascii="Arial" w:hAnsi="Arial" w:eastAsia="Arial" w:cs="Arial"/>
      <w:color w:val="auto"/>
      <w:kern w:val="0"/>
      <w:sz w:val="22"/>
      <w:szCs w:val="22"/>
      <w:lang w:val="en-GB" w:eastAsia="en-US" w:bidi="ar-SA"/>
    </w:rPr>
  </w:style>
  <w:style w:type="paragraph" w:styleId="Heading1">
    <w:name w:val="Heading 1"/>
    <w:basedOn w:val="Normal1"/>
    <w:next w:val="Normal1"/>
    <w:qFormat/>
    <w:rsid w:val="00a26096"/>
    <w:pPr>
      <w:keepNext w:val="true"/>
      <w:keepLines/>
      <w:spacing w:lineRule="auto" w:line="360" w:before="400" w:after="120"/>
      <w:jc w:val="both"/>
      <w:outlineLvl w:val="0"/>
    </w:pPr>
    <w:rPr>
      <w:rFonts w:ascii="Times New Roman" w:hAnsi="Times New Roman"/>
      <w:b/>
      <w:sz w:val="24"/>
      <w:szCs w:val="40"/>
    </w:rPr>
  </w:style>
  <w:style w:type="paragraph" w:styleId="Heading2">
    <w:name w:val="Heading 2"/>
    <w:basedOn w:val="Normal1"/>
    <w:next w:val="Normal1"/>
    <w:qFormat/>
    <w:pPr>
      <w:keepNext w:val="true"/>
      <w:keepLines/>
      <w:spacing w:before="360" w:after="120"/>
      <w:outlineLvl w:val="1"/>
    </w:pPr>
    <w:rPr>
      <w:sz w:val="32"/>
      <w:szCs w:val="32"/>
    </w:rPr>
  </w:style>
  <w:style w:type="paragraph" w:styleId="Heading3">
    <w:name w:val="Heading 3"/>
    <w:basedOn w:val="Normal1"/>
    <w:next w:val="Normal1"/>
    <w:qFormat/>
    <w:pPr>
      <w:keepNext w:val="true"/>
      <w:keepLines/>
      <w:spacing w:before="320" w:after="80"/>
      <w:outlineLvl w:val="2"/>
    </w:pPr>
    <w:rPr>
      <w:color w:val="434343"/>
      <w:sz w:val="28"/>
      <w:szCs w:val="28"/>
    </w:rPr>
  </w:style>
  <w:style w:type="paragraph" w:styleId="Heading4">
    <w:name w:val="Heading 4"/>
    <w:basedOn w:val="Normal1"/>
    <w:next w:val="Normal1"/>
    <w:qFormat/>
    <w:pPr>
      <w:keepNext w:val="true"/>
      <w:keepLines/>
      <w:spacing w:before="280" w:after="80"/>
      <w:outlineLvl w:val="3"/>
    </w:pPr>
    <w:rPr>
      <w:color w:val="666666"/>
      <w:sz w:val="24"/>
      <w:szCs w:val="24"/>
    </w:rPr>
  </w:style>
  <w:style w:type="paragraph" w:styleId="Heading5">
    <w:name w:val="Heading 5"/>
    <w:basedOn w:val="Normal1"/>
    <w:next w:val="Normal1"/>
    <w:qFormat/>
    <w:pPr>
      <w:keepNext w:val="true"/>
      <w:keepLines/>
      <w:spacing w:before="240" w:after="80"/>
      <w:outlineLvl w:val="4"/>
    </w:pPr>
    <w:rPr>
      <w:color w:val="666666"/>
    </w:rPr>
  </w:style>
  <w:style w:type="paragraph" w:styleId="Heading6">
    <w:name w:val="Heading 6"/>
    <w:basedOn w:val="Normal1"/>
    <w:next w:val="Normal1"/>
    <w:qFormat/>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InternetLink">
    <w:name w:val="Hyperlink"/>
    <w:basedOn w:val="DefaultParagraphFont"/>
    <w:uiPriority w:val="99"/>
    <w:semiHidden/>
    <w:unhideWhenUsed/>
    <w:rsid w:val="00804a69"/>
    <w:rPr>
      <w:color w:val="0000FF"/>
      <w:u w:val="single"/>
    </w:rPr>
  </w:style>
  <w:style w:type="character" w:styleId="HeaderChar" w:customStyle="1">
    <w:name w:val="Header Char"/>
    <w:basedOn w:val="DefaultParagraphFont"/>
    <w:link w:val="Header"/>
    <w:uiPriority w:val="99"/>
    <w:qFormat/>
    <w:rsid w:val="00804a69"/>
    <w:rPr/>
  </w:style>
  <w:style w:type="character" w:styleId="FooterChar" w:customStyle="1">
    <w:name w:val="Footer Char"/>
    <w:basedOn w:val="DefaultParagraphFont"/>
    <w:link w:val="Footer"/>
    <w:uiPriority w:val="99"/>
    <w:qFormat/>
    <w:rsid w:val="00804a69"/>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rmal1" w:customStyle="1">
    <w:name w:val="Normal1"/>
    <w:qFormat/>
    <w:pPr>
      <w:widowControl/>
      <w:bidi w:val="0"/>
      <w:spacing w:lineRule="auto" w:line="276" w:before="0" w:after="0"/>
      <w:jc w:val="left"/>
    </w:pPr>
    <w:rPr>
      <w:rFonts w:ascii="Arial" w:hAnsi="Arial" w:eastAsia="Arial" w:cs="Arial"/>
      <w:color w:val="auto"/>
      <w:kern w:val="0"/>
      <w:sz w:val="22"/>
      <w:szCs w:val="22"/>
      <w:lang w:val="en-GB" w:eastAsia="en-US" w:bidi="ar-SA"/>
    </w:rPr>
  </w:style>
  <w:style w:type="paragraph" w:styleId="Title">
    <w:name w:val="Title"/>
    <w:basedOn w:val="Normal1"/>
    <w:next w:val="Normal1"/>
    <w:qFormat/>
    <w:pPr>
      <w:keepNext w:val="true"/>
      <w:keepLines/>
      <w:spacing w:before="0" w:after="60"/>
    </w:pPr>
    <w:rPr>
      <w:sz w:val="52"/>
      <w:szCs w:val="52"/>
    </w:rPr>
  </w:style>
  <w:style w:type="paragraph" w:styleId="Subtitle">
    <w:name w:val="Subtitle"/>
    <w:basedOn w:val="Normal1"/>
    <w:next w:val="Normal1"/>
    <w:qFormat/>
    <w:pPr>
      <w:keepNext w:val="true"/>
      <w:keepLines/>
      <w:spacing w:before="0" w:after="320"/>
    </w:pPr>
    <w:rPr>
      <w:color w:val="666666"/>
      <w:sz w:val="30"/>
      <w:szCs w:val="30"/>
    </w:rPr>
  </w:style>
  <w:style w:type="paragraph" w:styleId="NormalWeb">
    <w:name w:val="Normal (Web)"/>
    <w:basedOn w:val="Normal"/>
    <w:uiPriority w:val="99"/>
    <w:unhideWhenUsed/>
    <w:qFormat/>
    <w:rsid w:val="00804a69"/>
    <w:pPr>
      <w:spacing w:lineRule="auto" w:line="240" w:beforeAutospacing="1" w:afterAutospacing="1"/>
    </w:pPr>
    <w:rPr>
      <w:rFonts w:ascii="Times New Roman" w:hAnsi="Times New Roman" w:eastAsia="Times New Roman" w:cs="Times New Roman"/>
      <w:sz w:val="24"/>
      <w:szCs w:val="24"/>
      <w:lang w:val="en-IN" w:eastAsia="en-IN"/>
    </w:rPr>
  </w:style>
  <w:style w:type="paragraph" w:styleId="HeaderandFooter">
    <w:name w:val="Header and Footer"/>
    <w:basedOn w:val="Normal"/>
    <w:qFormat/>
    <w:pPr/>
    <w:rPr/>
  </w:style>
  <w:style w:type="paragraph" w:styleId="Header">
    <w:name w:val="Header"/>
    <w:basedOn w:val="Normal"/>
    <w:link w:val="HeaderChar"/>
    <w:uiPriority w:val="99"/>
    <w:unhideWhenUsed/>
    <w:rsid w:val="00804a69"/>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804a69"/>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1">
    <w:name w:val="Table Normal1"/>
    <w:tblPr>
      <w:tblCellMar>
        <w:top w:w="0" w:type="dxa"/>
        <w:left w:w="0" w:type="dxa"/>
        <w:bottom w:w="0" w:type="dxa"/>
        <w:right w:w="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commonslibrary.parliament.uk/research-briefings/cbp-8372/" TargetMode="External"/><Relationship Id="rId3" Type="http://schemas.openxmlformats.org/officeDocument/2006/relationships/hyperlink" Target="https://www.gov.uk/courts/youth-courts" TargetMode="External"/><Relationship Id="rId4" Type="http://schemas.openxmlformats.org/officeDocument/2006/relationships/hyperlink" Target="https://www.gov.uk/government/organisations/hm-courts-and-tribunals-service" TargetMode="External"/><Relationship Id="rId5" Type="http://schemas.openxmlformats.org/officeDocument/2006/relationships/hyperlink" Target="https://brill.com/display/book/9789004415027/BP000011.xml?alreadyAuthRedirecting" TargetMode="External"/><Relationship Id="rId6" Type="http://schemas.openxmlformats.org/officeDocument/2006/relationships/hyperlink" Target="https://brill.com/view/journals/icla/19/3/article-p412_412.xml" TargetMode="External"/><Relationship Id="rId7" Type="http://schemas.openxmlformats.org/officeDocument/2006/relationships/hyperlink" Target="https://substantivejustice.id/index.php/sucila/article/view/67" TargetMode="External"/><Relationship Id="rId8" Type="http://schemas.openxmlformats.org/officeDocument/2006/relationships/hyperlink" Target="https://books.google.com/books?hl=en&amp;lr=&amp;id=6t2ZDwAAQBAJ&amp;oi=fnd&amp;pg=PP1&amp;dq=Criminal+court+of+the+UK&amp;ots=uc7nIefsWY&amp;sig=PGDQWEf_yWMZnrMTsF1Ia0pz-Kw" TargetMode="External"/><Relationship Id="rId9" Type="http://schemas.openxmlformats.org/officeDocument/2006/relationships/hyperlink" Target="https://journals.sagepub.com/doi/abs/10.1177/1477370819839598" TargetMode="External"/><Relationship Id="rId10" Type="http://schemas.openxmlformats.org/officeDocument/2006/relationships/hyperlink" Target="https://doi.org/10.1016/j.fsisyn.2019.09.002" TargetMode="External"/><Relationship Id="rId11" Type="http://schemas.openxmlformats.org/officeDocument/2006/relationships/hyperlink" Target="https://www.tandfonline.com/doi/abs/10.1080/10345329.2020.1859968" TargetMode="External"/><Relationship Id="rId12" Type="http://schemas.openxmlformats.org/officeDocument/2006/relationships/hyperlink" Target="https://heinonline.org/hol-cgi-bin/get_pdf.cgi?handle=hein.journals/rgllr2022&amp;section=6" TargetMode="External"/><Relationship Id="rId13" Type="http://schemas.openxmlformats.org/officeDocument/2006/relationships/image" Target="media/image1.png"/><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Application>LibreOffice/7.4.1.2$Windows_X86_64 LibreOffice_project/3c58a8f3a960df8bc8fd77b461821e42c061c5f0</Application>
  <AppVersion>15.0000</AppVersion>
  <Pages>9</Pages>
  <Words>1808</Words>
  <Characters>9963</Characters>
  <CharactersWithSpaces>11786</CharactersWithSpaces>
  <Paragraphs>36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2023-07-19T11:34:00Z</dcterms:created>
  <dc:creator/>
  <dc:description/>
  <dc:language>en-GB</dc:language>
  <cp:lastModifiedBy/>
  <dcterms:modified xsi:type="dcterms:W3CDTF">2023-08-11T22:47:31Z</dcterms:modified>
  <cp:revision>9</cp:revision>
  <dc:subject/>
  <dc:title/>
</cp:coreProperties>
</file>

<file path=docProps/custom.xml><?xml version="1.0" encoding="utf-8"?>
<Properties xmlns="http://schemas.openxmlformats.org/officeDocument/2006/custom-properties" xmlns:vt="http://schemas.openxmlformats.org/officeDocument/2006/docPropsVTypes"/>
</file>