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38FA709" w14:textId="6C01483B" w:rsidR="00E36CC9" w:rsidRDefault="006B583E" w:rsidP="00892C54">
      <w:r>
        <w:rPr>
          <w:rFonts w:ascii="Arial" w:hAnsi="Arial" w:cs="Arial"/>
        </w:rPr>
        <w:t xml:space="preserve">Reflections </w:t>
      </w:r>
    </w:p>
    <w:p w14:paraId="2D1504F4" w14:textId="106416FA" w:rsidR="00892C54" w:rsidRPr="006B583E" w:rsidRDefault="00892C54" w:rsidP="00892C54">
      <w:pPr>
        <w:rPr>
          <w:rFonts w:ascii="Calibri" w:hAnsi="Calibri" w:cs="Calibri"/>
        </w:rPr>
      </w:pPr>
      <w:r w:rsidRPr="006B583E">
        <w:rPr>
          <w:rFonts w:ascii="Calibri" w:hAnsi="Calibri" w:cs="Calibri"/>
        </w:rPr>
        <w:t xml:space="preserve">The following reflection looks at two case studies from a </w:t>
      </w:r>
      <w:r w:rsidR="007B7CA4">
        <w:rPr>
          <w:rFonts w:ascii="Calibri" w:hAnsi="Calibri" w:cs="Calibri"/>
        </w:rPr>
        <w:t>Therapy</w:t>
      </w:r>
      <w:r w:rsidRPr="006B583E">
        <w:rPr>
          <w:rFonts w:ascii="Calibri" w:hAnsi="Calibri" w:cs="Calibri"/>
        </w:rPr>
        <w:t xml:space="preserve"> Assistant Practitioner’s (</w:t>
      </w:r>
      <w:r w:rsidR="007B7CA4">
        <w:rPr>
          <w:rFonts w:ascii="Calibri" w:hAnsi="Calibri" w:cs="Calibri"/>
        </w:rPr>
        <w:t>T</w:t>
      </w:r>
      <w:r w:rsidRPr="006B583E">
        <w:rPr>
          <w:rFonts w:ascii="Calibri" w:hAnsi="Calibri" w:cs="Calibri"/>
        </w:rPr>
        <w:t xml:space="preserve">AP) outpatient caseload. These reflections will include the patient’s diagnosis and look at how different sciences have informed decisions and treatment plans. For this reflection the patients will be referred to as </w:t>
      </w:r>
      <w:proofErr w:type="spellStart"/>
      <w:r w:rsidRPr="006B583E">
        <w:rPr>
          <w:rFonts w:ascii="Calibri" w:hAnsi="Calibri" w:cs="Calibri"/>
        </w:rPr>
        <w:t>Mr</w:t>
      </w:r>
      <w:proofErr w:type="spellEnd"/>
      <w:r w:rsidRPr="006B583E">
        <w:rPr>
          <w:rFonts w:ascii="Calibri" w:hAnsi="Calibri" w:cs="Calibri"/>
        </w:rPr>
        <w:t xml:space="preserve"> A and </w:t>
      </w:r>
      <w:proofErr w:type="spellStart"/>
      <w:r w:rsidRPr="006B583E">
        <w:rPr>
          <w:rFonts w:ascii="Calibri" w:hAnsi="Calibri" w:cs="Calibri"/>
        </w:rPr>
        <w:t>Mr</w:t>
      </w:r>
      <w:proofErr w:type="spellEnd"/>
      <w:r w:rsidRPr="006B583E">
        <w:rPr>
          <w:rFonts w:ascii="Calibri" w:hAnsi="Calibri" w:cs="Calibri"/>
        </w:rPr>
        <w:t xml:space="preserve"> K.</w:t>
      </w:r>
    </w:p>
    <w:p w14:paraId="378DA2FE" w14:textId="756276F4" w:rsidR="00892C54" w:rsidRPr="006B583E" w:rsidRDefault="00892C54" w:rsidP="00892C54">
      <w:pPr>
        <w:rPr>
          <w:rFonts w:ascii="Calibri" w:hAnsi="Calibri" w:cs="Calibri"/>
        </w:rPr>
      </w:pPr>
      <w:proofErr w:type="spellStart"/>
      <w:r w:rsidRPr="006B583E">
        <w:rPr>
          <w:rFonts w:ascii="Calibri" w:hAnsi="Calibri" w:cs="Calibri"/>
        </w:rPr>
        <w:t>Mr</w:t>
      </w:r>
      <w:proofErr w:type="spellEnd"/>
      <w:r w:rsidRPr="006B583E">
        <w:rPr>
          <w:rFonts w:ascii="Calibri" w:hAnsi="Calibri" w:cs="Calibri"/>
        </w:rPr>
        <w:t xml:space="preserve"> A visited his GP complaining of stomach pain, </w:t>
      </w:r>
      <w:r w:rsidR="007B7CA4">
        <w:rPr>
          <w:rFonts w:ascii="Calibri" w:hAnsi="Calibri" w:cs="Calibri"/>
        </w:rPr>
        <w:t xml:space="preserve">by knowledge of human physiology the doctor’s </w:t>
      </w:r>
      <w:r w:rsidRPr="006B583E">
        <w:rPr>
          <w:rFonts w:ascii="Calibri" w:hAnsi="Calibri" w:cs="Calibri"/>
        </w:rPr>
        <w:t xml:space="preserve">impression was Coeliac disease, </w:t>
      </w:r>
      <w:proofErr w:type="spellStart"/>
      <w:r w:rsidR="00DC3D4F" w:rsidRPr="006B583E">
        <w:rPr>
          <w:rFonts w:ascii="Calibri" w:hAnsi="Calibri" w:cs="Calibri"/>
        </w:rPr>
        <w:t>Mr</w:t>
      </w:r>
      <w:proofErr w:type="spellEnd"/>
      <w:r w:rsidR="00DC3D4F" w:rsidRPr="006B583E">
        <w:rPr>
          <w:rFonts w:ascii="Calibri" w:hAnsi="Calibri" w:cs="Calibri"/>
        </w:rPr>
        <w:t xml:space="preserve"> </w:t>
      </w:r>
      <w:r w:rsidRPr="006B583E">
        <w:rPr>
          <w:rFonts w:ascii="Calibri" w:hAnsi="Calibri" w:cs="Calibri"/>
        </w:rPr>
        <w:t xml:space="preserve">A had a blood test and has been advised to follow a </w:t>
      </w:r>
      <w:r w:rsidR="006B583E" w:rsidRPr="006B583E">
        <w:rPr>
          <w:rFonts w:ascii="Calibri" w:hAnsi="Calibri" w:cs="Calibri"/>
        </w:rPr>
        <w:t>gluten-free</w:t>
      </w:r>
      <w:r w:rsidRPr="006B583E">
        <w:rPr>
          <w:rFonts w:ascii="Calibri" w:hAnsi="Calibri" w:cs="Calibri"/>
        </w:rPr>
        <w:t xml:space="preserve"> diet until a colonoscopy is arranged. Coeliac disease is an autoimmune condition in which the ingestion of gluten causes atrophy and inflammation of the small intestine. Using biochemistry doctors noted a raised anti-tissue transglutaminase (Anti TTG) Gandini et al</w:t>
      </w:r>
      <w:r w:rsidR="006B583E" w:rsidRPr="006B583E">
        <w:rPr>
          <w:rFonts w:ascii="Calibri" w:hAnsi="Calibri" w:cs="Calibri"/>
        </w:rPr>
        <w:t xml:space="preserve"> (</w:t>
      </w:r>
      <w:r w:rsidR="00DC3D4F" w:rsidRPr="006B583E">
        <w:rPr>
          <w:rFonts w:ascii="Calibri" w:hAnsi="Calibri" w:cs="Calibri"/>
        </w:rPr>
        <w:t>2021)</w:t>
      </w:r>
      <w:r w:rsidRPr="006B583E">
        <w:rPr>
          <w:rFonts w:ascii="Calibri" w:hAnsi="Calibri" w:cs="Calibri"/>
        </w:rPr>
        <w:t xml:space="preserve"> Note that Anti TTG is a good indicator of Coeliac Disease and can be useful for monitoring compliance with a gluten free diet, they continue to suggest that although blood tests are beneficial, a duodenal biopsy </w:t>
      </w:r>
      <w:r w:rsidR="007B7CA4">
        <w:rPr>
          <w:rFonts w:ascii="Calibri" w:hAnsi="Calibri" w:cs="Calibri"/>
        </w:rPr>
        <w:t xml:space="preserve">using  pathology </w:t>
      </w:r>
      <w:r w:rsidRPr="006B583E">
        <w:rPr>
          <w:rFonts w:ascii="Calibri" w:hAnsi="Calibri" w:cs="Calibri"/>
        </w:rPr>
        <w:t>is the “gold standard” In contrast to this</w:t>
      </w:r>
      <w:r w:rsidR="006B583E" w:rsidRPr="006B583E">
        <w:rPr>
          <w:rFonts w:ascii="Calibri" w:hAnsi="Calibri" w:cs="Calibri"/>
        </w:rPr>
        <w:t xml:space="preserve"> McGough</w:t>
      </w:r>
      <w:r w:rsidR="006B583E">
        <w:rPr>
          <w:rFonts w:ascii="Calibri" w:hAnsi="Calibri" w:cs="Calibri"/>
        </w:rPr>
        <w:t xml:space="preserve"> and</w:t>
      </w:r>
      <w:r w:rsidRPr="006B583E">
        <w:rPr>
          <w:rFonts w:ascii="Calibri" w:hAnsi="Calibri" w:cs="Calibri"/>
        </w:rPr>
        <w:t xml:space="preserve"> Mendoza </w:t>
      </w:r>
      <w:r w:rsidR="00DC3D4F" w:rsidRPr="006B583E">
        <w:rPr>
          <w:rFonts w:ascii="Calibri" w:hAnsi="Calibri" w:cs="Calibri"/>
        </w:rPr>
        <w:t xml:space="preserve">(2005) </w:t>
      </w:r>
      <w:r w:rsidRPr="006B583E">
        <w:rPr>
          <w:rFonts w:ascii="Calibri" w:hAnsi="Calibri" w:cs="Calibri"/>
        </w:rPr>
        <w:t xml:space="preserve">suggest that an Anti </w:t>
      </w:r>
      <w:proofErr w:type="spellStart"/>
      <w:r w:rsidRPr="006B583E">
        <w:rPr>
          <w:rFonts w:ascii="Calibri" w:hAnsi="Calibri" w:cs="Calibri"/>
        </w:rPr>
        <w:t>TTg</w:t>
      </w:r>
      <w:proofErr w:type="spellEnd"/>
      <w:r w:rsidRPr="006B583E">
        <w:rPr>
          <w:rFonts w:ascii="Calibri" w:hAnsi="Calibri" w:cs="Calibri"/>
        </w:rPr>
        <w:t xml:space="preserve"> in addition with other tests can be 99% accurate in diagnosis</w:t>
      </w:r>
      <w:r w:rsidR="006B583E" w:rsidRPr="006B583E">
        <w:rPr>
          <w:rFonts w:ascii="Calibri" w:hAnsi="Calibri" w:cs="Calibri"/>
        </w:rPr>
        <w:t xml:space="preserve">. </w:t>
      </w:r>
      <w:r w:rsidRPr="006B583E">
        <w:rPr>
          <w:rFonts w:ascii="Calibri" w:hAnsi="Calibri" w:cs="Calibri"/>
        </w:rPr>
        <w:t xml:space="preserve">Through food chemistry </w:t>
      </w:r>
      <w:r w:rsidR="006B583E" w:rsidRPr="006B583E">
        <w:rPr>
          <w:rFonts w:ascii="Calibri" w:hAnsi="Calibri" w:cs="Calibri"/>
        </w:rPr>
        <w:t>scientists</w:t>
      </w:r>
      <w:r w:rsidRPr="006B583E">
        <w:rPr>
          <w:rFonts w:ascii="Calibri" w:hAnsi="Calibri" w:cs="Calibri"/>
        </w:rPr>
        <w:t xml:space="preserve"> </w:t>
      </w:r>
      <w:proofErr w:type="gramStart"/>
      <w:r w:rsidRPr="006B583E">
        <w:rPr>
          <w:rFonts w:ascii="Calibri" w:hAnsi="Calibri" w:cs="Calibri"/>
        </w:rPr>
        <w:t>are able to</w:t>
      </w:r>
      <w:proofErr w:type="gramEnd"/>
      <w:r w:rsidRPr="006B583E">
        <w:rPr>
          <w:rFonts w:ascii="Calibri" w:hAnsi="Calibri" w:cs="Calibri"/>
        </w:rPr>
        <w:t xml:space="preserve"> identify which foods contain gluten and </w:t>
      </w:r>
      <w:proofErr w:type="spellStart"/>
      <w:r w:rsidRPr="006B583E">
        <w:rPr>
          <w:rFonts w:ascii="Calibri" w:hAnsi="Calibri" w:cs="Calibri"/>
        </w:rPr>
        <w:t>Mr</w:t>
      </w:r>
      <w:proofErr w:type="spellEnd"/>
      <w:r w:rsidRPr="006B583E">
        <w:rPr>
          <w:rFonts w:ascii="Calibri" w:hAnsi="Calibri" w:cs="Calibri"/>
        </w:rPr>
        <w:t xml:space="preserve"> A has been following a gluten free diet until the date of his procedure. </w:t>
      </w:r>
    </w:p>
    <w:p w14:paraId="46CBCEAC" w14:textId="31587DB0" w:rsidR="00892C54" w:rsidRPr="006B583E" w:rsidRDefault="00892C54" w:rsidP="00892C54">
      <w:pPr>
        <w:rPr>
          <w:rFonts w:ascii="Calibri" w:hAnsi="Calibri" w:cs="Calibri"/>
        </w:rPr>
      </w:pPr>
      <w:proofErr w:type="spellStart"/>
      <w:r w:rsidRPr="006B583E">
        <w:rPr>
          <w:rFonts w:ascii="Calibri" w:hAnsi="Calibri" w:cs="Calibri"/>
        </w:rPr>
        <w:t>Mr</w:t>
      </w:r>
      <w:proofErr w:type="spellEnd"/>
      <w:r w:rsidRPr="006B583E">
        <w:rPr>
          <w:rFonts w:ascii="Calibri" w:hAnsi="Calibri" w:cs="Calibri"/>
        </w:rPr>
        <w:t xml:space="preserve"> A has bought products that are clearly labelled but he is still struggling with common foods such as </w:t>
      </w:r>
      <w:r w:rsidR="007B7CA4" w:rsidRPr="006B583E">
        <w:rPr>
          <w:rFonts w:ascii="Calibri" w:hAnsi="Calibri" w:cs="Calibri"/>
        </w:rPr>
        <w:t>alcohol</w:t>
      </w:r>
      <w:r w:rsidR="007B7CA4">
        <w:rPr>
          <w:rFonts w:ascii="Calibri" w:hAnsi="Calibri" w:cs="Calibri"/>
        </w:rPr>
        <w:t xml:space="preserve"> </w:t>
      </w:r>
      <w:r w:rsidR="007B7CA4" w:rsidRPr="006B583E">
        <w:rPr>
          <w:rFonts w:ascii="Calibri" w:hAnsi="Calibri" w:cs="Calibri"/>
        </w:rPr>
        <w:t>and</w:t>
      </w:r>
      <w:r w:rsidRPr="006B583E">
        <w:rPr>
          <w:rFonts w:ascii="Calibri" w:hAnsi="Calibri" w:cs="Calibri"/>
        </w:rPr>
        <w:t xml:space="preserve"> pastries. A </w:t>
      </w:r>
      <w:r w:rsidR="007B7CA4">
        <w:rPr>
          <w:rFonts w:ascii="Calibri" w:hAnsi="Calibri" w:cs="Calibri"/>
        </w:rPr>
        <w:t xml:space="preserve">TAP </w:t>
      </w:r>
      <w:r w:rsidRPr="006B583E">
        <w:rPr>
          <w:rFonts w:ascii="Calibri" w:hAnsi="Calibri" w:cs="Calibri"/>
        </w:rPr>
        <w:t xml:space="preserve">may use the science of psychology to help motivate </w:t>
      </w:r>
      <w:proofErr w:type="spellStart"/>
      <w:r w:rsidRPr="006B583E">
        <w:rPr>
          <w:rFonts w:ascii="Calibri" w:hAnsi="Calibri" w:cs="Calibri"/>
        </w:rPr>
        <w:t>Mr</w:t>
      </w:r>
      <w:proofErr w:type="spellEnd"/>
      <w:r w:rsidRPr="006B583E">
        <w:rPr>
          <w:rFonts w:ascii="Calibri" w:hAnsi="Calibri" w:cs="Calibri"/>
        </w:rPr>
        <w:t xml:space="preserve"> A and explore ways of managing emotions related to current situation and possible diagnosis. Through biology, pathology and biochemistry </w:t>
      </w:r>
      <w:proofErr w:type="spellStart"/>
      <w:r w:rsidRPr="006B583E">
        <w:rPr>
          <w:rFonts w:ascii="Calibri" w:hAnsi="Calibri" w:cs="Calibri"/>
        </w:rPr>
        <w:t>Mr</w:t>
      </w:r>
      <w:proofErr w:type="spellEnd"/>
      <w:r w:rsidRPr="006B583E">
        <w:rPr>
          <w:rFonts w:ascii="Calibri" w:hAnsi="Calibri" w:cs="Calibri"/>
        </w:rPr>
        <w:t xml:space="preserve"> A will have a biopsy taken which will be tested for damage and antibodies, he will need to consume gluten in the days prior to his tests so that the antibodies he produces in response to the gluten in his diet can be picked up</w:t>
      </w:r>
      <w:r w:rsidR="00DC3D4F" w:rsidRPr="006B583E">
        <w:rPr>
          <w:rFonts w:ascii="Calibri" w:hAnsi="Calibri" w:cs="Calibri"/>
        </w:rPr>
        <w:t xml:space="preserve"> (NICE 2020)</w:t>
      </w:r>
      <w:r w:rsidR="006B583E" w:rsidRPr="006B583E">
        <w:rPr>
          <w:rFonts w:ascii="Calibri" w:hAnsi="Calibri" w:cs="Calibri"/>
        </w:rPr>
        <w:t xml:space="preserve">. </w:t>
      </w:r>
      <w:r w:rsidR="009C71A5" w:rsidRPr="006B583E">
        <w:rPr>
          <w:rFonts w:ascii="Calibri" w:hAnsi="Calibri" w:cs="Calibri"/>
        </w:rPr>
        <w:t>Hallert et al (2003) n</w:t>
      </w:r>
      <w:r w:rsidRPr="006B583E">
        <w:rPr>
          <w:rFonts w:ascii="Calibri" w:hAnsi="Calibri" w:cs="Calibri"/>
        </w:rPr>
        <w:t>otes that living with Coeliac disease ha</w:t>
      </w:r>
      <w:r w:rsidR="007B2099">
        <w:rPr>
          <w:rFonts w:ascii="Calibri" w:hAnsi="Calibri" w:cs="Calibri"/>
        </w:rPr>
        <w:t>s</w:t>
      </w:r>
      <w:r w:rsidRPr="006B583E">
        <w:rPr>
          <w:rFonts w:ascii="Calibri" w:hAnsi="Calibri" w:cs="Calibri"/>
        </w:rPr>
        <w:t xml:space="preserve"> a negative impact on quality of life and </w:t>
      </w:r>
      <w:r w:rsidR="00972347" w:rsidRPr="006B583E">
        <w:rPr>
          <w:rFonts w:ascii="Calibri" w:hAnsi="Calibri" w:cs="Calibri"/>
        </w:rPr>
        <w:t>people’s</w:t>
      </w:r>
      <w:r w:rsidRPr="006B583E">
        <w:rPr>
          <w:rFonts w:ascii="Calibri" w:hAnsi="Calibri" w:cs="Calibri"/>
        </w:rPr>
        <w:t xml:space="preserve"> ability to </w:t>
      </w:r>
      <w:proofErr w:type="spellStart"/>
      <w:r w:rsidRPr="006B583E">
        <w:rPr>
          <w:rFonts w:ascii="Calibri" w:hAnsi="Calibri" w:cs="Calibri"/>
        </w:rPr>
        <w:t>socailise</w:t>
      </w:r>
      <w:proofErr w:type="spellEnd"/>
      <w:r w:rsidRPr="006B583E">
        <w:rPr>
          <w:rFonts w:ascii="Calibri" w:hAnsi="Calibri" w:cs="Calibri"/>
        </w:rPr>
        <w:t xml:space="preserve">, this can affect adherence to a gluten free diet. </w:t>
      </w:r>
      <w:proofErr w:type="spellStart"/>
      <w:r w:rsidRPr="006B583E">
        <w:rPr>
          <w:rFonts w:ascii="Calibri" w:hAnsi="Calibri" w:cs="Calibri"/>
        </w:rPr>
        <w:t>Mr</w:t>
      </w:r>
      <w:proofErr w:type="spellEnd"/>
      <w:r w:rsidRPr="006B583E">
        <w:rPr>
          <w:rFonts w:ascii="Calibri" w:hAnsi="Calibri" w:cs="Calibri"/>
        </w:rPr>
        <w:t xml:space="preserve"> A may need continued support to manage social activities and the uneasiness of talking about his condition with others. </w:t>
      </w:r>
    </w:p>
    <w:p w14:paraId="2B421939" w14:textId="77777777" w:rsidR="00892C54" w:rsidRPr="006B583E" w:rsidRDefault="00892C54" w:rsidP="00892C54">
      <w:pPr>
        <w:rPr>
          <w:rFonts w:ascii="Calibri" w:hAnsi="Calibri" w:cs="Calibri"/>
        </w:rPr>
      </w:pPr>
    </w:p>
    <w:p w14:paraId="21CE6026" w14:textId="42440429" w:rsidR="00892C54" w:rsidRPr="006B583E" w:rsidRDefault="00892C54" w:rsidP="00892C54">
      <w:pPr>
        <w:rPr>
          <w:rFonts w:ascii="Calibri" w:hAnsi="Calibri" w:cs="Calibri"/>
        </w:rPr>
      </w:pPr>
      <w:r w:rsidRPr="006B583E">
        <w:rPr>
          <w:rFonts w:ascii="Calibri" w:hAnsi="Calibri" w:cs="Calibri"/>
        </w:rPr>
        <w:t xml:space="preserve">Patient 2 </w:t>
      </w:r>
    </w:p>
    <w:p w14:paraId="3177B65F" w14:textId="0335B9D1" w:rsidR="00B23F72" w:rsidRPr="006B583E" w:rsidRDefault="00892C54" w:rsidP="00892C54">
      <w:pPr>
        <w:rPr>
          <w:rFonts w:ascii="Calibri" w:hAnsi="Calibri" w:cs="Calibri"/>
          <w:color w:val="000000" w:themeColor="text1"/>
        </w:rPr>
      </w:pPr>
      <w:proofErr w:type="spellStart"/>
      <w:r w:rsidRPr="006B583E">
        <w:rPr>
          <w:rFonts w:ascii="Calibri" w:hAnsi="Calibri" w:cs="Calibri"/>
        </w:rPr>
        <w:t>Mr</w:t>
      </w:r>
      <w:proofErr w:type="spellEnd"/>
      <w:r w:rsidRPr="006B583E">
        <w:rPr>
          <w:rFonts w:ascii="Calibri" w:hAnsi="Calibri" w:cs="Calibri"/>
        </w:rPr>
        <w:t xml:space="preserve"> K attended an </w:t>
      </w:r>
      <w:r w:rsidR="00972347" w:rsidRPr="006B583E">
        <w:rPr>
          <w:rFonts w:ascii="Calibri" w:hAnsi="Calibri" w:cs="Calibri"/>
        </w:rPr>
        <w:t>outpatient</w:t>
      </w:r>
      <w:r w:rsidRPr="006B583E">
        <w:rPr>
          <w:rFonts w:ascii="Calibri" w:hAnsi="Calibri" w:cs="Calibri"/>
        </w:rPr>
        <w:t xml:space="preserve"> appointment, he has been reducing his calorie intake to </w:t>
      </w:r>
      <w:r w:rsidR="00972347" w:rsidRPr="006B583E">
        <w:rPr>
          <w:rFonts w:ascii="Calibri" w:hAnsi="Calibri" w:cs="Calibri"/>
        </w:rPr>
        <w:t>lose</w:t>
      </w:r>
      <w:r w:rsidRPr="006B583E">
        <w:rPr>
          <w:rFonts w:ascii="Calibri" w:hAnsi="Calibri" w:cs="Calibri"/>
        </w:rPr>
        <w:t xml:space="preserve"> weight. Through human biology, physiology, biochemistry and microbiology </w:t>
      </w:r>
      <w:proofErr w:type="spellStart"/>
      <w:r w:rsidRPr="006B583E">
        <w:rPr>
          <w:rFonts w:ascii="Calibri" w:hAnsi="Calibri" w:cs="Calibri"/>
        </w:rPr>
        <w:t>Mr</w:t>
      </w:r>
      <w:proofErr w:type="spellEnd"/>
      <w:r w:rsidRPr="006B583E">
        <w:rPr>
          <w:rFonts w:ascii="Calibri" w:hAnsi="Calibri" w:cs="Calibri"/>
        </w:rPr>
        <w:t xml:space="preserve"> K has been diagnosed with </w:t>
      </w:r>
      <w:r w:rsidR="00972347" w:rsidRPr="006B583E">
        <w:rPr>
          <w:rFonts w:ascii="Calibri" w:hAnsi="Calibri" w:cs="Calibri"/>
        </w:rPr>
        <w:t>irritable bowel syndrome</w:t>
      </w:r>
      <w:r w:rsidRPr="006B583E">
        <w:rPr>
          <w:rFonts w:ascii="Calibri" w:hAnsi="Calibri" w:cs="Calibri"/>
        </w:rPr>
        <w:t xml:space="preserve"> (IBS) and is interested in following a low FODMAP diet</w:t>
      </w:r>
      <w:r w:rsidR="00972347" w:rsidRPr="006B583E">
        <w:rPr>
          <w:rFonts w:ascii="Calibri" w:hAnsi="Calibri" w:cs="Calibri"/>
        </w:rPr>
        <w:t xml:space="preserve">. </w:t>
      </w:r>
      <w:r w:rsidRPr="006B583E">
        <w:rPr>
          <w:rFonts w:ascii="Calibri" w:hAnsi="Calibri" w:cs="Calibri"/>
        </w:rPr>
        <w:t>Using physiology</w:t>
      </w:r>
      <w:r w:rsidR="00972347" w:rsidRPr="006B583E">
        <w:rPr>
          <w:rFonts w:ascii="Calibri" w:hAnsi="Calibri" w:cs="Calibri"/>
        </w:rPr>
        <w:t xml:space="preserve">, </w:t>
      </w:r>
      <w:r w:rsidRPr="006B583E">
        <w:rPr>
          <w:rFonts w:ascii="Calibri" w:hAnsi="Calibri" w:cs="Calibri"/>
        </w:rPr>
        <w:t>food chemistry</w:t>
      </w:r>
      <w:r w:rsidR="00972347" w:rsidRPr="006B583E">
        <w:rPr>
          <w:rFonts w:ascii="Calibri" w:hAnsi="Calibri" w:cs="Calibri"/>
        </w:rPr>
        <w:t xml:space="preserve"> and </w:t>
      </w:r>
      <w:r w:rsidRPr="006B583E">
        <w:rPr>
          <w:rFonts w:ascii="Calibri" w:hAnsi="Calibri" w:cs="Calibri"/>
        </w:rPr>
        <w:t xml:space="preserve">pathology scientists have been </w:t>
      </w:r>
      <w:r w:rsidRPr="006B583E">
        <w:rPr>
          <w:rFonts w:ascii="Calibri" w:hAnsi="Calibri" w:cs="Calibri"/>
          <w:color w:val="000000" w:themeColor="text1"/>
        </w:rPr>
        <w:t xml:space="preserve">able to identify short chain carbohydrates that are poorly absorbed by the intestines. </w:t>
      </w:r>
      <w:proofErr w:type="spellStart"/>
      <w:r w:rsidR="00A93AB3" w:rsidRPr="006B583E">
        <w:rPr>
          <w:rFonts w:ascii="Calibri" w:hAnsi="Calibri" w:cs="Calibri"/>
          <w:color w:val="000000" w:themeColor="text1"/>
        </w:rPr>
        <w:t>Wathsala</w:t>
      </w:r>
      <w:proofErr w:type="spellEnd"/>
      <w:r w:rsidR="00A93AB3" w:rsidRPr="006B583E">
        <w:rPr>
          <w:rFonts w:ascii="Calibri" w:hAnsi="Calibri" w:cs="Calibri"/>
          <w:color w:val="000000" w:themeColor="text1"/>
        </w:rPr>
        <w:t xml:space="preserve"> et al 2016 </w:t>
      </w:r>
      <w:r w:rsidRPr="006B583E">
        <w:rPr>
          <w:rFonts w:ascii="Calibri" w:hAnsi="Calibri" w:cs="Calibri"/>
        </w:rPr>
        <w:t xml:space="preserve">notes that </w:t>
      </w:r>
      <w:r w:rsidRPr="006B583E">
        <w:rPr>
          <w:rFonts w:ascii="Calibri" w:eastAsia="Times New Roman" w:hAnsi="Calibri" w:cs="Calibri"/>
          <w:lang w:val="en-GB" w:eastAsia="en-GB"/>
        </w:rPr>
        <w:t xml:space="preserve">Research on the impact of FODMAP dietary restriction has consistently demonstrated its efficacy in reducing overall gastrointestinal symptoms. </w:t>
      </w:r>
      <w:r w:rsidR="006B583E" w:rsidRPr="006B583E">
        <w:rPr>
          <w:rFonts w:ascii="Calibri" w:eastAsia="Times New Roman" w:hAnsi="Calibri" w:cs="Calibri"/>
          <w:lang w:val="en-GB" w:eastAsia="en-GB"/>
        </w:rPr>
        <w:t>However,</w:t>
      </w:r>
      <w:r w:rsidRPr="006B583E">
        <w:rPr>
          <w:rFonts w:ascii="Calibri" w:eastAsia="Times New Roman" w:hAnsi="Calibri" w:cs="Calibri"/>
          <w:lang w:val="en-GB" w:eastAsia="en-GB"/>
        </w:rPr>
        <w:t xml:space="preserve"> </w:t>
      </w:r>
      <w:r w:rsidR="00425C4A" w:rsidRPr="006B583E">
        <w:rPr>
          <w:rFonts w:ascii="Calibri" w:hAnsi="Calibri" w:cs="Calibri"/>
          <w:color w:val="000000" w:themeColor="text1"/>
        </w:rPr>
        <w:t>Morariu et al (2023</w:t>
      </w:r>
      <w:r w:rsidR="00B23F72" w:rsidRPr="006B583E">
        <w:rPr>
          <w:rFonts w:ascii="Calibri" w:hAnsi="Calibri" w:cs="Calibri"/>
          <w:color w:val="000000" w:themeColor="text1"/>
        </w:rPr>
        <w:t>)</w:t>
      </w:r>
      <w:r w:rsidR="00B23F72" w:rsidRPr="006B583E">
        <w:rPr>
          <w:rFonts w:ascii="Calibri" w:eastAsia="Times New Roman" w:hAnsi="Calibri" w:cs="Calibri"/>
          <w:lang w:val="en-GB" w:eastAsia="en-GB"/>
        </w:rPr>
        <w:t xml:space="preserve"> </w:t>
      </w:r>
      <w:r w:rsidR="00B23F72" w:rsidRPr="006B583E">
        <w:rPr>
          <w:rFonts w:ascii="Calibri" w:hAnsi="Calibri" w:cs="Calibri"/>
          <w:color w:val="1B1B1B"/>
        </w:rPr>
        <w:t>warns</w:t>
      </w:r>
      <w:r w:rsidR="00425C4A" w:rsidRPr="006B583E">
        <w:rPr>
          <w:rFonts w:ascii="Calibri" w:hAnsi="Calibri" w:cs="Calibri"/>
        </w:rPr>
        <w:t xml:space="preserve"> of the possibility of nutritional deficiencies</w:t>
      </w:r>
      <w:r w:rsidR="00B23F72" w:rsidRPr="006B583E">
        <w:rPr>
          <w:rFonts w:ascii="Calibri" w:hAnsi="Calibri" w:cs="Calibri"/>
        </w:rPr>
        <w:t>, identified through pathology and biochemistry</w:t>
      </w:r>
      <w:r w:rsidR="00425C4A" w:rsidRPr="006B583E">
        <w:rPr>
          <w:rFonts w:ascii="Calibri" w:hAnsi="Calibri" w:cs="Calibri"/>
        </w:rPr>
        <w:t xml:space="preserve"> and problems with adherence, </w:t>
      </w:r>
      <w:proofErr w:type="gramStart"/>
      <w:r w:rsidR="00B23F72" w:rsidRPr="006B583E">
        <w:rPr>
          <w:rFonts w:ascii="Calibri" w:hAnsi="Calibri" w:cs="Calibri"/>
        </w:rPr>
        <w:t>Hill</w:t>
      </w:r>
      <w:proofErr w:type="gramEnd"/>
      <w:r w:rsidR="00B23F72" w:rsidRPr="006B583E">
        <w:rPr>
          <w:rFonts w:ascii="Calibri" w:hAnsi="Calibri" w:cs="Calibri"/>
        </w:rPr>
        <w:t xml:space="preserve"> et al (2017) </w:t>
      </w:r>
      <w:r w:rsidR="00425C4A" w:rsidRPr="006B583E">
        <w:rPr>
          <w:rFonts w:ascii="Calibri" w:hAnsi="Calibri" w:cs="Calibri"/>
        </w:rPr>
        <w:t xml:space="preserve">further suggest that this </w:t>
      </w:r>
      <w:r w:rsidR="00425C4A" w:rsidRPr="006B583E">
        <w:rPr>
          <w:rFonts w:ascii="Calibri" w:hAnsi="Calibri" w:cs="Calibri"/>
        </w:rPr>
        <w:lastRenderedPageBreak/>
        <w:t>type of diet m</w:t>
      </w:r>
      <w:r w:rsidR="00B23F72" w:rsidRPr="006B583E">
        <w:rPr>
          <w:rFonts w:ascii="Calibri" w:hAnsi="Calibri" w:cs="Calibri"/>
        </w:rPr>
        <w:t>a</w:t>
      </w:r>
      <w:r w:rsidR="00425C4A" w:rsidRPr="006B583E">
        <w:rPr>
          <w:rFonts w:ascii="Calibri" w:hAnsi="Calibri" w:cs="Calibri"/>
        </w:rPr>
        <w:t>y encourage</w:t>
      </w:r>
      <w:r w:rsidR="00B23F72" w:rsidRPr="006B583E">
        <w:rPr>
          <w:rFonts w:ascii="Calibri" w:hAnsi="Calibri" w:cs="Calibri"/>
        </w:rPr>
        <w:t xml:space="preserve"> psychological problems such as</w:t>
      </w:r>
      <w:r w:rsidR="00425C4A" w:rsidRPr="006B583E">
        <w:rPr>
          <w:rFonts w:ascii="Calibri" w:hAnsi="Calibri" w:cs="Calibri"/>
        </w:rPr>
        <w:t xml:space="preserve"> disordered eating and affect gut microbiota. </w:t>
      </w:r>
      <w:r w:rsidR="00B23F72" w:rsidRPr="006B583E">
        <w:rPr>
          <w:rFonts w:ascii="Calibri" w:hAnsi="Calibri" w:cs="Calibri"/>
        </w:rPr>
        <w:t xml:space="preserve">During the appointment </w:t>
      </w:r>
      <w:proofErr w:type="spellStart"/>
      <w:r w:rsidR="00B23F72" w:rsidRPr="006B583E">
        <w:rPr>
          <w:rFonts w:ascii="Calibri" w:hAnsi="Calibri" w:cs="Calibri"/>
        </w:rPr>
        <w:t>Mr</w:t>
      </w:r>
      <w:proofErr w:type="spellEnd"/>
      <w:r w:rsidR="00B23F72" w:rsidRPr="006B583E">
        <w:rPr>
          <w:rFonts w:ascii="Calibri" w:hAnsi="Calibri" w:cs="Calibri"/>
        </w:rPr>
        <w:t xml:space="preserve"> K discussed his current diet and weight loss. As Low FODMAP is a </w:t>
      </w:r>
      <w:proofErr w:type="spellStart"/>
      <w:r w:rsidR="00B23F72" w:rsidRPr="006B583E">
        <w:rPr>
          <w:rFonts w:ascii="Calibri" w:hAnsi="Calibri" w:cs="Calibri"/>
        </w:rPr>
        <w:t>specialised</w:t>
      </w:r>
      <w:proofErr w:type="spellEnd"/>
      <w:r w:rsidR="00B23F72" w:rsidRPr="006B583E">
        <w:rPr>
          <w:rFonts w:ascii="Calibri" w:hAnsi="Calibri" w:cs="Calibri"/>
        </w:rPr>
        <w:t xml:space="preserve"> </w:t>
      </w:r>
      <w:proofErr w:type="gramStart"/>
      <w:r w:rsidR="00B23F72" w:rsidRPr="006B583E">
        <w:rPr>
          <w:rFonts w:ascii="Calibri" w:hAnsi="Calibri" w:cs="Calibri"/>
        </w:rPr>
        <w:t>diet</w:t>
      </w:r>
      <w:proofErr w:type="gramEnd"/>
      <w:r w:rsidR="00B23F72" w:rsidRPr="006B583E">
        <w:rPr>
          <w:rFonts w:ascii="Calibri" w:hAnsi="Calibri" w:cs="Calibri"/>
        </w:rPr>
        <w:t xml:space="preserve"> a </w:t>
      </w:r>
      <w:r w:rsidR="007B7CA4">
        <w:rPr>
          <w:rFonts w:ascii="Calibri" w:hAnsi="Calibri" w:cs="Calibri"/>
        </w:rPr>
        <w:t>T</w:t>
      </w:r>
      <w:r w:rsidR="00B23F72" w:rsidRPr="006B583E">
        <w:rPr>
          <w:rFonts w:ascii="Calibri" w:hAnsi="Calibri" w:cs="Calibri"/>
        </w:rPr>
        <w:t xml:space="preserve">AP working in weight management is limited </w:t>
      </w:r>
      <w:r w:rsidR="007B2099">
        <w:rPr>
          <w:rFonts w:ascii="Calibri" w:hAnsi="Calibri" w:cs="Calibri"/>
        </w:rPr>
        <w:t>in</w:t>
      </w:r>
      <w:r w:rsidR="00B23F72" w:rsidRPr="006B583E">
        <w:rPr>
          <w:rFonts w:ascii="Calibri" w:hAnsi="Calibri" w:cs="Calibri"/>
        </w:rPr>
        <w:t xml:space="preserve"> the advice they can give. </w:t>
      </w:r>
    </w:p>
    <w:p w14:paraId="0E93A347" w14:textId="77777777" w:rsidR="00892C54" w:rsidRDefault="00892C54" w:rsidP="00892C54">
      <w:pPr>
        <w:pStyle w:val="NormalWeb"/>
        <w:shd w:val="clear" w:color="auto" w:fill="FFFFFF"/>
        <w:spacing w:before="450" w:beforeAutospacing="0" w:after="0" w:afterAutospacing="0"/>
        <w:rPr>
          <w:rFonts w:ascii="Cambria" w:hAnsi="Cambria"/>
          <w:color w:val="1B1B1B"/>
          <w:sz w:val="28"/>
          <w:szCs w:val="28"/>
          <w:shd w:val="clear" w:color="auto" w:fill="FFFFFF"/>
        </w:rPr>
      </w:pPr>
      <w:r>
        <w:rPr>
          <w:rFonts w:ascii="Cambria" w:hAnsi="Cambria"/>
          <w:color w:val="1B1B1B"/>
          <w:sz w:val="28"/>
          <w:szCs w:val="28"/>
          <w:shd w:val="clear" w:color="auto" w:fill="FFFFFF"/>
        </w:rPr>
        <w:t> </w:t>
      </w:r>
    </w:p>
    <w:p w14:paraId="50EB9756" w14:textId="6E792D00" w:rsidR="00892C54" w:rsidRDefault="00892C54" w:rsidP="00892C54">
      <w:pPr>
        <w:pStyle w:val="NormalWeb"/>
        <w:shd w:val="clear" w:color="auto" w:fill="FFFFFF"/>
        <w:spacing w:before="450" w:beforeAutospacing="0" w:after="0" w:afterAutospacing="0"/>
        <w:rPr>
          <w:rFonts w:ascii="Cambria" w:hAnsi="Cambria"/>
          <w:color w:val="1B1B1B"/>
          <w:sz w:val="28"/>
          <w:szCs w:val="28"/>
        </w:rPr>
      </w:pPr>
    </w:p>
    <w:p w14:paraId="79198F16" w14:textId="77777777" w:rsidR="00892C54" w:rsidRDefault="00892C54" w:rsidP="00892C54">
      <w:pPr>
        <w:pStyle w:val="NormalWeb"/>
        <w:shd w:val="clear" w:color="auto" w:fill="FFFFFF"/>
        <w:spacing w:before="450" w:beforeAutospacing="0" w:after="0" w:afterAutospacing="0"/>
        <w:rPr>
          <w:rFonts w:ascii="Cambria" w:hAnsi="Cambria"/>
          <w:color w:val="1B1B1B"/>
          <w:sz w:val="28"/>
          <w:szCs w:val="28"/>
        </w:rPr>
      </w:pPr>
    </w:p>
    <w:p w14:paraId="64933ED1" w14:textId="77777777" w:rsidR="00892C54" w:rsidRDefault="00892C54" w:rsidP="00892C54"/>
    <w:p w14:paraId="7FDDD3A1" w14:textId="77777777" w:rsidR="00892C54" w:rsidRDefault="00892C54" w:rsidP="00892C54"/>
    <w:p w14:paraId="1F00818B" w14:textId="77777777" w:rsidR="006B583E" w:rsidRDefault="006B583E" w:rsidP="00892C54"/>
    <w:p w14:paraId="6AE35E63" w14:textId="77777777" w:rsidR="006B583E" w:rsidRDefault="006B583E" w:rsidP="00892C54"/>
    <w:p w14:paraId="7F18A3CC" w14:textId="77777777" w:rsidR="006B583E" w:rsidRDefault="006B583E" w:rsidP="00892C54"/>
    <w:p w14:paraId="7A3029B8" w14:textId="77777777" w:rsidR="006B583E" w:rsidRDefault="006B583E" w:rsidP="00892C54"/>
    <w:p w14:paraId="13D8945A" w14:textId="77777777" w:rsidR="006B583E" w:rsidRDefault="006B583E" w:rsidP="00892C54"/>
    <w:p w14:paraId="406E0679" w14:textId="77777777" w:rsidR="006B583E" w:rsidRDefault="006B583E" w:rsidP="00892C54"/>
    <w:p w14:paraId="56492DC4" w14:textId="77777777" w:rsidR="006B583E" w:rsidRDefault="006B583E" w:rsidP="00892C54"/>
    <w:p w14:paraId="1A9ED299" w14:textId="77777777" w:rsidR="006B583E" w:rsidRDefault="006B583E" w:rsidP="00892C54"/>
    <w:p w14:paraId="15FCB7A0" w14:textId="77777777" w:rsidR="006B583E" w:rsidRDefault="006B583E" w:rsidP="00892C54"/>
    <w:p w14:paraId="49ED5F22" w14:textId="77777777" w:rsidR="006B583E" w:rsidRDefault="006B583E" w:rsidP="00892C54"/>
    <w:p w14:paraId="45C86D51" w14:textId="77777777" w:rsidR="006B583E" w:rsidRDefault="006B583E" w:rsidP="00892C54"/>
    <w:p w14:paraId="4094E919" w14:textId="77777777" w:rsidR="006B583E" w:rsidRDefault="006B583E" w:rsidP="00892C54"/>
    <w:p w14:paraId="60B7AF6D" w14:textId="77777777" w:rsidR="006B583E" w:rsidRDefault="006B583E" w:rsidP="00892C54"/>
    <w:p w14:paraId="67BE0D1D" w14:textId="77777777" w:rsidR="006B583E" w:rsidRDefault="006B583E" w:rsidP="00892C54"/>
    <w:p w14:paraId="7A2F2A24" w14:textId="77777777" w:rsidR="006B583E" w:rsidRDefault="006B583E" w:rsidP="00892C54"/>
    <w:p w14:paraId="0A19AA4C" w14:textId="77777777" w:rsidR="006B583E" w:rsidRDefault="006B583E" w:rsidP="00892C54"/>
    <w:p w14:paraId="6B4D1656" w14:textId="77777777" w:rsidR="006B583E" w:rsidRDefault="006B583E" w:rsidP="00892C54"/>
    <w:p w14:paraId="2FCF383B" w14:textId="77777777" w:rsidR="006B583E" w:rsidRDefault="006B583E" w:rsidP="00892C54"/>
    <w:p w14:paraId="3DBD68D6" w14:textId="77777777" w:rsidR="006B583E" w:rsidRDefault="006B583E" w:rsidP="00892C54"/>
    <w:p w14:paraId="58D119C0" w14:textId="2F2734AB" w:rsidR="00100979" w:rsidRPr="006B583E" w:rsidRDefault="00A34E30">
      <w:pPr>
        <w:rPr>
          <w:rFonts w:ascii="Calibri" w:hAnsi="Calibri" w:cs="Calibri"/>
          <w:sz w:val="22"/>
          <w:szCs w:val="22"/>
        </w:rPr>
      </w:pPr>
      <w:r w:rsidRPr="006B583E">
        <w:rPr>
          <w:rFonts w:ascii="Calibri" w:hAnsi="Calibri" w:cs="Calibri"/>
          <w:sz w:val="22"/>
          <w:szCs w:val="22"/>
        </w:rPr>
        <w:t>References</w:t>
      </w:r>
    </w:p>
    <w:p w14:paraId="7166A7DB" w14:textId="561AA129" w:rsidR="006B583E" w:rsidRPr="006B583E" w:rsidRDefault="00A34E30" w:rsidP="006B583E">
      <w:pPr>
        <w:rPr>
          <w:rFonts w:ascii="Calibri" w:hAnsi="Calibri" w:cs="Calibri"/>
          <w:sz w:val="22"/>
          <w:szCs w:val="22"/>
        </w:rPr>
      </w:pPr>
      <w:r w:rsidRPr="006B583E">
        <w:rPr>
          <w:rFonts w:ascii="Calibri" w:hAnsi="Calibri" w:cs="Calibri"/>
          <w:sz w:val="22"/>
          <w:szCs w:val="22"/>
        </w:rPr>
        <w:t>Gandini, A</w:t>
      </w:r>
      <w:r w:rsidR="00D134DA" w:rsidRPr="006B583E">
        <w:rPr>
          <w:rFonts w:ascii="Calibri" w:hAnsi="Calibri" w:cs="Calibri"/>
          <w:sz w:val="22"/>
          <w:szCs w:val="22"/>
        </w:rPr>
        <w:t xml:space="preserve">., </w:t>
      </w:r>
      <w:proofErr w:type="spellStart"/>
      <w:r w:rsidR="00D134DA" w:rsidRPr="006B583E">
        <w:rPr>
          <w:rFonts w:ascii="Calibri" w:hAnsi="Calibri" w:cs="Calibri"/>
          <w:sz w:val="22"/>
          <w:szCs w:val="22"/>
        </w:rPr>
        <w:t>Gededzha</w:t>
      </w:r>
      <w:proofErr w:type="spellEnd"/>
      <w:r w:rsidR="00D134DA" w:rsidRPr="006B583E">
        <w:rPr>
          <w:rFonts w:ascii="Calibri" w:hAnsi="Calibri" w:cs="Calibri"/>
          <w:sz w:val="22"/>
          <w:szCs w:val="22"/>
        </w:rPr>
        <w:t xml:space="preserve">, M, P., </w:t>
      </w:r>
      <w:proofErr w:type="spellStart"/>
      <w:r w:rsidR="00D134DA" w:rsidRPr="006B583E">
        <w:rPr>
          <w:rFonts w:ascii="Calibri" w:hAnsi="Calibri" w:cs="Calibri"/>
          <w:sz w:val="22"/>
          <w:szCs w:val="22"/>
        </w:rPr>
        <w:t>Maayer</w:t>
      </w:r>
      <w:proofErr w:type="spellEnd"/>
      <w:r w:rsidR="00D134DA" w:rsidRPr="006B583E">
        <w:rPr>
          <w:rFonts w:ascii="Calibri" w:hAnsi="Calibri" w:cs="Calibri"/>
          <w:sz w:val="22"/>
          <w:szCs w:val="22"/>
        </w:rPr>
        <w:t xml:space="preserve">, T, D., Barrow, P. and Mayne, E. (2021) ‘Diagnosing coeliac disease: A literature review’, </w:t>
      </w:r>
      <w:r w:rsidR="00D134DA" w:rsidRPr="006B583E">
        <w:rPr>
          <w:rFonts w:ascii="Calibri" w:hAnsi="Calibri" w:cs="Calibri"/>
          <w:i/>
          <w:iCs/>
          <w:sz w:val="22"/>
          <w:szCs w:val="22"/>
        </w:rPr>
        <w:t>Human Immunology</w:t>
      </w:r>
      <w:r w:rsidR="00D134DA" w:rsidRPr="006B583E">
        <w:rPr>
          <w:rFonts w:ascii="Calibri" w:hAnsi="Calibri" w:cs="Calibri"/>
          <w:sz w:val="22"/>
          <w:szCs w:val="22"/>
        </w:rPr>
        <w:t>, 82(12), pp. 930-936. Available at: Diagnosing coeliac disease: A literature review – ScienceDirect (Accessed 6</w:t>
      </w:r>
      <w:r w:rsidR="00D134DA" w:rsidRPr="006B583E">
        <w:rPr>
          <w:rFonts w:ascii="Calibri" w:hAnsi="Calibri" w:cs="Calibri"/>
          <w:sz w:val="22"/>
          <w:szCs w:val="22"/>
          <w:vertAlign w:val="superscript"/>
        </w:rPr>
        <w:t>th</w:t>
      </w:r>
      <w:r w:rsidR="00D134DA" w:rsidRPr="006B583E">
        <w:rPr>
          <w:rFonts w:ascii="Calibri" w:hAnsi="Calibri" w:cs="Calibri"/>
          <w:sz w:val="22"/>
          <w:szCs w:val="22"/>
        </w:rPr>
        <w:t xml:space="preserve"> November 2024)</w:t>
      </w:r>
    </w:p>
    <w:p w14:paraId="7569B535" w14:textId="6FD32013" w:rsidR="006B583E" w:rsidRDefault="006B583E" w:rsidP="006B583E">
      <w:pPr>
        <w:shd w:val="clear" w:color="auto" w:fill="FFFFFF"/>
        <w:spacing w:after="0" w:line="240" w:lineRule="auto"/>
        <w:rPr>
          <w:rFonts w:ascii="Calibri" w:eastAsia="Times New Roman" w:hAnsi="Calibri" w:cs="Calibri"/>
          <w:color w:val="000000" w:themeColor="text1"/>
          <w:sz w:val="22"/>
          <w:szCs w:val="22"/>
          <w:lang w:val="en-GB" w:eastAsia="en-GB"/>
        </w:rPr>
      </w:pPr>
      <w:r w:rsidRPr="006B583E">
        <w:rPr>
          <w:rFonts w:ascii="Calibri" w:hAnsi="Calibri" w:cs="Calibri"/>
          <w:color w:val="000000" w:themeColor="text1"/>
          <w:sz w:val="22"/>
          <w:szCs w:val="22"/>
        </w:rPr>
        <w:t xml:space="preserve">Hallert, C., Sandland, O. and </w:t>
      </w:r>
      <w:proofErr w:type="spellStart"/>
      <w:r w:rsidRPr="006B583E">
        <w:rPr>
          <w:rFonts w:ascii="Calibri" w:hAnsi="Calibri" w:cs="Calibri"/>
          <w:color w:val="000000" w:themeColor="text1"/>
          <w:sz w:val="22"/>
          <w:szCs w:val="22"/>
        </w:rPr>
        <w:t>Broqvist</w:t>
      </w:r>
      <w:proofErr w:type="spellEnd"/>
      <w:r w:rsidRPr="006B583E">
        <w:rPr>
          <w:rFonts w:ascii="Calibri" w:hAnsi="Calibri" w:cs="Calibri"/>
          <w:color w:val="000000" w:themeColor="text1"/>
          <w:sz w:val="22"/>
          <w:szCs w:val="22"/>
        </w:rPr>
        <w:t xml:space="preserve">, M. (2003) ‘Perceptions of health-related quality of life of men and women living with coeliac disease’, </w:t>
      </w:r>
      <w:r w:rsidRPr="006B583E">
        <w:rPr>
          <w:rFonts w:ascii="Calibri" w:hAnsi="Calibri" w:cs="Calibri"/>
          <w:i/>
          <w:iCs/>
          <w:color w:val="000000" w:themeColor="text1"/>
          <w:sz w:val="22"/>
          <w:szCs w:val="22"/>
        </w:rPr>
        <w:t>Scandinavian Journal of Caring Sciences</w:t>
      </w:r>
      <w:r w:rsidRPr="006B583E">
        <w:rPr>
          <w:rFonts w:ascii="Calibri" w:hAnsi="Calibri" w:cs="Calibri"/>
          <w:color w:val="000000" w:themeColor="text1"/>
          <w:sz w:val="22"/>
          <w:szCs w:val="22"/>
        </w:rPr>
        <w:t>, 17(3), pp. 301 – 307. Available at:</w:t>
      </w:r>
      <w:r w:rsidRPr="006B583E">
        <w:rPr>
          <w:rFonts w:ascii="Calibri" w:eastAsia="Times New Roman" w:hAnsi="Calibri" w:cs="Calibri"/>
          <w:color w:val="1C1D1E"/>
          <w:sz w:val="22"/>
          <w:szCs w:val="22"/>
          <w:bdr w:val="none" w:sz="0" w:space="0" w:color="auto" w:frame="1"/>
          <w:lang w:val="en-GB" w:eastAsia="en-GB"/>
        </w:rPr>
        <w:t xml:space="preserve"> </w:t>
      </w:r>
      <w:hyperlink r:id="rId8" w:history="1">
        <w:r w:rsidRPr="00DC3D4F">
          <w:rPr>
            <w:rFonts w:ascii="Calibri" w:eastAsia="Times New Roman" w:hAnsi="Calibri" w:cs="Calibri"/>
            <w:color w:val="000000" w:themeColor="text1"/>
            <w:sz w:val="22"/>
            <w:szCs w:val="22"/>
            <w:bdr w:val="none" w:sz="0" w:space="0" w:color="auto" w:frame="1"/>
            <w:lang w:val="en-GB" w:eastAsia="en-GB"/>
          </w:rPr>
          <w:t>Claes Hallert MD, PhD</w:t>
        </w:r>
      </w:hyperlink>
      <w:r w:rsidRPr="00DC3D4F">
        <w:rPr>
          <w:rFonts w:ascii="Calibri" w:eastAsia="Times New Roman" w:hAnsi="Calibri" w:cs="Calibri"/>
          <w:color w:val="000000" w:themeColor="text1"/>
          <w:sz w:val="22"/>
          <w:szCs w:val="22"/>
          <w:bdr w:val="none" w:sz="0" w:space="0" w:color="auto" w:frame="1"/>
          <w:lang w:val="en-GB" w:eastAsia="en-GB"/>
        </w:rPr>
        <w:t>, </w:t>
      </w:r>
      <w:hyperlink r:id="rId9" w:history="1">
        <w:r w:rsidRPr="00DC3D4F">
          <w:rPr>
            <w:rFonts w:ascii="Calibri" w:eastAsia="Times New Roman" w:hAnsi="Calibri" w:cs="Calibri"/>
            <w:color w:val="000000" w:themeColor="text1"/>
            <w:sz w:val="22"/>
            <w:szCs w:val="22"/>
            <w:bdr w:val="none" w:sz="0" w:space="0" w:color="auto" w:frame="1"/>
            <w:lang w:val="en-GB" w:eastAsia="en-GB"/>
          </w:rPr>
          <w:t>Olga Sandlund OTR, MSc</w:t>
        </w:r>
      </w:hyperlink>
      <w:r w:rsidRPr="00DC3D4F">
        <w:rPr>
          <w:rFonts w:ascii="Calibri" w:eastAsia="Times New Roman" w:hAnsi="Calibri" w:cs="Calibri"/>
          <w:color w:val="000000" w:themeColor="text1"/>
          <w:sz w:val="22"/>
          <w:szCs w:val="22"/>
          <w:bdr w:val="none" w:sz="0" w:space="0" w:color="auto" w:frame="1"/>
          <w:lang w:val="en-GB" w:eastAsia="en-GB"/>
        </w:rPr>
        <w:t>, </w:t>
      </w:r>
      <w:hyperlink r:id="rId10" w:history="1">
        <w:r w:rsidRPr="00DC3D4F">
          <w:rPr>
            <w:rFonts w:ascii="Calibri" w:eastAsia="Times New Roman" w:hAnsi="Calibri" w:cs="Calibri"/>
            <w:color w:val="000000" w:themeColor="text1"/>
            <w:sz w:val="22"/>
            <w:szCs w:val="22"/>
            <w:bdr w:val="none" w:sz="0" w:space="0" w:color="auto" w:frame="1"/>
            <w:lang w:val="en-GB" w:eastAsia="en-GB"/>
          </w:rPr>
          <w:t xml:space="preserve">Mari </w:t>
        </w:r>
        <w:proofErr w:type="spellStart"/>
        <w:r w:rsidRPr="00DC3D4F">
          <w:rPr>
            <w:rFonts w:ascii="Calibri" w:eastAsia="Times New Roman" w:hAnsi="Calibri" w:cs="Calibri"/>
            <w:color w:val="000000" w:themeColor="text1"/>
            <w:sz w:val="22"/>
            <w:szCs w:val="22"/>
            <w:bdr w:val="none" w:sz="0" w:space="0" w:color="auto" w:frame="1"/>
            <w:lang w:val="en-GB" w:eastAsia="en-GB"/>
          </w:rPr>
          <w:t>Broqvist</w:t>
        </w:r>
        <w:proofErr w:type="spellEnd"/>
        <w:r w:rsidRPr="00DC3D4F">
          <w:rPr>
            <w:rFonts w:ascii="Calibri" w:eastAsia="Times New Roman" w:hAnsi="Calibri" w:cs="Calibri"/>
            <w:color w:val="000000" w:themeColor="text1"/>
            <w:sz w:val="22"/>
            <w:szCs w:val="22"/>
            <w:bdr w:val="none" w:sz="0" w:space="0" w:color="auto" w:frame="1"/>
            <w:lang w:val="en-GB" w:eastAsia="en-GB"/>
          </w:rPr>
          <w:t xml:space="preserve"> OTR, MSc</w:t>
        </w:r>
      </w:hyperlink>
      <w:r w:rsidRPr="006B583E">
        <w:rPr>
          <w:rFonts w:ascii="Calibri" w:eastAsia="Times New Roman" w:hAnsi="Calibri" w:cs="Calibri"/>
          <w:color w:val="000000" w:themeColor="text1"/>
          <w:sz w:val="22"/>
          <w:szCs w:val="22"/>
          <w:bdr w:val="none" w:sz="0" w:space="0" w:color="auto" w:frame="1"/>
          <w:lang w:val="en-GB" w:eastAsia="en-GB"/>
        </w:rPr>
        <w:t xml:space="preserve"> (Accessed 6</w:t>
      </w:r>
      <w:r w:rsidRPr="006B583E">
        <w:rPr>
          <w:rFonts w:ascii="Calibri" w:eastAsia="Times New Roman" w:hAnsi="Calibri" w:cs="Calibri"/>
          <w:color w:val="000000" w:themeColor="text1"/>
          <w:sz w:val="22"/>
          <w:szCs w:val="22"/>
          <w:bdr w:val="none" w:sz="0" w:space="0" w:color="auto" w:frame="1"/>
          <w:vertAlign w:val="superscript"/>
          <w:lang w:val="en-GB" w:eastAsia="en-GB"/>
        </w:rPr>
        <w:t>th</w:t>
      </w:r>
      <w:r w:rsidRPr="006B583E">
        <w:rPr>
          <w:rFonts w:ascii="Calibri" w:eastAsia="Times New Roman" w:hAnsi="Calibri" w:cs="Calibri"/>
          <w:color w:val="000000" w:themeColor="text1"/>
          <w:sz w:val="22"/>
          <w:szCs w:val="22"/>
          <w:bdr w:val="none" w:sz="0" w:space="0" w:color="auto" w:frame="1"/>
          <w:lang w:val="en-GB" w:eastAsia="en-GB"/>
        </w:rPr>
        <w:t xml:space="preserve"> November 2024)</w:t>
      </w:r>
    </w:p>
    <w:p w14:paraId="5153A1D5" w14:textId="77777777" w:rsidR="006B583E" w:rsidRPr="006B583E" w:rsidRDefault="006B583E" w:rsidP="006B583E">
      <w:pPr>
        <w:shd w:val="clear" w:color="auto" w:fill="FFFFFF"/>
        <w:spacing w:after="0" w:line="240" w:lineRule="auto"/>
        <w:rPr>
          <w:rFonts w:ascii="Calibri" w:eastAsia="Times New Roman" w:hAnsi="Calibri" w:cs="Calibri"/>
          <w:color w:val="000000" w:themeColor="text1"/>
          <w:sz w:val="22"/>
          <w:szCs w:val="22"/>
          <w:lang w:val="en-GB" w:eastAsia="en-GB"/>
        </w:rPr>
      </w:pPr>
    </w:p>
    <w:p w14:paraId="2D0A80E1" w14:textId="31F990A2" w:rsidR="006B583E" w:rsidRPr="006B583E" w:rsidRDefault="006B583E">
      <w:pPr>
        <w:rPr>
          <w:rFonts w:ascii="Calibri" w:hAnsi="Calibri" w:cs="Calibri"/>
          <w:color w:val="0000FF"/>
          <w:sz w:val="22"/>
          <w:szCs w:val="22"/>
          <w:u w:val="single"/>
        </w:rPr>
      </w:pPr>
      <w:r w:rsidRPr="006B583E">
        <w:rPr>
          <w:rFonts w:ascii="Calibri" w:hAnsi="Calibri" w:cs="Calibri"/>
          <w:color w:val="000000" w:themeColor="text1"/>
          <w:sz w:val="22"/>
          <w:szCs w:val="22"/>
        </w:rPr>
        <w:t>Hill, P., Muir, J, G. and Gibson. P, R. (2017) ‘</w:t>
      </w:r>
      <w:proofErr w:type="spellStart"/>
      <w:r w:rsidRPr="006B583E">
        <w:rPr>
          <w:rFonts w:ascii="Calibri" w:hAnsi="Calibri" w:cs="Calibri"/>
          <w:color w:val="000000" w:themeColor="text1"/>
          <w:sz w:val="22"/>
          <w:szCs w:val="22"/>
        </w:rPr>
        <w:t>Controveries</w:t>
      </w:r>
      <w:proofErr w:type="spellEnd"/>
      <w:r w:rsidRPr="006B583E">
        <w:rPr>
          <w:rFonts w:ascii="Calibri" w:hAnsi="Calibri" w:cs="Calibri"/>
          <w:color w:val="000000" w:themeColor="text1"/>
          <w:sz w:val="22"/>
          <w:szCs w:val="22"/>
        </w:rPr>
        <w:t xml:space="preserve"> and Recent Developments of </w:t>
      </w:r>
      <w:r w:rsidRPr="006B583E">
        <w:rPr>
          <w:rFonts w:ascii="Calibri" w:hAnsi="Calibri" w:cs="Calibri"/>
          <w:color w:val="000000" w:themeColor="text1"/>
          <w:sz w:val="22"/>
          <w:szCs w:val="22"/>
          <w:u w:val="single"/>
        </w:rPr>
        <w:t xml:space="preserve">the </w:t>
      </w:r>
      <w:r w:rsidRPr="006B583E">
        <w:rPr>
          <w:rFonts w:ascii="Calibri" w:hAnsi="Calibri" w:cs="Calibri"/>
          <w:color w:val="000000" w:themeColor="text1"/>
          <w:sz w:val="22"/>
          <w:szCs w:val="22"/>
        </w:rPr>
        <w:t xml:space="preserve">Low-FODMAP Diet’, </w:t>
      </w:r>
      <w:r w:rsidRPr="006B583E">
        <w:rPr>
          <w:rFonts w:ascii="Calibri" w:hAnsi="Calibri" w:cs="Calibri"/>
          <w:i/>
          <w:iCs/>
          <w:color w:val="000000" w:themeColor="text1"/>
          <w:sz w:val="22"/>
          <w:szCs w:val="22"/>
        </w:rPr>
        <w:t>Gastroenterology &amp; Hepatology</w:t>
      </w:r>
      <w:r w:rsidRPr="006B583E">
        <w:rPr>
          <w:rFonts w:ascii="Calibri" w:hAnsi="Calibri" w:cs="Calibri"/>
          <w:color w:val="000000" w:themeColor="text1"/>
          <w:sz w:val="22"/>
          <w:szCs w:val="22"/>
        </w:rPr>
        <w:t xml:space="preserve">, 13(1), pp. 36 – 45. Available at: </w:t>
      </w:r>
      <w:hyperlink r:id="rId11" w:anchor=":~:text=As%20a%20restrictive%20diet%2C%20the,consequence%20upon%20health%20is%20unknown." w:history="1">
        <w:r w:rsidRPr="006B583E">
          <w:rPr>
            <w:rFonts w:ascii="Calibri" w:hAnsi="Calibri" w:cs="Calibri"/>
            <w:color w:val="000000" w:themeColor="text1"/>
            <w:sz w:val="22"/>
            <w:szCs w:val="22"/>
          </w:rPr>
          <w:t>Controversies and Recent Developments of the Low-FODMAP Diet - PMC (nih.gov)</w:t>
        </w:r>
      </w:hyperlink>
      <w:r w:rsidRPr="006B583E">
        <w:rPr>
          <w:rFonts w:ascii="Calibri" w:hAnsi="Calibri" w:cs="Calibri"/>
          <w:color w:val="000000" w:themeColor="text1"/>
          <w:sz w:val="22"/>
          <w:szCs w:val="22"/>
        </w:rPr>
        <w:t xml:space="preserve"> (Accessed 6</w:t>
      </w:r>
      <w:r w:rsidRPr="006B583E">
        <w:rPr>
          <w:rFonts w:ascii="Calibri" w:hAnsi="Calibri" w:cs="Calibri"/>
          <w:color w:val="000000" w:themeColor="text1"/>
          <w:sz w:val="22"/>
          <w:szCs w:val="22"/>
          <w:vertAlign w:val="superscript"/>
        </w:rPr>
        <w:t>th</w:t>
      </w:r>
      <w:r w:rsidRPr="006B583E">
        <w:rPr>
          <w:rFonts w:ascii="Calibri" w:hAnsi="Calibri" w:cs="Calibri"/>
          <w:color w:val="000000" w:themeColor="text1"/>
          <w:sz w:val="22"/>
          <w:szCs w:val="22"/>
        </w:rPr>
        <w:t xml:space="preserve"> November 2024)</w:t>
      </w:r>
    </w:p>
    <w:p w14:paraId="0EC50592" w14:textId="0B39425A" w:rsidR="00303085" w:rsidRPr="006B583E" w:rsidRDefault="00D134DA" w:rsidP="00303085">
      <w:pPr>
        <w:rPr>
          <w:rFonts w:ascii="Calibri" w:hAnsi="Calibri" w:cs="Calibri"/>
          <w:sz w:val="22"/>
          <w:szCs w:val="22"/>
        </w:rPr>
      </w:pPr>
      <w:r w:rsidRPr="006B583E">
        <w:rPr>
          <w:rFonts w:ascii="Calibri" w:hAnsi="Calibri" w:cs="Calibri"/>
          <w:sz w:val="22"/>
          <w:szCs w:val="22"/>
        </w:rPr>
        <w:t xml:space="preserve">McGough, N. and Mendoza, N. (2005) ‘Coeliac disease: an overview’, </w:t>
      </w:r>
      <w:r w:rsidRPr="006B583E">
        <w:rPr>
          <w:rFonts w:ascii="Calibri" w:hAnsi="Calibri" w:cs="Calibri"/>
          <w:i/>
          <w:iCs/>
          <w:sz w:val="22"/>
          <w:szCs w:val="22"/>
        </w:rPr>
        <w:t xml:space="preserve">Nutrition </w:t>
      </w:r>
      <w:r w:rsidR="00303085" w:rsidRPr="006B583E">
        <w:rPr>
          <w:rFonts w:ascii="Calibri" w:hAnsi="Calibri" w:cs="Calibri"/>
          <w:i/>
          <w:iCs/>
          <w:sz w:val="22"/>
          <w:szCs w:val="22"/>
        </w:rPr>
        <w:t>&amp; food Science</w:t>
      </w:r>
      <w:r w:rsidR="00303085" w:rsidRPr="006B583E">
        <w:rPr>
          <w:rFonts w:ascii="Calibri" w:hAnsi="Calibri" w:cs="Calibri"/>
          <w:sz w:val="22"/>
          <w:szCs w:val="22"/>
        </w:rPr>
        <w:t>, 35(3), pp. 156 – 162. Available at: Coeliac disease: an overview | Emerald Insight (Accessed 6</w:t>
      </w:r>
      <w:r w:rsidR="00303085" w:rsidRPr="006B583E">
        <w:rPr>
          <w:rFonts w:ascii="Calibri" w:hAnsi="Calibri" w:cs="Calibri"/>
          <w:sz w:val="22"/>
          <w:szCs w:val="22"/>
          <w:vertAlign w:val="superscript"/>
        </w:rPr>
        <w:t>th</w:t>
      </w:r>
      <w:r w:rsidR="00303085" w:rsidRPr="006B583E">
        <w:rPr>
          <w:rFonts w:ascii="Calibri" w:hAnsi="Calibri" w:cs="Calibri"/>
          <w:sz w:val="22"/>
          <w:szCs w:val="22"/>
        </w:rPr>
        <w:t xml:space="preserve"> November 2024)</w:t>
      </w:r>
    </w:p>
    <w:p w14:paraId="7217292C" w14:textId="06A6A76B" w:rsidR="006B583E" w:rsidRPr="006B583E" w:rsidRDefault="006B583E" w:rsidP="00303085">
      <w:pPr>
        <w:rPr>
          <w:rFonts w:ascii="Calibri" w:hAnsi="Calibri" w:cs="Calibri"/>
          <w:color w:val="0000FF"/>
          <w:sz w:val="22"/>
          <w:szCs w:val="22"/>
          <w:u w:val="single"/>
        </w:rPr>
      </w:pPr>
      <w:r w:rsidRPr="006B583E">
        <w:rPr>
          <w:rFonts w:ascii="Calibri" w:hAnsi="Calibri" w:cs="Calibri"/>
          <w:color w:val="000000" w:themeColor="text1"/>
          <w:sz w:val="22"/>
          <w:szCs w:val="22"/>
        </w:rPr>
        <w:t xml:space="preserve">Morariu, I, D., </w:t>
      </w:r>
      <w:proofErr w:type="spellStart"/>
      <w:r w:rsidRPr="006B583E">
        <w:rPr>
          <w:rFonts w:ascii="Calibri" w:hAnsi="Calibri" w:cs="Calibri"/>
          <w:color w:val="000000" w:themeColor="text1"/>
          <w:sz w:val="22"/>
          <w:szCs w:val="22"/>
        </w:rPr>
        <w:t>Avsilcai</w:t>
      </w:r>
      <w:proofErr w:type="spellEnd"/>
      <w:r w:rsidRPr="006B583E">
        <w:rPr>
          <w:rFonts w:ascii="Calibri" w:hAnsi="Calibri" w:cs="Calibri"/>
          <w:color w:val="000000" w:themeColor="text1"/>
          <w:sz w:val="22"/>
          <w:szCs w:val="22"/>
        </w:rPr>
        <w:t xml:space="preserve">, L., Vieriu, M., Lupa, V, V., Morariu, B, A., Lupa, A., Morariu, P, C., Pop, O, L., </w:t>
      </w:r>
      <w:proofErr w:type="spellStart"/>
      <w:r w:rsidRPr="006B583E">
        <w:rPr>
          <w:rFonts w:ascii="Calibri" w:hAnsi="Calibri" w:cs="Calibri"/>
          <w:color w:val="000000" w:themeColor="text1"/>
          <w:sz w:val="22"/>
          <w:szCs w:val="22"/>
        </w:rPr>
        <w:t>Starcea</w:t>
      </w:r>
      <w:proofErr w:type="spellEnd"/>
      <w:r w:rsidRPr="006B583E">
        <w:rPr>
          <w:rFonts w:ascii="Calibri" w:hAnsi="Calibri" w:cs="Calibri"/>
          <w:color w:val="000000" w:themeColor="text1"/>
          <w:sz w:val="22"/>
          <w:szCs w:val="22"/>
        </w:rPr>
        <w:t xml:space="preserve">, I, M. and Trandafir, L. (2023) ‘Effects of a Low-FODMAP Diet on Irritable Bowel Syndrome in Both Children and Adults – A Narrative Review’, </w:t>
      </w:r>
      <w:r w:rsidRPr="006B583E">
        <w:rPr>
          <w:rFonts w:ascii="Calibri" w:hAnsi="Calibri" w:cs="Calibri"/>
          <w:i/>
          <w:iCs/>
          <w:color w:val="000000" w:themeColor="text1"/>
          <w:sz w:val="22"/>
          <w:szCs w:val="22"/>
        </w:rPr>
        <w:t>Nutrients</w:t>
      </w:r>
      <w:r w:rsidRPr="006B583E">
        <w:rPr>
          <w:rFonts w:ascii="Calibri" w:hAnsi="Calibri" w:cs="Calibri"/>
          <w:color w:val="000000" w:themeColor="text1"/>
          <w:sz w:val="22"/>
          <w:szCs w:val="22"/>
        </w:rPr>
        <w:t>, 13;15(10) Available at: Effects of a Low-FODMAP Diet on Irritable Bowel Syndrome in Both Children and Adults—A Narrative Review - PMC (nih.gov) (Accessed 6</w:t>
      </w:r>
      <w:r w:rsidRPr="006B583E">
        <w:rPr>
          <w:rFonts w:ascii="Calibri" w:hAnsi="Calibri" w:cs="Calibri"/>
          <w:color w:val="000000" w:themeColor="text1"/>
          <w:sz w:val="22"/>
          <w:szCs w:val="22"/>
          <w:vertAlign w:val="superscript"/>
        </w:rPr>
        <w:t>th</w:t>
      </w:r>
      <w:r w:rsidRPr="006B583E">
        <w:rPr>
          <w:rFonts w:ascii="Calibri" w:hAnsi="Calibri" w:cs="Calibri"/>
          <w:color w:val="000000" w:themeColor="text1"/>
          <w:sz w:val="22"/>
          <w:szCs w:val="22"/>
        </w:rPr>
        <w:t xml:space="preserve"> November 2024)</w:t>
      </w:r>
    </w:p>
    <w:p w14:paraId="58E87711" w14:textId="72B1AB94" w:rsidR="00972347" w:rsidRPr="006B583E" w:rsidRDefault="00DC3D4F">
      <w:pPr>
        <w:rPr>
          <w:rFonts w:ascii="Calibri" w:hAnsi="Calibri" w:cs="Calibri"/>
          <w:color w:val="000000" w:themeColor="text1"/>
          <w:sz w:val="22"/>
          <w:szCs w:val="22"/>
        </w:rPr>
      </w:pPr>
      <w:r w:rsidRPr="006B583E">
        <w:rPr>
          <w:rFonts w:ascii="Calibri" w:hAnsi="Calibri" w:cs="Calibri"/>
          <w:color w:val="000000" w:themeColor="text1"/>
          <w:sz w:val="22"/>
          <w:szCs w:val="22"/>
        </w:rPr>
        <w:t xml:space="preserve">Nice Institute for Clinical Excellence (2020) </w:t>
      </w:r>
      <w:r w:rsidRPr="006B583E">
        <w:rPr>
          <w:rFonts w:ascii="Calibri" w:hAnsi="Calibri" w:cs="Calibri"/>
          <w:i/>
          <w:iCs/>
          <w:color w:val="000000" w:themeColor="text1"/>
          <w:sz w:val="22"/>
          <w:szCs w:val="22"/>
        </w:rPr>
        <w:t>How should I assess a person with suspected coeliac disease</w:t>
      </w:r>
      <w:r w:rsidRPr="006B583E">
        <w:rPr>
          <w:rFonts w:ascii="Calibri" w:hAnsi="Calibri" w:cs="Calibri"/>
          <w:color w:val="000000" w:themeColor="text1"/>
          <w:sz w:val="22"/>
          <w:szCs w:val="22"/>
        </w:rPr>
        <w:t>? Available at:</w:t>
      </w:r>
      <w:r w:rsidRPr="006B583E">
        <w:rPr>
          <w:rFonts w:ascii="Calibri" w:hAnsi="Calibri" w:cs="Calibri"/>
          <w:sz w:val="22"/>
          <w:szCs w:val="22"/>
        </w:rPr>
        <w:t xml:space="preserve"> </w:t>
      </w:r>
      <w:r w:rsidRPr="006B583E">
        <w:rPr>
          <w:rFonts w:ascii="Calibri" w:hAnsi="Calibri" w:cs="Calibri"/>
          <w:color w:val="000000" w:themeColor="text1"/>
          <w:sz w:val="22"/>
          <w:szCs w:val="22"/>
        </w:rPr>
        <w:t>Assessment | Diagnosis | Coeliac disease | CKS | NICE (Accessed 6</w:t>
      </w:r>
      <w:r w:rsidRPr="006B583E">
        <w:rPr>
          <w:rFonts w:ascii="Calibri" w:hAnsi="Calibri" w:cs="Calibri"/>
          <w:color w:val="000000" w:themeColor="text1"/>
          <w:sz w:val="22"/>
          <w:szCs w:val="22"/>
          <w:vertAlign w:val="superscript"/>
        </w:rPr>
        <w:t>th</w:t>
      </w:r>
      <w:r w:rsidRPr="006B583E">
        <w:rPr>
          <w:rFonts w:ascii="Calibri" w:hAnsi="Calibri" w:cs="Calibri"/>
          <w:color w:val="000000" w:themeColor="text1"/>
          <w:sz w:val="22"/>
          <w:szCs w:val="22"/>
        </w:rPr>
        <w:t xml:space="preserve"> November 2024)</w:t>
      </w:r>
    </w:p>
    <w:p w14:paraId="5B87F7E8" w14:textId="20887381" w:rsidR="00A93AB3" w:rsidRPr="006B583E" w:rsidRDefault="00972347" w:rsidP="00A93AB3">
      <w:pPr>
        <w:rPr>
          <w:rFonts w:ascii="Calibri" w:hAnsi="Calibri" w:cs="Calibri"/>
          <w:color w:val="0000FF"/>
          <w:sz w:val="22"/>
          <w:szCs w:val="22"/>
          <w:u w:val="single"/>
        </w:rPr>
      </w:pPr>
      <w:proofErr w:type="spellStart"/>
      <w:r w:rsidRPr="006B583E">
        <w:rPr>
          <w:rFonts w:ascii="Calibri" w:hAnsi="Calibri" w:cs="Calibri"/>
          <w:color w:val="000000" w:themeColor="text1"/>
          <w:sz w:val="22"/>
          <w:szCs w:val="22"/>
        </w:rPr>
        <w:t>Wath</w:t>
      </w:r>
      <w:r w:rsidR="00A93AB3" w:rsidRPr="006B583E">
        <w:rPr>
          <w:rFonts w:ascii="Calibri" w:hAnsi="Calibri" w:cs="Calibri"/>
          <w:color w:val="000000" w:themeColor="text1"/>
          <w:sz w:val="22"/>
          <w:szCs w:val="22"/>
        </w:rPr>
        <w:t>sala</w:t>
      </w:r>
      <w:proofErr w:type="spellEnd"/>
      <w:r w:rsidR="00A93AB3" w:rsidRPr="006B583E">
        <w:rPr>
          <w:rFonts w:ascii="Calibri" w:hAnsi="Calibri" w:cs="Calibri"/>
          <w:color w:val="000000" w:themeColor="text1"/>
          <w:sz w:val="22"/>
          <w:szCs w:val="22"/>
        </w:rPr>
        <w:t xml:space="preserve">, S, N., Skidmore, P, ML., O’Brien, L., Wilkinson, T, J. and </w:t>
      </w:r>
      <w:proofErr w:type="spellStart"/>
      <w:r w:rsidR="00A93AB3" w:rsidRPr="006B583E">
        <w:rPr>
          <w:rFonts w:ascii="Calibri" w:hAnsi="Calibri" w:cs="Calibri"/>
          <w:color w:val="000000" w:themeColor="text1"/>
          <w:sz w:val="22"/>
          <w:szCs w:val="22"/>
        </w:rPr>
        <w:t>Gearry</w:t>
      </w:r>
      <w:proofErr w:type="spellEnd"/>
      <w:r w:rsidR="00A93AB3" w:rsidRPr="006B583E">
        <w:rPr>
          <w:rFonts w:ascii="Calibri" w:hAnsi="Calibri" w:cs="Calibri"/>
          <w:color w:val="000000" w:themeColor="text1"/>
          <w:sz w:val="22"/>
          <w:szCs w:val="22"/>
        </w:rPr>
        <w:t xml:space="preserve">, R, B. (2016) ‘Efficacy of the low FODMAP diet for treating irritable bowel syndrome: the evidence to date’, </w:t>
      </w:r>
      <w:r w:rsidR="00A93AB3" w:rsidRPr="006B583E">
        <w:rPr>
          <w:rFonts w:ascii="Calibri" w:hAnsi="Calibri" w:cs="Calibri"/>
          <w:i/>
          <w:iCs/>
          <w:color w:val="000000" w:themeColor="text1"/>
          <w:sz w:val="22"/>
          <w:szCs w:val="22"/>
        </w:rPr>
        <w:t>Clinical and Experimental Gastroenterology</w:t>
      </w:r>
      <w:r w:rsidR="00A93AB3" w:rsidRPr="006B583E">
        <w:rPr>
          <w:rFonts w:ascii="Calibri" w:hAnsi="Calibri" w:cs="Calibri"/>
          <w:color w:val="000000" w:themeColor="text1"/>
          <w:sz w:val="22"/>
          <w:szCs w:val="22"/>
        </w:rPr>
        <w:t>, 17(9), pp. 131 – 142. Available at: Efficacy of the low FODMAP diet for treating irritable bowel syndrome: the evidence to date - PMC (nih.gov) (Accessed 6</w:t>
      </w:r>
      <w:r w:rsidR="00A93AB3" w:rsidRPr="006B583E">
        <w:rPr>
          <w:rFonts w:ascii="Calibri" w:hAnsi="Calibri" w:cs="Calibri"/>
          <w:color w:val="000000" w:themeColor="text1"/>
          <w:sz w:val="22"/>
          <w:szCs w:val="22"/>
          <w:vertAlign w:val="superscript"/>
        </w:rPr>
        <w:t>th</w:t>
      </w:r>
      <w:r w:rsidR="00A93AB3" w:rsidRPr="006B583E">
        <w:rPr>
          <w:rFonts w:ascii="Calibri" w:hAnsi="Calibri" w:cs="Calibri"/>
          <w:color w:val="000000" w:themeColor="text1"/>
          <w:sz w:val="22"/>
          <w:szCs w:val="22"/>
        </w:rPr>
        <w:t xml:space="preserve"> November 2024)</w:t>
      </w:r>
    </w:p>
    <w:p w14:paraId="6B88CF65" w14:textId="77777777" w:rsidR="003A3419" w:rsidRDefault="003A3419">
      <w:pPr>
        <w:rPr>
          <w:color w:val="000000" w:themeColor="text1"/>
        </w:rPr>
      </w:pPr>
    </w:p>
    <w:p w14:paraId="5771D0EC" w14:textId="77777777" w:rsidR="00425C4A" w:rsidRDefault="00425C4A" w:rsidP="00425C4A">
      <w:pPr>
        <w:rPr>
          <w:color w:val="0000FF"/>
          <w:u w:val="single"/>
        </w:rPr>
      </w:pPr>
    </w:p>
    <w:p w14:paraId="4D74AFBD" w14:textId="77777777" w:rsidR="00425C4A" w:rsidRDefault="00425C4A" w:rsidP="00425C4A">
      <w:pPr>
        <w:rPr>
          <w:color w:val="0000FF"/>
          <w:u w:val="single"/>
        </w:rPr>
      </w:pPr>
    </w:p>
    <w:p w14:paraId="1D591892" w14:textId="77777777" w:rsidR="00425C4A" w:rsidRDefault="00425C4A" w:rsidP="00425C4A">
      <w:pPr>
        <w:rPr>
          <w:rFonts w:ascii="Times New Roman" w:eastAsia="Times New Roman" w:hAnsi="Times New Roman" w:cs="Times New Roman"/>
          <w:lang w:val="en-GB" w:eastAsia="en-GB"/>
        </w:rPr>
      </w:pPr>
    </w:p>
    <w:p w14:paraId="7C1A1DC8" w14:textId="37D56017" w:rsidR="003A3419" w:rsidRPr="00DC3D4F" w:rsidRDefault="00425C4A">
      <w:pPr>
        <w:rPr>
          <w:color w:val="000000" w:themeColor="text1"/>
        </w:rPr>
      </w:pPr>
      <w:r>
        <w:rPr>
          <w:rFonts w:ascii="Cambria" w:hAnsi="Cambria"/>
          <w:color w:val="1B1B1B"/>
          <w:sz w:val="28"/>
          <w:szCs w:val="28"/>
          <w:shd w:val="clear" w:color="auto" w:fill="FFFFFF"/>
        </w:rPr>
        <w:t xml:space="preserve">. </w:t>
      </w:r>
    </w:p>
    <w:sectPr w:rsidR="003A3419" w:rsidRPr="00DC3D4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E114B5"/>
    <w:multiLevelType w:val="multilevel"/>
    <w:tmpl w:val="17C2BA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0D56016"/>
    <w:multiLevelType w:val="hybridMultilevel"/>
    <w:tmpl w:val="111CCD0E"/>
    <w:lvl w:ilvl="0" w:tplc="0809000D">
      <w:start w:val="1"/>
      <w:numFmt w:val="bullet"/>
      <w:lvlText w:val=""/>
      <w:lvlJc w:val="left"/>
      <w:pPr>
        <w:tabs>
          <w:tab w:val="num" w:pos="1080"/>
        </w:tabs>
        <w:ind w:left="1080" w:hanging="360"/>
      </w:pPr>
      <w:rPr>
        <w:rFonts w:ascii="Wingdings" w:hAnsi="Wingdings" w:hint="default"/>
      </w:rPr>
    </w:lvl>
    <w:lvl w:ilvl="1" w:tplc="8E945432">
      <w:start w:val="1"/>
      <w:numFmt w:val="bullet"/>
      <w:lvlText w:val="•"/>
      <w:lvlJc w:val="left"/>
      <w:pPr>
        <w:tabs>
          <w:tab w:val="num" w:pos="1800"/>
        </w:tabs>
        <w:ind w:left="1800" w:hanging="360"/>
      </w:pPr>
      <w:rPr>
        <w:rFonts w:ascii="Times New Roman" w:hAnsi="Times New Roman" w:cs="Times New Roman" w:hint="default"/>
      </w:rPr>
    </w:lvl>
    <w:lvl w:ilvl="2" w:tplc="8D5694CC">
      <w:start w:val="1"/>
      <w:numFmt w:val="bullet"/>
      <w:lvlText w:val="•"/>
      <w:lvlJc w:val="left"/>
      <w:pPr>
        <w:tabs>
          <w:tab w:val="num" w:pos="2520"/>
        </w:tabs>
        <w:ind w:left="2520" w:hanging="360"/>
      </w:pPr>
      <w:rPr>
        <w:rFonts w:ascii="Times New Roman" w:hAnsi="Times New Roman" w:cs="Times New Roman" w:hint="default"/>
      </w:rPr>
    </w:lvl>
    <w:lvl w:ilvl="3" w:tplc="D94CDCFC">
      <w:start w:val="1"/>
      <w:numFmt w:val="bullet"/>
      <w:lvlText w:val="•"/>
      <w:lvlJc w:val="left"/>
      <w:pPr>
        <w:tabs>
          <w:tab w:val="num" w:pos="3240"/>
        </w:tabs>
        <w:ind w:left="3240" w:hanging="360"/>
      </w:pPr>
      <w:rPr>
        <w:rFonts w:ascii="Times New Roman" w:hAnsi="Times New Roman" w:cs="Times New Roman" w:hint="default"/>
      </w:rPr>
    </w:lvl>
    <w:lvl w:ilvl="4" w:tplc="6ADAA20C">
      <w:start w:val="1"/>
      <w:numFmt w:val="bullet"/>
      <w:lvlText w:val="•"/>
      <w:lvlJc w:val="left"/>
      <w:pPr>
        <w:tabs>
          <w:tab w:val="num" w:pos="3960"/>
        </w:tabs>
        <w:ind w:left="3960" w:hanging="360"/>
      </w:pPr>
      <w:rPr>
        <w:rFonts w:ascii="Times New Roman" w:hAnsi="Times New Roman" w:cs="Times New Roman" w:hint="default"/>
      </w:rPr>
    </w:lvl>
    <w:lvl w:ilvl="5" w:tplc="4E1AB3AC">
      <w:start w:val="1"/>
      <w:numFmt w:val="bullet"/>
      <w:lvlText w:val="•"/>
      <w:lvlJc w:val="left"/>
      <w:pPr>
        <w:tabs>
          <w:tab w:val="num" w:pos="4680"/>
        </w:tabs>
        <w:ind w:left="4680" w:hanging="360"/>
      </w:pPr>
      <w:rPr>
        <w:rFonts w:ascii="Times New Roman" w:hAnsi="Times New Roman" w:cs="Times New Roman" w:hint="default"/>
      </w:rPr>
    </w:lvl>
    <w:lvl w:ilvl="6" w:tplc="70B432A2">
      <w:start w:val="1"/>
      <w:numFmt w:val="bullet"/>
      <w:lvlText w:val="•"/>
      <w:lvlJc w:val="left"/>
      <w:pPr>
        <w:tabs>
          <w:tab w:val="num" w:pos="5400"/>
        </w:tabs>
        <w:ind w:left="5400" w:hanging="360"/>
      </w:pPr>
      <w:rPr>
        <w:rFonts w:ascii="Times New Roman" w:hAnsi="Times New Roman" w:cs="Times New Roman" w:hint="default"/>
      </w:rPr>
    </w:lvl>
    <w:lvl w:ilvl="7" w:tplc="FE7A18F2">
      <w:start w:val="1"/>
      <w:numFmt w:val="bullet"/>
      <w:lvlText w:val="•"/>
      <w:lvlJc w:val="left"/>
      <w:pPr>
        <w:tabs>
          <w:tab w:val="num" w:pos="6120"/>
        </w:tabs>
        <w:ind w:left="6120" w:hanging="360"/>
      </w:pPr>
      <w:rPr>
        <w:rFonts w:ascii="Times New Roman" w:hAnsi="Times New Roman" w:cs="Times New Roman" w:hint="default"/>
      </w:rPr>
    </w:lvl>
    <w:lvl w:ilvl="8" w:tplc="5936C452">
      <w:start w:val="1"/>
      <w:numFmt w:val="bullet"/>
      <w:lvlText w:val="•"/>
      <w:lvlJc w:val="left"/>
      <w:pPr>
        <w:tabs>
          <w:tab w:val="num" w:pos="6840"/>
        </w:tabs>
        <w:ind w:left="6840" w:hanging="360"/>
      </w:pPr>
      <w:rPr>
        <w:rFonts w:ascii="Times New Roman" w:hAnsi="Times New Roman" w:cs="Times New Roman" w:hint="default"/>
      </w:rPr>
    </w:lvl>
  </w:abstractNum>
  <w:num w:numId="1" w16cid:durableId="902369401">
    <w:abstractNumId w:val="1"/>
  </w:num>
  <w:num w:numId="2" w16cid:durableId="4145174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2C54"/>
    <w:rsid w:val="00070405"/>
    <w:rsid w:val="00100979"/>
    <w:rsid w:val="002C40EB"/>
    <w:rsid w:val="00303085"/>
    <w:rsid w:val="003A3419"/>
    <w:rsid w:val="00425C4A"/>
    <w:rsid w:val="005D0EC7"/>
    <w:rsid w:val="0063047B"/>
    <w:rsid w:val="006740CE"/>
    <w:rsid w:val="006B583E"/>
    <w:rsid w:val="007B2099"/>
    <w:rsid w:val="007B7CA4"/>
    <w:rsid w:val="00892C54"/>
    <w:rsid w:val="00972347"/>
    <w:rsid w:val="009C71A5"/>
    <w:rsid w:val="00A34E30"/>
    <w:rsid w:val="00A93AB3"/>
    <w:rsid w:val="00B23F72"/>
    <w:rsid w:val="00BD5A34"/>
    <w:rsid w:val="00D134DA"/>
    <w:rsid w:val="00DC3D4F"/>
    <w:rsid w:val="00E36CC9"/>
    <w:rsid w:val="00F910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89434B"/>
  <w15:chartTrackingRefBased/>
  <w15:docId w15:val="{1D2C9A82-4B15-4500-95F8-707DB3A3A1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2C54"/>
    <w:pPr>
      <w:spacing w:line="279" w:lineRule="auto"/>
    </w:pPr>
    <w:rPr>
      <w:rFonts w:eastAsiaTheme="minorEastAsia"/>
      <w:kern w:val="0"/>
      <w:sz w:val="24"/>
      <w:szCs w:val="24"/>
      <w:lang w:val="en-US" w:eastAsia="ja-JP"/>
      <w14:ligatures w14:val="none"/>
    </w:rPr>
  </w:style>
  <w:style w:type="paragraph" w:styleId="Heading1">
    <w:name w:val="heading 1"/>
    <w:basedOn w:val="Normal"/>
    <w:next w:val="Normal"/>
    <w:link w:val="Heading1Char"/>
    <w:uiPriority w:val="9"/>
    <w:qFormat/>
    <w:rsid w:val="00892C5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92C5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92C5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92C5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92C5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92C5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92C5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92C5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92C5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92C5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92C5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92C5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92C5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92C5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92C5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92C5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92C5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92C54"/>
    <w:rPr>
      <w:rFonts w:eastAsiaTheme="majorEastAsia" w:cstheme="majorBidi"/>
      <w:color w:val="272727" w:themeColor="text1" w:themeTint="D8"/>
    </w:rPr>
  </w:style>
  <w:style w:type="paragraph" w:styleId="Title">
    <w:name w:val="Title"/>
    <w:basedOn w:val="Normal"/>
    <w:next w:val="Normal"/>
    <w:link w:val="TitleChar"/>
    <w:uiPriority w:val="10"/>
    <w:qFormat/>
    <w:rsid w:val="00892C5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92C5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92C5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92C5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92C54"/>
    <w:pPr>
      <w:spacing w:before="160"/>
      <w:jc w:val="center"/>
    </w:pPr>
    <w:rPr>
      <w:i/>
      <w:iCs/>
      <w:color w:val="404040" w:themeColor="text1" w:themeTint="BF"/>
    </w:rPr>
  </w:style>
  <w:style w:type="character" w:customStyle="1" w:styleId="QuoteChar">
    <w:name w:val="Quote Char"/>
    <w:basedOn w:val="DefaultParagraphFont"/>
    <w:link w:val="Quote"/>
    <w:uiPriority w:val="29"/>
    <w:rsid w:val="00892C54"/>
    <w:rPr>
      <w:i/>
      <w:iCs/>
      <w:color w:val="404040" w:themeColor="text1" w:themeTint="BF"/>
    </w:rPr>
  </w:style>
  <w:style w:type="paragraph" w:styleId="ListParagraph">
    <w:name w:val="List Paragraph"/>
    <w:basedOn w:val="Normal"/>
    <w:uiPriority w:val="34"/>
    <w:qFormat/>
    <w:rsid w:val="00892C54"/>
    <w:pPr>
      <w:ind w:left="720"/>
      <w:contextualSpacing/>
    </w:pPr>
  </w:style>
  <w:style w:type="character" w:styleId="IntenseEmphasis">
    <w:name w:val="Intense Emphasis"/>
    <w:basedOn w:val="DefaultParagraphFont"/>
    <w:uiPriority w:val="21"/>
    <w:qFormat/>
    <w:rsid w:val="00892C54"/>
    <w:rPr>
      <w:i/>
      <w:iCs/>
      <w:color w:val="0F4761" w:themeColor="accent1" w:themeShade="BF"/>
    </w:rPr>
  </w:style>
  <w:style w:type="paragraph" w:styleId="IntenseQuote">
    <w:name w:val="Intense Quote"/>
    <w:basedOn w:val="Normal"/>
    <w:next w:val="Normal"/>
    <w:link w:val="IntenseQuoteChar"/>
    <w:uiPriority w:val="30"/>
    <w:qFormat/>
    <w:rsid w:val="00892C5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92C54"/>
    <w:rPr>
      <w:i/>
      <w:iCs/>
      <w:color w:val="0F4761" w:themeColor="accent1" w:themeShade="BF"/>
    </w:rPr>
  </w:style>
  <w:style w:type="character" w:styleId="IntenseReference">
    <w:name w:val="Intense Reference"/>
    <w:basedOn w:val="DefaultParagraphFont"/>
    <w:uiPriority w:val="32"/>
    <w:qFormat/>
    <w:rsid w:val="00892C54"/>
    <w:rPr>
      <w:b/>
      <w:bCs/>
      <w:smallCaps/>
      <w:color w:val="0F4761" w:themeColor="accent1" w:themeShade="BF"/>
      <w:spacing w:val="5"/>
    </w:rPr>
  </w:style>
  <w:style w:type="paragraph" w:styleId="NormalWeb">
    <w:name w:val="Normal (Web)"/>
    <w:basedOn w:val="Normal"/>
    <w:uiPriority w:val="99"/>
    <w:semiHidden/>
    <w:unhideWhenUsed/>
    <w:rsid w:val="00892C54"/>
    <w:pPr>
      <w:spacing w:before="100" w:beforeAutospacing="1" w:after="100" w:afterAutospacing="1" w:line="240" w:lineRule="auto"/>
    </w:pPr>
    <w:rPr>
      <w:rFonts w:ascii="Times New Roman" w:eastAsia="Times New Roman" w:hAnsi="Times New Roman" w:cs="Times New Roman"/>
      <w:lang w:val="en-GB" w:eastAsia="en-GB"/>
    </w:rPr>
  </w:style>
  <w:style w:type="character" w:styleId="Emphasis">
    <w:name w:val="Emphasis"/>
    <w:basedOn w:val="DefaultParagraphFont"/>
    <w:uiPriority w:val="20"/>
    <w:qFormat/>
    <w:rsid w:val="00892C5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60906819">
      <w:bodyDiv w:val="1"/>
      <w:marLeft w:val="0"/>
      <w:marRight w:val="0"/>
      <w:marTop w:val="0"/>
      <w:marBottom w:val="0"/>
      <w:divBdr>
        <w:top w:val="none" w:sz="0" w:space="0" w:color="auto"/>
        <w:left w:val="none" w:sz="0" w:space="0" w:color="auto"/>
        <w:bottom w:val="none" w:sz="0" w:space="0" w:color="auto"/>
        <w:right w:val="none" w:sz="0" w:space="0" w:color="auto"/>
      </w:divBdr>
      <w:divsChild>
        <w:div w:id="1483426265">
          <w:marLeft w:val="0"/>
          <w:marRight w:val="0"/>
          <w:marTop w:val="225"/>
          <w:marBottom w:val="0"/>
          <w:divBdr>
            <w:top w:val="none" w:sz="0" w:space="0" w:color="auto"/>
            <w:left w:val="none" w:sz="0" w:space="0" w:color="auto"/>
            <w:bottom w:val="none" w:sz="0" w:space="0" w:color="auto"/>
            <w:right w:val="none" w:sz="0" w:space="0" w:color="auto"/>
          </w:divBdr>
        </w:div>
      </w:divsChild>
    </w:div>
    <w:div w:id="396902674">
      <w:bodyDiv w:val="1"/>
      <w:marLeft w:val="0"/>
      <w:marRight w:val="0"/>
      <w:marTop w:val="0"/>
      <w:marBottom w:val="0"/>
      <w:divBdr>
        <w:top w:val="none" w:sz="0" w:space="0" w:color="auto"/>
        <w:left w:val="none" w:sz="0" w:space="0" w:color="auto"/>
        <w:bottom w:val="none" w:sz="0" w:space="0" w:color="auto"/>
        <w:right w:val="none" w:sz="0" w:space="0" w:color="auto"/>
      </w:divBdr>
    </w:div>
    <w:div w:id="560143545">
      <w:bodyDiv w:val="1"/>
      <w:marLeft w:val="0"/>
      <w:marRight w:val="0"/>
      <w:marTop w:val="0"/>
      <w:marBottom w:val="0"/>
      <w:divBdr>
        <w:top w:val="none" w:sz="0" w:space="0" w:color="auto"/>
        <w:left w:val="none" w:sz="0" w:space="0" w:color="auto"/>
        <w:bottom w:val="none" w:sz="0" w:space="0" w:color="auto"/>
        <w:right w:val="none" w:sz="0" w:space="0" w:color="auto"/>
      </w:divBdr>
    </w:div>
    <w:div w:id="727724488">
      <w:bodyDiv w:val="1"/>
      <w:marLeft w:val="0"/>
      <w:marRight w:val="0"/>
      <w:marTop w:val="0"/>
      <w:marBottom w:val="0"/>
      <w:divBdr>
        <w:top w:val="none" w:sz="0" w:space="0" w:color="auto"/>
        <w:left w:val="none" w:sz="0" w:space="0" w:color="auto"/>
        <w:bottom w:val="none" w:sz="0" w:space="0" w:color="auto"/>
        <w:right w:val="none" w:sz="0" w:space="0" w:color="auto"/>
      </w:divBdr>
      <w:divsChild>
        <w:div w:id="1430546777">
          <w:marLeft w:val="0"/>
          <w:marRight w:val="0"/>
          <w:marTop w:val="0"/>
          <w:marBottom w:val="0"/>
          <w:divBdr>
            <w:top w:val="none" w:sz="0" w:space="0" w:color="auto"/>
            <w:left w:val="none" w:sz="0" w:space="0" w:color="auto"/>
            <w:bottom w:val="none" w:sz="0" w:space="0" w:color="auto"/>
            <w:right w:val="none" w:sz="0" w:space="0" w:color="auto"/>
          </w:divBdr>
          <w:divsChild>
            <w:div w:id="324091634">
              <w:marLeft w:val="0"/>
              <w:marRight w:val="0"/>
              <w:marTop w:val="0"/>
              <w:marBottom w:val="0"/>
              <w:divBdr>
                <w:top w:val="none" w:sz="0" w:space="0" w:color="auto"/>
                <w:left w:val="none" w:sz="0" w:space="0" w:color="auto"/>
                <w:bottom w:val="none" w:sz="0" w:space="0" w:color="auto"/>
                <w:right w:val="none" w:sz="0" w:space="0" w:color="auto"/>
              </w:divBdr>
              <w:divsChild>
                <w:div w:id="932595197">
                  <w:marLeft w:val="0"/>
                  <w:marRight w:val="0"/>
                  <w:marTop w:val="0"/>
                  <w:marBottom w:val="0"/>
                  <w:divBdr>
                    <w:top w:val="none" w:sz="0" w:space="0" w:color="auto"/>
                    <w:left w:val="none" w:sz="0" w:space="0" w:color="auto"/>
                    <w:bottom w:val="none" w:sz="0" w:space="0" w:color="auto"/>
                    <w:right w:val="none" w:sz="0" w:space="0" w:color="auto"/>
                  </w:divBdr>
                  <w:divsChild>
                    <w:div w:id="1455127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3465889">
          <w:marLeft w:val="0"/>
          <w:marRight w:val="0"/>
          <w:marTop w:val="0"/>
          <w:marBottom w:val="0"/>
          <w:divBdr>
            <w:top w:val="none" w:sz="0" w:space="0" w:color="auto"/>
            <w:left w:val="none" w:sz="0" w:space="0" w:color="auto"/>
            <w:bottom w:val="none" w:sz="0" w:space="0" w:color="auto"/>
            <w:right w:val="none" w:sz="0" w:space="0" w:color="auto"/>
          </w:divBdr>
          <w:divsChild>
            <w:div w:id="399251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8946203">
      <w:bodyDiv w:val="1"/>
      <w:marLeft w:val="0"/>
      <w:marRight w:val="0"/>
      <w:marTop w:val="0"/>
      <w:marBottom w:val="0"/>
      <w:divBdr>
        <w:top w:val="none" w:sz="0" w:space="0" w:color="auto"/>
        <w:left w:val="none" w:sz="0" w:space="0" w:color="auto"/>
        <w:bottom w:val="none" w:sz="0" w:space="0" w:color="auto"/>
        <w:right w:val="none" w:sz="0" w:space="0" w:color="auto"/>
      </w:divBdr>
      <w:divsChild>
        <w:div w:id="75903194">
          <w:marLeft w:val="0"/>
          <w:marRight w:val="0"/>
          <w:marTop w:val="0"/>
          <w:marBottom w:val="0"/>
          <w:divBdr>
            <w:top w:val="none" w:sz="0" w:space="0" w:color="auto"/>
            <w:left w:val="none" w:sz="0" w:space="0" w:color="auto"/>
            <w:bottom w:val="none" w:sz="0" w:space="0" w:color="auto"/>
            <w:right w:val="none" w:sz="0" w:space="0" w:color="auto"/>
          </w:divBdr>
          <w:divsChild>
            <w:div w:id="227808948">
              <w:marLeft w:val="0"/>
              <w:marRight w:val="0"/>
              <w:marTop w:val="0"/>
              <w:marBottom w:val="0"/>
              <w:divBdr>
                <w:top w:val="none" w:sz="0" w:space="0" w:color="auto"/>
                <w:left w:val="none" w:sz="0" w:space="0" w:color="auto"/>
                <w:bottom w:val="none" w:sz="0" w:space="0" w:color="auto"/>
                <w:right w:val="none" w:sz="0" w:space="0" w:color="auto"/>
              </w:divBdr>
            </w:div>
          </w:divsChild>
        </w:div>
        <w:div w:id="704058210">
          <w:marLeft w:val="0"/>
          <w:marRight w:val="0"/>
          <w:marTop w:val="0"/>
          <w:marBottom w:val="0"/>
          <w:divBdr>
            <w:top w:val="none" w:sz="0" w:space="0" w:color="auto"/>
            <w:left w:val="none" w:sz="0" w:space="0" w:color="auto"/>
            <w:bottom w:val="none" w:sz="0" w:space="0" w:color="auto"/>
            <w:right w:val="none" w:sz="0" w:space="0" w:color="auto"/>
          </w:divBdr>
          <w:divsChild>
            <w:div w:id="1147434467">
              <w:marLeft w:val="0"/>
              <w:marRight w:val="0"/>
              <w:marTop w:val="225"/>
              <w:marBottom w:val="0"/>
              <w:divBdr>
                <w:top w:val="none" w:sz="0" w:space="0" w:color="auto"/>
                <w:left w:val="none" w:sz="0" w:space="0" w:color="auto"/>
                <w:bottom w:val="none" w:sz="0" w:space="0" w:color="auto"/>
                <w:right w:val="none" w:sz="0" w:space="0" w:color="auto"/>
              </w:divBdr>
            </w:div>
          </w:divsChild>
        </w:div>
      </w:divsChild>
    </w:div>
    <w:div w:id="1318419404">
      <w:bodyDiv w:val="1"/>
      <w:marLeft w:val="0"/>
      <w:marRight w:val="0"/>
      <w:marTop w:val="0"/>
      <w:marBottom w:val="0"/>
      <w:divBdr>
        <w:top w:val="none" w:sz="0" w:space="0" w:color="auto"/>
        <w:left w:val="none" w:sz="0" w:space="0" w:color="auto"/>
        <w:bottom w:val="none" w:sz="0" w:space="0" w:color="auto"/>
        <w:right w:val="none" w:sz="0" w:space="0" w:color="auto"/>
      </w:divBdr>
      <w:divsChild>
        <w:div w:id="744448640">
          <w:marLeft w:val="0"/>
          <w:marRight w:val="0"/>
          <w:marTop w:val="0"/>
          <w:marBottom w:val="0"/>
          <w:divBdr>
            <w:top w:val="none" w:sz="0" w:space="0" w:color="auto"/>
            <w:left w:val="none" w:sz="0" w:space="0" w:color="auto"/>
            <w:bottom w:val="none" w:sz="0" w:space="0" w:color="auto"/>
            <w:right w:val="none" w:sz="0" w:space="0" w:color="auto"/>
          </w:divBdr>
          <w:divsChild>
            <w:div w:id="980232556">
              <w:marLeft w:val="0"/>
              <w:marRight w:val="0"/>
              <w:marTop w:val="0"/>
              <w:marBottom w:val="0"/>
              <w:divBdr>
                <w:top w:val="none" w:sz="0" w:space="0" w:color="auto"/>
                <w:left w:val="none" w:sz="0" w:space="0" w:color="auto"/>
                <w:bottom w:val="none" w:sz="0" w:space="0" w:color="auto"/>
                <w:right w:val="none" w:sz="0" w:space="0" w:color="auto"/>
              </w:divBdr>
            </w:div>
          </w:divsChild>
        </w:div>
        <w:div w:id="980500330">
          <w:marLeft w:val="0"/>
          <w:marRight w:val="0"/>
          <w:marTop w:val="0"/>
          <w:marBottom w:val="0"/>
          <w:divBdr>
            <w:top w:val="none" w:sz="0" w:space="0" w:color="auto"/>
            <w:left w:val="none" w:sz="0" w:space="0" w:color="auto"/>
            <w:bottom w:val="none" w:sz="0" w:space="0" w:color="auto"/>
            <w:right w:val="none" w:sz="0" w:space="0" w:color="auto"/>
          </w:divBdr>
          <w:divsChild>
            <w:div w:id="2013332494">
              <w:marLeft w:val="0"/>
              <w:marRight w:val="0"/>
              <w:marTop w:val="225"/>
              <w:marBottom w:val="0"/>
              <w:divBdr>
                <w:top w:val="none" w:sz="0" w:space="0" w:color="auto"/>
                <w:left w:val="none" w:sz="0" w:space="0" w:color="auto"/>
                <w:bottom w:val="none" w:sz="0" w:space="0" w:color="auto"/>
                <w:right w:val="none" w:sz="0" w:space="0" w:color="auto"/>
              </w:divBdr>
            </w:div>
            <w:div w:id="1725986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onlinelibrary.wiley.com/authored-by/Hallert/Claes" TargetMode="Externa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pmc.ncbi.nlm.nih.gov/articles/PMC5390324/" TargetMode="External"/><Relationship Id="rId5" Type="http://schemas.openxmlformats.org/officeDocument/2006/relationships/styles" Target="styles.xml"/><Relationship Id="rId10" Type="http://schemas.openxmlformats.org/officeDocument/2006/relationships/hyperlink" Target="https://onlinelibrary.wiley.com/authored-by/Broqvist/Mari" TargetMode="External"/><Relationship Id="rId4" Type="http://schemas.openxmlformats.org/officeDocument/2006/relationships/numbering" Target="numbering.xml"/><Relationship Id="rId9" Type="http://schemas.openxmlformats.org/officeDocument/2006/relationships/hyperlink" Target="https://onlinelibrary.wiley.com/authored-by/Sandlund/Olg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aa4d4e53-fe93-4e82-93cf-b8cfd6b89cef" xsi:nil="true"/>
    <lcf76f155ced4ddcb4097134ff3c332f xmlns="1262467d-a34d-436c-9204-997e0c3fcaa9">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49F931B6E75204DAE6E0DD307D0BD3E" ma:contentTypeVersion="19" ma:contentTypeDescription="Create a new document." ma:contentTypeScope="" ma:versionID="8dc7921d1ec5ccde340f037cc753762f">
  <xsd:schema xmlns:xsd="http://www.w3.org/2001/XMLSchema" xmlns:xs="http://www.w3.org/2001/XMLSchema" xmlns:p="http://schemas.microsoft.com/office/2006/metadata/properties" xmlns:ns2="1262467d-a34d-436c-9204-997e0c3fcaa9" xmlns:ns3="aa4d4e53-fe93-4e82-93cf-b8cfd6b89cef" targetNamespace="http://schemas.microsoft.com/office/2006/metadata/properties" ma:root="true" ma:fieldsID="4d75980ca569388a1d940fca4b73af47" ns2:_="" ns3:_="">
    <xsd:import namespace="1262467d-a34d-436c-9204-997e0c3fcaa9"/>
    <xsd:import namespace="aa4d4e53-fe93-4e82-93cf-b8cfd6b89cef"/>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GenerationTime" minOccurs="0"/>
                <xsd:element ref="ns2:MediaServiceEventHashCode"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CR"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262467d-a34d-436c-9204-997e0c3fcaa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cefaef41-70dc-4075-804e-d4e4dbdaeee0" ma:termSetId="09814cd3-568e-fe90-9814-8d621ff8fb84" ma:anchorId="fba54fb3-c3e1-fe81-a776-ca4b69148c4d" ma:open="true" ma:isKeyword="false">
      <xsd:complexType>
        <xsd:sequence>
          <xsd:element ref="pc:Terms" minOccurs="0" maxOccurs="1"/>
        </xsd:sequence>
      </xsd:complexType>
    </xsd:element>
    <xsd:element name="MediaServiceOCR" ma:index="22" nillable="true" ma:displayName="Extracted Text" ma:internalName="MediaServiceOCR" ma:readOnly="true">
      <xsd:simpleType>
        <xsd:restriction base="dms:Note">
          <xsd:maxLength value="255"/>
        </xsd:restriction>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a4d4e53-fe93-4e82-93cf-b8cfd6b89cef"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04d30273-d7c5-45d7-a764-cf46172eaac2}" ma:internalName="TaxCatchAll" ma:showField="CatchAllData" ma:web="aa4d4e53-fe93-4e82-93cf-b8cfd6b89ce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97AE655-C3DC-42D4-98CB-8612DEDEBA34}">
  <ds:schemaRefs>
    <ds:schemaRef ds:uri="http://schemas.microsoft.com/office/infopath/2007/PartnerControls"/>
    <ds:schemaRef ds:uri="http://schemas.microsoft.com/office/2006/documentManagement/types"/>
    <ds:schemaRef ds:uri="http://purl.org/dc/dcmitype/"/>
    <ds:schemaRef ds:uri="http://purl.org/dc/elements/1.1/"/>
    <ds:schemaRef ds:uri="http://schemas.microsoft.com/office/2006/metadata/properties"/>
    <ds:schemaRef ds:uri="http://purl.org/dc/terms/"/>
    <ds:schemaRef ds:uri="http://www.w3.org/XML/1998/namespace"/>
    <ds:schemaRef ds:uri="http://schemas.openxmlformats.org/package/2006/metadata/core-properties"/>
    <ds:schemaRef ds:uri="aa4d4e53-fe93-4e82-93cf-b8cfd6b89cef"/>
    <ds:schemaRef ds:uri="1262467d-a34d-436c-9204-997e0c3fcaa9"/>
  </ds:schemaRefs>
</ds:datastoreItem>
</file>

<file path=customXml/itemProps2.xml><?xml version="1.0" encoding="utf-8"?>
<ds:datastoreItem xmlns:ds="http://schemas.openxmlformats.org/officeDocument/2006/customXml" ds:itemID="{41C7724B-2B26-43CB-82B7-7A6F530B3A2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262467d-a34d-436c-9204-997e0c3fcaa9"/>
    <ds:schemaRef ds:uri="aa4d4e53-fe93-4e82-93cf-b8cfd6b89ce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8973C08-B46D-443F-BCA5-0F51D4595F4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214</TotalTime>
  <Pages>3</Pages>
  <Words>877</Words>
  <Characters>5005</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Gunter-Adams (Aneurin Bevan UHB - Family and Therapies)</dc:creator>
  <cp:keywords/>
  <dc:description/>
  <cp:lastModifiedBy>Claire Gunter-Adams (Aneurin Bevan UHB - Family and Therapies)</cp:lastModifiedBy>
  <cp:revision>4</cp:revision>
  <dcterms:created xsi:type="dcterms:W3CDTF">2024-11-07T15:52:00Z</dcterms:created>
  <dcterms:modified xsi:type="dcterms:W3CDTF">2024-11-13T16:16:00Z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0x010100249F931B6E75204DAE6E0DD307D0BD3E</vt:lpwstr>
  </property>
  <property fmtid="{D5CDD505-2E9C-101B-9397-08002B2CF9AE}" pid="3" name="MediaServiceImageTags">
    <vt:lpwstr/>
  </property>
</Properties>
</file>