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EC224" w14:textId="77777777" w:rsidR="00780109" w:rsidRPr="00E31B90" w:rsidRDefault="00780109" w:rsidP="00780109">
      <w:pPr>
        <w:spacing w:line="360" w:lineRule="auto"/>
      </w:pPr>
      <w:r w:rsidRPr="00E31B90">
        <w:rPr>
          <w:noProof/>
        </w:rPr>
        <w:drawing>
          <wp:inline distT="0" distB="0" distL="0" distR="0" wp14:anchorId="155048E8" wp14:editId="4409A53A">
            <wp:extent cx="3260723" cy="12382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p>
    <w:p w14:paraId="7D6AB372" w14:textId="77777777" w:rsidR="00780109" w:rsidRPr="00E31B90" w:rsidRDefault="00780109" w:rsidP="00780109">
      <w:pPr>
        <w:spacing w:line="360" w:lineRule="auto"/>
      </w:pPr>
    </w:p>
    <w:p w14:paraId="01730A7D" w14:textId="77777777" w:rsidR="00780109" w:rsidRPr="00527B8D" w:rsidRDefault="00780109" w:rsidP="00780109">
      <w:pPr>
        <w:spacing w:line="360" w:lineRule="auto"/>
        <w:rPr>
          <w:rFonts w:ascii="Arial" w:hAnsi="Arial" w:cs="Arial"/>
        </w:rPr>
      </w:pPr>
    </w:p>
    <w:p w14:paraId="35660A71" w14:textId="77777777" w:rsidR="00780109" w:rsidRPr="00527B8D" w:rsidRDefault="00780109" w:rsidP="00780109">
      <w:pPr>
        <w:spacing w:line="360" w:lineRule="auto"/>
        <w:rPr>
          <w:rFonts w:ascii="Arial" w:hAnsi="Arial" w:cs="Arial"/>
        </w:rPr>
      </w:pPr>
    </w:p>
    <w:p w14:paraId="26AB7143" w14:textId="5101A851" w:rsidR="00780109" w:rsidRDefault="00EF3B2C" w:rsidP="00780109">
      <w:pPr>
        <w:spacing w:line="360" w:lineRule="auto"/>
        <w:jc w:val="center"/>
        <w:rPr>
          <w:rFonts w:ascii="Arial" w:hAnsi="Arial" w:cs="Arial"/>
          <w:b/>
          <w:bCs/>
          <w:sz w:val="36"/>
          <w:szCs w:val="36"/>
        </w:rPr>
      </w:pPr>
      <w:r>
        <w:rPr>
          <w:rFonts w:ascii="Arial" w:hAnsi="Arial" w:cs="Arial"/>
          <w:b/>
          <w:bCs/>
          <w:sz w:val="36"/>
          <w:szCs w:val="36"/>
        </w:rPr>
        <w:t>Principles of Health and Social Care</w:t>
      </w:r>
    </w:p>
    <w:p w14:paraId="1A24DEF9" w14:textId="63879A5E" w:rsidR="00780109" w:rsidRDefault="00780109" w:rsidP="00780109">
      <w:pPr>
        <w:spacing w:line="360" w:lineRule="auto"/>
        <w:jc w:val="center"/>
        <w:rPr>
          <w:rFonts w:ascii="Arial" w:hAnsi="Arial" w:cs="Arial"/>
          <w:b/>
          <w:bCs/>
        </w:rPr>
      </w:pPr>
      <w:r w:rsidRPr="004E3279">
        <w:rPr>
          <w:rFonts w:ascii="Arial" w:hAnsi="Arial" w:cs="Arial"/>
          <w:b/>
          <w:bCs/>
          <w:sz w:val="36"/>
          <w:szCs w:val="36"/>
        </w:rPr>
        <w:t>in Health and Social Care</w:t>
      </w:r>
      <w:r w:rsidRPr="004E3279">
        <w:rPr>
          <w:rFonts w:ascii="Arial" w:hAnsi="Arial" w:cs="Arial"/>
          <w:b/>
          <w:bCs/>
          <w:sz w:val="36"/>
          <w:szCs w:val="36"/>
        </w:rPr>
        <w:br/>
      </w:r>
      <w:r>
        <w:rPr>
          <w:rFonts w:ascii="Arial" w:hAnsi="Arial" w:cs="Arial"/>
          <w:b/>
          <w:bCs/>
          <w:sz w:val="36"/>
          <w:szCs w:val="36"/>
        </w:rPr>
        <w:t>BMHP50</w:t>
      </w:r>
      <w:r w:rsidR="00EF3B2C">
        <w:rPr>
          <w:rFonts w:ascii="Arial" w:hAnsi="Arial" w:cs="Arial"/>
          <w:b/>
          <w:bCs/>
          <w:sz w:val="36"/>
          <w:szCs w:val="36"/>
        </w:rPr>
        <w:t>16</w:t>
      </w:r>
      <w:r w:rsidRPr="004E3279">
        <w:rPr>
          <w:rFonts w:ascii="Arial" w:hAnsi="Arial" w:cs="Arial"/>
          <w:b/>
          <w:bCs/>
          <w:sz w:val="36"/>
          <w:szCs w:val="36"/>
        </w:rPr>
        <w:br/>
      </w:r>
    </w:p>
    <w:p w14:paraId="138AC2D0" w14:textId="77777777" w:rsidR="00780109" w:rsidRPr="00CC0CF2" w:rsidRDefault="00780109" w:rsidP="00780109">
      <w:pPr>
        <w:spacing w:line="360" w:lineRule="auto"/>
        <w:jc w:val="center"/>
        <w:rPr>
          <w:rFonts w:ascii="Arial" w:hAnsi="Arial" w:cs="Arial"/>
          <w:b/>
          <w:bCs/>
        </w:rPr>
      </w:pPr>
    </w:p>
    <w:p w14:paraId="4D605C8F" w14:textId="356C6035" w:rsidR="00780109" w:rsidRDefault="00780109" w:rsidP="00780109">
      <w:pPr>
        <w:spacing w:line="360" w:lineRule="auto"/>
        <w:jc w:val="center"/>
        <w:rPr>
          <w:rFonts w:ascii="Arial" w:hAnsi="Arial" w:cs="Arial"/>
          <w:b/>
          <w:bCs/>
          <w:sz w:val="36"/>
          <w:szCs w:val="36"/>
        </w:rPr>
      </w:pPr>
      <w:r w:rsidRPr="00CC0CF2">
        <w:rPr>
          <w:rFonts w:ascii="Arial" w:hAnsi="Arial" w:cs="Arial"/>
          <w:b/>
          <w:bCs/>
        </w:rPr>
        <w:br/>
      </w:r>
      <w:r w:rsidRPr="004E3279">
        <w:rPr>
          <w:rFonts w:ascii="Arial" w:hAnsi="Arial" w:cs="Arial"/>
          <w:b/>
          <w:bCs/>
          <w:sz w:val="36"/>
          <w:szCs w:val="36"/>
        </w:rPr>
        <w:t xml:space="preserve">Component </w:t>
      </w:r>
      <w:r w:rsidR="00EF3B2C">
        <w:rPr>
          <w:rFonts w:ascii="Arial" w:hAnsi="Arial" w:cs="Arial"/>
          <w:b/>
          <w:bCs/>
          <w:sz w:val="36"/>
          <w:szCs w:val="36"/>
        </w:rPr>
        <w:t>2</w:t>
      </w:r>
      <w:r w:rsidRPr="004E3279">
        <w:rPr>
          <w:rFonts w:ascii="Arial" w:hAnsi="Arial" w:cs="Arial"/>
          <w:b/>
          <w:bCs/>
          <w:sz w:val="36"/>
          <w:szCs w:val="36"/>
        </w:rPr>
        <w:t xml:space="preserve">: Written </w:t>
      </w:r>
      <w:r>
        <w:rPr>
          <w:rFonts w:ascii="Arial" w:hAnsi="Arial" w:cs="Arial"/>
          <w:b/>
          <w:bCs/>
          <w:sz w:val="36"/>
          <w:szCs w:val="36"/>
        </w:rPr>
        <w:t>Assignment</w:t>
      </w:r>
      <w:r w:rsidRPr="004E3279">
        <w:rPr>
          <w:rFonts w:ascii="Arial" w:hAnsi="Arial" w:cs="Arial"/>
          <w:b/>
          <w:bCs/>
          <w:sz w:val="36"/>
          <w:szCs w:val="36"/>
        </w:rPr>
        <w:t xml:space="preserve"> </w:t>
      </w:r>
      <w:r w:rsidR="00EF3B2C">
        <w:rPr>
          <w:rFonts w:ascii="Arial" w:hAnsi="Arial" w:cs="Arial"/>
          <w:b/>
          <w:bCs/>
          <w:sz w:val="36"/>
          <w:szCs w:val="36"/>
        </w:rPr>
        <w:t>(Essay)</w:t>
      </w:r>
    </w:p>
    <w:p w14:paraId="04CBC03B" w14:textId="40C3E713" w:rsidR="00780109" w:rsidRPr="004E3279" w:rsidRDefault="00780109" w:rsidP="00780109">
      <w:pPr>
        <w:spacing w:line="360" w:lineRule="auto"/>
        <w:jc w:val="center"/>
        <w:rPr>
          <w:rFonts w:ascii="Arial" w:hAnsi="Arial" w:cs="Arial"/>
          <w:b/>
          <w:bCs/>
          <w:sz w:val="36"/>
          <w:szCs w:val="36"/>
        </w:rPr>
      </w:pPr>
    </w:p>
    <w:p w14:paraId="179A4897" w14:textId="77777777" w:rsidR="00780109" w:rsidRPr="00527B8D" w:rsidRDefault="00780109" w:rsidP="00780109">
      <w:pPr>
        <w:spacing w:line="360" w:lineRule="auto"/>
        <w:rPr>
          <w:rFonts w:ascii="Arial" w:hAnsi="Arial" w:cs="Arial"/>
        </w:rPr>
      </w:pPr>
    </w:p>
    <w:p w14:paraId="14DF8254" w14:textId="77777777" w:rsidR="00780109" w:rsidRDefault="00780109" w:rsidP="00780109">
      <w:pPr>
        <w:spacing w:line="360" w:lineRule="auto"/>
        <w:jc w:val="center"/>
        <w:rPr>
          <w:rFonts w:ascii="Arial" w:hAnsi="Arial" w:cs="Arial"/>
        </w:rPr>
      </w:pPr>
    </w:p>
    <w:p w14:paraId="5D979034" w14:textId="77777777" w:rsidR="00780109" w:rsidRPr="00527B8D" w:rsidRDefault="00780109" w:rsidP="00780109">
      <w:pPr>
        <w:spacing w:line="360" w:lineRule="auto"/>
        <w:jc w:val="center"/>
        <w:rPr>
          <w:rFonts w:ascii="Arial" w:hAnsi="Arial" w:cs="Arial"/>
        </w:rPr>
      </w:pPr>
    </w:p>
    <w:p w14:paraId="1A8403DE" w14:textId="77777777" w:rsidR="00780109" w:rsidRPr="004E3279" w:rsidRDefault="00780109" w:rsidP="00780109">
      <w:pPr>
        <w:spacing w:line="360" w:lineRule="auto"/>
        <w:jc w:val="center"/>
        <w:rPr>
          <w:rFonts w:ascii="Arial" w:hAnsi="Arial" w:cs="Arial"/>
          <w:sz w:val="32"/>
          <w:szCs w:val="32"/>
        </w:rPr>
      </w:pPr>
      <w:r w:rsidRPr="004E3279">
        <w:rPr>
          <w:rFonts w:ascii="Arial" w:hAnsi="Arial" w:cs="Arial"/>
          <w:sz w:val="32"/>
          <w:szCs w:val="32"/>
        </w:rPr>
        <w:t>Student name: Erika Cabrera Lopez</w:t>
      </w:r>
    </w:p>
    <w:p w14:paraId="5595217B" w14:textId="77777777" w:rsidR="00780109" w:rsidRPr="004E3279" w:rsidRDefault="00780109" w:rsidP="00780109">
      <w:pPr>
        <w:spacing w:line="360" w:lineRule="auto"/>
        <w:jc w:val="center"/>
        <w:rPr>
          <w:rFonts w:ascii="Arial" w:hAnsi="Arial" w:cs="Arial"/>
          <w:sz w:val="32"/>
          <w:szCs w:val="32"/>
        </w:rPr>
      </w:pPr>
      <w:r w:rsidRPr="004E3279">
        <w:rPr>
          <w:rFonts w:ascii="Arial" w:hAnsi="Arial" w:cs="Arial"/>
          <w:sz w:val="32"/>
          <w:szCs w:val="32"/>
        </w:rPr>
        <w:t>Student ID: 2424586</w:t>
      </w:r>
    </w:p>
    <w:p w14:paraId="5532509C" w14:textId="0F4F54C7" w:rsidR="00780109" w:rsidRPr="004E3279" w:rsidRDefault="00780109" w:rsidP="00780109">
      <w:pPr>
        <w:spacing w:line="360" w:lineRule="auto"/>
        <w:jc w:val="center"/>
        <w:rPr>
          <w:rFonts w:ascii="Arial" w:hAnsi="Arial" w:cs="Arial"/>
          <w:sz w:val="32"/>
          <w:szCs w:val="32"/>
        </w:rPr>
      </w:pPr>
      <w:r w:rsidRPr="004E3279">
        <w:rPr>
          <w:rFonts w:ascii="Arial" w:hAnsi="Arial" w:cs="Arial"/>
          <w:sz w:val="32"/>
          <w:szCs w:val="32"/>
        </w:rPr>
        <w:t xml:space="preserve">Lecturer: </w:t>
      </w:r>
      <w:r w:rsidR="00EF3B2C">
        <w:rPr>
          <w:rFonts w:ascii="Arial" w:hAnsi="Arial" w:cs="Arial"/>
          <w:sz w:val="32"/>
          <w:szCs w:val="32"/>
        </w:rPr>
        <w:t>Itse Olaoye</w:t>
      </w:r>
    </w:p>
    <w:sdt>
      <w:sdtPr>
        <w:rPr>
          <w:rFonts w:asciiTheme="minorHAnsi" w:eastAsiaTheme="minorHAnsi" w:hAnsiTheme="minorHAnsi" w:cstheme="minorBidi"/>
          <w:color w:val="auto"/>
          <w:kern w:val="2"/>
          <w:sz w:val="40"/>
          <w:szCs w:val="40"/>
          <w14:ligatures w14:val="standardContextual"/>
        </w:rPr>
        <w:id w:val="2481945"/>
        <w:docPartObj>
          <w:docPartGallery w:val="Table of Contents"/>
          <w:docPartUnique/>
        </w:docPartObj>
      </w:sdtPr>
      <w:sdtEndPr>
        <w:rPr>
          <w:b/>
          <w:bCs/>
          <w:sz w:val="24"/>
          <w:szCs w:val="24"/>
        </w:rPr>
      </w:sdtEndPr>
      <w:sdtContent>
        <w:p w14:paraId="5C8D8BEB" w14:textId="77777777" w:rsidR="004D32A8" w:rsidRDefault="004D32A8">
          <w:pPr>
            <w:pStyle w:val="TOCHeading"/>
            <w:rPr>
              <w:rFonts w:asciiTheme="minorHAnsi" w:eastAsiaTheme="minorHAnsi" w:hAnsiTheme="minorHAnsi" w:cstheme="minorBidi"/>
              <w:color w:val="auto"/>
              <w:kern w:val="2"/>
              <w:sz w:val="40"/>
              <w:szCs w:val="40"/>
              <w14:ligatures w14:val="standardContextual"/>
            </w:rPr>
          </w:pPr>
        </w:p>
        <w:p w14:paraId="3E7BD343" w14:textId="5707AD3B" w:rsidR="00AB33CB" w:rsidRPr="005A5A12" w:rsidRDefault="00AB33CB">
          <w:pPr>
            <w:pStyle w:val="TOCHeading"/>
            <w:rPr>
              <w:rFonts w:asciiTheme="minorHAnsi" w:eastAsiaTheme="minorHAnsi" w:hAnsiTheme="minorHAnsi" w:cstheme="minorBidi"/>
              <w:color w:val="auto"/>
              <w:kern w:val="2"/>
              <w:sz w:val="40"/>
              <w:szCs w:val="40"/>
              <w14:ligatures w14:val="standardContextual"/>
            </w:rPr>
          </w:pPr>
          <w:r w:rsidRPr="00AB33CB">
            <w:rPr>
              <w:sz w:val="40"/>
              <w:szCs w:val="40"/>
            </w:rPr>
            <w:t>Table of Contents</w:t>
          </w:r>
        </w:p>
        <w:p w14:paraId="27F2DF7E" w14:textId="77777777" w:rsidR="00CC61A6" w:rsidRPr="00CC61A6" w:rsidRDefault="00CC61A6" w:rsidP="00CC61A6">
          <w:pPr>
            <w:pStyle w:val="TOC1"/>
          </w:pPr>
        </w:p>
        <w:p w14:paraId="745095CF" w14:textId="2444931E" w:rsidR="00823BD7" w:rsidRDefault="00AB33CB">
          <w:pPr>
            <w:pStyle w:val="TOC1"/>
            <w:rPr>
              <w:rFonts w:asciiTheme="minorHAnsi" w:eastAsiaTheme="minorEastAsia" w:hAnsiTheme="minorHAnsi" w:cstheme="minorBidi"/>
              <w:noProof/>
              <w:sz w:val="24"/>
              <w:szCs w:val="24"/>
            </w:rPr>
          </w:pPr>
          <w:r>
            <w:fldChar w:fldCharType="begin"/>
          </w:r>
          <w:r>
            <w:instrText xml:space="preserve"> TOC \o "1-3" \h \z \u </w:instrText>
          </w:r>
          <w:r>
            <w:fldChar w:fldCharType="separate"/>
          </w:r>
          <w:hyperlink w:anchor="_Toc228232558" w:history="1">
            <w:r w:rsidR="00823BD7" w:rsidRPr="00D41F2F">
              <w:rPr>
                <w:rStyle w:val="Hyperlink"/>
                <w:noProof/>
              </w:rPr>
              <w:t>Introduction</w:t>
            </w:r>
            <w:r w:rsidR="00823BD7">
              <w:rPr>
                <w:noProof/>
                <w:webHidden/>
              </w:rPr>
              <w:tab/>
            </w:r>
            <w:r w:rsidR="00823BD7">
              <w:rPr>
                <w:noProof/>
                <w:webHidden/>
              </w:rPr>
              <w:fldChar w:fldCharType="begin"/>
            </w:r>
            <w:r w:rsidR="00823BD7">
              <w:rPr>
                <w:noProof/>
                <w:webHidden/>
              </w:rPr>
              <w:instrText xml:space="preserve"> PAGEREF _Toc228232558 \h </w:instrText>
            </w:r>
            <w:r w:rsidR="00823BD7">
              <w:rPr>
                <w:noProof/>
                <w:webHidden/>
              </w:rPr>
            </w:r>
            <w:r w:rsidR="00823BD7">
              <w:rPr>
                <w:noProof/>
                <w:webHidden/>
              </w:rPr>
              <w:fldChar w:fldCharType="separate"/>
            </w:r>
            <w:r w:rsidR="00823BD7">
              <w:rPr>
                <w:noProof/>
                <w:webHidden/>
              </w:rPr>
              <w:t>3</w:t>
            </w:r>
            <w:r w:rsidR="00823BD7">
              <w:rPr>
                <w:noProof/>
                <w:webHidden/>
              </w:rPr>
              <w:fldChar w:fldCharType="end"/>
            </w:r>
          </w:hyperlink>
        </w:p>
        <w:p w14:paraId="52901BFC" w14:textId="499CD613" w:rsidR="00823BD7" w:rsidRDefault="00823BD7">
          <w:pPr>
            <w:pStyle w:val="TOC1"/>
            <w:rPr>
              <w:rFonts w:asciiTheme="minorHAnsi" w:eastAsiaTheme="minorEastAsia" w:hAnsiTheme="minorHAnsi" w:cstheme="minorBidi"/>
              <w:noProof/>
              <w:sz w:val="24"/>
              <w:szCs w:val="24"/>
            </w:rPr>
          </w:pPr>
          <w:hyperlink w:anchor="_Toc228232559" w:history="1">
            <w:r w:rsidRPr="00D41F2F">
              <w:rPr>
                <w:rStyle w:val="Hyperlink"/>
                <w:noProof/>
              </w:rPr>
              <w:t>Emergence and Development of the Ethics of Care</w:t>
            </w:r>
            <w:r>
              <w:rPr>
                <w:noProof/>
                <w:webHidden/>
              </w:rPr>
              <w:tab/>
            </w:r>
            <w:r>
              <w:rPr>
                <w:noProof/>
                <w:webHidden/>
              </w:rPr>
              <w:fldChar w:fldCharType="begin"/>
            </w:r>
            <w:r>
              <w:rPr>
                <w:noProof/>
                <w:webHidden/>
              </w:rPr>
              <w:instrText xml:space="preserve"> PAGEREF _Toc228232559 \h </w:instrText>
            </w:r>
            <w:r>
              <w:rPr>
                <w:noProof/>
                <w:webHidden/>
              </w:rPr>
            </w:r>
            <w:r>
              <w:rPr>
                <w:noProof/>
                <w:webHidden/>
              </w:rPr>
              <w:fldChar w:fldCharType="separate"/>
            </w:r>
            <w:r>
              <w:rPr>
                <w:noProof/>
                <w:webHidden/>
              </w:rPr>
              <w:t>4</w:t>
            </w:r>
            <w:r>
              <w:rPr>
                <w:noProof/>
                <w:webHidden/>
              </w:rPr>
              <w:fldChar w:fldCharType="end"/>
            </w:r>
          </w:hyperlink>
        </w:p>
        <w:p w14:paraId="7D8E8110" w14:textId="05C3EB2E" w:rsidR="00823BD7" w:rsidRDefault="00823BD7">
          <w:pPr>
            <w:pStyle w:val="TOC1"/>
            <w:rPr>
              <w:rFonts w:asciiTheme="minorHAnsi" w:eastAsiaTheme="minorEastAsia" w:hAnsiTheme="minorHAnsi" w:cstheme="minorBidi"/>
              <w:noProof/>
              <w:sz w:val="24"/>
              <w:szCs w:val="24"/>
            </w:rPr>
          </w:pPr>
          <w:hyperlink w:anchor="_Toc228232560" w:history="1">
            <w:r w:rsidRPr="00D41F2F">
              <w:rPr>
                <w:rStyle w:val="Hyperlink"/>
                <w:noProof/>
              </w:rPr>
              <w:t>Application of the Ethics of Care in Health and Social Work Practice</w:t>
            </w:r>
            <w:r>
              <w:rPr>
                <w:noProof/>
                <w:webHidden/>
              </w:rPr>
              <w:tab/>
            </w:r>
            <w:r>
              <w:rPr>
                <w:noProof/>
                <w:webHidden/>
              </w:rPr>
              <w:fldChar w:fldCharType="begin"/>
            </w:r>
            <w:r>
              <w:rPr>
                <w:noProof/>
                <w:webHidden/>
              </w:rPr>
              <w:instrText xml:space="preserve"> PAGEREF _Toc228232560 \h </w:instrText>
            </w:r>
            <w:r>
              <w:rPr>
                <w:noProof/>
                <w:webHidden/>
              </w:rPr>
            </w:r>
            <w:r>
              <w:rPr>
                <w:noProof/>
                <w:webHidden/>
              </w:rPr>
              <w:fldChar w:fldCharType="separate"/>
            </w:r>
            <w:r>
              <w:rPr>
                <w:noProof/>
                <w:webHidden/>
              </w:rPr>
              <w:t>6</w:t>
            </w:r>
            <w:r>
              <w:rPr>
                <w:noProof/>
                <w:webHidden/>
              </w:rPr>
              <w:fldChar w:fldCharType="end"/>
            </w:r>
          </w:hyperlink>
        </w:p>
        <w:p w14:paraId="5EFA3FF1" w14:textId="5AA477A4" w:rsidR="00823BD7" w:rsidRDefault="00823BD7">
          <w:pPr>
            <w:pStyle w:val="TOC1"/>
            <w:rPr>
              <w:rFonts w:asciiTheme="minorHAnsi" w:eastAsiaTheme="minorEastAsia" w:hAnsiTheme="minorHAnsi" w:cstheme="minorBidi"/>
              <w:noProof/>
              <w:sz w:val="24"/>
              <w:szCs w:val="24"/>
            </w:rPr>
          </w:pPr>
          <w:hyperlink w:anchor="_Toc228232561" w:history="1">
            <w:r w:rsidRPr="00D41F2F">
              <w:rPr>
                <w:rStyle w:val="Hyperlink"/>
                <w:noProof/>
              </w:rPr>
              <w:t>Challenges in Applying the Ethics of Care</w:t>
            </w:r>
            <w:r>
              <w:rPr>
                <w:noProof/>
                <w:webHidden/>
              </w:rPr>
              <w:tab/>
            </w:r>
            <w:r>
              <w:rPr>
                <w:noProof/>
                <w:webHidden/>
              </w:rPr>
              <w:fldChar w:fldCharType="begin"/>
            </w:r>
            <w:r>
              <w:rPr>
                <w:noProof/>
                <w:webHidden/>
              </w:rPr>
              <w:instrText xml:space="preserve"> PAGEREF _Toc228232561 \h </w:instrText>
            </w:r>
            <w:r>
              <w:rPr>
                <w:noProof/>
                <w:webHidden/>
              </w:rPr>
            </w:r>
            <w:r>
              <w:rPr>
                <w:noProof/>
                <w:webHidden/>
              </w:rPr>
              <w:fldChar w:fldCharType="separate"/>
            </w:r>
            <w:r>
              <w:rPr>
                <w:noProof/>
                <w:webHidden/>
              </w:rPr>
              <w:t>7</w:t>
            </w:r>
            <w:r>
              <w:rPr>
                <w:noProof/>
                <w:webHidden/>
              </w:rPr>
              <w:fldChar w:fldCharType="end"/>
            </w:r>
          </w:hyperlink>
        </w:p>
        <w:p w14:paraId="4173E794" w14:textId="696C39AC" w:rsidR="00823BD7" w:rsidRDefault="00823BD7">
          <w:pPr>
            <w:pStyle w:val="TOC1"/>
            <w:rPr>
              <w:rFonts w:asciiTheme="minorHAnsi" w:eastAsiaTheme="minorEastAsia" w:hAnsiTheme="minorHAnsi" w:cstheme="minorBidi"/>
              <w:noProof/>
              <w:sz w:val="24"/>
              <w:szCs w:val="24"/>
            </w:rPr>
          </w:pPr>
          <w:hyperlink w:anchor="_Toc228232562" w:history="1">
            <w:r w:rsidRPr="00D41F2F">
              <w:rPr>
                <w:rStyle w:val="Hyperlink"/>
                <w:noProof/>
              </w:rPr>
              <w:t>Recommendations for Health and Social Work Practice</w:t>
            </w:r>
            <w:r>
              <w:rPr>
                <w:noProof/>
                <w:webHidden/>
              </w:rPr>
              <w:tab/>
            </w:r>
            <w:r>
              <w:rPr>
                <w:noProof/>
                <w:webHidden/>
              </w:rPr>
              <w:fldChar w:fldCharType="begin"/>
            </w:r>
            <w:r>
              <w:rPr>
                <w:noProof/>
                <w:webHidden/>
              </w:rPr>
              <w:instrText xml:space="preserve"> PAGEREF _Toc228232562 \h </w:instrText>
            </w:r>
            <w:r>
              <w:rPr>
                <w:noProof/>
                <w:webHidden/>
              </w:rPr>
            </w:r>
            <w:r>
              <w:rPr>
                <w:noProof/>
                <w:webHidden/>
              </w:rPr>
              <w:fldChar w:fldCharType="separate"/>
            </w:r>
            <w:r>
              <w:rPr>
                <w:noProof/>
                <w:webHidden/>
              </w:rPr>
              <w:t>8</w:t>
            </w:r>
            <w:r>
              <w:rPr>
                <w:noProof/>
                <w:webHidden/>
              </w:rPr>
              <w:fldChar w:fldCharType="end"/>
            </w:r>
          </w:hyperlink>
        </w:p>
        <w:p w14:paraId="1687E93E" w14:textId="6CF3DD81" w:rsidR="00823BD7" w:rsidRDefault="00823BD7">
          <w:pPr>
            <w:pStyle w:val="TOC1"/>
            <w:rPr>
              <w:rFonts w:asciiTheme="minorHAnsi" w:eastAsiaTheme="minorEastAsia" w:hAnsiTheme="minorHAnsi" w:cstheme="minorBidi"/>
              <w:noProof/>
              <w:sz w:val="24"/>
              <w:szCs w:val="24"/>
            </w:rPr>
          </w:pPr>
          <w:hyperlink w:anchor="_Toc228232563" w:history="1">
            <w:r w:rsidRPr="00D41F2F">
              <w:rPr>
                <w:rStyle w:val="Hyperlink"/>
                <w:noProof/>
              </w:rPr>
              <w:t>Conclusion</w:t>
            </w:r>
            <w:r>
              <w:rPr>
                <w:noProof/>
                <w:webHidden/>
              </w:rPr>
              <w:tab/>
            </w:r>
            <w:r>
              <w:rPr>
                <w:noProof/>
                <w:webHidden/>
              </w:rPr>
              <w:fldChar w:fldCharType="begin"/>
            </w:r>
            <w:r>
              <w:rPr>
                <w:noProof/>
                <w:webHidden/>
              </w:rPr>
              <w:instrText xml:space="preserve"> PAGEREF _Toc228232563 \h </w:instrText>
            </w:r>
            <w:r>
              <w:rPr>
                <w:noProof/>
                <w:webHidden/>
              </w:rPr>
            </w:r>
            <w:r>
              <w:rPr>
                <w:noProof/>
                <w:webHidden/>
              </w:rPr>
              <w:fldChar w:fldCharType="separate"/>
            </w:r>
            <w:r>
              <w:rPr>
                <w:noProof/>
                <w:webHidden/>
              </w:rPr>
              <w:t>9</w:t>
            </w:r>
            <w:r>
              <w:rPr>
                <w:noProof/>
                <w:webHidden/>
              </w:rPr>
              <w:fldChar w:fldCharType="end"/>
            </w:r>
          </w:hyperlink>
        </w:p>
        <w:p w14:paraId="770BA625" w14:textId="37AF6AB9" w:rsidR="00823BD7" w:rsidRDefault="00823BD7">
          <w:pPr>
            <w:pStyle w:val="TOC1"/>
            <w:rPr>
              <w:rFonts w:asciiTheme="minorHAnsi" w:eastAsiaTheme="minorEastAsia" w:hAnsiTheme="minorHAnsi" w:cstheme="minorBidi"/>
              <w:noProof/>
              <w:sz w:val="24"/>
              <w:szCs w:val="24"/>
            </w:rPr>
          </w:pPr>
          <w:hyperlink w:anchor="_Toc228232564" w:history="1">
            <w:r w:rsidRPr="00D41F2F">
              <w:rPr>
                <w:rStyle w:val="Hyperlink"/>
                <w:noProof/>
              </w:rPr>
              <w:t>References</w:t>
            </w:r>
            <w:r>
              <w:rPr>
                <w:noProof/>
                <w:webHidden/>
              </w:rPr>
              <w:tab/>
            </w:r>
            <w:r>
              <w:rPr>
                <w:noProof/>
                <w:webHidden/>
              </w:rPr>
              <w:fldChar w:fldCharType="begin"/>
            </w:r>
            <w:r>
              <w:rPr>
                <w:noProof/>
                <w:webHidden/>
              </w:rPr>
              <w:instrText xml:space="preserve"> PAGEREF _Toc228232564 \h </w:instrText>
            </w:r>
            <w:r>
              <w:rPr>
                <w:noProof/>
                <w:webHidden/>
              </w:rPr>
            </w:r>
            <w:r>
              <w:rPr>
                <w:noProof/>
                <w:webHidden/>
              </w:rPr>
              <w:fldChar w:fldCharType="separate"/>
            </w:r>
            <w:r>
              <w:rPr>
                <w:noProof/>
                <w:webHidden/>
              </w:rPr>
              <w:t>10</w:t>
            </w:r>
            <w:r>
              <w:rPr>
                <w:noProof/>
                <w:webHidden/>
              </w:rPr>
              <w:fldChar w:fldCharType="end"/>
            </w:r>
          </w:hyperlink>
        </w:p>
        <w:p w14:paraId="2F64832A" w14:textId="14F1C33E" w:rsidR="00AB33CB" w:rsidRDefault="00AB33CB">
          <w:r>
            <w:rPr>
              <w:b/>
              <w:bCs/>
            </w:rPr>
            <w:fldChar w:fldCharType="end"/>
          </w:r>
        </w:p>
      </w:sdtContent>
    </w:sdt>
    <w:p w14:paraId="064B6437" w14:textId="77777777" w:rsidR="00780109" w:rsidRPr="00527B8D" w:rsidRDefault="00780109" w:rsidP="00AB33CB">
      <w:pPr>
        <w:spacing w:line="360" w:lineRule="auto"/>
        <w:rPr>
          <w:rFonts w:ascii="Arial" w:hAnsi="Arial" w:cs="Arial"/>
        </w:rPr>
      </w:pPr>
    </w:p>
    <w:p w14:paraId="03E31A05" w14:textId="77777777" w:rsidR="00780109" w:rsidRDefault="00780109" w:rsidP="00F81C7A">
      <w:pPr>
        <w:rPr>
          <w:b/>
          <w:bCs/>
        </w:rPr>
      </w:pPr>
    </w:p>
    <w:p w14:paraId="08CC8FAC" w14:textId="64D5C930" w:rsidR="00780109" w:rsidRDefault="00780109">
      <w:pPr>
        <w:rPr>
          <w:b/>
          <w:bCs/>
        </w:rPr>
      </w:pPr>
    </w:p>
    <w:p w14:paraId="4C84D439" w14:textId="77777777" w:rsidR="00780109" w:rsidRDefault="00780109" w:rsidP="00F81C7A">
      <w:pPr>
        <w:rPr>
          <w:b/>
          <w:bCs/>
        </w:rPr>
      </w:pPr>
    </w:p>
    <w:p w14:paraId="6D574E02" w14:textId="77777777" w:rsidR="00780109" w:rsidRDefault="00780109">
      <w:pPr>
        <w:rPr>
          <w:b/>
          <w:bCs/>
        </w:rPr>
      </w:pPr>
      <w:r>
        <w:rPr>
          <w:b/>
          <w:bCs/>
        </w:rPr>
        <w:br w:type="page"/>
      </w:r>
    </w:p>
    <w:p w14:paraId="2F8A7B68" w14:textId="41FC6DEC" w:rsidR="00F81C7A" w:rsidRPr="00CC61A6" w:rsidRDefault="00642659" w:rsidP="00EE63EF">
      <w:pPr>
        <w:pStyle w:val="Heading1"/>
        <w:spacing w:line="360" w:lineRule="auto"/>
        <w:rPr>
          <w:rFonts w:asciiTheme="minorHAnsi" w:hAnsiTheme="minorHAnsi" w:cstheme="minorBidi"/>
        </w:rPr>
      </w:pPr>
      <w:bookmarkStart w:id="0" w:name="_Toc228232558"/>
      <w:r w:rsidRPr="00515786">
        <w:lastRenderedPageBreak/>
        <w:t>Introduction</w:t>
      </w:r>
      <w:bookmarkEnd w:id="0"/>
    </w:p>
    <w:p w14:paraId="0AE2BBD3" w14:textId="3D799F8C" w:rsidR="00081745" w:rsidRPr="0015450C" w:rsidRDefault="00081745" w:rsidP="00EE63EF">
      <w:pPr>
        <w:spacing w:line="360" w:lineRule="auto"/>
        <w:rPr>
          <w:rFonts w:ascii="Arial" w:hAnsi="Arial" w:cs="Arial"/>
          <w:sz w:val="22"/>
          <w:szCs w:val="22"/>
        </w:rPr>
      </w:pPr>
      <w:r w:rsidRPr="0015450C">
        <w:rPr>
          <w:rFonts w:ascii="Arial" w:hAnsi="Arial" w:cs="Arial"/>
          <w:sz w:val="22"/>
          <w:szCs w:val="22"/>
        </w:rPr>
        <w:t xml:space="preserve">Ethical frameworks are </w:t>
      </w:r>
      <w:r w:rsidR="004F1165">
        <w:rPr>
          <w:rFonts w:ascii="Arial" w:hAnsi="Arial" w:cs="Arial"/>
          <w:sz w:val="22"/>
          <w:szCs w:val="22"/>
        </w:rPr>
        <w:t>essential</w:t>
      </w:r>
      <w:r w:rsidRPr="0015450C">
        <w:rPr>
          <w:rFonts w:ascii="Arial" w:hAnsi="Arial" w:cs="Arial"/>
          <w:sz w:val="22"/>
          <w:szCs w:val="22"/>
        </w:rPr>
        <w:t xml:space="preserve"> to professional practice in health and social care, as they guide decision</w:t>
      </w:r>
      <w:r w:rsidRPr="0015450C">
        <w:rPr>
          <w:rFonts w:ascii="Arial" w:hAnsi="Arial" w:cs="Arial"/>
          <w:sz w:val="22"/>
          <w:szCs w:val="22"/>
        </w:rPr>
        <w:noBreakHyphen/>
        <w:t>making, judgement, and the delivery of care to individuals who may experience vulnerability, dependence, or social disadvantage. One ethical approach that has become increasingly influential in this field is the Ethics of Care, which places emphasis on relationships, empathy, interdependence, and sensitivity to human need. Originating from feminist critiques of traditional moral philosophy, the Ethics of Care challenges abstract, rule</w:t>
      </w:r>
      <w:r w:rsidRPr="0015450C">
        <w:rPr>
          <w:rFonts w:ascii="Arial" w:hAnsi="Arial" w:cs="Arial"/>
          <w:sz w:val="22"/>
          <w:szCs w:val="22"/>
        </w:rPr>
        <w:noBreakHyphen/>
        <w:t>based ethical models by recognising the moral importance of caring relationships and the social contexts in which care is provided.</w:t>
      </w:r>
    </w:p>
    <w:p w14:paraId="374C53B6" w14:textId="77777777" w:rsidR="00081745" w:rsidRPr="0015450C" w:rsidRDefault="00081745" w:rsidP="00EE63EF">
      <w:pPr>
        <w:spacing w:line="360" w:lineRule="auto"/>
        <w:rPr>
          <w:rFonts w:ascii="Arial" w:hAnsi="Arial" w:cs="Arial"/>
          <w:sz w:val="22"/>
          <w:szCs w:val="22"/>
        </w:rPr>
      </w:pPr>
      <w:r w:rsidRPr="0015450C">
        <w:rPr>
          <w:rFonts w:ascii="Arial" w:hAnsi="Arial" w:cs="Arial"/>
          <w:sz w:val="22"/>
          <w:szCs w:val="22"/>
        </w:rPr>
        <w:t>This essay critically examines the Ethics of Care as a foundation for person</w:t>
      </w:r>
      <w:r w:rsidRPr="0015450C">
        <w:rPr>
          <w:rFonts w:ascii="Arial" w:hAnsi="Arial" w:cs="Arial"/>
          <w:sz w:val="22"/>
          <w:szCs w:val="22"/>
        </w:rPr>
        <w:noBreakHyphen/>
        <w:t>centred health and social care practice. It begins by exploring the emergence and development of care ethics, with particular reference to the contributions of Carol Gilligan and Nel Noddings. The core principles of the Ethics of Care are then outlined and compared with principle</w:t>
      </w:r>
      <w:r w:rsidRPr="0015450C">
        <w:rPr>
          <w:rFonts w:ascii="Arial" w:hAnsi="Arial" w:cs="Arial"/>
          <w:sz w:val="22"/>
          <w:szCs w:val="22"/>
        </w:rPr>
        <w:noBreakHyphen/>
        <w:t>based ethical approaches such as utilitarianism and deontological ethics. The discussion proceeds to consider the application of care ethics within health and social work practice, before evaluating key challenges associated with its implementation in contemporary UK care settings. The essay concludes by presenting practical recommendations, a reflective paragraph, and an overall assessment of the continuing relevance of the Ethics of Care in health and social care practice.</w:t>
      </w:r>
    </w:p>
    <w:p w14:paraId="1E1A42ED" w14:textId="6A513B04" w:rsidR="00012895" w:rsidRDefault="00012895" w:rsidP="00EE63EF">
      <w:pPr>
        <w:spacing w:line="360" w:lineRule="auto"/>
        <w:rPr>
          <w:b/>
          <w:bCs/>
        </w:rPr>
      </w:pPr>
      <w:r>
        <w:rPr>
          <w:b/>
          <w:bCs/>
        </w:rPr>
        <w:br w:type="page"/>
      </w:r>
    </w:p>
    <w:p w14:paraId="2D868AAC" w14:textId="10260854" w:rsidR="00F81C7A" w:rsidRDefault="00F81C7A" w:rsidP="00EE63EF">
      <w:pPr>
        <w:pStyle w:val="Heading1"/>
        <w:spacing w:line="360" w:lineRule="auto"/>
      </w:pPr>
      <w:bookmarkStart w:id="1" w:name="_Toc228232559"/>
      <w:r w:rsidRPr="00515786">
        <w:lastRenderedPageBreak/>
        <w:t>Emergence and Development of the Ethics of Care</w:t>
      </w:r>
      <w:bookmarkEnd w:id="1"/>
    </w:p>
    <w:p w14:paraId="4783D0A4" w14:textId="77777777" w:rsidR="00B32364" w:rsidRPr="00B32364" w:rsidRDefault="00B32364" w:rsidP="00EE63EF">
      <w:pPr>
        <w:spacing w:line="360" w:lineRule="auto"/>
        <w:rPr>
          <w:rFonts w:ascii="Arial" w:hAnsi="Arial" w:cs="Arial"/>
          <w:sz w:val="22"/>
          <w:szCs w:val="22"/>
        </w:rPr>
      </w:pPr>
      <w:r w:rsidRPr="00B32364">
        <w:rPr>
          <w:rFonts w:ascii="Arial" w:hAnsi="Arial" w:cs="Arial"/>
          <w:sz w:val="22"/>
          <w:szCs w:val="22"/>
        </w:rPr>
        <w:t xml:space="preserve">The Ethics of Care developed from the view that many established ethical theories do not adequately represent the moral landscape of caring professions. Conventional frameworks such as utilitarianism and deontology are often built around impartial reasoning and general rules, and they typically assume that individuals are autonomous moral agents. In health and social care, however, practice frequently involves supporting people whose choices are shaped by illness, impairment, trauma, poverty, or dependence on others. As a result, ethical problems are often relational: professionals must consider trust, vulnerability, power differences, and the practical consequences of decisions for ongoing relationships. Care ethics therefore emerged as an approach that treats </w:t>
      </w:r>
      <w:r w:rsidRPr="0008665C">
        <w:rPr>
          <w:rFonts w:ascii="Arial" w:hAnsi="Arial" w:cs="Arial"/>
          <w:sz w:val="22"/>
          <w:szCs w:val="22"/>
        </w:rPr>
        <w:t>relationships and context</w:t>
      </w:r>
      <w:r w:rsidRPr="00B32364">
        <w:rPr>
          <w:rFonts w:ascii="Arial" w:hAnsi="Arial" w:cs="Arial"/>
          <w:sz w:val="22"/>
          <w:szCs w:val="22"/>
        </w:rPr>
        <w:t xml:space="preserve"> as ethically significant rather than morally secondary (Gilligan, 1982; Held, 2006).</w:t>
      </w:r>
    </w:p>
    <w:p w14:paraId="26E7EBBC" w14:textId="09623F8F" w:rsidR="00B32364" w:rsidRPr="00B32364" w:rsidRDefault="00B32364" w:rsidP="00EE63EF">
      <w:pPr>
        <w:spacing w:line="360" w:lineRule="auto"/>
        <w:rPr>
          <w:rFonts w:ascii="Arial" w:hAnsi="Arial" w:cs="Arial"/>
          <w:sz w:val="22"/>
          <w:szCs w:val="22"/>
        </w:rPr>
      </w:pPr>
      <w:r w:rsidRPr="00B32364">
        <w:rPr>
          <w:rFonts w:ascii="Arial" w:hAnsi="Arial" w:cs="Arial"/>
          <w:sz w:val="22"/>
          <w:szCs w:val="22"/>
        </w:rPr>
        <w:t xml:space="preserve">Carol Gilligan’s </w:t>
      </w:r>
      <w:r w:rsidRPr="00B32364">
        <w:rPr>
          <w:rFonts w:ascii="Arial" w:hAnsi="Arial" w:cs="Arial"/>
          <w:i/>
          <w:iCs/>
          <w:sz w:val="22"/>
          <w:szCs w:val="22"/>
        </w:rPr>
        <w:t>In a Different Voice</w:t>
      </w:r>
      <w:r w:rsidRPr="00B32364">
        <w:rPr>
          <w:rFonts w:ascii="Arial" w:hAnsi="Arial" w:cs="Arial"/>
          <w:sz w:val="22"/>
          <w:szCs w:val="22"/>
        </w:rPr>
        <w:t xml:space="preserve"> (1982) is widely regarded as a key starting point for care ethics. Gilligan questioned justice</w:t>
      </w:r>
      <w:r w:rsidR="004A1D41">
        <w:rPr>
          <w:rFonts w:ascii="Arial" w:hAnsi="Arial" w:cs="Arial"/>
          <w:sz w:val="22"/>
          <w:szCs w:val="22"/>
        </w:rPr>
        <w:t xml:space="preserve"> </w:t>
      </w:r>
      <w:r w:rsidRPr="00B32364">
        <w:rPr>
          <w:rFonts w:ascii="Arial" w:hAnsi="Arial" w:cs="Arial"/>
          <w:sz w:val="22"/>
          <w:szCs w:val="22"/>
        </w:rPr>
        <w:t>centred accounts of moral development, arguing that they privileged forms of reasoning that emphasised rights, rules, and abstract fairness while under</w:t>
      </w:r>
      <w:r w:rsidR="004A1D41">
        <w:rPr>
          <w:rFonts w:ascii="Arial" w:hAnsi="Arial" w:cs="Arial"/>
          <w:sz w:val="22"/>
          <w:szCs w:val="22"/>
        </w:rPr>
        <w:t xml:space="preserve"> </w:t>
      </w:r>
      <w:r w:rsidRPr="00B32364">
        <w:rPr>
          <w:rFonts w:ascii="Arial" w:hAnsi="Arial" w:cs="Arial"/>
          <w:sz w:val="22"/>
          <w:szCs w:val="22"/>
        </w:rPr>
        <w:t>recognising moral thinking focused on responsibility, connection, and the prevention of harm. Importantly, her work does not suggest that justice is unimportant; instead, it highlights that moral reasoning can also be grounded in relational awareness and the needs of particular others. This insight closely mirrors ethical decision</w:t>
      </w:r>
      <w:r w:rsidR="004A1D41">
        <w:rPr>
          <w:rFonts w:ascii="Arial" w:hAnsi="Arial" w:cs="Arial"/>
          <w:sz w:val="22"/>
          <w:szCs w:val="22"/>
        </w:rPr>
        <w:t xml:space="preserve"> </w:t>
      </w:r>
      <w:r w:rsidRPr="00B32364">
        <w:rPr>
          <w:rFonts w:ascii="Arial" w:hAnsi="Arial" w:cs="Arial"/>
          <w:sz w:val="22"/>
          <w:szCs w:val="22"/>
        </w:rPr>
        <w:t>making in care settings, where practitioners often negotiate what is “right” by weighing lived experience, relational impact, and the risks of abandonment or exclusion (Gilligan, 1982).</w:t>
      </w:r>
    </w:p>
    <w:p w14:paraId="2A4B6211" w14:textId="18C50EE0" w:rsidR="00B32364" w:rsidRPr="00B32364" w:rsidRDefault="00B32364" w:rsidP="00EE63EF">
      <w:pPr>
        <w:spacing w:line="360" w:lineRule="auto"/>
        <w:rPr>
          <w:rFonts w:ascii="Arial" w:hAnsi="Arial" w:cs="Arial"/>
          <w:sz w:val="22"/>
          <w:szCs w:val="22"/>
        </w:rPr>
      </w:pPr>
      <w:r w:rsidRPr="00B32364">
        <w:rPr>
          <w:rFonts w:ascii="Arial" w:hAnsi="Arial" w:cs="Arial"/>
          <w:sz w:val="22"/>
          <w:szCs w:val="22"/>
        </w:rPr>
        <w:t xml:space="preserve">Nel Noddings further shaped the concept by positioning care not simply as a personal virtue but as </w:t>
      </w:r>
      <w:r w:rsidRPr="004A1D41">
        <w:rPr>
          <w:rFonts w:ascii="Arial" w:hAnsi="Arial" w:cs="Arial"/>
          <w:sz w:val="22"/>
          <w:szCs w:val="22"/>
        </w:rPr>
        <w:t>a moral practice</w:t>
      </w:r>
      <w:r w:rsidRPr="00B32364">
        <w:rPr>
          <w:rFonts w:ascii="Arial" w:hAnsi="Arial" w:cs="Arial"/>
          <w:sz w:val="22"/>
          <w:szCs w:val="22"/>
        </w:rPr>
        <w:t xml:space="preserve"> that arises within encounters between a carer and a cared</w:t>
      </w:r>
      <w:r w:rsidR="004A1D41">
        <w:rPr>
          <w:rFonts w:ascii="Arial" w:hAnsi="Arial" w:cs="Arial"/>
          <w:sz w:val="22"/>
          <w:szCs w:val="22"/>
        </w:rPr>
        <w:t xml:space="preserve"> </w:t>
      </w:r>
      <w:r w:rsidRPr="00B32364">
        <w:rPr>
          <w:rFonts w:ascii="Arial" w:hAnsi="Arial" w:cs="Arial"/>
          <w:sz w:val="22"/>
          <w:szCs w:val="22"/>
        </w:rPr>
        <w:t>for person (Noddings, 1984). Her account places emphasis on attentiveness and receptive engagement: ethical action involves listening, recognising expressed and unexpressed needs, and responding in ways that the cared</w:t>
      </w:r>
      <w:r w:rsidR="004C7F3A">
        <w:rPr>
          <w:rFonts w:ascii="Arial" w:hAnsi="Arial" w:cs="Arial"/>
          <w:sz w:val="22"/>
          <w:szCs w:val="22"/>
        </w:rPr>
        <w:t xml:space="preserve"> </w:t>
      </w:r>
      <w:r w:rsidRPr="00B32364">
        <w:rPr>
          <w:rFonts w:ascii="Arial" w:hAnsi="Arial" w:cs="Arial"/>
          <w:sz w:val="22"/>
          <w:szCs w:val="22"/>
        </w:rPr>
        <w:t>for person can meaningfully receive. For health and social care, this provides a clear justification for relational skills</w:t>
      </w:r>
      <w:r w:rsidR="005D6B68">
        <w:rPr>
          <w:rFonts w:ascii="Arial" w:hAnsi="Arial" w:cs="Arial"/>
          <w:sz w:val="22"/>
          <w:szCs w:val="22"/>
        </w:rPr>
        <w:t xml:space="preserve"> </w:t>
      </w:r>
      <w:r w:rsidRPr="00B32364">
        <w:rPr>
          <w:rFonts w:ascii="Arial" w:hAnsi="Arial" w:cs="Arial"/>
          <w:sz w:val="22"/>
          <w:szCs w:val="22"/>
        </w:rPr>
        <w:t>such as empathy, communication, and emotional understanding</w:t>
      </w:r>
      <w:r w:rsidR="00AC2BF7">
        <w:rPr>
          <w:rFonts w:ascii="Arial" w:hAnsi="Arial" w:cs="Arial"/>
          <w:sz w:val="22"/>
          <w:szCs w:val="22"/>
        </w:rPr>
        <w:t xml:space="preserve"> </w:t>
      </w:r>
      <w:r w:rsidRPr="00B32364">
        <w:rPr>
          <w:rFonts w:ascii="Arial" w:hAnsi="Arial" w:cs="Arial"/>
          <w:sz w:val="22"/>
          <w:szCs w:val="22"/>
        </w:rPr>
        <w:t>as ethically relevant components of professional competence rather than optional “soft skills” (Noddings, 1984; Held, 2006).</w:t>
      </w:r>
    </w:p>
    <w:p w14:paraId="28FDE6B1" w14:textId="62E10EA7" w:rsidR="00B32364" w:rsidRPr="00B32364" w:rsidRDefault="00B32364" w:rsidP="00EE63EF">
      <w:pPr>
        <w:spacing w:line="360" w:lineRule="auto"/>
        <w:rPr>
          <w:rFonts w:ascii="Arial" w:hAnsi="Arial" w:cs="Arial"/>
          <w:sz w:val="22"/>
          <w:szCs w:val="22"/>
        </w:rPr>
      </w:pPr>
      <w:r w:rsidRPr="00B32364">
        <w:rPr>
          <w:rFonts w:ascii="Arial" w:hAnsi="Arial" w:cs="Arial"/>
          <w:sz w:val="22"/>
          <w:szCs w:val="22"/>
        </w:rPr>
        <w:t xml:space="preserve">While early care ethics was sometimes interpreted as mainly interpersonal, Joan Tronto broadened the framework by connecting care to social organisation, power, and public responsibility (Tronto, 1993; Tronto, 2013). Tronto argues that care is not only something individuals do; it is also shaped by how societies allocate time, resources, and recognition to caring work. Her model identifies several phases of care (for example, noticing needs, taking responsibility, providing care, and responding to the outcomes of care) and links these </w:t>
      </w:r>
      <w:r w:rsidRPr="00B32364">
        <w:rPr>
          <w:rFonts w:ascii="Arial" w:hAnsi="Arial" w:cs="Arial"/>
          <w:sz w:val="22"/>
          <w:szCs w:val="22"/>
        </w:rPr>
        <w:lastRenderedPageBreak/>
        <w:t>phases to ethical qualities such as attentiveness, responsibility, competence, and responsiveness (Tronto, 1993). This extension is especially relevant to UK health and social care, where system</w:t>
      </w:r>
      <w:r w:rsidR="007C0934">
        <w:rPr>
          <w:rFonts w:ascii="Arial" w:hAnsi="Arial" w:cs="Arial"/>
          <w:sz w:val="22"/>
          <w:szCs w:val="22"/>
        </w:rPr>
        <w:t xml:space="preserve"> </w:t>
      </w:r>
      <w:r w:rsidRPr="00B32364">
        <w:rPr>
          <w:rFonts w:ascii="Arial" w:hAnsi="Arial" w:cs="Arial"/>
          <w:sz w:val="22"/>
          <w:szCs w:val="22"/>
        </w:rPr>
        <w:t>level constraints</w:t>
      </w:r>
      <w:r w:rsidR="007C0934">
        <w:rPr>
          <w:rFonts w:ascii="Arial" w:hAnsi="Arial" w:cs="Arial"/>
          <w:sz w:val="22"/>
          <w:szCs w:val="22"/>
        </w:rPr>
        <w:t xml:space="preserve"> </w:t>
      </w:r>
      <w:r w:rsidRPr="00B32364">
        <w:rPr>
          <w:rFonts w:ascii="Arial" w:hAnsi="Arial" w:cs="Arial"/>
          <w:sz w:val="22"/>
          <w:szCs w:val="22"/>
        </w:rPr>
        <w:t>workforce pressure, fragmented services, and eligibility thresholds</w:t>
      </w:r>
      <w:r w:rsidR="007C0934">
        <w:rPr>
          <w:rFonts w:ascii="Arial" w:hAnsi="Arial" w:cs="Arial"/>
          <w:sz w:val="22"/>
          <w:szCs w:val="22"/>
        </w:rPr>
        <w:t xml:space="preserve"> </w:t>
      </w:r>
      <w:r w:rsidRPr="00B32364">
        <w:rPr>
          <w:rFonts w:ascii="Arial" w:hAnsi="Arial" w:cs="Arial"/>
          <w:sz w:val="22"/>
          <w:szCs w:val="22"/>
        </w:rPr>
        <w:t>can prevent even highly motivated professionals from delivering relationally responsive care consistently (Tronto, 2013).</w:t>
      </w:r>
    </w:p>
    <w:p w14:paraId="2F87D6D7" w14:textId="5F5B0C6F" w:rsidR="00B32364" w:rsidRPr="00B32364" w:rsidRDefault="00B32364" w:rsidP="00EE63EF">
      <w:pPr>
        <w:spacing w:line="360" w:lineRule="auto"/>
        <w:rPr>
          <w:rFonts w:ascii="Arial" w:hAnsi="Arial" w:cs="Arial"/>
          <w:sz w:val="22"/>
          <w:szCs w:val="22"/>
        </w:rPr>
      </w:pPr>
      <w:r w:rsidRPr="00B32364">
        <w:rPr>
          <w:rFonts w:ascii="Arial" w:hAnsi="Arial" w:cs="Arial"/>
          <w:sz w:val="22"/>
          <w:szCs w:val="22"/>
        </w:rPr>
        <w:t xml:space="preserve">Despite its influence, the Ethics of Care has been criticised on several grounds. A common concern is that care ethics may offer limited </w:t>
      </w:r>
      <w:r w:rsidRPr="00D330E0">
        <w:rPr>
          <w:rFonts w:ascii="Arial" w:hAnsi="Arial" w:cs="Arial"/>
          <w:sz w:val="22"/>
          <w:szCs w:val="22"/>
        </w:rPr>
        <w:t>procedural clarity</w:t>
      </w:r>
      <w:r w:rsidRPr="00B32364">
        <w:rPr>
          <w:rFonts w:ascii="Arial" w:hAnsi="Arial" w:cs="Arial"/>
          <w:sz w:val="22"/>
          <w:szCs w:val="22"/>
        </w:rPr>
        <w:t>: because it is sensitive to context and relationships, critics argue it can appear less decisive than principle</w:t>
      </w:r>
      <w:r w:rsidR="00EF1367">
        <w:rPr>
          <w:rFonts w:ascii="Arial" w:hAnsi="Arial" w:cs="Arial"/>
          <w:sz w:val="22"/>
          <w:szCs w:val="22"/>
        </w:rPr>
        <w:t xml:space="preserve"> </w:t>
      </w:r>
      <w:r w:rsidRPr="00B32364">
        <w:rPr>
          <w:rFonts w:ascii="Arial" w:hAnsi="Arial" w:cs="Arial"/>
          <w:sz w:val="22"/>
          <w:szCs w:val="22"/>
        </w:rPr>
        <w:t>based models that offer universal rules for resolving dilemmas. In regulated practice environments</w:t>
      </w:r>
      <w:r w:rsidR="00634FE7">
        <w:rPr>
          <w:rFonts w:ascii="Arial" w:hAnsi="Arial" w:cs="Arial"/>
          <w:sz w:val="22"/>
          <w:szCs w:val="22"/>
        </w:rPr>
        <w:t xml:space="preserve">, </w:t>
      </w:r>
      <w:r w:rsidRPr="00B32364">
        <w:rPr>
          <w:rFonts w:ascii="Arial" w:hAnsi="Arial" w:cs="Arial"/>
          <w:sz w:val="22"/>
          <w:szCs w:val="22"/>
        </w:rPr>
        <w:t>such as safeguarding or statutory assessments</w:t>
      </w:r>
      <w:r w:rsidR="00D330E0">
        <w:rPr>
          <w:rFonts w:ascii="Arial" w:hAnsi="Arial" w:cs="Arial"/>
          <w:sz w:val="22"/>
          <w:szCs w:val="22"/>
        </w:rPr>
        <w:t xml:space="preserve">, </w:t>
      </w:r>
      <w:r w:rsidRPr="00B32364">
        <w:rPr>
          <w:rFonts w:ascii="Arial" w:hAnsi="Arial" w:cs="Arial"/>
          <w:sz w:val="22"/>
          <w:szCs w:val="22"/>
        </w:rPr>
        <w:t xml:space="preserve">professionals are required to justify decisions transparently, and a purely relational justification can be challenged if it is not accompanied by explicit reasoning and evidence (Held, 2006). A second critique is the risk of </w:t>
      </w:r>
      <w:r w:rsidRPr="00F90CC1">
        <w:rPr>
          <w:rFonts w:ascii="Arial" w:hAnsi="Arial" w:cs="Arial"/>
          <w:sz w:val="22"/>
          <w:szCs w:val="22"/>
        </w:rPr>
        <w:t>unevenness or partiality</w:t>
      </w:r>
      <w:r w:rsidRPr="00B32364">
        <w:rPr>
          <w:rFonts w:ascii="Arial" w:hAnsi="Arial" w:cs="Arial"/>
          <w:sz w:val="22"/>
          <w:szCs w:val="22"/>
        </w:rPr>
        <w:t>: where relationships are central, there may be a danger that those who are easier to engage, more articulate, or more familiar receive more attention, potentially undermining equity in public services (Tronto, 1993). In addition, feminist critics have highlighted that celebrating care without addressing the gendered and undervalued nature of caring labour may unintentionally reinforce existing inequalities (Held, 2006).</w:t>
      </w:r>
    </w:p>
    <w:p w14:paraId="0949B4F9" w14:textId="35799BF8" w:rsidR="00B32364" w:rsidRPr="00B32364" w:rsidRDefault="00B32364" w:rsidP="00EE63EF">
      <w:pPr>
        <w:spacing w:line="360" w:lineRule="auto"/>
        <w:rPr>
          <w:rFonts w:ascii="Arial" w:hAnsi="Arial" w:cs="Arial"/>
          <w:sz w:val="22"/>
          <w:szCs w:val="22"/>
        </w:rPr>
      </w:pPr>
      <w:r w:rsidRPr="00B32364">
        <w:rPr>
          <w:rFonts w:ascii="Arial" w:hAnsi="Arial" w:cs="Arial"/>
          <w:sz w:val="22"/>
          <w:szCs w:val="22"/>
        </w:rPr>
        <w:t>Care ethicists have responded by refining the theory rather than abandoning it. One major response is that care ethics does not need to replace justice</w:t>
      </w:r>
      <w:r w:rsidR="005F3ABD">
        <w:rPr>
          <w:rFonts w:ascii="Arial" w:hAnsi="Arial" w:cs="Arial"/>
          <w:sz w:val="22"/>
          <w:szCs w:val="22"/>
        </w:rPr>
        <w:t xml:space="preserve"> </w:t>
      </w:r>
      <w:r w:rsidRPr="00B32364">
        <w:rPr>
          <w:rFonts w:ascii="Arial" w:hAnsi="Arial" w:cs="Arial"/>
          <w:sz w:val="22"/>
          <w:szCs w:val="22"/>
        </w:rPr>
        <w:t>based ethics; it can operate alongside it. In health and social care, this means combining relational responsiveness with fairness, safeguarding duties, and accountability. Tronto, for example, explicitly connects care to democratic responsibility and argues that care should be organised in ways that promote inclusion and social justice, not favouritism (Tronto, 2013). A further response is that consistent application depends on professional education, reflective supervision, and ethical governance. When practitioners are supported to make their reasoning explicit</w:t>
      </w:r>
      <w:r w:rsidR="005F3ABD">
        <w:rPr>
          <w:rFonts w:ascii="Arial" w:hAnsi="Arial" w:cs="Arial"/>
          <w:sz w:val="22"/>
          <w:szCs w:val="22"/>
        </w:rPr>
        <w:t xml:space="preserve"> </w:t>
      </w:r>
      <w:r w:rsidRPr="00B32364">
        <w:rPr>
          <w:rFonts w:ascii="Arial" w:hAnsi="Arial" w:cs="Arial"/>
          <w:sz w:val="22"/>
          <w:szCs w:val="22"/>
        </w:rPr>
        <w:t>linking relational judgement to evidence, rights, and risk</w:t>
      </w:r>
      <w:r w:rsidR="00EF26C1">
        <w:rPr>
          <w:rFonts w:ascii="Arial" w:hAnsi="Arial" w:cs="Arial"/>
          <w:sz w:val="22"/>
          <w:szCs w:val="22"/>
        </w:rPr>
        <w:t xml:space="preserve"> </w:t>
      </w:r>
      <w:r w:rsidRPr="00B32364">
        <w:rPr>
          <w:rFonts w:ascii="Arial" w:hAnsi="Arial" w:cs="Arial"/>
          <w:sz w:val="22"/>
          <w:szCs w:val="22"/>
        </w:rPr>
        <w:t>care ethics becomes more defensible within statutory and multidisciplinary environments (Held, 2006; Tronto, 2013).</w:t>
      </w:r>
    </w:p>
    <w:p w14:paraId="6BB07724" w14:textId="46862EF5" w:rsidR="00B32364" w:rsidRPr="00B32364" w:rsidRDefault="00B32364" w:rsidP="00EE63EF">
      <w:pPr>
        <w:spacing w:line="360" w:lineRule="auto"/>
        <w:rPr>
          <w:rFonts w:ascii="Arial" w:hAnsi="Arial" w:cs="Arial"/>
          <w:sz w:val="22"/>
          <w:szCs w:val="22"/>
        </w:rPr>
      </w:pPr>
      <w:r w:rsidRPr="00B32364">
        <w:rPr>
          <w:rFonts w:ascii="Arial" w:hAnsi="Arial" w:cs="Arial"/>
          <w:sz w:val="22"/>
          <w:szCs w:val="22"/>
        </w:rPr>
        <w:t>Overall, the development of the Ethics of Care represents a move towards an ethical approach that aligns closely with the realities of health and social care practice. By taking vulnerability, dependence, and relational impact seriously, care ethics provides a framework for person</w:t>
      </w:r>
      <w:r w:rsidR="001A5453">
        <w:rPr>
          <w:rFonts w:ascii="Arial" w:hAnsi="Arial" w:cs="Arial"/>
          <w:sz w:val="22"/>
          <w:szCs w:val="22"/>
        </w:rPr>
        <w:t xml:space="preserve"> </w:t>
      </w:r>
      <w:r w:rsidRPr="00B32364">
        <w:rPr>
          <w:rFonts w:ascii="Arial" w:hAnsi="Arial" w:cs="Arial"/>
          <w:sz w:val="22"/>
          <w:szCs w:val="22"/>
        </w:rPr>
        <w:t>centred practice that is both ethically grounded and practically relevant. At the same time, ongoing critiques usefully highlight the importance of embedding care ethics within systems that protect equity, transparency, and accountability, particularly in the context of publicly funded services (Tronto, 1993; Held, 2006).</w:t>
      </w:r>
    </w:p>
    <w:p w14:paraId="1BD81097" w14:textId="46862EF5" w:rsidR="00917B28" w:rsidRPr="00917B28" w:rsidRDefault="00917B28" w:rsidP="00EE63EF">
      <w:pPr>
        <w:pStyle w:val="Heading1"/>
        <w:spacing w:line="360" w:lineRule="auto"/>
      </w:pPr>
      <w:bookmarkStart w:id="2" w:name="_Toc228232560"/>
      <w:r w:rsidRPr="00917B28">
        <w:lastRenderedPageBreak/>
        <w:t>Application of the Ethics of Care in Health and Social Work Practice</w:t>
      </w:r>
      <w:bookmarkEnd w:id="2"/>
    </w:p>
    <w:p w14:paraId="4B013FE8" w14:textId="6DC4AADD" w:rsidR="00917B28" w:rsidRPr="00917B28" w:rsidRDefault="00917B28" w:rsidP="00EE63EF">
      <w:pPr>
        <w:spacing w:line="360" w:lineRule="auto"/>
        <w:rPr>
          <w:rFonts w:ascii="Arial" w:hAnsi="Arial" w:cs="Arial"/>
          <w:sz w:val="22"/>
          <w:szCs w:val="22"/>
        </w:rPr>
      </w:pPr>
      <w:r w:rsidRPr="00917B28">
        <w:rPr>
          <w:rFonts w:ascii="Arial" w:hAnsi="Arial" w:cs="Arial"/>
          <w:sz w:val="22"/>
          <w:szCs w:val="22"/>
        </w:rPr>
        <w:t xml:space="preserve">The Ethics of Care provides a strong ethical foundation for </w:t>
      </w:r>
      <w:r w:rsidRPr="00F242AC">
        <w:rPr>
          <w:rFonts w:ascii="Arial" w:hAnsi="Arial" w:cs="Arial"/>
          <w:sz w:val="22"/>
          <w:szCs w:val="22"/>
        </w:rPr>
        <w:t>person</w:t>
      </w:r>
      <w:r w:rsidRPr="00F242AC">
        <w:rPr>
          <w:rFonts w:ascii="Arial" w:hAnsi="Arial" w:cs="Arial"/>
          <w:sz w:val="22"/>
          <w:szCs w:val="22"/>
        </w:rPr>
        <w:noBreakHyphen/>
        <w:t>centred practice</w:t>
      </w:r>
      <w:r w:rsidRPr="00917B28">
        <w:rPr>
          <w:rFonts w:ascii="Arial" w:hAnsi="Arial" w:cs="Arial"/>
          <w:sz w:val="22"/>
          <w:szCs w:val="22"/>
        </w:rPr>
        <w:t>, which is a central principle of UK health and social care policy. Person</w:t>
      </w:r>
      <w:r w:rsidR="001A5453">
        <w:rPr>
          <w:rFonts w:ascii="Arial" w:hAnsi="Arial" w:cs="Arial"/>
          <w:sz w:val="22"/>
          <w:szCs w:val="22"/>
        </w:rPr>
        <w:t xml:space="preserve"> </w:t>
      </w:r>
      <w:r w:rsidRPr="00917B28">
        <w:rPr>
          <w:rFonts w:ascii="Arial" w:hAnsi="Arial" w:cs="Arial"/>
          <w:sz w:val="22"/>
          <w:szCs w:val="22"/>
        </w:rPr>
        <w:t>centred care emphasises dignity, respect, partnership, and responsiveness to what matters most to individuals, all of which closely align with care</w:t>
      </w:r>
      <w:r w:rsidR="001A31A8">
        <w:rPr>
          <w:rFonts w:ascii="Arial" w:hAnsi="Arial" w:cs="Arial"/>
          <w:sz w:val="22"/>
          <w:szCs w:val="22"/>
        </w:rPr>
        <w:t xml:space="preserve"> </w:t>
      </w:r>
      <w:r w:rsidRPr="00917B28">
        <w:rPr>
          <w:rFonts w:ascii="Arial" w:hAnsi="Arial" w:cs="Arial"/>
          <w:sz w:val="22"/>
          <w:szCs w:val="22"/>
        </w:rPr>
        <w:t>ethical values. By recognising individuals as socially embedded and often dependent on others, care ethics offers an ethically sensitive alternative to overly individualistic approaches that prioritise autonomy without sufficient attention to vulnerability.</w:t>
      </w:r>
    </w:p>
    <w:p w14:paraId="09FD72F6" w14:textId="77777777" w:rsidR="00917B28" w:rsidRPr="00917B28" w:rsidRDefault="00917B28" w:rsidP="00EE63EF">
      <w:pPr>
        <w:spacing w:line="360" w:lineRule="auto"/>
        <w:rPr>
          <w:rFonts w:ascii="Arial" w:hAnsi="Arial" w:cs="Arial"/>
          <w:sz w:val="22"/>
          <w:szCs w:val="22"/>
        </w:rPr>
      </w:pPr>
      <w:r w:rsidRPr="00917B28">
        <w:rPr>
          <w:rFonts w:ascii="Arial" w:hAnsi="Arial" w:cs="Arial"/>
          <w:sz w:val="22"/>
          <w:szCs w:val="22"/>
        </w:rPr>
        <w:t>Within nursing and social work practice, care ethics supports compassionate engagement, relational continuity, and ethical judgement in complex situations where standard rules alone are insufficient. Professionals are often required to balance competing needs, emotional distress, and power imbalances, particularly when working with older adults, individuals with disabilities, or those experiencing mental ill health. In such contexts, care ethics legitimises emotional awareness and empathy as morally relevant rather than professionally inappropriate.</w:t>
      </w:r>
    </w:p>
    <w:p w14:paraId="5B300C60" w14:textId="2170AE05" w:rsidR="00917B28" w:rsidRPr="00917B28" w:rsidRDefault="00917B28" w:rsidP="00EE63EF">
      <w:pPr>
        <w:spacing w:line="360" w:lineRule="auto"/>
        <w:rPr>
          <w:rFonts w:ascii="Arial" w:hAnsi="Arial" w:cs="Arial"/>
          <w:sz w:val="22"/>
          <w:szCs w:val="22"/>
        </w:rPr>
      </w:pPr>
      <w:r w:rsidRPr="00917B28">
        <w:rPr>
          <w:rFonts w:ascii="Arial" w:hAnsi="Arial" w:cs="Arial"/>
          <w:sz w:val="22"/>
          <w:szCs w:val="22"/>
        </w:rPr>
        <w:t xml:space="preserve">UK policy frameworks also reflect elements of care ethics. The </w:t>
      </w:r>
      <w:r w:rsidRPr="00981CA6">
        <w:rPr>
          <w:rFonts w:ascii="Arial" w:hAnsi="Arial" w:cs="Arial"/>
          <w:sz w:val="22"/>
          <w:szCs w:val="22"/>
        </w:rPr>
        <w:t>Care Act 2014</w:t>
      </w:r>
      <w:r w:rsidRPr="00917B28">
        <w:rPr>
          <w:rFonts w:ascii="Arial" w:hAnsi="Arial" w:cs="Arial"/>
          <w:sz w:val="22"/>
          <w:szCs w:val="22"/>
        </w:rPr>
        <w:t xml:space="preserve"> places individual wellbeing at the centre of assessment and care planning, requiring local authorities to consider emotional, social, psychological, and relational aspects of a person’s life. Similarly, NHS England’s commitment to personalised care emphasises understanding “what matters” to individuals and working in partnership to achieve meaningful outcomes (NHS England, 2019). These policy directions demonstrate how care</w:t>
      </w:r>
      <w:r w:rsidR="001B2671">
        <w:rPr>
          <w:rFonts w:ascii="Arial" w:hAnsi="Arial" w:cs="Arial"/>
          <w:sz w:val="22"/>
          <w:szCs w:val="22"/>
        </w:rPr>
        <w:t xml:space="preserve"> </w:t>
      </w:r>
      <w:r w:rsidRPr="00917B28">
        <w:rPr>
          <w:rFonts w:ascii="Arial" w:hAnsi="Arial" w:cs="Arial"/>
          <w:sz w:val="22"/>
          <w:szCs w:val="22"/>
        </w:rPr>
        <w:t>ethical principles are embedded</w:t>
      </w:r>
      <w:r w:rsidR="00F242AC">
        <w:rPr>
          <w:rFonts w:ascii="Arial" w:hAnsi="Arial" w:cs="Arial"/>
          <w:sz w:val="22"/>
          <w:szCs w:val="22"/>
        </w:rPr>
        <w:t xml:space="preserve"> </w:t>
      </w:r>
      <w:r w:rsidRPr="00917B28">
        <w:rPr>
          <w:rFonts w:ascii="Arial" w:hAnsi="Arial" w:cs="Arial"/>
          <w:sz w:val="22"/>
          <w:szCs w:val="22"/>
        </w:rPr>
        <w:t>at least rhetorically</w:t>
      </w:r>
      <w:r w:rsidR="00F242AC">
        <w:rPr>
          <w:rFonts w:ascii="Arial" w:hAnsi="Arial" w:cs="Arial"/>
          <w:sz w:val="22"/>
          <w:szCs w:val="22"/>
        </w:rPr>
        <w:t xml:space="preserve"> </w:t>
      </w:r>
      <w:r w:rsidRPr="00917B28">
        <w:rPr>
          <w:rFonts w:ascii="Arial" w:hAnsi="Arial" w:cs="Arial"/>
          <w:sz w:val="22"/>
          <w:szCs w:val="22"/>
        </w:rPr>
        <w:t>within contemporary health and social care systems.</w:t>
      </w:r>
    </w:p>
    <w:p w14:paraId="6F459509" w14:textId="77777777" w:rsidR="008C583F" w:rsidRPr="00A031F4" w:rsidRDefault="008C583F" w:rsidP="00EE63EF">
      <w:pPr>
        <w:spacing w:line="360" w:lineRule="auto"/>
        <w:rPr>
          <w:rFonts w:ascii="Arial" w:hAnsi="Arial" w:cs="Arial"/>
          <w:sz w:val="22"/>
          <w:szCs w:val="22"/>
        </w:rPr>
      </w:pPr>
    </w:p>
    <w:p w14:paraId="0E4C50F3" w14:textId="77777777" w:rsidR="00EC347A" w:rsidRPr="00AB475C" w:rsidRDefault="00EC347A" w:rsidP="00EE63EF">
      <w:pPr>
        <w:spacing w:line="360" w:lineRule="auto"/>
        <w:rPr>
          <w:rFonts w:ascii="Arial" w:hAnsi="Arial" w:cs="Arial"/>
          <w:b/>
          <w:bCs/>
        </w:rPr>
      </w:pPr>
    </w:p>
    <w:p w14:paraId="37D79C96" w14:textId="77777777" w:rsidR="00C443C0" w:rsidRDefault="00C443C0">
      <w:pPr>
        <w:rPr>
          <w:rFonts w:asciiTheme="majorHAnsi" w:eastAsiaTheme="majorEastAsia" w:hAnsiTheme="majorHAnsi" w:cstheme="majorBidi"/>
          <w:color w:val="0F4761" w:themeColor="accent1" w:themeShade="BF"/>
          <w:sz w:val="40"/>
          <w:szCs w:val="40"/>
        </w:rPr>
      </w:pPr>
      <w:r>
        <w:br w:type="page"/>
      </w:r>
    </w:p>
    <w:p w14:paraId="5AE945F1" w14:textId="65E907A8" w:rsidR="00F81C7A" w:rsidRDefault="00F81C7A" w:rsidP="00EE63EF">
      <w:pPr>
        <w:pStyle w:val="Heading1"/>
        <w:spacing w:line="360" w:lineRule="auto"/>
      </w:pPr>
      <w:bookmarkStart w:id="3" w:name="_Toc228232561"/>
      <w:r w:rsidRPr="00AB5278">
        <w:lastRenderedPageBreak/>
        <w:t>Challenges in Applying the Ethics of Care</w:t>
      </w:r>
      <w:bookmarkEnd w:id="3"/>
    </w:p>
    <w:p w14:paraId="4FC9E337" w14:textId="5FE5A6F0" w:rsidR="000113DB" w:rsidRPr="000113DB" w:rsidRDefault="000113DB" w:rsidP="00EE63EF">
      <w:pPr>
        <w:spacing w:line="360" w:lineRule="auto"/>
        <w:rPr>
          <w:rFonts w:ascii="Arial" w:hAnsi="Arial" w:cs="Arial"/>
          <w:sz w:val="22"/>
          <w:szCs w:val="22"/>
        </w:rPr>
      </w:pPr>
      <w:r w:rsidRPr="000113DB">
        <w:rPr>
          <w:rFonts w:ascii="Arial" w:hAnsi="Arial" w:cs="Arial"/>
          <w:sz w:val="22"/>
          <w:szCs w:val="22"/>
        </w:rPr>
        <w:t>Despite its ethical strengths, the application of the Ethics of Care within UK health and social care practice is constrained by significant structural and organisational challenges. Relational care requires time, continuity, and emotional presence, yet many services operate within environments characterised by high demand, limited resources, and workforce shortages. In practice, this can reduce caring relationships to task</w:t>
      </w:r>
      <w:r w:rsidR="00CD0C11">
        <w:rPr>
          <w:rFonts w:ascii="Arial" w:hAnsi="Arial" w:cs="Arial"/>
          <w:sz w:val="22"/>
          <w:szCs w:val="22"/>
        </w:rPr>
        <w:t xml:space="preserve"> </w:t>
      </w:r>
      <w:r w:rsidRPr="000113DB">
        <w:rPr>
          <w:rFonts w:ascii="Arial" w:hAnsi="Arial" w:cs="Arial"/>
          <w:sz w:val="22"/>
          <w:szCs w:val="22"/>
        </w:rPr>
        <w:t>oriented interactions, particularly in home</w:t>
      </w:r>
      <w:r w:rsidR="00CD0C11">
        <w:rPr>
          <w:rFonts w:ascii="Arial" w:hAnsi="Arial" w:cs="Arial"/>
          <w:sz w:val="22"/>
          <w:szCs w:val="22"/>
        </w:rPr>
        <w:t xml:space="preserve"> </w:t>
      </w:r>
      <w:r w:rsidRPr="000113DB">
        <w:rPr>
          <w:rFonts w:ascii="Arial" w:hAnsi="Arial" w:cs="Arial"/>
          <w:sz w:val="22"/>
          <w:szCs w:val="22"/>
        </w:rPr>
        <w:t>care services where visit times are tightly restricted.</w:t>
      </w:r>
    </w:p>
    <w:p w14:paraId="0F1E9531" w14:textId="77777777" w:rsidR="000113DB" w:rsidRPr="000113DB" w:rsidRDefault="000113DB" w:rsidP="00EE63EF">
      <w:pPr>
        <w:spacing w:line="360" w:lineRule="auto"/>
        <w:rPr>
          <w:rFonts w:ascii="Arial" w:hAnsi="Arial" w:cs="Arial"/>
          <w:sz w:val="22"/>
          <w:szCs w:val="22"/>
        </w:rPr>
      </w:pPr>
      <w:r w:rsidRPr="000113DB">
        <w:rPr>
          <w:rFonts w:ascii="Arial" w:hAnsi="Arial" w:cs="Arial"/>
          <w:sz w:val="22"/>
          <w:szCs w:val="22"/>
        </w:rPr>
        <w:t xml:space="preserve">Practitioners may experience </w:t>
      </w:r>
      <w:r w:rsidRPr="000A3275">
        <w:rPr>
          <w:rFonts w:ascii="Arial" w:hAnsi="Arial" w:cs="Arial"/>
          <w:sz w:val="22"/>
          <w:szCs w:val="22"/>
        </w:rPr>
        <w:t>moral distress</w:t>
      </w:r>
      <w:r w:rsidRPr="000113DB">
        <w:rPr>
          <w:rFonts w:ascii="Arial" w:hAnsi="Arial" w:cs="Arial"/>
          <w:sz w:val="22"/>
          <w:szCs w:val="22"/>
        </w:rPr>
        <w:t xml:space="preserve"> when they recognise what good care requires but feel unable to deliver it due to institutional constraints, contributing to emotional strain, burnout, and staff retention difficulties (Giannetta </w:t>
      </w:r>
      <w:r w:rsidRPr="000113DB">
        <w:rPr>
          <w:rFonts w:ascii="Arial" w:hAnsi="Arial" w:cs="Arial"/>
          <w:i/>
          <w:iCs/>
          <w:sz w:val="22"/>
          <w:szCs w:val="22"/>
        </w:rPr>
        <w:t>et al.</w:t>
      </w:r>
      <w:r w:rsidRPr="000113DB">
        <w:rPr>
          <w:rFonts w:ascii="Arial" w:hAnsi="Arial" w:cs="Arial"/>
          <w:sz w:val="22"/>
          <w:szCs w:val="22"/>
        </w:rPr>
        <w:t>, 2021). This illustrates that challenges in applying care ethics are not solely a matter of individual practitioner skill but are deeply connected to system design and organisational priorities.</w:t>
      </w:r>
    </w:p>
    <w:p w14:paraId="234E34F8" w14:textId="4774551A" w:rsidR="000113DB" w:rsidRPr="000113DB" w:rsidRDefault="000113DB" w:rsidP="00EE63EF">
      <w:pPr>
        <w:spacing w:line="360" w:lineRule="auto"/>
        <w:rPr>
          <w:rFonts w:ascii="Arial" w:hAnsi="Arial" w:cs="Arial"/>
          <w:sz w:val="22"/>
          <w:szCs w:val="22"/>
        </w:rPr>
      </w:pPr>
      <w:r w:rsidRPr="000113DB">
        <w:rPr>
          <w:rFonts w:ascii="Arial" w:hAnsi="Arial" w:cs="Arial"/>
          <w:sz w:val="22"/>
          <w:szCs w:val="22"/>
        </w:rPr>
        <w:t>A further tension exists between relational responsiveness and professional accountability. In safeguarding, mental capacity assessments, or statutory decision</w:t>
      </w:r>
      <w:r w:rsidR="001649C2">
        <w:rPr>
          <w:rFonts w:ascii="Arial" w:hAnsi="Arial" w:cs="Arial"/>
          <w:sz w:val="22"/>
          <w:szCs w:val="22"/>
        </w:rPr>
        <w:t xml:space="preserve"> </w:t>
      </w:r>
      <w:r w:rsidRPr="000113DB">
        <w:rPr>
          <w:rFonts w:ascii="Arial" w:hAnsi="Arial" w:cs="Arial"/>
          <w:sz w:val="22"/>
          <w:szCs w:val="22"/>
        </w:rPr>
        <w:t>making, practitioners must balance care</w:t>
      </w:r>
      <w:r w:rsidR="00195DEA">
        <w:rPr>
          <w:rFonts w:ascii="Arial" w:hAnsi="Arial" w:cs="Arial"/>
          <w:sz w:val="22"/>
          <w:szCs w:val="22"/>
        </w:rPr>
        <w:t xml:space="preserve"> </w:t>
      </w:r>
      <w:r w:rsidRPr="000113DB">
        <w:rPr>
          <w:rFonts w:ascii="Arial" w:hAnsi="Arial" w:cs="Arial"/>
          <w:sz w:val="22"/>
          <w:szCs w:val="22"/>
        </w:rPr>
        <w:t>based values with legal duties, procedural fairness, and defensible documentation. Critics argue that if relational judgement is not supported by transparent ethical reasoning, care ethics risks appearing inconsistent or biased (Held, 2006). Additionally, care</w:t>
      </w:r>
      <w:r w:rsidR="00195DEA">
        <w:rPr>
          <w:rFonts w:ascii="Arial" w:hAnsi="Arial" w:cs="Arial"/>
          <w:sz w:val="22"/>
          <w:szCs w:val="22"/>
        </w:rPr>
        <w:t xml:space="preserve"> </w:t>
      </w:r>
      <w:r w:rsidRPr="000113DB">
        <w:rPr>
          <w:rFonts w:ascii="Arial" w:hAnsi="Arial" w:cs="Arial"/>
          <w:sz w:val="22"/>
          <w:szCs w:val="22"/>
        </w:rPr>
        <w:t>ethical practices are difficult to measure within performance</w:t>
      </w:r>
      <w:r w:rsidR="00195DEA">
        <w:rPr>
          <w:rFonts w:ascii="Arial" w:hAnsi="Arial" w:cs="Arial"/>
          <w:sz w:val="22"/>
          <w:szCs w:val="22"/>
        </w:rPr>
        <w:t xml:space="preserve"> </w:t>
      </w:r>
      <w:r w:rsidRPr="000113DB">
        <w:rPr>
          <w:rFonts w:ascii="Arial" w:hAnsi="Arial" w:cs="Arial"/>
          <w:sz w:val="22"/>
          <w:szCs w:val="22"/>
        </w:rPr>
        <w:t>driven systems that prioritise standardised targets over qualitative experiences of care.</w:t>
      </w:r>
    </w:p>
    <w:p w14:paraId="0A52E277" w14:textId="20BB6AB3" w:rsidR="000113DB" w:rsidRPr="000113DB" w:rsidRDefault="000113DB" w:rsidP="00EE63EF">
      <w:pPr>
        <w:spacing w:line="360" w:lineRule="auto"/>
        <w:rPr>
          <w:rFonts w:ascii="Arial" w:hAnsi="Arial" w:cs="Arial"/>
          <w:sz w:val="22"/>
          <w:szCs w:val="22"/>
        </w:rPr>
      </w:pPr>
      <w:r w:rsidRPr="000113DB">
        <w:rPr>
          <w:rFonts w:ascii="Arial" w:hAnsi="Arial" w:cs="Arial"/>
          <w:sz w:val="22"/>
          <w:szCs w:val="22"/>
        </w:rPr>
        <w:t>Concerns have also been raised regarding equity. Because care ethics is context</w:t>
      </w:r>
      <w:r w:rsidR="00CE27C4">
        <w:rPr>
          <w:rFonts w:ascii="Arial" w:hAnsi="Arial" w:cs="Arial"/>
          <w:sz w:val="22"/>
          <w:szCs w:val="22"/>
        </w:rPr>
        <w:t xml:space="preserve"> </w:t>
      </w:r>
      <w:r w:rsidRPr="000113DB">
        <w:rPr>
          <w:rFonts w:ascii="Arial" w:hAnsi="Arial" w:cs="Arial"/>
          <w:sz w:val="22"/>
          <w:szCs w:val="22"/>
        </w:rPr>
        <w:t xml:space="preserve">sensitive and relational, individuals who are more articulate or able to form relationships may receive more attentive care, potentially reinforcing rather than reducing social inequalities (Tronto, 1993). Emotional labour presents an additional challenge, as sustained empathetic engagement without adequate support can contribute to compassion fatigue and moral injury (Giannetta </w:t>
      </w:r>
      <w:r w:rsidRPr="000113DB">
        <w:rPr>
          <w:rFonts w:ascii="Arial" w:hAnsi="Arial" w:cs="Arial"/>
          <w:i/>
          <w:iCs/>
          <w:sz w:val="22"/>
          <w:szCs w:val="22"/>
        </w:rPr>
        <w:t>et al.</w:t>
      </w:r>
      <w:r w:rsidRPr="000113DB">
        <w:rPr>
          <w:rFonts w:ascii="Arial" w:hAnsi="Arial" w:cs="Arial"/>
          <w:sz w:val="22"/>
          <w:szCs w:val="22"/>
        </w:rPr>
        <w:t>, 2021).</w:t>
      </w:r>
    </w:p>
    <w:p w14:paraId="11DBBAD7" w14:textId="77777777" w:rsidR="000113DB" w:rsidRPr="000113DB" w:rsidRDefault="000113DB" w:rsidP="00EE63EF">
      <w:pPr>
        <w:spacing w:line="360" w:lineRule="auto"/>
      </w:pPr>
    </w:p>
    <w:p w14:paraId="0345CE0D" w14:textId="77777777" w:rsidR="00CA2269" w:rsidRDefault="00CA2269">
      <w:pPr>
        <w:rPr>
          <w:rFonts w:asciiTheme="majorHAnsi" w:eastAsiaTheme="majorEastAsia" w:hAnsiTheme="majorHAnsi" w:cstheme="majorBidi"/>
          <w:color w:val="0F4761" w:themeColor="accent1" w:themeShade="BF"/>
          <w:sz w:val="40"/>
          <w:szCs w:val="40"/>
        </w:rPr>
      </w:pPr>
      <w:r>
        <w:br w:type="page"/>
      </w:r>
    </w:p>
    <w:p w14:paraId="214E686E" w14:textId="5181FFF9" w:rsidR="00F81C7A" w:rsidRPr="00AB5278" w:rsidRDefault="00F81C7A" w:rsidP="00EE63EF">
      <w:pPr>
        <w:pStyle w:val="Heading1"/>
        <w:spacing w:line="360" w:lineRule="auto"/>
      </w:pPr>
      <w:bookmarkStart w:id="4" w:name="_Toc228232562"/>
      <w:r w:rsidRPr="00AB5278">
        <w:lastRenderedPageBreak/>
        <w:t>Recommendations for Health and Social Work Practice</w:t>
      </w:r>
      <w:bookmarkEnd w:id="4"/>
    </w:p>
    <w:p w14:paraId="0F3ADA44" w14:textId="77777777" w:rsidR="007D7C27" w:rsidRPr="007D7C27" w:rsidRDefault="007D7C27" w:rsidP="00EE63EF">
      <w:pPr>
        <w:spacing w:line="360" w:lineRule="auto"/>
        <w:rPr>
          <w:rFonts w:ascii="Arial" w:hAnsi="Arial" w:cs="Arial"/>
          <w:sz w:val="22"/>
          <w:szCs w:val="22"/>
        </w:rPr>
      </w:pPr>
      <w:r w:rsidRPr="007D7C27">
        <w:rPr>
          <w:rFonts w:ascii="Arial" w:hAnsi="Arial" w:cs="Arial"/>
          <w:sz w:val="22"/>
          <w:szCs w:val="22"/>
        </w:rPr>
        <w:t xml:space="preserve">To strengthen the application of the Ethics of Care, policy and practice must recognise care as a </w:t>
      </w:r>
      <w:r w:rsidRPr="00E8042A">
        <w:rPr>
          <w:rFonts w:ascii="Arial" w:hAnsi="Arial" w:cs="Arial"/>
          <w:sz w:val="22"/>
          <w:szCs w:val="22"/>
        </w:rPr>
        <w:t>collective social responsibility</w:t>
      </w:r>
      <w:r w:rsidRPr="007D7C27">
        <w:rPr>
          <w:rFonts w:ascii="Arial" w:hAnsi="Arial" w:cs="Arial"/>
          <w:sz w:val="22"/>
          <w:szCs w:val="22"/>
        </w:rPr>
        <w:t xml:space="preserve"> rather than an individual moral burden. While the Care Act 2014 provides a strong legislative foundation through its wellbeing principle, greater attention must be paid to social determinants of health such as poverty, housing insecurity, and inequality, which significantly influence experiences of care.</w:t>
      </w:r>
    </w:p>
    <w:p w14:paraId="5FD42ADC" w14:textId="77777777" w:rsidR="007D7C27" w:rsidRPr="007D7C27" w:rsidRDefault="007D7C27" w:rsidP="00EE63EF">
      <w:pPr>
        <w:spacing w:line="360" w:lineRule="auto"/>
        <w:rPr>
          <w:rFonts w:ascii="Arial" w:hAnsi="Arial" w:cs="Arial"/>
          <w:sz w:val="22"/>
          <w:szCs w:val="22"/>
        </w:rPr>
      </w:pPr>
      <w:r w:rsidRPr="007D7C27">
        <w:rPr>
          <w:rFonts w:ascii="Arial" w:hAnsi="Arial" w:cs="Arial"/>
          <w:sz w:val="22"/>
          <w:szCs w:val="22"/>
        </w:rPr>
        <w:t>Education and workforce development are critical. Health and social care training programmes should integrate care ethics, reflective practice, and ethical reasoning to support practitioners in managing emotional complexity and moral uncertainty. This aligns with NHS England’s emphasis on personalised, compassionate care and shared decision</w:t>
      </w:r>
      <w:r w:rsidRPr="007D7C27">
        <w:rPr>
          <w:rFonts w:ascii="Arial" w:hAnsi="Arial" w:cs="Arial"/>
          <w:sz w:val="22"/>
          <w:szCs w:val="22"/>
        </w:rPr>
        <w:noBreakHyphen/>
        <w:t>making (NHS England, 2019).</w:t>
      </w:r>
    </w:p>
    <w:p w14:paraId="697D10B0" w14:textId="3CC1A99F" w:rsidR="007D7C27" w:rsidRPr="007D7C27" w:rsidRDefault="007D7C27" w:rsidP="00EE63EF">
      <w:pPr>
        <w:spacing w:line="360" w:lineRule="auto"/>
        <w:rPr>
          <w:rFonts w:ascii="Arial" w:hAnsi="Arial" w:cs="Arial"/>
          <w:sz w:val="22"/>
          <w:szCs w:val="22"/>
        </w:rPr>
      </w:pPr>
      <w:r w:rsidRPr="007D7C27">
        <w:rPr>
          <w:rFonts w:ascii="Arial" w:hAnsi="Arial" w:cs="Arial"/>
          <w:sz w:val="22"/>
          <w:szCs w:val="22"/>
        </w:rPr>
        <w:t>At an organisational level, ethical cultures should be fostered through reflective supervision, supportive leadership, and manageable caseloads. Evaluation frameworks should move beyond narrow performance indicators and include qualitative evidence such as service</w:t>
      </w:r>
      <w:r w:rsidR="00E86613">
        <w:rPr>
          <w:rFonts w:ascii="Arial" w:hAnsi="Arial" w:cs="Arial"/>
          <w:sz w:val="22"/>
          <w:szCs w:val="22"/>
        </w:rPr>
        <w:t xml:space="preserve"> </w:t>
      </w:r>
      <w:r w:rsidRPr="007D7C27">
        <w:rPr>
          <w:rFonts w:ascii="Arial" w:hAnsi="Arial" w:cs="Arial"/>
          <w:sz w:val="22"/>
          <w:szCs w:val="22"/>
        </w:rPr>
        <w:t>user feedback and narrative accounts, enabling relational aspects of care to be valued and legitimised.</w:t>
      </w:r>
    </w:p>
    <w:p w14:paraId="404864B6" w14:textId="2DC4ED8F" w:rsidR="0086351E" w:rsidRDefault="00A44BBB" w:rsidP="00EE63EF">
      <w:pPr>
        <w:spacing w:line="360" w:lineRule="auto"/>
        <w:rPr>
          <w:rFonts w:ascii="Arial" w:hAnsi="Arial" w:cs="Arial"/>
          <w:sz w:val="22"/>
          <w:szCs w:val="22"/>
        </w:rPr>
      </w:pPr>
      <w:r>
        <w:rPr>
          <w:rFonts w:ascii="Arial" w:hAnsi="Arial" w:cs="Arial"/>
          <w:sz w:val="22"/>
          <w:szCs w:val="22"/>
        </w:rPr>
        <w:br w:type="page"/>
      </w:r>
    </w:p>
    <w:p w14:paraId="2C59790A" w14:textId="5A4750D2" w:rsidR="00F81C7A" w:rsidRDefault="00F81C7A" w:rsidP="00EE63EF">
      <w:pPr>
        <w:pStyle w:val="Heading1"/>
        <w:spacing w:line="360" w:lineRule="auto"/>
      </w:pPr>
      <w:bookmarkStart w:id="5" w:name="_Toc228232563"/>
      <w:r w:rsidRPr="00AB5278">
        <w:lastRenderedPageBreak/>
        <w:t>Conclusion</w:t>
      </w:r>
      <w:bookmarkEnd w:id="5"/>
    </w:p>
    <w:p w14:paraId="47D79984" w14:textId="6769725B" w:rsidR="001D3AF8" w:rsidRPr="001D3AF8" w:rsidRDefault="003623B2" w:rsidP="00EE63EF">
      <w:pPr>
        <w:spacing w:line="360" w:lineRule="auto"/>
        <w:rPr>
          <w:rFonts w:ascii="Arial" w:hAnsi="Arial" w:cs="Arial"/>
          <w:sz w:val="22"/>
          <w:szCs w:val="22"/>
        </w:rPr>
      </w:pPr>
      <w:r>
        <w:rPr>
          <w:rFonts w:ascii="Arial" w:hAnsi="Arial" w:cs="Arial"/>
          <w:sz w:val="22"/>
          <w:szCs w:val="22"/>
        </w:rPr>
        <w:t>I</w:t>
      </w:r>
      <w:r w:rsidR="001D3AF8" w:rsidRPr="001D3AF8">
        <w:rPr>
          <w:rFonts w:ascii="Arial" w:hAnsi="Arial" w:cs="Arial"/>
          <w:sz w:val="22"/>
          <w:szCs w:val="22"/>
        </w:rPr>
        <w:t xml:space="preserve">n conclusion, the Ethics of Care offers a </w:t>
      </w:r>
      <w:r>
        <w:rPr>
          <w:rFonts w:ascii="Arial" w:hAnsi="Arial" w:cs="Arial"/>
          <w:sz w:val="22"/>
          <w:szCs w:val="22"/>
        </w:rPr>
        <w:t>strong</w:t>
      </w:r>
      <w:r w:rsidR="001D3AF8" w:rsidRPr="001D3AF8">
        <w:rPr>
          <w:rFonts w:ascii="Arial" w:hAnsi="Arial" w:cs="Arial"/>
          <w:sz w:val="22"/>
          <w:szCs w:val="22"/>
        </w:rPr>
        <w:t xml:space="preserve"> and relevant ethical framework for person</w:t>
      </w:r>
      <w:r w:rsidR="00A44BBB">
        <w:rPr>
          <w:rFonts w:ascii="Arial" w:hAnsi="Arial" w:cs="Arial"/>
          <w:sz w:val="22"/>
          <w:szCs w:val="22"/>
        </w:rPr>
        <w:t xml:space="preserve"> </w:t>
      </w:r>
      <w:r w:rsidR="001D3AF8" w:rsidRPr="001D3AF8">
        <w:rPr>
          <w:rFonts w:ascii="Arial" w:hAnsi="Arial" w:cs="Arial"/>
          <w:sz w:val="22"/>
          <w:szCs w:val="22"/>
        </w:rPr>
        <w:t xml:space="preserve">centred health and social care practice by </w:t>
      </w:r>
      <w:r w:rsidR="003A35CD">
        <w:rPr>
          <w:rFonts w:ascii="Arial" w:hAnsi="Arial" w:cs="Arial"/>
          <w:sz w:val="22"/>
          <w:szCs w:val="22"/>
        </w:rPr>
        <w:t>fixing</w:t>
      </w:r>
      <w:r w:rsidR="001D3AF8" w:rsidRPr="001D3AF8">
        <w:rPr>
          <w:rFonts w:ascii="Arial" w:hAnsi="Arial" w:cs="Arial"/>
          <w:sz w:val="22"/>
          <w:szCs w:val="22"/>
        </w:rPr>
        <w:t xml:space="preserve"> relationships, interdependence, and social context. While challenges remain in </w:t>
      </w:r>
      <w:r w:rsidR="006D48D6">
        <w:rPr>
          <w:rFonts w:ascii="Arial" w:hAnsi="Arial" w:cs="Arial"/>
          <w:sz w:val="22"/>
          <w:szCs w:val="22"/>
        </w:rPr>
        <w:t>setting</w:t>
      </w:r>
      <w:r w:rsidR="001D3AF8" w:rsidRPr="001D3AF8">
        <w:rPr>
          <w:rFonts w:ascii="Arial" w:hAnsi="Arial" w:cs="Arial"/>
          <w:sz w:val="22"/>
          <w:szCs w:val="22"/>
        </w:rPr>
        <w:t xml:space="preserve"> care ethics consistently within contemporary systems</w:t>
      </w:r>
      <w:r>
        <w:rPr>
          <w:rFonts w:ascii="Arial" w:hAnsi="Arial" w:cs="Arial"/>
          <w:sz w:val="22"/>
          <w:szCs w:val="22"/>
        </w:rPr>
        <w:t xml:space="preserve"> </w:t>
      </w:r>
      <w:r w:rsidR="001D3AF8" w:rsidRPr="001D3AF8">
        <w:rPr>
          <w:rFonts w:ascii="Arial" w:hAnsi="Arial" w:cs="Arial"/>
          <w:sz w:val="22"/>
          <w:szCs w:val="22"/>
        </w:rPr>
        <w:t>particularly due to resource constraints and performance</w:t>
      </w:r>
      <w:r w:rsidR="00A44BBB">
        <w:rPr>
          <w:rFonts w:ascii="Arial" w:hAnsi="Arial" w:cs="Arial"/>
          <w:sz w:val="22"/>
          <w:szCs w:val="22"/>
        </w:rPr>
        <w:t xml:space="preserve"> </w:t>
      </w:r>
      <w:r w:rsidR="001D3AF8" w:rsidRPr="001D3AF8">
        <w:rPr>
          <w:rFonts w:ascii="Arial" w:hAnsi="Arial" w:cs="Arial"/>
          <w:sz w:val="22"/>
          <w:szCs w:val="22"/>
        </w:rPr>
        <w:t>driven cultures</w:t>
      </w:r>
      <w:r>
        <w:rPr>
          <w:rFonts w:ascii="Arial" w:hAnsi="Arial" w:cs="Arial"/>
          <w:sz w:val="22"/>
          <w:szCs w:val="22"/>
        </w:rPr>
        <w:t xml:space="preserve"> </w:t>
      </w:r>
      <w:r w:rsidR="001D3AF8" w:rsidRPr="001D3AF8">
        <w:rPr>
          <w:rFonts w:ascii="Arial" w:hAnsi="Arial" w:cs="Arial"/>
          <w:sz w:val="22"/>
          <w:szCs w:val="22"/>
        </w:rPr>
        <w:t>its focus on empathy, responsibility, and social justice makes it highly applicable to complex care environments. Integrating care ethics within professional education, organisational cultures, and policy frameworks has the potential to strengthen ethical decision</w:t>
      </w:r>
      <w:r w:rsidR="00A44BBB">
        <w:rPr>
          <w:rFonts w:ascii="Arial" w:hAnsi="Arial" w:cs="Arial"/>
          <w:sz w:val="22"/>
          <w:szCs w:val="22"/>
        </w:rPr>
        <w:t xml:space="preserve"> </w:t>
      </w:r>
      <w:r w:rsidR="001D3AF8" w:rsidRPr="001D3AF8">
        <w:rPr>
          <w:rFonts w:ascii="Arial" w:hAnsi="Arial" w:cs="Arial"/>
          <w:sz w:val="22"/>
          <w:szCs w:val="22"/>
        </w:rPr>
        <w:t>making and promote more humane, responsive, and person</w:t>
      </w:r>
      <w:r w:rsidR="00EF0823">
        <w:rPr>
          <w:rFonts w:ascii="Arial" w:hAnsi="Arial" w:cs="Arial"/>
          <w:sz w:val="22"/>
          <w:szCs w:val="22"/>
        </w:rPr>
        <w:t xml:space="preserve"> </w:t>
      </w:r>
      <w:r w:rsidR="001D3AF8" w:rsidRPr="001D3AF8">
        <w:rPr>
          <w:rFonts w:ascii="Arial" w:hAnsi="Arial" w:cs="Arial"/>
          <w:sz w:val="22"/>
          <w:szCs w:val="22"/>
        </w:rPr>
        <w:t>centred care.</w:t>
      </w:r>
    </w:p>
    <w:p w14:paraId="5E74E684" w14:textId="77777777" w:rsidR="001D3AF8" w:rsidRPr="00EA1721" w:rsidRDefault="001D3AF8" w:rsidP="00EA1721">
      <w:pPr>
        <w:rPr>
          <w:rFonts w:ascii="Arial" w:hAnsi="Arial" w:cs="Arial"/>
          <w:b/>
          <w:bCs/>
          <w:sz w:val="22"/>
          <w:szCs w:val="22"/>
        </w:rPr>
      </w:pPr>
    </w:p>
    <w:p w14:paraId="75260984" w14:textId="77777777" w:rsidR="007815CA" w:rsidRDefault="007815CA" w:rsidP="007815CA">
      <w:pPr>
        <w:rPr>
          <w:rFonts w:ascii="Arial" w:hAnsi="Arial" w:cs="Arial"/>
          <w:sz w:val="22"/>
          <w:szCs w:val="22"/>
        </w:rPr>
      </w:pPr>
    </w:p>
    <w:p w14:paraId="7E8EF02B" w14:textId="77777777" w:rsidR="00EF0823" w:rsidRDefault="00EF0823">
      <w:r>
        <w:br w:type="page"/>
      </w:r>
    </w:p>
    <w:p w14:paraId="5E2FC4F3" w14:textId="5354FD86" w:rsidR="00F81C7A" w:rsidRPr="007815CA" w:rsidRDefault="00F81C7A" w:rsidP="00EF0823">
      <w:pPr>
        <w:pStyle w:val="Heading1"/>
        <w:rPr>
          <w:b/>
          <w:bCs/>
        </w:rPr>
      </w:pPr>
      <w:bookmarkStart w:id="6" w:name="_Toc228232564"/>
      <w:r>
        <w:lastRenderedPageBreak/>
        <w:t>References</w:t>
      </w:r>
      <w:bookmarkEnd w:id="6"/>
    </w:p>
    <w:p w14:paraId="310F7D65" w14:textId="77777777" w:rsidR="00FE3736" w:rsidRPr="00FE3736" w:rsidRDefault="00FE3736" w:rsidP="00FE3736">
      <w:r w:rsidRPr="00171703">
        <w:t>Banks, S.</w:t>
      </w:r>
      <w:r w:rsidRPr="00FE3736">
        <w:t xml:space="preserve"> (2012) </w:t>
      </w:r>
      <w:r w:rsidRPr="00FE3736">
        <w:rPr>
          <w:i/>
          <w:iCs/>
        </w:rPr>
        <w:t>Ethics and values in social work</w:t>
      </w:r>
      <w:r w:rsidRPr="00FE3736">
        <w:t>. 4th edn. Basingstoke: Palgrave Macmillan.</w:t>
      </w:r>
    </w:p>
    <w:p w14:paraId="3A4A5619" w14:textId="77777777" w:rsidR="00FE3736" w:rsidRPr="00FE3736" w:rsidRDefault="00FE3736" w:rsidP="00FE3736">
      <w:r w:rsidRPr="0025483C">
        <w:t>Beauchamp, T.L. and Childress, J.F.</w:t>
      </w:r>
      <w:r w:rsidRPr="00FE3736">
        <w:t xml:space="preserve"> (2019) </w:t>
      </w:r>
      <w:r w:rsidRPr="00FE3736">
        <w:rPr>
          <w:i/>
          <w:iCs/>
        </w:rPr>
        <w:t>Principles of biomedical ethics</w:t>
      </w:r>
      <w:r w:rsidRPr="00FE3736">
        <w:t>. 8th edn. Oxford: Oxford University Press.</w:t>
      </w:r>
    </w:p>
    <w:p w14:paraId="50D5BEB8" w14:textId="77777777" w:rsidR="00FE3736" w:rsidRPr="00FE3736" w:rsidRDefault="00FE3736" w:rsidP="00FE3736">
      <w:r w:rsidRPr="0025483C">
        <w:t>Department of Health and Social Care</w:t>
      </w:r>
      <w:r w:rsidRPr="00FE3736">
        <w:t xml:space="preserve"> (2021) </w:t>
      </w:r>
      <w:r w:rsidRPr="00FE3736">
        <w:rPr>
          <w:i/>
          <w:iCs/>
        </w:rPr>
        <w:t>People at the heart of care: adult social care reform white paper</w:t>
      </w:r>
      <w:r w:rsidRPr="00FE3736">
        <w:t>. London: DHSC. Available at: https://www.gov.uk/government/publications/people-at-the-heart-of-care-adult-social-care-reform-white-paper (Accessed: 27 April 2026).</w:t>
      </w:r>
    </w:p>
    <w:p w14:paraId="3302772E" w14:textId="77777777" w:rsidR="00FE3736" w:rsidRDefault="00FE3736" w:rsidP="00FE3736">
      <w:r w:rsidRPr="00EC050A">
        <w:t>Gastmans, C.</w:t>
      </w:r>
      <w:r w:rsidRPr="00FE3736">
        <w:t xml:space="preserve"> (2013) ‘Care as a moral attitude in nursing’, </w:t>
      </w:r>
      <w:r w:rsidRPr="00FE3736">
        <w:rPr>
          <w:i/>
          <w:iCs/>
        </w:rPr>
        <w:t>Nursing Ethics</w:t>
      </w:r>
      <w:r w:rsidRPr="00FE3736">
        <w:t>, 20(3), pp. 257–273. Available at: https://doi.org/10.1177/0969733012473774 (Accessed: 27 April 2026).</w:t>
      </w:r>
    </w:p>
    <w:p w14:paraId="72BFA80E" w14:textId="3D9F0C4F" w:rsidR="00D117FB" w:rsidRPr="00EC050A" w:rsidRDefault="00D117FB" w:rsidP="00FE3736">
      <w:r w:rsidRPr="0048164D">
        <w:t xml:space="preserve">Gallagher, A. (2024) ‘Care ethics and nursing practice’, in </w:t>
      </w:r>
      <w:r w:rsidRPr="0048164D">
        <w:rPr>
          <w:i/>
          <w:iCs/>
        </w:rPr>
        <w:t>Key Concepts and Issues in Nursing Ethics</w:t>
      </w:r>
      <w:r w:rsidRPr="0048164D">
        <w:t xml:space="preserve">. Springer. Available at: https://link.springer.com/chapter/10.1007/978-3-031-54108-7_10 </w:t>
      </w:r>
      <w:r w:rsidRPr="0048164D">
        <w:br/>
      </w:r>
    </w:p>
    <w:p w14:paraId="00A2ED7E" w14:textId="77777777" w:rsidR="00FE3736" w:rsidRPr="00FE3736" w:rsidRDefault="00FE3736" w:rsidP="00FE3736">
      <w:r w:rsidRPr="00EC050A">
        <w:t>Giannetta, N., Villa, G., Pennestrì, F., Sala, R., Mordacci, R. and Manara, D.F.</w:t>
      </w:r>
      <w:r w:rsidRPr="00FE3736">
        <w:t xml:space="preserve"> (2021) ‘Ethical problems and moral distress in primary care: a scoping review’, </w:t>
      </w:r>
      <w:r w:rsidRPr="00FE3736">
        <w:rPr>
          <w:i/>
          <w:iCs/>
        </w:rPr>
        <w:t>Nursing Ethics</w:t>
      </w:r>
      <w:r w:rsidRPr="00FE3736">
        <w:t>, 28(6), pp. 834–848. Available at: https://doi.org/10.1177/0969733020944453 (Accessed: 27 April 2026).</w:t>
      </w:r>
    </w:p>
    <w:p w14:paraId="649112EE" w14:textId="34E93797" w:rsidR="00760750" w:rsidRPr="00FE3736" w:rsidRDefault="00FE3736" w:rsidP="00FE3736">
      <w:r w:rsidRPr="0082241B">
        <w:t>Gilligan, C.</w:t>
      </w:r>
      <w:r w:rsidRPr="00FE3736">
        <w:t xml:space="preserve"> (1982) </w:t>
      </w:r>
      <w:r w:rsidRPr="00FE3736">
        <w:rPr>
          <w:i/>
          <w:iCs/>
        </w:rPr>
        <w:t>In a different voice: psychological theory and women’s development</w:t>
      </w:r>
      <w:r w:rsidRPr="00FE3736">
        <w:t>. Cambridge, MA: Harvard University Press.</w:t>
      </w:r>
    </w:p>
    <w:p w14:paraId="3EF1FD30" w14:textId="77777777" w:rsidR="00FE3736" w:rsidRPr="00FE3736" w:rsidRDefault="00FE3736" w:rsidP="00FE3736">
      <w:r w:rsidRPr="0082241B">
        <w:t>Held, V.</w:t>
      </w:r>
      <w:r w:rsidRPr="00FE3736">
        <w:t xml:space="preserve"> (2006) </w:t>
      </w:r>
      <w:r w:rsidRPr="00FE3736">
        <w:rPr>
          <w:i/>
          <w:iCs/>
        </w:rPr>
        <w:t>The ethics of care: personal, political, and global</w:t>
      </w:r>
      <w:r w:rsidRPr="00FE3736">
        <w:t>. Oxford: Oxford University Press.</w:t>
      </w:r>
    </w:p>
    <w:p w14:paraId="648ADE34" w14:textId="77777777" w:rsidR="00FE3736" w:rsidRPr="00FE3736" w:rsidRDefault="00FE3736" w:rsidP="00FE3736">
      <w:r w:rsidRPr="0082241B">
        <w:t>HM Government</w:t>
      </w:r>
      <w:r w:rsidRPr="00FE3736">
        <w:t xml:space="preserve"> (2014) </w:t>
      </w:r>
      <w:r w:rsidRPr="00FE3736">
        <w:rPr>
          <w:i/>
          <w:iCs/>
        </w:rPr>
        <w:t>Care Act 2014</w:t>
      </w:r>
      <w:r w:rsidRPr="00FE3736">
        <w:t>. London: The Stationery Office. Available at: https://www.legislation.gov.uk/ukpga/2014/23/contents/enacted (Accessed: 27 April 2026).</w:t>
      </w:r>
    </w:p>
    <w:p w14:paraId="1D651D26" w14:textId="7D02BE22" w:rsidR="00A90385" w:rsidRDefault="00A90385" w:rsidP="00A90385">
      <w:r w:rsidRPr="0048164D">
        <w:t xml:space="preserve">Internet Encyclopedia of Philosophy (2026) </w:t>
      </w:r>
      <w:r w:rsidRPr="0048164D">
        <w:rPr>
          <w:i/>
          <w:iCs/>
        </w:rPr>
        <w:t>Care Ethics</w:t>
      </w:r>
      <w:r w:rsidRPr="0048164D">
        <w:t xml:space="preserve">. Available at: </w:t>
      </w:r>
      <w:hyperlink r:id="rId6" w:history="1">
        <w:r w:rsidRPr="00C229F9">
          <w:rPr>
            <w:rStyle w:val="Hyperlink"/>
          </w:rPr>
          <w:t>https://iep.utm.edu/care-ethics/</w:t>
        </w:r>
      </w:hyperlink>
      <w:r w:rsidR="00D34AB8">
        <w:t xml:space="preserve"> (Access 27 April 2026)</w:t>
      </w:r>
    </w:p>
    <w:p w14:paraId="417E17D5" w14:textId="77777777" w:rsidR="00A90385" w:rsidRPr="00FE3736" w:rsidRDefault="00A90385" w:rsidP="00FE3736"/>
    <w:p w14:paraId="1E5B722A" w14:textId="77777777" w:rsidR="00FE3736" w:rsidRPr="00FE3736" w:rsidRDefault="00FE3736" w:rsidP="00FE3736">
      <w:r w:rsidRPr="00C32C6D">
        <w:t>NHS England</w:t>
      </w:r>
      <w:r w:rsidRPr="00FE3736">
        <w:t xml:space="preserve"> (2019) </w:t>
      </w:r>
      <w:r w:rsidRPr="00FE3736">
        <w:rPr>
          <w:i/>
          <w:iCs/>
        </w:rPr>
        <w:t>The NHS long term plan</w:t>
      </w:r>
      <w:r w:rsidRPr="00FE3736">
        <w:t>. London: NHS England. Available at: https://www.longtermplan.nhs.uk (Accessed: 27 April 2026).</w:t>
      </w:r>
    </w:p>
    <w:p w14:paraId="3537715A" w14:textId="77777777" w:rsidR="00FE3736" w:rsidRPr="00FE3736" w:rsidRDefault="00FE3736" w:rsidP="00FE3736">
      <w:r w:rsidRPr="001A1711">
        <w:lastRenderedPageBreak/>
        <w:t>NMC (Nursing and Midwifery Council)</w:t>
      </w:r>
      <w:r w:rsidRPr="00FE3736">
        <w:t xml:space="preserve"> (2018) </w:t>
      </w:r>
      <w:r w:rsidRPr="00FE3736">
        <w:rPr>
          <w:i/>
          <w:iCs/>
        </w:rPr>
        <w:t>The Code: professional standards of practice and behaviour for nurses, midwives and nursing associates</w:t>
      </w:r>
      <w:r w:rsidRPr="00FE3736">
        <w:t>. London: NMC. Available at: https://www.nmc.org.uk/standards/code/ (Accessed: 27 April 2026).</w:t>
      </w:r>
    </w:p>
    <w:p w14:paraId="7204D05F" w14:textId="1AB0CDDD" w:rsidR="00A7445E" w:rsidRPr="00FE3736" w:rsidRDefault="00FE3736" w:rsidP="00FE3736">
      <w:r w:rsidRPr="001A1711">
        <w:t>Noddings, N.</w:t>
      </w:r>
      <w:r w:rsidRPr="00FE3736">
        <w:t xml:space="preserve"> (1984) </w:t>
      </w:r>
      <w:r w:rsidRPr="00FE3736">
        <w:rPr>
          <w:i/>
          <w:iCs/>
        </w:rPr>
        <w:t>Caring: a feminine approach to ethics and moral education</w:t>
      </w:r>
      <w:r w:rsidRPr="00FE3736">
        <w:t>. Berkeley: University of California Press.</w:t>
      </w:r>
    </w:p>
    <w:p w14:paraId="608E25E8" w14:textId="77777777" w:rsidR="00FE3736" w:rsidRPr="00FE3736" w:rsidRDefault="00FE3736" w:rsidP="00FE3736">
      <w:r w:rsidRPr="001A1711">
        <w:t>Sevenhuijsen, S.</w:t>
      </w:r>
      <w:r w:rsidRPr="00FE3736">
        <w:t xml:space="preserve"> (1998) </w:t>
      </w:r>
      <w:r w:rsidRPr="00FE3736">
        <w:rPr>
          <w:i/>
          <w:iCs/>
        </w:rPr>
        <w:t>Citizenship and the ethics of care: feminist considerations on justice, morality and politics</w:t>
      </w:r>
      <w:r w:rsidRPr="00FE3736">
        <w:t>. London: Routledge.</w:t>
      </w:r>
    </w:p>
    <w:p w14:paraId="48512E97" w14:textId="77777777" w:rsidR="00FE3736" w:rsidRPr="00FE3736" w:rsidRDefault="00FE3736" w:rsidP="00FE3736">
      <w:r w:rsidRPr="00C3162B">
        <w:t>Tronto, J.C.</w:t>
      </w:r>
      <w:r w:rsidRPr="00FE3736">
        <w:t xml:space="preserve"> (1993) </w:t>
      </w:r>
      <w:r w:rsidRPr="00FE3736">
        <w:rPr>
          <w:i/>
          <w:iCs/>
        </w:rPr>
        <w:t>Moral boundaries: a political argument for an ethic of care</w:t>
      </w:r>
      <w:r w:rsidRPr="00FE3736">
        <w:t>. New York: Routledge.</w:t>
      </w:r>
    </w:p>
    <w:p w14:paraId="6D75339D" w14:textId="77777777" w:rsidR="00FE3736" w:rsidRPr="00FE3736" w:rsidRDefault="00FE3736" w:rsidP="00FE3736">
      <w:r w:rsidRPr="00C3162B">
        <w:t>Tronto, J.C.</w:t>
      </w:r>
      <w:r w:rsidRPr="00FE3736">
        <w:t xml:space="preserve"> (2013) </w:t>
      </w:r>
      <w:r w:rsidRPr="00FE3736">
        <w:rPr>
          <w:i/>
          <w:iCs/>
        </w:rPr>
        <w:t>Caring democracy: markets, equality, and justice</w:t>
      </w:r>
      <w:r w:rsidRPr="00FE3736">
        <w:t>. New York: New York University Press.</w:t>
      </w:r>
    </w:p>
    <w:p w14:paraId="33E8FC6D" w14:textId="77777777" w:rsidR="004A1950" w:rsidRPr="0048164D" w:rsidRDefault="004A1950" w:rsidP="0048164D"/>
    <w:p w14:paraId="2D6CD291" w14:textId="77777777" w:rsidR="00FB59CB" w:rsidRDefault="00FB59CB"/>
    <w:sectPr w:rsidR="00FB59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C7A"/>
    <w:rsid w:val="000113DB"/>
    <w:rsid w:val="00012895"/>
    <w:rsid w:val="00033ACE"/>
    <w:rsid w:val="000514BA"/>
    <w:rsid w:val="00056BA3"/>
    <w:rsid w:val="00063502"/>
    <w:rsid w:val="000753BF"/>
    <w:rsid w:val="00081745"/>
    <w:rsid w:val="0008665C"/>
    <w:rsid w:val="000A3275"/>
    <w:rsid w:val="000A5665"/>
    <w:rsid w:val="000E2DC9"/>
    <w:rsid w:val="0010121C"/>
    <w:rsid w:val="00103048"/>
    <w:rsid w:val="001229AD"/>
    <w:rsid w:val="00122B67"/>
    <w:rsid w:val="00130C2A"/>
    <w:rsid w:val="001435DF"/>
    <w:rsid w:val="00150BEA"/>
    <w:rsid w:val="00150D08"/>
    <w:rsid w:val="00153864"/>
    <w:rsid w:val="0015450C"/>
    <w:rsid w:val="001649C2"/>
    <w:rsid w:val="0017160A"/>
    <w:rsid w:val="00171703"/>
    <w:rsid w:val="00177424"/>
    <w:rsid w:val="00195DEA"/>
    <w:rsid w:val="001A1711"/>
    <w:rsid w:val="001A31A8"/>
    <w:rsid w:val="001A4A74"/>
    <w:rsid w:val="001A5453"/>
    <w:rsid w:val="001B2671"/>
    <w:rsid w:val="001D3AF8"/>
    <w:rsid w:val="001E75D3"/>
    <w:rsid w:val="001F438C"/>
    <w:rsid w:val="002023F2"/>
    <w:rsid w:val="002078AE"/>
    <w:rsid w:val="002240B8"/>
    <w:rsid w:val="00235387"/>
    <w:rsid w:val="00244827"/>
    <w:rsid w:val="0025401A"/>
    <w:rsid w:val="0025483C"/>
    <w:rsid w:val="002558F8"/>
    <w:rsid w:val="00260C6F"/>
    <w:rsid w:val="00286118"/>
    <w:rsid w:val="00295BF1"/>
    <w:rsid w:val="002C41AA"/>
    <w:rsid w:val="002D19E6"/>
    <w:rsid w:val="002D21D2"/>
    <w:rsid w:val="003217A1"/>
    <w:rsid w:val="00357F1B"/>
    <w:rsid w:val="003623B2"/>
    <w:rsid w:val="003630FD"/>
    <w:rsid w:val="00381F35"/>
    <w:rsid w:val="00384593"/>
    <w:rsid w:val="00387D59"/>
    <w:rsid w:val="003A13E2"/>
    <w:rsid w:val="003A35CD"/>
    <w:rsid w:val="003B3850"/>
    <w:rsid w:val="003B5D56"/>
    <w:rsid w:val="003C0068"/>
    <w:rsid w:val="003D36F2"/>
    <w:rsid w:val="0041252F"/>
    <w:rsid w:val="0042781D"/>
    <w:rsid w:val="0044426B"/>
    <w:rsid w:val="00452818"/>
    <w:rsid w:val="00474E0E"/>
    <w:rsid w:val="0048164D"/>
    <w:rsid w:val="004824B3"/>
    <w:rsid w:val="0049072A"/>
    <w:rsid w:val="00494CF7"/>
    <w:rsid w:val="004A1950"/>
    <w:rsid w:val="004A1D41"/>
    <w:rsid w:val="004C7F3A"/>
    <w:rsid w:val="004D32A8"/>
    <w:rsid w:val="004D6E4E"/>
    <w:rsid w:val="004E6D51"/>
    <w:rsid w:val="004F1165"/>
    <w:rsid w:val="004F3FB4"/>
    <w:rsid w:val="00503DA0"/>
    <w:rsid w:val="005111D0"/>
    <w:rsid w:val="00515786"/>
    <w:rsid w:val="00517913"/>
    <w:rsid w:val="0052129D"/>
    <w:rsid w:val="00546632"/>
    <w:rsid w:val="0055497F"/>
    <w:rsid w:val="005649BF"/>
    <w:rsid w:val="005815C5"/>
    <w:rsid w:val="0059292A"/>
    <w:rsid w:val="00594F7B"/>
    <w:rsid w:val="005A5A12"/>
    <w:rsid w:val="005D275E"/>
    <w:rsid w:val="005D6B68"/>
    <w:rsid w:val="005E15F9"/>
    <w:rsid w:val="005E26D7"/>
    <w:rsid w:val="005F3ABD"/>
    <w:rsid w:val="00601560"/>
    <w:rsid w:val="00611B67"/>
    <w:rsid w:val="00614BE4"/>
    <w:rsid w:val="00634FE7"/>
    <w:rsid w:val="00642659"/>
    <w:rsid w:val="00644DE5"/>
    <w:rsid w:val="00663817"/>
    <w:rsid w:val="00663BDB"/>
    <w:rsid w:val="0066687E"/>
    <w:rsid w:val="0067368C"/>
    <w:rsid w:val="006B5457"/>
    <w:rsid w:val="006C236E"/>
    <w:rsid w:val="006D48D6"/>
    <w:rsid w:val="006E4F3B"/>
    <w:rsid w:val="006F7D05"/>
    <w:rsid w:val="007132DE"/>
    <w:rsid w:val="00736473"/>
    <w:rsid w:val="00743AF2"/>
    <w:rsid w:val="00760750"/>
    <w:rsid w:val="00762E07"/>
    <w:rsid w:val="00767C2C"/>
    <w:rsid w:val="007752A5"/>
    <w:rsid w:val="00780109"/>
    <w:rsid w:val="007815CA"/>
    <w:rsid w:val="007A4829"/>
    <w:rsid w:val="007B36E4"/>
    <w:rsid w:val="007B4B34"/>
    <w:rsid w:val="007C0934"/>
    <w:rsid w:val="007C0A10"/>
    <w:rsid w:val="007C4CA5"/>
    <w:rsid w:val="007D7C27"/>
    <w:rsid w:val="007E1B24"/>
    <w:rsid w:val="00807336"/>
    <w:rsid w:val="00817EA0"/>
    <w:rsid w:val="0082241B"/>
    <w:rsid w:val="008233DD"/>
    <w:rsid w:val="00823BD7"/>
    <w:rsid w:val="00855659"/>
    <w:rsid w:val="0086351E"/>
    <w:rsid w:val="0088041D"/>
    <w:rsid w:val="00881254"/>
    <w:rsid w:val="008A1BA0"/>
    <w:rsid w:val="008A7455"/>
    <w:rsid w:val="008B1AA7"/>
    <w:rsid w:val="008C2D29"/>
    <w:rsid w:val="008C583F"/>
    <w:rsid w:val="008E7418"/>
    <w:rsid w:val="008E78E0"/>
    <w:rsid w:val="008F70C4"/>
    <w:rsid w:val="008F7C5E"/>
    <w:rsid w:val="00911FB5"/>
    <w:rsid w:val="00913718"/>
    <w:rsid w:val="00917B28"/>
    <w:rsid w:val="0092532B"/>
    <w:rsid w:val="009279DC"/>
    <w:rsid w:val="00963D16"/>
    <w:rsid w:val="009741C4"/>
    <w:rsid w:val="00981CA6"/>
    <w:rsid w:val="00996B21"/>
    <w:rsid w:val="009B5DED"/>
    <w:rsid w:val="009D32F0"/>
    <w:rsid w:val="009D57E1"/>
    <w:rsid w:val="009F19C9"/>
    <w:rsid w:val="009F4D1E"/>
    <w:rsid w:val="00A031F4"/>
    <w:rsid w:val="00A0733B"/>
    <w:rsid w:val="00A10E58"/>
    <w:rsid w:val="00A44BBB"/>
    <w:rsid w:val="00A46CC9"/>
    <w:rsid w:val="00A67971"/>
    <w:rsid w:val="00A7445E"/>
    <w:rsid w:val="00A749EF"/>
    <w:rsid w:val="00A8773E"/>
    <w:rsid w:val="00A90385"/>
    <w:rsid w:val="00A937A1"/>
    <w:rsid w:val="00A9713D"/>
    <w:rsid w:val="00A975C7"/>
    <w:rsid w:val="00A9785A"/>
    <w:rsid w:val="00AB33CB"/>
    <w:rsid w:val="00AB475C"/>
    <w:rsid w:val="00AB5278"/>
    <w:rsid w:val="00AC2BF7"/>
    <w:rsid w:val="00AE24E6"/>
    <w:rsid w:val="00B01E1E"/>
    <w:rsid w:val="00B03B8D"/>
    <w:rsid w:val="00B1486B"/>
    <w:rsid w:val="00B16F8A"/>
    <w:rsid w:val="00B250B8"/>
    <w:rsid w:val="00B316E0"/>
    <w:rsid w:val="00B32364"/>
    <w:rsid w:val="00B461D2"/>
    <w:rsid w:val="00B729CE"/>
    <w:rsid w:val="00B7776A"/>
    <w:rsid w:val="00B843FE"/>
    <w:rsid w:val="00B9247D"/>
    <w:rsid w:val="00BA30A3"/>
    <w:rsid w:val="00BB6BBB"/>
    <w:rsid w:val="00BF7AF5"/>
    <w:rsid w:val="00C00B7C"/>
    <w:rsid w:val="00C3162B"/>
    <w:rsid w:val="00C32C6D"/>
    <w:rsid w:val="00C443C0"/>
    <w:rsid w:val="00C709CE"/>
    <w:rsid w:val="00C81233"/>
    <w:rsid w:val="00CA04F5"/>
    <w:rsid w:val="00CA2269"/>
    <w:rsid w:val="00CB02CE"/>
    <w:rsid w:val="00CC61A6"/>
    <w:rsid w:val="00CD0C11"/>
    <w:rsid w:val="00CD211C"/>
    <w:rsid w:val="00CE27C4"/>
    <w:rsid w:val="00CF1701"/>
    <w:rsid w:val="00D117FB"/>
    <w:rsid w:val="00D228F4"/>
    <w:rsid w:val="00D22AFF"/>
    <w:rsid w:val="00D22C21"/>
    <w:rsid w:val="00D330E0"/>
    <w:rsid w:val="00D34AB8"/>
    <w:rsid w:val="00D539F5"/>
    <w:rsid w:val="00D85D73"/>
    <w:rsid w:val="00D878B6"/>
    <w:rsid w:val="00DE39B8"/>
    <w:rsid w:val="00E0210B"/>
    <w:rsid w:val="00E06AA0"/>
    <w:rsid w:val="00E13164"/>
    <w:rsid w:val="00E1758B"/>
    <w:rsid w:val="00E4431C"/>
    <w:rsid w:val="00E46D03"/>
    <w:rsid w:val="00E678C8"/>
    <w:rsid w:val="00E72B22"/>
    <w:rsid w:val="00E74BF2"/>
    <w:rsid w:val="00E8042A"/>
    <w:rsid w:val="00E86613"/>
    <w:rsid w:val="00EA1721"/>
    <w:rsid w:val="00EB221C"/>
    <w:rsid w:val="00EB4D8C"/>
    <w:rsid w:val="00EC050A"/>
    <w:rsid w:val="00EC347A"/>
    <w:rsid w:val="00ED7DDC"/>
    <w:rsid w:val="00EE63EF"/>
    <w:rsid w:val="00EF0823"/>
    <w:rsid w:val="00EF1367"/>
    <w:rsid w:val="00EF26C1"/>
    <w:rsid w:val="00EF3B2C"/>
    <w:rsid w:val="00F018E6"/>
    <w:rsid w:val="00F242AC"/>
    <w:rsid w:val="00F373C0"/>
    <w:rsid w:val="00F51EE3"/>
    <w:rsid w:val="00F52F09"/>
    <w:rsid w:val="00F61CFC"/>
    <w:rsid w:val="00F73AB8"/>
    <w:rsid w:val="00F80EB1"/>
    <w:rsid w:val="00F81C7A"/>
    <w:rsid w:val="00F90CC1"/>
    <w:rsid w:val="00FA0902"/>
    <w:rsid w:val="00FB59CB"/>
    <w:rsid w:val="00FC503B"/>
    <w:rsid w:val="00FD4401"/>
    <w:rsid w:val="00FE202A"/>
    <w:rsid w:val="00FE3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63EB4"/>
  <w15:chartTrackingRefBased/>
  <w15:docId w15:val="{2EE63C80-C23C-4D91-A16F-D3AAA5758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C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C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C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C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C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C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C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C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C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C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C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C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C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C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C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C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C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C7A"/>
    <w:rPr>
      <w:rFonts w:eastAsiaTheme="majorEastAsia" w:cstheme="majorBidi"/>
      <w:color w:val="272727" w:themeColor="text1" w:themeTint="D8"/>
    </w:rPr>
  </w:style>
  <w:style w:type="paragraph" w:styleId="Title">
    <w:name w:val="Title"/>
    <w:basedOn w:val="Normal"/>
    <w:next w:val="Normal"/>
    <w:link w:val="TitleChar"/>
    <w:uiPriority w:val="10"/>
    <w:qFormat/>
    <w:rsid w:val="00F81C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C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C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C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C7A"/>
    <w:pPr>
      <w:spacing w:before="160"/>
      <w:jc w:val="center"/>
    </w:pPr>
    <w:rPr>
      <w:i/>
      <w:iCs/>
      <w:color w:val="404040" w:themeColor="text1" w:themeTint="BF"/>
    </w:rPr>
  </w:style>
  <w:style w:type="character" w:customStyle="1" w:styleId="QuoteChar">
    <w:name w:val="Quote Char"/>
    <w:basedOn w:val="DefaultParagraphFont"/>
    <w:link w:val="Quote"/>
    <w:uiPriority w:val="29"/>
    <w:rsid w:val="00F81C7A"/>
    <w:rPr>
      <w:i/>
      <w:iCs/>
      <w:color w:val="404040" w:themeColor="text1" w:themeTint="BF"/>
    </w:rPr>
  </w:style>
  <w:style w:type="paragraph" w:styleId="ListParagraph">
    <w:name w:val="List Paragraph"/>
    <w:basedOn w:val="Normal"/>
    <w:uiPriority w:val="34"/>
    <w:qFormat/>
    <w:rsid w:val="00F81C7A"/>
    <w:pPr>
      <w:ind w:left="720"/>
      <w:contextualSpacing/>
    </w:pPr>
  </w:style>
  <w:style w:type="character" w:styleId="IntenseEmphasis">
    <w:name w:val="Intense Emphasis"/>
    <w:basedOn w:val="DefaultParagraphFont"/>
    <w:uiPriority w:val="21"/>
    <w:qFormat/>
    <w:rsid w:val="00F81C7A"/>
    <w:rPr>
      <w:i/>
      <w:iCs/>
      <w:color w:val="0F4761" w:themeColor="accent1" w:themeShade="BF"/>
    </w:rPr>
  </w:style>
  <w:style w:type="paragraph" w:styleId="IntenseQuote">
    <w:name w:val="Intense Quote"/>
    <w:basedOn w:val="Normal"/>
    <w:next w:val="Normal"/>
    <w:link w:val="IntenseQuoteChar"/>
    <w:uiPriority w:val="30"/>
    <w:qFormat/>
    <w:rsid w:val="00F81C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C7A"/>
    <w:rPr>
      <w:i/>
      <w:iCs/>
      <w:color w:val="0F4761" w:themeColor="accent1" w:themeShade="BF"/>
    </w:rPr>
  </w:style>
  <w:style w:type="character" w:styleId="IntenseReference">
    <w:name w:val="Intense Reference"/>
    <w:basedOn w:val="DefaultParagraphFont"/>
    <w:uiPriority w:val="32"/>
    <w:qFormat/>
    <w:rsid w:val="00F81C7A"/>
    <w:rPr>
      <w:b/>
      <w:bCs/>
      <w:smallCaps/>
      <w:color w:val="0F4761" w:themeColor="accent1" w:themeShade="BF"/>
      <w:spacing w:val="5"/>
    </w:rPr>
  </w:style>
  <w:style w:type="character" w:styleId="Hyperlink">
    <w:name w:val="Hyperlink"/>
    <w:basedOn w:val="DefaultParagraphFont"/>
    <w:uiPriority w:val="99"/>
    <w:unhideWhenUsed/>
    <w:rsid w:val="00384593"/>
    <w:rPr>
      <w:color w:val="467886" w:themeColor="hyperlink"/>
      <w:u w:val="single"/>
    </w:rPr>
  </w:style>
  <w:style w:type="character" w:styleId="UnresolvedMention">
    <w:name w:val="Unresolved Mention"/>
    <w:basedOn w:val="DefaultParagraphFont"/>
    <w:uiPriority w:val="99"/>
    <w:semiHidden/>
    <w:unhideWhenUsed/>
    <w:rsid w:val="00384593"/>
    <w:rPr>
      <w:color w:val="605E5C"/>
      <w:shd w:val="clear" w:color="auto" w:fill="E1DFDD"/>
    </w:rPr>
  </w:style>
  <w:style w:type="character" w:styleId="FollowedHyperlink">
    <w:name w:val="FollowedHyperlink"/>
    <w:basedOn w:val="DefaultParagraphFont"/>
    <w:uiPriority w:val="99"/>
    <w:semiHidden/>
    <w:unhideWhenUsed/>
    <w:rsid w:val="00E1758B"/>
    <w:rPr>
      <w:color w:val="96607D" w:themeColor="followedHyperlink"/>
      <w:u w:val="single"/>
    </w:rPr>
  </w:style>
  <w:style w:type="paragraph" w:styleId="TOCHeading">
    <w:name w:val="TOC Heading"/>
    <w:basedOn w:val="Heading1"/>
    <w:next w:val="Normal"/>
    <w:uiPriority w:val="39"/>
    <w:unhideWhenUsed/>
    <w:qFormat/>
    <w:rsid w:val="00E1758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1758B"/>
    <w:pPr>
      <w:tabs>
        <w:tab w:val="right" w:leader="dot" w:pos="9016"/>
      </w:tabs>
      <w:spacing w:after="100"/>
    </w:pPr>
    <w:rPr>
      <w:rFonts w:ascii="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iep.utm.edu/care-ethics/"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93DDAA-D000-4E40-A215-E7596EF08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2517</Words>
  <Characters>14348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Lopez</dc:creator>
  <cp:keywords/>
  <dc:description/>
  <cp:lastModifiedBy>Erika Lopez</cp:lastModifiedBy>
  <cp:revision>222</cp:revision>
  <dcterms:created xsi:type="dcterms:W3CDTF">2026-04-10T20:54:00Z</dcterms:created>
  <dcterms:modified xsi:type="dcterms:W3CDTF">2026-04-28T12:28:00Z</dcterms:modified>
</cp:coreProperties>
</file>