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pPr>
      <w:r w:rsidDel="00000000" w:rsidR="00000000" w:rsidRPr="00000000">
        <w:rPr/>
        <w:drawing>
          <wp:inline distB="0" distT="0" distL="0" distR="0">
            <wp:extent cx="2676525" cy="10668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676525" cy="10668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80" w:lineRule="auto"/>
        <w:jc w:val="center"/>
        <w:rPr>
          <w:b w:val="1"/>
          <w:bCs w:val="1"/>
        </w:rPr>
      </w:pPr>
      <w:r w:rsidDel="00000000" w:rsidR="00000000" w:rsidRPr="00000000">
        <w:rPr>
          <w:b w:val="1"/>
          <w:bCs w:val="1"/>
          <w:rtl w:val="0"/>
        </w:rPr>
        <w:t xml:space="preserve">Programme: Master of Business Administration</w:t>
      </w:r>
    </w:p>
    <w:p w:rsidR="00000000" w:rsidDel="00000000" w:rsidP="00000000" w:rsidRDefault="00000000" w:rsidRPr="00000000" w14:paraId="00000003">
      <w:pPr>
        <w:spacing w:after="80" w:lineRule="auto"/>
        <w:jc w:val="center"/>
        <w:rPr>
          <w:b w:val="1"/>
          <w:bCs w:val="1"/>
        </w:rPr>
      </w:pPr>
      <w:r w:rsidDel="00000000" w:rsidR="00000000" w:rsidRPr="00000000">
        <w:rPr>
          <w:b w:val="1"/>
          <w:bCs w:val="1"/>
          <w:rtl w:val="0"/>
        </w:rPr>
        <w:t xml:space="preserve">Module Code: LCMB7003</w:t>
      </w:r>
    </w:p>
    <w:p w:rsidR="00000000" w:rsidDel="00000000" w:rsidP="00000000" w:rsidRDefault="00000000" w:rsidRPr="00000000" w14:paraId="00000004">
      <w:pPr>
        <w:spacing w:after="80" w:lineRule="auto"/>
        <w:jc w:val="center"/>
        <w:rPr>
          <w:b w:val="1"/>
          <w:bCs w:val="1"/>
        </w:rPr>
      </w:pPr>
      <w:r w:rsidDel="00000000" w:rsidR="00000000" w:rsidRPr="00000000">
        <w:rPr>
          <w:b w:val="1"/>
          <w:bCs w:val="1"/>
          <w:rtl w:val="0"/>
        </w:rPr>
        <w:t xml:space="preserve">Module:  Strategic Management</w:t>
      </w:r>
    </w:p>
    <w:p w:rsidR="00000000" w:rsidDel="00000000" w:rsidP="00000000" w:rsidRDefault="00000000" w:rsidRPr="00000000" w14:paraId="00000005">
      <w:pPr>
        <w:spacing w:after="80" w:lineRule="auto"/>
        <w:jc w:val="center"/>
        <w:rPr>
          <w:b w:val="1"/>
          <w:bCs w:val="1"/>
        </w:rPr>
      </w:pPr>
      <w:r w:rsidDel="00000000" w:rsidR="00000000" w:rsidRPr="00000000">
        <w:rPr>
          <w:b w:val="1"/>
          <w:bCs w:val="1"/>
          <w:rtl w:val="0"/>
        </w:rPr>
        <w:t xml:space="preserve">Lecturer: Andry Rakotovololona</w:t>
      </w:r>
    </w:p>
    <w:p w:rsidR="00000000" w:rsidDel="00000000" w:rsidP="00000000" w:rsidRDefault="00000000" w:rsidRPr="00000000" w14:paraId="00000006">
      <w:pPr>
        <w:spacing w:after="80" w:lineRule="auto"/>
        <w:jc w:val="center"/>
        <w:rPr>
          <w:b w:val="1"/>
          <w:bCs w:val="1"/>
        </w:rPr>
      </w:pPr>
      <w:r w:rsidDel="00000000" w:rsidR="00000000" w:rsidRPr="00000000">
        <w:rPr>
          <w:b w:val="1"/>
          <w:bCs w:val="1"/>
          <w:rtl w:val="0"/>
        </w:rPr>
        <w:t xml:space="preserve">Assignment Title: Assessment component - Individual report</w:t>
      </w:r>
    </w:p>
    <w:p w:rsidR="00000000" w:rsidDel="00000000" w:rsidP="00000000" w:rsidRDefault="00000000" w:rsidRPr="00000000" w14:paraId="00000007">
      <w:pPr>
        <w:spacing w:after="80" w:lineRule="auto"/>
        <w:jc w:val="center"/>
        <w:rPr>
          <w:b w:val="1"/>
          <w:bCs w:val="1"/>
        </w:rPr>
      </w:pPr>
      <w:r w:rsidDel="00000000" w:rsidR="00000000" w:rsidRPr="00000000">
        <w:rPr>
          <w:b w:val="1"/>
          <w:bCs w:val="1"/>
          <w:rtl w:val="0"/>
        </w:rPr>
        <w:t xml:space="preserve">Student Name: Sorbane Das Toma</w:t>
      </w:r>
    </w:p>
    <w:p w:rsidR="00000000" w:rsidDel="00000000" w:rsidP="00000000" w:rsidRDefault="00000000" w:rsidRPr="00000000" w14:paraId="00000008">
      <w:pPr>
        <w:spacing w:after="80" w:lineRule="auto"/>
        <w:jc w:val="center"/>
        <w:rPr>
          <w:b w:val="1"/>
          <w:bCs w:val="1"/>
        </w:rPr>
      </w:pPr>
      <w:r w:rsidDel="00000000" w:rsidR="00000000" w:rsidRPr="00000000">
        <w:rPr>
          <w:b w:val="1"/>
          <w:bCs w:val="1"/>
          <w:rtl w:val="0"/>
        </w:rPr>
        <w:t xml:space="preserve">Student ID: 2437417</w:t>
      </w:r>
    </w:p>
    <w:p w:rsidR="00000000" w:rsidDel="00000000" w:rsidP="00000000" w:rsidRDefault="00000000" w:rsidRPr="00000000" w14:paraId="00000009">
      <w:pPr>
        <w:spacing w:line="259" w:lineRule="auto"/>
        <w:jc w:val="center"/>
        <w:rPr>
          <w:sz w:val="32"/>
          <w:szCs w:val="32"/>
        </w:rPr>
      </w:pPr>
      <w:r w:rsidDel="00000000" w:rsidR="00000000" w:rsidRPr="00000000">
        <w:rPr>
          <w:b w:val="1"/>
          <w:bCs w:val="1"/>
          <w:rtl w:val="0"/>
        </w:rPr>
        <w:t xml:space="preserve">Word Count: 5387</w:t>
      </w:r>
      <w:r w:rsidDel="00000000" w:rsidR="00000000" w:rsidRPr="00000000">
        <w:br w:type="page"/>
      </w:r>
      <w:r w:rsidDel="00000000" w:rsidR="00000000" w:rsidRPr="00000000">
        <w:rPr>
          <w:rtl w:val="0"/>
        </w:rPr>
      </w:r>
    </w:p>
    <w:p w:rsidR="00000000" w:rsidDel="00000000" w:rsidP="00000000" w:rsidRDefault="00000000" w:rsidRPr="00000000" w14:paraId="0000000A">
      <w:pPr>
        <w:spacing w:line="259" w:lineRule="auto"/>
        <w:jc w:val="left"/>
        <w:rPr>
          <w:sz w:val="32"/>
          <w:szCs w:val="32"/>
        </w:rPr>
      </w:pPr>
      <w:r w:rsidDel="00000000" w:rsidR="00000000" w:rsidRPr="00000000">
        <w:rPr>
          <w:rtl w:val="0"/>
        </w:rPr>
        <w:t xml:space="preserve">Table of Contents</w:t>
      </w:r>
      <w:r w:rsidDel="00000000" w:rsidR="00000000" w:rsidRPr="00000000">
        <w:rPr>
          <w:rtl w:val="0"/>
        </w:rPr>
      </w:r>
    </w:p>
    <w:sdt>
      <w:sdtPr>
        <w:id w:val="-1674319007"/>
        <w:docPartObj>
          <w:docPartGallery w:val="Table of Contents"/>
          <w:docPartUnique w:val="1"/>
        </w:docPartObj>
      </w:sdtPr>
      <w:sdtContent>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bookmarkStart w:colFirst="0" w:colLast="0" w:name="_6ntctcprourr" w:id="0"/>
          <w:bookmarkEnd w:id="0"/>
          <w:r w:rsidDel="00000000" w:rsidR="00000000" w:rsidRPr="00000000">
            <w:fldChar w:fldCharType="begin"/>
            <w:instrText xml:space="preserve"> TOC \h \u \z \t "Heading 1,1,Heading 2,2,Heading 3,3,"</w:instrText>
            <w:fldChar w:fldCharType="separate"/>
          </w:r>
          <w:hyperlink w:anchor="_tg5fyt8pbbp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fldChar w:fldCharType="begin"/>
            <w:instrText xml:space="preserve"> HYPERLINK \l "_tg5fyt8pbbpk" </w:instrText>
            <w:fldChar w:fldCharType="separate"/>
          </w:r>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end"/>
          </w:r>
          <w:hyperlink w:anchor="_f1iw65jtdne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Significance of the Investigation</w:t>
              <w:tab/>
              <w:t xml:space="preserve">4</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2124w7qd9e66">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Research Aim, Objective and Questions</w:t>
              <w:tab/>
              <w:t xml:space="preserve">4</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a4u4bdnlwpc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Literature review and theoretical foundations.</w:t>
              <w:tab/>
              <w:t xml:space="preserve">5</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molg441gyt4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Overview of Marks &amp; Spencer</w:t>
              <w:tab/>
              <w:t xml:space="preserve">6</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dqq141j9h21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External and Internal Environment Analysis</w:t>
              <w:tab/>
              <w:t xml:space="preserve">8</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q3yoloteud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PESTEL Analysis</w:t>
              <w:tab/>
              <w:t xml:space="preserve">8</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9apqi7kf3hg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Industry Analysis</w:t>
              <w:tab/>
              <w:t xml:space="preserve">11</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2j1juq6ywhy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Porters Five Forces</w:t>
              <w:tab/>
              <w:t xml:space="preserve">11</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1cuvdumlw1q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Resource-Based View (RBV)</w:t>
              <w:tab/>
              <w:t xml:space="preserve">12</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32c51jav7m1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Value Chain Analysis</w:t>
              <w:tab/>
              <w:t xml:space="preserve">13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j7cgesqnjnb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Financial and Performance Analysis</w:t>
              <w:tab/>
              <w:t xml:space="preserve">14</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sji1ep2duc5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SWOT Analysis</w:t>
              <w:tab/>
              <w:t xml:space="preserve">14</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forp8b9yk0f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CSR and Sustainability Objectives</w:t>
              <w:tab/>
              <w:t xml:space="preserve">17</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z31l0xiinfe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Broad Understanding of Organisation - Balanced Scorecard</w:t>
              <w:tab/>
              <w:t xml:space="preserve">18</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ijn25gdje39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Financial Perspective</w:t>
              <w:tab/>
              <w:t xml:space="preserve">18</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apdt0yojckf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Customer Perspective</w:t>
              <w:tab/>
              <w:t xml:space="preserve">19</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6s3bz9l9xsi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Internal Business Processes Perspective</w:t>
              <w:tab/>
              <w:t xml:space="preserve">19</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gg5dblo8oyl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Learning and Growth Perspective</w:t>
              <w:tab/>
              <w:t xml:space="preserve">20</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5ndmwkmxpuw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Strategic Decisions and Implementations</w:t>
              <w:tab/>
              <w:t xml:space="preserve">21</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un4abk9c2yj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Business-Level Strategic Choices</w:t>
              <w:tab/>
              <w:t xml:space="preserve">21</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k8kcwfzk4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Corporate-Level Strategic Choices</w:t>
              <w:tab/>
              <w:t xml:space="preserve">21</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okg5mupr3kn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Change and Strategy Implementation</w:t>
              <w:tab/>
              <w:t xml:space="preserve">22</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xhfmt4ovr5l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Strategic Analysis and Recommendations</w:t>
              <w:tab/>
              <w:t xml:space="preserve">23</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envgmea1hb8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Assessment with Ansoff's Matrix</w:t>
              <w:tab/>
              <w:t xml:space="preserve">23</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atdepxq4mb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SWOT-Informed Strategic Recommendations</w:t>
              <w:tab/>
              <w:t xml:space="preserve">24</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b1ptqw60inc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Reflecting on the Research and Analysis using Gibbs' Reflective Cycle</w:t>
              <w:tab/>
              <w:t xml:space="preserve">25</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v96s50eeqrl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28</w:t>
            </w:r>
          </w:hyperlink>
          <w:r w:rsidDel="00000000" w:rsidR="00000000" w:rsidRPr="00000000">
            <w:rPr>
              <w:rtl w:val="0"/>
            </w:rPr>
          </w:r>
        </w:p>
        <w:p w:rsidR="00000000" w:rsidDel="00000000" w:rsidP="00000000" w:rsidRDefault="00000000" w:rsidRPr="00000000" w14:paraId="00000027">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8">
      <w:pPr>
        <w:spacing w:line="259" w:lineRule="auto"/>
        <w:jc w:val="left"/>
        <w:rPr>
          <w:b w:val="1"/>
          <w:bCs w:val="1"/>
          <w:color w:val="1f4e79"/>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29">
      <w:pPr>
        <w:pStyle w:val="Heading1"/>
        <w:rPr/>
      </w:pPr>
      <w:bookmarkStart w:colFirst="0" w:colLast="0" w:name="_tg5fyt8pbbpk" w:id="1"/>
      <w:bookmarkEnd w:id="1"/>
      <w:r w:rsidDel="00000000" w:rsidR="00000000" w:rsidRPr="00000000">
        <w:rPr>
          <w:rtl w:val="0"/>
        </w:rPr>
        <w:t xml:space="preserve">Introduction</w:t>
      </w:r>
    </w:p>
    <w:p w:rsidR="00000000" w:rsidDel="00000000" w:rsidP="00000000" w:rsidRDefault="00000000" w:rsidRPr="00000000" w14:paraId="0000002A">
      <w:pPr>
        <w:rPr/>
      </w:pPr>
      <w:r w:rsidDel="00000000" w:rsidR="00000000" w:rsidRPr="00000000">
        <w:rPr>
          <w:rtl w:val="0"/>
        </w:rPr>
        <w:t xml:space="preserve">In recent years, the UK retail sector has experienced a dramatic change due to the digital disruption, shifting consumer demands, and macroeconomic uncertainty. Competition has been driven by the increase in inflation, the purchasing behaviour, and development of e-commerce, which has altered the traditional business models (Deloitte, 2026). The developments have presented opportunities as well as issues to the established retailers especially with a good high street presence. Consequently, it has become important to put emphasis on how firms can adjust to these structural and environmental changes.</w:t>
      </w:r>
    </w:p>
    <w:p w:rsidR="00000000" w:rsidDel="00000000" w:rsidP="00000000" w:rsidRDefault="00000000" w:rsidRPr="00000000" w14:paraId="0000002B">
      <w:pPr>
        <w:pStyle w:val="Heading1"/>
        <w:rPr/>
      </w:pPr>
      <w:bookmarkStart w:colFirst="0" w:colLast="0" w:name="_f1iw65jtdne7" w:id="2"/>
      <w:bookmarkEnd w:id="2"/>
      <w:r w:rsidDel="00000000" w:rsidR="00000000" w:rsidRPr="00000000">
        <w:rPr>
          <w:rtl w:val="0"/>
        </w:rPr>
        <w:t xml:space="preserve">Significance of the Investigation</w:t>
      </w:r>
    </w:p>
    <w:p w:rsidR="00000000" w:rsidDel="00000000" w:rsidP="00000000" w:rsidRDefault="00000000" w:rsidRPr="00000000" w14:paraId="0000002C">
      <w:pPr>
        <w:rPr/>
      </w:pPr>
      <w:r w:rsidDel="00000000" w:rsidR="00000000" w:rsidRPr="00000000">
        <w:rPr>
          <w:rtl w:val="0"/>
        </w:rPr>
        <w:t xml:space="preserve">Marks and Spencer is an excellent case of a traditionally based retailer in need of strategic change. Though the company has a good brand equity and a food division that does well, it still faces some difficulties in other aspects, like clothing performance, digital capability, and cost efficiency (Marks and Spencer Group plc, 2024).</w:t>
      </w:r>
    </w:p>
    <w:p w:rsidR="00000000" w:rsidDel="00000000" w:rsidP="00000000" w:rsidRDefault="00000000" w:rsidRPr="00000000" w14:paraId="0000002D">
      <w:pPr>
        <w:rPr/>
      </w:pPr>
      <w:r w:rsidDel="00000000" w:rsidR="00000000" w:rsidRPr="00000000">
        <w:rPr>
          <w:rtl w:val="0"/>
        </w:rPr>
        <w:t xml:space="preserve">The main question that will be figured out through this report is how the company can incorporate the strengths to utilise and adapt the retail sector's changing patterns. This report helps to determine and understand how such big companies maintain the competitive advantage in the market while adapting to the transitions. The patterns and results justify all other companies like M&amp;S as well (Mintel, 2024).</w:t>
      </w:r>
    </w:p>
    <w:p w:rsidR="00000000" w:rsidDel="00000000" w:rsidP="00000000" w:rsidRDefault="00000000" w:rsidRPr="00000000" w14:paraId="0000002E">
      <w:pPr>
        <w:pStyle w:val="Heading2"/>
        <w:rPr/>
      </w:pPr>
      <w:bookmarkStart w:colFirst="0" w:colLast="0" w:name="_2124w7qd9e66" w:id="3"/>
      <w:bookmarkEnd w:id="3"/>
      <w:r w:rsidDel="00000000" w:rsidR="00000000" w:rsidRPr="00000000">
        <w:rPr>
          <w:rtl w:val="0"/>
        </w:rPr>
        <w:t xml:space="preserve">Research Aim, Objective and Questions</w:t>
      </w:r>
    </w:p>
    <w:p w:rsidR="00000000" w:rsidDel="00000000" w:rsidP="00000000" w:rsidRDefault="00000000" w:rsidRPr="00000000" w14:paraId="0000002F">
      <w:pPr>
        <w:rPr/>
      </w:pPr>
      <w:r w:rsidDel="00000000" w:rsidR="00000000" w:rsidRPr="00000000">
        <w:rPr>
          <w:rtl w:val="0"/>
        </w:rPr>
        <w:t xml:space="preserve">The principal objective of this report is to critically analyse the strategic location of Marks and Spencer and determine the major factors that affect its competitiveness in the UK retail sector. Other objectives of this research:</w:t>
      </w:r>
    </w:p>
    <w:p w:rsidR="00000000" w:rsidDel="00000000" w:rsidP="00000000" w:rsidRDefault="00000000" w:rsidRPr="00000000" w14:paraId="0000003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To discuss the external business environment that impacts M&amp;S in terms of appropriate strategic frameworks.</w:t>
      </w:r>
    </w:p>
    <w:p w:rsidR="00000000" w:rsidDel="00000000" w:rsidP="00000000" w:rsidRDefault="00000000" w:rsidRPr="00000000" w14:paraId="0000003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To assess internal resources and capabilities of M&amp;S and their role in the competitive advantage.</w:t>
      </w:r>
    </w:p>
    <w:p w:rsidR="00000000" w:rsidDel="00000000" w:rsidP="00000000" w:rsidRDefault="00000000" w:rsidRPr="00000000" w14:paraId="0000003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36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To determine the strategic issues that are critical in the performance and positioning of M&amp;S.</w:t>
      </w:r>
    </w:p>
    <w:p w:rsidR="00000000" w:rsidDel="00000000" w:rsidP="00000000" w:rsidRDefault="00000000" w:rsidRPr="00000000" w14:paraId="00000033">
      <w:pPr>
        <w:rPr/>
      </w:pPr>
      <w:r w:rsidDel="00000000" w:rsidR="00000000" w:rsidRPr="00000000">
        <w:rPr>
          <w:rtl w:val="0"/>
        </w:rPr>
        <w:t xml:space="preserve">The core questions would be for this research would be:</w:t>
      </w:r>
    </w:p>
    <w:p w:rsidR="00000000" w:rsidDel="00000000" w:rsidP="00000000" w:rsidRDefault="00000000" w:rsidRPr="00000000" w14:paraId="00000034">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What are some of the environmental factors affecting the strategic position of M&amp;S?</w:t>
      </w:r>
    </w:p>
    <w:p w:rsidR="00000000" w:rsidDel="00000000" w:rsidP="00000000" w:rsidRDefault="00000000" w:rsidRPr="00000000" w14:paraId="00000035">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What is the impact of internal resources and capabilities of M&amp;S on its competitive advantage?</w:t>
      </w:r>
    </w:p>
    <w:p w:rsidR="00000000" w:rsidDel="00000000" w:rsidP="00000000" w:rsidRDefault="00000000" w:rsidRPr="00000000" w14:paraId="00000036">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160" w:before="0" w:line="360" w:lineRule="auto"/>
        <w:ind w:left="36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Which are the main strategic issues that M&amp;S are exposed to in the retail environment?</w:t>
      </w:r>
    </w:p>
    <w:p w:rsidR="00000000" w:rsidDel="00000000" w:rsidP="00000000" w:rsidRDefault="00000000" w:rsidRPr="00000000" w14:paraId="00000037">
      <w:pPr>
        <w:pStyle w:val="Heading2"/>
        <w:rPr/>
      </w:pPr>
      <w:bookmarkStart w:colFirst="0" w:colLast="0" w:name="_a4u4bdnlwpcm" w:id="4"/>
      <w:bookmarkEnd w:id="4"/>
      <w:r w:rsidDel="00000000" w:rsidR="00000000" w:rsidRPr="00000000">
        <w:rPr>
          <w:rtl w:val="0"/>
        </w:rPr>
        <w:t xml:space="preserve">Literature review and theoretical foundations.</w:t>
      </w:r>
    </w:p>
    <w:p w:rsidR="00000000" w:rsidDel="00000000" w:rsidP="00000000" w:rsidRDefault="00000000" w:rsidRPr="00000000" w14:paraId="00000038">
      <w:pPr>
        <w:rPr/>
      </w:pPr>
      <w:r w:rsidDel="00000000" w:rsidR="00000000" w:rsidRPr="00000000">
        <w:rPr>
          <w:rtl w:val="0"/>
        </w:rPr>
        <w:t xml:space="preserve">The literature of strategic management offers various models of analysing the performance and competitive positioning of firms. Industry-based perspectives and resource-based perspectives are some of the most used strategies and these two perspectives can provide a complete picture of how organisations gain and maintain competitive advantage.</w:t>
      </w:r>
    </w:p>
    <w:p w:rsidR="00000000" w:rsidDel="00000000" w:rsidP="00000000" w:rsidRDefault="00000000" w:rsidRPr="00000000" w14:paraId="00000039">
      <w:pPr>
        <w:rPr/>
      </w:pPr>
      <w:r w:rsidDel="00000000" w:rsidR="00000000" w:rsidRPr="00000000">
        <w:rPr>
          <w:rtl w:val="0"/>
        </w:rPr>
        <w:t xml:space="preserve">The industry-based perspective can be embodied mainly by the Porters Five Forces that studies the structural forces that influence competition within an industry. According to Porter (2011), the intensity of competition depends on five major forces, which include rivalry among the existing firms, the bargaining power of buyers and suppliers, the threat of new entrants and substitutes. Such a framework is especially applicable in determining the attractiveness of an industry and external pressures that affect the performance of firms. Hill et al. (2014) also note that the model allows organisations to realise the competition factors that limit profitability, whereas Johnson et al. (2023) mention its applicability to strategic positioning decision making. Nevertheless, the model has been criticised as being stagnant because it might not entirely reflect quick changes in digital and technology oriented markets.</w:t>
      </w:r>
    </w:p>
    <w:p w:rsidR="00000000" w:rsidDel="00000000" w:rsidP="00000000" w:rsidRDefault="00000000" w:rsidRPr="00000000" w14:paraId="0000003A">
      <w:pPr>
        <w:rPr/>
      </w:pPr>
      <w:r w:rsidDel="00000000" w:rsidR="00000000" w:rsidRPr="00000000">
        <w:rPr>
          <w:rtl w:val="0"/>
        </w:rPr>
        <w:t xml:space="preserve">The Resource-Based View (RBV) on the other hand looks at internal organisational factors as the main source of competitive advantage. According to Barney (1991), companies gain sustained advantage by having resources that are valuable, rare, inimitable and organised (VRIO). This view is no longer focused on external competition, but internal capabilities, making it important to focus on the firm-specific assets in formulating strategies. Grant (2019) builds on this argument by claiming that resources are the pillars of long-term strategy, whereas Johnson et al. (2023) highlighted the need to constantly create and reorganise capabilities in the dynamic environment. Although it has merits, RBV has been criticised to be underemphasising the external market conditions and competitive pressures.</w:t>
      </w:r>
    </w:p>
    <w:p w:rsidR="00000000" w:rsidDel="00000000" w:rsidP="00000000" w:rsidRDefault="00000000" w:rsidRPr="00000000" w14:paraId="0000003B">
      <w:pPr>
        <w:rPr/>
      </w:pPr>
      <w:r w:rsidDel="00000000" w:rsidR="00000000" w:rsidRPr="00000000">
        <w:rPr>
          <w:rtl w:val="0"/>
        </w:rPr>
        <w:t xml:space="preserve">An analysis of these two views brings out a significant difference in strategic analysis. Whereas Porters framework concentrates on the external industry structure to be the determinant of profitability, RBV highlights internal resources and capabilities to be the determinant of the sustained competitive advantage. Consequently, the modern kind of strategic analysis tends to combine the two methods to give a more balanced and holistic assessment of organisational performance.</w:t>
      </w:r>
    </w:p>
    <w:p w:rsidR="00000000" w:rsidDel="00000000" w:rsidP="00000000" w:rsidRDefault="00000000" w:rsidRPr="00000000" w14:paraId="0000003C">
      <w:pPr>
        <w:pStyle w:val="Heading1"/>
        <w:rPr/>
      </w:pPr>
      <w:bookmarkStart w:colFirst="0" w:colLast="0" w:name="_molg441gyt40" w:id="5"/>
      <w:bookmarkEnd w:id="5"/>
      <w:r w:rsidDel="00000000" w:rsidR="00000000" w:rsidRPr="00000000">
        <w:rPr>
          <w:rtl w:val="0"/>
        </w:rPr>
        <w:t xml:space="preserve">Overview of Marks &amp; Spencer</w:t>
      </w:r>
    </w:p>
    <w:p w:rsidR="00000000" w:rsidDel="00000000" w:rsidP="00000000" w:rsidRDefault="00000000" w:rsidRPr="00000000" w14:paraId="0000003D">
      <w:pPr>
        <w:rPr/>
      </w:pPr>
      <w:r w:rsidDel="00000000" w:rsidR="00000000" w:rsidRPr="00000000">
        <w:rPr>
          <w:rtl w:val="0"/>
        </w:rPr>
        <w:t xml:space="preserve">Marks and Spencer (M&amp;S) is one of the UK’s most established retailers, founded in 1884 by Michael Marks and Thomas Spencer. Since its inception as a market stall in Leeds, the company has expanded to become a nationwide high-street brand with a reputation of quality, reliability, and value. Over the years, M&amp;S has been able to expand its operations in other countries while retaining a significant domestic base. </w:t>
      </w:r>
    </w:p>
    <w:p w:rsidR="00000000" w:rsidDel="00000000" w:rsidP="00000000" w:rsidRDefault="00000000" w:rsidRPr="00000000" w14:paraId="0000003E">
      <w:pPr>
        <w:keepNext w:val="1"/>
        <w:jc w:val="center"/>
        <w:rPr/>
      </w:pPr>
      <w:r w:rsidDel="00000000" w:rsidR="00000000" w:rsidRPr="00000000">
        <w:rPr/>
        <w:drawing>
          <wp:inline distB="0" distT="0" distL="0" distR="0">
            <wp:extent cx="4755265" cy="2676158"/>
            <wp:effectExtent b="0" l="0" r="0" t="0"/>
            <wp:docPr descr="https://cloudfront-eu-central-1.images.arcpublishing.com/businessoffashion/FQDVNPLM6VC6LGNU5KSVD7RNOI.jpg" id="3" name="image3.png"/>
            <a:graphic>
              <a:graphicData uri="http://schemas.openxmlformats.org/drawingml/2006/picture">
                <pic:pic>
                  <pic:nvPicPr>
                    <pic:cNvPr descr="https://cloudfront-eu-central-1.images.arcpublishing.com/businessoffashion/FQDVNPLM6VC6LGNU5KSVD7RNOI.jpg" id="0" name="image3.png"/>
                    <pic:cNvPicPr preferRelativeResize="0"/>
                  </pic:nvPicPr>
                  <pic:blipFill>
                    <a:blip r:embed="rId7"/>
                    <a:srcRect b="0" l="0" r="0" t="0"/>
                    <a:stretch>
                      <a:fillRect/>
                    </a:stretch>
                  </pic:blipFill>
                  <pic:spPr>
                    <a:xfrm>
                      <a:off x="0" y="0"/>
                      <a:ext cx="4755265" cy="2676158"/>
                    </a:xfrm>
                    <a:prstGeom prst="rect"/>
                    <a:ln/>
                  </pic:spPr>
                </pic:pic>
              </a:graphicData>
            </a:graphic>
          </wp:inline>
        </w:drawing>
      </w:r>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Figure 1: Mark &amp; Spencer Retail Outlet in the UK (Marks and Spencer Group PLC, 2024).</w:t>
      </w:r>
    </w:p>
    <w:p w:rsidR="00000000" w:rsidDel="00000000" w:rsidP="00000000" w:rsidRDefault="00000000" w:rsidRPr="00000000" w14:paraId="00000040">
      <w:pPr>
        <w:rPr/>
      </w:pPr>
      <w:r w:rsidDel="00000000" w:rsidR="00000000" w:rsidRPr="00000000">
        <w:rPr>
          <w:rtl w:val="0"/>
        </w:rPr>
        <w:t xml:space="preserve">The firm has two major business units namely Clothing and Home and Food. Its business model integrates the development of own-brand products with a strictly monitored supply chain and enables it to distinguish based on the quality and innovation instead of only competing based on price (Wrigley and Lambiri, 2015). Over the past few years, M&amp;S has been putting more and more emphasis on digital transformation, including investing into e-commerce and developing partnerships, e.g., its online food delivery joint venture with Ocado (BBC News, 2024). Mission of M&amp;S focuses on providing high quality products and high ethical and sustainability standards. This is echoed in its long-term Plan A programme that incorporates the aspects of environmental and social responsibility in its operations. The company has a goal to achieve profitability and long-term sustainability, which is one of the expectations in the contemporary retail world.</w:t>
      </w:r>
    </w:p>
    <w:p w:rsidR="00000000" w:rsidDel="00000000" w:rsidP="00000000" w:rsidRDefault="00000000" w:rsidRPr="00000000" w14:paraId="00000041">
      <w:pPr>
        <w:rPr/>
      </w:pPr>
      <w:r w:rsidDel="00000000" w:rsidR="00000000" w:rsidRPr="00000000">
        <w:rPr>
          <w:rtl w:val="0"/>
        </w:rPr>
        <w:t xml:space="preserve">The retail sector of the UK where M&amp;S operates is a highly competitive and price-sensitive market. Key competitors are Next plc in clothing and Tesco and Sainbury in the retail of food (BBC News, 2024). There has also been increased competition through fast-fashion brands and discount supermarkets, which places pressure on old-fashioned mid-market retailers, such as M&amp;S.</w:t>
      </w:r>
    </w:p>
    <w:p w:rsidR="00000000" w:rsidDel="00000000" w:rsidP="00000000" w:rsidRDefault="00000000" w:rsidRPr="00000000" w14:paraId="00000042">
      <w:pPr>
        <w:rPr/>
      </w:pPr>
      <w:r w:rsidDel="00000000" w:rsidR="00000000" w:rsidRPr="00000000">
        <w:rPr>
          <w:rtl w:val="0"/>
        </w:rPr>
        <w:t xml:space="preserve">Although M&amp;S has experienced a spell of diminishing sales, especially within its clothing business, the company has engaged in strategic turnaround which includes rationalisation of its stores, supply chain, and solidifying its food business. The company has also re-packaged itself so that it can attract a larger number of customers whilst maintaining its main identity of quality and trust (Marks and Spencer Group PLC, 2024). On the whole, Marks and Spencer have a powerful but competitive market position. Its brand history, product excellence and sustainable business are still its strong points. Nonetheless, keeping up with fast change-paced industries and remaining relevant in both the physical and online retail environment remains essential in preserving its competitive edge.</w:t>
      </w:r>
    </w:p>
    <w:p w:rsidR="00000000" w:rsidDel="00000000" w:rsidP="00000000" w:rsidRDefault="00000000" w:rsidRPr="00000000" w14:paraId="00000043">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44">
      <w:pPr>
        <w:pStyle w:val="Heading1"/>
        <w:rPr/>
      </w:pPr>
      <w:bookmarkStart w:colFirst="0" w:colLast="0" w:name="_dqq141j9h21h" w:id="6"/>
      <w:bookmarkEnd w:id="6"/>
      <w:r w:rsidDel="00000000" w:rsidR="00000000" w:rsidRPr="00000000">
        <w:rPr>
          <w:rtl w:val="0"/>
        </w:rPr>
        <w:t xml:space="preserve">External and Internal Environment Analysis</w:t>
      </w:r>
    </w:p>
    <w:p w:rsidR="00000000" w:rsidDel="00000000" w:rsidP="00000000" w:rsidRDefault="00000000" w:rsidRPr="00000000" w14:paraId="00000045">
      <w:pPr>
        <w:pStyle w:val="Heading2"/>
        <w:rPr/>
      </w:pPr>
      <w:bookmarkStart w:colFirst="0" w:colLast="0" w:name="_q3yoloteudw" w:id="7"/>
      <w:bookmarkEnd w:id="7"/>
      <w:r w:rsidDel="00000000" w:rsidR="00000000" w:rsidRPr="00000000">
        <w:rPr>
          <w:rtl w:val="0"/>
        </w:rPr>
        <w:t xml:space="preserve">PESTEL Analysis</w:t>
      </w:r>
    </w:p>
    <w:p w:rsidR="00000000" w:rsidDel="00000000" w:rsidP="00000000" w:rsidRDefault="00000000" w:rsidRPr="00000000" w14:paraId="00000046">
      <w:pPr>
        <w:rPr/>
      </w:pPr>
      <w:r w:rsidDel="00000000" w:rsidR="00000000" w:rsidRPr="00000000">
        <w:rPr>
          <w:rtl w:val="0"/>
        </w:rPr>
        <w:t xml:space="preserve">The macro-environmental forces influencing the Marks and Spencer (M&amp;S) and the retail industry in the UK are assessed using a PESTEL framework.</w:t>
      </w:r>
    </w:p>
    <w:p w:rsidR="00000000" w:rsidDel="00000000" w:rsidP="00000000" w:rsidRDefault="00000000" w:rsidRPr="00000000" w14:paraId="00000047">
      <w:pPr>
        <w:keepNext w:val="1"/>
        <w:jc w:val="center"/>
        <w:rPr/>
      </w:pPr>
      <w:r w:rsidDel="00000000" w:rsidR="00000000" w:rsidRPr="00000000">
        <w:rPr/>
        <w:drawing>
          <wp:inline distB="0" distT="0" distL="0" distR="0">
            <wp:extent cx="5128336" cy="1836689"/>
            <wp:effectExtent b="0" l="0" r="0" t="0"/>
            <wp:docPr descr="https://cdn2.slidemodel.com/wp-content/uploads/13162-01-pestel-analysis-powerpoint-template-16x9-8.jpg" id="2" name="image2.png"/>
            <a:graphic>
              <a:graphicData uri="http://schemas.openxmlformats.org/drawingml/2006/picture">
                <pic:pic>
                  <pic:nvPicPr>
                    <pic:cNvPr descr="https://cdn2.slidemodel.com/wp-content/uploads/13162-01-pestel-analysis-powerpoint-template-16x9-8.jpg" id="0" name="image2.png"/>
                    <pic:cNvPicPr preferRelativeResize="0"/>
                  </pic:nvPicPr>
                  <pic:blipFill>
                    <a:blip r:embed="rId8"/>
                    <a:srcRect b="14530" l="0" r="0" t="21800"/>
                    <a:stretch>
                      <a:fillRect/>
                    </a:stretch>
                  </pic:blipFill>
                  <pic:spPr>
                    <a:xfrm>
                      <a:off x="0" y="0"/>
                      <a:ext cx="5128336" cy="1836689"/>
                    </a:xfrm>
                    <a:prstGeom prst="rect"/>
                    <a:ln/>
                  </pic:spPr>
                </pic:pic>
              </a:graphicData>
            </a:graphic>
          </wp:inline>
        </w:drawing>
      </w:r>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Figure 2: PESTEL Analysis Framework (Hill et al., 2024).</w:t>
      </w:r>
    </w:p>
    <w:p w:rsidR="00000000" w:rsidDel="00000000" w:rsidP="00000000" w:rsidRDefault="00000000" w:rsidRPr="00000000" w14:paraId="00000049">
      <w:pPr>
        <w:spacing w:after="0" w:lineRule="auto"/>
        <w:rPr>
          <w:b w:val="1"/>
          <w:bCs w:val="1"/>
        </w:rPr>
      </w:pPr>
      <w:r w:rsidDel="00000000" w:rsidR="00000000" w:rsidRPr="00000000">
        <w:rPr>
          <w:b w:val="1"/>
          <w:bCs w:val="1"/>
          <w:rtl w:val="0"/>
        </w:rPr>
        <w:t xml:space="preserve">Political Factors</w:t>
      </w:r>
    </w:p>
    <w:p w:rsidR="00000000" w:rsidDel="00000000" w:rsidP="00000000" w:rsidRDefault="00000000" w:rsidRPr="00000000" w14:paraId="0000004A">
      <w:pPr>
        <w:rPr/>
      </w:pPr>
      <w:r w:rsidDel="00000000" w:rsidR="00000000" w:rsidRPr="00000000">
        <w:rPr>
          <w:rtl w:val="0"/>
        </w:rPr>
        <w:t xml:space="preserve">The UK retail industry is still adapting to the post -Brexit regulatory environment, especially in the area of trade and free movement of labour. The new procedures and border checks have added to administrative expenses and delays, particularly among the clothing retailers that rely on EU and Asian supply chains (Mintel, 2024). Moreover, the UK government policies on business rates still disfavor high street stores in comparison with those operating online since physical outlets have greater fixed taxation costs (Deloitte, 2024). The operational challenges have been heightened by labour shortages in logistics and retail, which are partly caused by decreased EU migration.</w:t>
      </w:r>
    </w:p>
    <w:p w:rsidR="00000000" w:rsidDel="00000000" w:rsidP="00000000" w:rsidRDefault="00000000" w:rsidRPr="00000000" w14:paraId="0000004B">
      <w:pPr>
        <w:spacing w:after="0" w:lineRule="auto"/>
        <w:rPr>
          <w:b w:val="1"/>
          <w:bCs w:val="1"/>
        </w:rPr>
      </w:pPr>
      <w:r w:rsidDel="00000000" w:rsidR="00000000" w:rsidRPr="00000000">
        <w:rPr>
          <w:b w:val="1"/>
          <w:bCs w:val="1"/>
          <w:rtl w:val="0"/>
        </w:rPr>
        <w:t xml:space="preserve">Economic Factors</w:t>
      </w:r>
    </w:p>
    <w:p w:rsidR="00000000" w:rsidDel="00000000" w:rsidP="00000000" w:rsidRDefault="00000000" w:rsidRPr="00000000" w14:paraId="0000004C">
      <w:pPr>
        <w:rPr/>
      </w:pPr>
      <w:r w:rsidDel="00000000" w:rsidR="00000000" w:rsidRPr="00000000">
        <w:rPr>
          <w:rtl w:val="0"/>
        </w:rPr>
        <w:t xml:space="preserve">Nevertheless, there is still uncertainty in the UK macroeconomic environment even though there are signs of stabilisation. With the highest rate of 10.1 percent in 2022, inflation has been decreasing slowly, but still at 3% in Feb, 2026, it still poses a strain on household purchasing power (ONS, 2026). This has decreased discretionary spending which has adversely impacted on the clothing line of M&amp;S. The food segment of the company, however, has proved to be resilient, as it is supported by the demand of high-quality and convenience food products (Marks and Spencer Group plc, 2024). Interest rates have been quite high, which has added to the cost of borrowing and limiting business investment. Growth in retail sales has been low, an indication of low consumer behavior.</w:t>
      </w:r>
    </w:p>
    <w:p w:rsidR="00000000" w:rsidDel="00000000" w:rsidP="00000000" w:rsidRDefault="00000000" w:rsidRPr="00000000" w14:paraId="0000004D">
      <w:pPr>
        <w:keepNext w:val="1"/>
        <w:jc w:val="center"/>
        <w:rPr/>
      </w:pPr>
      <w:r w:rsidDel="00000000" w:rsidR="00000000" w:rsidRPr="00000000">
        <w:rPr/>
        <w:drawing>
          <wp:inline distB="0" distT="0" distL="0" distR="0">
            <wp:extent cx="4222133" cy="2484629"/>
            <wp:effectExtent b="0" l="0" r="0" t="0"/>
            <wp:docPr id="5"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4222133" cy="2484629"/>
                    </a:xfrm>
                    <a:prstGeom prst="rect"/>
                    <a:ln/>
                  </pic:spPr>
                </pic:pic>
              </a:graphicData>
            </a:graphic>
          </wp:inline>
        </w:drawing>
      </w:r>
      <w:r w:rsidDel="00000000" w:rsidR="00000000" w:rsidRPr="00000000">
        <w:rPr>
          <w:rtl w:val="0"/>
        </w:rPr>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Figure 3: CPI Annual Rates of UK (ONS, 2026).</w:t>
      </w:r>
    </w:p>
    <w:p w:rsidR="00000000" w:rsidDel="00000000" w:rsidP="00000000" w:rsidRDefault="00000000" w:rsidRPr="00000000" w14:paraId="0000004F">
      <w:pPr>
        <w:spacing w:after="0" w:lineRule="auto"/>
        <w:rPr>
          <w:b w:val="1"/>
          <w:bCs w:val="1"/>
        </w:rPr>
      </w:pPr>
      <w:r w:rsidDel="00000000" w:rsidR="00000000" w:rsidRPr="00000000">
        <w:rPr>
          <w:b w:val="1"/>
          <w:bCs w:val="1"/>
          <w:rtl w:val="0"/>
        </w:rPr>
        <w:t xml:space="preserve">Social Factors</w:t>
      </w:r>
    </w:p>
    <w:p w:rsidR="00000000" w:rsidDel="00000000" w:rsidP="00000000" w:rsidRDefault="00000000" w:rsidRPr="00000000" w14:paraId="00000050">
      <w:pPr>
        <w:rPr/>
      </w:pPr>
      <w:r w:rsidDel="00000000" w:rsidR="00000000" w:rsidRPr="00000000">
        <w:rPr>
          <w:rtl w:val="0"/>
        </w:rPr>
        <w:t xml:space="preserve">The UK retail market has shifted its consumer preference to convenience, value, and the digital accessibility. Online shopping has remained a good percentage of total retail sales, with more than 25 percent being recorded over the years (Deloitte, 2026). Meanwhile, the demand in ethically sourced and sustainable products is increasing, which corresponds to the brand positioning of M&amp;S. The UK is demographically an ageing market that favours the traditional customer base of M&amp;S, but the company has challenges due to the younger generation more inclined towards fast-fashion and cheaper options (Mintel, 2024). Growth in the food segment at M&amp;S has been facilitated by lifestyle changes which have led to the increasing demand of ready-to-eat meals.</w:t>
      </w:r>
    </w:p>
    <w:p w:rsidR="00000000" w:rsidDel="00000000" w:rsidP="00000000" w:rsidRDefault="00000000" w:rsidRPr="00000000" w14:paraId="00000051">
      <w:pPr>
        <w:spacing w:after="0" w:lineRule="auto"/>
        <w:rPr>
          <w:b w:val="1"/>
          <w:bCs w:val="1"/>
        </w:rPr>
      </w:pPr>
      <w:r w:rsidDel="00000000" w:rsidR="00000000" w:rsidRPr="00000000">
        <w:rPr>
          <w:b w:val="1"/>
          <w:bCs w:val="1"/>
          <w:rtl w:val="0"/>
        </w:rPr>
        <w:t xml:space="preserve">Technological Factors</w:t>
      </w:r>
    </w:p>
    <w:p w:rsidR="00000000" w:rsidDel="00000000" w:rsidP="00000000" w:rsidRDefault="00000000" w:rsidRPr="00000000" w14:paraId="00000052">
      <w:pPr>
        <w:rPr/>
      </w:pPr>
      <w:r w:rsidDel="00000000" w:rsidR="00000000" w:rsidRPr="00000000">
        <w:rPr>
          <w:rtl w:val="0"/>
        </w:rPr>
        <w:t xml:space="preserve">The retailing environment has been transformed by technological change, and the digital capability has become a key success factor. To boost online food delivery, M&amp;S has put money in e-commerce and data analytics, and entered into a partnership with Ocado (Marks and Spencer Group plc, 2024). Nevertheless, its online platform and logistics performance, in turn, still need enhancement when compared to that of the digital-native competitors. Artificial intelligence is becoming a norm in the industry to predict demand, inventory management, and personalised marketing (Deloitte, 2024). A lack of ability to stay up to date with these trends may undermine the competitiveness of M&amp;S.</w:t>
      </w:r>
    </w:p>
    <w:p w:rsidR="00000000" w:rsidDel="00000000" w:rsidP="00000000" w:rsidRDefault="00000000" w:rsidRPr="00000000" w14:paraId="00000053">
      <w:pPr>
        <w:keepNext w:val="1"/>
        <w:jc w:val="center"/>
        <w:rPr/>
      </w:pPr>
      <w:r w:rsidDel="00000000" w:rsidR="00000000" w:rsidRPr="00000000">
        <w:rPr/>
        <w:drawing>
          <wp:inline distB="0" distT="0" distL="0" distR="0">
            <wp:extent cx="4236683" cy="2393568"/>
            <wp:effectExtent b="0" l="0" r="0" t="0"/>
            <wp:docPr id="4"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4236683" cy="2393568"/>
                    </a:xfrm>
                    <a:prstGeom prst="rect"/>
                    <a:ln/>
                  </pic:spPr>
                </pic:pic>
              </a:graphicData>
            </a:graphic>
          </wp:inline>
        </w:drawing>
      </w:r>
      <w:r w:rsidDel="00000000" w:rsidR="00000000" w:rsidRPr="00000000">
        <w:rPr>
          <w:rtl w:val="0"/>
        </w:rPr>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Figure 4: AI Adoption Practices by Retailers (Deloitte, 2026).</w:t>
      </w:r>
    </w:p>
    <w:p w:rsidR="00000000" w:rsidDel="00000000" w:rsidP="00000000" w:rsidRDefault="00000000" w:rsidRPr="00000000" w14:paraId="00000055">
      <w:pPr>
        <w:spacing w:after="0" w:lineRule="auto"/>
        <w:rPr>
          <w:b w:val="1"/>
          <w:bCs w:val="1"/>
        </w:rPr>
      </w:pPr>
      <w:r w:rsidDel="00000000" w:rsidR="00000000" w:rsidRPr="00000000">
        <w:rPr>
          <w:b w:val="1"/>
          <w:bCs w:val="1"/>
          <w:rtl w:val="0"/>
        </w:rPr>
        <w:t xml:space="preserve">Environmental Factors</w:t>
      </w:r>
    </w:p>
    <w:p w:rsidR="00000000" w:rsidDel="00000000" w:rsidP="00000000" w:rsidRDefault="00000000" w:rsidRPr="00000000" w14:paraId="00000056">
      <w:pPr>
        <w:rPr/>
      </w:pPr>
      <w:r w:rsidDel="00000000" w:rsidR="00000000" w:rsidRPr="00000000">
        <w:rPr>
          <w:rtl w:val="0"/>
        </w:rPr>
        <w:t xml:space="preserve">Sustainability has been a key concern in retailing business as well as globally. Business operations are being transformed by increased regulatory and societal pressure to cut carbon emissions, minimise waste and create responsible sourcing. The sustainability programme called Plan A by M&amp;S can be characterised as a proactive strategy, as it aims at attaining a net-zero level of emissions and enhancing the transparency of its supply chain (Marks and Spencer Group plc, 2023). Nevertheless, the environmental requirements make the packaging and logistical expenses higher than those of the rivals. The net-zero targets by the UK government will only add to these pressures.</w:t>
      </w:r>
    </w:p>
    <w:p w:rsidR="00000000" w:rsidDel="00000000" w:rsidP="00000000" w:rsidRDefault="00000000" w:rsidRPr="00000000" w14:paraId="00000057">
      <w:pPr>
        <w:keepNext w:val="1"/>
        <w:jc w:val="center"/>
        <w:rPr/>
      </w:pPr>
      <w:r w:rsidDel="00000000" w:rsidR="00000000" w:rsidRPr="00000000">
        <w:rPr/>
        <w:drawing>
          <wp:inline distB="0" distT="0" distL="0" distR="0">
            <wp:extent cx="3711707" cy="1924588"/>
            <wp:effectExtent b="0" l="0" r="0" t="0"/>
            <wp:docPr id="7" name="image7.png"/>
            <a:graphic>
              <a:graphicData uri="http://schemas.openxmlformats.org/drawingml/2006/picture">
                <pic:pic>
                  <pic:nvPicPr>
                    <pic:cNvPr id="0" name="image7.png"/>
                    <pic:cNvPicPr preferRelativeResize="0"/>
                  </pic:nvPicPr>
                  <pic:blipFill>
                    <a:blip r:embed="rId11"/>
                    <a:srcRect b="0" l="0" r="0" t="0"/>
                    <a:stretch>
                      <a:fillRect/>
                    </a:stretch>
                  </pic:blipFill>
                  <pic:spPr>
                    <a:xfrm>
                      <a:off x="0" y="0"/>
                      <a:ext cx="3711707" cy="1924588"/>
                    </a:xfrm>
                    <a:prstGeom prst="rect"/>
                    <a:ln/>
                  </pic:spPr>
                </pic:pic>
              </a:graphicData>
            </a:graphic>
          </wp:inline>
        </w:drawing>
      </w:r>
      <w:r w:rsidDel="00000000" w:rsidR="00000000" w:rsidRPr="00000000">
        <w:rPr>
          <w:rtl w:val="0"/>
        </w:rPr>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Figure 5: UK Carbon Emission per Capita (Our World in Data, 2025).</w:t>
      </w:r>
    </w:p>
    <w:p w:rsidR="00000000" w:rsidDel="00000000" w:rsidP="00000000" w:rsidRDefault="00000000" w:rsidRPr="00000000" w14:paraId="00000059">
      <w:pPr>
        <w:spacing w:after="0" w:lineRule="auto"/>
        <w:rPr>
          <w:b w:val="1"/>
          <w:bCs w:val="1"/>
        </w:rPr>
      </w:pPr>
      <w:r w:rsidDel="00000000" w:rsidR="00000000" w:rsidRPr="00000000">
        <w:rPr>
          <w:b w:val="1"/>
          <w:bCs w:val="1"/>
          <w:rtl w:val="0"/>
        </w:rPr>
        <w:t xml:space="preserve">Legal Factors</w:t>
      </w:r>
    </w:p>
    <w:p w:rsidR="00000000" w:rsidDel="00000000" w:rsidP="00000000" w:rsidRDefault="00000000" w:rsidRPr="00000000" w14:paraId="0000005A">
      <w:pPr>
        <w:rPr/>
      </w:pPr>
      <w:r w:rsidDel="00000000" w:rsidR="00000000" w:rsidRPr="00000000">
        <w:rPr>
          <w:rtl w:val="0"/>
        </w:rPr>
        <w:t xml:space="preserve">The UK retail market is highly regulated by law, such as the labour laws, the rise of the minimum wage, and the protection of the consumers. National Living Wage has been on the increase, making labour more expensive to retailers (ONS, 2025). Also, increased complexity and compliance costs have come with stricter product labelling, sustainability reporting, and data protection (e.g. GDPR compliance) regulations. These legal considerations have a direct impact on cost structure and operational flexibility of M&amp;S.</w:t>
      </w:r>
    </w:p>
    <w:p w:rsidR="00000000" w:rsidDel="00000000" w:rsidP="00000000" w:rsidRDefault="00000000" w:rsidRPr="00000000" w14:paraId="0000005B">
      <w:pPr>
        <w:rPr/>
      </w:pPr>
      <w:r w:rsidDel="00000000" w:rsidR="00000000" w:rsidRPr="00000000">
        <w:rPr>
          <w:rFonts w:ascii="Geist Fallback" w:cs="Geist Fallback" w:eastAsia="Geist Fallback" w:hAnsi="Geist Fallback"/>
          <w:sz w:val="23"/>
          <w:szCs w:val="23"/>
          <w:rtl w:val="0"/>
        </w:rPr>
        <w:t xml:space="preserve">In general, the external environment implies that M&amp;S needs to strike a balance between cost and value creation, and increase digital capabilities faster to stay competitive in a highly dynamic retail environment.</w:t>
      </w:r>
      <w:r w:rsidDel="00000000" w:rsidR="00000000" w:rsidRPr="00000000">
        <w:rPr>
          <w:rtl w:val="0"/>
        </w:rPr>
      </w:r>
    </w:p>
    <w:p w:rsidR="00000000" w:rsidDel="00000000" w:rsidP="00000000" w:rsidRDefault="00000000" w:rsidRPr="00000000" w14:paraId="0000005C">
      <w:pPr>
        <w:pStyle w:val="Heading2"/>
        <w:rPr/>
      </w:pPr>
      <w:bookmarkStart w:colFirst="0" w:colLast="0" w:name="_9apqi7kf3hgz" w:id="8"/>
      <w:bookmarkEnd w:id="8"/>
      <w:r w:rsidDel="00000000" w:rsidR="00000000" w:rsidRPr="00000000">
        <w:rPr>
          <w:rtl w:val="0"/>
        </w:rPr>
        <w:t xml:space="preserve">Industry Analysis </w:t>
      </w:r>
    </w:p>
    <w:p w:rsidR="00000000" w:rsidDel="00000000" w:rsidP="00000000" w:rsidRDefault="00000000" w:rsidRPr="00000000" w14:paraId="0000005D">
      <w:pPr>
        <w:pStyle w:val="Heading2"/>
        <w:rPr/>
      </w:pPr>
      <w:bookmarkStart w:colFirst="0" w:colLast="0" w:name="_2j1juq6ywhy5" w:id="9"/>
      <w:bookmarkEnd w:id="9"/>
      <w:r w:rsidDel="00000000" w:rsidR="00000000" w:rsidRPr="00000000">
        <w:rPr>
          <w:rtl w:val="0"/>
        </w:rPr>
        <w:t xml:space="preserve">Porters Five Forces</w:t>
      </w:r>
    </w:p>
    <w:p w:rsidR="00000000" w:rsidDel="00000000" w:rsidP="00000000" w:rsidRDefault="00000000" w:rsidRPr="00000000" w14:paraId="0000005E">
      <w:pPr>
        <w:rPr/>
      </w:pPr>
      <w:r w:rsidDel="00000000" w:rsidR="00000000" w:rsidRPr="00000000">
        <w:rPr>
          <w:rtl w:val="0"/>
        </w:rPr>
        <w:t xml:space="preserve">The analysis using Porters Five Forces (Porter and Kramer, 2011) gives us an idea on the competitive nature of the retail business in the UK.</w:t>
      </w:r>
    </w:p>
    <w:p w:rsidR="00000000" w:rsidDel="00000000" w:rsidP="00000000" w:rsidRDefault="00000000" w:rsidRPr="00000000" w14:paraId="0000005F">
      <w:pPr>
        <w:keepNext w:val="1"/>
        <w:jc w:val="center"/>
        <w:rPr/>
      </w:pPr>
      <w:r w:rsidDel="00000000" w:rsidR="00000000" w:rsidRPr="00000000">
        <w:rPr/>
        <w:drawing>
          <wp:inline distB="0" distT="0" distL="0" distR="0">
            <wp:extent cx="3287273" cy="2786692"/>
            <wp:effectExtent b="0" l="0" r="0" t="0"/>
            <wp:docPr descr="https://images.edrawmax.com/examples/poster-five-forces-examples/exp5.png" id="6" name="image6.png"/>
            <a:graphic>
              <a:graphicData uri="http://schemas.openxmlformats.org/drawingml/2006/picture">
                <pic:pic>
                  <pic:nvPicPr>
                    <pic:cNvPr descr="https://images.edrawmax.com/examples/poster-five-forces-examples/exp5.png" id="0" name="image6.png"/>
                    <pic:cNvPicPr preferRelativeResize="0"/>
                  </pic:nvPicPr>
                  <pic:blipFill>
                    <a:blip r:embed="rId12"/>
                    <a:srcRect b="0" l="0" r="0" t="0"/>
                    <a:stretch>
                      <a:fillRect/>
                    </a:stretch>
                  </pic:blipFill>
                  <pic:spPr>
                    <a:xfrm>
                      <a:off x="0" y="0"/>
                      <a:ext cx="3287273" cy="2786692"/>
                    </a:xfrm>
                    <a:prstGeom prst="rect"/>
                    <a:ln/>
                  </pic:spPr>
                </pic:pic>
              </a:graphicData>
            </a:graphic>
          </wp:inline>
        </w:drawing>
      </w:r>
      <w:r w:rsidDel="00000000" w:rsidR="00000000" w:rsidRPr="00000000">
        <w:rPr>
          <w:rtl w:val="0"/>
        </w:rPr>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Figure 6: Porter's Five Forces (Source: Author's Illustration).</w:t>
      </w:r>
    </w:p>
    <w:p w:rsidR="00000000" w:rsidDel="00000000" w:rsidP="00000000" w:rsidRDefault="00000000" w:rsidRPr="00000000" w14:paraId="00000061">
      <w:pPr>
        <w:spacing w:after="0" w:lineRule="auto"/>
        <w:rPr>
          <w:b w:val="1"/>
          <w:bCs w:val="1"/>
        </w:rPr>
      </w:pPr>
      <w:r w:rsidDel="00000000" w:rsidR="00000000" w:rsidRPr="00000000">
        <w:rPr>
          <w:b w:val="1"/>
          <w:bCs w:val="1"/>
          <w:rtl w:val="0"/>
        </w:rPr>
        <w:t xml:space="preserve">Competitive Rivalry (High)</w:t>
      </w:r>
    </w:p>
    <w:p w:rsidR="00000000" w:rsidDel="00000000" w:rsidP="00000000" w:rsidRDefault="00000000" w:rsidRPr="00000000" w14:paraId="00000062">
      <w:pPr>
        <w:rPr/>
      </w:pPr>
      <w:r w:rsidDel="00000000" w:rsidR="00000000" w:rsidRPr="00000000">
        <w:rPr>
          <w:rtl w:val="0"/>
        </w:rPr>
        <w:t xml:space="preserve">In the UK retail industry, the level of competition is high, as the market is saturated and there is low differentiation in some markets. MandS competes with Next plc in clothes and Tesco and Sainsbury in food retail. Also, the online stores like ASOS and Amazon add to the rivalry and convenience in price. The intense competitiveness is enhanced by frequent promotions and discounting (Euromonitor International, 2024).</w:t>
      </w:r>
    </w:p>
    <w:p w:rsidR="00000000" w:rsidDel="00000000" w:rsidP="00000000" w:rsidRDefault="00000000" w:rsidRPr="00000000" w14:paraId="00000063">
      <w:pPr>
        <w:spacing w:after="0" w:lineRule="auto"/>
        <w:rPr>
          <w:b w:val="1"/>
          <w:bCs w:val="1"/>
        </w:rPr>
      </w:pPr>
      <w:r w:rsidDel="00000000" w:rsidR="00000000" w:rsidRPr="00000000">
        <w:rPr>
          <w:b w:val="1"/>
          <w:bCs w:val="1"/>
          <w:rtl w:val="0"/>
        </w:rPr>
        <w:t xml:space="preserve">Risk of New entrants (Moderate)</w:t>
      </w:r>
    </w:p>
    <w:p w:rsidR="00000000" w:rsidDel="00000000" w:rsidP="00000000" w:rsidRDefault="00000000" w:rsidRPr="00000000" w14:paraId="00000064">
      <w:pPr>
        <w:rPr>
          <w:b w:val="1"/>
          <w:bCs w:val="1"/>
        </w:rPr>
      </w:pPr>
      <w:r w:rsidDel="00000000" w:rsidR="00000000" w:rsidRPr="00000000">
        <w:rPr>
          <w:rtl w:val="0"/>
        </w:rPr>
        <w:t xml:space="preserve">The physical retail barriers to entry are rather high since capital requirements, brand building, and supply chain infrastructure are rather difficult to build. The increase in e-commerce has however made it easier to enter the market and digital-first brands can now enter the market with less start-up capital. This has enhanced the level of competition among the established companies such as M&amp;S (Deloitte, 2024).</w:t>
      </w:r>
      <w:r w:rsidDel="00000000" w:rsidR="00000000" w:rsidRPr="00000000">
        <w:rPr>
          <w:rtl w:val="0"/>
        </w:rPr>
      </w:r>
    </w:p>
    <w:p w:rsidR="00000000" w:rsidDel="00000000" w:rsidP="00000000" w:rsidRDefault="00000000" w:rsidRPr="00000000" w14:paraId="00000065">
      <w:pPr>
        <w:spacing w:after="0" w:lineRule="auto"/>
        <w:rPr/>
      </w:pPr>
      <w:r w:rsidDel="00000000" w:rsidR="00000000" w:rsidRPr="00000000">
        <w:rPr>
          <w:b w:val="1"/>
          <w:bCs w:val="1"/>
          <w:rtl w:val="0"/>
        </w:rPr>
        <w:t xml:space="preserve">Supplier Power (Moderate)</w:t>
      </w:r>
      <w:r w:rsidDel="00000000" w:rsidR="00000000" w:rsidRPr="00000000">
        <w:rPr>
          <w:rtl w:val="0"/>
        </w:rPr>
      </w:r>
    </w:p>
    <w:p w:rsidR="00000000" w:rsidDel="00000000" w:rsidP="00000000" w:rsidRDefault="00000000" w:rsidRPr="00000000" w14:paraId="00000066">
      <w:pPr>
        <w:rPr>
          <w:b w:val="1"/>
          <w:bCs w:val="1"/>
        </w:rPr>
      </w:pPr>
      <w:r w:rsidDel="00000000" w:rsidR="00000000" w:rsidRPr="00000000">
        <w:rPr>
          <w:rtl w:val="0"/>
        </w:rPr>
        <w:t xml:space="preserve">M&amp;S has strong ties with suppliers, especially in its food department, which minimizes the supplier power (Marks and Spencer Group plc, 2024). Nevertheless, relying on global sourcing also puts the company at risk of supply chain disruptions, currency fluctuations, and geopolitical risks, which may enhance supplier power.</w:t>
      </w:r>
      <w:r w:rsidDel="00000000" w:rsidR="00000000" w:rsidRPr="00000000">
        <w:rPr>
          <w:rtl w:val="0"/>
        </w:rPr>
      </w:r>
    </w:p>
    <w:p w:rsidR="00000000" w:rsidDel="00000000" w:rsidP="00000000" w:rsidRDefault="00000000" w:rsidRPr="00000000" w14:paraId="00000067">
      <w:pPr>
        <w:spacing w:after="0" w:lineRule="auto"/>
        <w:rPr>
          <w:b w:val="1"/>
          <w:bCs w:val="1"/>
        </w:rPr>
      </w:pPr>
      <w:r w:rsidDel="00000000" w:rsidR="00000000" w:rsidRPr="00000000">
        <w:rPr>
          <w:b w:val="1"/>
          <w:bCs w:val="1"/>
          <w:rtl w:val="0"/>
        </w:rPr>
        <w:t xml:space="preserve">Buyers Power (High)</w:t>
      </w:r>
    </w:p>
    <w:p w:rsidR="00000000" w:rsidDel="00000000" w:rsidP="00000000" w:rsidRDefault="00000000" w:rsidRPr="00000000" w14:paraId="00000068">
      <w:pPr>
        <w:rPr/>
      </w:pPr>
      <w:r w:rsidDel="00000000" w:rsidR="00000000" w:rsidRPr="00000000">
        <w:rPr>
          <w:rtl w:val="0"/>
        </w:rPr>
        <w:t xml:space="preserve">The bargaining power of the consumers within the UK retail market is high because of the presence of substitution as well as low switching costs. The current economic conditions have led to heightened price sensitivity and consumers are out in search of value of money. This puts a strain on M&amp;S to strike a balance between quality and competitive pricing (Mintel, 2024).</w:t>
      </w:r>
    </w:p>
    <w:p w:rsidR="00000000" w:rsidDel="00000000" w:rsidP="00000000" w:rsidRDefault="00000000" w:rsidRPr="00000000" w14:paraId="00000069">
      <w:pPr>
        <w:spacing w:after="0" w:lineRule="auto"/>
        <w:rPr>
          <w:b w:val="1"/>
          <w:bCs w:val="1"/>
        </w:rPr>
      </w:pPr>
      <w:r w:rsidDel="00000000" w:rsidR="00000000" w:rsidRPr="00000000">
        <w:rPr>
          <w:b w:val="1"/>
          <w:bCs w:val="1"/>
          <w:rtl w:val="0"/>
        </w:rPr>
        <w:t xml:space="preserve">Threat of Substitutes (High)</w:t>
      </w:r>
    </w:p>
    <w:p w:rsidR="00000000" w:rsidDel="00000000" w:rsidP="00000000" w:rsidRDefault="00000000" w:rsidRPr="00000000" w14:paraId="0000006A">
      <w:pPr>
        <w:rPr/>
      </w:pPr>
      <w:r w:rsidDel="00000000" w:rsidR="00000000" w:rsidRPr="00000000">
        <w:rPr>
          <w:rtl w:val="0"/>
        </w:rPr>
        <w:t xml:space="preserve">There is a high level of threat of substitution especially by the discount retailers like Aldi and Primark, who have cheaper substitutes. Convenience product line also offer substitutes by online retailers. This limits M&amp;S’s ability to increase prices without risking loss of market share.</w:t>
      </w:r>
    </w:p>
    <w:p w:rsidR="00000000" w:rsidDel="00000000" w:rsidP="00000000" w:rsidRDefault="00000000" w:rsidRPr="00000000" w14:paraId="0000006B">
      <w:pPr>
        <w:rPr/>
      </w:pPr>
      <w:r w:rsidDel="00000000" w:rsidR="00000000" w:rsidRPr="00000000">
        <w:rPr>
          <w:rFonts w:ascii="Geist Fallback" w:cs="Geist Fallback" w:eastAsia="Geist Fallback" w:hAnsi="Geist Fallback"/>
          <w:sz w:val="23"/>
          <w:szCs w:val="23"/>
          <w:rtl w:val="0"/>
        </w:rPr>
        <w:t xml:space="preserve">The level of competitive rivalry and strong buyer power suggest that the M&amp;S will not be able to base on brand heritage only, but needs to constantly increase value perception and differentiation.</w:t>
      </w:r>
      <w:r w:rsidDel="00000000" w:rsidR="00000000" w:rsidRPr="00000000">
        <w:rPr>
          <w:rtl w:val="0"/>
        </w:rPr>
      </w:r>
    </w:p>
    <w:p w:rsidR="00000000" w:rsidDel="00000000" w:rsidP="00000000" w:rsidRDefault="00000000" w:rsidRPr="00000000" w14:paraId="0000006C">
      <w:pPr>
        <w:pStyle w:val="Heading2"/>
        <w:rPr/>
      </w:pPr>
      <w:bookmarkStart w:colFirst="0" w:colLast="0" w:name="_1cuvdumlw1qn" w:id="10"/>
      <w:bookmarkEnd w:id="10"/>
      <w:r w:rsidDel="00000000" w:rsidR="00000000" w:rsidRPr="00000000">
        <w:rPr>
          <w:rtl w:val="0"/>
        </w:rPr>
        <w:t xml:space="preserve">Resource-Based View (RBV)</w:t>
      </w:r>
    </w:p>
    <w:p w:rsidR="00000000" w:rsidDel="00000000" w:rsidP="00000000" w:rsidRDefault="00000000" w:rsidRPr="00000000" w14:paraId="0000006D">
      <w:pPr>
        <w:rPr/>
      </w:pPr>
      <w:r w:rsidDel="00000000" w:rsidR="00000000" w:rsidRPr="00000000">
        <w:rPr>
          <w:rtl w:val="0"/>
        </w:rPr>
        <w:t xml:space="preserve">According to the Resource-Based View (Barney, 1991), sustainable competitive advantage is generated by resources that are valuable, rare, inimitable and organised (VRIO).</w:t>
      </w:r>
    </w:p>
    <w:p w:rsidR="00000000" w:rsidDel="00000000" w:rsidP="00000000" w:rsidRDefault="00000000" w:rsidRPr="00000000" w14:paraId="0000006E">
      <w:pPr>
        <w:spacing w:after="0" w:lineRule="auto"/>
        <w:rPr>
          <w:b w:val="1"/>
          <w:bCs w:val="1"/>
        </w:rPr>
      </w:pPr>
      <w:r w:rsidDel="00000000" w:rsidR="00000000" w:rsidRPr="00000000">
        <w:rPr>
          <w:b w:val="1"/>
          <w:bCs w:val="1"/>
          <w:rtl w:val="0"/>
        </w:rPr>
        <w:t xml:space="preserve">Brand Reputation</w:t>
      </w:r>
    </w:p>
    <w:p w:rsidR="00000000" w:rsidDel="00000000" w:rsidP="00000000" w:rsidRDefault="00000000" w:rsidRPr="00000000" w14:paraId="0000006F">
      <w:pPr>
        <w:rPr/>
      </w:pPr>
      <w:r w:rsidDel="00000000" w:rsidR="00000000" w:rsidRPr="00000000">
        <w:rPr>
          <w:rtl w:val="0"/>
        </w:rPr>
        <w:t xml:space="preserve">One of the greatest assets that M&amp;S has is its brand which is linked with quality, reliability, and trust. Competitors can hardly imitate this reputation and have a solid customer loyalty foundation.</w:t>
      </w:r>
    </w:p>
    <w:p w:rsidR="00000000" w:rsidDel="00000000" w:rsidP="00000000" w:rsidRDefault="00000000" w:rsidRPr="00000000" w14:paraId="00000070">
      <w:pPr>
        <w:spacing w:after="0" w:lineRule="auto"/>
        <w:rPr>
          <w:b w:val="1"/>
          <w:bCs w:val="1"/>
        </w:rPr>
      </w:pPr>
      <w:r w:rsidDel="00000000" w:rsidR="00000000" w:rsidRPr="00000000">
        <w:rPr>
          <w:b w:val="1"/>
          <w:bCs w:val="1"/>
          <w:rtl w:val="0"/>
        </w:rPr>
        <w:t xml:space="preserve">Quality and Innovation</w:t>
      </w:r>
    </w:p>
    <w:p w:rsidR="00000000" w:rsidDel="00000000" w:rsidP="00000000" w:rsidRDefault="00000000" w:rsidRPr="00000000" w14:paraId="00000071">
      <w:pPr>
        <w:rPr/>
      </w:pPr>
      <w:r w:rsidDel="00000000" w:rsidR="00000000" w:rsidRPr="00000000">
        <w:rPr>
          <w:rtl w:val="0"/>
        </w:rPr>
        <w:t xml:space="preserve">The high-quality and innovative food products help M&amp;S to differentiate and support the premium pricing and retaining the customers. This is an important ability in a competitive retail setting.</w:t>
      </w:r>
    </w:p>
    <w:p w:rsidR="00000000" w:rsidDel="00000000" w:rsidP="00000000" w:rsidRDefault="00000000" w:rsidRPr="00000000" w14:paraId="00000072">
      <w:pPr>
        <w:spacing w:after="0" w:lineRule="auto"/>
        <w:rPr>
          <w:b w:val="1"/>
          <w:bCs w:val="1"/>
        </w:rPr>
      </w:pPr>
      <w:r w:rsidDel="00000000" w:rsidR="00000000" w:rsidRPr="00000000">
        <w:rPr>
          <w:b w:val="1"/>
          <w:bCs w:val="1"/>
          <w:rtl w:val="0"/>
        </w:rPr>
        <w:t xml:space="preserve">Supply Chain Capabilities</w:t>
      </w:r>
    </w:p>
    <w:p w:rsidR="00000000" w:rsidDel="00000000" w:rsidP="00000000" w:rsidRDefault="00000000" w:rsidRPr="00000000" w14:paraId="00000073">
      <w:pPr>
        <w:rPr>
          <w:b w:val="1"/>
          <w:bCs w:val="1"/>
        </w:rPr>
      </w:pPr>
      <w:r w:rsidDel="00000000" w:rsidR="00000000" w:rsidRPr="00000000">
        <w:rPr>
          <w:rtl w:val="0"/>
        </w:rPr>
        <w:t xml:space="preserve">The vertically integrated supply chain of the company guarantees the consistency and quality of the products. Nevertheless, global sourcing leads to heightened vulnerability to external shocks, and there is a trade-off between control and risk.</w:t>
      </w:r>
      <w:r w:rsidDel="00000000" w:rsidR="00000000" w:rsidRPr="00000000">
        <w:rPr>
          <w:rtl w:val="0"/>
        </w:rPr>
      </w:r>
    </w:p>
    <w:p w:rsidR="00000000" w:rsidDel="00000000" w:rsidP="00000000" w:rsidRDefault="00000000" w:rsidRPr="00000000" w14:paraId="00000074">
      <w:pPr>
        <w:spacing w:after="0" w:lineRule="auto"/>
        <w:rPr>
          <w:b w:val="1"/>
          <w:bCs w:val="1"/>
        </w:rPr>
      </w:pPr>
      <w:r w:rsidDel="00000000" w:rsidR="00000000" w:rsidRPr="00000000">
        <w:rPr>
          <w:b w:val="1"/>
          <w:bCs w:val="1"/>
          <w:rtl w:val="0"/>
        </w:rPr>
        <w:t xml:space="preserve">Digital Capabilities</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75">
      <w:pPr>
        <w:rPr/>
      </w:pPr>
      <w:r w:rsidDel="00000000" w:rsidR="00000000" w:rsidRPr="00000000">
        <w:rPr>
          <w:rtl w:val="0"/>
        </w:rPr>
        <w:t xml:space="preserve">Historically, M&amp;S has been disadvantaged in digital capabilities, despite its improvement. The Ocado partnership has enhanced its online presence, although additional funding is needed to match the top e-commerce companies. </w:t>
      </w:r>
      <w:r w:rsidDel="00000000" w:rsidR="00000000" w:rsidRPr="00000000">
        <w:rPr>
          <w:rFonts w:ascii="Geist Fallback" w:cs="Geist Fallback" w:eastAsia="Geist Fallback" w:hAnsi="Geist Fallback"/>
          <w:sz w:val="23"/>
          <w:szCs w:val="23"/>
          <w:rtl w:val="0"/>
        </w:rPr>
        <w:t xml:space="preserve">Although M&amp;S has certain resources such as brand equity and food quality, which can be considered as valuable and well established, the analysis indicates that they cannot maintain the competitive advantage without more robust digital and operational capabilities.</w:t>
      </w:r>
      <w:r w:rsidDel="00000000" w:rsidR="00000000" w:rsidRPr="00000000">
        <w:rPr>
          <w:rtl w:val="0"/>
        </w:rPr>
      </w:r>
    </w:p>
    <w:p w:rsidR="00000000" w:rsidDel="00000000" w:rsidP="00000000" w:rsidRDefault="00000000" w:rsidRPr="00000000" w14:paraId="00000076">
      <w:pPr>
        <w:pStyle w:val="Heading2"/>
        <w:rPr/>
      </w:pPr>
      <w:bookmarkStart w:colFirst="0" w:colLast="0" w:name="_32c51jav7m1x" w:id="11"/>
      <w:bookmarkEnd w:id="11"/>
      <w:r w:rsidDel="00000000" w:rsidR="00000000" w:rsidRPr="00000000">
        <w:rPr>
          <w:rtl w:val="0"/>
        </w:rPr>
        <w:t xml:space="preserve">Value Chain Analysis</w:t>
      </w:r>
    </w:p>
    <w:p w:rsidR="00000000" w:rsidDel="00000000" w:rsidP="00000000" w:rsidRDefault="00000000" w:rsidRPr="00000000" w14:paraId="00000077">
      <w:pPr>
        <w:rPr/>
      </w:pPr>
      <w:r w:rsidDel="00000000" w:rsidR="00000000" w:rsidRPr="00000000">
        <w:rPr>
          <w:rtl w:val="0"/>
        </w:rPr>
        <w:t xml:space="preserve">The application of Value Chain Analysis (Porter, 1985) helps to identify the most important value-creating activities in M&amp;S.</w:t>
      </w:r>
    </w:p>
    <w:p w:rsidR="00000000" w:rsidDel="00000000" w:rsidP="00000000" w:rsidRDefault="00000000" w:rsidRPr="00000000" w14:paraId="00000078">
      <w:pPr>
        <w:keepNext w:val="1"/>
        <w:jc w:val="center"/>
        <w:rPr/>
      </w:pPr>
      <w:r w:rsidDel="00000000" w:rsidR="00000000" w:rsidRPr="00000000">
        <w:rPr/>
        <w:drawing>
          <wp:inline distB="0" distT="0" distL="0" distR="0">
            <wp:extent cx="4298071" cy="2045935"/>
            <wp:effectExtent b="0" l="0" r="0" t="0"/>
            <wp:docPr descr="https://iedunote.com/img/22367/generic-value-chain.png" id="9" name="image9.png"/>
            <a:graphic>
              <a:graphicData uri="http://schemas.openxmlformats.org/drawingml/2006/picture">
                <pic:pic>
                  <pic:nvPicPr>
                    <pic:cNvPr descr="https://iedunote.com/img/22367/generic-value-chain.png" id="0" name="image9.png"/>
                    <pic:cNvPicPr preferRelativeResize="0"/>
                  </pic:nvPicPr>
                  <pic:blipFill>
                    <a:blip r:embed="rId13"/>
                    <a:srcRect b="7588" l="0" r="0" t="11924"/>
                    <a:stretch>
                      <a:fillRect/>
                    </a:stretch>
                  </pic:blipFill>
                  <pic:spPr>
                    <a:xfrm>
                      <a:off x="0" y="0"/>
                      <a:ext cx="4298071" cy="2045935"/>
                    </a:xfrm>
                    <a:prstGeom prst="rect"/>
                    <a:ln/>
                  </pic:spPr>
                </pic:pic>
              </a:graphicData>
            </a:graphic>
          </wp:inline>
        </w:drawing>
      </w:r>
      <w:r w:rsidDel="00000000" w:rsidR="00000000" w:rsidRPr="00000000">
        <w:rPr>
          <w:rtl w:val="0"/>
        </w:rPr>
      </w:r>
    </w:p>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Figure 7: Value Chain Analysis Framework (Source: Author).</w:t>
      </w:r>
    </w:p>
    <w:p w:rsidR="00000000" w:rsidDel="00000000" w:rsidP="00000000" w:rsidRDefault="00000000" w:rsidRPr="00000000" w14:paraId="0000007A">
      <w:pPr>
        <w:rPr/>
      </w:pPr>
      <w:r w:rsidDel="00000000" w:rsidR="00000000" w:rsidRPr="00000000">
        <w:rPr>
          <w:b w:val="1"/>
          <w:bCs w:val="1"/>
          <w:rtl w:val="0"/>
        </w:rPr>
        <w:t xml:space="preserve">Inbound Logistics:</w:t>
      </w:r>
      <w:r w:rsidDel="00000000" w:rsidR="00000000" w:rsidRPr="00000000">
        <w:rPr>
          <w:rtl w:val="0"/>
        </w:rPr>
        <w:t xml:space="preserve"> Good supplier relationship guarantees uniformity of quality of products, especially foods.</w:t>
      </w:r>
    </w:p>
    <w:p w:rsidR="00000000" w:rsidDel="00000000" w:rsidP="00000000" w:rsidRDefault="00000000" w:rsidRPr="00000000" w14:paraId="0000007B">
      <w:pPr>
        <w:rPr/>
      </w:pPr>
      <w:r w:rsidDel="00000000" w:rsidR="00000000" w:rsidRPr="00000000">
        <w:rPr>
          <w:b w:val="1"/>
          <w:bCs w:val="1"/>
          <w:rtl w:val="0"/>
        </w:rPr>
        <w:t xml:space="preserve">Operation:</w:t>
      </w:r>
      <w:r w:rsidDel="00000000" w:rsidR="00000000" w:rsidRPr="00000000">
        <w:rPr>
          <w:rtl w:val="0"/>
        </w:rPr>
        <w:t xml:space="preserve"> This is due to efficient product development and operations in stores, which help in value creation; however, some of the legacy stores are still cost-intensive.</w:t>
      </w:r>
    </w:p>
    <w:p w:rsidR="00000000" w:rsidDel="00000000" w:rsidP="00000000" w:rsidRDefault="00000000" w:rsidRPr="00000000" w14:paraId="0000007C">
      <w:pPr>
        <w:rPr/>
      </w:pPr>
      <w:r w:rsidDel="00000000" w:rsidR="00000000" w:rsidRPr="00000000">
        <w:rPr>
          <w:b w:val="1"/>
          <w:bCs w:val="1"/>
          <w:rtl w:val="0"/>
        </w:rPr>
        <w:t xml:space="preserve">Outbound Logistics:</w:t>
      </w:r>
      <w:r w:rsidDel="00000000" w:rsidR="00000000" w:rsidRPr="00000000">
        <w:rPr>
          <w:rtl w:val="0"/>
        </w:rPr>
        <w:t xml:space="preserve"> Distribution capabilities are enhanced due to the integration of e-commerce, however, scalability is still a problem.</w:t>
      </w:r>
    </w:p>
    <w:p w:rsidR="00000000" w:rsidDel="00000000" w:rsidP="00000000" w:rsidRDefault="00000000" w:rsidRPr="00000000" w14:paraId="0000007D">
      <w:pPr>
        <w:rPr/>
      </w:pPr>
      <w:r w:rsidDel="00000000" w:rsidR="00000000" w:rsidRPr="00000000">
        <w:rPr>
          <w:b w:val="1"/>
          <w:bCs w:val="1"/>
          <w:rtl w:val="0"/>
        </w:rPr>
        <w:t xml:space="preserve">Marketing and Sales:</w:t>
      </w:r>
      <w:r w:rsidDel="00000000" w:rsidR="00000000" w:rsidRPr="00000000">
        <w:rPr>
          <w:rtl w:val="0"/>
        </w:rPr>
        <w:t xml:space="preserve"> M&amp;S is not dependent on low prices but on the strength of the brand, and recent attempts to re-brand and attract younger audiences.</w:t>
      </w:r>
    </w:p>
    <w:p w:rsidR="00000000" w:rsidDel="00000000" w:rsidP="00000000" w:rsidRDefault="00000000" w:rsidRPr="00000000" w14:paraId="0000007E">
      <w:pPr>
        <w:rPr/>
      </w:pPr>
      <w:r w:rsidDel="00000000" w:rsidR="00000000" w:rsidRPr="00000000">
        <w:rPr>
          <w:b w:val="1"/>
          <w:bCs w:val="1"/>
          <w:rtl w:val="0"/>
        </w:rPr>
        <w:t xml:space="preserve">Service:</w:t>
      </w:r>
      <w:r w:rsidDel="00000000" w:rsidR="00000000" w:rsidRPr="00000000">
        <w:rPr>
          <w:rtl w:val="0"/>
        </w:rPr>
        <w:t xml:space="preserve"> Customer service standards are of high quality which builds brand loyalty and improves customer experience.</w:t>
      </w:r>
    </w:p>
    <w:p w:rsidR="00000000" w:rsidDel="00000000" w:rsidP="00000000" w:rsidRDefault="00000000" w:rsidRPr="00000000" w14:paraId="0000007F">
      <w:pPr>
        <w:rPr/>
      </w:pPr>
      <w:r w:rsidDel="00000000" w:rsidR="00000000" w:rsidRPr="00000000">
        <w:rPr>
          <w:rFonts w:ascii="Geist Fallback" w:cs="Geist Fallback" w:eastAsia="Geist Fallback" w:hAnsi="Geist Fallback"/>
          <w:sz w:val="23"/>
          <w:szCs w:val="23"/>
          <w:rtl w:val="0"/>
        </w:rPr>
        <w:t xml:space="preserve">This means that although M&amp;S can generate value based on quality and brand positioning, its inefficiency in some areas of operation can restrain its cost competitiveness.</w:t>
      </w:r>
      <w:r w:rsidDel="00000000" w:rsidR="00000000" w:rsidRPr="00000000">
        <w:rPr>
          <w:rtl w:val="0"/>
        </w:rPr>
      </w:r>
    </w:p>
    <w:p w:rsidR="00000000" w:rsidDel="00000000" w:rsidP="00000000" w:rsidRDefault="00000000" w:rsidRPr="00000000" w14:paraId="00000080">
      <w:pPr>
        <w:pStyle w:val="Heading2"/>
        <w:rPr/>
      </w:pPr>
      <w:bookmarkStart w:colFirst="0" w:colLast="0" w:name="_j7cgesqnjnb1" w:id="12"/>
      <w:bookmarkEnd w:id="12"/>
      <w:r w:rsidDel="00000000" w:rsidR="00000000" w:rsidRPr="00000000">
        <w:rPr>
          <w:rtl w:val="0"/>
        </w:rPr>
        <w:t xml:space="preserve">Financial and Performance Analysis</w:t>
      </w:r>
    </w:p>
    <w:p w:rsidR="00000000" w:rsidDel="00000000" w:rsidP="00000000" w:rsidRDefault="00000000" w:rsidRPr="00000000" w14:paraId="00000081">
      <w:pPr>
        <w:rPr/>
      </w:pPr>
      <w:r w:rsidDel="00000000" w:rsidR="00000000" w:rsidRPr="00000000">
        <w:rPr>
          <w:rtl w:val="0"/>
        </w:rPr>
        <w:t xml:space="preserve">M&amp;S has shown financial recovery in the past years, which has been mainly contributed by great performances in its food segment. As the latest annual report shows, the growth in revenue has been enabled by both the rise in demand of high-quality food products and the efficiency of its operations (Marks and Spencer Group plc, 2024). Conversely, changing consumer preference and extreme competition has exhibited mixed performance in the clothing and home segment.</w:t>
      </w:r>
    </w:p>
    <w:p w:rsidR="00000000" w:rsidDel="00000000" w:rsidP="00000000" w:rsidRDefault="00000000" w:rsidRPr="00000000" w14:paraId="00000082">
      <w:pPr>
        <w:rPr/>
      </w:pPr>
      <w:r w:rsidDel="00000000" w:rsidR="00000000" w:rsidRPr="00000000">
        <w:rPr>
          <w:rtl w:val="0"/>
        </w:rPr>
        <w:t xml:space="preserve">Profitability has also been enhanced by cost cutting measures such as closing stores and optimisation of the supply chain. Nevertheless, margins are under strain as a result of inflation, the increasing cost of labour, and competitive pricing policies.</w:t>
      </w:r>
    </w:p>
    <w:p w:rsidR="00000000" w:rsidDel="00000000" w:rsidP="00000000" w:rsidRDefault="00000000" w:rsidRPr="00000000" w14:paraId="00000083">
      <w:pPr>
        <w:pStyle w:val="Heading2"/>
        <w:rPr/>
      </w:pPr>
      <w:bookmarkStart w:colFirst="0" w:colLast="0" w:name="_sji1ep2duc5b" w:id="13"/>
      <w:bookmarkEnd w:id="13"/>
      <w:r w:rsidDel="00000000" w:rsidR="00000000" w:rsidRPr="00000000">
        <w:rPr>
          <w:rtl w:val="0"/>
        </w:rPr>
        <w:t xml:space="preserve">SWOT Analysis</w:t>
      </w:r>
    </w:p>
    <w:p w:rsidR="00000000" w:rsidDel="00000000" w:rsidP="00000000" w:rsidRDefault="00000000" w:rsidRPr="00000000" w14:paraId="00000084">
      <w:pPr>
        <w:rPr/>
      </w:pPr>
      <w:r w:rsidDel="00000000" w:rsidR="00000000" w:rsidRPr="00000000">
        <w:rPr>
          <w:rtl w:val="0"/>
        </w:rPr>
        <w:t xml:space="preserve">While the external environment features represent economic rise-up and social dynamics, the internal assessment looks out if the company is ready for the challenges and opportunities within its particulars (Gürel and Tat, 2017).</w:t>
      </w:r>
    </w:p>
    <w:p w:rsidR="00000000" w:rsidDel="00000000" w:rsidP="00000000" w:rsidRDefault="00000000" w:rsidRPr="00000000" w14:paraId="00000085">
      <w:pPr>
        <w:keepNext w:val="1"/>
        <w:jc w:val="center"/>
        <w:rPr/>
      </w:pPr>
      <w:r w:rsidDel="00000000" w:rsidR="00000000" w:rsidRPr="00000000">
        <w:rPr/>
        <w:drawing>
          <wp:inline distB="0" distT="0" distL="0" distR="0">
            <wp:extent cx="3222903" cy="2526250"/>
            <wp:effectExtent b="0" l="0" r="0" t="0"/>
            <wp:docPr id="8" name="image8.png"/>
            <a:graphic>
              <a:graphicData uri="http://schemas.openxmlformats.org/drawingml/2006/picture">
                <pic:pic>
                  <pic:nvPicPr>
                    <pic:cNvPr id="0" name="image8.png"/>
                    <pic:cNvPicPr preferRelativeResize="0"/>
                  </pic:nvPicPr>
                  <pic:blipFill>
                    <a:blip r:embed="rId14"/>
                    <a:srcRect b="0" l="0" r="0" t="0"/>
                    <a:stretch>
                      <a:fillRect/>
                    </a:stretch>
                  </pic:blipFill>
                  <pic:spPr>
                    <a:xfrm>
                      <a:off x="0" y="0"/>
                      <a:ext cx="3222903" cy="2526250"/>
                    </a:xfrm>
                    <a:prstGeom prst="rect"/>
                    <a:ln/>
                  </pic:spPr>
                </pic:pic>
              </a:graphicData>
            </a:graphic>
          </wp:inline>
        </w:drawing>
      </w:r>
      <w:r w:rsidDel="00000000" w:rsidR="00000000" w:rsidRPr="00000000">
        <w:rPr>
          <w:rtl w:val="0"/>
        </w:rPr>
      </w:r>
    </w:p>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Figure 8: SWOT Analysis Framework (Gürel and Tat, 2017).</w:t>
      </w:r>
    </w:p>
    <w:p w:rsidR="00000000" w:rsidDel="00000000" w:rsidP="00000000" w:rsidRDefault="00000000" w:rsidRPr="00000000" w14:paraId="00000087">
      <w:pPr>
        <w:rPr>
          <w:b w:val="1"/>
          <w:bCs w:val="1"/>
        </w:rPr>
      </w:pPr>
      <w:r w:rsidDel="00000000" w:rsidR="00000000" w:rsidRPr="00000000">
        <w:rPr>
          <w:b w:val="1"/>
          <w:bCs w:val="1"/>
          <w:rtl w:val="0"/>
        </w:rPr>
        <w:t xml:space="preserve">Strengths</w:t>
      </w:r>
    </w:p>
    <w:p w:rsidR="00000000" w:rsidDel="00000000" w:rsidP="00000000" w:rsidRDefault="00000000" w:rsidRPr="00000000" w14:paraId="0000008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Good brand equity and consumer confidence.</w:t>
      </w:r>
    </w:p>
    <w:p w:rsidR="00000000" w:rsidDel="00000000" w:rsidP="00000000" w:rsidRDefault="00000000" w:rsidRPr="00000000" w14:paraId="0000008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Unique and quality food segment.</w:t>
      </w:r>
    </w:p>
    <w:p w:rsidR="00000000" w:rsidDel="00000000" w:rsidP="00000000" w:rsidRDefault="00000000" w:rsidRPr="00000000" w14:paraId="0000008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36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Established supplier relationships</w:t>
      </w:r>
    </w:p>
    <w:p w:rsidR="00000000" w:rsidDel="00000000" w:rsidP="00000000" w:rsidRDefault="00000000" w:rsidRPr="00000000" w14:paraId="0000008B">
      <w:pPr>
        <w:rPr>
          <w:b w:val="1"/>
          <w:bCs w:val="1"/>
        </w:rPr>
      </w:pPr>
      <w:r w:rsidDel="00000000" w:rsidR="00000000" w:rsidRPr="00000000">
        <w:rPr>
          <w:b w:val="1"/>
          <w:bCs w:val="1"/>
          <w:rtl w:val="0"/>
        </w:rPr>
        <w:t xml:space="preserve">Weaknesses</w:t>
      </w:r>
    </w:p>
    <w:p w:rsidR="00000000" w:rsidDel="00000000" w:rsidP="00000000" w:rsidRDefault="00000000" w:rsidRPr="00000000" w14:paraId="0000008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Poor performance in clothing department.</w:t>
      </w:r>
    </w:p>
    <w:p w:rsidR="00000000" w:rsidDel="00000000" w:rsidP="00000000" w:rsidRDefault="00000000" w:rsidRPr="00000000" w14:paraId="0000008D">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Relatively low digital competencies.</w:t>
      </w:r>
    </w:p>
    <w:p w:rsidR="00000000" w:rsidDel="00000000" w:rsidP="00000000" w:rsidRDefault="00000000" w:rsidRPr="00000000" w14:paraId="0000008E">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Expensive operation and fixed costs.</w:t>
      </w:r>
    </w:p>
    <w:p w:rsidR="00000000" w:rsidDel="00000000" w:rsidP="00000000" w:rsidRDefault="00000000" w:rsidRPr="00000000" w14:paraId="0000008F">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36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International Markets are not fully efficient and optimised.</w:t>
      </w:r>
    </w:p>
    <w:p w:rsidR="00000000" w:rsidDel="00000000" w:rsidP="00000000" w:rsidRDefault="00000000" w:rsidRPr="00000000" w14:paraId="00000090">
      <w:pPr>
        <w:rPr>
          <w:b w:val="1"/>
          <w:bCs w:val="1"/>
        </w:rPr>
      </w:pPr>
      <w:r w:rsidDel="00000000" w:rsidR="00000000" w:rsidRPr="00000000">
        <w:rPr>
          <w:b w:val="1"/>
          <w:bCs w:val="1"/>
          <w:rtl w:val="0"/>
        </w:rPr>
        <w:t xml:space="preserve">Opportunities</w:t>
      </w:r>
    </w:p>
    <w:p w:rsidR="00000000" w:rsidDel="00000000" w:rsidP="00000000" w:rsidRDefault="00000000" w:rsidRPr="00000000" w14:paraId="00000091">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Growth of online shopping and technology.</w:t>
      </w:r>
    </w:p>
    <w:p w:rsidR="00000000" w:rsidDel="00000000" w:rsidP="00000000" w:rsidRDefault="00000000" w:rsidRPr="00000000" w14:paraId="0000009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Expansion of high-end and ready-to-eat food market.</w:t>
      </w:r>
    </w:p>
    <w:p w:rsidR="00000000" w:rsidDel="00000000" w:rsidP="00000000" w:rsidRDefault="00000000" w:rsidRPr="00000000" w14:paraId="0000009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60" w:before="0" w:line="360" w:lineRule="auto"/>
        <w:ind w:left="36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Leadership in sustainability initiatives</w:t>
      </w:r>
    </w:p>
    <w:p w:rsidR="00000000" w:rsidDel="00000000" w:rsidP="00000000" w:rsidRDefault="00000000" w:rsidRPr="00000000" w14:paraId="00000094">
      <w:pPr>
        <w:rPr>
          <w:b w:val="1"/>
          <w:bCs w:val="1"/>
        </w:rPr>
      </w:pPr>
      <w:r w:rsidDel="00000000" w:rsidR="00000000" w:rsidRPr="00000000">
        <w:rPr>
          <w:b w:val="1"/>
          <w:bCs w:val="1"/>
          <w:rtl w:val="0"/>
        </w:rPr>
        <w:t xml:space="preserve">Threats</w:t>
      </w:r>
    </w:p>
    <w:p w:rsidR="00000000" w:rsidDel="00000000" w:rsidP="00000000" w:rsidRDefault="00000000" w:rsidRPr="00000000" w14:paraId="00000095">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Severe competition between the traditional and online stores.</w:t>
      </w:r>
    </w:p>
    <w:p w:rsidR="00000000" w:rsidDel="00000000" w:rsidP="00000000" w:rsidRDefault="00000000" w:rsidRPr="00000000" w14:paraId="00000096">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Uncertainty in the economy and consumer spending.</w:t>
      </w:r>
    </w:p>
    <w:p w:rsidR="00000000" w:rsidDel="00000000" w:rsidP="00000000" w:rsidRDefault="00000000" w:rsidRPr="00000000" w14:paraId="00000097">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360" w:lineRule="auto"/>
        <w:ind w:left="36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Quickly shifting tastes of consumers.</w:t>
      </w:r>
    </w:p>
    <w:p w:rsidR="00000000" w:rsidDel="00000000" w:rsidP="00000000" w:rsidRDefault="00000000" w:rsidRPr="00000000" w14:paraId="00000098">
      <w:pPr>
        <w:rPr/>
      </w:pPr>
      <w:r w:rsidDel="00000000" w:rsidR="00000000" w:rsidRPr="00000000">
        <w:rPr>
          <w:rtl w:val="0"/>
        </w:rPr>
        <w:t xml:space="preserve">The external environment is very challenging especially because of economic pressure, complexity of the regulatory environment, and high competition. While internally, M&amp;S has a good potential due to high brand equity. The strategic challenge is to use such advantages properly to meet digital developments and customer demands.</w:t>
      </w:r>
    </w:p>
    <w:p w:rsidR="00000000" w:rsidDel="00000000" w:rsidP="00000000" w:rsidRDefault="00000000" w:rsidRPr="00000000" w14:paraId="00000099">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9A">
      <w:pPr>
        <w:pStyle w:val="Heading1"/>
        <w:rPr/>
      </w:pPr>
      <w:bookmarkStart w:colFirst="0" w:colLast="0" w:name="_forp8b9yk0fl" w:id="14"/>
      <w:bookmarkEnd w:id="14"/>
      <w:r w:rsidDel="00000000" w:rsidR="00000000" w:rsidRPr="00000000">
        <w:rPr>
          <w:rtl w:val="0"/>
        </w:rPr>
        <w:t xml:space="preserve">CSR and Sustainability Objectives</w:t>
      </w:r>
    </w:p>
    <w:p w:rsidR="00000000" w:rsidDel="00000000" w:rsidP="00000000" w:rsidRDefault="00000000" w:rsidRPr="00000000" w14:paraId="0000009B">
      <w:pPr>
        <w:rPr/>
      </w:pPr>
      <w:r w:rsidDel="00000000" w:rsidR="00000000" w:rsidRPr="00000000">
        <w:rPr>
          <w:rtl w:val="0"/>
        </w:rPr>
        <w:t xml:space="preserve">Marks &amp; Spencer's corporate social responsibility (CSR) strategy, known as Plan A, is one of the best known corporate sustainability initiatives in the UK retail sector. It was first launched in 2007 with 100 commitments, and then extended in 2020 as "Plan A 2025" with more ambitious targets on climate, packaging, food waste and ethical sourcing (M&amp;S, 2023). The fact that it's called "Plan A, because there is no Plan B" is a reflection of its seriousness, rather than greenwash.</w:t>
      </w:r>
    </w:p>
    <w:p w:rsidR="00000000" w:rsidDel="00000000" w:rsidP="00000000" w:rsidRDefault="00000000" w:rsidRPr="00000000" w14:paraId="0000009C">
      <w:pPr>
        <w:rPr/>
      </w:pPr>
      <w:r w:rsidDel="00000000" w:rsidR="00000000" w:rsidRPr="00000000">
        <w:rPr>
          <w:rtl w:val="0"/>
        </w:rPr>
        <w:t xml:space="preserve">Plan A's core principles are centred on five key areas: climate change, waste, sustainable raw materials, fair partnerships, and health. They are not included in the business as additional targets. Rather they are embedded in M&amp;S business and commercial practices. For instance, the target of sourcing all food from suppliers that comply with the Supplier Ethics framework has flow-on effects in procurement contracts and supplier management (M&amp;S, 2023). Likewise, the target to reach net zero across the value chain by 2040, has informed investments in stores, logistics and own-brand manufacturing (Science Based Targets Initiative, 2022).</w:t>
      </w:r>
    </w:p>
    <w:p w:rsidR="00000000" w:rsidDel="00000000" w:rsidP="00000000" w:rsidRDefault="00000000" w:rsidRPr="00000000" w14:paraId="0000009D">
      <w:pPr>
        <w:rPr/>
      </w:pPr>
      <w:r w:rsidDel="00000000" w:rsidR="00000000" w:rsidRPr="00000000">
        <w:rPr>
          <w:rtl w:val="0"/>
        </w:rPr>
        <w:t xml:space="preserve">The connection between CSR and business goals is clear in the food sector. M&amp;S Food has made freshness, traceability and ethical sourcing an integral part of its luxury offering. When a consumer is prepared to pay more for free-range chicken or a Fairtrade product they are also rewarding the CSR effort. Corporate social responsibility has four components - economic, legal, ethical and philanthropic (Carroll, 1991). M&amp;S seems to incorporate all four rather than weighing them against one another.</w:t>
      </w:r>
    </w:p>
    <w:p w:rsidR="00000000" w:rsidDel="00000000" w:rsidP="00000000" w:rsidRDefault="00000000" w:rsidRPr="00000000" w14:paraId="0000009E">
      <w:pPr>
        <w:rPr/>
      </w:pPr>
      <w:r w:rsidDel="00000000" w:rsidR="00000000" w:rsidRPr="00000000">
        <w:rPr>
          <w:rtl w:val="0"/>
        </w:rPr>
        <w:t xml:space="preserve">However, there are inconsistencies. For example, packaging reduction means that M&amp;S has had to pay more in the short term. Reducing carbon scope 3 emissions is slow, as this is difficult to control in suppliers. Porter and Kramer (2011) suggest creating shared value (commercial gain and societal good) occurs only when firms move beyond compliance to innovation. M&amp;S has achieved this in areas like the Sparks loyalty program, which incentivises sustainable purchasing, but there is still much to do in terms of aligning revenue and sustainability (Henderson, 2020). </w:t>
      </w:r>
    </w:p>
    <w:p w:rsidR="00000000" w:rsidDel="00000000" w:rsidP="00000000" w:rsidRDefault="00000000" w:rsidRPr="00000000" w14:paraId="0000009F">
      <w:pPr>
        <w:spacing w:after="0" w:lineRule="auto"/>
        <w:rPr/>
      </w:pPr>
      <w:r w:rsidDel="00000000" w:rsidR="00000000" w:rsidRPr="00000000">
        <w:rPr>
          <w:rtl w:val="0"/>
        </w:rPr>
        <w:t xml:space="preserve">In summary, Plan A offers M&amp;S a sustainable story that sets it apart and enhances its image as a reputable, high-quality British retailer. The business argument is undeniable: shoppers consider the ethics of the products they buy, particularly food and fashion (Unilever, 2017).</w:t>
      </w:r>
    </w:p>
    <w:p w:rsidR="00000000" w:rsidDel="00000000" w:rsidP="00000000" w:rsidRDefault="00000000" w:rsidRPr="00000000" w14:paraId="000000A0">
      <w:pPr>
        <w:keepNext w:val="1"/>
        <w:spacing w:after="0" w:lineRule="auto"/>
        <w:jc w:val="center"/>
        <w:rPr/>
      </w:pPr>
      <w:r w:rsidDel="00000000" w:rsidR="00000000" w:rsidRPr="00000000">
        <w:rPr/>
        <w:drawing>
          <wp:inline distB="0" distT="0" distL="0" distR="0">
            <wp:extent cx="4949585" cy="2708263"/>
            <wp:effectExtent b="0" l="0" r="0" t="0"/>
            <wp:docPr id="12" name="image12.png"/>
            <a:graphic>
              <a:graphicData uri="http://schemas.openxmlformats.org/drawingml/2006/picture">
                <pic:pic>
                  <pic:nvPicPr>
                    <pic:cNvPr id="0" name="image12.png"/>
                    <pic:cNvPicPr preferRelativeResize="0"/>
                  </pic:nvPicPr>
                  <pic:blipFill>
                    <a:blip r:embed="rId15"/>
                    <a:srcRect b="0" l="0" r="0" t="0"/>
                    <a:stretch>
                      <a:fillRect/>
                    </a:stretch>
                  </pic:blipFill>
                  <pic:spPr>
                    <a:xfrm>
                      <a:off x="0" y="0"/>
                      <a:ext cx="4949585" cy="2708263"/>
                    </a:xfrm>
                    <a:prstGeom prst="rect"/>
                    <a:ln/>
                  </pic:spPr>
                </pic:pic>
              </a:graphicData>
            </a:graphic>
          </wp:inline>
        </w:drawing>
      </w:r>
      <w:r w:rsidDel="00000000" w:rsidR="00000000" w:rsidRPr="00000000">
        <w:rPr>
          <w:rtl w:val="0"/>
        </w:rPr>
      </w:r>
    </w:p>
    <w:p w:rsidR="00000000" w:rsidDel="00000000" w:rsidP="00000000" w:rsidRDefault="00000000" w:rsidRPr="00000000" w14:paraId="000000A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Figure 9: M&amp;S Plan A – CSR Sustainability Pillar Progress (2024). Source: Author's illustration based on M&amp;S Annual Report (2023).</w:t>
      </w:r>
    </w:p>
    <w:p w:rsidR="00000000" w:rsidDel="00000000" w:rsidP="00000000" w:rsidRDefault="00000000" w:rsidRPr="00000000" w14:paraId="000000A2">
      <w:pPr>
        <w:pStyle w:val="Heading1"/>
        <w:rPr/>
      </w:pPr>
      <w:bookmarkStart w:colFirst="0" w:colLast="0" w:name="_z31l0xiinfe3" w:id="15"/>
      <w:bookmarkEnd w:id="15"/>
      <w:r w:rsidDel="00000000" w:rsidR="00000000" w:rsidRPr="00000000">
        <w:rPr>
          <w:rtl w:val="0"/>
        </w:rPr>
        <w:t xml:space="preserve">Broad Understanding of Organisation - Balanced Scorecard</w:t>
      </w:r>
    </w:p>
    <w:p w:rsidR="00000000" w:rsidDel="00000000" w:rsidP="00000000" w:rsidRDefault="00000000" w:rsidRPr="00000000" w14:paraId="000000A3">
      <w:pPr>
        <w:rPr/>
      </w:pPr>
      <w:r w:rsidDel="00000000" w:rsidR="00000000" w:rsidRPr="00000000">
        <w:rPr>
          <w:rtl w:val="0"/>
        </w:rPr>
        <w:t xml:space="preserve">Kaplan and Norton's (1992) Balanced Scorecard, which goes beyond the limitations of the traditional financial perspective to include measures of customer, process and organisational learning perspectives. For an organisation such as M&amp;S - which has a tendency to focus solely on financial measures, the approach is particularly pertinent. The four perspectives are considered below in terms of M&amp;S's current mission statement and strategy.</w:t>
      </w:r>
    </w:p>
    <w:p w:rsidR="00000000" w:rsidDel="00000000" w:rsidP="00000000" w:rsidRDefault="00000000" w:rsidRPr="00000000" w14:paraId="000000A4">
      <w:pPr>
        <w:pStyle w:val="Heading2"/>
        <w:rPr/>
      </w:pPr>
      <w:bookmarkStart w:colFirst="0" w:colLast="0" w:name="_ijn25gdje39g" w:id="16"/>
      <w:bookmarkEnd w:id="16"/>
      <w:r w:rsidDel="00000000" w:rsidR="00000000" w:rsidRPr="00000000">
        <w:rPr>
          <w:rtl w:val="0"/>
        </w:rPr>
        <w:t xml:space="preserve">Financial Perspective</w:t>
      </w:r>
    </w:p>
    <w:p w:rsidR="00000000" w:rsidDel="00000000" w:rsidP="00000000" w:rsidRDefault="00000000" w:rsidRPr="00000000" w14:paraId="000000A5">
      <w:pPr>
        <w:rPr/>
      </w:pPr>
      <w:r w:rsidDel="00000000" w:rsidR="00000000" w:rsidRPr="00000000">
        <w:rPr>
          <w:rtl w:val="0"/>
        </w:rPr>
        <w:t xml:space="preserve">The financial perspective addresses how to achieve financial success and how M&amp;S should look to shareholders. After several years of losses in the clothing sector, M&amp;S's financial performance under CEO Stuart Machin has improved. In 2023-24, the group's turnover increased to £13.1 billion, while pre-tax profit climbed to £840 million - it’s highest in 13 years (M&amp;S, 2024).</w:t>
      </w:r>
    </w:p>
    <w:tbl>
      <w:tblPr>
        <w:tblStyle w:val="Table1"/>
        <w:tblW w:w="9363.0" w:type="dxa"/>
        <w:jc w:val="left"/>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000"/>
      </w:tblPr>
      <w:tblGrid>
        <w:gridCol w:w="2158"/>
        <w:gridCol w:w="2433"/>
        <w:gridCol w:w="2163"/>
        <w:gridCol w:w="2609"/>
        <w:tblGridChange w:id="0">
          <w:tblGrid>
            <w:gridCol w:w="2158"/>
            <w:gridCol w:w="2433"/>
            <w:gridCol w:w="2163"/>
            <w:gridCol w:w="2609"/>
          </w:tblGrid>
        </w:tblGridChange>
      </w:tblGrid>
      <w:tr>
        <w:trPr>
          <w:cantSplit w:val="0"/>
          <w:trHeight w:val="280" w:hRule="atLeast"/>
          <w:tblHeader w:val="0"/>
        </w:trPr>
        <w:tc>
          <w:tcPr/>
          <w:p w:rsidR="00000000" w:rsidDel="00000000" w:rsidP="00000000" w:rsidRDefault="00000000" w:rsidRPr="00000000" w14:paraId="000000A6">
            <w:pPr>
              <w:jc w:val="center"/>
              <w:rPr>
                <w:color w:val="000000"/>
                <w:sz w:val="22"/>
                <w:szCs w:val="22"/>
              </w:rPr>
            </w:pPr>
            <w:r w:rsidDel="00000000" w:rsidR="00000000" w:rsidRPr="00000000">
              <w:rPr>
                <w:b w:val="1"/>
                <w:bCs w:val="1"/>
                <w:color w:val="000000"/>
                <w:sz w:val="22"/>
                <w:szCs w:val="22"/>
                <w:rtl w:val="0"/>
              </w:rPr>
              <w:t xml:space="preserve">Objective</w:t>
            </w:r>
            <w:r w:rsidDel="00000000" w:rsidR="00000000" w:rsidRPr="00000000">
              <w:rPr>
                <w:rtl w:val="0"/>
              </w:rPr>
            </w:r>
          </w:p>
        </w:tc>
        <w:tc>
          <w:tcPr/>
          <w:p w:rsidR="00000000" w:rsidDel="00000000" w:rsidP="00000000" w:rsidRDefault="00000000" w:rsidRPr="00000000" w14:paraId="000000A7">
            <w:pPr>
              <w:jc w:val="center"/>
              <w:rPr>
                <w:color w:val="000000"/>
                <w:sz w:val="22"/>
                <w:szCs w:val="22"/>
              </w:rPr>
            </w:pPr>
            <w:r w:rsidDel="00000000" w:rsidR="00000000" w:rsidRPr="00000000">
              <w:rPr>
                <w:b w:val="1"/>
                <w:bCs w:val="1"/>
                <w:color w:val="000000"/>
                <w:sz w:val="22"/>
                <w:szCs w:val="22"/>
                <w:rtl w:val="0"/>
              </w:rPr>
              <w:t xml:space="preserve">KPI</w:t>
            </w:r>
            <w:r w:rsidDel="00000000" w:rsidR="00000000" w:rsidRPr="00000000">
              <w:rPr>
                <w:rtl w:val="0"/>
              </w:rPr>
            </w:r>
          </w:p>
        </w:tc>
        <w:tc>
          <w:tcPr/>
          <w:p w:rsidR="00000000" w:rsidDel="00000000" w:rsidP="00000000" w:rsidRDefault="00000000" w:rsidRPr="00000000" w14:paraId="000000A8">
            <w:pPr>
              <w:jc w:val="center"/>
              <w:rPr>
                <w:color w:val="000000"/>
                <w:sz w:val="22"/>
                <w:szCs w:val="22"/>
              </w:rPr>
            </w:pPr>
            <w:r w:rsidDel="00000000" w:rsidR="00000000" w:rsidRPr="00000000">
              <w:rPr>
                <w:b w:val="1"/>
                <w:bCs w:val="1"/>
                <w:color w:val="000000"/>
                <w:sz w:val="22"/>
                <w:szCs w:val="22"/>
                <w:rtl w:val="0"/>
              </w:rPr>
              <w:t xml:space="preserve">Target</w:t>
            </w:r>
            <w:r w:rsidDel="00000000" w:rsidR="00000000" w:rsidRPr="00000000">
              <w:rPr>
                <w:rtl w:val="0"/>
              </w:rPr>
            </w:r>
          </w:p>
        </w:tc>
        <w:tc>
          <w:tcPr/>
          <w:p w:rsidR="00000000" w:rsidDel="00000000" w:rsidP="00000000" w:rsidRDefault="00000000" w:rsidRPr="00000000" w14:paraId="000000A9">
            <w:pPr>
              <w:jc w:val="center"/>
              <w:rPr>
                <w:color w:val="000000"/>
                <w:sz w:val="22"/>
                <w:szCs w:val="22"/>
              </w:rPr>
            </w:pPr>
            <w:r w:rsidDel="00000000" w:rsidR="00000000" w:rsidRPr="00000000">
              <w:rPr>
                <w:b w:val="1"/>
                <w:bCs w:val="1"/>
                <w:color w:val="000000"/>
                <w:sz w:val="22"/>
                <w:szCs w:val="22"/>
                <w:rtl w:val="0"/>
              </w:rPr>
              <w:t xml:space="preserve">Initiative</w:t>
            </w:r>
            <w:r w:rsidDel="00000000" w:rsidR="00000000" w:rsidRPr="00000000">
              <w:rPr>
                <w:rtl w:val="0"/>
              </w:rPr>
            </w:r>
          </w:p>
        </w:tc>
      </w:tr>
      <w:tr>
        <w:trPr>
          <w:cantSplit w:val="0"/>
          <w:trHeight w:val="571" w:hRule="atLeast"/>
          <w:tblHeader w:val="0"/>
        </w:trPr>
        <w:tc>
          <w:tcPr/>
          <w:p w:rsidR="00000000" w:rsidDel="00000000" w:rsidP="00000000" w:rsidRDefault="00000000" w:rsidRPr="00000000" w14:paraId="000000AA">
            <w:pPr>
              <w:rPr>
                <w:sz w:val="22"/>
                <w:szCs w:val="22"/>
              </w:rPr>
            </w:pPr>
            <w:r w:rsidDel="00000000" w:rsidR="00000000" w:rsidRPr="00000000">
              <w:rPr>
                <w:b w:val="1"/>
                <w:bCs w:val="1"/>
                <w:sz w:val="22"/>
                <w:szCs w:val="22"/>
                <w:rtl w:val="0"/>
              </w:rPr>
              <w:t xml:space="preserve">Revenue growth</w:t>
            </w:r>
            <w:r w:rsidDel="00000000" w:rsidR="00000000" w:rsidRPr="00000000">
              <w:rPr>
                <w:rtl w:val="0"/>
              </w:rPr>
            </w:r>
          </w:p>
        </w:tc>
        <w:tc>
          <w:tcPr/>
          <w:p w:rsidR="00000000" w:rsidDel="00000000" w:rsidP="00000000" w:rsidRDefault="00000000" w:rsidRPr="00000000" w14:paraId="000000AB">
            <w:pPr>
              <w:jc w:val="center"/>
              <w:rPr>
                <w:sz w:val="22"/>
                <w:szCs w:val="22"/>
              </w:rPr>
            </w:pPr>
            <w:r w:rsidDel="00000000" w:rsidR="00000000" w:rsidRPr="00000000">
              <w:rPr>
                <w:sz w:val="22"/>
                <w:szCs w:val="22"/>
                <w:rtl w:val="0"/>
              </w:rPr>
              <w:t xml:space="preserve">Total group revenue (£bn)</w:t>
            </w:r>
          </w:p>
        </w:tc>
        <w:tc>
          <w:tcPr/>
          <w:p w:rsidR="00000000" w:rsidDel="00000000" w:rsidP="00000000" w:rsidRDefault="00000000" w:rsidRPr="00000000" w14:paraId="000000AC">
            <w:pPr>
              <w:jc w:val="center"/>
              <w:rPr>
                <w:sz w:val="22"/>
                <w:szCs w:val="22"/>
              </w:rPr>
            </w:pPr>
            <w:r w:rsidDel="00000000" w:rsidR="00000000" w:rsidRPr="00000000">
              <w:rPr>
                <w:sz w:val="22"/>
                <w:szCs w:val="22"/>
                <w:rtl w:val="0"/>
              </w:rPr>
              <w:t xml:space="preserve">£14bn by 2026</w:t>
            </w:r>
          </w:p>
        </w:tc>
        <w:tc>
          <w:tcPr/>
          <w:p w:rsidR="00000000" w:rsidDel="00000000" w:rsidP="00000000" w:rsidRDefault="00000000" w:rsidRPr="00000000" w14:paraId="000000AD">
            <w:pPr>
              <w:jc w:val="center"/>
              <w:rPr>
                <w:sz w:val="22"/>
                <w:szCs w:val="22"/>
              </w:rPr>
            </w:pPr>
            <w:r w:rsidDel="00000000" w:rsidR="00000000" w:rsidRPr="00000000">
              <w:rPr>
                <w:sz w:val="22"/>
                <w:szCs w:val="22"/>
                <w:rtl w:val="0"/>
              </w:rPr>
              <w:t xml:space="preserve">Food volume growth; Ocado partnership</w:t>
            </w:r>
          </w:p>
        </w:tc>
      </w:tr>
      <w:tr>
        <w:trPr>
          <w:cantSplit w:val="0"/>
          <w:trHeight w:val="571" w:hRule="atLeast"/>
          <w:tblHeader w:val="0"/>
        </w:trPr>
        <w:tc>
          <w:tcPr/>
          <w:p w:rsidR="00000000" w:rsidDel="00000000" w:rsidP="00000000" w:rsidRDefault="00000000" w:rsidRPr="00000000" w14:paraId="000000AE">
            <w:pPr>
              <w:rPr>
                <w:sz w:val="22"/>
                <w:szCs w:val="22"/>
              </w:rPr>
            </w:pPr>
            <w:r w:rsidDel="00000000" w:rsidR="00000000" w:rsidRPr="00000000">
              <w:rPr>
                <w:b w:val="1"/>
                <w:bCs w:val="1"/>
                <w:sz w:val="22"/>
                <w:szCs w:val="22"/>
                <w:rtl w:val="0"/>
              </w:rPr>
              <w:t xml:space="preserve">Margin improvement</w:t>
            </w:r>
            <w:r w:rsidDel="00000000" w:rsidR="00000000" w:rsidRPr="00000000">
              <w:rPr>
                <w:rtl w:val="0"/>
              </w:rPr>
            </w:r>
          </w:p>
        </w:tc>
        <w:tc>
          <w:tcPr/>
          <w:p w:rsidR="00000000" w:rsidDel="00000000" w:rsidP="00000000" w:rsidRDefault="00000000" w:rsidRPr="00000000" w14:paraId="000000AF">
            <w:pPr>
              <w:jc w:val="center"/>
              <w:rPr>
                <w:sz w:val="22"/>
                <w:szCs w:val="22"/>
              </w:rPr>
            </w:pPr>
            <w:r w:rsidDel="00000000" w:rsidR="00000000" w:rsidRPr="00000000">
              <w:rPr>
                <w:sz w:val="22"/>
                <w:szCs w:val="22"/>
                <w:rtl w:val="0"/>
              </w:rPr>
              <w:t xml:space="preserve">Operating margin (%)</w:t>
            </w:r>
          </w:p>
        </w:tc>
        <w:tc>
          <w:tcPr/>
          <w:p w:rsidR="00000000" w:rsidDel="00000000" w:rsidP="00000000" w:rsidRDefault="00000000" w:rsidRPr="00000000" w14:paraId="000000B0">
            <w:pPr>
              <w:jc w:val="center"/>
              <w:rPr>
                <w:sz w:val="22"/>
                <w:szCs w:val="22"/>
              </w:rPr>
            </w:pPr>
            <w:r w:rsidDel="00000000" w:rsidR="00000000" w:rsidRPr="00000000">
              <w:rPr>
                <w:sz w:val="22"/>
                <w:szCs w:val="22"/>
                <w:rtl w:val="0"/>
              </w:rPr>
              <w:t xml:space="preserve">8% operating margin</w:t>
            </w:r>
          </w:p>
        </w:tc>
        <w:tc>
          <w:tcPr/>
          <w:p w:rsidR="00000000" w:rsidDel="00000000" w:rsidP="00000000" w:rsidRDefault="00000000" w:rsidRPr="00000000" w14:paraId="000000B1">
            <w:pPr>
              <w:jc w:val="center"/>
              <w:rPr>
                <w:sz w:val="22"/>
                <w:szCs w:val="22"/>
              </w:rPr>
            </w:pPr>
            <w:r w:rsidDel="00000000" w:rsidR="00000000" w:rsidRPr="00000000">
              <w:rPr>
                <w:sz w:val="22"/>
                <w:szCs w:val="22"/>
                <w:rtl w:val="0"/>
              </w:rPr>
              <w:t xml:space="preserve">Cost efficiency, supply chain rationalisation</w:t>
            </w:r>
          </w:p>
        </w:tc>
      </w:tr>
      <w:tr>
        <w:trPr>
          <w:cantSplit w:val="0"/>
          <w:trHeight w:val="347" w:hRule="atLeast"/>
          <w:tblHeader w:val="0"/>
        </w:trPr>
        <w:tc>
          <w:tcPr/>
          <w:p w:rsidR="00000000" w:rsidDel="00000000" w:rsidP="00000000" w:rsidRDefault="00000000" w:rsidRPr="00000000" w14:paraId="000000B2">
            <w:pPr>
              <w:rPr>
                <w:sz w:val="22"/>
                <w:szCs w:val="22"/>
              </w:rPr>
            </w:pPr>
            <w:r w:rsidDel="00000000" w:rsidR="00000000" w:rsidRPr="00000000">
              <w:rPr>
                <w:b w:val="1"/>
                <w:bCs w:val="1"/>
                <w:sz w:val="22"/>
                <w:szCs w:val="22"/>
                <w:rtl w:val="0"/>
              </w:rPr>
              <w:t xml:space="preserve">Shareholder returns</w:t>
            </w:r>
            <w:r w:rsidDel="00000000" w:rsidR="00000000" w:rsidRPr="00000000">
              <w:rPr>
                <w:rtl w:val="0"/>
              </w:rPr>
            </w:r>
          </w:p>
        </w:tc>
        <w:tc>
          <w:tcPr/>
          <w:p w:rsidR="00000000" w:rsidDel="00000000" w:rsidP="00000000" w:rsidRDefault="00000000" w:rsidRPr="00000000" w14:paraId="000000B3">
            <w:pPr>
              <w:jc w:val="center"/>
              <w:rPr>
                <w:sz w:val="22"/>
                <w:szCs w:val="22"/>
              </w:rPr>
            </w:pPr>
            <w:r w:rsidDel="00000000" w:rsidR="00000000" w:rsidRPr="00000000">
              <w:rPr>
                <w:sz w:val="22"/>
                <w:szCs w:val="22"/>
                <w:rtl w:val="0"/>
              </w:rPr>
              <w:t xml:space="preserve">Dividend per share / EPS</w:t>
            </w:r>
          </w:p>
        </w:tc>
        <w:tc>
          <w:tcPr/>
          <w:p w:rsidR="00000000" w:rsidDel="00000000" w:rsidP="00000000" w:rsidRDefault="00000000" w:rsidRPr="00000000" w14:paraId="000000B4">
            <w:pPr>
              <w:jc w:val="center"/>
              <w:rPr>
                <w:sz w:val="22"/>
                <w:szCs w:val="22"/>
              </w:rPr>
            </w:pPr>
            <w:r w:rsidDel="00000000" w:rsidR="00000000" w:rsidRPr="00000000">
              <w:rPr>
                <w:sz w:val="22"/>
                <w:szCs w:val="22"/>
                <w:rtl w:val="0"/>
              </w:rPr>
              <w:t xml:space="preserve">Progressive dividend</w:t>
            </w:r>
          </w:p>
        </w:tc>
        <w:tc>
          <w:tcPr/>
          <w:p w:rsidR="00000000" w:rsidDel="00000000" w:rsidP="00000000" w:rsidRDefault="00000000" w:rsidRPr="00000000" w14:paraId="000000B5">
            <w:pPr>
              <w:keepNext w:val="1"/>
              <w:jc w:val="center"/>
              <w:rPr>
                <w:sz w:val="22"/>
                <w:szCs w:val="22"/>
              </w:rPr>
            </w:pPr>
            <w:r w:rsidDel="00000000" w:rsidR="00000000" w:rsidRPr="00000000">
              <w:rPr>
                <w:sz w:val="22"/>
                <w:szCs w:val="22"/>
                <w:rtl w:val="0"/>
              </w:rPr>
              <w:t xml:space="preserve">Capital restructure</w:t>
            </w:r>
          </w:p>
        </w:tc>
      </w:tr>
    </w:tbl>
    <w:p w:rsidR="00000000" w:rsidDel="00000000" w:rsidP="00000000" w:rsidRDefault="00000000" w:rsidRPr="00000000" w14:paraId="000000B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Table 1: M&amp;S Financial Perspective – Balanced Scorecard. Source: Author's own, based on M&amp;S Annual Report (2024) and Kaplan and Norton (1992).</w:t>
      </w:r>
    </w:p>
    <w:p w:rsidR="00000000" w:rsidDel="00000000" w:rsidP="00000000" w:rsidRDefault="00000000" w:rsidRPr="00000000" w14:paraId="000000B7">
      <w:pPr>
        <w:pStyle w:val="Heading2"/>
        <w:rPr/>
      </w:pPr>
      <w:bookmarkStart w:colFirst="0" w:colLast="0" w:name="_apdt0yojckfm" w:id="17"/>
      <w:bookmarkEnd w:id="17"/>
      <w:r w:rsidDel="00000000" w:rsidR="00000000" w:rsidRPr="00000000">
        <w:rPr>
          <w:rtl w:val="0"/>
        </w:rPr>
        <w:t xml:space="preserve">Customer Perspective</w:t>
      </w:r>
    </w:p>
    <w:p w:rsidR="00000000" w:rsidDel="00000000" w:rsidP="00000000" w:rsidRDefault="00000000" w:rsidRPr="00000000" w14:paraId="000000B8">
      <w:pPr>
        <w:spacing w:after="0" w:lineRule="auto"/>
        <w:rPr/>
      </w:pPr>
      <w:r w:rsidDel="00000000" w:rsidR="00000000" w:rsidRPr="00000000">
        <w:rPr>
          <w:rtl w:val="0"/>
        </w:rPr>
        <w:t xml:space="preserve">The customer perspective is about how to achieve the vision, what should M&amp;S look like to a customer in general. Traditionally, M&amp;S has been perceived as expensive and offering poor quality clothes, while its food offering has been a strength (Mellahi et al., 2002). There are signs of improvement in the latest figures, with the Sparks customer loyalty scheme seeing more than 15 million members, and food customer satisfaction scores consistently above the supermarket average (M&amp;S, 2024).</w:t>
      </w:r>
    </w:p>
    <w:tbl>
      <w:tblPr>
        <w:tblStyle w:val="Table2"/>
        <w:tblW w:w="9350.0" w:type="dxa"/>
        <w:jc w:val="center"/>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000"/>
      </w:tblPr>
      <w:tblGrid>
        <w:gridCol w:w="1743"/>
        <w:gridCol w:w="2175"/>
        <w:gridCol w:w="1927"/>
        <w:gridCol w:w="3505"/>
        <w:tblGridChange w:id="0">
          <w:tblGrid>
            <w:gridCol w:w="1743"/>
            <w:gridCol w:w="2175"/>
            <w:gridCol w:w="1927"/>
            <w:gridCol w:w="3505"/>
          </w:tblGrid>
        </w:tblGridChange>
      </w:tblGrid>
      <w:tr>
        <w:trPr>
          <w:cantSplit w:val="0"/>
          <w:trHeight w:val="360" w:hRule="atLeast"/>
          <w:tblHeader w:val="0"/>
        </w:trPr>
        <w:tc>
          <w:tcPr/>
          <w:p w:rsidR="00000000" w:rsidDel="00000000" w:rsidP="00000000" w:rsidRDefault="00000000" w:rsidRPr="00000000" w14:paraId="000000B9">
            <w:pPr>
              <w:jc w:val="center"/>
              <w:rPr>
                <w:color w:val="000000"/>
                <w:sz w:val="22"/>
                <w:szCs w:val="22"/>
              </w:rPr>
            </w:pPr>
            <w:r w:rsidDel="00000000" w:rsidR="00000000" w:rsidRPr="00000000">
              <w:rPr>
                <w:b w:val="1"/>
                <w:bCs w:val="1"/>
                <w:color w:val="000000"/>
                <w:sz w:val="22"/>
                <w:szCs w:val="22"/>
                <w:rtl w:val="0"/>
              </w:rPr>
              <w:t xml:space="preserve">Objective</w:t>
            </w:r>
            <w:r w:rsidDel="00000000" w:rsidR="00000000" w:rsidRPr="00000000">
              <w:rPr>
                <w:rtl w:val="0"/>
              </w:rPr>
            </w:r>
          </w:p>
        </w:tc>
        <w:tc>
          <w:tcPr/>
          <w:p w:rsidR="00000000" w:rsidDel="00000000" w:rsidP="00000000" w:rsidRDefault="00000000" w:rsidRPr="00000000" w14:paraId="000000BA">
            <w:pPr>
              <w:jc w:val="center"/>
              <w:rPr>
                <w:color w:val="000000"/>
                <w:sz w:val="22"/>
                <w:szCs w:val="22"/>
              </w:rPr>
            </w:pPr>
            <w:r w:rsidDel="00000000" w:rsidR="00000000" w:rsidRPr="00000000">
              <w:rPr>
                <w:b w:val="1"/>
                <w:bCs w:val="1"/>
                <w:color w:val="000000"/>
                <w:sz w:val="22"/>
                <w:szCs w:val="22"/>
                <w:rtl w:val="0"/>
              </w:rPr>
              <w:t xml:space="preserve">KPI</w:t>
            </w:r>
            <w:r w:rsidDel="00000000" w:rsidR="00000000" w:rsidRPr="00000000">
              <w:rPr>
                <w:rtl w:val="0"/>
              </w:rPr>
            </w:r>
          </w:p>
        </w:tc>
        <w:tc>
          <w:tcPr/>
          <w:p w:rsidR="00000000" w:rsidDel="00000000" w:rsidP="00000000" w:rsidRDefault="00000000" w:rsidRPr="00000000" w14:paraId="000000BB">
            <w:pPr>
              <w:jc w:val="center"/>
              <w:rPr>
                <w:color w:val="000000"/>
                <w:sz w:val="22"/>
                <w:szCs w:val="22"/>
              </w:rPr>
            </w:pPr>
            <w:r w:rsidDel="00000000" w:rsidR="00000000" w:rsidRPr="00000000">
              <w:rPr>
                <w:b w:val="1"/>
                <w:bCs w:val="1"/>
                <w:color w:val="000000"/>
                <w:sz w:val="22"/>
                <w:szCs w:val="22"/>
                <w:rtl w:val="0"/>
              </w:rPr>
              <w:t xml:space="preserve">Target</w:t>
            </w:r>
            <w:r w:rsidDel="00000000" w:rsidR="00000000" w:rsidRPr="00000000">
              <w:rPr>
                <w:rtl w:val="0"/>
              </w:rPr>
            </w:r>
          </w:p>
        </w:tc>
        <w:tc>
          <w:tcPr/>
          <w:p w:rsidR="00000000" w:rsidDel="00000000" w:rsidP="00000000" w:rsidRDefault="00000000" w:rsidRPr="00000000" w14:paraId="000000BC">
            <w:pPr>
              <w:jc w:val="center"/>
              <w:rPr>
                <w:color w:val="000000"/>
                <w:sz w:val="22"/>
                <w:szCs w:val="22"/>
              </w:rPr>
            </w:pPr>
            <w:r w:rsidDel="00000000" w:rsidR="00000000" w:rsidRPr="00000000">
              <w:rPr>
                <w:b w:val="1"/>
                <w:bCs w:val="1"/>
                <w:color w:val="000000"/>
                <w:sz w:val="22"/>
                <w:szCs w:val="22"/>
                <w:rtl w:val="0"/>
              </w:rPr>
              <w:t xml:space="preserve">Initiative</w:t>
            </w:r>
            <w:r w:rsidDel="00000000" w:rsidR="00000000" w:rsidRPr="00000000">
              <w:rPr>
                <w:rtl w:val="0"/>
              </w:rPr>
            </w:r>
          </w:p>
        </w:tc>
      </w:tr>
      <w:tr>
        <w:trPr>
          <w:cantSplit w:val="0"/>
          <w:trHeight w:val="733" w:hRule="atLeast"/>
          <w:tblHeader w:val="0"/>
        </w:trPr>
        <w:tc>
          <w:tcPr/>
          <w:p w:rsidR="00000000" w:rsidDel="00000000" w:rsidP="00000000" w:rsidRDefault="00000000" w:rsidRPr="00000000" w14:paraId="000000BD">
            <w:pPr>
              <w:rPr>
                <w:sz w:val="22"/>
                <w:szCs w:val="22"/>
              </w:rPr>
            </w:pPr>
            <w:r w:rsidDel="00000000" w:rsidR="00000000" w:rsidRPr="00000000">
              <w:rPr>
                <w:b w:val="1"/>
                <w:bCs w:val="1"/>
                <w:sz w:val="22"/>
                <w:szCs w:val="22"/>
                <w:rtl w:val="0"/>
              </w:rPr>
              <w:t xml:space="preserve">Customer loyalty</w:t>
            </w:r>
            <w:r w:rsidDel="00000000" w:rsidR="00000000" w:rsidRPr="00000000">
              <w:rPr>
                <w:rtl w:val="0"/>
              </w:rPr>
            </w:r>
          </w:p>
        </w:tc>
        <w:tc>
          <w:tcPr/>
          <w:p w:rsidR="00000000" w:rsidDel="00000000" w:rsidP="00000000" w:rsidRDefault="00000000" w:rsidRPr="00000000" w14:paraId="000000BE">
            <w:pPr>
              <w:jc w:val="center"/>
              <w:rPr>
                <w:sz w:val="22"/>
                <w:szCs w:val="22"/>
              </w:rPr>
            </w:pPr>
            <w:r w:rsidDel="00000000" w:rsidR="00000000" w:rsidRPr="00000000">
              <w:rPr>
                <w:sz w:val="22"/>
                <w:szCs w:val="22"/>
                <w:rtl w:val="0"/>
              </w:rPr>
              <w:t xml:space="preserve">Active Sparks members</w:t>
            </w:r>
          </w:p>
        </w:tc>
        <w:tc>
          <w:tcPr/>
          <w:p w:rsidR="00000000" w:rsidDel="00000000" w:rsidP="00000000" w:rsidRDefault="00000000" w:rsidRPr="00000000" w14:paraId="000000BF">
            <w:pPr>
              <w:jc w:val="center"/>
              <w:rPr>
                <w:sz w:val="22"/>
                <w:szCs w:val="22"/>
              </w:rPr>
            </w:pPr>
            <w:r w:rsidDel="00000000" w:rsidR="00000000" w:rsidRPr="00000000">
              <w:rPr>
                <w:sz w:val="22"/>
                <w:szCs w:val="22"/>
                <w:rtl w:val="0"/>
              </w:rPr>
              <w:t xml:space="preserve">18m members by 2025</w:t>
            </w:r>
          </w:p>
        </w:tc>
        <w:tc>
          <w:tcPr/>
          <w:p w:rsidR="00000000" w:rsidDel="00000000" w:rsidP="00000000" w:rsidRDefault="00000000" w:rsidRPr="00000000" w14:paraId="000000C0">
            <w:pPr>
              <w:jc w:val="center"/>
              <w:rPr>
                <w:sz w:val="22"/>
                <w:szCs w:val="22"/>
              </w:rPr>
            </w:pPr>
            <w:r w:rsidDel="00000000" w:rsidR="00000000" w:rsidRPr="00000000">
              <w:rPr>
                <w:sz w:val="22"/>
                <w:szCs w:val="22"/>
                <w:rtl w:val="0"/>
              </w:rPr>
              <w:t xml:space="preserve">Personalised offers, digital engagement</w:t>
            </w:r>
          </w:p>
        </w:tc>
      </w:tr>
      <w:tr>
        <w:trPr>
          <w:cantSplit w:val="0"/>
          <w:trHeight w:val="887" w:hRule="atLeast"/>
          <w:tblHeader w:val="0"/>
        </w:trPr>
        <w:tc>
          <w:tcPr/>
          <w:p w:rsidR="00000000" w:rsidDel="00000000" w:rsidP="00000000" w:rsidRDefault="00000000" w:rsidRPr="00000000" w14:paraId="000000C1">
            <w:pPr>
              <w:rPr>
                <w:sz w:val="22"/>
                <w:szCs w:val="22"/>
              </w:rPr>
            </w:pPr>
            <w:r w:rsidDel="00000000" w:rsidR="00000000" w:rsidRPr="00000000">
              <w:rPr>
                <w:b w:val="1"/>
                <w:bCs w:val="1"/>
                <w:sz w:val="22"/>
                <w:szCs w:val="22"/>
                <w:rtl w:val="0"/>
              </w:rPr>
              <w:t xml:space="preserve">Brand perception</w:t>
            </w:r>
            <w:r w:rsidDel="00000000" w:rsidR="00000000" w:rsidRPr="00000000">
              <w:rPr>
                <w:rtl w:val="0"/>
              </w:rPr>
            </w:r>
          </w:p>
        </w:tc>
        <w:tc>
          <w:tcPr/>
          <w:p w:rsidR="00000000" w:rsidDel="00000000" w:rsidP="00000000" w:rsidRDefault="00000000" w:rsidRPr="00000000" w14:paraId="000000C2">
            <w:pPr>
              <w:jc w:val="center"/>
              <w:rPr>
                <w:sz w:val="22"/>
                <w:szCs w:val="22"/>
              </w:rPr>
            </w:pPr>
            <w:r w:rsidDel="00000000" w:rsidR="00000000" w:rsidRPr="00000000">
              <w:rPr>
                <w:sz w:val="22"/>
                <w:szCs w:val="22"/>
                <w:rtl w:val="0"/>
              </w:rPr>
              <w:t xml:space="preserve">Net Promoter Score (NPS)</w:t>
            </w:r>
          </w:p>
        </w:tc>
        <w:tc>
          <w:tcPr/>
          <w:p w:rsidR="00000000" w:rsidDel="00000000" w:rsidP="00000000" w:rsidRDefault="00000000" w:rsidRPr="00000000" w14:paraId="000000C3">
            <w:pPr>
              <w:jc w:val="center"/>
              <w:rPr>
                <w:sz w:val="22"/>
                <w:szCs w:val="22"/>
              </w:rPr>
            </w:pPr>
            <w:r w:rsidDel="00000000" w:rsidR="00000000" w:rsidRPr="00000000">
              <w:rPr>
                <w:sz w:val="22"/>
                <w:szCs w:val="22"/>
                <w:rtl w:val="0"/>
              </w:rPr>
              <w:t xml:space="preserve">+55 NPS</w:t>
            </w:r>
          </w:p>
        </w:tc>
        <w:tc>
          <w:tcPr/>
          <w:p w:rsidR="00000000" w:rsidDel="00000000" w:rsidP="00000000" w:rsidRDefault="00000000" w:rsidRPr="00000000" w14:paraId="000000C4">
            <w:pPr>
              <w:jc w:val="center"/>
              <w:rPr>
                <w:sz w:val="22"/>
                <w:szCs w:val="22"/>
              </w:rPr>
            </w:pPr>
            <w:r w:rsidDel="00000000" w:rsidR="00000000" w:rsidRPr="00000000">
              <w:rPr>
                <w:sz w:val="22"/>
                <w:szCs w:val="22"/>
                <w:rtl w:val="0"/>
              </w:rPr>
              <w:t xml:space="preserve">Clothing refresh, Womenswear repositioning</w:t>
            </w:r>
          </w:p>
        </w:tc>
      </w:tr>
      <w:tr>
        <w:trPr>
          <w:cantSplit w:val="0"/>
          <w:trHeight w:val="733" w:hRule="atLeast"/>
          <w:tblHeader w:val="0"/>
        </w:trPr>
        <w:tc>
          <w:tcPr/>
          <w:p w:rsidR="00000000" w:rsidDel="00000000" w:rsidP="00000000" w:rsidRDefault="00000000" w:rsidRPr="00000000" w14:paraId="000000C5">
            <w:pPr>
              <w:rPr>
                <w:sz w:val="22"/>
                <w:szCs w:val="22"/>
              </w:rPr>
            </w:pPr>
            <w:r w:rsidDel="00000000" w:rsidR="00000000" w:rsidRPr="00000000">
              <w:rPr>
                <w:b w:val="1"/>
                <w:bCs w:val="1"/>
                <w:sz w:val="22"/>
                <w:szCs w:val="22"/>
                <w:rtl w:val="0"/>
              </w:rPr>
              <w:t xml:space="preserve">Digital conversion</w:t>
            </w:r>
            <w:r w:rsidDel="00000000" w:rsidR="00000000" w:rsidRPr="00000000">
              <w:rPr>
                <w:rtl w:val="0"/>
              </w:rPr>
            </w:r>
          </w:p>
        </w:tc>
        <w:tc>
          <w:tcPr/>
          <w:p w:rsidR="00000000" w:rsidDel="00000000" w:rsidP="00000000" w:rsidRDefault="00000000" w:rsidRPr="00000000" w14:paraId="000000C6">
            <w:pPr>
              <w:jc w:val="center"/>
              <w:rPr>
                <w:sz w:val="22"/>
                <w:szCs w:val="22"/>
              </w:rPr>
            </w:pPr>
            <w:r w:rsidDel="00000000" w:rsidR="00000000" w:rsidRPr="00000000">
              <w:rPr>
                <w:sz w:val="22"/>
                <w:szCs w:val="22"/>
                <w:rtl w:val="0"/>
              </w:rPr>
              <w:t xml:space="preserve">Online sales as % of total</w:t>
            </w:r>
          </w:p>
        </w:tc>
        <w:tc>
          <w:tcPr/>
          <w:p w:rsidR="00000000" w:rsidDel="00000000" w:rsidP="00000000" w:rsidRDefault="00000000" w:rsidRPr="00000000" w14:paraId="000000C7">
            <w:pPr>
              <w:jc w:val="center"/>
              <w:rPr>
                <w:sz w:val="22"/>
                <w:szCs w:val="22"/>
              </w:rPr>
            </w:pPr>
            <w:r w:rsidDel="00000000" w:rsidR="00000000" w:rsidRPr="00000000">
              <w:rPr>
                <w:sz w:val="22"/>
                <w:szCs w:val="22"/>
                <w:rtl w:val="0"/>
              </w:rPr>
              <w:t xml:space="preserve">35% online by 2026</w:t>
            </w:r>
          </w:p>
        </w:tc>
        <w:tc>
          <w:tcPr/>
          <w:p w:rsidR="00000000" w:rsidDel="00000000" w:rsidP="00000000" w:rsidRDefault="00000000" w:rsidRPr="00000000" w14:paraId="000000C8">
            <w:pPr>
              <w:keepNext w:val="1"/>
              <w:jc w:val="center"/>
              <w:rPr>
                <w:sz w:val="22"/>
                <w:szCs w:val="22"/>
              </w:rPr>
            </w:pPr>
            <w:r w:rsidDel="00000000" w:rsidR="00000000" w:rsidRPr="00000000">
              <w:rPr>
                <w:sz w:val="22"/>
                <w:szCs w:val="22"/>
                <w:rtl w:val="0"/>
              </w:rPr>
              <w:t xml:space="preserve">App improvements, Ocado fulfilment</w:t>
            </w:r>
          </w:p>
        </w:tc>
      </w:tr>
    </w:tbl>
    <w:p w:rsidR="00000000" w:rsidDel="00000000" w:rsidP="00000000" w:rsidRDefault="00000000" w:rsidRPr="00000000" w14:paraId="000000C9">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Table 2: &amp;S Customer Perspective – Balanced Scorecard. Source: Author's own, based on M&amp;S Annual Report (2024).</w:t>
      </w:r>
    </w:p>
    <w:p w:rsidR="00000000" w:rsidDel="00000000" w:rsidP="00000000" w:rsidRDefault="00000000" w:rsidRPr="00000000" w14:paraId="000000CA">
      <w:pPr>
        <w:pStyle w:val="Heading2"/>
        <w:rPr/>
      </w:pPr>
      <w:bookmarkStart w:colFirst="0" w:colLast="0" w:name="_6s3bz9l9xsi4" w:id="18"/>
      <w:bookmarkEnd w:id="18"/>
      <w:r w:rsidDel="00000000" w:rsidR="00000000" w:rsidRPr="00000000">
        <w:rPr>
          <w:rtl w:val="0"/>
        </w:rPr>
        <w:t xml:space="preserve">Internal Business Processes Perspective</w:t>
      </w:r>
    </w:p>
    <w:p w:rsidR="00000000" w:rsidDel="00000000" w:rsidP="00000000" w:rsidRDefault="00000000" w:rsidRPr="00000000" w14:paraId="000000CB">
      <w:pPr>
        <w:rPr/>
      </w:pPr>
      <w:r w:rsidDel="00000000" w:rsidR="00000000" w:rsidRPr="00000000">
        <w:rPr>
          <w:rtl w:val="0"/>
        </w:rPr>
        <w:t xml:space="preserve">In this particular perspective, it refers that M&amp;S should diversify in some sectors specifically to keep the competitive edge. Researching previous records, some backlog factors could be determined, such as inefficient supply chain system, less stock, and complicated retail processing. The new strategy has addressed them all in its "Never the Same Again" transformation project (M&amp;S, 2021), including store closures and supply chain investments, as well as a return to full-price selling.</w:t>
      </w:r>
    </w:p>
    <w:tbl>
      <w:tblPr>
        <w:tblStyle w:val="Table3"/>
        <w:tblW w:w="9350.0" w:type="dxa"/>
        <w:jc w:val="left"/>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000"/>
      </w:tblPr>
      <w:tblGrid>
        <w:gridCol w:w="2063"/>
        <w:gridCol w:w="2145"/>
        <w:gridCol w:w="2139"/>
        <w:gridCol w:w="3003"/>
        <w:tblGridChange w:id="0">
          <w:tblGrid>
            <w:gridCol w:w="2063"/>
            <w:gridCol w:w="2145"/>
            <w:gridCol w:w="2139"/>
            <w:gridCol w:w="3003"/>
          </w:tblGrid>
        </w:tblGridChange>
      </w:tblGrid>
      <w:tr>
        <w:trPr>
          <w:cantSplit w:val="0"/>
          <w:tblHeader w:val="0"/>
        </w:trPr>
        <w:tc>
          <w:tcPr/>
          <w:p w:rsidR="00000000" w:rsidDel="00000000" w:rsidP="00000000" w:rsidRDefault="00000000" w:rsidRPr="00000000" w14:paraId="000000CC">
            <w:pPr>
              <w:jc w:val="center"/>
              <w:rPr>
                <w:color w:val="000000"/>
                <w:sz w:val="22"/>
                <w:szCs w:val="22"/>
              </w:rPr>
            </w:pPr>
            <w:r w:rsidDel="00000000" w:rsidR="00000000" w:rsidRPr="00000000">
              <w:rPr>
                <w:b w:val="1"/>
                <w:bCs w:val="1"/>
                <w:color w:val="000000"/>
                <w:sz w:val="22"/>
                <w:szCs w:val="22"/>
                <w:rtl w:val="0"/>
              </w:rPr>
              <w:t xml:space="preserve">Objective</w:t>
            </w:r>
            <w:r w:rsidDel="00000000" w:rsidR="00000000" w:rsidRPr="00000000">
              <w:rPr>
                <w:rtl w:val="0"/>
              </w:rPr>
            </w:r>
          </w:p>
        </w:tc>
        <w:tc>
          <w:tcPr/>
          <w:p w:rsidR="00000000" w:rsidDel="00000000" w:rsidP="00000000" w:rsidRDefault="00000000" w:rsidRPr="00000000" w14:paraId="000000CD">
            <w:pPr>
              <w:jc w:val="center"/>
              <w:rPr>
                <w:color w:val="000000"/>
                <w:sz w:val="22"/>
                <w:szCs w:val="22"/>
              </w:rPr>
            </w:pPr>
            <w:r w:rsidDel="00000000" w:rsidR="00000000" w:rsidRPr="00000000">
              <w:rPr>
                <w:b w:val="1"/>
                <w:bCs w:val="1"/>
                <w:color w:val="000000"/>
                <w:sz w:val="22"/>
                <w:szCs w:val="22"/>
                <w:rtl w:val="0"/>
              </w:rPr>
              <w:t xml:space="preserve">KPI</w:t>
            </w:r>
            <w:r w:rsidDel="00000000" w:rsidR="00000000" w:rsidRPr="00000000">
              <w:rPr>
                <w:rtl w:val="0"/>
              </w:rPr>
            </w:r>
          </w:p>
        </w:tc>
        <w:tc>
          <w:tcPr/>
          <w:p w:rsidR="00000000" w:rsidDel="00000000" w:rsidP="00000000" w:rsidRDefault="00000000" w:rsidRPr="00000000" w14:paraId="000000CE">
            <w:pPr>
              <w:jc w:val="center"/>
              <w:rPr>
                <w:color w:val="000000"/>
                <w:sz w:val="22"/>
                <w:szCs w:val="22"/>
              </w:rPr>
            </w:pPr>
            <w:r w:rsidDel="00000000" w:rsidR="00000000" w:rsidRPr="00000000">
              <w:rPr>
                <w:b w:val="1"/>
                <w:bCs w:val="1"/>
                <w:color w:val="000000"/>
                <w:sz w:val="22"/>
                <w:szCs w:val="22"/>
                <w:rtl w:val="0"/>
              </w:rPr>
              <w:t xml:space="preserve">Target</w:t>
            </w:r>
            <w:r w:rsidDel="00000000" w:rsidR="00000000" w:rsidRPr="00000000">
              <w:rPr>
                <w:rtl w:val="0"/>
              </w:rPr>
            </w:r>
          </w:p>
        </w:tc>
        <w:tc>
          <w:tcPr/>
          <w:p w:rsidR="00000000" w:rsidDel="00000000" w:rsidP="00000000" w:rsidRDefault="00000000" w:rsidRPr="00000000" w14:paraId="000000CF">
            <w:pPr>
              <w:jc w:val="center"/>
              <w:rPr>
                <w:color w:val="000000"/>
                <w:sz w:val="22"/>
                <w:szCs w:val="22"/>
              </w:rPr>
            </w:pPr>
            <w:r w:rsidDel="00000000" w:rsidR="00000000" w:rsidRPr="00000000">
              <w:rPr>
                <w:b w:val="1"/>
                <w:bCs w:val="1"/>
                <w:color w:val="000000"/>
                <w:sz w:val="22"/>
                <w:szCs w:val="22"/>
                <w:rtl w:val="0"/>
              </w:rPr>
              <w:t xml:space="preserve">Initiative</w:t>
            </w:r>
            <w:r w:rsidDel="00000000" w:rsidR="00000000" w:rsidRPr="00000000">
              <w:rPr>
                <w:rtl w:val="0"/>
              </w:rPr>
            </w:r>
          </w:p>
        </w:tc>
      </w:tr>
      <w:tr>
        <w:trPr>
          <w:cantSplit w:val="0"/>
          <w:tblHeader w:val="0"/>
        </w:trPr>
        <w:tc>
          <w:tcPr/>
          <w:p w:rsidR="00000000" w:rsidDel="00000000" w:rsidP="00000000" w:rsidRDefault="00000000" w:rsidRPr="00000000" w14:paraId="000000D0">
            <w:pPr>
              <w:rPr>
                <w:sz w:val="22"/>
                <w:szCs w:val="22"/>
              </w:rPr>
            </w:pPr>
            <w:r w:rsidDel="00000000" w:rsidR="00000000" w:rsidRPr="00000000">
              <w:rPr>
                <w:b w:val="1"/>
                <w:bCs w:val="1"/>
                <w:sz w:val="22"/>
                <w:szCs w:val="22"/>
                <w:rtl w:val="0"/>
              </w:rPr>
              <w:t xml:space="preserve">Supply chain efficiency</w:t>
            </w:r>
            <w:r w:rsidDel="00000000" w:rsidR="00000000" w:rsidRPr="00000000">
              <w:rPr>
                <w:rtl w:val="0"/>
              </w:rPr>
            </w:r>
          </w:p>
        </w:tc>
        <w:tc>
          <w:tcPr/>
          <w:p w:rsidR="00000000" w:rsidDel="00000000" w:rsidP="00000000" w:rsidRDefault="00000000" w:rsidRPr="00000000" w14:paraId="000000D1">
            <w:pPr>
              <w:jc w:val="center"/>
              <w:rPr>
                <w:sz w:val="22"/>
                <w:szCs w:val="22"/>
              </w:rPr>
            </w:pPr>
            <w:r w:rsidDel="00000000" w:rsidR="00000000" w:rsidRPr="00000000">
              <w:rPr>
                <w:sz w:val="22"/>
                <w:szCs w:val="22"/>
                <w:rtl w:val="0"/>
              </w:rPr>
              <w:t xml:space="preserve">Stock turn ratio</w:t>
            </w:r>
          </w:p>
        </w:tc>
        <w:tc>
          <w:tcPr/>
          <w:p w:rsidR="00000000" w:rsidDel="00000000" w:rsidP="00000000" w:rsidRDefault="00000000" w:rsidRPr="00000000" w14:paraId="000000D2">
            <w:pPr>
              <w:jc w:val="center"/>
              <w:rPr>
                <w:sz w:val="22"/>
                <w:szCs w:val="22"/>
              </w:rPr>
            </w:pPr>
            <w:r w:rsidDel="00000000" w:rsidR="00000000" w:rsidRPr="00000000">
              <w:rPr>
                <w:sz w:val="22"/>
                <w:szCs w:val="22"/>
                <w:rtl w:val="0"/>
              </w:rPr>
              <w:t xml:space="preserve">Reduce lead times by 30%</w:t>
            </w:r>
          </w:p>
        </w:tc>
        <w:tc>
          <w:tcPr/>
          <w:p w:rsidR="00000000" w:rsidDel="00000000" w:rsidP="00000000" w:rsidRDefault="00000000" w:rsidRPr="00000000" w14:paraId="000000D3">
            <w:pPr>
              <w:jc w:val="center"/>
              <w:rPr>
                <w:sz w:val="22"/>
                <w:szCs w:val="22"/>
              </w:rPr>
            </w:pPr>
            <w:r w:rsidDel="00000000" w:rsidR="00000000" w:rsidRPr="00000000">
              <w:rPr>
                <w:sz w:val="22"/>
                <w:szCs w:val="22"/>
                <w:rtl w:val="0"/>
              </w:rPr>
              <w:t xml:space="preserve">Near-sourcing, supplier consolidation</w:t>
            </w:r>
          </w:p>
        </w:tc>
      </w:tr>
      <w:tr>
        <w:trPr>
          <w:cantSplit w:val="0"/>
          <w:tblHeader w:val="0"/>
        </w:trPr>
        <w:tc>
          <w:tcPr/>
          <w:p w:rsidR="00000000" w:rsidDel="00000000" w:rsidP="00000000" w:rsidRDefault="00000000" w:rsidRPr="00000000" w14:paraId="000000D4">
            <w:pPr>
              <w:rPr>
                <w:sz w:val="22"/>
                <w:szCs w:val="22"/>
              </w:rPr>
            </w:pPr>
            <w:r w:rsidDel="00000000" w:rsidR="00000000" w:rsidRPr="00000000">
              <w:rPr>
                <w:b w:val="1"/>
                <w:bCs w:val="1"/>
                <w:sz w:val="22"/>
                <w:szCs w:val="22"/>
                <w:rtl w:val="0"/>
              </w:rPr>
              <w:t xml:space="preserve">Full-price sell-through</w:t>
            </w:r>
            <w:r w:rsidDel="00000000" w:rsidR="00000000" w:rsidRPr="00000000">
              <w:rPr>
                <w:rtl w:val="0"/>
              </w:rPr>
            </w:r>
          </w:p>
        </w:tc>
        <w:tc>
          <w:tcPr/>
          <w:p w:rsidR="00000000" w:rsidDel="00000000" w:rsidP="00000000" w:rsidRDefault="00000000" w:rsidRPr="00000000" w14:paraId="000000D5">
            <w:pPr>
              <w:jc w:val="center"/>
              <w:rPr>
                <w:sz w:val="22"/>
                <w:szCs w:val="22"/>
              </w:rPr>
            </w:pPr>
            <w:r w:rsidDel="00000000" w:rsidR="00000000" w:rsidRPr="00000000">
              <w:rPr>
                <w:sz w:val="22"/>
                <w:szCs w:val="22"/>
                <w:rtl w:val="0"/>
              </w:rPr>
              <w:t xml:space="preserve">% products sold at full price</w:t>
            </w:r>
          </w:p>
        </w:tc>
        <w:tc>
          <w:tcPr/>
          <w:p w:rsidR="00000000" w:rsidDel="00000000" w:rsidP="00000000" w:rsidRDefault="00000000" w:rsidRPr="00000000" w14:paraId="000000D6">
            <w:pPr>
              <w:jc w:val="center"/>
              <w:rPr>
                <w:sz w:val="22"/>
                <w:szCs w:val="22"/>
              </w:rPr>
            </w:pPr>
            <w:r w:rsidDel="00000000" w:rsidR="00000000" w:rsidRPr="00000000">
              <w:rPr>
                <w:sz w:val="22"/>
                <w:szCs w:val="22"/>
                <w:rtl w:val="0"/>
              </w:rPr>
              <w:t xml:space="preserve">&gt;80% full-price sell-through</w:t>
            </w:r>
          </w:p>
        </w:tc>
        <w:tc>
          <w:tcPr/>
          <w:p w:rsidR="00000000" w:rsidDel="00000000" w:rsidP="00000000" w:rsidRDefault="00000000" w:rsidRPr="00000000" w14:paraId="000000D7">
            <w:pPr>
              <w:jc w:val="center"/>
              <w:rPr>
                <w:sz w:val="22"/>
                <w:szCs w:val="22"/>
              </w:rPr>
            </w:pPr>
            <w:r w:rsidDel="00000000" w:rsidR="00000000" w:rsidRPr="00000000">
              <w:rPr>
                <w:sz w:val="22"/>
                <w:szCs w:val="22"/>
                <w:rtl w:val="0"/>
              </w:rPr>
              <w:t xml:space="preserve">Range rationalisation, improved buying</w:t>
            </w:r>
          </w:p>
        </w:tc>
      </w:tr>
      <w:tr>
        <w:trPr>
          <w:cantSplit w:val="0"/>
          <w:tblHeader w:val="0"/>
        </w:trPr>
        <w:tc>
          <w:tcPr/>
          <w:p w:rsidR="00000000" w:rsidDel="00000000" w:rsidP="00000000" w:rsidRDefault="00000000" w:rsidRPr="00000000" w14:paraId="000000D8">
            <w:pPr>
              <w:rPr>
                <w:sz w:val="22"/>
                <w:szCs w:val="22"/>
              </w:rPr>
            </w:pPr>
            <w:r w:rsidDel="00000000" w:rsidR="00000000" w:rsidRPr="00000000">
              <w:rPr>
                <w:b w:val="1"/>
                <w:bCs w:val="1"/>
                <w:sz w:val="22"/>
                <w:szCs w:val="22"/>
                <w:rtl w:val="0"/>
              </w:rPr>
              <w:t xml:space="preserve">Store productivity</w:t>
            </w:r>
            <w:r w:rsidDel="00000000" w:rsidR="00000000" w:rsidRPr="00000000">
              <w:rPr>
                <w:rtl w:val="0"/>
              </w:rPr>
            </w:r>
          </w:p>
        </w:tc>
        <w:tc>
          <w:tcPr/>
          <w:p w:rsidR="00000000" w:rsidDel="00000000" w:rsidP="00000000" w:rsidRDefault="00000000" w:rsidRPr="00000000" w14:paraId="000000D9">
            <w:pPr>
              <w:jc w:val="center"/>
              <w:rPr>
                <w:sz w:val="22"/>
                <w:szCs w:val="22"/>
              </w:rPr>
            </w:pPr>
            <w:r w:rsidDel="00000000" w:rsidR="00000000" w:rsidRPr="00000000">
              <w:rPr>
                <w:sz w:val="22"/>
                <w:szCs w:val="22"/>
                <w:rtl w:val="0"/>
              </w:rPr>
              <w:t xml:space="preserve">Revenue per sq ft</w:t>
            </w:r>
          </w:p>
        </w:tc>
        <w:tc>
          <w:tcPr/>
          <w:p w:rsidR="00000000" w:rsidDel="00000000" w:rsidP="00000000" w:rsidRDefault="00000000" w:rsidRPr="00000000" w14:paraId="000000DA">
            <w:pPr>
              <w:jc w:val="center"/>
              <w:rPr>
                <w:sz w:val="22"/>
                <w:szCs w:val="22"/>
              </w:rPr>
            </w:pPr>
            <w:r w:rsidDel="00000000" w:rsidR="00000000" w:rsidRPr="00000000">
              <w:rPr>
                <w:sz w:val="22"/>
                <w:szCs w:val="22"/>
                <w:rtl w:val="0"/>
              </w:rPr>
              <w:t xml:space="preserve">Beat sector average</w:t>
            </w:r>
          </w:p>
        </w:tc>
        <w:tc>
          <w:tcPr/>
          <w:p w:rsidR="00000000" w:rsidDel="00000000" w:rsidP="00000000" w:rsidRDefault="00000000" w:rsidRPr="00000000" w14:paraId="000000DB">
            <w:pPr>
              <w:keepNext w:val="1"/>
              <w:jc w:val="center"/>
              <w:rPr>
                <w:sz w:val="22"/>
                <w:szCs w:val="22"/>
              </w:rPr>
            </w:pPr>
            <w:r w:rsidDel="00000000" w:rsidR="00000000" w:rsidRPr="00000000">
              <w:rPr>
                <w:sz w:val="22"/>
                <w:szCs w:val="22"/>
                <w:rtl w:val="0"/>
              </w:rPr>
              <w:t xml:space="preserve">Rotate store estate to Retail Parks</w:t>
            </w:r>
          </w:p>
        </w:tc>
      </w:tr>
    </w:tbl>
    <w:p w:rsidR="00000000" w:rsidDel="00000000" w:rsidP="00000000" w:rsidRDefault="00000000" w:rsidRPr="00000000" w14:paraId="000000D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Table 3: M&amp;S Internal Processes Perspective – Balanced Scorecard. Source: Author's own</w:t>
      </w:r>
    </w:p>
    <w:p w:rsidR="00000000" w:rsidDel="00000000" w:rsidP="00000000" w:rsidRDefault="00000000" w:rsidRPr="00000000" w14:paraId="000000DD">
      <w:pPr>
        <w:pStyle w:val="Heading2"/>
        <w:rPr/>
      </w:pPr>
      <w:bookmarkStart w:colFirst="0" w:colLast="0" w:name="_gg5dblo8oyl0" w:id="19"/>
      <w:bookmarkEnd w:id="19"/>
      <w:r w:rsidDel="00000000" w:rsidR="00000000" w:rsidRPr="00000000">
        <w:rPr>
          <w:rtl w:val="0"/>
        </w:rPr>
        <w:t xml:space="preserve">Learning and Growth Perspective</w:t>
      </w:r>
    </w:p>
    <w:p w:rsidR="00000000" w:rsidDel="00000000" w:rsidP="00000000" w:rsidRDefault="00000000" w:rsidRPr="00000000" w14:paraId="000000DE">
      <w:pPr>
        <w:rPr/>
      </w:pPr>
      <w:r w:rsidDel="00000000" w:rsidR="00000000" w:rsidRPr="00000000">
        <w:rPr>
          <w:rtl w:val="0"/>
        </w:rPr>
        <w:t xml:space="preserve">The fourth question connects how to fulfil its vision and how the company will keep learning and growing. This is arguably the most important factor for a retailer that spent much of the 2010s being incapable of incorporating digital changes and shifting demographics. M&amp;S has focused on data and management capability and cultural change. According to Kaplan and Norton (1992), human resource, information systems and organisational alignment are the foundation for all other scorecard success.</w:t>
      </w:r>
    </w:p>
    <w:tbl>
      <w:tblPr>
        <w:tblStyle w:val="Table4"/>
        <w:tblW w:w="9350.0" w:type="dxa"/>
        <w:jc w:val="left"/>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000"/>
      </w:tblPr>
      <w:tblGrid>
        <w:gridCol w:w="1874"/>
        <w:gridCol w:w="2185"/>
        <w:gridCol w:w="2209"/>
        <w:gridCol w:w="3082"/>
        <w:tblGridChange w:id="0">
          <w:tblGrid>
            <w:gridCol w:w="1874"/>
            <w:gridCol w:w="2185"/>
            <w:gridCol w:w="2209"/>
            <w:gridCol w:w="3082"/>
          </w:tblGrid>
        </w:tblGridChange>
      </w:tblGrid>
      <w:tr>
        <w:trPr>
          <w:cantSplit w:val="0"/>
          <w:tblHeader w:val="0"/>
        </w:trPr>
        <w:tc>
          <w:tcPr/>
          <w:p w:rsidR="00000000" w:rsidDel="00000000" w:rsidP="00000000" w:rsidRDefault="00000000" w:rsidRPr="00000000" w14:paraId="000000DF">
            <w:pPr>
              <w:jc w:val="center"/>
              <w:rPr>
                <w:color w:val="000000"/>
                <w:sz w:val="22"/>
                <w:szCs w:val="22"/>
              </w:rPr>
            </w:pPr>
            <w:r w:rsidDel="00000000" w:rsidR="00000000" w:rsidRPr="00000000">
              <w:rPr>
                <w:b w:val="1"/>
                <w:bCs w:val="1"/>
                <w:color w:val="000000"/>
                <w:sz w:val="22"/>
                <w:szCs w:val="22"/>
                <w:rtl w:val="0"/>
              </w:rPr>
              <w:t xml:space="preserve">Objective</w:t>
            </w:r>
            <w:r w:rsidDel="00000000" w:rsidR="00000000" w:rsidRPr="00000000">
              <w:rPr>
                <w:rtl w:val="0"/>
              </w:rPr>
            </w:r>
          </w:p>
        </w:tc>
        <w:tc>
          <w:tcPr/>
          <w:p w:rsidR="00000000" w:rsidDel="00000000" w:rsidP="00000000" w:rsidRDefault="00000000" w:rsidRPr="00000000" w14:paraId="000000E0">
            <w:pPr>
              <w:jc w:val="center"/>
              <w:rPr>
                <w:color w:val="000000"/>
                <w:sz w:val="22"/>
                <w:szCs w:val="22"/>
              </w:rPr>
            </w:pPr>
            <w:r w:rsidDel="00000000" w:rsidR="00000000" w:rsidRPr="00000000">
              <w:rPr>
                <w:b w:val="1"/>
                <w:bCs w:val="1"/>
                <w:color w:val="000000"/>
                <w:sz w:val="22"/>
                <w:szCs w:val="22"/>
                <w:rtl w:val="0"/>
              </w:rPr>
              <w:t xml:space="preserve">KPI</w:t>
            </w:r>
            <w:r w:rsidDel="00000000" w:rsidR="00000000" w:rsidRPr="00000000">
              <w:rPr>
                <w:rtl w:val="0"/>
              </w:rPr>
            </w:r>
          </w:p>
        </w:tc>
        <w:tc>
          <w:tcPr/>
          <w:p w:rsidR="00000000" w:rsidDel="00000000" w:rsidP="00000000" w:rsidRDefault="00000000" w:rsidRPr="00000000" w14:paraId="000000E1">
            <w:pPr>
              <w:jc w:val="center"/>
              <w:rPr>
                <w:color w:val="000000"/>
                <w:sz w:val="22"/>
                <w:szCs w:val="22"/>
              </w:rPr>
            </w:pPr>
            <w:r w:rsidDel="00000000" w:rsidR="00000000" w:rsidRPr="00000000">
              <w:rPr>
                <w:b w:val="1"/>
                <w:bCs w:val="1"/>
                <w:color w:val="000000"/>
                <w:sz w:val="22"/>
                <w:szCs w:val="22"/>
                <w:rtl w:val="0"/>
              </w:rPr>
              <w:t xml:space="preserve">Target</w:t>
            </w:r>
            <w:r w:rsidDel="00000000" w:rsidR="00000000" w:rsidRPr="00000000">
              <w:rPr>
                <w:rtl w:val="0"/>
              </w:rPr>
            </w:r>
          </w:p>
        </w:tc>
        <w:tc>
          <w:tcPr/>
          <w:p w:rsidR="00000000" w:rsidDel="00000000" w:rsidP="00000000" w:rsidRDefault="00000000" w:rsidRPr="00000000" w14:paraId="000000E2">
            <w:pPr>
              <w:jc w:val="center"/>
              <w:rPr>
                <w:color w:val="000000"/>
                <w:sz w:val="22"/>
                <w:szCs w:val="22"/>
              </w:rPr>
            </w:pPr>
            <w:r w:rsidDel="00000000" w:rsidR="00000000" w:rsidRPr="00000000">
              <w:rPr>
                <w:b w:val="1"/>
                <w:bCs w:val="1"/>
                <w:color w:val="000000"/>
                <w:sz w:val="22"/>
                <w:szCs w:val="22"/>
                <w:rtl w:val="0"/>
              </w:rPr>
              <w:t xml:space="preserve">Initiative</w:t>
            </w:r>
            <w:r w:rsidDel="00000000" w:rsidR="00000000" w:rsidRPr="00000000">
              <w:rPr>
                <w:rtl w:val="0"/>
              </w:rPr>
            </w:r>
          </w:p>
        </w:tc>
      </w:tr>
      <w:tr>
        <w:trPr>
          <w:cantSplit w:val="0"/>
          <w:tblHeader w:val="0"/>
        </w:trPr>
        <w:tc>
          <w:tcPr/>
          <w:p w:rsidR="00000000" w:rsidDel="00000000" w:rsidP="00000000" w:rsidRDefault="00000000" w:rsidRPr="00000000" w14:paraId="000000E3">
            <w:pPr>
              <w:rPr>
                <w:sz w:val="22"/>
                <w:szCs w:val="22"/>
              </w:rPr>
            </w:pPr>
            <w:r w:rsidDel="00000000" w:rsidR="00000000" w:rsidRPr="00000000">
              <w:rPr>
                <w:b w:val="1"/>
                <w:bCs w:val="1"/>
                <w:sz w:val="22"/>
                <w:szCs w:val="22"/>
                <w:rtl w:val="0"/>
              </w:rPr>
              <w:t xml:space="preserve">Digital capability</w:t>
            </w:r>
            <w:r w:rsidDel="00000000" w:rsidR="00000000" w:rsidRPr="00000000">
              <w:rPr>
                <w:rtl w:val="0"/>
              </w:rPr>
            </w:r>
          </w:p>
        </w:tc>
        <w:tc>
          <w:tcPr/>
          <w:p w:rsidR="00000000" w:rsidDel="00000000" w:rsidP="00000000" w:rsidRDefault="00000000" w:rsidRPr="00000000" w14:paraId="000000E4">
            <w:pPr>
              <w:jc w:val="center"/>
              <w:rPr>
                <w:sz w:val="22"/>
                <w:szCs w:val="22"/>
              </w:rPr>
            </w:pPr>
            <w:r w:rsidDel="00000000" w:rsidR="00000000" w:rsidRPr="00000000">
              <w:rPr>
                <w:sz w:val="22"/>
                <w:szCs w:val="22"/>
                <w:rtl w:val="0"/>
              </w:rPr>
              <w:t xml:space="preserve">Tech talent &amp; data roles filled</w:t>
            </w:r>
          </w:p>
        </w:tc>
        <w:tc>
          <w:tcPr/>
          <w:p w:rsidR="00000000" w:rsidDel="00000000" w:rsidP="00000000" w:rsidRDefault="00000000" w:rsidRPr="00000000" w14:paraId="000000E5">
            <w:pPr>
              <w:jc w:val="center"/>
              <w:rPr>
                <w:sz w:val="22"/>
                <w:szCs w:val="22"/>
              </w:rPr>
            </w:pPr>
            <w:r w:rsidDel="00000000" w:rsidR="00000000" w:rsidRPr="00000000">
              <w:rPr>
                <w:sz w:val="22"/>
                <w:szCs w:val="22"/>
                <w:rtl w:val="0"/>
              </w:rPr>
              <w:t xml:space="preserve">+500 tech roles by 2025</w:t>
            </w:r>
          </w:p>
        </w:tc>
        <w:tc>
          <w:tcPr/>
          <w:p w:rsidR="00000000" w:rsidDel="00000000" w:rsidP="00000000" w:rsidRDefault="00000000" w:rsidRPr="00000000" w14:paraId="000000E6">
            <w:pPr>
              <w:jc w:val="center"/>
              <w:rPr>
                <w:sz w:val="22"/>
                <w:szCs w:val="22"/>
              </w:rPr>
            </w:pPr>
            <w:r w:rsidDel="00000000" w:rsidR="00000000" w:rsidRPr="00000000">
              <w:rPr>
                <w:sz w:val="22"/>
                <w:szCs w:val="22"/>
                <w:rtl w:val="0"/>
              </w:rPr>
              <w:t xml:space="preserve">Digitech investment, partnership with MS Azure</w:t>
            </w:r>
          </w:p>
        </w:tc>
      </w:tr>
      <w:tr>
        <w:trPr>
          <w:cantSplit w:val="0"/>
          <w:tblHeader w:val="0"/>
        </w:trPr>
        <w:tc>
          <w:tcPr/>
          <w:p w:rsidR="00000000" w:rsidDel="00000000" w:rsidP="00000000" w:rsidRDefault="00000000" w:rsidRPr="00000000" w14:paraId="000000E7">
            <w:pPr>
              <w:rPr>
                <w:sz w:val="22"/>
                <w:szCs w:val="22"/>
              </w:rPr>
            </w:pPr>
            <w:r w:rsidDel="00000000" w:rsidR="00000000" w:rsidRPr="00000000">
              <w:rPr>
                <w:b w:val="1"/>
                <w:bCs w:val="1"/>
                <w:sz w:val="22"/>
                <w:szCs w:val="22"/>
                <w:rtl w:val="0"/>
              </w:rPr>
              <w:t xml:space="preserve">Employee engagement</w:t>
            </w:r>
            <w:r w:rsidDel="00000000" w:rsidR="00000000" w:rsidRPr="00000000">
              <w:rPr>
                <w:rtl w:val="0"/>
              </w:rPr>
            </w:r>
          </w:p>
        </w:tc>
        <w:tc>
          <w:tcPr/>
          <w:p w:rsidR="00000000" w:rsidDel="00000000" w:rsidP="00000000" w:rsidRDefault="00000000" w:rsidRPr="00000000" w14:paraId="000000E8">
            <w:pPr>
              <w:jc w:val="center"/>
              <w:rPr>
                <w:sz w:val="22"/>
                <w:szCs w:val="22"/>
              </w:rPr>
            </w:pPr>
            <w:r w:rsidDel="00000000" w:rsidR="00000000" w:rsidRPr="00000000">
              <w:rPr>
                <w:sz w:val="22"/>
                <w:szCs w:val="22"/>
                <w:rtl w:val="0"/>
              </w:rPr>
              <w:t xml:space="preserve">Colleague engagement score</w:t>
            </w:r>
          </w:p>
        </w:tc>
        <w:tc>
          <w:tcPr/>
          <w:p w:rsidR="00000000" w:rsidDel="00000000" w:rsidP="00000000" w:rsidRDefault="00000000" w:rsidRPr="00000000" w14:paraId="000000E9">
            <w:pPr>
              <w:jc w:val="center"/>
              <w:rPr>
                <w:sz w:val="22"/>
                <w:szCs w:val="22"/>
              </w:rPr>
            </w:pPr>
            <w:r w:rsidDel="00000000" w:rsidR="00000000" w:rsidRPr="00000000">
              <w:rPr>
                <w:sz w:val="22"/>
                <w:szCs w:val="22"/>
                <w:rtl w:val="0"/>
              </w:rPr>
              <w:t xml:space="preserve">&gt;75% engagement</w:t>
            </w:r>
          </w:p>
        </w:tc>
        <w:tc>
          <w:tcPr/>
          <w:p w:rsidR="00000000" w:rsidDel="00000000" w:rsidP="00000000" w:rsidRDefault="00000000" w:rsidRPr="00000000" w14:paraId="000000EA">
            <w:pPr>
              <w:jc w:val="center"/>
              <w:rPr>
                <w:sz w:val="22"/>
                <w:szCs w:val="22"/>
              </w:rPr>
            </w:pPr>
            <w:r w:rsidDel="00000000" w:rsidR="00000000" w:rsidRPr="00000000">
              <w:rPr>
                <w:sz w:val="22"/>
                <w:szCs w:val="22"/>
                <w:rtl w:val="0"/>
              </w:rPr>
              <w:t xml:space="preserve">Colleague Share Save, development programmes</w:t>
            </w:r>
          </w:p>
        </w:tc>
      </w:tr>
      <w:tr>
        <w:trPr>
          <w:cantSplit w:val="0"/>
          <w:tblHeader w:val="0"/>
        </w:trPr>
        <w:tc>
          <w:tcPr/>
          <w:p w:rsidR="00000000" w:rsidDel="00000000" w:rsidP="00000000" w:rsidRDefault="00000000" w:rsidRPr="00000000" w14:paraId="000000EB">
            <w:pPr>
              <w:rPr>
                <w:sz w:val="22"/>
                <w:szCs w:val="22"/>
              </w:rPr>
            </w:pPr>
            <w:r w:rsidDel="00000000" w:rsidR="00000000" w:rsidRPr="00000000">
              <w:rPr>
                <w:b w:val="1"/>
                <w:bCs w:val="1"/>
                <w:sz w:val="22"/>
                <w:szCs w:val="22"/>
                <w:rtl w:val="0"/>
              </w:rPr>
              <w:t xml:space="preserve">Innovation culture</w:t>
            </w:r>
            <w:r w:rsidDel="00000000" w:rsidR="00000000" w:rsidRPr="00000000">
              <w:rPr>
                <w:rtl w:val="0"/>
              </w:rPr>
            </w:r>
          </w:p>
        </w:tc>
        <w:tc>
          <w:tcPr/>
          <w:p w:rsidR="00000000" w:rsidDel="00000000" w:rsidP="00000000" w:rsidRDefault="00000000" w:rsidRPr="00000000" w14:paraId="000000EC">
            <w:pPr>
              <w:jc w:val="center"/>
              <w:rPr>
                <w:sz w:val="22"/>
                <w:szCs w:val="22"/>
              </w:rPr>
            </w:pPr>
            <w:r w:rsidDel="00000000" w:rsidR="00000000" w:rsidRPr="00000000">
              <w:rPr>
                <w:sz w:val="22"/>
                <w:szCs w:val="22"/>
                <w:rtl w:val="0"/>
              </w:rPr>
              <w:t xml:space="preserve">New product launches per year</w:t>
            </w:r>
          </w:p>
        </w:tc>
        <w:tc>
          <w:tcPr/>
          <w:p w:rsidR="00000000" w:rsidDel="00000000" w:rsidP="00000000" w:rsidRDefault="00000000" w:rsidRPr="00000000" w14:paraId="000000ED">
            <w:pPr>
              <w:jc w:val="center"/>
              <w:rPr>
                <w:sz w:val="22"/>
                <w:szCs w:val="22"/>
              </w:rPr>
            </w:pPr>
            <w:r w:rsidDel="00000000" w:rsidR="00000000" w:rsidRPr="00000000">
              <w:rPr>
                <w:sz w:val="22"/>
                <w:szCs w:val="22"/>
                <w:rtl w:val="0"/>
              </w:rPr>
              <w:t xml:space="preserve">1,000+ new food lines annually</w:t>
            </w:r>
          </w:p>
        </w:tc>
        <w:tc>
          <w:tcPr/>
          <w:p w:rsidR="00000000" w:rsidDel="00000000" w:rsidP="00000000" w:rsidRDefault="00000000" w:rsidRPr="00000000" w14:paraId="000000EE">
            <w:pPr>
              <w:keepNext w:val="1"/>
              <w:jc w:val="center"/>
              <w:rPr>
                <w:sz w:val="22"/>
                <w:szCs w:val="22"/>
              </w:rPr>
            </w:pPr>
            <w:r w:rsidDel="00000000" w:rsidR="00000000" w:rsidRPr="00000000">
              <w:rPr>
                <w:sz w:val="22"/>
                <w:szCs w:val="22"/>
                <w:rtl w:val="0"/>
              </w:rPr>
              <w:t xml:space="preserve">R&amp;D labs, food tech incubator partnerships</w:t>
            </w:r>
          </w:p>
        </w:tc>
      </w:tr>
    </w:tbl>
    <w:p w:rsidR="00000000" w:rsidDel="00000000" w:rsidP="00000000" w:rsidRDefault="00000000" w:rsidRPr="00000000" w14:paraId="000000E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Table 4: M&amp;S Learning &amp; Growth Perspective – Balanced Scorecard. Source: Author's own.</w:t>
      </w:r>
    </w:p>
    <w:p w:rsidR="00000000" w:rsidDel="00000000" w:rsidP="00000000" w:rsidRDefault="00000000" w:rsidRPr="00000000" w14:paraId="000000F0">
      <w:pPr>
        <w:keepNext w:val="1"/>
        <w:jc w:val="center"/>
        <w:rPr/>
      </w:pPr>
      <w:r w:rsidDel="00000000" w:rsidR="00000000" w:rsidRPr="00000000">
        <w:rPr/>
        <w:drawing>
          <wp:inline distB="0" distT="0" distL="0" distR="0">
            <wp:extent cx="4124976" cy="2334893"/>
            <wp:effectExtent b="0" l="0" r="0" t="0"/>
            <wp:docPr id="10" name="image10.png"/>
            <a:graphic>
              <a:graphicData uri="http://schemas.openxmlformats.org/drawingml/2006/picture">
                <pic:pic>
                  <pic:nvPicPr>
                    <pic:cNvPr id="0" name="image10.png"/>
                    <pic:cNvPicPr preferRelativeResize="0"/>
                  </pic:nvPicPr>
                  <pic:blipFill>
                    <a:blip r:embed="rId16"/>
                    <a:srcRect b="0" l="0" r="0" t="0"/>
                    <a:stretch>
                      <a:fillRect/>
                    </a:stretch>
                  </pic:blipFill>
                  <pic:spPr>
                    <a:xfrm>
                      <a:off x="0" y="0"/>
                      <a:ext cx="4124976" cy="2334893"/>
                    </a:xfrm>
                    <a:prstGeom prst="rect"/>
                    <a:ln/>
                  </pic:spPr>
                </pic:pic>
              </a:graphicData>
            </a:graphic>
          </wp:inline>
        </w:drawing>
      </w:r>
      <w:r w:rsidDel="00000000" w:rsidR="00000000" w:rsidRPr="00000000">
        <w:rPr>
          <w:rtl w:val="0"/>
        </w:rPr>
      </w:r>
    </w:p>
    <w:p w:rsidR="00000000" w:rsidDel="00000000" w:rsidP="00000000" w:rsidRDefault="00000000" w:rsidRPr="00000000" w14:paraId="000000F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Table 5: M&amp;S Balanced Scorecard – Indicative Performance Score (2024). Source: Author's own illustration based on M&amp;S Annual Report (2024) and Kaplan and Norton (1992).</w:t>
      </w:r>
    </w:p>
    <w:p w:rsidR="00000000" w:rsidDel="00000000" w:rsidP="00000000" w:rsidRDefault="00000000" w:rsidRPr="00000000" w14:paraId="000000F2">
      <w:pPr>
        <w:spacing w:line="259" w:lineRule="auto"/>
        <w:jc w:val="left"/>
        <w:rPr>
          <w:b w:val="1"/>
          <w:bCs w:val="1"/>
          <w:color w:val="1f4e79"/>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F3">
      <w:pPr>
        <w:pStyle w:val="Heading1"/>
        <w:rPr/>
      </w:pPr>
      <w:bookmarkStart w:colFirst="0" w:colLast="0" w:name="_5ndmwkmxpuwt" w:id="20"/>
      <w:bookmarkEnd w:id="20"/>
      <w:r w:rsidDel="00000000" w:rsidR="00000000" w:rsidRPr="00000000">
        <w:rPr>
          <w:rtl w:val="0"/>
        </w:rPr>
        <w:t xml:space="preserve">Strategic Decisions and Implementations</w:t>
      </w:r>
    </w:p>
    <w:p w:rsidR="00000000" w:rsidDel="00000000" w:rsidP="00000000" w:rsidRDefault="00000000" w:rsidRPr="00000000" w14:paraId="000000F4">
      <w:pPr>
        <w:pStyle w:val="Heading2"/>
        <w:rPr/>
      </w:pPr>
      <w:bookmarkStart w:colFirst="0" w:colLast="0" w:name="_un4abk9c2yjc" w:id="21"/>
      <w:bookmarkEnd w:id="21"/>
      <w:r w:rsidDel="00000000" w:rsidR="00000000" w:rsidRPr="00000000">
        <w:rPr>
          <w:rtl w:val="0"/>
        </w:rPr>
        <w:t xml:space="preserve">Business-Level Strategic Choices</w:t>
      </w:r>
    </w:p>
    <w:p w:rsidR="00000000" w:rsidDel="00000000" w:rsidP="00000000" w:rsidRDefault="00000000" w:rsidRPr="00000000" w14:paraId="000000F5">
      <w:pPr>
        <w:rPr/>
      </w:pPr>
      <w:r w:rsidDel="00000000" w:rsidR="00000000" w:rsidRPr="00000000">
        <w:rPr>
          <w:rtl w:val="0"/>
        </w:rPr>
        <w:t xml:space="preserve">At the business level, Porter (1980) defined three generic strategies: cost leadership, differentiation and focus. For M&amp;S, this choice has been a dilemma. For many years, its clothing operation was 'stuck in the middle' - not the cheapest, but not necessarily the most differentiated - leading to a long-term decline in profitability (Mellahi et al., 2002). But the current trend is more strongly towards differentiation.</w:t>
      </w:r>
    </w:p>
    <w:p w:rsidR="00000000" w:rsidDel="00000000" w:rsidP="00000000" w:rsidRDefault="00000000" w:rsidRPr="00000000" w14:paraId="000000F6">
      <w:pPr>
        <w:rPr/>
      </w:pPr>
      <w:r w:rsidDel="00000000" w:rsidR="00000000" w:rsidRPr="00000000">
        <w:rPr>
          <w:rtl w:val="0"/>
        </w:rPr>
        <w:t xml:space="preserve">M&amp;S uses a quality differentiation strategy in clothing and homeware. The recent revamp of Womenswear with celebrity endorsements, modern designs and upgraded cloth is designed to win back the mid-market premium position that has been lost to retailers such as Next and John Lewis. This is backed up by narrower ranges, higher full price sell-through and fewer discounts. This is in line with value-based pricing, where the customer pays the premium because they perceive greater value (not because they have no choice) (Nagle and Müller, 2018).</w:t>
      </w:r>
    </w:p>
    <w:p w:rsidR="00000000" w:rsidDel="00000000" w:rsidP="00000000" w:rsidRDefault="00000000" w:rsidRPr="00000000" w14:paraId="000000F7">
      <w:pPr>
        <w:rPr/>
      </w:pPr>
      <w:r w:rsidDel="00000000" w:rsidR="00000000" w:rsidRPr="00000000">
        <w:rPr>
          <w:rtl w:val="0"/>
        </w:rPr>
        <w:t xml:space="preserve">For M&amp;S, food is already a differentiation-focus strategy - a premium food specialist. Its food offering (quality, innovation and theatre), is hard for other supermarkets to mass-produce. Hence, M&amp;S Food continues to outperform M&amp;S Clothing. The Ocado partnership has allowed M&amp;S to translate this differentiation into an online grocery position without having to develop this capability in-house - an efficient approach.</w:t>
      </w:r>
    </w:p>
    <w:p w:rsidR="00000000" w:rsidDel="00000000" w:rsidP="00000000" w:rsidRDefault="00000000" w:rsidRPr="00000000" w14:paraId="000000F8">
      <w:pPr>
        <w:rPr/>
      </w:pPr>
      <w:r w:rsidDel="00000000" w:rsidR="00000000" w:rsidRPr="00000000">
        <w:rPr>
          <w:rtl w:val="0"/>
        </w:rPr>
        <w:t xml:space="preserve">M&amp;S needs to enhance the differentiation strategy in clothing, by putting more resources into design, fabrics and data-driven personalisation. A strategy of cost leadership or aggressive discounting would be inconsistent on the basis of its existing foundation of brand equity developed over the past 140 years. The target market for clothing should be the 35-55-year-old market - a high-income segment not served by fast fashion and not willing to pay department store prices.</w:t>
      </w:r>
    </w:p>
    <w:p w:rsidR="00000000" w:rsidDel="00000000" w:rsidP="00000000" w:rsidRDefault="00000000" w:rsidRPr="00000000" w14:paraId="000000F9">
      <w:pPr>
        <w:pStyle w:val="Heading2"/>
        <w:rPr/>
      </w:pPr>
      <w:bookmarkStart w:colFirst="0" w:colLast="0" w:name="_k8kcwfzk43" w:id="22"/>
      <w:bookmarkEnd w:id="22"/>
      <w:r w:rsidDel="00000000" w:rsidR="00000000" w:rsidRPr="00000000">
        <w:rPr>
          <w:rtl w:val="0"/>
        </w:rPr>
        <w:t xml:space="preserve">Corporate-Level Strategic Choices</w:t>
      </w:r>
    </w:p>
    <w:p w:rsidR="00000000" w:rsidDel="00000000" w:rsidP="00000000" w:rsidRDefault="00000000" w:rsidRPr="00000000" w14:paraId="000000FA">
      <w:pPr>
        <w:rPr/>
      </w:pPr>
      <w:r w:rsidDel="00000000" w:rsidR="00000000" w:rsidRPr="00000000">
        <w:rPr>
          <w:rtl w:val="0"/>
        </w:rPr>
        <w:t xml:space="preserve">At the corporate level, M&amp;S can choose from a number of strategies. The joint venture with Ocado is an example of a strategic alliance and market development - leveraging the assets of a partner to achieve growth without having to commit capital. The global franchise (more than 40 countries) is a risk-minimising expansion strategy, but accounts for only a minor revenue stream (M&amp;S, 2024).</w:t>
      </w:r>
    </w:p>
    <w:p w:rsidR="00000000" w:rsidDel="00000000" w:rsidP="00000000" w:rsidRDefault="00000000" w:rsidRPr="00000000" w14:paraId="000000FB">
      <w:pPr>
        <w:rPr/>
      </w:pPr>
      <w:r w:rsidDel="00000000" w:rsidR="00000000" w:rsidRPr="00000000">
        <w:rPr>
          <w:rtl w:val="0"/>
        </w:rPr>
        <w:t xml:space="preserve">The move into financial services - M&amp;S Bank in joint venture with HSBC - is a related diversification. This diversifies its income streams but the venture was terminated in 2024, so diversification is not always a success. Rumelt (1982) suggested that related diversification is superior to unrelated diversification, and this is generally true for M&amp;S.</w:t>
      </w:r>
    </w:p>
    <w:p w:rsidR="00000000" w:rsidDel="00000000" w:rsidP="00000000" w:rsidRDefault="00000000" w:rsidRPr="00000000" w14:paraId="000000FC">
      <w:pPr>
        <w:rPr/>
      </w:pPr>
      <w:r w:rsidDel="00000000" w:rsidR="00000000" w:rsidRPr="00000000">
        <w:rPr>
          <w:rtl w:val="0"/>
        </w:rPr>
        <w:t xml:space="preserve">Corporate-level strategies for M&amp;S should focus on market development in food (i.e. fast-tracking the Ocado opportunity), and prudent internationalisation (i.e. franchising in promising markets like India and the Middle East). Entering markets or acquiring existing operations would be too risky at this stage of M&amp;S's domestic transformation.</w:t>
      </w:r>
    </w:p>
    <w:p w:rsidR="00000000" w:rsidDel="00000000" w:rsidP="00000000" w:rsidRDefault="00000000" w:rsidRPr="00000000" w14:paraId="000000FD">
      <w:pPr>
        <w:pStyle w:val="Heading2"/>
        <w:rPr/>
      </w:pPr>
      <w:bookmarkStart w:colFirst="0" w:colLast="0" w:name="_okg5mupr3kny" w:id="23"/>
      <w:bookmarkEnd w:id="23"/>
      <w:r w:rsidDel="00000000" w:rsidR="00000000" w:rsidRPr="00000000">
        <w:rPr>
          <w:rtl w:val="0"/>
        </w:rPr>
        <w:t xml:space="preserve">Change and Strategy Implementation</w:t>
      </w:r>
    </w:p>
    <w:p w:rsidR="00000000" w:rsidDel="00000000" w:rsidP="00000000" w:rsidRDefault="00000000" w:rsidRPr="00000000" w14:paraId="000000FE">
      <w:pPr>
        <w:rPr/>
      </w:pPr>
      <w:r w:rsidDel="00000000" w:rsidR="00000000" w:rsidRPr="00000000">
        <w:rPr>
          <w:rtl w:val="0"/>
        </w:rPr>
        <w:t xml:space="preserve">M&amp;S's "Never the Same Again" (NTSA) initiative, initiated in 2020 by then-CEO Steve Rowe, was a major restructure, with more than 100 stores closed, 7,000 jobs lost and a ramp-up in investment in digital (M&amp;S, 2021). This aligns with Kotter's (1996) eight-stage model of change in establishing a sense of urgency, driving change through a coalition and delivering short-term wins.</w:t>
      </w:r>
    </w:p>
    <w:p w:rsidR="00000000" w:rsidDel="00000000" w:rsidP="00000000" w:rsidRDefault="00000000" w:rsidRPr="00000000" w14:paraId="000000FF">
      <w:pPr>
        <w:rPr/>
      </w:pPr>
      <w:r w:rsidDel="00000000" w:rsidR="00000000" w:rsidRPr="00000000">
        <w:rPr>
          <w:rtl w:val="0"/>
        </w:rPr>
        <w:t xml:space="preserve">Since 2022, under CEO Stuart Machin, the change process has evolved to the implementation stage. The transition from a bureaucratic, hierarchical structure (described as a "not invented here" attitude by Tse, 1985) to a faster, more commercial business model is seen in quicker product development and decision making, the growth of the data analytics team and an active employee population</w:t>
      </w:r>
    </w:p>
    <w:p w:rsidR="00000000" w:rsidDel="00000000" w:rsidP="00000000" w:rsidRDefault="00000000" w:rsidRPr="00000000" w14:paraId="00000100">
      <w:pPr>
        <w:rPr/>
      </w:pPr>
      <w:r w:rsidDel="00000000" w:rsidR="00000000" w:rsidRPr="00000000">
        <w:rPr>
          <w:rtl w:val="0"/>
        </w:rPr>
        <w:t xml:space="preserve">However, there are supply chain constraints. The clothing business is still reliant on a complex supplier network and too-long lead times to respond to fashion change quickly - something Inditex (Zara) does well. The adoption of near-sourcing and product development software is underway but still a work in progress.</w:t>
      </w:r>
    </w:p>
    <w:p w:rsidR="00000000" w:rsidDel="00000000" w:rsidP="00000000" w:rsidRDefault="00000000" w:rsidRPr="00000000" w14:paraId="00000101">
      <w:pPr>
        <w:rPr/>
      </w:pPr>
      <w:r w:rsidDel="00000000" w:rsidR="00000000" w:rsidRPr="00000000">
        <w:rPr>
          <w:rtl w:val="0"/>
        </w:rPr>
      </w:r>
    </w:p>
    <w:p w:rsidR="00000000" w:rsidDel="00000000" w:rsidP="00000000" w:rsidRDefault="00000000" w:rsidRPr="00000000" w14:paraId="00000102">
      <w:pPr>
        <w:rPr/>
      </w:pPr>
      <w:r w:rsidDel="00000000" w:rsidR="00000000" w:rsidRPr="00000000">
        <w:rPr>
          <w:rtl w:val="0"/>
        </w:rPr>
        <w:t xml:space="preserve"> </w:t>
      </w:r>
    </w:p>
    <w:p w:rsidR="00000000" w:rsidDel="00000000" w:rsidP="00000000" w:rsidRDefault="00000000" w:rsidRPr="00000000" w14:paraId="00000103">
      <w:pPr>
        <w:pStyle w:val="Heading1"/>
        <w:rPr/>
      </w:pPr>
      <w:bookmarkStart w:colFirst="0" w:colLast="0" w:name="_xhfmt4ovr5l1" w:id="24"/>
      <w:bookmarkEnd w:id="24"/>
      <w:r w:rsidDel="00000000" w:rsidR="00000000" w:rsidRPr="00000000">
        <w:rPr>
          <w:rtl w:val="0"/>
        </w:rPr>
        <w:t xml:space="preserve">Strategic Analysis and Recommendations</w:t>
      </w:r>
    </w:p>
    <w:p w:rsidR="00000000" w:rsidDel="00000000" w:rsidP="00000000" w:rsidRDefault="00000000" w:rsidRPr="00000000" w14:paraId="00000104">
      <w:pPr>
        <w:pStyle w:val="Heading2"/>
        <w:rPr/>
      </w:pPr>
      <w:bookmarkStart w:colFirst="0" w:colLast="0" w:name="_envgmea1hb8q" w:id="25"/>
      <w:bookmarkEnd w:id="25"/>
      <w:r w:rsidDel="00000000" w:rsidR="00000000" w:rsidRPr="00000000">
        <w:rPr>
          <w:rtl w:val="0"/>
        </w:rPr>
        <w:t xml:space="preserve">Assessment with Ansoff's Matrix</w:t>
      </w:r>
    </w:p>
    <w:p w:rsidR="00000000" w:rsidDel="00000000" w:rsidP="00000000" w:rsidRDefault="00000000" w:rsidRPr="00000000" w14:paraId="00000105">
      <w:pPr>
        <w:rPr/>
      </w:pPr>
      <w:r w:rsidDel="00000000" w:rsidR="00000000" w:rsidRPr="00000000">
        <w:rPr>
          <w:rtl w:val="0"/>
        </w:rPr>
        <w:t xml:space="preserve">Ansoff's (1957) growth matrix is a useful tool to assess M&amp;S's strategy in terms of four quadrants: market penetration, product development, market development and diversification.</w:t>
      </w:r>
    </w:p>
    <w:p w:rsidR="00000000" w:rsidDel="00000000" w:rsidP="00000000" w:rsidRDefault="00000000" w:rsidRPr="00000000" w14:paraId="00000106">
      <w:pPr>
        <w:rPr/>
      </w:pPr>
      <w:r w:rsidDel="00000000" w:rsidR="00000000" w:rsidRPr="00000000">
        <w:rPr>
          <w:rtl w:val="0"/>
        </w:rPr>
        <w:t xml:space="preserve">The least-risky quadrant of market penetration is the preferred strategy of M&amp;S Food. It is increasing sales turnover in its existing markets by enhancing store locations (retail parks), the Ocado business and the Sparks loyalty card. The food business has achieved record full price sales.</w:t>
      </w:r>
    </w:p>
    <w:p w:rsidR="00000000" w:rsidDel="00000000" w:rsidP="00000000" w:rsidRDefault="00000000" w:rsidRPr="00000000" w14:paraId="00000107">
      <w:pPr>
        <w:rPr/>
      </w:pPr>
      <w:r w:rsidDel="00000000" w:rsidR="00000000" w:rsidRPr="00000000">
        <w:rPr>
          <w:rtl w:val="0"/>
        </w:rPr>
        <w:t xml:space="preserve">New product development is evident in food and apparel. M&amp;S introduces 1,000 new food products annually and has just given its Womenswear and knitwear ranges a major facelift. This is moderately risky, but the fit with M&amp;S's brand and product development expertise is good.</w:t>
      </w:r>
    </w:p>
    <w:p w:rsidR="00000000" w:rsidDel="00000000" w:rsidP="00000000" w:rsidRDefault="00000000" w:rsidRPr="00000000" w14:paraId="00000108">
      <w:pPr>
        <w:rPr/>
      </w:pPr>
      <w:r w:rsidDel="00000000" w:rsidR="00000000" w:rsidRPr="00000000">
        <w:rPr>
          <w:rtl w:val="0"/>
        </w:rPr>
        <w:t xml:space="preserve">Market development by franchising internationally puts M&amp;S in a moderate risk quadrant. The international growth has been a consistent winner (more than 400 stores in 40+ countries), albeit some political and economic instability in some markets (particularly the Middle East) has occasionally interfered with growth.</w:t>
      </w:r>
    </w:p>
    <w:p w:rsidR="00000000" w:rsidDel="00000000" w:rsidP="00000000" w:rsidRDefault="00000000" w:rsidRPr="00000000" w14:paraId="00000109">
      <w:pPr>
        <w:rPr/>
      </w:pPr>
      <w:r w:rsidDel="00000000" w:rsidR="00000000" w:rsidRPr="00000000">
        <w:rPr>
          <w:rtl w:val="0"/>
        </w:rPr>
        <w:t xml:space="preserve"> The company always had limited diversification strategies. The foray into financial services was not particularly successful, and the technology collaborations (while good opportunities) are risky. Ansoff (1957) himself warned diversification should only occur when other growth opportunities are saturated - which may not be the case with M&amp;S's clothing business.</w:t>
      </w:r>
    </w:p>
    <w:p w:rsidR="00000000" w:rsidDel="00000000" w:rsidP="00000000" w:rsidRDefault="00000000" w:rsidRPr="00000000" w14:paraId="0000010A">
      <w:pPr>
        <w:keepNext w:val="1"/>
        <w:jc w:val="center"/>
        <w:rPr/>
      </w:pPr>
      <w:r w:rsidDel="00000000" w:rsidR="00000000" w:rsidRPr="00000000">
        <w:rPr/>
        <w:drawing>
          <wp:inline distB="0" distT="0" distL="0" distR="0">
            <wp:extent cx="3440276" cy="2508536"/>
            <wp:effectExtent b="0" l="0" r="0" t="0"/>
            <wp:docPr id="11" name="image11.png"/>
            <a:graphic>
              <a:graphicData uri="http://schemas.openxmlformats.org/drawingml/2006/picture">
                <pic:pic>
                  <pic:nvPicPr>
                    <pic:cNvPr id="0" name="image11.png"/>
                    <pic:cNvPicPr preferRelativeResize="0"/>
                  </pic:nvPicPr>
                  <pic:blipFill>
                    <a:blip r:embed="rId17"/>
                    <a:srcRect b="0" l="0" r="0" t="0"/>
                    <a:stretch>
                      <a:fillRect/>
                    </a:stretch>
                  </pic:blipFill>
                  <pic:spPr>
                    <a:xfrm>
                      <a:off x="0" y="0"/>
                      <a:ext cx="3440276" cy="2508536"/>
                    </a:xfrm>
                    <a:prstGeom prst="rect"/>
                    <a:ln/>
                  </pic:spPr>
                </pic:pic>
              </a:graphicData>
            </a:graphic>
          </wp:inline>
        </w:drawing>
      </w:r>
      <w:r w:rsidDel="00000000" w:rsidR="00000000" w:rsidRPr="00000000">
        <w:rPr>
          <w:rtl w:val="0"/>
        </w:rPr>
      </w:r>
    </w:p>
    <w:p w:rsidR="00000000" w:rsidDel="00000000" w:rsidP="00000000" w:rsidRDefault="00000000" w:rsidRPr="00000000" w14:paraId="0000010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Table 6: Ansoff Matrix – M&amp;S Strategic Growth. Source: Author's own illustration.</w:t>
      </w:r>
    </w:p>
    <w:p w:rsidR="00000000" w:rsidDel="00000000" w:rsidP="00000000" w:rsidRDefault="00000000" w:rsidRPr="00000000" w14:paraId="0000010C">
      <w:pPr>
        <w:pStyle w:val="Heading2"/>
        <w:rPr/>
      </w:pPr>
      <w:bookmarkStart w:colFirst="0" w:colLast="0" w:name="_atdepxq4mba" w:id="26"/>
      <w:bookmarkEnd w:id="26"/>
      <w:r w:rsidDel="00000000" w:rsidR="00000000" w:rsidRPr="00000000">
        <w:rPr>
          <w:rtl w:val="0"/>
        </w:rPr>
        <w:t xml:space="preserve">SWOT-Informed Strategic Recommendations</w:t>
      </w:r>
    </w:p>
    <w:p w:rsidR="00000000" w:rsidDel="00000000" w:rsidP="00000000" w:rsidRDefault="00000000" w:rsidRPr="00000000" w14:paraId="0000010D">
      <w:pPr>
        <w:rPr/>
      </w:pPr>
      <w:r w:rsidDel="00000000" w:rsidR="00000000" w:rsidRPr="00000000">
        <w:rPr>
          <w:rtl w:val="0"/>
        </w:rPr>
        <w:t xml:space="preserve">Based on the previous SWOT analysis, the following are recommended:</w:t>
      </w:r>
    </w:p>
    <w:p w:rsidR="00000000" w:rsidDel="00000000" w:rsidP="00000000" w:rsidRDefault="00000000" w:rsidRPr="00000000" w14:paraId="0000010E">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Invest in online food and grocery. </w:t>
      </w:r>
    </w:p>
    <w:p w:rsidR="00000000" w:rsidDel="00000000" w:rsidP="00000000" w:rsidRDefault="00000000" w:rsidRPr="00000000" w14:paraId="0000010F">
      <w:pPr>
        <w:rPr/>
      </w:pPr>
      <w:r w:rsidDel="00000000" w:rsidR="00000000" w:rsidRPr="00000000">
        <w:rPr>
          <w:rtl w:val="0"/>
        </w:rPr>
        <w:t xml:space="preserve">The joint venture with Ocado has demonstrated the business case but could be more successful. M&amp;S should focus on enhancing the digital experience, increasing same day delivery capacity and leveraging data to make food recommendations. The Amazon approach to groceries shows that digital food retailing needs to invest heavily in the platform to gain scale (Brynjolfsson and McAfee, 2014). M&amp;S has the quality products and brand - it needs the digital capability.</w:t>
      </w:r>
    </w:p>
    <w:p w:rsidR="00000000" w:rsidDel="00000000" w:rsidP="00000000" w:rsidRDefault="00000000" w:rsidRPr="00000000" w14:paraId="00000110">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Speed up the clothing design process. </w:t>
      </w:r>
    </w:p>
    <w:p w:rsidR="00000000" w:rsidDel="00000000" w:rsidP="00000000" w:rsidRDefault="00000000" w:rsidRPr="00000000" w14:paraId="00000111">
      <w:pPr>
        <w:rPr/>
      </w:pPr>
      <w:r w:rsidDel="00000000" w:rsidR="00000000" w:rsidRPr="00000000">
        <w:rPr>
          <w:rtl w:val="0"/>
        </w:rPr>
        <w:t xml:space="preserve">M&amp;S ought to formalise its relationship with fashion designers - as with its celebrity designers (Sienna Miller and others). A fast-reaction design team, similar to Zara's but sized to M&amp;S's market presence, could shorten the lead times on new designs. Johnson et al. (2023) emphasise the need for dynamic capabilities - sensing, seizing and reconfiguring - to achieve sustainable advantage.</w:t>
      </w:r>
    </w:p>
    <w:p w:rsidR="00000000" w:rsidDel="00000000" w:rsidP="00000000" w:rsidRDefault="00000000" w:rsidRPr="00000000" w14:paraId="00000112">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Enhance the data and personalisation capability. </w:t>
      </w:r>
    </w:p>
    <w:p w:rsidR="00000000" w:rsidDel="00000000" w:rsidP="00000000" w:rsidRDefault="00000000" w:rsidRPr="00000000" w14:paraId="00000113">
      <w:pPr>
        <w:rPr/>
      </w:pPr>
      <w:r w:rsidDel="00000000" w:rsidR="00000000" w:rsidRPr="00000000">
        <w:rPr>
          <w:rtl w:val="0"/>
        </w:rPr>
        <w:t xml:space="preserve">Sparks provides M&amp;S with a valuable first-party data asset. A personalised recommendation engine (as used by ASOS or Amazon) could increase cross-sell and strengthening customer lifetime value. Using existing resources, it can create high return against low cost.This is a low-cost, high-return opportunity that uses existing resources.</w:t>
      </w:r>
    </w:p>
    <w:p w:rsidR="00000000" w:rsidDel="00000000" w:rsidP="00000000" w:rsidRDefault="00000000" w:rsidRPr="00000000" w14:paraId="00000114">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Sustainability not a burden, a revenue generator.</w:t>
      </w:r>
    </w:p>
    <w:p w:rsidR="00000000" w:rsidDel="00000000" w:rsidP="00000000" w:rsidRDefault="00000000" w:rsidRPr="00000000" w14:paraId="00000115">
      <w:pPr>
        <w:rPr/>
      </w:pPr>
      <w:r w:rsidDel="00000000" w:rsidR="00000000" w:rsidRPr="00000000">
        <w:rPr>
          <w:rtl w:val="0"/>
        </w:rPr>
        <w:t xml:space="preserve">Creating shared value is best achieved when companies integrate sustainability into their competitive strategy, rather than seeing it as a cost IPorter and Kramer, 2011). M&amp;S should leverage Plan A more in its food and apparel marketing - especially for the growing group of "ethical consumers" who will pay more for a sustainable guarantee.</w:t>
      </w:r>
    </w:p>
    <w:p w:rsidR="00000000" w:rsidDel="00000000" w:rsidP="00000000" w:rsidRDefault="00000000" w:rsidRPr="00000000" w14:paraId="00000116">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117">
      <w:pPr>
        <w:pStyle w:val="Heading1"/>
        <w:rPr/>
      </w:pPr>
      <w:bookmarkStart w:colFirst="0" w:colLast="0" w:name="_b1ptqw60inck" w:id="27"/>
      <w:bookmarkEnd w:id="27"/>
      <w:r w:rsidDel="00000000" w:rsidR="00000000" w:rsidRPr="00000000">
        <w:rPr>
          <w:rtl w:val="0"/>
        </w:rPr>
        <w:t xml:space="preserve">Reflecting on the Research and Analysis using Gibbs' Reflective Cycle</w:t>
      </w:r>
    </w:p>
    <w:p w:rsidR="00000000" w:rsidDel="00000000" w:rsidP="00000000" w:rsidRDefault="00000000" w:rsidRPr="00000000" w14:paraId="00000118">
      <w:pPr>
        <w:rPr/>
      </w:pPr>
      <w:r w:rsidDel="00000000" w:rsidR="00000000" w:rsidRPr="00000000">
        <w:rPr>
          <w:rtl w:val="0"/>
        </w:rPr>
        <w:t xml:space="preserve">The Gibbs reflective cycle analysis the learning procedure of the task, it projects the whole learning reflection in six stages. It helps to understand the lacking of the task, the overall experience, and to articulate how it can be made helpful through future action plan (Gibbs, 1988).</w:t>
      </w:r>
    </w:p>
    <w:p w:rsidR="00000000" w:rsidDel="00000000" w:rsidP="00000000" w:rsidRDefault="00000000" w:rsidRPr="00000000" w14:paraId="00000119">
      <w:pPr>
        <w:keepNext w:val="1"/>
        <w:jc w:val="center"/>
        <w:rPr/>
      </w:pPr>
      <w:r w:rsidDel="00000000" w:rsidR="00000000" w:rsidRPr="00000000">
        <w:rPr/>
        <w:drawing>
          <wp:inline distB="0" distT="0" distL="0" distR="0">
            <wp:extent cx="3181350" cy="3181350"/>
            <wp:effectExtent b="0" l="0" r="0" t="0"/>
            <wp:docPr descr="https://www.tsw.co.uk/wp-content/uploads/2022/09/Gibbs-Reflective-Cycle-1024x1024.jpg" id="13" name="image13.png"/>
            <a:graphic>
              <a:graphicData uri="http://schemas.openxmlformats.org/drawingml/2006/picture">
                <pic:pic>
                  <pic:nvPicPr>
                    <pic:cNvPr descr="https://www.tsw.co.uk/wp-content/uploads/2022/09/Gibbs-Reflective-Cycle-1024x1024.jpg" id="0" name="image13.png"/>
                    <pic:cNvPicPr preferRelativeResize="0"/>
                  </pic:nvPicPr>
                  <pic:blipFill>
                    <a:blip r:embed="rId18"/>
                    <a:srcRect b="0" l="0" r="0" t="0"/>
                    <a:stretch>
                      <a:fillRect/>
                    </a:stretch>
                  </pic:blipFill>
                  <pic:spPr>
                    <a:xfrm>
                      <a:off x="0" y="0"/>
                      <a:ext cx="3181350" cy="3181350"/>
                    </a:xfrm>
                    <a:prstGeom prst="rect"/>
                    <a:ln/>
                  </pic:spPr>
                </pic:pic>
              </a:graphicData>
            </a:graphic>
          </wp:inline>
        </w:drawing>
      </w:r>
      <w:r w:rsidDel="00000000" w:rsidR="00000000" w:rsidRPr="00000000">
        <w:rPr>
          <w:rtl w:val="0"/>
        </w:rPr>
      </w:r>
    </w:p>
    <w:p w:rsidR="00000000" w:rsidDel="00000000" w:rsidP="00000000" w:rsidRDefault="00000000" w:rsidRPr="00000000" w14:paraId="0000011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1"/>
          <w:iCs w:val="1"/>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Figure 10: Framework of Gibbs’ Reflective Cycle.</w:t>
      </w:r>
    </w:p>
    <w:p w:rsidR="00000000" w:rsidDel="00000000" w:rsidP="00000000" w:rsidRDefault="00000000" w:rsidRPr="00000000" w14:paraId="0000011B">
      <w:pPr>
        <w:rPr>
          <w:b w:val="1"/>
          <w:bCs w:val="1"/>
        </w:rPr>
      </w:pPr>
      <w:r w:rsidDel="00000000" w:rsidR="00000000" w:rsidRPr="00000000">
        <w:rPr>
          <w:b w:val="1"/>
          <w:bCs w:val="1"/>
          <w:rtl w:val="0"/>
        </w:rPr>
        <w:t xml:space="preserve">Description</w:t>
      </w:r>
    </w:p>
    <w:p w:rsidR="00000000" w:rsidDel="00000000" w:rsidP="00000000" w:rsidRDefault="00000000" w:rsidRPr="00000000" w14:paraId="0000011C">
      <w:pPr>
        <w:rPr/>
      </w:pPr>
      <w:r w:rsidDel="00000000" w:rsidR="00000000" w:rsidRPr="00000000">
        <w:rPr>
          <w:rtl w:val="0"/>
        </w:rPr>
        <w:t xml:space="preserve">This report was a long-term analysis of Marks &amp; Spencer as a case study in strategic management, addressing the organisation's environment (external and internal), industry position, CSR policies, balanced scorecard, strategic decisions and recommendations. The task required me to do evidence-based analysis across multiple theoretical frameworks.</w:t>
      </w:r>
    </w:p>
    <w:p w:rsidR="00000000" w:rsidDel="00000000" w:rsidP="00000000" w:rsidRDefault="00000000" w:rsidRPr="00000000" w14:paraId="0000011D">
      <w:pPr>
        <w:rPr/>
      </w:pPr>
      <w:r w:rsidDel="00000000" w:rsidR="00000000" w:rsidRPr="00000000">
        <w:rPr>
          <w:rtl w:val="0"/>
        </w:rPr>
        <w:t xml:space="preserve">I started with secondary data from M&amp;S's Annual Reports (2021-2024), and then moved forward with academic literature and reliable business resources. I then progressed through the frameworks in chronological order (PESTEL, VRIO, Porter's Five Forces, Balanced Scorecard and Ansoff's Matrix) and applied them to M&amp;S's business model. </w:t>
      </w:r>
    </w:p>
    <w:p w:rsidR="00000000" w:rsidDel="00000000" w:rsidP="00000000" w:rsidRDefault="00000000" w:rsidRPr="00000000" w14:paraId="0000011E">
      <w:pPr>
        <w:spacing w:line="259"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11F">
      <w:pPr>
        <w:rPr>
          <w:b w:val="1"/>
          <w:bCs w:val="1"/>
        </w:rPr>
      </w:pPr>
      <w:r w:rsidDel="00000000" w:rsidR="00000000" w:rsidRPr="00000000">
        <w:rPr>
          <w:b w:val="1"/>
          <w:bCs w:val="1"/>
          <w:rtl w:val="0"/>
        </w:rPr>
        <w:t xml:space="preserve">Feelings</w:t>
      </w:r>
    </w:p>
    <w:p w:rsidR="00000000" w:rsidDel="00000000" w:rsidP="00000000" w:rsidRDefault="00000000" w:rsidRPr="00000000" w14:paraId="00000120">
      <w:pPr>
        <w:rPr/>
      </w:pPr>
      <w:r w:rsidDel="00000000" w:rsidR="00000000" w:rsidRPr="00000000">
        <w:rPr>
          <w:rtl w:val="0"/>
        </w:rPr>
        <w:t xml:space="preserve">Initially, I was fairly confident. M&amp;S is a well-documented organisation and the analysis seemed like it should be easy. This soon changed when I started to read more. I realised that the strategic management literature is much more complex than the summaries of it that I had learned from in previous years. I have found, for instance, that the Porter (1980) article is very different to summaries of his generic strategies.</w:t>
      </w:r>
    </w:p>
    <w:p w:rsidR="00000000" w:rsidDel="00000000" w:rsidP="00000000" w:rsidRDefault="00000000" w:rsidRPr="00000000" w14:paraId="00000121">
      <w:pPr>
        <w:rPr/>
      </w:pPr>
      <w:r w:rsidDel="00000000" w:rsidR="00000000" w:rsidRPr="00000000">
        <w:rPr>
          <w:rtl w:val="0"/>
        </w:rPr>
        <w:t xml:space="preserve">I also became frustrated at times with the need for brevity. Learning to be selective but not too selective is something I worked hard on. By the time I got to the recommendations part, I felt more comfortable – it really engaged my own strategic thinking, rather than just using the frameworks.</w:t>
      </w:r>
    </w:p>
    <w:p w:rsidR="00000000" w:rsidDel="00000000" w:rsidP="00000000" w:rsidRDefault="00000000" w:rsidRPr="00000000" w14:paraId="00000122">
      <w:pPr>
        <w:rPr>
          <w:b w:val="1"/>
          <w:bCs w:val="1"/>
        </w:rPr>
      </w:pPr>
      <w:r w:rsidDel="00000000" w:rsidR="00000000" w:rsidRPr="00000000">
        <w:rPr>
          <w:b w:val="1"/>
          <w:bCs w:val="1"/>
          <w:rtl w:val="0"/>
        </w:rPr>
        <w:t xml:space="preserve">Evaluation</w:t>
      </w:r>
    </w:p>
    <w:p w:rsidR="00000000" w:rsidDel="00000000" w:rsidP="00000000" w:rsidRDefault="00000000" w:rsidRPr="00000000" w14:paraId="00000123">
      <w:pPr>
        <w:rPr/>
      </w:pPr>
      <w:r w:rsidDel="00000000" w:rsidR="00000000" w:rsidRPr="00000000">
        <w:rPr>
          <w:rtl w:val="0"/>
        </w:rPr>
        <w:t xml:space="preserve">The good thing was that I was able to weave several frameworks together. I did not use PESTEL, VRIO and the Balanced Scorecard as isolated frameworks, but tried to use them to inform each other. For example, the PESTEL analysis suggested that digital disruption was a macro environmental threat, which linked to the Learning and Growth perspective of the Balanced Scorecard, and then to the recommendation of data analytics. This type of connection is known as reflective observation (Kolb, 1984) - reflecting on experience in terms of principles.</w:t>
      </w:r>
    </w:p>
    <w:p w:rsidR="00000000" w:rsidDel="00000000" w:rsidP="00000000" w:rsidRDefault="00000000" w:rsidRPr="00000000" w14:paraId="00000124">
      <w:pPr>
        <w:rPr/>
      </w:pPr>
      <w:r w:rsidDel="00000000" w:rsidR="00000000" w:rsidRPr="00000000">
        <w:rPr>
          <w:rtl w:val="0"/>
        </w:rPr>
        <w:t xml:space="preserve">What did not go as well was my early approach of being descriptive and not critical. My initial draft of the CSR section was more of a recap of M&amp;S's sustainability report than a scholarly critique, for instance. I needed to return to the assertions and question them - for example, if the corporate plan (Plan A) was achievable, were there any contradictions? Karen Carroll (1991) and Michael Porter and Mark Kramer (2011) provided helpful alternatives to M&amp;S's story.</w:t>
      </w:r>
    </w:p>
    <w:p w:rsidR="00000000" w:rsidDel="00000000" w:rsidP="00000000" w:rsidRDefault="00000000" w:rsidRPr="00000000" w14:paraId="00000125">
      <w:pPr>
        <w:rPr>
          <w:b w:val="1"/>
          <w:bCs w:val="1"/>
        </w:rPr>
      </w:pPr>
      <w:r w:rsidDel="00000000" w:rsidR="00000000" w:rsidRPr="00000000">
        <w:rPr>
          <w:b w:val="1"/>
          <w:bCs w:val="1"/>
          <w:rtl w:val="0"/>
        </w:rPr>
        <w:t xml:space="preserve">Analysis</w:t>
      </w:r>
    </w:p>
    <w:p w:rsidR="00000000" w:rsidDel="00000000" w:rsidP="00000000" w:rsidRDefault="00000000" w:rsidRPr="00000000" w14:paraId="00000126">
      <w:pPr>
        <w:rPr/>
      </w:pPr>
      <w:r w:rsidDel="00000000" w:rsidR="00000000" w:rsidRPr="00000000">
        <w:rPr>
          <w:rtl w:val="0"/>
        </w:rPr>
        <w:t xml:space="preserve">On further reflection, I think the true lesson here is about using a model, rather than applying a model. The first time I filled in the VRIO table I was effectively classifying M&amp;S's resources by checking boxes. But when I came back to it, I realised that it was posing a deeper question: what of M&amp;S's capabilities really do create a competitive advantage, and why can't competitors easily copy them? The Balanced Scorecard section also challenged me to think about the meaning of 'performance'. The lagging indicators are the financial results; the leading indicators - customer loyalty, process efficiency, employee capability - are more indicative of the future. For M&amp;S, the impressive 2023-24 financial results are comforting, but the Learning and Growth metrics regarding digital skills and technology suggest that the business is not yet keeping up with the pace of change.</w:t>
      </w:r>
    </w:p>
    <w:p w:rsidR="00000000" w:rsidDel="00000000" w:rsidP="00000000" w:rsidRDefault="00000000" w:rsidRPr="00000000" w14:paraId="00000127">
      <w:pPr>
        <w:rPr/>
      </w:pPr>
      <w:r w:rsidDel="00000000" w:rsidR="00000000" w:rsidRPr="00000000">
        <w:rPr>
          <w:rtl w:val="0"/>
        </w:rPr>
        <w:t xml:space="preserve">I also found the strategic recommendations section the most stimulating because it asked me to make a decision - not just report what others have written. For instance, the CAGE framework proposed by Ghemawat (2007) is not extensively covered in the core reading list, but gave me a better way to argue why M&amp;S shouldn't pursue a broad internationalisation strategy. This assignment taught me that it's important to branch out from the main reading list.</w:t>
      </w:r>
    </w:p>
    <w:p w:rsidR="00000000" w:rsidDel="00000000" w:rsidP="00000000" w:rsidRDefault="00000000" w:rsidRPr="00000000" w14:paraId="00000128">
      <w:pPr>
        <w:rPr>
          <w:b w:val="1"/>
          <w:bCs w:val="1"/>
        </w:rPr>
      </w:pPr>
      <w:r w:rsidDel="00000000" w:rsidR="00000000" w:rsidRPr="00000000">
        <w:rPr>
          <w:b w:val="1"/>
          <w:bCs w:val="1"/>
          <w:rtl w:val="0"/>
        </w:rPr>
        <w:t xml:space="preserve">Conclusion</w:t>
      </w:r>
    </w:p>
    <w:p w:rsidR="00000000" w:rsidDel="00000000" w:rsidP="00000000" w:rsidRDefault="00000000" w:rsidRPr="00000000" w14:paraId="00000129">
      <w:pPr>
        <w:rPr/>
      </w:pPr>
      <w:r w:rsidDel="00000000" w:rsidR="00000000" w:rsidRPr="00000000">
        <w:rPr>
          <w:rtl w:val="0"/>
        </w:rPr>
        <w:t xml:space="preserve">As a result of this assignment, I have a better understanding of the nature of strategic management. It is not about finding the right framework and using it to fill in the blanks - it is about integrating incomplete information from a variety of sources and reaching reasonable conclusions about dynamic, changing conditions. The models help to organise our thinking, but they don't replace it.</w:t>
      </w:r>
    </w:p>
    <w:p w:rsidR="00000000" w:rsidDel="00000000" w:rsidP="00000000" w:rsidRDefault="00000000" w:rsidRPr="00000000" w14:paraId="0000012A">
      <w:pPr>
        <w:rPr/>
      </w:pPr>
      <w:r w:rsidDel="00000000" w:rsidR="00000000" w:rsidRPr="00000000">
        <w:rPr>
          <w:rtl w:val="0"/>
        </w:rPr>
        <w:t xml:space="preserve">I also gained much more awareness of the importance of history in strategy. Understanding M&amp;S's current strategy requires an understanding of its close to demise in the 1990s and its subsequent struggle to rebuild. All strategy is historical, and to make sense of where a company is headed, it's vital to understand its history.</w:t>
      </w:r>
    </w:p>
    <w:p w:rsidR="00000000" w:rsidDel="00000000" w:rsidP="00000000" w:rsidRDefault="00000000" w:rsidRPr="00000000" w14:paraId="0000012B">
      <w:pPr>
        <w:rPr>
          <w:b w:val="1"/>
          <w:bCs w:val="1"/>
        </w:rPr>
      </w:pPr>
      <w:r w:rsidDel="00000000" w:rsidR="00000000" w:rsidRPr="00000000">
        <w:rPr>
          <w:b w:val="1"/>
          <w:bCs w:val="1"/>
          <w:rtl w:val="0"/>
        </w:rPr>
        <w:t xml:space="preserve">Action Plan</w:t>
      </w:r>
    </w:p>
    <w:p w:rsidR="00000000" w:rsidDel="00000000" w:rsidP="00000000" w:rsidRDefault="00000000" w:rsidRPr="00000000" w14:paraId="0000012C">
      <w:pPr>
        <w:rPr/>
      </w:pPr>
      <w:r w:rsidDel="00000000" w:rsidR="00000000" w:rsidRPr="00000000">
        <w:rPr>
          <w:rtl w:val="0"/>
        </w:rPr>
        <w:t xml:space="preserve">In future, I would do things a bit differently when tackling similar assignments. First, I would begin the critical evaluation phase sooner - by studying academic critiques of the frameworks, in addition to the frameworks themselves. Second, I would write the recommendations section earlier on, as a measure of whether my analysis was sufficiently developed to make confident recommendations. If I am not confident in making a recommendation, then I probably need to do more work.</w:t>
      </w:r>
    </w:p>
    <w:p w:rsidR="00000000" w:rsidDel="00000000" w:rsidP="00000000" w:rsidRDefault="00000000" w:rsidRPr="00000000" w14:paraId="0000012D">
      <w:pPr>
        <w:rPr/>
      </w:pPr>
      <w:r w:rsidDel="00000000" w:rsidR="00000000" w:rsidRPr="00000000">
        <w:rPr>
          <w:rtl w:val="0"/>
        </w:rPr>
        <w:t xml:space="preserve">I would also spend extra time on the Learning and Growth perspective of any future Balanced Scorecard analysis because this aspect (people, data and culture) is usually the most accurate reflection of whether or not an organisation's strategy is sustainable or accidental.</w:t>
      </w:r>
    </w:p>
    <w:p w:rsidR="00000000" w:rsidDel="00000000" w:rsidP="00000000" w:rsidRDefault="00000000" w:rsidRPr="00000000" w14:paraId="0000012E">
      <w:pPr>
        <w:pStyle w:val="Heading1"/>
        <w:rPr/>
      </w:pPr>
      <w:bookmarkStart w:colFirst="0" w:colLast="0" w:name="_v96s50eeqrlk" w:id="28"/>
      <w:bookmarkEnd w:id="28"/>
      <w:r w:rsidDel="00000000" w:rsidR="00000000" w:rsidRPr="00000000">
        <w:rPr>
          <w:rtl w:val="0"/>
        </w:rPr>
        <w:t xml:space="preserve">References</w:t>
      </w:r>
    </w:p>
    <w:p w:rsidR="00000000" w:rsidDel="00000000" w:rsidP="00000000" w:rsidRDefault="00000000" w:rsidRPr="00000000" w14:paraId="0000012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Ansoff, H.I. (1957) 'Strategies for diversification', Harvard Business Review, 35(5), pp. 113–124.</w:t>
      </w:r>
    </w:p>
    <w:p w:rsidR="00000000" w:rsidDel="00000000" w:rsidP="00000000" w:rsidRDefault="00000000" w:rsidRPr="00000000" w14:paraId="0000013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Barney, J. (1991) ‘Firm resources and sustained competitive advantage’,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Journal of Management</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17(1), pp. 99–120.</w:t>
      </w:r>
    </w:p>
    <w:p w:rsidR="00000000" w:rsidDel="00000000" w:rsidP="00000000" w:rsidRDefault="00000000" w:rsidRPr="00000000" w14:paraId="0000013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BBC News (2024)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Marks &amp; Spencer performance and strategy updates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Available at: </w:t>
      </w:r>
      <w:hyperlink r:id="rId19">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https://www.bbc.com</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(Accessed: 8 April 2026).</w:t>
      </w:r>
    </w:p>
    <w:p w:rsidR="00000000" w:rsidDel="00000000" w:rsidP="00000000" w:rsidRDefault="00000000" w:rsidRPr="00000000" w14:paraId="0000013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Brynjolfsson, E. and McAfee, A. (2014) The Second Machine Age: Work, Progress, and Prosperity in a Time of Brilliant Technologies. New York: W.W. Norton &amp; Company.</w:t>
      </w:r>
    </w:p>
    <w:p w:rsidR="00000000" w:rsidDel="00000000" w:rsidP="00000000" w:rsidRDefault="00000000" w:rsidRPr="00000000" w14:paraId="0000013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Carroll, A.B. (1991) 'The pyramid of corporate social responsibility: toward the moral management of organizational stakeholders', Business Horizons, 34(4), pp. 39–48.</w:t>
      </w:r>
    </w:p>
    <w:p w:rsidR="00000000" w:rsidDel="00000000" w:rsidP="00000000" w:rsidRDefault="00000000" w:rsidRPr="00000000" w14:paraId="0000013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Deloitte (2024)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Global Powers of Retailing 2024</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Available at: </w:t>
      </w:r>
      <w:hyperlink r:id="rId20">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https://www2.deloitte.com</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(Accessed: 8 April 2026).</w:t>
      </w:r>
    </w:p>
    <w:p w:rsidR="00000000" w:rsidDel="00000000" w:rsidP="00000000" w:rsidRDefault="00000000" w:rsidRPr="00000000" w14:paraId="0000013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Deloitte (2026)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2026 Retail industry global outlook</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Available at: </w:t>
      </w:r>
      <w:hyperlink r:id="rId21">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https://www.deloitte.com/us/en/insights/industry/retail-distribution/retail-distribution-industry-outlook.html</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(Accessed: 8 April 2026). </w:t>
      </w:r>
    </w:p>
    <w:p w:rsidR="00000000" w:rsidDel="00000000" w:rsidP="00000000" w:rsidRDefault="00000000" w:rsidRPr="00000000" w14:paraId="0000013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Euromonitor International (2024)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Retailing in the United Kingdom</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London: Euromonitor.</w:t>
      </w:r>
    </w:p>
    <w:p w:rsidR="00000000" w:rsidDel="00000000" w:rsidP="00000000" w:rsidRDefault="00000000" w:rsidRPr="00000000" w14:paraId="0000013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Ghemawat, P. (2007) Redefining Global Strategy: Crossing Borders in a World Where Differences Still Matter. Boston: Harvard Business School Press.</w:t>
      </w:r>
    </w:p>
    <w:p w:rsidR="00000000" w:rsidDel="00000000" w:rsidP="00000000" w:rsidRDefault="00000000" w:rsidRPr="00000000" w14:paraId="00000138">
      <w:pPr>
        <w:spacing w:after="280" w:before="280" w:line="240" w:lineRule="auto"/>
        <w:rPr/>
      </w:pPr>
      <w:r w:rsidDel="00000000" w:rsidR="00000000" w:rsidRPr="00000000">
        <w:rPr>
          <w:rtl w:val="0"/>
        </w:rPr>
        <w:t xml:space="preserve">Gibbs, G. (1988) </w:t>
      </w:r>
      <w:r w:rsidDel="00000000" w:rsidR="00000000" w:rsidRPr="00000000">
        <w:rPr>
          <w:i w:val="1"/>
          <w:iCs w:val="1"/>
          <w:rtl w:val="0"/>
        </w:rPr>
        <w:t xml:space="preserve">Learning by Doing: A Guide to Teaching and Learning Methods</w:t>
      </w:r>
      <w:r w:rsidDel="00000000" w:rsidR="00000000" w:rsidRPr="00000000">
        <w:rPr>
          <w:rtl w:val="0"/>
        </w:rPr>
        <w:t xml:space="preserve">. Oxford: Oxford Polytechnic.</w:t>
      </w:r>
    </w:p>
    <w:p w:rsidR="00000000" w:rsidDel="00000000" w:rsidP="00000000" w:rsidRDefault="00000000" w:rsidRPr="00000000" w14:paraId="0000013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Grant, R.M. (2019)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Contemporary Strategy Analysis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10th edn. Chichester: Wiley.</w:t>
      </w:r>
    </w:p>
    <w:p w:rsidR="00000000" w:rsidDel="00000000" w:rsidP="00000000" w:rsidRDefault="00000000" w:rsidRPr="00000000" w14:paraId="0000013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Gürel, E. and Tat, M. (2017) ‘SWOT analysis: A theoretical review’,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The Journal of International Social Research</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10(51), pp. 994–1006.</w:t>
      </w:r>
    </w:p>
    <w:p w:rsidR="00000000" w:rsidDel="00000000" w:rsidP="00000000" w:rsidRDefault="00000000" w:rsidRPr="00000000" w14:paraId="0000013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Henderson, R. (2020) Reimagining Capitalism in a World on Fire. New York: PublicAffairs.</w:t>
      </w:r>
    </w:p>
    <w:p w:rsidR="00000000" w:rsidDel="00000000" w:rsidP="00000000" w:rsidRDefault="00000000" w:rsidRPr="00000000" w14:paraId="0000013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Hill, C.W.L., Jones, G.R. and Schilling, M.A. (2014)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Strategic Management: Theory and Cases: An Integrated Approach</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11th edn. Boston: Cengage Learning.</w:t>
      </w:r>
    </w:p>
    <w:p w:rsidR="00000000" w:rsidDel="00000000" w:rsidP="00000000" w:rsidRDefault="00000000" w:rsidRPr="00000000" w14:paraId="0000013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Johnson, G., Whittington, R., Scholes, K., Angwin, D. and Regnér, P. (2023)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Exploring Strategy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13th edn. Harlow: Pearson.</w:t>
      </w:r>
    </w:p>
    <w:p w:rsidR="00000000" w:rsidDel="00000000" w:rsidP="00000000" w:rsidRDefault="00000000" w:rsidRPr="00000000" w14:paraId="0000013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Kaplan, R.S. and Norton, D.P. (1992) 'The balanced scorecard: measures that drive performance', Harvard Business Review, 70(1), pp. 71–79.</w:t>
      </w:r>
    </w:p>
    <w:p w:rsidR="00000000" w:rsidDel="00000000" w:rsidP="00000000" w:rsidRDefault="00000000" w:rsidRPr="00000000" w14:paraId="0000013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Kolb, D.A. (1984) Experiential Learning: Experience as the Source of Learning and Development. Englewood Cliffs, NJ: Prentice-Hall.</w:t>
      </w:r>
    </w:p>
    <w:p w:rsidR="00000000" w:rsidDel="00000000" w:rsidP="00000000" w:rsidRDefault="00000000" w:rsidRPr="00000000" w14:paraId="0000014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Kotter, J.P. (1996) Leading Change. Boston: Harvard Business School Press.</w:t>
      </w:r>
    </w:p>
    <w:p w:rsidR="00000000" w:rsidDel="00000000" w:rsidP="00000000" w:rsidRDefault="00000000" w:rsidRPr="00000000" w14:paraId="0000014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Lewin, K. (1947) 'Frontiers in group dynamics: concept, method and reality in social science', Human Relations, 1(1), pp. 5–41.</w:t>
      </w:r>
    </w:p>
    <w:p w:rsidR="00000000" w:rsidDel="00000000" w:rsidP="00000000" w:rsidRDefault="00000000" w:rsidRPr="00000000" w14:paraId="0000014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Marks &amp; Spencer Group plc (2021) Never the Same Again: Annual Report and Financial Statements 2021. London: M&amp;S.</w:t>
      </w:r>
    </w:p>
    <w:p w:rsidR="00000000" w:rsidDel="00000000" w:rsidP="00000000" w:rsidRDefault="00000000" w:rsidRPr="00000000" w14:paraId="0000014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Marks &amp; Spencer Group plc (2023) Plan A Report 2023: Our Approach to ESG. London: M&amp;S.</w:t>
      </w:r>
    </w:p>
    <w:p w:rsidR="00000000" w:rsidDel="00000000" w:rsidP="00000000" w:rsidRDefault="00000000" w:rsidRPr="00000000" w14:paraId="0000014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Marks and Spencer Group plc (2023)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Plan A: Sustainability Report</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Available at: </w:t>
      </w:r>
      <w:hyperlink r:id="rId22">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https://corporate.marksandspencer.com</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(Accessed: 8 April 2026).</w:t>
      </w:r>
    </w:p>
    <w:p w:rsidR="00000000" w:rsidDel="00000000" w:rsidP="00000000" w:rsidRDefault="00000000" w:rsidRPr="00000000" w14:paraId="0000014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Marks and Spencer Group plc (2024)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Annual Report and Financial Statements 2023/24</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Available at: </w:t>
      </w:r>
      <w:hyperlink r:id="rId23">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https://corporate.marksandspencer.com</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(Accessed: 8 April 2026).</w:t>
      </w:r>
    </w:p>
    <w:p w:rsidR="00000000" w:rsidDel="00000000" w:rsidP="00000000" w:rsidRDefault="00000000" w:rsidRPr="00000000" w14:paraId="0000014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Mellahi, K., Jackson, P. and Sparks, L. (2002) 'An exploratory study into failure in successful organizations: the case of Marks &amp; Spencer', British Journal of Management, 13(1), pp. 15–29.</w:t>
      </w:r>
    </w:p>
    <w:p w:rsidR="00000000" w:rsidDel="00000000" w:rsidP="00000000" w:rsidRDefault="00000000" w:rsidRPr="00000000" w14:paraId="0000014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Mintel (2024)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UK Retail Market Report</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London: Mintel Group Ltd.</w:t>
      </w:r>
    </w:p>
    <w:p w:rsidR="00000000" w:rsidDel="00000000" w:rsidP="00000000" w:rsidRDefault="00000000" w:rsidRPr="00000000" w14:paraId="0000014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Nagle, T.T. and Müller, G. (2018) The Strategy and Tactics of Pricing: A Guide to Growing More Profitably. 6th edn. New York: Routledge.</w:t>
      </w:r>
    </w:p>
    <w:p w:rsidR="00000000" w:rsidDel="00000000" w:rsidP="00000000" w:rsidRDefault="00000000" w:rsidRPr="00000000" w14:paraId="0000014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Office for National Statistics (ONS) (2026)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Consumer price inflation, UK: 2025</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Available at: </w:t>
      </w:r>
      <w:hyperlink r:id="rId24">
        <w:r w:rsidDel="00000000" w:rsidR="00000000" w:rsidRPr="00000000">
          <w:rPr>
            <w:rFonts w:ascii="Times New Roman" w:cs="Times New Roman" w:eastAsia="Times New Roman" w:hAnsi="Times New Roman"/>
            <w:b w:val="0"/>
            <w:bCs w:val="0"/>
            <w:i w:val="0"/>
            <w:iCs w:val="0"/>
            <w:smallCaps w:val="0"/>
            <w:strike w:val="0"/>
            <w:color w:val="0563c1"/>
            <w:sz w:val="24"/>
            <w:szCs w:val="24"/>
            <w:u w:val="single"/>
            <w:shd w:fill="auto" w:val="clear"/>
            <w:vertAlign w:val="baseline"/>
            <w:rtl w:val="0"/>
          </w:rPr>
          <w:t xml:space="preserve">https://www.ons.gov.uk</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(Accessed: 8 April 2026).</w:t>
      </w:r>
    </w:p>
    <w:p w:rsidR="00000000" w:rsidDel="00000000" w:rsidP="00000000" w:rsidRDefault="00000000" w:rsidRPr="00000000" w14:paraId="0000014A">
      <w:pPr>
        <w:rPr/>
      </w:pPr>
      <w:r w:rsidDel="00000000" w:rsidR="00000000" w:rsidRPr="00000000">
        <w:rPr>
          <w:rtl w:val="0"/>
        </w:rPr>
        <w:t xml:space="preserve">Our World in Data (2026). </w:t>
      </w:r>
      <w:r w:rsidDel="00000000" w:rsidR="00000000" w:rsidRPr="00000000">
        <w:rPr>
          <w:i w:val="1"/>
          <w:iCs w:val="1"/>
          <w:rtl w:val="0"/>
        </w:rPr>
        <w:t xml:space="preserve">CO₂ and Greenhouse Gas Emissions — United Kingdom</w:t>
      </w:r>
      <w:r w:rsidDel="00000000" w:rsidR="00000000" w:rsidRPr="00000000">
        <w:rPr>
          <w:rtl w:val="0"/>
        </w:rPr>
        <w:t xml:space="preserve">. Our World in Data. Available at: </w:t>
      </w:r>
      <w:hyperlink r:id="rId25">
        <w:r w:rsidDel="00000000" w:rsidR="00000000" w:rsidRPr="00000000">
          <w:rPr>
            <w:color w:val="0563c1"/>
            <w:u w:val="single"/>
            <w:rtl w:val="0"/>
          </w:rPr>
          <w:t xml:space="preserve">https://ourworldindata.org/co2/united-kingdom</w:t>
        </w:r>
      </w:hyperlink>
      <w:r w:rsidDel="00000000" w:rsidR="00000000" w:rsidRPr="00000000">
        <w:rPr>
          <w:rtl w:val="0"/>
        </w:rPr>
        <w:t xml:space="preserve"> [Accessed 8 April 2026].</w:t>
      </w:r>
    </w:p>
    <w:p w:rsidR="00000000" w:rsidDel="00000000" w:rsidP="00000000" w:rsidRDefault="00000000" w:rsidRPr="00000000" w14:paraId="0000014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Porter, M.E. (1980) Competitive Strategy: Techniques for Analyzing Industries and Competitors. New York: Free Press.</w:t>
      </w:r>
    </w:p>
    <w:p w:rsidR="00000000" w:rsidDel="00000000" w:rsidP="00000000" w:rsidRDefault="00000000" w:rsidRPr="00000000" w14:paraId="0000014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Porter, M.E. and Kramer, M.R. (2011) 'Creating shared value', Harvard Business Review, 89(1/2), pp. 62–77.</w:t>
      </w:r>
    </w:p>
    <w:p w:rsidR="00000000" w:rsidDel="00000000" w:rsidP="00000000" w:rsidRDefault="00000000" w:rsidRPr="00000000" w14:paraId="0000014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Rumelt, R.P. (1982) 'Diversification strategy and profitability', Strategic Management Journal, 3(4), pp. 359–369.</w:t>
      </w:r>
    </w:p>
    <w:p w:rsidR="00000000" w:rsidDel="00000000" w:rsidP="00000000" w:rsidRDefault="00000000" w:rsidRPr="00000000" w14:paraId="0000014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Science Based Targets Initiative (2022) M&amp;S Science Based Targets: Net Zero Pathway. Available at: https://sciencebasedtargets.org (Accessed: 12 April 2026).</w:t>
      </w:r>
    </w:p>
    <w:p w:rsidR="00000000" w:rsidDel="00000000" w:rsidP="00000000" w:rsidRDefault="00000000" w:rsidRPr="00000000" w14:paraId="0000014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Tse, K.K. (1985) Marks &amp; Spencer: Anatomy of Britain's Most Efficiently Managed Company. Oxford: Pergamon Press.</w:t>
      </w:r>
    </w:p>
    <w:p w:rsidR="00000000" w:rsidDel="00000000" w:rsidP="00000000" w:rsidRDefault="00000000" w:rsidRPr="00000000" w14:paraId="0000015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Unilever (2017) Report Shows a Third of Consumers Prefer Sustainable Brands. Available at: https://www.unilever.com/news (Accessed: 14 April 2026).</w:t>
      </w:r>
    </w:p>
    <w:p w:rsidR="00000000" w:rsidDel="00000000" w:rsidP="00000000" w:rsidRDefault="00000000" w:rsidRPr="00000000" w14:paraId="0000015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Wrigley, N. and Lambiri, D. (2015)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British High Streets: From Crisis to Recovery? A Comprehensive Review</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Southampton: University of Southampton.</w:t>
      </w:r>
    </w:p>
    <w:sectPr>
      <w:footerReference r:id="rId2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Times New Roman"/>
  <w:font w:name="Calibri"/>
  <w:font w:name="Geist Fallback"/>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5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5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2">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3">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4">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5">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6">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7">
    <w:lvl w:ilvl="0">
      <w:start w:val="1"/>
      <w:numFmt w:val="decimal"/>
      <w:lvlText w:val="%1."/>
      <w:lvlJc w:val="left"/>
      <w:pPr>
        <w:ind w:left="360" w:hanging="360"/>
      </w:pPr>
      <w:rPr/>
    </w:lvl>
    <w:lvl w:ilvl="1">
      <w:start w:val="1"/>
      <w:numFmt w:val="lowerLetter"/>
      <w:lvlText w:val="%2."/>
      <w:lvlJc w:val="left"/>
      <w:pPr>
        <w:ind w:left="1080" w:hanging="360"/>
      </w:pPr>
      <w:rPr/>
    </w:lvl>
    <w:lvl w:ilvl="2">
      <w:start w:val="1"/>
      <w:numFmt w:val="lowerRoman"/>
      <w:lvlText w:val="%3."/>
      <w:lvlJc w:val="right"/>
      <w:pPr>
        <w:ind w:left="1800" w:hanging="180"/>
      </w:pPr>
      <w:rPr/>
    </w:lvl>
    <w:lvl w:ilvl="3">
      <w:start w:val="1"/>
      <w:numFmt w:val="decimal"/>
      <w:lvlText w:val="%4."/>
      <w:lvlJc w:val="left"/>
      <w:pPr>
        <w:ind w:left="2520" w:hanging="360"/>
      </w:pPr>
      <w:rPr/>
    </w:lvl>
    <w:lvl w:ilvl="4">
      <w:start w:val="1"/>
      <w:numFmt w:val="lowerLetter"/>
      <w:lvlText w:val="%5."/>
      <w:lvlJc w:val="left"/>
      <w:pPr>
        <w:ind w:left="3240" w:hanging="360"/>
      </w:pPr>
      <w:rPr/>
    </w:lvl>
    <w:lvl w:ilvl="5">
      <w:start w:val="1"/>
      <w:numFmt w:val="lowerRoman"/>
      <w:lvlText w:val="%6."/>
      <w:lvlJc w:val="right"/>
      <w:pPr>
        <w:ind w:left="3960" w:hanging="180"/>
      </w:pPr>
      <w:rPr/>
    </w:lvl>
    <w:lvl w:ilvl="6">
      <w:start w:val="1"/>
      <w:numFmt w:val="decimal"/>
      <w:lvlText w:val="%7."/>
      <w:lvlJc w:val="left"/>
      <w:pPr>
        <w:ind w:left="4680" w:hanging="360"/>
      </w:pPr>
      <w:rPr/>
    </w:lvl>
    <w:lvl w:ilvl="7">
      <w:start w:val="1"/>
      <w:numFmt w:val="lowerLetter"/>
      <w:lvlText w:val="%8."/>
      <w:lvlJc w:val="left"/>
      <w:pPr>
        <w:ind w:left="5400" w:hanging="360"/>
      </w:pPr>
      <w:rPr/>
    </w:lvl>
    <w:lvl w:ilvl="8">
      <w:start w:val="1"/>
      <w:numFmt w:val="lowerRoman"/>
      <w:lvlText w:val="%9."/>
      <w:lvlJc w:val="right"/>
      <w:pPr>
        <w:ind w:left="6120" w:hanging="180"/>
      </w:pPr>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color w:val="1f4e79"/>
      <w:sz w:val="32"/>
      <w:szCs w:val="32"/>
    </w:rPr>
  </w:style>
  <w:style w:type="paragraph" w:styleId="Heading2">
    <w:name w:val="heading 2"/>
    <w:basedOn w:val="Normal"/>
    <w:next w:val="Normal"/>
    <w:pPr>
      <w:keepNext w:val="1"/>
      <w:keepLines w:val="1"/>
      <w:spacing w:after="0" w:before="40" w:lineRule="auto"/>
      <w:jc w:val="left"/>
    </w:pPr>
    <w:rPr>
      <w:b w:val="1"/>
      <w:bCs w:val="1"/>
      <w:sz w:val="28"/>
      <w:szCs w:val="28"/>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tcPr>
      <w:shd w:fill="e2efd9" w:val="clear"/>
    </w:tcPr>
    <w:tblStylePr w:type="band1Horz">
      <w:tcPr>
        <w:shd w:fill="c5e0b3" w:val="clear"/>
      </w:tcPr>
    </w:tblStylePr>
    <w:tblStylePr w:type="band1Vert">
      <w:tcPr>
        <w:shd w:fill="c5e0b3" w:val="clear"/>
      </w:tcPr>
    </w:tblStylePr>
    <w:tblStylePr w:type="firstCol">
      <w:rPr>
        <w:b w:val="1"/>
        <w:bCs w:val="1"/>
        <w:color w:val="ffffff"/>
      </w:rPr>
      <w:tcPr>
        <w:tcBorders>
          <w:top w:color="ffffff" w:space="0" w:sz="4" w:val="single"/>
          <w:left w:color="ffffff" w:space="0" w:sz="4" w:val="single"/>
          <w:bottom w:color="ffffff" w:space="0" w:sz="4" w:val="single"/>
          <w:insideV w:color="000000" w:space="0" w:sz="0" w:val="nil"/>
        </w:tcBorders>
        <w:shd w:fill="70ad47" w:val="clear"/>
      </w:tcPr>
    </w:tblStylePr>
    <w:tblStylePr w:type="firstRow">
      <w:rPr>
        <w:b w:val="1"/>
        <w:bCs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70ad47" w:val="clear"/>
      </w:tcPr>
    </w:tblStylePr>
    <w:tblStylePr w:type="lastCol">
      <w:rPr>
        <w:b w:val="1"/>
        <w:bCs w:val="1"/>
        <w:color w:val="ffffff"/>
      </w:rPr>
      <w:tcPr>
        <w:tcBorders>
          <w:top w:color="ffffff" w:space="0" w:sz="4" w:val="single"/>
          <w:bottom w:color="ffffff" w:space="0" w:sz="4" w:val="single"/>
          <w:right w:color="ffffff" w:space="0" w:sz="4" w:val="single"/>
          <w:insideV w:color="000000" w:space="0" w:sz="0" w:val="nil"/>
        </w:tcBorders>
        <w:shd w:fill="70ad47" w:val="clear"/>
      </w:tcPr>
    </w:tblStylePr>
    <w:tblStylePr w:type="lastRow">
      <w:rPr>
        <w:b w:val="1"/>
        <w:bCs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70ad47" w:val="clear"/>
      </w:tcPr>
    </w:tblStylePr>
  </w:style>
  <w:style w:type="table" w:styleId="Table2">
    <w:basedOn w:val="TableNormal"/>
    <w:pPr>
      <w:spacing w:after="0" w:line="240" w:lineRule="auto"/>
    </w:pPr>
    <w:tblPr>
      <w:tblStyleRowBandSize w:val="1"/>
      <w:tblStyleColBandSize w:val="1"/>
      <w:tblCellMar>
        <w:top w:w="0.0" w:type="dxa"/>
        <w:left w:w="115.0" w:type="dxa"/>
        <w:bottom w:w="0.0" w:type="dxa"/>
        <w:right w:w="115.0" w:type="dxa"/>
      </w:tblCellMar>
    </w:tblPr>
    <w:tcPr>
      <w:shd w:fill="e2efd9" w:val="clear"/>
    </w:tcPr>
    <w:tblStylePr w:type="band1Horz">
      <w:tcPr>
        <w:shd w:fill="c5e0b3" w:val="clear"/>
      </w:tcPr>
    </w:tblStylePr>
    <w:tblStylePr w:type="band1Vert">
      <w:tcPr>
        <w:shd w:fill="c5e0b3" w:val="clear"/>
      </w:tcPr>
    </w:tblStylePr>
    <w:tblStylePr w:type="firstCol">
      <w:rPr>
        <w:b w:val="1"/>
        <w:bCs w:val="1"/>
        <w:color w:val="ffffff"/>
      </w:rPr>
      <w:tcPr>
        <w:tcBorders>
          <w:top w:color="ffffff" w:space="0" w:sz="4" w:val="single"/>
          <w:left w:color="ffffff" w:space="0" w:sz="4" w:val="single"/>
          <w:bottom w:color="ffffff" w:space="0" w:sz="4" w:val="single"/>
          <w:insideV w:color="000000" w:space="0" w:sz="0" w:val="nil"/>
        </w:tcBorders>
        <w:shd w:fill="70ad47" w:val="clear"/>
      </w:tcPr>
    </w:tblStylePr>
    <w:tblStylePr w:type="firstRow">
      <w:rPr>
        <w:b w:val="1"/>
        <w:bCs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70ad47" w:val="clear"/>
      </w:tcPr>
    </w:tblStylePr>
    <w:tblStylePr w:type="lastCol">
      <w:rPr>
        <w:b w:val="1"/>
        <w:bCs w:val="1"/>
        <w:color w:val="ffffff"/>
      </w:rPr>
      <w:tcPr>
        <w:tcBorders>
          <w:top w:color="ffffff" w:space="0" w:sz="4" w:val="single"/>
          <w:bottom w:color="ffffff" w:space="0" w:sz="4" w:val="single"/>
          <w:right w:color="ffffff" w:space="0" w:sz="4" w:val="single"/>
          <w:insideV w:color="000000" w:space="0" w:sz="0" w:val="nil"/>
        </w:tcBorders>
        <w:shd w:fill="70ad47" w:val="clear"/>
      </w:tcPr>
    </w:tblStylePr>
    <w:tblStylePr w:type="lastRow">
      <w:rPr>
        <w:b w:val="1"/>
        <w:bCs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70ad47" w:val="clear"/>
      </w:tcPr>
    </w:tblStylePr>
  </w:style>
  <w:style w:type="table" w:styleId="Table3">
    <w:basedOn w:val="TableNormal"/>
    <w:pPr>
      <w:spacing w:after="0" w:line="240" w:lineRule="auto"/>
    </w:pPr>
    <w:tblPr>
      <w:tblStyleRowBandSize w:val="1"/>
      <w:tblStyleColBandSize w:val="1"/>
      <w:tblCellMar>
        <w:top w:w="0.0" w:type="dxa"/>
        <w:left w:w="115.0" w:type="dxa"/>
        <w:bottom w:w="0.0" w:type="dxa"/>
        <w:right w:w="115.0" w:type="dxa"/>
      </w:tblCellMar>
    </w:tblPr>
    <w:tcPr>
      <w:shd w:fill="e2efd9" w:val="clear"/>
    </w:tcPr>
    <w:tblStylePr w:type="band1Horz">
      <w:tcPr>
        <w:shd w:fill="c5e0b3" w:val="clear"/>
      </w:tcPr>
    </w:tblStylePr>
    <w:tblStylePr w:type="band1Vert">
      <w:tcPr>
        <w:shd w:fill="c5e0b3" w:val="clear"/>
      </w:tcPr>
    </w:tblStylePr>
    <w:tblStylePr w:type="firstCol">
      <w:rPr>
        <w:b w:val="1"/>
        <w:bCs w:val="1"/>
        <w:color w:val="ffffff"/>
      </w:rPr>
      <w:tcPr>
        <w:tcBorders>
          <w:top w:color="ffffff" w:space="0" w:sz="4" w:val="single"/>
          <w:left w:color="ffffff" w:space="0" w:sz="4" w:val="single"/>
          <w:bottom w:color="ffffff" w:space="0" w:sz="4" w:val="single"/>
          <w:insideV w:color="000000" w:space="0" w:sz="0" w:val="nil"/>
        </w:tcBorders>
        <w:shd w:fill="70ad47" w:val="clear"/>
      </w:tcPr>
    </w:tblStylePr>
    <w:tblStylePr w:type="firstRow">
      <w:rPr>
        <w:b w:val="1"/>
        <w:bCs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70ad47" w:val="clear"/>
      </w:tcPr>
    </w:tblStylePr>
    <w:tblStylePr w:type="lastCol">
      <w:rPr>
        <w:b w:val="1"/>
        <w:bCs w:val="1"/>
        <w:color w:val="ffffff"/>
      </w:rPr>
      <w:tcPr>
        <w:tcBorders>
          <w:top w:color="ffffff" w:space="0" w:sz="4" w:val="single"/>
          <w:bottom w:color="ffffff" w:space="0" w:sz="4" w:val="single"/>
          <w:right w:color="ffffff" w:space="0" w:sz="4" w:val="single"/>
          <w:insideV w:color="000000" w:space="0" w:sz="0" w:val="nil"/>
        </w:tcBorders>
        <w:shd w:fill="70ad47" w:val="clear"/>
      </w:tcPr>
    </w:tblStylePr>
    <w:tblStylePr w:type="lastRow">
      <w:rPr>
        <w:b w:val="1"/>
        <w:bCs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70ad47" w:val="clear"/>
      </w:tcPr>
    </w:tblStylePr>
  </w:style>
  <w:style w:type="table" w:styleId="Table4">
    <w:basedOn w:val="TableNormal"/>
    <w:pPr>
      <w:spacing w:after="0" w:line="240" w:lineRule="auto"/>
    </w:pPr>
    <w:tblPr>
      <w:tblStyleRowBandSize w:val="1"/>
      <w:tblStyleColBandSize w:val="1"/>
      <w:tblCellMar>
        <w:top w:w="0.0" w:type="dxa"/>
        <w:left w:w="115.0" w:type="dxa"/>
        <w:bottom w:w="0.0" w:type="dxa"/>
        <w:right w:w="115.0" w:type="dxa"/>
      </w:tblCellMar>
    </w:tblPr>
    <w:tcPr>
      <w:shd w:fill="e2efd9" w:val="clear"/>
    </w:tcPr>
    <w:tblStylePr w:type="band1Horz">
      <w:tcPr>
        <w:shd w:fill="c5e0b3" w:val="clear"/>
      </w:tcPr>
    </w:tblStylePr>
    <w:tblStylePr w:type="band1Vert">
      <w:tcPr>
        <w:shd w:fill="c5e0b3" w:val="clear"/>
      </w:tcPr>
    </w:tblStylePr>
    <w:tblStylePr w:type="firstCol">
      <w:rPr>
        <w:b w:val="1"/>
        <w:bCs w:val="1"/>
        <w:color w:val="ffffff"/>
      </w:rPr>
      <w:tcPr>
        <w:tcBorders>
          <w:top w:color="ffffff" w:space="0" w:sz="4" w:val="single"/>
          <w:left w:color="ffffff" w:space="0" w:sz="4" w:val="single"/>
          <w:bottom w:color="ffffff" w:space="0" w:sz="4" w:val="single"/>
          <w:insideV w:color="000000" w:space="0" w:sz="0" w:val="nil"/>
        </w:tcBorders>
        <w:shd w:fill="70ad47" w:val="clear"/>
      </w:tcPr>
    </w:tblStylePr>
    <w:tblStylePr w:type="firstRow">
      <w:rPr>
        <w:b w:val="1"/>
        <w:bCs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70ad47" w:val="clear"/>
      </w:tcPr>
    </w:tblStylePr>
    <w:tblStylePr w:type="lastCol">
      <w:rPr>
        <w:b w:val="1"/>
        <w:bCs w:val="1"/>
        <w:color w:val="ffffff"/>
      </w:rPr>
      <w:tcPr>
        <w:tcBorders>
          <w:top w:color="ffffff" w:space="0" w:sz="4" w:val="single"/>
          <w:bottom w:color="ffffff" w:space="0" w:sz="4" w:val="single"/>
          <w:right w:color="ffffff" w:space="0" w:sz="4" w:val="single"/>
          <w:insideV w:color="000000" w:space="0" w:sz="0" w:val="nil"/>
        </w:tcBorders>
        <w:shd w:fill="70ad47" w:val="clear"/>
      </w:tcPr>
    </w:tblStylePr>
    <w:tblStylePr w:type="lastRow">
      <w:rPr>
        <w:b w:val="1"/>
        <w:bCs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70ad47" w:val="clear"/>
      </w:tcPr>
    </w:tblStylePr>
  </w:style>
</w:styles>
</file>

<file path=word/_rels/document.xml.rels><?xml version="1.0" encoding="UTF-8" standalone="yes"?><Relationships xmlns="http://schemas.openxmlformats.org/package/2006/relationships"><Relationship Id="rId20" Type="http://schemas.openxmlformats.org/officeDocument/2006/relationships/hyperlink" Target="https://www2.deloitte.com" TargetMode="External"/><Relationship Id="rId22" Type="http://schemas.openxmlformats.org/officeDocument/2006/relationships/hyperlink" Target="https://corporate.marksandspencer.com" TargetMode="External"/><Relationship Id="rId21" Type="http://schemas.openxmlformats.org/officeDocument/2006/relationships/hyperlink" Target="https://www.deloitte.com/us/en/insights/industry/retail-distribution/retail-distribution-industry-outlook.html" TargetMode="External"/><Relationship Id="rId24" Type="http://schemas.openxmlformats.org/officeDocument/2006/relationships/hyperlink" Target="https://www.ons.gov.uk" TargetMode="External"/><Relationship Id="rId23" Type="http://schemas.openxmlformats.org/officeDocument/2006/relationships/hyperlink" Target="https://corporate.marksandspencer.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26" Type="http://schemas.openxmlformats.org/officeDocument/2006/relationships/footer" Target="footer1.xml"/><Relationship Id="rId25" Type="http://schemas.openxmlformats.org/officeDocument/2006/relationships/hyperlink" Target="https://ourworldindata.org/co2/united-kingdom"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 Id="rId11" Type="http://schemas.openxmlformats.org/officeDocument/2006/relationships/image" Target="media/image7.png"/><Relationship Id="rId10" Type="http://schemas.openxmlformats.org/officeDocument/2006/relationships/image" Target="media/image4.png"/><Relationship Id="rId13" Type="http://schemas.openxmlformats.org/officeDocument/2006/relationships/image" Target="media/image9.png"/><Relationship Id="rId12" Type="http://schemas.openxmlformats.org/officeDocument/2006/relationships/image" Target="media/image6.png"/><Relationship Id="rId15" Type="http://schemas.openxmlformats.org/officeDocument/2006/relationships/image" Target="media/image12.png"/><Relationship Id="rId14" Type="http://schemas.openxmlformats.org/officeDocument/2006/relationships/image" Target="media/image8.png"/><Relationship Id="rId17" Type="http://schemas.openxmlformats.org/officeDocument/2006/relationships/image" Target="media/image11.png"/><Relationship Id="rId16" Type="http://schemas.openxmlformats.org/officeDocument/2006/relationships/image" Target="media/image10.png"/><Relationship Id="rId19" Type="http://schemas.openxmlformats.org/officeDocument/2006/relationships/hyperlink" Target="https://www.bbc.com" TargetMode="External"/><Relationship Id="rId18"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