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F9C91" w14:textId="77777777" w:rsidR="004E6516" w:rsidRDefault="004E6516" w:rsidP="004E6516">
      <w:pPr>
        <w:jc w:val="center"/>
        <w:rPr>
          <w:rFonts w:ascii="Arial" w:eastAsia="Arial" w:hAnsi="Arial"/>
          <w:b/>
          <w:sz w:val="36"/>
        </w:rPr>
      </w:pPr>
      <w:r w:rsidRPr="00743378">
        <w:rPr>
          <w:rFonts w:ascii="Arial" w:hAnsi="Arial" w:cs="Arial"/>
          <w:b/>
          <w:noProof/>
        </w:rPr>
        <w:drawing>
          <wp:inline distT="0" distB="0" distL="0" distR="0" wp14:anchorId="024ADAED" wp14:editId="0CBD67DA">
            <wp:extent cx="4514215" cy="1734185"/>
            <wp:effectExtent l="0" t="0" r="635" b="0"/>
            <wp:docPr id="71807217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72174"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215" cy="1734185"/>
                    </a:xfrm>
                    <a:prstGeom prst="rect">
                      <a:avLst/>
                    </a:prstGeom>
                    <a:noFill/>
                    <a:ln>
                      <a:noFill/>
                    </a:ln>
                  </pic:spPr>
                </pic:pic>
              </a:graphicData>
            </a:graphic>
          </wp:inline>
        </w:drawing>
      </w:r>
    </w:p>
    <w:p w14:paraId="3D8F423C" w14:textId="77777777" w:rsidR="004E6516" w:rsidRPr="00467E36" w:rsidRDefault="004E6516" w:rsidP="004E6516">
      <w:pPr>
        <w:jc w:val="center"/>
      </w:pPr>
    </w:p>
    <w:p w14:paraId="3BECC6D9" w14:textId="77777777" w:rsidR="004E6516" w:rsidRPr="00681518" w:rsidRDefault="004E6516" w:rsidP="004E6516">
      <w:pPr>
        <w:jc w:val="center"/>
        <w:rPr>
          <w:rFonts w:ascii="Arial" w:hAnsi="Arial" w:cs="Arial"/>
        </w:rPr>
      </w:pPr>
      <w:r w:rsidRPr="00681518">
        <w:rPr>
          <w:rFonts w:ascii="Arial" w:eastAsia="Arial" w:hAnsi="Arial" w:cs="Arial"/>
        </w:rPr>
        <w:t>Student Name: Suleha Begum Azad</w:t>
      </w:r>
    </w:p>
    <w:p w14:paraId="05953E83" w14:textId="77777777" w:rsidR="004E6516" w:rsidRPr="00681518" w:rsidRDefault="004E6516" w:rsidP="004E6516">
      <w:pPr>
        <w:jc w:val="center"/>
        <w:rPr>
          <w:rFonts w:ascii="Arial" w:hAnsi="Arial" w:cs="Arial"/>
        </w:rPr>
      </w:pPr>
      <w:r w:rsidRPr="00681518">
        <w:rPr>
          <w:rFonts w:ascii="Arial" w:eastAsia="Arial" w:hAnsi="Arial" w:cs="Arial"/>
        </w:rPr>
        <w:t>Student Number: 2325115</w:t>
      </w:r>
    </w:p>
    <w:p w14:paraId="498BEC99" w14:textId="77777777" w:rsidR="004E6516" w:rsidRPr="00A734F7" w:rsidRDefault="004E6516" w:rsidP="004E6516">
      <w:pPr>
        <w:jc w:val="center"/>
        <w:rPr>
          <w:rFonts w:ascii="Arial" w:hAnsi="Arial" w:cs="Arial"/>
          <w:bCs/>
        </w:rPr>
      </w:pPr>
      <w:r w:rsidRPr="00681518">
        <w:rPr>
          <w:rFonts w:ascii="Arial" w:eastAsia="Arial" w:hAnsi="Arial" w:cs="Arial"/>
        </w:rPr>
        <w:t>Module Code and Title: LCLM 600</w:t>
      </w:r>
      <w:r>
        <w:rPr>
          <w:rFonts w:ascii="Arial" w:eastAsia="Arial" w:hAnsi="Arial" w:cs="Arial"/>
        </w:rPr>
        <w:t>1</w:t>
      </w:r>
      <w:r w:rsidRPr="00681518">
        <w:rPr>
          <w:rFonts w:ascii="Arial" w:eastAsia="Arial" w:hAnsi="Arial" w:cs="Arial"/>
        </w:rPr>
        <w:t xml:space="preserve"> </w:t>
      </w:r>
      <w:r w:rsidRPr="00A734F7">
        <w:rPr>
          <w:rFonts w:ascii="Arial" w:hAnsi="Arial" w:cs="Arial"/>
          <w:bCs/>
        </w:rPr>
        <w:t>Strategic Management for Business</w:t>
      </w:r>
    </w:p>
    <w:p w14:paraId="18008E97" w14:textId="54BE722C" w:rsidR="004E6516" w:rsidRPr="00681518" w:rsidRDefault="004E6516" w:rsidP="004E6516">
      <w:pPr>
        <w:jc w:val="center"/>
        <w:rPr>
          <w:rFonts w:ascii="Arial" w:hAnsi="Arial" w:cs="Arial"/>
        </w:rPr>
      </w:pPr>
      <w:r w:rsidRPr="00681518">
        <w:rPr>
          <w:rFonts w:ascii="Arial" w:eastAsia="Arial" w:hAnsi="Arial" w:cs="Arial"/>
        </w:rPr>
        <w:t xml:space="preserve">Lecturer’s Name: </w:t>
      </w:r>
      <w:proofErr w:type="spellStart"/>
      <w:r>
        <w:rPr>
          <w:rFonts w:ascii="Arial" w:eastAsia="Arial" w:hAnsi="Arial" w:cs="Arial"/>
        </w:rPr>
        <w:t>Ashikul</w:t>
      </w:r>
      <w:proofErr w:type="spellEnd"/>
      <w:r>
        <w:rPr>
          <w:rFonts w:ascii="Arial" w:eastAsia="Arial" w:hAnsi="Arial" w:cs="Arial"/>
        </w:rPr>
        <w:t xml:space="preserve"> </w:t>
      </w:r>
      <w:r w:rsidR="00ED0A37">
        <w:rPr>
          <w:rFonts w:ascii="Arial" w:eastAsia="Arial" w:hAnsi="Arial" w:cs="Arial"/>
        </w:rPr>
        <w:t>Khan</w:t>
      </w:r>
    </w:p>
    <w:p w14:paraId="686AE4A2" w14:textId="77777777" w:rsidR="004E6516" w:rsidRPr="00A734F7" w:rsidRDefault="004E6516" w:rsidP="004E6516">
      <w:pPr>
        <w:spacing w:line="360" w:lineRule="auto"/>
        <w:rPr>
          <w:rFonts w:ascii="Arial" w:hAnsi="Arial" w:cs="Arial"/>
          <w:b/>
          <w:bCs/>
        </w:rPr>
      </w:pPr>
      <w:r w:rsidRPr="00681518">
        <w:rPr>
          <w:rFonts w:ascii="Arial" w:eastAsia="Arial" w:hAnsi="Arial" w:cs="Arial"/>
        </w:rPr>
        <w:t xml:space="preserve">Assignment Title: </w:t>
      </w:r>
      <w:r>
        <w:rPr>
          <w:rFonts w:ascii="Arial" w:eastAsia="Arial" w:hAnsi="Arial" w:cs="Arial"/>
        </w:rPr>
        <w:t xml:space="preserve">Individual Report on </w:t>
      </w:r>
      <w:r w:rsidRPr="006575E5">
        <w:rPr>
          <w:rFonts w:ascii="Arial" w:hAnsi="Arial" w:cs="Arial"/>
        </w:rPr>
        <w:t>Innocent Drinks – A Mission-Driven Business</w:t>
      </w:r>
    </w:p>
    <w:p w14:paraId="67D21A61" w14:textId="77777777" w:rsidR="004E6516" w:rsidRPr="00681518" w:rsidRDefault="004E6516" w:rsidP="004E6516">
      <w:pPr>
        <w:jc w:val="center"/>
        <w:rPr>
          <w:rFonts w:ascii="Arial" w:hAnsi="Arial" w:cs="Arial"/>
        </w:rPr>
      </w:pPr>
      <w:r w:rsidRPr="00681518">
        <w:rPr>
          <w:rFonts w:ascii="Arial" w:eastAsia="Arial" w:hAnsi="Arial" w:cs="Arial"/>
        </w:rPr>
        <w:t xml:space="preserve">Date: </w:t>
      </w:r>
      <w:r>
        <w:rPr>
          <w:rFonts w:ascii="Arial" w:eastAsia="Arial" w:hAnsi="Arial" w:cs="Arial"/>
        </w:rPr>
        <w:t>16</w:t>
      </w:r>
      <w:r w:rsidRPr="00A734F7">
        <w:rPr>
          <w:rFonts w:ascii="Arial" w:eastAsia="Arial" w:hAnsi="Arial" w:cs="Arial"/>
          <w:vertAlign w:val="superscript"/>
        </w:rPr>
        <w:t>th</w:t>
      </w:r>
      <w:r>
        <w:rPr>
          <w:rFonts w:ascii="Arial" w:eastAsia="Arial" w:hAnsi="Arial" w:cs="Arial"/>
        </w:rPr>
        <w:t xml:space="preserve"> March 2026</w:t>
      </w:r>
    </w:p>
    <w:p w14:paraId="5768BE1E" w14:textId="77777777" w:rsidR="004E6516" w:rsidRDefault="004E6516" w:rsidP="00116230">
      <w:pPr>
        <w:spacing w:line="360" w:lineRule="auto"/>
        <w:rPr>
          <w:rFonts w:ascii="Arial" w:hAnsi="Arial" w:cs="Arial"/>
          <w:b/>
          <w:bCs/>
        </w:rPr>
      </w:pPr>
    </w:p>
    <w:p w14:paraId="3B512719" w14:textId="77777777" w:rsidR="004E6516" w:rsidRDefault="004E6516" w:rsidP="00116230">
      <w:pPr>
        <w:spacing w:line="360" w:lineRule="auto"/>
        <w:rPr>
          <w:rFonts w:ascii="Arial" w:hAnsi="Arial" w:cs="Arial"/>
          <w:b/>
          <w:bCs/>
        </w:rPr>
      </w:pPr>
    </w:p>
    <w:p w14:paraId="7E07925B" w14:textId="77777777" w:rsidR="004E6516" w:rsidRDefault="004E6516" w:rsidP="00116230">
      <w:pPr>
        <w:spacing w:line="360" w:lineRule="auto"/>
        <w:rPr>
          <w:rFonts w:ascii="Arial" w:hAnsi="Arial" w:cs="Arial"/>
          <w:b/>
          <w:bCs/>
        </w:rPr>
      </w:pPr>
    </w:p>
    <w:p w14:paraId="62A2FEA3" w14:textId="77777777" w:rsidR="004E6516" w:rsidRDefault="004E6516" w:rsidP="00116230">
      <w:pPr>
        <w:spacing w:line="360" w:lineRule="auto"/>
        <w:rPr>
          <w:rFonts w:ascii="Arial" w:hAnsi="Arial" w:cs="Arial"/>
          <w:b/>
          <w:bCs/>
        </w:rPr>
      </w:pPr>
    </w:p>
    <w:p w14:paraId="423F336D" w14:textId="77777777" w:rsidR="004E6516" w:rsidRDefault="004E6516" w:rsidP="00116230">
      <w:pPr>
        <w:spacing w:line="360" w:lineRule="auto"/>
        <w:rPr>
          <w:rFonts w:ascii="Arial" w:hAnsi="Arial" w:cs="Arial"/>
          <w:b/>
          <w:bCs/>
        </w:rPr>
      </w:pPr>
    </w:p>
    <w:p w14:paraId="05677C4D" w14:textId="77777777" w:rsidR="004E6516" w:rsidRDefault="004E6516" w:rsidP="00116230">
      <w:pPr>
        <w:spacing w:line="360" w:lineRule="auto"/>
        <w:rPr>
          <w:rFonts w:ascii="Arial" w:hAnsi="Arial" w:cs="Arial"/>
          <w:b/>
          <w:bCs/>
        </w:rPr>
      </w:pPr>
    </w:p>
    <w:p w14:paraId="32EC47CA" w14:textId="77777777" w:rsidR="004E6516" w:rsidRDefault="004E6516" w:rsidP="00116230">
      <w:pPr>
        <w:spacing w:line="360" w:lineRule="auto"/>
        <w:rPr>
          <w:rFonts w:ascii="Arial" w:hAnsi="Arial" w:cs="Arial"/>
          <w:b/>
          <w:bCs/>
        </w:rPr>
      </w:pPr>
    </w:p>
    <w:p w14:paraId="43A4B143" w14:textId="77777777" w:rsidR="004E6516" w:rsidRDefault="004E6516" w:rsidP="00116230">
      <w:pPr>
        <w:spacing w:line="360" w:lineRule="auto"/>
        <w:rPr>
          <w:rFonts w:ascii="Arial" w:hAnsi="Arial" w:cs="Arial"/>
          <w:b/>
          <w:bCs/>
        </w:rPr>
      </w:pPr>
    </w:p>
    <w:p w14:paraId="1855991D" w14:textId="77777777" w:rsidR="004E6516" w:rsidRDefault="004E6516" w:rsidP="00116230">
      <w:pPr>
        <w:spacing w:line="360" w:lineRule="auto"/>
        <w:rPr>
          <w:rFonts w:ascii="Arial" w:hAnsi="Arial" w:cs="Arial"/>
          <w:b/>
          <w:bCs/>
        </w:rPr>
      </w:pPr>
    </w:p>
    <w:p w14:paraId="6C647F6E" w14:textId="77777777" w:rsidR="004E6516" w:rsidRDefault="004E6516" w:rsidP="00116230">
      <w:pPr>
        <w:spacing w:line="360" w:lineRule="auto"/>
        <w:rPr>
          <w:rFonts w:ascii="Arial" w:hAnsi="Arial" w:cs="Arial"/>
          <w:b/>
          <w:bCs/>
        </w:rPr>
      </w:pPr>
    </w:p>
    <w:p w14:paraId="632C5C62" w14:textId="77777777" w:rsidR="004E6516" w:rsidRDefault="004E6516" w:rsidP="00116230">
      <w:pPr>
        <w:spacing w:line="360" w:lineRule="auto"/>
        <w:rPr>
          <w:rFonts w:ascii="Arial" w:hAnsi="Arial" w:cs="Arial"/>
          <w:b/>
          <w:bCs/>
        </w:rPr>
      </w:pPr>
    </w:p>
    <w:p w14:paraId="4D2356FD" w14:textId="77777777" w:rsidR="004E6516" w:rsidRDefault="004E6516" w:rsidP="00116230">
      <w:pPr>
        <w:spacing w:line="360" w:lineRule="auto"/>
        <w:rPr>
          <w:rFonts w:ascii="Arial" w:hAnsi="Arial" w:cs="Arial"/>
          <w:b/>
          <w:bCs/>
        </w:rPr>
      </w:pPr>
    </w:p>
    <w:p w14:paraId="49D3DBDA" w14:textId="77777777" w:rsidR="004E6516" w:rsidRDefault="004E6516" w:rsidP="00116230">
      <w:pPr>
        <w:spacing w:line="360" w:lineRule="auto"/>
        <w:rPr>
          <w:rFonts w:ascii="Arial" w:hAnsi="Arial" w:cs="Arial"/>
          <w:b/>
          <w:bCs/>
        </w:rPr>
      </w:pPr>
    </w:p>
    <w:p w14:paraId="73B88AD9" w14:textId="77777777" w:rsidR="00695F1C" w:rsidRDefault="00695F1C" w:rsidP="00116230">
      <w:pPr>
        <w:spacing w:line="360" w:lineRule="auto"/>
        <w:rPr>
          <w:rFonts w:ascii="Arial" w:hAnsi="Arial" w:cs="Arial"/>
          <w:b/>
          <w:bCs/>
        </w:rPr>
      </w:pPr>
    </w:p>
    <w:p w14:paraId="4BE2589A" w14:textId="77777777" w:rsidR="00695F1C" w:rsidRDefault="00695F1C" w:rsidP="00116230">
      <w:pPr>
        <w:spacing w:line="360" w:lineRule="auto"/>
        <w:rPr>
          <w:rFonts w:ascii="Arial" w:hAnsi="Arial" w:cs="Arial"/>
          <w:b/>
          <w:bCs/>
        </w:rPr>
      </w:pPr>
    </w:p>
    <w:sdt>
      <w:sdtPr>
        <w:rPr>
          <w:rFonts w:asciiTheme="minorHAnsi" w:eastAsiaTheme="minorHAnsi" w:hAnsiTheme="minorHAnsi" w:cstheme="minorBidi"/>
          <w:color w:val="auto"/>
          <w:kern w:val="2"/>
          <w:sz w:val="22"/>
          <w:szCs w:val="22"/>
          <w:lang w:val="en-GB"/>
          <w14:ligatures w14:val="standardContextual"/>
        </w:rPr>
        <w:id w:val="-714188634"/>
        <w:docPartObj>
          <w:docPartGallery w:val="Table of Contents"/>
          <w:docPartUnique/>
        </w:docPartObj>
      </w:sdtPr>
      <w:sdtEndPr>
        <w:rPr>
          <w:b/>
          <w:bCs/>
          <w:noProof/>
        </w:rPr>
      </w:sdtEndPr>
      <w:sdtContent>
        <w:p w14:paraId="0D2047EF" w14:textId="5FDE3584" w:rsidR="005335F2" w:rsidRDefault="005335F2">
          <w:pPr>
            <w:pStyle w:val="TOCHeading"/>
          </w:pPr>
          <w:r>
            <w:t>Table of Contents</w:t>
          </w:r>
        </w:p>
        <w:p w14:paraId="6C9D60AA" w14:textId="6C8B1716" w:rsidR="004313EF" w:rsidRDefault="005335F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3254231" w:history="1">
            <w:r w:rsidR="004313EF" w:rsidRPr="005B36D0">
              <w:rPr>
                <w:rStyle w:val="Hyperlink"/>
                <w:noProof/>
              </w:rPr>
              <w:t>1. Executive Summary</w:t>
            </w:r>
            <w:r w:rsidR="004313EF">
              <w:rPr>
                <w:noProof/>
                <w:webHidden/>
              </w:rPr>
              <w:tab/>
            </w:r>
            <w:r w:rsidR="004313EF">
              <w:rPr>
                <w:noProof/>
                <w:webHidden/>
              </w:rPr>
              <w:fldChar w:fldCharType="begin"/>
            </w:r>
            <w:r w:rsidR="004313EF">
              <w:rPr>
                <w:noProof/>
                <w:webHidden/>
              </w:rPr>
              <w:instrText xml:space="preserve"> PAGEREF _Toc223254231 \h </w:instrText>
            </w:r>
            <w:r w:rsidR="004313EF">
              <w:rPr>
                <w:noProof/>
                <w:webHidden/>
              </w:rPr>
            </w:r>
            <w:r w:rsidR="004313EF">
              <w:rPr>
                <w:noProof/>
                <w:webHidden/>
              </w:rPr>
              <w:fldChar w:fldCharType="separate"/>
            </w:r>
            <w:r w:rsidR="004313EF">
              <w:rPr>
                <w:noProof/>
                <w:webHidden/>
              </w:rPr>
              <w:t>3</w:t>
            </w:r>
            <w:r w:rsidR="004313EF">
              <w:rPr>
                <w:noProof/>
                <w:webHidden/>
              </w:rPr>
              <w:fldChar w:fldCharType="end"/>
            </w:r>
          </w:hyperlink>
        </w:p>
        <w:p w14:paraId="6C925C95" w14:textId="6A617E66" w:rsidR="004313EF" w:rsidRDefault="004313EF">
          <w:pPr>
            <w:pStyle w:val="TOC1"/>
            <w:tabs>
              <w:tab w:val="right" w:leader="dot" w:pos="9016"/>
            </w:tabs>
            <w:rPr>
              <w:rFonts w:eastAsiaTheme="minorEastAsia"/>
              <w:noProof/>
              <w:sz w:val="24"/>
              <w:szCs w:val="24"/>
              <w:lang w:eastAsia="en-GB"/>
            </w:rPr>
          </w:pPr>
          <w:hyperlink w:anchor="_Toc223254232" w:history="1">
            <w:r w:rsidRPr="005B36D0">
              <w:rPr>
                <w:rStyle w:val="Hyperlink"/>
                <w:noProof/>
              </w:rPr>
              <w:t>2. Introduction to Innocent Drinks</w:t>
            </w:r>
            <w:r>
              <w:rPr>
                <w:noProof/>
                <w:webHidden/>
              </w:rPr>
              <w:tab/>
            </w:r>
            <w:r>
              <w:rPr>
                <w:noProof/>
                <w:webHidden/>
              </w:rPr>
              <w:fldChar w:fldCharType="begin"/>
            </w:r>
            <w:r>
              <w:rPr>
                <w:noProof/>
                <w:webHidden/>
              </w:rPr>
              <w:instrText xml:space="preserve"> PAGEREF _Toc223254232 \h </w:instrText>
            </w:r>
            <w:r>
              <w:rPr>
                <w:noProof/>
                <w:webHidden/>
              </w:rPr>
            </w:r>
            <w:r>
              <w:rPr>
                <w:noProof/>
                <w:webHidden/>
              </w:rPr>
              <w:fldChar w:fldCharType="separate"/>
            </w:r>
            <w:r>
              <w:rPr>
                <w:noProof/>
                <w:webHidden/>
              </w:rPr>
              <w:t>4</w:t>
            </w:r>
            <w:r>
              <w:rPr>
                <w:noProof/>
                <w:webHidden/>
              </w:rPr>
              <w:fldChar w:fldCharType="end"/>
            </w:r>
          </w:hyperlink>
        </w:p>
        <w:p w14:paraId="45F69FAA" w14:textId="271067D1" w:rsidR="004313EF" w:rsidRDefault="004313EF">
          <w:pPr>
            <w:pStyle w:val="TOC2"/>
            <w:tabs>
              <w:tab w:val="right" w:leader="dot" w:pos="9016"/>
            </w:tabs>
            <w:rPr>
              <w:rFonts w:eastAsiaTheme="minorEastAsia"/>
              <w:noProof/>
              <w:sz w:val="24"/>
              <w:szCs w:val="24"/>
              <w:lang w:eastAsia="en-GB"/>
            </w:rPr>
          </w:pPr>
          <w:hyperlink w:anchor="_Toc223254233" w:history="1">
            <w:r w:rsidRPr="005B36D0">
              <w:rPr>
                <w:rStyle w:val="Hyperlink"/>
                <w:noProof/>
              </w:rPr>
              <w:t>2.1 Company background, structure and performance context</w:t>
            </w:r>
            <w:r>
              <w:rPr>
                <w:noProof/>
                <w:webHidden/>
              </w:rPr>
              <w:tab/>
            </w:r>
            <w:r>
              <w:rPr>
                <w:noProof/>
                <w:webHidden/>
              </w:rPr>
              <w:fldChar w:fldCharType="begin"/>
            </w:r>
            <w:r>
              <w:rPr>
                <w:noProof/>
                <w:webHidden/>
              </w:rPr>
              <w:instrText xml:space="preserve"> PAGEREF _Toc223254233 \h </w:instrText>
            </w:r>
            <w:r>
              <w:rPr>
                <w:noProof/>
                <w:webHidden/>
              </w:rPr>
            </w:r>
            <w:r>
              <w:rPr>
                <w:noProof/>
                <w:webHidden/>
              </w:rPr>
              <w:fldChar w:fldCharType="separate"/>
            </w:r>
            <w:r>
              <w:rPr>
                <w:noProof/>
                <w:webHidden/>
              </w:rPr>
              <w:t>4</w:t>
            </w:r>
            <w:r>
              <w:rPr>
                <w:noProof/>
                <w:webHidden/>
              </w:rPr>
              <w:fldChar w:fldCharType="end"/>
            </w:r>
          </w:hyperlink>
        </w:p>
        <w:p w14:paraId="21580704" w14:textId="28CE9706" w:rsidR="004313EF" w:rsidRDefault="004313EF">
          <w:pPr>
            <w:pStyle w:val="TOC2"/>
            <w:tabs>
              <w:tab w:val="right" w:leader="dot" w:pos="9016"/>
            </w:tabs>
            <w:rPr>
              <w:rFonts w:eastAsiaTheme="minorEastAsia"/>
              <w:noProof/>
              <w:sz w:val="24"/>
              <w:szCs w:val="24"/>
              <w:lang w:eastAsia="en-GB"/>
            </w:rPr>
          </w:pPr>
          <w:hyperlink w:anchor="_Toc223254234" w:history="1">
            <w:r w:rsidRPr="005B36D0">
              <w:rPr>
                <w:rStyle w:val="Hyperlink"/>
                <w:noProof/>
              </w:rPr>
              <w:t>2.2 Competitive set and brief benchmarking</w:t>
            </w:r>
            <w:r>
              <w:rPr>
                <w:noProof/>
                <w:webHidden/>
              </w:rPr>
              <w:tab/>
            </w:r>
            <w:r>
              <w:rPr>
                <w:noProof/>
                <w:webHidden/>
              </w:rPr>
              <w:fldChar w:fldCharType="begin"/>
            </w:r>
            <w:r>
              <w:rPr>
                <w:noProof/>
                <w:webHidden/>
              </w:rPr>
              <w:instrText xml:space="preserve"> PAGEREF _Toc223254234 \h </w:instrText>
            </w:r>
            <w:r>
              <w:rPr>
                <w:noProof/>
                <w:webHidden/>
              </w:rPr>
            </w:r>
            <w:r>
              <w:rPr>
                <w:noProof/>
                <w:webHidden/>
              </w:rPr>
              <w:fldChar w:fldCharType="separate"/>
            </w:r>
            <w:r>
              <w:rPr>
                <w:noProof/>
                <w:webHidden/>
              </w:rPr>
              <w:t>5</w:t>
            </w:r>
            <w:r>
              <w:rPr>
                <w:noProof/>
                <w:webHidden/>
              </w:rPr>
              <w:fldChar w:fldCharType="end"/>
            </w:r>
          </w:hyperlink>
        </w:p>
        <w:p w14:paraId="4911D827" w14:textId="30D490A8" w:rsidR="004313EF" w:rsidRDefault="004313EF">
          <w:pPr>
            <w:pStyle w:val="TOC2"/>
            <w:tabs>
              <w:tab w:val="right" w:leader="dot" w:pos="9016"/>
            </w:tabs>
            <w:rPr>
              <w:rFonts w:eastAsiaTheme="minorEastAsia"/>
              <w:noProof/>
              <w:sz w:val="24"/>
              <w:szCs w:val="24"/>
              <w:lang w:eastAsia="en-GB"/>
            </w:rPr>
          </w:pPr>
          <w:hyperlink w:anchor="_Toc223254235" w:history="1">
            <w:r w:rsidRPr="005B36D0">
              <w:rPr>
                <w:rStyle w:val="Hyperlink"/>
                <w:noProof/>
              </w:rPr>
              <w:t>2.3 Levels of strategy: corporate, business and functional</w:t>
            </w:r>
            <w:r>
              <w:rPr>
                <w:noProof/>
                <w:webHidden/>
              </w:rPr>
              <w:tab/>
            </w:r>
            <w:r>
              <w:rPr>
                <w:noProof/>
                <w:webHidden/>
              </w:rPr>
              <w:fldChar w:fldCharType="begin"/>
            </w:r>
            <w:r>
              <w:rPr>
                <w:noProof/>
                <w:webHidden/>
              </w:rPr>
              <w:instrText xml:space="preserve"> PAGEREF _Toc223254235 \h </w:instrText>
            </w:r>
            <w:r>
              <w:rPr>
                <w:noProof/>
                <w:webHidden/>
              </w:rPr>
            </w:r>
            <w:r>
              <w:rPr>
                <w:noProof/>
                <w:webHidden/>
              </w:rPr>
              <w:fldChar w:fldCharType="separate"/>
            </w:r>
            <w:r>
              <w:rPr>
                <w:noProof/>
                <w:webHidden/>
              </w:rPr>
              <w:t>5</w:t>
            </w:r>
            <w:r>
              <w:rPr>
                <w:noProof/>
                <w:webHidden/>
              </w:rPr>
              <w:fldChar w:fldCharType="end"/>
            </w:r>
          </w:hyperlink>
        </w:p>
        <w:p w14:paraId="4C9E36BF" w14:textId="4EBC015A" w:rsidR="004313EF" w:rsidRDefault="004313EF">
          <w:pPr>
            <w:pStyle w:val="TOC2"/>
            <w:tabs>
              <w:tab w:val="right" w:leader="dot" w:pos="9016"/>
            </w:tabs>
            <w:rPr>
              <w:rFonts w:eastAsiaTheme="minorEastAsia"/>
              <w:noProof/>
              <w:sz w:val="24"/>
              <w:szCs w:val="24"/>
              <w:lang w:eastAsia="en-GB"/>
            </w:rPr>
          </w:pPr>
          <w:hyperlink w:anchor="_Toc223254236" w:history="1">
            <w:r w:rsidRPr="005B36D0">
              <w:rPr>
                <w:rStyle w:val="Hyperlink"/>
                <w:noProof/>
              </w:rPr>
              <w:t>2.4 Operational performance objectives and 4V analysis (strategy–operations fit)</w:t>
            </w:r>
            <w:r>
              <w:rPr>
                <w:noProof/>
                <w:webHidden/>
              </w:rPr>
              <w:tab/>
            </w:r>
            <w:r>
              <w:rPr>
                <w:noProof/>
                <w:webHidden/>
              </w:rPr>
              <w:fldChar w:fldCharType="begin"/>
            </w:r>
            <w:r>
              <w:rPr>
                <w:noProof/>
                <w:webHidden/>
              </w:rPr>
              <w:instrText xml:space="preserve"> PAGEREF _Toc223254236 \h </w:instrText>
            </w:r>
            <w:r>
              <w:rPr>
                <w:noProof/>
                <w:webHidden/>
              </w:rPr>
            </w:r>
            <w:r>
              <w:rPr>
                <w:noProof/>
                <w:webHidden/>
              </w:rPr>
              <w:fldChar w:fldCharType="separate"/>
            </w:r>
            <w:r>
              <w:rPr>
                <w:noProof/>
                <w:webHidden/>
              </w:rPr>
              <w:t>6</w:t>
            </w:r>
            <w:r>
              <w:rPr>
                <w:noProof/>
                <w:webHidden/>
              </w:rPr>
              <w:fldChar w:fldCharType="end"/>
            </w:r>
          </w:hyperlink>
        </w:p>
        <w:p w14:paraId="6CA70A69" w14:textId="3A6E7954" w:rsidR="004313EF" w:rsidRDefault="004313EF">
          <w:pPr>
            <w:pStyle w:val="TOC1"/>
            <w:tabs>
              <w:tab w:val="right" w:leader="dot" w:pos="9016"/>
            </w:tabs>
            <w:rPr>
              <w:rFonts w:eastAsiaTheme="minorEastAsia"/>
              <w:noProof/>
              <w:sz w:val="24"/>
              <w:szCs w:val="24"/>
              <w:lang w:eastAsia="en-GB"/>
            </w:rPr>
          </w:pPr>
          <w:hyperlink w:anchor="_Toc223254237" w:history="1">
            <w:r w:rsidRPr="005B36D0">
              <w:rPr>
                <w:rStyle w:val="Hyperlink"/>
                <w:noProof/>
              </w:rPr>
              <w:t>3. Evaluation of the Current Market Situation</w:t>
            </w:r>
            <w:r>
              <w:rPr>
                <w:noProof/>
                <w:webHidden/>
              </w:rPr>
              <w:tab/>
            </w:r>
            <w:r>
              <w:rPr>
                <w:noProof/>
                <w:webHidden/>
              </w:rPr>
              <w:fldChar w:fldCharType="begin"/>
            </w:r>
            <w:r>
              <w:rPr>
                <w:noProof/>
                <w:webHidden/>
              </w:rPr>
              <w:instrText xml:space="preserve"> PAGEREF _Toc223254237 \h </w:instrText>
            </w:r>
            <w:r>
              <w:rPr>
                <w:noProof/>
                <w:webHidden/>
              </w:rPr>
            </w:r>
            <w:r>
              <w:rPr>
                <w:noProof/>
                <w:webHidden/>
              </w:rPr>
              <w:fldChar w:fldCharType="separate"/>
            </w:r>
            <w:r>
              <w:rPr>
                <w:noProof/>
                <w:webHidden/>
              </w:rPr>
              <w:t>7</w:t>
            </w:r>
            <w:r>
              <w:rPr>
                <w:noProof/>
                <w:webHidden/>
              </w:rPr>
              <w:fldChar w:fldCharType="end"/>
            </w:r>
          </w:hyperlink>
        </w:p>
        <w:p w14:paraId="5F4753DB" w14:textId="7180006D" w:rsidR="004313EF" w:rsidRDefault="004313EF">
          <w:pPr>
            <w:pStyle w:val="TOC2"/>
            <w:tabs>
              <w:tab w:val="right" w:leader="dot" w:pos="9016"/>
            </w:tabs>
            <w:rPr>
              <w:rFonts w:eastAsiaTheme="minorEastAsia"/>
              <w:noProof/>
              <w:sz w:val="24"/>
              <w:szCs w:val="24"/>
              <w:lang w:eastAsia="en-GB"/>
            </w:rPr>
          </w:pPr>
          <w:hyperlink w:anchor="_Toc223254238" w:history="1">
            <w:r w:rsidRPr="005B36D0">
              <w:rPr>
                <w:rStyle w:val="Hyperlink"/>
                <w:noProof/>
              </w:rPr>
              <w:t>3.1 PESTEL analysis</w:t>
            </w:r>
            <w:r>
              <w:rPr>
                <w:noProof/>
                <w:webHidden/>
              </w:rPr>
              <w:tab/>
            </w:r>
            <w:r>
              <w:rPr>
                <w:noProof/>
                <w:webHidden/>
              </w:rPr>
              <w:fldChar w:fldCharType="begin"/>
            </w:r>
            <w:r>
              <w:rPr>
                <w:noProof/>
                <w:webHidden/>
              </w:rPr>
              <w:instrText xml:space="preserve"> PAGEREF _Toc223254238 \h </w:instrText>
            </w:r>
            <w:r>
              <w:rPr>
                <w:noProof/>
                <w:webHidden/>
              </w:rPr>
            </w:r>
            <w:r>
              <w:rPr>
                <w:noProof/>
                <w:webHidden/>
              </w:rPr>
              <w:fldChar w:fldCharType="separate"/>
            </w:r>
            <w:r>
              <w:rPr>
                <w:noProof/>
                <w:webHidden/>
              </w:rPr>
              <w:t>7</w:t>
            </w:r>
            <w:r>
              <w:rPr>
                <w:noProof/>
                <w:webHidden/>
              </w:rPr>
              <w:fldChar w:fldCharType="end"/>
            </w:r>
          </w:hyperlink>
        </w:p>
        <w:p w14:paraId="4E68E02F" w14:textId="6A8D26D7" w:rsidR="004313EF" w:rsidRDefault="004313EF">
          <w:pPr>
            <w:pStyle w:val="TOC2"/>
            <w:tabs>
              <w:tab w:val="right" w:leader="dot" w:pos="9016"/>
            </w:tabs>
            <w:rPr>
              <w:rFonts w:eastAsiaTheme="minorEastAsia"/>
              <w:noProof/>
              <w:sz w:val="24"/>
              <w:szCs w:val="24"/>
              <w:lang w:eastAsia="en-GB"/>
            </w:rPr>
          </w:pPr>
          <w:hyperlink w:anchor="_Toc223254239" w:history="1">
            <w:r w:rsidRPr="005B36D0">
              <w:rPr>
                <w:rStyle w:val="Hyperlink"/>
                <w:noProof/>
              </w:rPr>
              <w:t>3.2 Porter’s Five Forces (industry attractiveness and competitive pressure)</w:t>
            </w:r>
            <w:r>
              <w:rPr>
                <w:noProof/>
                <w:webHidden/>
              </w:rPr>
              <w:tab/>
            </w:r>
            <w:r>
              <w:rPr>
                <w:noProof/>
                <w:webHidden/>
              </w:rPr>
              <w:fldChar w:fldCharType="begin"/>
            </w:r>
            <w:r>
              <w:rPr>
                <w:noProof/>
                <w:webHidden/>
              </w:rPr>
              <w:instrText xml:space="preserve"> PAGEREF _Toc223254239 \h </w:instrText>
            </w:r>
            <w:r>
              <w:rPr>
                <w:noProof/>
                <w:webHidden/>
              </w:rPr>
            </w:r>
            <w:r>
              <w:rPr>
                <w:noProof/>
                <w:webHidden/>
              </w:rPr>
              <w:fldChar w:fldCharType="separate"/>
            </w:r>
            <w:r>
              <w:rPr>
                <w:noProof/>
                <w:webHidden/>
              </w:rPr>
              <w:t>9</w:t>
            </w:r>
            <w:r>
              <w:rPr>
                <w:noProof/>
                <w:webHidden/>
              </w:rPr>
              <w:fldChar w:fldCharType="end"/>
            </w:r>
          </w:hyperlink>
        </w:p>
        <w:p w14:paraId="286D4CEF" w14:textId="644D2932" w:rsidR="004313EF" w:rsidRDefault="004313EF">
          <w:pPr>
            <w:pStyle w:val="TOC2"/>
            <w:tabs>
              <w:tab w:val="right" w:leader="dot" w:pos="9016"/>
            </w:tabs>
            <w:rPr>
              <w:rFonts w:eastAsiaTheme="minorEastAsia"/>
              <w:noProof/>
              <w:sz w:val="24"/>
              <w:szCs w:val="24"/>
              <w:lang w:eastAsia="en-GB"/>
            </w:rPr>
          </w:pPr>
          <w:hyperlink w:anchor="_Toc223254240" w:history="1">
            <w:r w:rsidRPr="005B36D0">
              <w:rPr>
                <w:rStyle w:val="Hyperlink"/>
                <w:noProof/>
              </w:rPr>
              <w:t>3.3 SWOT analysis</w:t>
            </w:r>
            <w:r>
              <w:rPr>
                <w:noProof/>
                <w:webHidden/>
              </w:rPr>
              <w:tab/>
            </w:r>
            <w:r>
              <w:rPr>
                <w:noProof/>
                <w:webHidden/>
              </w:rPr>
              <w:fldChar w:fldCharType="begin"/>
            </w:r>
            <w:r>
              <w:rPr>
                <w:noProof/>
                <w:webHidden/>
              </w:rPr>
              <w:instrText xml:space="preserve"> PAGEREF _Toc223254240 \h </w:instrText>
            </w:r>
            <w:r>
              <w:rPr>
                <w:noProof/>
                <w:webHidden/>
              </w:rPr>
            </w:r>
            <w:r>
              <w:rPr>
                <w:noProof/>
                <w:webHidden/>
              </w:rPr>
              <w:fldChar w:fldCharType="separate"/>
            </w:r>
            <w:r>
              <w:rPr>
                <w:noProof/>
                <w:webHidden/>
              </w:rPr>
              <w:t>10</w:t>
            </w:r>
            <w:r>
              <w:rPr>
                <w:noProof/>
                <w:webHidden/>
              </w:rPr>
              <w:fldChar w:fldCharType="end"/>
            </w:r>
          </w:hyperlink>
        </w:p>
        <w:p w14:paraId="042D28D9" w14:textId="4688F375" w:rsidR="004313EF" w:rsidRDefault="004313EF">
          <w:pPr>
            <w:pStyle w:val="TOC2"/>
            <w:tabs>
              <w:tab w:val="right" w:leader="dot" w:pos="9016"/>
            </w:tabs>
            <w:rPr>
              <w:rFonts w:eastAsiaTheme="minorEastAsia"/>
              <w:noProof/>
              <w:sz w:val="24"/>
              <w:szCs w:val="24"/>
              <w:lang w:eastAsia="en-GB"/>
            </w:rPr>
          </w:pPr>
          <w:hyperlink w:anchor="_Toc223254241" w:history="1">
            <w:r w:rsidRPr="005B36D0">
              <w:rPr>
                <w:rStyle w:val="Hyperlink"/>
                <w:noProof/>
              </w:rPr>
              <w:t>3.4 TOWS matrix (strategy generation)</w:t>
            </w:r>
            <w:r>
              <w:rPr>
                <w:noProof/>
                <w:webHidden/>
              </w:rPr>
              <w:tab/>
            </w:r>
            <w:r>
              <w:rPr>
                <w:noProof/>
                <w:webHidden/>
              </w:rPr>
              <w:fldChar w:fldCharType="begin"/>
            </w:r>
            <w:r>
              <w:rPr>
                <w:noProof/>
                <w:webHidden/>
              </w:rPr>
              <w:instrText xml:space="preserve"> PAGEREF _Toc223254241 \h </w:instrText>
            </w:r>
            <w:r>
              <w:rPr>
                <w:noProof/>
                <w:webHidden/>
              </w:rPr>
            </w:r>
            <w:r>
              <w:rPr>
                <w:noProof/>
                <w:webHidden/>
              </w:rPr>
              <w:fldChar w:fldCharType="separate"/>
            </w:r>
            <w:r>
              <w:rPr>
                <w:noProof/>
                <w:webHidden/>
              </w:rPr>
              <w:t>11</w:t>
            </w:r>
            <w:r>
              <w:rPr>
                <w:noProof/>
                <w:webHidden/>
              </w:rPr>
              <w:fldChar w:fldCharType="end"/>
            </w:r>
          </w:hyperlink>
        </w:p>
        <w:p w14:paraId="5384ACE7" w14:textId="3FF3F9C8" w:rsidR="004313EF" w:rsidRDefault="004313EF">
          <w:pPr>
            <w:pStyle w:val="TOC2"/>
            <w:tabs>
              <w:tab w:val="right" w:leader="dot" w:pos="9016"/>
            </w:tabs>
            <w:rPr>
              <w:rFonts w:eastAsiaTheme="minorEastAsia"/>
              <w:noProof/>
              <w:sz w:val="24"/>
              <w:szCs w:val="24"/>
              <w:lang w:eastAsia="en-GB"/>
            </w:rPr>
          </w:pPr>
          <w:hyperlink w:anchor="_Toc223254242" w:history="1">
            <w:r w:rsidRPr="005B36D0">
              <w:rPr>
                <w:rStyle w:val="Hyperlink"/>
                <w:noProof/>
              </w:rPr>
              <w:t>3.5 Porter’s Value Chain analysis (internal advantage and constraints)</w:t>
            </w:r>
            <w:r>
              <w:rPr>
                <w:noProof/>
                <w:webHidden/>
              </w:rPr>
              <w:tab/>
            </w:r>
            <w:r>
              <w:rPr>
                <w:noProof/>
                <w:webHidden/>
              </w:rPr>
              <w:fldChar w:fldCharType="begin"/>
            </w:r>
            <w:r>
              <w:rPr>
                <w:noProof/>
                <w:webHidden/>
              </w:rPr>
              <w:instrText xml:space="preserve"> PAGEREF _Toc223254242 \h </w:instrText>
            </w:r>
            <w:r>
              <w:rPr>
                <w:noProof/>
                <w:webHidden/>
              </w:rPr>
            </w:r>
            <w:r>
              <w:rPr>
                <w:noProof/>
                <w:webHidden/>
              </w:rPr>
              <w:fldChar w:fldCharType="separate"/>
            </w:r>
            <w:r>
              <w:rPr>
                <w:noProof/>
                <w:webHidden/>
              </w:rPr>
              <w:t>11</w:t>
            </w:r>
            <w:r>
              <w:rPr>
                <w:noProof/>
                <w:webHidden/>
              </w:rPr>
              <w:fldChar w:fldCharType="end"/>
            </w:r>
          </w:hyperlink>
        </w:p>
        <w:p w14:paraId="23E9E9DE" w14:textId="7096EC4F" w:rsidR="004313EF" w:rsidRDefault="004313EF">
          <w:pPr>
            <w:pStyle w:val="TOC1"/>
            <w:tabs>
              <w:tab w:val="right" w:leader="dot" w:pos="9016"/>
            </w:tabs>
            <w:rPr>
              <w:rFonts w:eastAsiaTheme="minorEastAsia"/>
              <w:noProof/>
              <w:sz w:val="24"/>
              <w:szCs w:val="24"/>
              <w:lang w:eastAsia="en-GB"/>
            </w:rPr>
          </w:pPr>
          <w:hyperlink w:anchor="_Toc223254243" w:history="1">
            <w:r w:rsidRPr="005B36D0">
              <w:rPr>
                <w:rStyle w:val="Hyperlink"/>
                <w:noProof/>
              </w:rPr>
              <w:t>4. Strategic Growth Options and Proposed Strategy</w:t>
            </w:r>
            <w:r>
              <w:rPr>
                <w:noProof/>
                <w:webHidden/>
              </w:rPr>
              <w:tab/>
            </w:r>
            <w:r>
              <w:rPr>
                <w:noProof/>
                <w:webHidden/>
              </w:rPr>
              <w:fldChar w:fldCharType="begin"/>
            </w:r>
            <w:r>
              <w:rPr>
                <w:noProof/>
                <w:webHidden/>
              </w:rPr>
              <w:instrText xml:space="preserve"> PAGEREF _Toc223254243 \h </w:instrText>
            </w:r>
            <w:r>
              <w:rPr>
                <w:noProof/>
                <w:webHidden/>
              </w:rPr>
            </w:r>
            <w:r>
              <w:rPr>
                <w:noProof/>
                <w:webHidden/>
              </w:rPr>
              <w:fldChar w:fldCharType="separate"/>
            </w:r>
            <w:r>
              <w:rPr>
                <w:noProof/>
                <w:webHidden/>
              </w:rPr>
              <w:t>12</w:t>
            </w:r>
            <w:r>
              <w:rPr>
                <w:noProof/>
                <w:webHidden/>
              </w:rPr>
              <w:fldChar w:fldCharType="end"/>
            </w:r>
          </w:hyperlink>
        </w:p>
        <w:p w14:paraId="5FBDBC38" w14:textId="0536AD66" w:rsidR="004313EF" w:rsidRDefault="004313EF">
          <w:pPr>
            <w:pStyle w:val="TOC2"/>
            <w:tabs>
              <w:tab w:val="right" w:leader="dot" w:pos="9016"/>
            </w:tabs>
            <w:rPr>
              <w:rFonts w:eastAsiaTheme="minorEastAsia"/>
              <w:noProof/>
              <w:sz w:val="24"/>
              <w:szCs w:val="24"/>
              <w:lang w:eastAsia="en-GB"/>
            </w:rPr>
          </w:pPr>
          <w:hyperlink w:anchor="_Toc223254244" w:history="1">
            <w:r w:rsidRPr="005B36D0">
              <w:rPr>
                <w:rStyle w:val="Hyperlink"/>
                <w:noProof/>
              </w:rPr>
              <w:t>4.1 Ansoff matrix (growth routes)</w:t>
            </w:r>
            <w:r>
              <w:rPr>
                <w:noProof/>
                <w:webHidden/>
              </w:rPr>
              <w:tab/>
            </w:r>
            <w:r>
              <w:rPr>
                <w:noProof/>
                <w:webHidden/>
              </w:rPr>
              <w:fldChar w:fldCharType="begin"/>
            </w:r>
            <w:r>
              <w:rPr>
                <w:noProof/>
                <w:webHidden/>
              </w:rPr>
              <w:instrText xml:space="preserve"> PAGEREF _Toc223254244 \h </w:instrText>
            </w:r>
            <w:r>
              <w:rPr>
                <w:noProof/>
                <w:webHidden/>
              </w:rPr>
            </w:r>
            <w:r>
              <w:rPr>
                <w:noProof/>
                <w:webHidden/>
              </w:rPr>
              <w:fldChar w:fldCharType="separate"/>
            </w:r>
            <w:r>
              <w:rPr>
                <w:noProof/>
                <w:webHidden/>
              </w:rPr>
              <w:t>12</w:t>
            </w:r>
            <w:r>
              <w:rPr>
                <w:noProof/>
                <w:webHidden/>
              </w:rPr>
              <w:fldChar w:fldCharType="end"/>
            </w:r>
          </w:hyperlink>
        </w:p>
        <w:p w14:paraId="0CEA90A1" w14:textId="2526AAE6" w:rsidR="004313EF" w:rsidRDefault="004313EF">
          <w:pPr>
            <w:pStyle w:val="TOC2"/>
            <w:tabs>
              <w:tab w:val="right" w:leader="dot" w:pos="9016"/>
            </w:tabs>
            <w:rPr>
              <w:rFonts w:eastAsiaTheme="minorEastAsia"/>
              <w:noProof/>
              <w:sz w:val="24"/>
              <w:szCs w:val="24"/>
              <w:lang w:eastAsia="en-GB"/>
            </w:rPr>
          </w:pPr>
          <w:hyperlink w:anchor="_Toc223254245" w:history="1">
            <w:r w:rsidRPr="005B36D0">
              <w:rPr>
                <w:rStyle w:val="Hyperlink"/>
                <w:noProof/>
              </w:rPr>
              <w:t>4.2 Porter’s Generic Strategies (competitive positioning)</w:t>
            </w:r>
            <w:r>
              <w:rPr>
                <w:noProof/>
                <w:webHidden/>
              </w:rPr>
              <w:tab/>
            </w:r>
            <w:r>
              <w:rPr>
                <w:noProof/>
                <w:webHidden/>
              </w:rPr>
              <w:fldChar w:fldCharType="begin"/>
            </w:r>
            <w:r>
              <w:rPr>
                <w:noProof/>
                <w:webHidden/>
              </w:rPr>
              <w:instrText xml:space="preserve"> PAGEREF _Toc223254245 \h </w:instrText>
            </w:r>
            <w:r>
              <w:rPr>
                <w:noProof/>
                <w:webHidden/>
              </w:rPr>
            </w:r>
            <w:r>
              <w:rPr>
                <w:noProof/>
                <w:webHidden/>
              </w:rPr>
              <w:fldChar w:fldCharType="separate"/>
            </w:r>
            <w:r>
              <w:rPr>
                <w:noProof/>
                <w:webHidden/>
              </w:rPr>
              <w:t>13</w:t>
            </w:r>
            <w:r>
              <w:rPr>
                <w:noProof/>
                <w:webHidden/>
              </w:rPr>
              <w:fldChar w:fldCharType="end"/>
            </w:r>
          </w:hyperlink>
        </w:p>
        <w:p w14:paraId="1DBB33A0" w14:textId="0A83E5A8" w:rsidR="004313EF" w:rsidRDefault="004313EF">
          <w:pPr>
            <w:pStyle w:val="TOC2"/>
            <w:tabs>
              <w:tab w:val="right" w:leader="dot" w:pos="9016"/>
            </w:tabs>
            <w:rPr>
              <w:rFonts w:eastAsiaTheme="minorEastAsia"/>
              <w:noProof/>
              <w:sz w:val="24"/>
              <w:szCs w:val="24"/>
              <w:lang w:eastAsia="en-GB"/>
            </w:rPr>
          </w:pPr>
          <w:hyperlink w:anchor="_Toc223254246" w:history="1">
            <w:r w:rsidRPr="005B36D0">
              <w:rPr>
                <w:rStyle w:val="Hyperlink"/>
                <w:noProof/>
              </w:rPr>
              <w:t>4.3 Recommended strategy and rationale (integrated approach)</w:t>
            </w:r>
            <w:r>
              <w:rPr>
                <w:noProof/>
                <w:webHidden/>
              </w:rPr>
              <w:tab/>
            </w:r>
            <w:r>
              <w:rPr>
                <w:noProof/>
                <w:webHidden/>
              </w:rPr>
              <w:fldChar w:fldCharType="begin"/>
            </w:r>
            <w:r>
              <w:rPr>
                <w:noProof/>
                <w:webHidden/>
              </w:rPr>
              <w:instrText xml:space="preserve"> PAGEREF _Toc223254246 \h </w:instrText>
            </w:r>
            <w:r>
              <w:rPr>
                <w:noProof/>
                <w:webHidden/>
              </w:rPr>
            </w:r>
            <w:r>
              <w:rPr>
                <w:noProof/>
                <w:webHidden/>
              </w:rPr>
              <w:fldChar w:fldCharType="separate"/>
            </w:r>
            <w:r>
              <w:rPr>
                <w:noProof/>
                <w:webHidden/>
              </w:rPr>
              <w:t>14</w:t>
            </w:r>
            <w:r>
              <w:rPr>
                <w:noProof/>
                <w:webHidden/>
              </w:rPr>
              <w:fldChar w:fldCharType="end"/>
            </w:r>
          </w:hyperlink>
        </w:p>
        <w:p w14:paraId="31B85160" w14:textId="146C1245" w:rsidR="004313EF" w:rsidRDefault="004313EF">
          <w:pPr>
            <w:pStyle w:val="TOC1"/>
            <w:tabs>
              <w:tab w:val="right" w:leader="dot" w:pos="9016"/>
            </w:tabs>
            <w:rPr>
              <w:rFonts w:eastAsiaTheme="minorEastAsia"/>
              <w:noProof/>
              <w:sz w:val="24"/>
              <w:szCs w:val="24"/>
              <w:lang w:eastAsia="en-GB"/>
            </w:rPr>
          </w:pPr>
          <w:hyperlink w:anchor="_Toc223254247" w:history="1">
            <w:r w:rsidRPr="005B36D0">
              <w:rPr>
                <w:rStyle w:val="Hyperlink"/>
                <w:noProof/>
              </w:rPr>
              <w:t>5. Strategy Evaluation: SFA Framework and Assumptions</w:t>
            </w:r>
            <w:r>
              <w:rPr>
                <w:noProof/>
                <w:webHidden/>
              </w:rPr>
              <w:tab/>
            </w:r>
            <w:r>
              <w:rPr>
                <w:noProof/>
                <w:webHidden/>
              </w:rPr>
              <w:fldChar w:fldCharType="begin"/>
            </w:r>
            <w:r>
              <w:rPr>
                <w:noProof/>
                <w:webHidden/>
              </w:rPr>
              <w:instrText xml:space="preserve"> PAGEREF _Toc223254247 \h </w:instrText>
            </w:r>
            <w:r>
              <w:rPr>
                <w:noProof/>
                <w:webHidden/>
              </w:rPr>
            </w:r>
            <w:r>
              <w:rPr>
                <w:noProof/>
                <w:webHidden/>
              </w:rPr>
              <w:fldChar w:fldCharType="separate"/>
            </w:r>
            <w:r>
              <w:rPr>
                <w:noProof/>
                <w:webHidden/>
              </w:rPr>
              <w:t>15</w:t>
            </w:r>
            <w:r>
              <w:rPr>
                <w:noProof/>
                <w:webHidden/>
              </w:rPr>
              <w:fldChar w:fldCharType="end"/>
            </w:r>
          </w:hyperlink>
        </w:p>
        <w:p w14:paraId="071697F6" w14:textId="21DDAA9B" w:rsidR="004313EF" w:rsidRDefault="004313EF">
          <w:pPr>
            <w:pStyle w:val="TOC1"/>
            <w:tabs>
              <w:tab w:val="right" w:leader="dot" w:pos="9016"/>
            </w:tabs>
            <w:rPr>
              <w:rFonts w:eastAsiaTheme="minorEastAsia"/>
              <w:noProof/>
              <w:sz w:val="24"/>
              <w:szCs w:val="24"/>
              <w:lang w:eastAsia="en-GB"/>
            </w:rPr>
          </w:pPr>
          <w:hyperlink w:anchor="_Toc223254248" w:history="1">
            <w:r w:rsidRPr="005B36D0">
              <w:rPr>
                <w:rStyle w:val="Hyperlink"/>
                <w:noProof/>
              </w:rPr>
              <w:t>6. Stakeholder Analysis and Engagement Plan</w:t>
            </w:r>
            <w:r>
              <w:rPr>
                <w:noProof/>
                <w:webHidden/>
              </w:rPr>
              <w:tab/>
            </w:r>
            <w:r>
              <w:rPr>
                <w:noProof/>
                <w:webHidden/>
              </w:rPr>
              <w:fldChar w:fldCharType="begin"/>
            </w:r>
            <w:r>
              <w:rPr>
                <w:noProof/>
                <w:webHidden/>
              </w:rPr>
              <w:instrText xml:space="preserve"> PAGEREF _Toc223254248 \h </w:instrText>
            </w:r>
            <w:r>
              <w:rPr>
                <w:noProof/>
                <w:webHidden/>
              </w:rPr>
            </w:r>
            <w:r>
              <w:rPr>
                <w:noProof/>
                <w:webHidden/>
              </w:rPr>
              <w:fldChar w:fldCharType="separate"/>
            </w:r>
            <w:r>
              <w:rPr>
                <w:noProof/>
                <w:webHidden/>
              </w:rPr>
              <w:t>16</w:t>
            </w:r>
            <w:r>
              <w:rPr>
                <w:noProof/>
                <w:webHidden/>
              </w:rPr>
              <w:fldChar w:fldCharType="end"/>
            </w:r>
          </w:hyperlink>
        </w:p>
        <w:p w14:paraId="08D061CE" w14:textId="63638C0D" w:rsidR="004313EF" w:rsidRDefault="004313EF">
          <w:pPr>
            <w:pStyle w:val="TOC1"/>
            <w:tabs>
              <w:tab w:val="right" w:leader="dot" w:pos="9016"/>
            </w:tabs>
            <w:rPr>
              <w:rStyle w:val="Hyperlink"/>
              <w:noProof/>
            </w:rPr>
          </w:pPr>
          <w:hyperlink w:anchor="_Toc223254249" w:history="1">
            <w:r w:rsidRPr="005B36D0">
              <w:rPr>
                <w:rStyle w:val="Hyperlink"/>
                <w:noProof/>
              </w:rPr>
              <w:t>7. Implementation and Monitoring</w:t>
            </w:r>
            <w:r>
              <w:rPr>
                <w:noProof/>
                <w:webHidden/>
              </w:rPr>
              <w:tab/>
            </w:r>
            <w:r>
              <w:rPr>
                <w:noProof/>
                <w:webHidden/>
              </w:rPr>
              <w:fldChar w:fldCharType="begin"/>
            </w:r>
            <w:r>
              <w:rPr>
                <w:noProof/>
                <w:webHidden/>
              </w:rPr>
              <w:instrText xml:space="preserve"> PAGEREF _Toc223254249 \h </w:instrText>
            </w:r>
            <w:r>
              <w:rPr>
                <w:noProof/>
                <w:webHidden/>
              </w:rPr>
            </w:r>
            <w:r>
              <w:rPr>
                <w:noProof/>
                <w:webHidden/>
              </w:rPr>
              <w:fldChar w:fldCharType="separate"/>
            </w:r>
            <w:r>
              <w:rPr>
                <w:noProof/>
                <w:webHidden/>
              </w:rPr>
              <w:t>17</w:t>
            </w:r>
            <w:r>
              <w:rPr>
                <w:noProof/>
                <w:webHidden/>
              </w:rPr>
              <w:fldChar w:fldCharType="end"/>
            </w:r>
          </w:hyperlink>
        </w:p>
        <w:p w14:paraId="1198B1DC" w14:textId="00F09CBE" w:rsidR="00245BBA" w:rsidRPr="00245BBA" w:rsidRDefault="00245BBA" w:rsidP="00245BBA">
          <w:r>
            <w:t xml:space="preserve">     </w:t>
          </w:r>
          <w:r w:rsidRPr="00245BBA">
            <w:t>7.1 Implementation plan and KPIs ........................................................</w:t>
          </w:r>
          <w:r>
            <w:t>...........................</w:t>
          </w:r>
          <w:r w:rsidRPr="00245BBA">
            <w:t>. 17</w:t>
          </w:r>
        </w:p>
        <w:p w14:paraId="3D44E079" w14:textId="50479E03" w:rsidR="004313EF" w:rsidRDefault="004313EF">
          <w:pPr>
            <w:pStyle w:val="TOC2"/>
            <w:tabs>
              <w:tab w:val="right" w:leader="dot" w:pos="9016"/>
            </w:tabs>
            <w:rPr>
              <w:rStyle w:val="Hyperlink"/>
              <w:noProof/>
            </w:rPr>
          </w:pPr>
          <w:hyperlink w:anchor="_Toc223254250" w:history="1">
            <w:r w:rsidRPr="005B36D0">
              <w:rPr>
                <w:rStyle w:val="Hyperlink"/>
                <w:noProof/>
              </w:rPr>
              <w:t>7.2 Risk Analysis</w:t>
            </w:r>
            <w:r>
              <w:rPr>
                <w:noProof/>
                <w:webHidden/>
              </w:rPr>
              <w:tab/>
            </w:r>
            <w:r>
              <w:rPr>
                <w:noProof/>
                <w:webHidden/>
              </w:rPr>
              <w:fldChar w:fldCharType="begin"/>
            </w:r>
            <w:r>
              <w:rPr>
                <w:noProof/>
                <w:webHidden/>
              </w:rPr>
              <w:instrText xml:space="preserve"> PAGEREF _Toc223254250 \h </w:instrText>
            </w:r>
            <w:r>
              <w:rPr>
                <w:noProof/>
                <w:webHidden/>
              </w:rPr>
            </w:r>
            <w:r>
              <w:rPr>
                <w:noProof/>
                <w:webHidden/>
              </w:rPr>
              <w:fldChar w:fldCharType="separate"/>
            </w:r>
            <w:r>
              <w:rPr>
                <w:noProof/>
                <w:webHidden/>
              </w:rPr>
              <w:t>19</w:t>
            </w:r>
            <w:r>
              <w:rPr>
                <w:noProof/>
                <w:webHidden/>
              </w:rPr>
              <w:fldChar w:fldCharType="end"/>
            </w:r>
          </w:hyperlink>
        </w:p>
        <w:p w14:paraId="1F914A04" w14:textId="026C7E64" w:rsidR="006325B7" w:rsidRPr="006325B7" w:rsidRDefault="006325B7" w:rsidP="006325B7">
          <w:r>
            <w:t xml:space="preserve">     </w:t>
          </w:r>
          <w:r w:rsidRPr="006325B7">
            <w:t>7.3 Limitations and Assumptions ..........................................................</w:t>
          </w:r>
          <w:r w:rsidR="001F7CF3">
            <w:t xml:space="preserve">………………………. </w:t>
          </w:r>
          <w:r w:rsidRPr="006325B7">
            <w:t>20</w:t>
          </w:r>
        </w:p>
        <w:p w14:paraId="1664441F" w14:textId="32BA70E2" w:rsidR="004313EF" w:rsidRDefault="004313EF">
          <w:pPr>
            <w:pStyle w:val="TOC1"/>
            <w:tabs>
              <w:tab w:val="right" w:leader="dot" w:pos="9016"/>
            </w:tabs>
            <w:rPr>
              <w:rFonts w:eastAsiaTheme="minorEastAsia"/>
              <w:noProof/>
              <w:sz w:val="24"/>
              <w:szCs w:val="24"/>
              <w:lang w:eastAsia="en-GB"/>
            </w:rPr>
          </w:pPr>
          <w:hyperlink w:anchor="_Toc223254251" w:history="1">
            <w:r w:rsidRPr="005B36D0">
              <w:rPr>
                <w:rStyle w:val="Hyperlink"/>
                <w:noProof/>
              </w:rPr>
              <w:t>8. Conclusion</w:t>
            </w:r>
            <w:r>
              <w:rPr>
                <w:noProof/>
                <w:webHidden/>
              </w:rPr>
              <w:tab/>
            </w:r>
            <w:r>
              <w:rPr>
                <w:noProof/>
                <w:webHidden/>
              </w:rPr>
              <w:fldChar w:fldCharType="begin"/>
            </w:r>
            <w:r>
              <w:rPr>
                <w:noProof/>
                <w:webHidden/>
              </w:rPr>
              <w:instrText xml:space="preserve"> PAGEREF _Toc223254251 \h </w:instrText>
            </w:r>
            <w:r>
              <w:rPr>
                <w:noProof/>
                <w:webHidden/>
              </w:rPr>
            </w:r>
            <w:r>
              <w:rPr>
                <w:noProof/>
                <w:webHidden/>
              </w:rPr>
              <w:fldChar w:fldCharType="separate"/>
            </w:r>
            <w:r>
              <w:rPr>
                <w:noProof/>
                <w:webHidden/>
              </w:rPr>
              <w:t>21</w:t>
            </w:r>
            <w:r>
              <w:rPr>
                <w:noProof/>
                <w:webHidden/>
              </w:rPr>
              <w:fldChar w:fldCharType="end"/>
            </w:r>
          </w:hyperlink>
        </w:p>
        <w:p w14:paraId="1F961BA7" w14:textId="735F9A7A" w:rsidR="004313EF" w:rsidRDefault="004313EF">
          <w:pPr>
            <w:pStyle w:val="TOC1"/>
            <w:tabs>
              <w:tab w:val="right" w:leader="dot" w:pos="9016"/>
            </w:tabs>
            <w:rPr>
              <w:rFonts w:eastAsiaTheme="minorEastAsia"/>
              <w:noProof/>
              <w:sz w:val="24"/>
              <w:szCs w:val="24"/>
              <w:lang w:eastAsia="en-GB"/>
            </w:rPr>
          </w:pPr>
          <w:hyperlink w:anchor="_Toc223254252" w:history="1">
            <w:r w:rsidRPr="005B36D0">
              <w:rPr>
                <w:rStyle w:val="Hyperlink"/>
                <w:noProof/>
              </w:rPr>
              <w:t>9. Reference List</w:t>
            </w:r>
            <w:r>
              <w:rPr>
                <w:noProof/>
                <w:webHidden/>
              </w:rPr>
              <w:tab/>
            </w:r>
            <w:r>
              <w:rPr>
                <w:noProof/>
                <w:webHidden/>
              </w:rPr>
              <w:fldChar w:fldCharType="begin"/>
            </w:r>
            <w:r>
              <w:rPr>
                <w:noProof/>
                <w:webHidden/>
              </w:rPr>
              <w:instrText xml:space="preserve"> PAGEREF _Toc223254252 \h </w:instrText>
            </w:r>
            <w:r>
              <w:rPr>
                <w:noProof/>
                <w:webHidden/>
              </w:rPr>
            </w:r>
            <w:r>
              <w:rPr>
                <w:noProof/>
                <w:webHidden/>
              </w:rPr>
              <w:fldChar w:fldCharType="separate"/>
            </w:r>
            <w:r>
              <w:rPr>
                <w:noProof/>
                <w:webHidden/>
              </w:rPr>
              <w:t>22</w:t>
            </w:r>
            <w:r>
              <w:rPr>
                <w:noProof/>
                <w:webHidden/>
              </w:rPr>
              <w:fldChar w:fldCharType="end"/>
            </w:r>
          </w:hyperlink>
        </w:p>
        <w:p w14:paraId="2A7441AA" w14:textId="5CAF8698" w:rsidR="005335F2" w:rsidRDefault="005335F2">
          <w:r>
            <w:rPr>
              <w:b/>
              <w:bCs/>
              <w:noProof/>
            </w:rPr>
            <w:fldChar w:fldCharType="end"/>
          </w:r>
        </w:p>
      </w:sdtContent>
    </w:sdt>
    <w:p w14:paraId="027417FB" w14:textId="77777777" w:rsidR="00116230" w:rsidRDefault="00116230" w:rsidP="00116230">
      <w:pPr>
        <w:spacing w:line="360" w:lineRule="auto"/>
        <w:rPr>
          <w:rFonts w:ascii="Arial" w:hAnsi="Arial" w:cs="Arial"/>
        </w:rPr>
      </w:pPr>
    </w:p>
    <w:p w14:paraId="6C8384A6" w14:textId="77777777" w:rsidR="005335F2" w:rsidRDefault="005335F2" w:rsidP="00116230">
      <w:pPr>
        <w:spacing w:line="360" w:lineRule="auto"/>
        <w:rPr>
          <w:rFonts w:ascii="Arial" w:hAnsi="Arial" w:cs="Arial"/>
        </w:rPr>
      </w:pPr>
    </w:p>
    <w:p w14:paraId="5A0B0853" w14:textId="77777777" w:rsidR="005335F2" w:rsidRDefault="005335F2" w:rsidP="00116230">
      <w:pPr>
        <w:spacing w:line="360" w:lineRule="auto"/>
        <w:rPr>
          <w:rFonts w:ascii="Arial" w:hAnsi="Arial" w:cs="Arial"/>
        </w:rPr>
      </w:pPr>
    </w:p>
    <w:p w14:paraId="409EF65C" w14:textId="77777777" w:rsidR="00116230" w:rsidRDefault="00116230" w:rsidP="00116230">
      <w:pPr>
        <w:spacing w:line="360" w:lineRule="auto"/>
        <w:rPr>
          <w:rFonts w:ascii="Arial" w:hAnsi="Arial" w:cs="Arial"/>
        </w:rPr>
      </w:pPr>
    </w:p>
    <w:p w14:paraId="2824D830" w14:textId="77777777" w:rsidR="00116230" w:rsidRDefault="00116230" w:rsidP="00116230">
      <w:pPr>
        <w:spacing w:line="360" w:lineRule="auto"/>
        <w:rPr>
          <w:rFonts w:ascii="Arial" w:hAnsi="Arial" w:cs="Arial"/>
        </w:rPr>
      </w:pPr>
    </w:p>
    <w:p w14:paraId="6E423B30" w14:textId="77777777" w:rsidR="00E36358" w:rsidRDefault="00E36358" w:rsidP="00116230">
      <w:pPr>
        <w:spacing w:line="360" w:lineRule="auto"/>
        <w:rPr>
          <w:rFonts w:ascii="Arial" w:hAnsi="Arial" w:cs="Arial"/>
        </w:rPr>
      </w:pPr>
    </w:p>
    <w:p w14:paraId="46BB4244" w14:textId="77777777" w:rsidR="00116230" w:rsidRDefault="00116230" w:rsidP="00116230">
      <w:pPr>
        <w:spacing w:line="360" w:lineRule="auto"/>
        <w:rPr>
          <w:rFonts w:ascii="Arial" w:hAnsi="Arial" w:cs="Arial"/>
        </w:rPr>
      </w:pPr>
    </w:p>
    <w:p w14:paraId="6BE8C546" w14:textId="53E7ECDE" w:rsidR="00116230" w:rsidRPr="00254687" w:rsidRDefault="00116230" w:rsidP="00ED0A37">
      <w:pPr>
        <w:pStyle w:val="Heading1"/>
      </w:pPr>
      <w:bookmarkStart w:id="0" w:name="_Toc223254231"/>
      <w:r w:rsidRPr="00254687">
        <w:lastRenderedPageBreak/>
        <w:t>1. Executive Summary</w:t>
      </w:r>
      <w:bookmarkEnd w:id="0"/>
      <w:r w:rsidRPr="00254687">
        <w:t xml:space="preserve"> </w:t>
      </w:r>
    </w:p>
    <w:p w14:paraId="5BE4F66E" w14:textId="77777777" w:rsidR="00116230" w:rsidRDefault="00116230" w:rsidP="00E36358">
      <w:pPr>
        <w:spacing w:line="360" w:lineRule="auto"/>
        <w:jc w:val="both"/>
        <w:rPr>
          <w:rFonts w:ascii="Arial" w:hAnsi="Arial" w:cs="Arial"/>
        </w:rPr>
      </w:pPr>
      <w:r w:rsidRPr="00E36358">
        <w:rPr>
          <w:rFonts w:ascii="Arial" w:hAnsi="Arial" w:cs="Arial"/>
        </w:rPr>
        <w:t>Innocent Drinks is a leading UK-based smoothies, juices and plant-based drinks brand operating in the FMCG sector. The organisation differentiates through ethical identity, sustainability commitments and a distinctive brand voice. As a certified B Corporation, Innocent is committed to balancing profit with positive social and environmental outcomes (B Lab, 2024). However, its strategic environment has become more complex due to intensifying competition in health and wellness beverages, increasing retailer power, heightened regulatory focus on sugar and packaging waste, climate-driven supply chain disruption, and sustained cost pressures across FMCG logistics and energy (Porter, 2008; OECD, 2023; IPCC, 2023).</w:t>
      </w:r>
    </w:p>
    <w:p w14:paraId="01B8B527" w14:textId="1D50CAB9" w:rsidR="009C7825" w:rsidRPr="00E36358" w:rsidRDefault="009C7825" w:rsidP="00E36358">
      <w:pPr>
        <w:spacing w:line="360" w:lineRule="auto"/>
        <w:jc w:val="both"/>
        <w:rPr>
          <w:rFonts w:ascii="Arial" w:hAnsi="Arial" w:cs="Arial"/>
        </w:rPr>
      </w:pPr>
      <w:r w:rsidRPr="009C7825">
        <w:rPr>
          <w:rFonts w:ascii="Arial" w:hAnsi="Arial" w:cs="Arial"/>
        </w:rPr>
        <w:t>Overall, the report argues that Innocent’s long-term competitiveness depends on protecting consumer willingness-to-pay through verifiable sustainability leadership and transparent “</w:t>
      </w:r>
      <w:r w:rsidR="00C27B93">
        <w:rPr>
          <w:rFonts w:ascii="Arial" w:hAnsi="Arial" w:cs="Arial"/>
        </w:rPr>
        <w:t>E</w:t>
      </w:r>
      <w:r w:rsidRPr="009C7825">
        <w:rPr>
          <w:rFonts w:ascii="Arial" w:hAnsi="Arial" w:cs="Arial"/>
        </w:rPr>
        <w:t xml:space="preserve">veryday </w:t>
      </w:r>
      <w:r w:rsidR="00C27B93">
        <w:rPr>
          <w:rFonts w:ascii="Arial" w:hAnsi="Arial" w:cs="Arial"/>
        </w:rPr>
        <w:t>H</w:t>
      </w:r>
      <w:r w:rsidRPr="009C7825">
        <w:rPr>
          <w:rFonts w:ascii="Arial" w:hAnsi="Arial" w:cs="Arial"/>
        </w:rPr>
        <w:t>ealth” product design. By turning regulatory compliance and ethical sourcing into sources of differentiation rather than cost burdens, Innocent can sustain premium positioning while maintaining stakeholder trust.</w:t>
      </w:r>
    </w:p>
    <w:p w14:paraId="79CEB84B" w14:textId="77777777" w:rsidR="00116230" w:rsidRPr="00E36358" w:rsidRDefault="00116230" w:rsidP="00E36358">
      <w:pPr>
        <w:spacing w:line="360" w:lineRule="auto"/>
        <w:jc w:val="both"/>
        <w:rPr>
          <w:rFonts w:ascii="Arial" w:hAnsi="Arial" w:cs="Arial"/>
        </w:rPr>
      </w:pPr>
      <w:r w:rsidRPr="00E36358">
        <w:rPr>
          <w:rFonts w:ascii="Arial" w:hAnsi="Arial" w:cs="Arial"/>
        </w:rPr>
        <w:t>This report evaluates Innocent’s external and internal context using PESTEL, Porter’s Five Forces, SWOT, TOWS, Value Chain, operational performance objectives and the 4V model. The analysis finds that Innocent’s strongest assets are trust-based brand equity, governance credibility from B Corp certification, and a comparatively advanced sustainability narrative that can be defended with evidence (Delmas and Burbano, 2011). Key weaknesses are a structurally higher cost base (ethical sourcing and chilled distribution) and vulnerability to price-sensitive switching towards retailer own-label alternatives.</w:t>
      </w:r>
    </w:p>
    <w:p w14:paraId="0A810963" w14:textId="1694AAC0" w:rsidR="00116230" w:rsidRPr="00E36358" w:rsidRDefault="00116230" w:rsidP="00E36358">
      <w:pPr>
        <w:spacing w:line="360" w:lineRule="auto"/>
        <w:jc w:val="both"/>
        <w:rPr>
          <w:rFonts w:ascii="Arial" w:hAnsi="Arial" w:cs="Arial"/>
        </w:rPr>
      </w:pPr>
      <w:r w:rsidRPr="00E36358">
        <w:rPr>
          <w:rFonts w:ascii="Arial" w:hAnsi="Arial" w:cs="Arial"/>
        </w:rPr>
        <w:t>Strategic growth options are assessed using Ansoff and Porter’s Generic Strategies. The report recommends a focused differentiation strategy that combines: (1) sustainable product innovation (an “Everyday Health” platform with portion-led sugar management and credible functional benefits), (2) packaging leadership and compliance readiness (</w:t>
      </w:r>
      <w:proofErr w:type="spellStart"/>
      <w:r w:rsidR="000A0E98" w:rsidRPr="000A0E98">
        <w:rPr>
          <w:rFonts w:ascii="Arial" w:hAnsi="Arial" w:cs="Arial"/>
        </w:rPr>
        <w:t>pEPR</w:t>
      </w:r>
      <w:proofErr w:type="spellEnd"/>
      <w:r w:rsidR="000A0E98" w:rsidRPr="000A0E98">
        <w:rPr>
          <w:rFonts w:ascii="Arial" w:hAnsi="Arial" w:cs="Arial"/>
        </w:rPr>
        <w:t xml:space="preserve"> and PPWR</w:t>
      </w:r>
      <w:r w:rsidRPr="00E36358">
        <w:rPr>
          <w:rFonts w:ascii="Arial" w:hAnsi="Arial" w:cs="Arial"/>
        </w:rPr>
        <w:t>), and (3) selective expansion within ethically aligned European markets where premium health propositions and responsible branding are valued.</w:t>
      </w:r>
    </w:p>
    <w:p w14:paraId="0718EB2E" w14:textId="30A476FB" w:rsidR="0017359F" w:rsidRPr="00116230" w:rsidRDefault="00116230" w:rsidP="008A164B">
      <w:pPr>
        <w:spacing w:line="360" w:lineRule="auto"/>
        <w:jc w:val="both"/>
        <w:rPr>
          <w:rFonts w:ascii="Arial" w:hAnsi="Arial" w:cs="Arial"/>
        </w:rPr>
      </w:pPr>
      <w:r w:rsidRPr="00E36358">
        <w:rPr>
          <w:rFonts w:ascii="Arial" w:hAnsi="Arial" w:cs="Arial"/>
        </w:rPr>
        <w:t>The strategy is evaluated via the SFA framework and is judged suitable, feasible and acceptable, subject to explicit assumptions about investment capacity, supplier scalability and consumer willingness to pay. A phased implementation plan with measurable KPIs is proposed to ensure delivery and governance.</w:t>
      </w:r>
    </w:p>
    <w:p w14:paraId="3ECBE1FC" w14:textId="49D22083" w:rsidR="00116230" w:rsidRPr="00E41253" w:rsidRDefault="00116230" w:rsidP="00ED0A37">
      <w:pPr>
        <w:pStyle w:val="Heading1"/>
      </w:pPr>
      <w:bookmarkStart w:id="1" w:name="_Toc223254232"/>
      <w:r w:rsidRPr="00E41253">
        <w:lastRenderedPageBreak/>
        <w:t>2. Introduction to Innocent Drinks</w:t>
      </w:r>
      <w:bookmarkEnd w:id="1"/>
      <w:r w:rsidRPr="00E41253">
        <w:t xml:space="preserve"> </w:t>
      </w:r>
    </w:p>
    <w:p w14:paraId="2EA94495" w14:textId="77777777" w:rsidR="00116230" w:rsidRDefault="00116230" w:rsidP="002D7F7A">
      <w:pPr>
        <w:spacing w:line="360" w:lineRule="auto"/>
        <w:jc w:val="both"/>
        <w:rPr>
          <w:rFonts w:ascii="Arial" w:hAnsi="Arial" w:cs="Arial"/>
        </w:rPr>
      </w:pPr>
      <w:r w:rsidRPr="00116230">
        <w:rPr>
          <w:rFonts w:ascii="Arial" w:hAnsi="Arial" w:cs="Arial"/>
        </w:rPr>
        <w:t>Innocent Drinks was founded in 1999 and has grown into one of the UK’s best-known healthy beverage brands, producing smoothies, juices and plant-based drinks. Innocent’s mission is to “make natural, delicious food and drink that helps people live well and die old”, and its vision is to “leave things better than we found them” (Innocent Drinks, 2024a). These statements embed health and sustainability as strategic priorities rather than peripheral corporate responsibility themes.</w:t>
      </w:r>
    </w:p>
    <w:p w14:paraId="5C176A25" w14:textId="65945D92" w:rsidR="00144C16" w:rsidRPr="00116230" w:rsidRDefault="00144C16" w:rsidP="002D7F7A">
      <w:pPr>
        <w:spacing w:line="360" w:lineRule="auto"/>
        <w:jc w:val="both"/>
        <w:rPr>
          <w:rFonts w:ascii="Arial" w:hAnsi="Arial" w:cs="Arial"/>
        </w:rPr>
      </w:pPr>
      <w:r w:rsidRPr="00144C16">
        <w:rPr>
          <w:rFonts w:ascii="Arial" w:hAnsi="Arial" w:cs="Arial"/>
        </w:rPr>
        <w:t>As a certified B Corporation, Innocent embeds corporate social responsibility (CSR) principles into its governance model, requiring the organisation to balance financial performance with social and environmental impact (B Lab, 2024).</w:t>
      </w:r>
    </w:p>
    <w:p w14:paraId="2EB8DF46" w14:textId="77777777" w:rsidR="00116230" w:rsidRPr="00642438" w:rsidRDefault="00116230" w:rsidP="00ED0A37">
      <w:pPr>
        <w:pStyle w:val="Heading2"/>
      </w:pPr>
      <w:bookmarkStart w:id="2" w:name="_Toc223254233"/>
      <w:r w:rsidRPr="00642438">
        <w:t>2.1 Company background, structure and performance context</w:t>
      </w:r>
      <w:bookmarkEnd w:id="2"/>
    </w:p>
    <w:p w14:paraId="055A3D6D" w14:textId="77777777" w:rsidR="00116230" w:rsidRPr="00E36358" w:rsidRDefault="00116230" w:rsidP="00E36358">
      <w:pPr>
        <w:spacing w:line="360" w:lineRule="auto"/>
        <w:jc w:val="both"/>
        <w:rPr>
          <w:rFonts w:ascii="Arial" w:hAnsi="Arial" w:cs="Arial"/>
        </w:rPr>
      </w:pPr>
      <w:r w:rsidRPr="00E36358">
        <w:rPr>
          <w:rFonts w:ascii="Arial" w:hAnsi="Arial" w:cs="Arial"/>
        </w:rPr>
        <w:t>Innocent operates with a group structure and market-facing regional teams. Its modern slavery reporting describes a model where core group functions (e.g., finance and sustainability) work alongside regional functions (e.g., sales and marketing) focused on the markets where products are sold (Innocent Drinks, 2022). Innocent also states that it is a wholly owned subsidiary of The Coca-Cola Company, while maintaining an operating model tailored to the chilled juice sector (Innocent Drinks, 2024c). This structure has strategic implications: access to scale and investment capabilities can support innovation and expansion, but stakeholder expectations remain high, especially around authenticity and governance.</w:t>
      </w:r>
    </w:p>
    <w:p w14:paraId="71F32C87" w14:textId="77777777" w:rsidR="00116230" w:rsidRDefault="00116230" w:rsidP="00E36358">
      <w:pPr>
        <w:spacing w:line="360" w:lineRule="auto"/>
        <w:jc w:val="both"/>
        <w:rPr>
          <w:rFonts w:ascii="Arial" w:hAnsi="Arial" w:cs="Arial"/>
        </w:rPr>
      </w:pPr>
      <w:r w:rsidRPr="00E36358">
        <w:rPr>
          <w:rFonts w:ascii="Arial" w:hAnsi="Arial" w:cs="Arial"/>
        </w:rPr>
        <w:t>In performance terms, publicly reported turnover trends show revenue growth and recovery after volatility associated with investment and operating losses. For example, group turnover increased from £452.9m (2023) to £466.1m (2024) (City A.M., 2025; Grocery Gazette, 2025). Earlier, the Grocer reported revenues of £426.2m (2022), down year-on-year, while City A.M. reports that turnover rose from £426.2m (2022) to £452.9m (2023) (The Grocer, 2024; City A.M., 2025). Additionally, a Grocer report describes turnover falling 2% to £423.4m for the year ended 31 December (The Grocer, 2021). Together, these sources indicate a trajectory of recovery and growth into 2024 while highlighting historic volatility.</w:t>
      </w:r>
    </w:p>
    <w:p w14:paraId="1BD94C11" w14:textId="77777777" w:rsidR="008A164B" w:rsidRDefault="008A164B" w:rsidP="00E36358">
      <w:pPr>
        <w:spacing w:line="360" w:lineRule="auto"/>
        <w:jc w:val="both"/>
        <w:rPr>
          <w:rFonts w:ascii="Arial" w:hAnsi="Arial" w:cs="Arial"/>
        </w:rPr>
      </w:pPr>
    </w:p>
    <w:p w14:paraId="4BA61C58" w14:textId="77777777" w:rsidR="008A164B" w:rsidRDefault="008A164B" w:rsidP="00E36358">
      <w:pPr>
        <w:spacing w:line="360" w:lineRule="auto"/>
        <w:jc w:val="both"/>
        <w:rPr>
          <w:rFonts w:ascii="Arial" w:hAnsi="Arial" w:cs="Arial"/>
        </w:rPr>
      </w:pPr>
    </w:p>
    <w:p w14:paraId="3BDE710B" w14:textId="77777777" w:rsidR="008A164B" w:rsidRDefault="008A164B" w:rsidP="00E36358">
      <w:pPr>
        <w:spacing w:line="360" w:lineRule="auto"/>
        <w:jc w:val="both"/>
        <w:rPr>
          <w:rFonts w:ascii="Arial" w:hAnsi="Arial" w:cs="Arial"/>
        </w:rPr>
      </w:pPr>
    </w:p>
    <w:p w14:paraId="2F1ECD04" w14:textId="77777777" w:rsidR="008A164B" w:rsidRDefault="008A164B" w:rsidP="00E36358">
      <w:pPr>
        <w:spacing w:line="360" w:lineRule="auto"/>
        <w:jc w:val="both"/>
        <w:rPr>
          <w:rFonts w:ascii="Arial" w:hAnsi="Arial" w:cs="Arial"/>
        </w:rPr>
      </w:pPr>
    </w:p>
    <w:p w14:paraId="1B414EE1" w14:textId="77777777" w:rsidR="006A4674" w:rsidRPr="00E36358" w:rsidRDefault="006A4674" w:rsidP="00E36358">
      <w:pPr>
        <w:spacing w:line="360" w:lineRule="auto"/>
        <w:jc w:val="both"/>
        <w:rPr>
          <w:rFonts w:ascii="Arial" w:hAnsi="Arial" w:cs="Arial"/>
        </w:rPr>
      </w:pPr>
    </w:p>
    <w:p w14:paraId="5F15885E" w14:textId="66F36CE1" w:rsidR="00566EA1" w:rsidRPr="003B3C40" w:rsidRDefault="00566EA1" w:rsidP="00116230">
      <w:pPr>
        <w:spacing w:line="360" w:lineRule="auto"/>
        <w:rPr>
          <w:rFonts w:ascii="Arial" w:hAnsi="Arial" w:cs="Arial"/>
          <w:b/>
          <w:bCs/>
        </w:rPr>
      </w:pPr>
      <w:r w:rsidRPr="00566EA1">
        <w:rPr>
          <w:rFonts w:ascii="Arial" w:hAnsi="Arial" w:cs="Arial"/>
          <w:b/>
          <w:bCs/>
        </w:rPr>
        <w:lastRenderedPageBreak/>
        <w:t>Table 2.1: Innocent Drinks five-year revenue trend (turnover), 2020–2024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5"/>
        <w:gridCol w:w="1520"/>
        <w:gridCol w:w="6911"/>
      </w:tblGrid>
      <w:tr w:rsidR="00116230" w:rsidRPr="00116230" w14:paraId="62A1ED84" w14:textId="77777777" w:rsidTr="00E41253">
        <w:trPr>
          <w:tblHeader/>
          <w:tblCellSpacing w:w="15" w:type="dxa"/>
        </w:trPr>
        <w:tc>
          <w:tcPr>
            <w:tcW w:w="0" w:type="auto"/>
            <w:shd w:val="clear" w:color="auto" w:fill="00B0F0"/>
            <w:vAlign w:val="center"/>
            <w:hideMark/>
          </w:tcPr>
          <w:p w14:paraId="349148E2" w14:textId="77777777" w:rsidR="00116230" w:rsidRPr="00976F79" w:rsidRDefault="00116230" w:rsidP="00116230">
            <w:pPr>
              <w:spacing w:line="360" w:lineRule="auto"/>
              <w:rPr>
                <w:rFonts w:ascii="Arial" w:hAnsi="Arial" w:cs="Arial"/>
                <w:b/>
                <w:bCs/>
              </w:rPr>
            </w:pPr>
            <w:r w:rsidRPr="00976F79">
              <w:rPr>
                <w:rFonts w:ascii="Arial" w:hAnsi="Arial" w:cs="Arial"/>
                <w:b/>
                <w:bCs/>
              </w:rPr>
              <w:t>Year</w:t>
            </w:r>
          </w:p>
        </w:tc>
        <w:tc>
          <w:tcPr>
            <w:tcW w:w="0" w:type="auto"/>
            <w:shd w:val="clear" w:color="auto" w:fill="00B0F0"/>
            <w:vAlign w:val="center"/>
            <w:hideMark/>
          </w:tcPr>
          <w:p w14:paraId="44A5DEF7" w14:textId="77777777" w:rsidR="00116230" w:rsidRPr="00976F79" w:rsidRDefault="00116230" w:rsidP="00116230">
            <w:pPr>
              <w:spacing w:line="360" w:lineRule="auto"/>
              <w:rPr>
                <w:rFonts w:ascii="Arial" w:hAnsi="Arial" w:cs="Arial"/>
                <w:b/>
                <w:bCs/>
              </w:rPr>
            </w:pPr>
            <w:r w:rsidRPr="00976F79">
              <w:rPr>
                <w:rFonts w:ascii="Arial" w:hAnsi="Arial" w:cs="Arial"/>
                <w:b/>
                <w:bCs/>
              </w:rPr>
              <w:t>Turnover (£m)</w:t>
            </w:r>
          </w:p>
        </w:tc>
        <w:tc>
          <w:tcPr>
            <w:tcW w:w="0" w:type="auto"/>
            <w:shd w:val="clear" w:color="auto" w:fill="00B0F0"/>
            <w:vAlign w:val="center"/>
            <w:hideMark/>
          </w:tcPr>
          <w:p w14:paraId="2A6793E8" w14:textId="77777777" w:rsidR="00116230" w:rsidRPr="00976F79" w:rsidRDefault="00116230" w:rsidP="00116230">
            <w:pPr>
              <w:spacing w:line="360" w:lineRule="auto"/>
              <w:rPr>
                <w:rFonts w:ascii="Arial" w:hAnsi="Arial" w:cs="Arial"/>
                <w:b/>
                <w:bCs/>
              </w:rPr>
            </w:pPr>
            <w:r w:rsidRPr="00976F79">
              <w:rPr>
                <w:rFonts w:ascii="Arial" w:hAnsi="Arial" w:cs="Arial"/>
                <w:b/>
                <w:bCs/>
              </w:rPr>
              <w:t>Evidence/notes</w:t>
            </w:r>
          </w:p>
        </w:tc>
      </w:tr>
      <w:tr w:rsidR="00116230" w:rsidRPr="00116230" w14:paraId="4A26B484" w14:textId="77777777" w:rsidTr="00E41253">
        <w:trPr>
          <w:tblCellSpacing w:w="15" w:type="dxa"/>
        </w:trPr>
        <w:tc>
          <w:tcPr>
            <w:tcW w:w="0" w:type="auto"/>
            <w:shd w:val="clear" w:color="auto" w:fill="DAE9F7" w:themeFill="text2" w:themeFillTint="1A"/>
            <w:vAlign w:val="center"/>
            <w:hideMark/>
          </w:tcPr>
          <w:p w14:paraId="7921D0AB" w14:textId="77777777" w:rsidR="00116230" w:rsidRPr="00116230" w:rsidRDefault="00116230" w:rsidP="00116230">
            <w:pPr>
              <w:spacing w:line="360" w:lineRule="auto"/>
              <w:rPr>
                <w:rFonts w:ascii="Arial" w:hAnsi="Arial" w:cs="Arial"/>
              </w:rPr>
            </w:pPr>
            <w:r w:rsidRPr="00116230">
              <w:rPr>
                <w:rFonts w:ascii="Arial" w:hAnsi="Arial" w:cs="Arial"/>
              </w:rPr>
              <w:t>2020</w:t>
            </w:r>
          </w:p>
        </w:tc>
        <w:tc>
          <w:tcPr>
            <w:tcW w:w="0" w:type="auto"/>
            <w:shd w:val="clear" w:color="auto" w:fill="DAE9F7" w:themeFill="text2" w:themeFillTint="1A"/>
            <w:vAlign w:val="center"/>
            <w:hideMark/>
          </w:tcPr>
          <w:p w14:paraId="214F29A8" w14:textId="77777777" w:rsidR="00116230" w:rsidRPr="00116230" w:rsidRDefault="00116230" w:rsidP="00116230">
            <w:pPr>
              <w:spacing w:line="360" w:lineRule="auto"/>
              <w:rPr>
                <w:rFonts w:ascii="Arial" w:hAnsi="Arial" w:cs="Arial"/>
              </w:rPr>
            </w:pPr>
            <w:r w:rsidRPr="00116230">
              <w:rPr>
                <w:rFonts w:ascii="Arial" w:hAnsi="Arial" w:cs="Arial"/>
              </w:rPr>
              <w:t>423.4</w:t>
            </w:r>
          </w:p>
        </w:tc>
        <w:tc>
          <w:tcPr>
            <w:tcW w:w="0" w:type="auto"/>
            <w:vAlign w:val="center"/>
            <w:hideMark/>
          </w:tcPr>
          <w:p w14:paraId="74FDDD7B" w14:textId="77777777" w:rsidR="00116230" w:rsidRPr="00116230" w:rsidRDefault="00116230" w:rsidP="00116230">
            <w:pPr>
              <w:spacing w:line="360" w:lineRule="auto"/>
              <w:rPr>
                <w:rFonts w:ascii="Arial" w:hAnsi="Arial" w:cs="Arial"/>
              </w:rPr>
            </w:pPr>
            <w:r w:rsidRPr="00116230">
              <w:rPr>
                <w:rFonts w:ascii="Arial" w:hAnsi="Arial" w:cs="Arial"/>
              </w:rPr>
              <w:t>Reported “fell 2% to £423.4m” (The Grocer, 2021)</w:t>
            </w:r>
          </w:p>
        </w:tc>
      </w:tr>
      <w:tr w:rsidR="00116230" w:rsidRPr="00116230" w14:paraId="501F88D2" w14:textId="77777777" w:rsidTr="00E41253">
        <w:trPr>
          <w:tblCellSpacing w:w="15" w:type="dxa"/>
        </w:trPr>
        <w:tc>
          <w:tcPr>
            <w:tcW w:w="0" w:type="auto"/>
            <w:shd w:val="clear" w:color="auto" w:fill="DAE9F7" w:themeFill="text2" w:themeFillTint="1A"/>
            <w:vAlign w:val="center"/>
            <w:hideMark/>
          </w:tcPr>
          <w:p w14:paraId="49E7F71B" w14:textId="77777777" w:rsidR="00116230" w:rsidRPr="00116230" w:rsidRDefault="00116230" w:rsidP="00116230">
            <w:pPr>
              <w:spacing w:line="360" w:lineRule="auto"/>
              <w:rPr>
                <w:rFonts w:ascii="Arial" w:hAnsi="Arial" w:cs="Arial"/>
              </w:rPr>
            </w:pPr>
            <w:r w:rsidRPr="00116230">
              <w:rPr>
                <w:rFonts w:ascii="Arial" w:hAnsi="Arial" w:cs="Arial"/>
              </w:rPr>
              <w:t>2021</w:t>
            </w:r>
          </w:p>
        </w:tc>
        <w:tc>
          <w:tcPr>
            <w:tcW w:w="0" w:type="auto"/>
            <w:shd w:val="clear" w:color="auto" w:fill="DAE9F7" w:themeFill="text2" w:themeFillTint="1A"/>
            <w:vAlign w:val="center"/>
            <w:hideMark/>
          </w:tcPr>
          <w:p w14:paraId="62FFA7C4" w14:textId="77777777" w:rsidR="00116230" w:rsidRPr="00116230" w:rsidRDefault="00116230" w:rsidP="00116230">
            <w:pPr>
              <w:spacing w:line="360" w:lineRule="auto"/>
              <w:rPr>
                <w:rFonts w:ascii="Arial" w:hAnsi="Arial" w:cs="Arial"/>
              </w:rPr>
            </w:pPr>
            <w:r w:rsidRPr="00116230">
              <w:rPr>
                <w:rFonts w:ascii="Arial" w:hAnsi="Arial" w:cs="Arial"/>
              </w:rPr>
              <w:t>~441.8 (inferred)</w:t>
            </w:r>
          </w:p>
        </w:tc>
        <w:tc>
          <w:tcPr>
            <w:tcW w:w="0" w:type="auto"/>
            <w:vAlign w:val="center"/>
            <w:hideMark/>
          </w:tcPr>
          <w:p w14:paraId="04D3E5B2" w14:textId="77777777" w:rsidR="00116230" w:rsidRPr="00116230" w:rsidRDefault="00116230" w:rsidP="00116230">
            <w:pPr>
              <w:spacing w:line="360" w:lineRule="auto"/>
              <w:rPr>
                <w:rFonts w:ascii="Arial" w:hAnsi="Arial" w:cs="Arial"/>
              </w:rPr>
            </w:pPr>
            <w:r w:rsidRPr="00116230">
              <w:rPr>
                <w:rFonts w:ascii="Arial" w:hAnsi="Arial" w:cs="Arial"/>
              </w:rPr>
              <w:t>Inference: 2022 declined by £15.6m to £426.2m → 2021 ≈ £441.8m (The Grocer, 2024)</w:t>
            </w:r>
          </w:p>
        </w:tc>
      </w:tr>
      <w:tr w:rsidR="00116230" w:rsidRPr="00116230" w14:paraId="7441E721" w14:textId="77777777" w:rsidTr="00E41253">
        <w:trPr>
          <w:tblCellSpacing w:w="15" w:type="dxa"/>
        </w:trPr>
        <w:tc>
          <w:tcPr>
            <w:tcW w:w="0" w:type="auto"/>
            <w:shd w:val="clear" w:color="auto" w:fill="DAE9F7" w:themeFill="text2" w:themeFillTint="1A"/>
            <w:vAlign w:val="center"/>
            <w:hideMark/>
          </w:tcPr>
          <w:p w14:paraId="64D0D21A" w14:textId="77777777" w:rsidR="00116230" w:rsidRPr="00116230" w:rsidRDefault="00116230" w:rsidP="00116230">
            <w:pPr>
              <w:spacing w:line="360" w:lineRule="auto"/>
              <w:rPr>
                <w:rFonts w:ascii="Arial" w:hAnsi="Arial" w:cs="Arial"/>
              </w:rPr>
            </w:pPr>
            <w:r w:rsidRPr="00116230">
              <w:rPr>
                <w:rFonts w:ascii="Arial" w:hAnsi="Arial" w:cs="Arial"/>
              </w:rPr>
              <w:t>2022</w:t>
            </w:r>
          </w:p>
        </w:tc>
        <w:tc>
          <w:tcPr>
            <w:tcW w:w="0" w:type="auto"/>
            <w:shd w:val="clear" w:color="auto" w:fill="DAE9F7" w:themeFill="text2" w:themeFillTint="1A"/>
            <w:vAlign w:val="center"/>
            <w:hideMark/>
          </w:tcPr>
          <w:p w14:paraId="3A192C47" w14:textId="77777777" w:rsidR="00116230" w:rsidRPr="00116230" w:rsidRDefault="00116230" w:rsidP="00116230">
            <w:pPr>
              <w:spacing w:line="360" w:lineRule="auto"/>
              <w:rPr>
                <w:rFonts w:ascii="Arial" w:hAnsi="Arial" w:cs="Arial"/>
              </w:rPr>
            </w:pPr>
            <w:r w:rsidRPr="00116230">
              <w:rPr>
                <w:rFonts w:ascii="Arial" w:hAnsi="Arial" w:cs="Arial"/>
              </w:rPr>
              <w:t>426.2</w:t>
            </w:r>
          </w:p>
        </w:tc>
        <w:tc>
          <w:tcPr>
            <w:tcW w:w="0" w:type="auto"/>
            <w:vAlign w:val="center"/>
            <w:hideMark/>
          </w:tcPr>
          <w:p w14:paraId="72C46ACB" w14:textId="77777777" w:rsidR="00116230" w:rsidRPr="00116230" w:rsidRDefault="00116230" w:rsidP="00116230">
            <w:pPr>
              <w:spacing w:line="360" w:lineRule="auto"/>
              <w:rPr>
                <w:rFonts w:ascii="Arial" w:hAnsi="Arial" w:cs="Arial"/>
              </w:rPr>
            </w:pPr>
            <w:r w:rsidRPr="00116230">
              <w:rPr>
                <w:rFonts w:ascii="Arial" w:hAnsi="Arial" w:cs="Arial"/>
              </w:rPr>
              <w:t>Reported (The Grocer, 2024)</w:t>
            </w:r>
          </w:p>
        </w:tc>
      </w:tr>
      <w:tr w:rsidR="00116230" w:rsidRPr="00116230" w14:paraId="23DE3266" w14:textId="77777777" w:rsidTr="00E41253">
        <w:trPr>
          <w:tblCellSpacing w:w="15" w:type="dxa"/>
        </w:trPr>
        <w:tc>
          <w:tcPr>
            <w:tcW w:w="0" w:type="auto"/>
            <w:shd w:val="clear" w:color="auto" w:fill="DAE9F7" w:themeFill="text2" w:themeFillTint="1A"/>
            <w:vAlign w:val="center"/>
            <w:hideMark/>
          </w:tcPr>
          <w:p w14:paraId="1F4CC0B8" w14:textId="77777777" w:rsidR="00116230" w:rsidRPr="00116230" w:rsidRDefault="00116230" w:rsidP="00116230">
            <w:pPr>
              <w:spacing w:line="360" w:lineRule="auto"/>
              <w:rPr>
                <w:rFonts w:ascii="Arial" w:hAnsi="Arial" w:cs="Arial"/>
              </w:rPr>
            </w:pPr>
            <w:r w:rsidRPr="00116230">
              <w:rPr>
                <w:rFonts w:ascii="Arial" w:hAnsi="Arial" w:cs="Arial"/>
              </w:rPr>
              <w:t>2023</w:t>
            </w:r>
          </w:p>
        </w:tc>
        <w:tc>
          <w:tcPr>
            <w:tcW w:w="0" w:type="auto"/>
            <w:shd w:val="clear" w:color="auto" w:fill="DAE9F7" w:themeFill="text2" w:themeFillTint="1A"/>
            <w:vAlign w:val="center"/>
            <w:hideMark/>
          </w:tcPr>
          <w:p w14:paraId="5E8A23B1" w14:textId="77777777" w:rsidR="00116230" w:rsidRPr="00116230" w:rsidRDefault="00116230" w:rsidP="00116230">
            <w:pPr>
              <w:spacing w:line="360" w:lineRule="auto"/>
              <w:rPr>
                <w:rFonts w:ascii="Arial" w:hAnsi="Arial" w:cs="Arial"/>
              </w:rPr>
            </w:pPr>
            <w:r w:rsidRPr="00116230">
              <w:rPr>
                <w:rFonts w:ascii="Arial" w:hAnsi="Arial" w:cs="Arial"/>
              </w:rPr>
              <w:t>452.9</w:t>
            </w:r>
          </w:p>
        </w:tc>
        <w:tc>
          <w:tcPr>
            <w:tcW w:w="0" w:type="auto"/>
            <w:vAlign w:val="center"/>
            <w:hideMark/>
          </w:tcPr>
          <w:p w14:paraId="748816C3" w14:textId="77777777" w:rsidR="00116230" w:rsidRPr="00116230" w:rsidRDefault="00116230" w:rsidP="00116230">
            <w:pPr>
              <w:spacing w:line="360" w:lineRule="auto"/>
              <w:rPr>
                <w:rFonts w:ascii="Arial" w:hAnsi="Arial" w:cs="Arial"/>
              </w:rPr>
            </w:pPr>
            <w:r w:rsidRPr="00116230">
              <w:rPr>
                <w:rFonts w:ascii="Arial" w:hAnsi="Arial" w:cs="Arial"/>
              </w:rPr>
              <w:t>Reported turnover rise from £426.2m to £452.9m (City A.M., 2025)</w:t>
            </w:r>
          </w:p>
        </w:tc>
      </w:tr>
      <w:tr w:rsidR="00116230" w:rsidRPr="00116230" w14:paraId="281CD301" w14:textId="77777777" w:rsidTr="00E41253">
        <w:trPr>
          <w:tblCellSpacing w:w="15" w:type="dxa"/>
        </w:trPr>
        <w:tc>
          <w:tcPr>
            <w:tcW w:w="0" w:type="auto"/>
            <w:shd w:val="clear" w:color="auto" w:fill="DAE9F7" w:themeFill="text2" w:themeFillTint="1A"/>
            <w:vAlign w:val="center"/>
            <w:hideMark/>
          </w:tcPr>
          <w:p w14:paraId="1E403AC3" w14:textId="77777777" w:rsidR="00116230" w:rsidRPr="00116230" w:rsidRDefault="00116230" w:rsidP="00116230">
            <w:pPr>
              <w:spacing w:line="360" w:lineRule="auto"/>
              <w:rPr>
                <w:rFonts w:ascii="Arial" w:hAnsi="Arial" w:cs="Arial"/>
              </w:rPr>
            </w:pPr>
            <w:r w:rsidRPr="00116230">
              <w:rPr>
                <w:rFonts w:ascii="Arial" w:hAnsi="Arial" w:cs="Arial"/>
              </w:rPr>
              <w:t>2024</w:t>
            </w:r>
          </w:p>
        </w:tc>
        <w:tc>
          <w:tcPr>
            <w:tcW w:w="0" w:type="auto"/>
            <w:shd w:val="clear" w:color="auto" w:fill="DAE9F7" w:themeFill="text2" w:themeFillTint="1A"/>
            <w:vAlign w:val="center"/>
            <w:hideMark/>
          </w:tcPr>
          <w:p w14:paraId="211B1E2A" w14:textId="77777777" w:rsidR="00116230" w:rsidRPr="00116230" w:rsidRDefault="00116230" w:rsidP="00116230">
            <w:pPr>
              <w:spacing w:line="360" w:lineRule="auto"/>
              <w:rPr>
                <w:rFonts w:ascii="Arial" w:hAnsi="Arial" w:cs="Arial"/>
              </w:rPr>
            </w:pPr>
            <w:r w:rsidRPr="00116230">
              <w:rPr>
                <w:rFonts w:ascii="Arial" w:hAnsi="Arial" w:cs="Arial"/>
              </w:rPr>
              <w:t>466.1</w:t>
            </w:r>
          </w:p>
        </w:tc>
        <w:tc>
          <w:tcPr>
            <w:tcW w:w="0" w:type="auto"/>
            <w:vAlign w:val="center"/>
            <w:hideMark/>
          </w:tcPr>
          <w:p w14:paraId="2860E423" w14:textId="77777777" w:rsidR="00116230" w:rsidRPr="00116230" w:rsidRDefault="00116230" w:rsidP="00116230">
            <w:pPr>
              <w:spacing w:line="360" w:lineRule="auto"/>
              <w:rPr>
                <w:rFonts w:ascii="Arial" w:hAnsi="Arial" w:cs="Arial"/>
              </w:rPr>
            </w:pPr>
            <w:r w:rsidRPr="00116230">
              <w:rPr>
                <w:rFonts w:ascii="Arial" w:hAnsi="Arial" w:cs="Arial"/>
              </w:rPr>
              <w:t>Reported turnover rise from £452.9m to £466.1m (City A.M., 2025; Grocery Gazette, 2025)</w:t>
            </w:r>
          </w:p>
        </w:tc>
      </w:tr>
    </w:tbl>
    <w:p w14:paraId="71B22867" w14:textId="77777777" w:rsidR="00A45B6C" w:rsidRDefault="00A45B6C" w:rsidP="00116230">
      <w:pPr>
        <w:spacing w:line="360" w:lineRule="auto"/>
        <w:rPr>
          <w:rFonts w:ascii="Arial" w:hAnsi="Arial" w:cs="Arial"/>
          <w:i/>
          <w:iCs/>
        </w:rPr>
      </w:pPr>
    </w:p>
    <w:p w14:paraId="4C0F18D9" w14:textId="1F072F66" w:rsidR="0087583E" w:rsidRDefault="0087583E" w:rsidP="00116230">
      <w:pPr>
        <w:spacing w:line="360" w:lineRule="auto"/>
        <w:rPr>
          <w:rFonts w:ascii="Arial" w:hAnsi="Arial" w:cs="Arial"/>
          <w:i/>
          <w:iCs/>
        </w:rPr>
      </w:pPr>
      <w:r w:rsidRPr="0087583E">
        <w:rPr>
          <w:rFonts w:ascii="Arial" w:hAnsi="Arial" w:cs="Arial"/>
          <w:i/>
          <w:iCs/>
        </w:rPr>
        <w:t>Sources: The Grocer (2021; 2024), City A.M. (2025) and Grocery Gazette (2025). 2021 is an estimated figure derived from the year-on-year change reported for 2022.</w:t>
      </w:r>
    </w:p>
    <w:p w14:paraId="74D7A15B" w14:textId="259E7C31" w:rsidR="00116230" w:rsidRPr="00116230" w:rsidRDefault="00116230" w:rsidP="00116230">
      <w:pPr>
        <w:spacing w:line="360" w:lineRule="auto"/>
        <w:rPr>
          <w:rFonts w:ascii="Arial" w:hAnsi="Arial" w:cs="Arial"/>
        </w:rPr>
      </w:pPr>
      <w:r w:rsidRPr="00116230">
        <w:rPr>
          <w:rFonts w:ascii="Arial" w:hAnsi="Arial" w:cs="Arial"/>
          <w:i/>
          <w:iCs/>
        </w:rPr>
        <w:t>Note: 2021 is an explicitly stated inference derived from published year-on-year change; all other figures are directly reported.</w:t>
      </w:r>
    </w:p>
    <w:p w14:paraId="0F5611A7" w14:textId="77777777" w:rsidR="00116230" w:rsidRPr="00642438" w:rsidRDefault="00116230" w:rsidP="00ED0A37">
      <w:pPr>
        <w:pStyle w:val="Heading2"/>
      </w:pPr>
      <w:bookmarkStart w:id="3" w:name="_Toc223254234"/>
      <w:r w:rsidRPr="00642438">
        <w:t>2.2 Competitive set and brief benchmarking</w:t>
      </w:r>
      <w:bookmarkEnd w:id="3"/>
    </w:p>
    <w:p w14:paraId="48052F6D" w14:textId="1B8073A5" w:rsidR="008A164B" w:rsidRDefault="00116230" w:rsidP="0069624C">
      <w:pPr>
        <w:spacing w:line="360" w:lineRule="auto"/>
        <w:jc w:val="both"/>
        <w:rPr>
          <w:rFonts w:ascii="Arial" w:hAnsi="Arial" w:cs="Arial"/>
        </w:rPr>
      </w:pPr>
      <w:r w:rsidRPr="0069624C">
        <w:rPr>
          <w:rFonts w:ascii="Arial" w:hAnsi="Arial" w:cs="Arial"/>
        </w:rPr>
        <w:t>Innocent competes in a crowded “better-for-you” drinks space. Key competitors include Naked (smoothies/juice), Tropicana (juice), and retailer own-label ranges, with increasing activity in functional shots and adjacent categories (The Grocer, 2025). Compared to Naked, Innocent’s differentiation leans more heavily on governance credibility (B Corp), humour-led brand personality, and sustainability storytelling; Naked tends to compete more directly on functional cues and scale economics. Compared to Tropicana, Innocent’s perceived authenticity and ethical identity are stronger differentiators, while Tropicana benefits from category heritage and broad juice distribution. The growth of own-label remains a structural competitive threat, particularly under consumer price pressure.</w:t>
      </w:r>
    </w:p>
    <w:p w14:paraId="256F84AA" w14:textId="77777777" w:rsidR="00FE4FB1" w:rsidRDefault="00FE4FB1" w:rsidP="0069624C">
      <w:pPr>
        <w:spacing w:line="360" w:lineRule="auto"/>
        <w:jc w:val="both"/>
        <w:rPr>
          <w:rFonts w:ascii="Arial" w:hAnsi="Arial" w:cs="Arial"/>
        </w:rPr>
      </w:pPr>
    </w:p>
    <w:p w14:paraId="58B8C00D" w14:textId="77777777" w:rsidR="00FE4FB1" w:rsidRDefault="00FE4FB1" w:rsidP="0069624C">
      <w:pPr>
        <w:spacing w:line="360" w:lineRule="auto"/>
        <w:jc w:val="both"/>
        <w:rPr>
          <w:rFonts w:ascii="Arial" w:hAnsi="Arial" w:cs="Arial"/>
        </w:rPr>
      </w:pPr>
    </w:p>
    <w:p w14:paraId="747BD53C" w14:textId="77777777" w:rsidR="00FE4FB1" w:rsidRDefault="00FE4FB1" w:rsidP="0069624C">
      <w:pPr>
        <w:spacing w:line="360" w:lineRule="auto"/>
        <w:jc w:val="both"/>
        <w:rPr>
          <w:rFonts w:ascii="Arial" w:hAnsi="Arial" w:cs="Arial"/>
        </w:rPr>
      </w:pPr>
    </w:p>
    <w:p w14:paraId="51E37A81" w14:textId="77777777" w:rsidR="00A45B6C" w:rsidRDefault="00A45B6C" w:rsidP="0069624C">
      <w:pPr>
        <w:spacing w:line="360" w:lineRule="auto"/>
        <w:jc w:val="both"/>
        <w:rPr>
          <w:rFonts w:ascii="Arial" w:hAnsi="Arial" w:cs="Arial"/>
        </w:rPr>
      </w:pPr>
    </w:p>
    <w:p w14:paraId="3A815D89" w14:textId="34A74222" w:rsidR="002B5A7D" w:rsidRPr="002B5A7D" w:rsidRDefault="002B5A7D" w:rsidP="002B5A7D">
      <w:pPr>
        <w:spacing w:line="360" w:lineRule="auto"/>
        <w:jc w:val="both"/>
        <w:rPr>
          <w:rFonts w:ascii="Arial" w:hAnsi="Arial" w:cs="Arial"/>
        </w:rPr>
      </w:pPr>
      <w:r w:rsidRPr="002B5A7D">
        <w:rPr>
          <w:rFonts w:ascii="Arial" w:hAnsi="Arial" w:cs="Arial"/>
          <w:b/>
          <w:bCs/>
        </w:rPr>
        <w:lastRenderedPageBreak/>
        <w:t>Table 2.</w:t>
      </w:r>
      <w:r w:rsidR="00FE6CFA">
        <w:rPr>
          <w:rFonts w:ascii="Arial" w:hAnsi="Arial" w:cs="Arial"/>
          <w:b/>
          <w:bCs/>
        </w:rPr>
        <w:t>2</w:t>
      </w:r>
      <w:r w:rsidRPr="002B5A7D">
        <w:rPr>
          <w:rFonts w:ascii="Arial" w:hAnsi="Arial" w:cs="Arial"/>
          <w:b/>
          <w:bCs/>
        </w:rPr>
        <w:t>: Competitive positioning comparison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8"/>
        <w:gridCol w:w="1752"/>
        <w:gridCol w:w="2428"/>
        <w:gridCol w:w="1801"/>
        <w:gridCol w:w="1107"/>
      </w:tblGrid>
      <w:tr w:rsidR="002B5A7D" w:rsidRPr="002B5A7D" w14:paraId="57E64981" w14:textId="77777777" w:rsidTr="005159C7">
        <w:trPr>
          <w:tblHeader/>
          <w:tblCellSpacing w:w="15" w:type="dxa"/>
        </w:trPr>
        <w:tc>
          <w:tcPr>
            <w:tcW w:w="0" w:type="auto"/>
            <w:shd w:val="clear" w:color="auto" w:fill="00B0F0"/>
            <w:vAlign w:val="center"/>
            <w:hideMark/>
          </w:tcPr>
          <w:p w14:paraId="0FEE18EE" w14:textId="77777777" w:rsidR="002B5A7D" w:rsidRPr="002B5A7D" w:rsidRDefault="002B5A7D" w:rsidP="002B5A7D">
            <w:pPr>
              <w:spacing w:line="360" w:lineRule="auto"/>
              <w:jc w:val="both"/>
              <w:rPr>
                <w:rFonts w:ascii="Arial" w:hAnsi="Arial" w:cs="Arial"/>
                <w:b/>
                <w:bCs/>
              </w:rPr>
            </w:pPr>
            <w:r w:rsidRPr="002B5A7D">
              <w:rPr>
                <w:rFonts w:ascii="Arial" w:hAnsi="Arial" w:cs="Arial"/>
                <w:b/>
                <w:bCs/>
              </w:rPr>
              <w:t>Factor</w:t>
            </w:r>
          </w:p>
        </w:tc>
        <w:tc>
          <w:tcPr>
            <w:tcW w:w="0" w:type="auto"/>
            <w:shd w:val="clear" w:color="auto" w:fill="00B0F0"/>
            <w:vAlign w:val="center"/>
            <w:hideMark/>
          </w:tcPr>
          <w:p w14:paraId="3C3F12DD" w14:textId="77777777" w:rsidR="002B5A7D" w:rsidRPr="002B5A7D" w:rsidRDefault="002B5A7D" w:rsidP="002B5A7D">
            <w:pPr>
              <w:spacing w:line="360" w:lineRule="auto"/>
              <w:jc w:val="both"/>
              <w:rPr>
                <w:rFonts w:ascii="Arial" w:hAnsi="Arial" w:cs="Arial"/>
                <w:b/>
                <w:bCs/>
              </w:rPr>
            </w:pPr>
            <w:r w:rsidRPr="002B5A7D">
              <w:rPr>
                <w:rFonts w:ascii="Arial" w:hAnsi="Arial" w:cs="Arial"/>
                <w:b/>
                <w:bCs/>
              </w:rPr>
              <w:t>Innocent</w:t>
            </w:r>
          </w:p>
        </w:tc>
        <w:tc>
          <w:tcPr>
            <w:tcW w:w="0" w:type="auto"/>
            <w:shd w:val="clear" w:color="auto" w:fill="00B0F0"/>
            <w:vAlign w:val="center"/>
            <w:hideMark/>
          </w:tcPr>
          <w:p w14:paraId="5AC38F29" w14:textId="77777777" w:rsidR="002B5A7D" w:rsidRPr="002B5A7D" w:rsidRDefault="002B5A7D" w:rsidP="002B5A7D">
            <w:pPr>
              <w:spacing w:line="360" w:lineRule="auto"/>
              <w:jc w:val="both"/>
              <w:rPr>
                <w:rFonts w:ascii="Arial" w:hAnsi="Arial" w:cs="Arial"/>
                <w:b/>
                <w:bCs/>
              </w:rPr>
            </w:pPr>
            <w:r w:rsidRPr="002B5A7D">
              <w:rPr>
                <w:rFonts w:ascii="Arial" w:hAnsi="Arial" w:cs="Arial"/>
                <w:b/>
                <w:bCs/>
              </w:rPr>
              <w:t>Naked</w:t>
            </w:r>
          </w:p>
        </w:tc>
        <w:tc>
          <w:tcPr>
            <w:tcW w:w="0" w:type="auto"/>
            <w:shd w:val="clear" w:color="auto" w:fill="00B0F0"/>
            <w:vAlign w:val="center"/>
            <w:hideMark/>
          </w:tcPr>
          <w:p w14:paraId="1B5800CC" w14:textId="77777777" w:rsidR="002B5A7D" w:rsidRPr="002B5A7D" w:rsidRDefault="002B5A7D" w:rsidP="002B5A7D">
            <w:pPr>
              <w:spacing w:line="360" w:lineRule="auto"/>
              <w:jc w:val="both"/>
              <w:rPr>
                <w:rFonts w:ascii="Arial" w:hAnsi="Arial" w:cs="Arial"/>
                <w:b/>
                <w:bCs/>
              </w:rPr>
            </w:pPr>
            <w:r w:rsidRPr="002B5A7D">
              <w:rPr>
                <w:rFonts w:ascii="Arial" w:hAnsi="Arial" w:cs="Arial"/>
                <w:b/>
                <w:bCs/>
              </w:rPr>
              <w:t>Tropicana</w:t>
            </w:r>
          </w:p>
        </w:tc>
        <w:tc>
          <w:tcPr>
            <w:tcW w:w="0" w:type="auto"/>
            <w:shd w:val="clear" w:color="auto" w:fill="00B0F0"/>
            <w:vAlign w:val="center"/>
            <w:hideMark/>
          </w:tcPr>
          <w:p w14:paraId="1A2350FA" w14:textId="77777777" w:rsidR="002B5A7D" w:rsidRPr="002B5A7D" w:rsidRDefault="002B5A7D" w:rsidP="002B5A7D">
            <w:pPr>
              <w:spacing w:line="360" w:lineRule="auto"/>
              <w:jc w:val="both"/>
              <w:rPr>
                <w:rFonts w:ascii="Arial" w:hAnsi="Arial" w:cs="Arial"/>
                <w:b/>
                <w:bCs/>
              </w:rPr>
            </w:pPr>
            <w:r w:rsidRPr="002B5A7D">
              <w:rPr>
                <w:rFonts w:ascii="Arial" w:hAnsi="Arial" w:cs="Arial"/>
                <w:b/>
                <w:bCs/>
              </w:rPr>
              <w:t>Own-label</w:t>
            </w:r>
          </w:p>
        </w:tc>
      </w:tr>
      <w:tr w:rsidR="002B5A7D" w:rsidRPr="002B5A7D" w14:paraId="439CD906" w14:textId="77777777" w:rsidTr="005159C7">
        <w:trPr>
          <w:tblCellSpacing w:w="15" w:type="dxa"/>
        </w:trPr>
        <w:tc>
          <w:tcPr>
            <w:tcW w:w="0" w:type="auto"/>
            <w:vAlign w:val="center"/>
            <w:hideMark/>
          </w:tcPr>
          <w:p w14:paraId="389ECD07" w14:textId="77777777" w:rsidR="002B5A7D" w:rsidRPr="002B5A7D" w:rsidRDefault="002B5A7D" w:rsidP="002B5A7D">
            <w:pPr>
              <w:spacing w:line="360" w:lineRule="auto"/>
              <w:jc w:val="both"/>
              <w:rPr>
                <w:rFonts w:ascii="Arial" w:hAnsi="Arial" w:cs="Arial"/>
              </w:rPr>
            </w:pPr>
            <w:r w:rsidRPr="002B5A7D">
              <w:rPr>
                <w:rFonts w:ascii="Arial" w:hAnsi="Arial" w:cs="Arial"/>
              </w:rPr>
              <w:t>Price positioning</w:t>
            </w:r>
          </w:p>
        </w:tc>
        <w:tc>
          <w:tcPr>
            <w:tcW w:w="0" w:type="auto"/>
            <w:vAlign w:val="center"/>
            <w:hideMark/>
          </w:tcPr>
          <w:p w14:paraId="3F2C665A" w14:textId="77777777" w:rsidR="002B5A7D" w:rsidRPr="002B5A7D" w:rsidRDefault="002B5A7D" w:rsidP="002B5A7D">
            <w:pPr>
              <w:spacing w:line="360" w:lineRule="auto"/>
              <w:jc w:val="both"/>
              <w:rPr>
                <w:rFonts w:ascii="Arial" w:hAnsi="Arial" w:cs="Arial"/>
              </w:rPr>
            </w:pPr>
            <w:r w:rsidRPr="002B5A7D">
              <w:rPr>
                <w:rFonts w:ascii="Arial" w:hAnsi="Arial" w:cs="Arial"/>
              </w:rPr>
              <w:t>Premium</w:t>
            </w:r>
          </w:p>
        </w:tc>
        <w:tc>
          <w:tcPr>
            <w:tcW w:w="0" w:type="auto"/>
            <w:vAlign w:val="center"/>
            <w:hideMark/>
          </w:tcPr>
          <w:p w14:paraId="255F5840" w14:textId="77777777" w:rsidR="002B5A7D" w:rsidRPr="002B5A7D" w:rsidRDefault="002B5A7D" w:rsidP="002B5A7D">
            <w:pPr>
              <w:spacing w:line="360" w:lineRule="auto"/>
              <w:jc w:val="both"/>
              <w:rPr>
                <w:rFonts w:ascii="Arial" w:hAnsi="Arial" w:cs="Arial"/>
              </w:rPr>
            </w:pPr>
            <w:r w:rsidRPr="002B5A7D">
              <w:rPr>
                <w:rFonts w:ascii="Arial" w:hAnsi="Arial" w:cs="Arial"/>
              </w:rPr>
              <w:t>Premium</w:t>
            </w:r>
          </w:p>
        </w:tc>
        <w:tc>
          <w:tcPr>
            <w:tcW w:w="0" w:type="auto"/>
            <w:vAlign w:val="center"/>
            <w:hideMark/>
          </w:tcPr>
          <w:p w14:paraId="55C942A6" w14:textId="77777777" w:rsidR="002B5A7D" w:rsidRPr="002B5A7D" w:rsidRDefault="002B5A7D" w:rsidP="002B5A7D">
            <w:pPr>
              <w:spacing w:line="360" w:lineRule="auto"/>
              <w:jc w:val="both"/>
              <w:rPr>
                <w:rFonts w:ascii="Arial" w:hAnsi="Arial" w:cs="Arial"/>
              </w:rPr>
            </w:pPr>
            <w:r w:rsidRPr="002B5A7D">
              <w:rPr>
                <w:rFonts w:ascii="Arial" w:hAnsi="Arial" w:cs="Arial"/>
              </w:rPr>
              <w:t>Mid-premium</w:t>
            </w:r>
          </w:p>
        </w:tc>
        <w:tc>
          <w:tcPr>
            <w:tcW w:w="0" w:type="auto"/>
            <w:vAlign w:val="center"/>
            <w:hideMark/>
          </w:tcPr>
          <w:p w14:paraId="250ECB60" w14:textId="77777777" w:rsidR="002B5A7D" w:rsidRPr="002B5A7D" w:rsidRDefault="002B5A7D" w:rsidP="002B5A7D">
            <w:pPr>
              <w:spacing w:line="360" w:lineRule="auto"/>
              <w:jc w:val="both"/>
              <w:rPr>
                <w:rFonts w:ascii="Arial" w:hAnsi="Arial" w:cs="Arial"/>
              </w:rPr>
            </w:pPr>
            <w:r w:rsidRPr="002B5A7D">
              <w:rPr>
                <w:rFonts w:ascii="Arial" w:hAnsi="Arial" w:cs="Arial"/>
              </w:rPr>
              <w:t>Low</w:t>
            </w:r>
          </w:p>
        </w:tc>
      </w:tr>
      <w:tr w:rsidR="002B5A7D" w:rsidRPr="002B5A7D" w14:paraId="58D06615" w14:textId="77777777" w:rsidTr="005159C7">
        <w:trPr>
          <w:tblCellSpacing w:w="15" w:type="dxa"/>
        </w:trPr>
        <w:tc>
          <w:tcPr>
            <w:tcW w:w="0" w:type="auto"/>
            <w:vAlign w:val="center"/>
            <w:hideMark/>
          </w:tcPr>
          <w:p w14:paraId="733E8907" w14:textId="77777777" w:rsidR="002B5A7D" w:rsidRPr="002B5A7D" w:rsidRDefault="002B5A7D" w:rsidP="002B5A7D">
            <w:pPr>
              <w:spacing w:line="360" w:lineRule="auto"/>
              <w:jc w:val="both"/>
              <w:rPr>
                <w:rFonts w:ascii="Arial" w:hAnsi="Arial" w:cs="Arial"/>
              </w:rPr>
            </w:pPr>
            <w:r w:rsidRPr="002B5A7D">
              <w:rPr>
                <w:rFonts w:ascii="Arial" w:hAnsi="Arial" w:cs="Arial"/>
              </w:rPr>
              <w:t>Sustainability credibility</w:t>
            </w:r>
          </w:p>
        </w:tc>
        <w:tc>
          <w:tcPr>
            <w:tcW w:w="0" w:type="auto"/>
            <w:vAlign w:val="center"/>
            <w:hideMark/>
          </w:tcPr>
          <w:p w14:paraId="411BC72E" w14:textId="77777777" w:rsidR="002B5A7D" w:rsidRPr="002B5A7D" w:rsidRDefault="002B5A7D" w:rsidP="002B5A7D">
            <w:pPr>
              <w:spacing w:line="360" w:lineRule="auto"/>
              <w:jc w:val="both"/>
              <w:rPr>
                <w:rFonts w:ascii="Arial" w:hAnsi="Arial" w:cs="Arial"/>
              </w:rPr>
            </w:pPr>
            <w:r w:rsidRPr="002B5A7D">
              <w:rPr>
                <w:rFonts w:ascii="Arial" w:hAnsi="Arial" w:cs="Arial"/>
              </w:rPr>
              <w:t>High (B Corp)</w:t>
            </w:r>
          </w:p>
        </w:tc>
        <w:tc>
          <w:tcPr>
            <w:tcW w:w="0" w:type="auto"/>
            <w:vAlign w:val="center"/>
            <w:hideMark/>
          </w:tcPr>
          <w:p w14:paraId="61B51071" w14:textId="77777777" w:rsidR="002B5A7D" w:rsidRPr="002B5A7D" w:rsidRDefault="002B5A7D" w:rsidP="002B5A7D">
            <w:pPr>
              <w:spacing w:line="360" w:lineRule="auto"/>
              <w:jc w:val="both"/>
              <w:rPr>
                <w:rFonts w:ascii="Arial" w:hAnsi="Arial" w:cs="Arial"/>
              </w:rPr>
            </w:pPr>
            <w:r w:rsidRPr="002B5A7D">
              <w:rPr>
                <w:rFonts w:ascii="Arial" w:hAnsi="Arial" w:cs="Arial"/>
              </w:rPr>
              <w:t>Medium</w:t>
            </w:r>
          </w:p>
        </w:tc>
        <w:tc>
          <w:tcPr>
            <w:tcW w:w="0" w:type="auto"/>
            <w:vAlign w:val="center"/>
            <w:hideMark/>
          </w:tcPr>
          <w:p w14:paraId="7A44ABFE" w14:textId="77777777" w:rsidR="002B5A7D" w:rsidRPr="002B5A7D" w:rsidRDefault="002B5A7D" w:rsidP="002B5A7D">
            <w:pPr>
              <w:spacing w:line="360" w:lineRule="auto"/>
              <w:jc w:val="both"/>
              <w:rPr>
                <w:rFonts w:ascii="Arial" w:hAnsi="Arial" w:cs="Arial"/>
              </w:rPr>
            </w:pPr>
            <w:r w:rsidRPr="002B5A7D">
              <w:rPr>
                <w:rFonts w:ascii="Arial" w:hAnsi="Arial" w:cs="Arial"/>
              </w:rPr>
              <w:t>Medium</w:t>
            </w:r>
          </w:p>
        </w:tc>
        <w:tc>
          <w:tcPr>
            <w:tcW w:w="0" w:type="auto"/>
            <w:vAlign w:val="center"/>
            <w:hideMark/>
          </w:tcPr>
          <w:p w14:paraId="37873386" w14:textId="77777777" w:rsidR="002B5A7D" w:rsidRPr="002B5A7D" w:rsidRDefault="002B5A7D" w:rsidP="002B5A7D">
            <w:pPr>
              <w:spacing w:line="360" w:lineRule="auto"/>
              <w:jc w:val="both"/>
              <w:rPr>
                <w:rFonts w:ascii="Arial" w:hAnsi="Arial" w:cs="Arial"/>
              </w:rPr>
            </w:pPr>
            <w:r w:rsidRPr="002B5A7D">
              <w:rPr>
                <w:rFonts w:ascii="Arial" w:hAnsi="Arial" w:cs="Arial"/>
              </w:rPr>
              <w:t>Low</w:t>
            </w:r>
          </w:p>
        </w:tc>
      </w:tr>
      <w:tr w:rsidR="002B5A7D" w:rsidRPr="002B5A7D" w14:paraId="3A836AB7" w14:textId="77777777" w:rsidTr="005159C7">
        <w:trPr>
          <w:tblCellSpacing w:w="15" w:type="dxa"/>
        </w:trPr>
        <w:tc>
          <w:tcPr>
            <w:tcW w:w="0" w:type="auto"/>
            <w:vAlign w:val="center"/>
            <w:hideMark/>
          </w:tcPr>
          <w:p w14:paraId="4DE91BA1" w14:textId="77777777" w:rsidR="002B5A7D" w:rsidRPr="002B5A7D" w:rsidRDefault="002B5A7D" w:rsidP="002B5A7D">
            <w:pPr>
              <w:spacing w:line="360" w:lineRule="auto"/>
              <w:jc w:val="both"/>
              <w:rPr>
                <w:rFonts w:ascii="Arial" w:hAnsi="Arial" w:cs="Arial"/>
              </w:rPr>
            </w:pPr>
            <w:r w:rsidRPr="002B5A7D">
              <w:rPr>
                <w:rFonts w:ascii="Arial" w:hAnsi="Arial" w:cs="Arial"/>
              </w:rPr>
              <w:t>Brand identity</w:t>
            </w:r>
          </w:p>
        </w:tc>
        <w:tc>
          <w:tcPr>
            <w:tcW w:w="0" w:type="auto"/>
            <w:vAlign w:val="center"/>
            <w:hideMark/>
          </w:tcPr>
          <w:p w14:paraId="02D5CDD4" w14:textId="77777777" w:rsidR="002B5A7D" w:rsidRPr="002B5A7D" w:rsidRDefault="002B5A7D" w:rsidP="002B5A7D">
            <w:pPr>
              <w:spacing w:line="360" w:lineRule="auto"/>
              <w:jc w:val="both"/>
              <w:rPr>
                <w:rFonts w:ascii="Arial" w:hAnsi="Arial" w:cs="Arial"/>
              </w:rPr>
            </w:pPr>
            <w:r w:rsidRPr="002B5A7D">
              <w:rPr>
                <w:rFonts w:ascii="Arial" w:hAnsi="Arial" w:cs="Arial"/>
              </w:rPr>
              <w:t>Ethical / humorous</w:t>
            </w:r>
          </w:p>
        </w:tc>
        <w:tc>
          <w:tcPr>
            <w:tcW w:w="0" w:type="auto"/>
            <w:vAlign w:val="center"/>
            <w:hideMark/>
          </w:tcPr>
          <w:p w14:paraId="5F45E56D" w14:textId="77777777" w:rsidR="002B5A7D" w:rsidRPr="002B5A7D" w:rsidRDefault="002B5A7D" w:rsidP="002B5A7D">
            <w:pPr>
              <w:spacing w:line="360" w:lineRule="auto"/>
              <w:jc w:val="both"/>
              <w:rPr>
                <w:rFonts w:ascii="Arial" w:hAnsi="Arial" w:cs="Arial"/>
              </w:rPr>
            </w:pPr>
            <w:r w:rsidRPr="002B5A7D">
              <w:rPr>
                <w:rFonts w:ascii="Arial" w:hAnsi="Arial" w:cs="Arial"/>
              </w:rPr>
              <w:t>Functional health</w:t>
            </w:r>
          </w:p>
        </w:tc>
        <w:tc>
          <w:tcPr>
            <w:tcW w:w="0" w:type="auto"/>
            <w:vAlign w:val="center"/>
            <w:hideMark/>
          </w:tcPr>
          <w:p w14:paraId="177F7546" w14:textId="77777777" w:rsidR="002B5A7D" w:rsidRPr="002B5A7D" w:rsidRDefault="002B5A7D" w:rsidP="002B5A7D">
            <w:pPr>
              <w:spacing w:line="360" w:lineRule="auto"/>
              <w:jc w:val="both"/>
              <w:rPr>
                <w:rFonts w:ascii="Arial" w:hAnsi="Arial" w:cs="Arial"/>
              </w:rPr>
            </w:pPr>
            <w:r w:rsidRPr="002B5A7D">
              <w:rPr>
                <w:rFonts w:ascii="Arial" w:hAnsi="Arial" w:cs="Arial"/>
              </w:rPr>
              <w:t>Traditional juice</w:t>
            </w:r>
          </w:p>
        </w:tc>
        <w:tc>
          <w:tcPr>
            <w:tcW w:w="0" w:type="auto"/>
            <w:vAlign w:val="center"/>
            <w:hideMark/>
          </w:tcPr>
          <w:p w14:paraId="0FC2AD6A" w14:textId="77777777" w:rsidR="002B5A7D" w:rsidRPr="002B5A7D" w:rsidRDefault="002B5A7D" w:rsidP="002B5A7D">
            <w:pPr>
              <w:spacing w:line="360" w:lineRule="auto"/>
              <w:jc w:val="both"/>
              <w:rPr>
                <w:rFonts w:ascii="Arial" w:hAnsi="Arial" w:cs="Arial"/>
              </w:rPr>
            </w:pPr>
            <w:r w:rsidRPr="002B5A7D">
              <w:rPr>
                <w:rFonts w:ascii="Arial" w:hAnsi="Arial" w:cs="Arial"/>
              </w:rPr>
              <w:t>Value</w:t>
            </w:r>
          </w:p>
        </w:tc>
      </w:tr>
      <w:tr w:rsidR="002B5A7D" w:rsidRPr="002B5A7D" w14:paraId="2C693FF1" w14:textId="77777777" w:rsidTr="005159C7">
        <w:trPr>
          <w:tblCellSpacing w:w="15" w:type="dxa"/>
        </w:trPr>
        <w:tc>
          <w:tcPr>
            <w:tcW w:w="0" w:type="auto"/>
            <w:vAlign w:val="center"/>
            <w:hideMark/>
          </w:tcPr>
          <w:p w14:paraId="5EA1B297" w14:textId="77777777" w:rsidR="002B5A7D" w:rsidRPr="002B5A7D" w:rsidRDefault="002B5A7D" w:rsidP="002B5A7D">
            <w:pPr>
              <w:spacing w:line="360" w:lineRule="auto"/>
              <w:jc w:val="both"/>
              <w:rPr>
                <w:rFonts w:ascii="Arial" w:hAnsi="Arial" w:cs="Arial"/>
              </w:rPr>
            </w:pPr>
            <w:r w:rsidRPr="002B5A7D">
              <w:rPr>
                <w:rFonts w:ascii="Arial" w:hAnsi="Arial" w:cs="Arial"/>
              </w:rPr>
              <w:t>Innovation focus</w:t>
            </w:r>
          </w:p>
        </w:tc>
        <w:tc>
          <w:tcPr>
            <w:tcW w:w="0" w:type="auto"/>
            <w:vAlign w:val="center"/>
            <w:hideMark/>
          </w:tcPr>
          <w:p w14:paraId="7C4D28F6" w14:textId="77777777" w:rsidR="002B5A7D" w:rsidRPr="002B5A7D" w:rsidRDefault="002B5A7D" w:rsidP="002B5A7D">
            <w:pPr>
              <w:spacing w:line="360" w:lineRule="auto"/>
              <w:jc w:val="both"/>
              <w:rPr>
                <w:rFonts w:ascii="Arial" w:hAnsi="Arial" w:cs="Arial"/>
              </w:rPr>
            </w:pPr>
            <w:r w:rsidRPr="002B5A7D">
              <w:rPr>
                <w:rFonts w:ascii="Arial" w:hAnsi="Arial" w:cs="Arial"/>
              </w:rPr>
              <w:t>Plant-based &amp; functional</w:t>
            </w:r>
          </w:p>
        </w:tc>
        <w:tc>
          <w:tcPr>
            <w:tcW w:w="0" w:type="auto"/>
            <w:vAlign w:val="center"/>
            <w:hideMark/>
          </w:tcPr>
          <w:p w14:paraId="37296AF7" w14:textId="77777777" w:rsidR="002B5A7D" w:rsidRPr="002B5A7D" w:rsidRDefault="002B5A7D" w:rsidP="002B5A7D">
            <w:pPr>
              <w:spacing w:line="360" w:lineRule="auto"/>
              <w:jc w:val="both"/>
              <w:rPr>
                <w:rFonts w:ascii="Arial" w:hAnsi="Arial" w:cs="Arial"/>
              </w:rPr>
            </w:pPr>
            <w:r w:rsidRPr="002B5A7D">
              <w:rPr>
                <w:rFonts w:ascii="Arial" w:hAnsi="Arial" w:cs="Arial"/>
              </w:rPr>
              <w:t>Functional smoothies</w:t>
            </w:r>
          </w:p>
        </w:tc>
        <w:tc>
          <w:tcPr>
            <w:tcW w:w="0" w:type="auto"/>
            <w:vAlign w:val="center"/>
            <w:hideMark/>
          </w:tcPr>
          <w:p w14:paraId="4AF95A79" w14:textId="77777777" w:rsidR="002B5A7D" w:rsidRPr="002B5A7D" w:rsidRDefault="002B5A7D" w:rsidP="002B5A7D">
            <w:pPr>
              <w:spacing w:line="360" w:lineRule="auto"/>
              <w:jc w:val="both"/>
              <w:rPr>
                <w:rFonts w:ascii="Arial" w:hAnsi="Arial" w:cs="Arial"/>
              </w:rPr>
            </w:pPr>
            <w:r w:rsidRPr="002B5A7D">
              <w:rPr>
                <w:rFonts w:ascii="Arial" w:hAnsi="Arial" w:cs="Arial"/>
              </w:rPr>
              <w:t>Core juice</w:t>
            </w:r>
          </w:p>
        </w:tc>
        <w:tc>
          <w:tcPr>
            <w:tcW w:w="0" w:type="auto"/>
            <w:vAlign w:val="center"/>
            <w:hideMark/>
          </w:tcPr>
          <w:p w14:paraId="5B10BE81" w14:textId="77777777" w:rsidR="002B5A7D" w:rsidRPr="002B5A7D" w:rsidRDefault="002B5A7D" w:rsidP="002B5A7D">
            <w:pPr>
              <w:spacing w:line="360" w:lineRule="auto"/>
              <w:jc w:val="both"/>
              <w:rPr>
                <w:rFonts w:ascii="Arial" w:hAnsi="Arial" w:cs="Arial"/>
              </w:rPr>
            </w:pPr>
            <w:r w:rsidRPr="002B5A7D">
              <w:rPr>
                <w:rFonts w:ascii="Arial" w:hAnsi="Arial" w:cs="Arial"/>
              </w:rPr>
              <w:t>Limited</w:t>
            </w:r>
          </w:p>
        </w:tc>
      </w:tr>
      <w:tr w:rsidR="002B5A7D" w:rsidRPr="002B5A7D" w14:paraId="6C9804FD" w14:textId="77777777" w:rsidTr="005159C7">
        <w:trPr>
          <w:tblCellSpacing w:w="15" w:type="dxa"/>
        </w:trPr>
        <w:tc>
          <w:tcPr>
            <w:tcW w:w="0" w:type="auto"/>
            <w:vAlign w:val="center"/>
            <w:hideMark/>
          </w:tcPr>
          <w:p w14:paraId="5CC6DBAA" w14:textId="77777777" w:rsidR="002B5A7D" w:rsidRPr="002B5A7D" w:rsidRDefault="002B5A7D" w:rsidP="002B5A7D">
            <w:pPr>
              <w:spacing w:line="360" w:lineRule="auto"/>
              <w:jc w:val="both"/>
              <w:rPr>
                <w:rFonts w:ascii="Arial" w:hAnsi="Arial" w:cs="Arial"/>
              </w:rPr>
            </w:pPr>
            <w:r w:rsidRPr="002B5A7D">
              <w:rPr>
                <w:rFonts w:ascii="Arial" w:hAnsi="Arial" w:cs="Arial"/>
              </w:rPr>
              <w:t>Competitive vulnerability</w:t>
            </w:r>
          </w:p>
        </w:tc>
        <w:tc>
          <w:tcPr>
            <w:tcW w:w="0" w:type="auto"/>
            <w:vAlign w:val="center"/>
            <w:hideMark/>
          </w:tcPr>
          <w:p w14:paraId="53E5DDCD" w14:textId="77777777" w:rsidR="002B5A7D" w:rsidRPr="002B5A7D" w:rsidRDefault="002B5A7D" w:rsidP="002B5A7D">
            <w:pPr>
              <w:spacing w:line="360" w:lineRule="auto"/>
              <w:jc w:val="both"/>
              <w:rPr>
                <w:rFonts w:ascii="Arial" w:hAnsi="Arial" w:cs="Arial"/>
              </w:rPr>
            </w:pPr>
            <w:r w:rsidRPr="002B5A7D">
              <w:rPr>
                <w:rFonts w:ascii="Arial" w:hAnsi="Arial" w:cs="Arial"/>
              </w:rPr>
              <w:t>Price sensitivity</w:t>
            </w:r>
          </w:p>
        </w:tc>
        <w:tc>
          <w:tcPr>
            <w:tcW w:w="0" w:type="auto"/>
            <w:vAlign w:val="center"/>
            <w:hideMark/>
          </w:tcPr>
          <w:p w14:paraId="347AE188" w14:textId="77777777" w:rsidR="002B5A7D" w:rsidRPr="002B5A7D" w:rsidRDefault="002B5A7D" w:rsidP="002B5A7D">
            <w:pPr>
              <w:spacing w:line="360" w:lineRule="auto"/>
              <w:jc w:val="both"/>
              <w:rPr>
                <w:rFonts w:ascii="Arial" w:hAnsi="Arial" w:cs="Arial"/>
              </w:rPr>
            </w:pPr>
            <w:r w:rsidRPr="002B5A7D">
              <w:rPr>
                <w:rFonts w:ascii="Arial" w:hAnsi="Arial" w:cs="Arial"/>
              </w:rPr>
              <w:t>Limited sustainability differentiation</w:t>
            </w:r>
          </w:p>
        </w:tc>
        <w:tc>
          <w:tcPr>
            <w:tcW w:w="0" w:type="auto"/>
            <w:vAlign w:val="center"/>
            <w:hideMark/>
          </w:tcPr>
          <w:p w14:paraId="692AF300" w14:textId="77777777" w:rsidR="002B5A7D" w:rsidRPr="002B5A7D" w:rsidRDefault="002B5A7D" w:rsidP="002B5A7D">
            <w:pPr>
              <w:spacing w:line="360" w:lineRule="auto"/>
              <w:jc w:val="both"/>
              <w:rPr>
                <w:rFonts w:ascii="Arial" w:hAnsi="Arial" w:cs="Arial"/>
              </w:rPr>
            </w:pPr>
            <w:r w:rsidRPr="002B5A7D">
              <w:rPr>
                <w:rFonts w:ascii="Arial" w:hAnsi="Arial" w:cs="Arial"/>
              </w:rPr>
              <w:t>Legacy brand perception</w:t>
            </w:r>
          </w:p>
        </w:tc>
        <w:tc>
          <w:tcPr>
            <w:tcW w:w="0" w:type="auto"/>
            <w:vAlign w:val="center"/>
            <w:hideMark/>
          </w:tcPr>
          <w:p w14:paraId="2FB9239D" w14:textId="77777777" w:rsidR="002B5A7D" w:rsidRPr="002B5A7D" w:rsidRDefault="002B5A7D" w:rsidP="002B5A7D">
            <w:pPr>
              <w:spacing w:line="360" w:lineRule="auto"/>
              <w:jc w:val="both"/>
              <w:rPr>
                <w:rFonts w:ascii="Arial" w:hAnsi="Arial" w:cs="Arial"/>
              </w:rPr>
            </w:pPr>
            <w:r w:rsidRPr="002B5A7D">
              <w:rPr>
                <w:rFonts w:ascii="Arial" w:hAnsi="Arial" w:cs="Arial"/>
              </w:rPr>
              <w:t>Low margins</w:t>
            </w:r>
          </w:p>
        </w:tc>
      </w:tr>
    </w:tbl>
    <w:p w14:paraId="1B8652E1" w14:textId="77777777" w:rsidR="002B5A7D" w:rsidRPr="0069624C" w:rsidRDefault="002B5A7D" w:rsidP="0069624C">
      <w:pPr>
        <w:spacing w:line="360" w:lineRule="auto"/>
        <w:jc w:val="both"/>
        <w:rPr>
          <w:rFonts w:ascii="Arial" w:hAnsi="Arial" w:cs="Arial"/>
        </w:rPr>
      </w:pPr>
    </w:p>
    <w:p w14:paraId="579FAFCD" w14:textId="77777777" w:rsidR="00116230" w:rsidRPr="00642438" w:rsidRDefault="00116230" w:rsidP="00ED0A37">
      <w:pPr>
        <w:pStyle w:val="Heading2"/>
      </w:pPr>
      <w:bookmarkStart w:id="4" w:name="_Toc223254235"/>
      <w:r w:rsidRPr="00642438">
        <w:t>2.3 Levels of strategy: corporate, business and functional</w:t>
      </w:r>
      <w:bookmarkEnd w:id="4"/>
    </w:p>
    <w:p w14:paraId="24281D85" w14:textId="77777777" w:rsidR="00116230" w:rsidRPr="00116230" w:rsidRDefault="00116230" w:rsidP="00EC6CE0">
      <w:pPr>
        <w:numPr>
          <w:ilvl w:val="0"/>
          <w:numId w:val="1"/>
        </w:numPr>
        <w:spacing w:line="360" w:lineRule="auto"/>
        <w:jc w:val="both"/>
        <w:rPr>
          <w:rFonts w:ascii="Arial" w:hAnsi="Arial" w:cs="Arial"/>
        </w:rPr>
      </w:pPr>
      <w:r w:rsidRPr="00116230">
        <w:rPr>
          <w:rFonts w:ascii="Arial" w:hAnsi="Arial" w:cs="Arial"/>
        </w:rPr>
        <w:t>Corporate level strategy: purpose, scope (UK/Europe), governance commitments (B Corp), capital allocation to innovation, packaging and factories.</w:t>
      </w:r>
    </w:p>
    <w:p w14:paraId="32014D2F" w14:textId="77777777" w:rsidR="00116230" w:rsidRPr="00116230" w:rsidRDefault="00116230" w:rsidP="00EC6CE0">
      <w:pPr>
        <w:numPr>
          <w:ilvl w:val="0"/>
          <w:numId w:val="1"/>
        </w:numPr>
        <w:spacing w:line="360" w:lineRule="auto"/>
        <w:jc w:val="both"/>
        <w:rPr>
          <w:rFonts w:ascii="Arial" w:hAnsi="Arial" w:cs="Arial"/>
        </w:rPr>
      </w:pPr>
      <w:r w:rsidRPr="00116230">
        <w:rPr>
          <w:rFonts w:ascii="Arial" w:hAnsi="Arial" w:cs="Arial"/>
        </w:rPr>
        <w:t>Business level strategy: how Innocent competes in the chilled healthy drinks category (differentiation vs price).</w:t>
      </w:r>
    </w:p>
    <w:p w14:paraId="76FAE40E" w14:textId="77777777" w:rsidR="00116230" w:rsidRPr="00116230" w:rsidRDefault="00116230" w:rsidP="00331EB2">
      <w:pPr>
        <w:numPr>
          <w:ilvl w:val="0"/>
          <w:numId w:val="1"/>
        </w:numPr>
        <w:spacing w:line="360" w:lineRule="auto"/>
        <w:jc w:val="both"/>
        <w:rPr>
          <w:rFonts w:ascii="Arial" w:hAnsi="Arial" w:cs="Arial"/>
        </w:rPr>
      </w:pPr>
      <w:r w:rsidRPr="00116230">
        <w:rPr>
          <w:rFonts w:ascii="Arial" w:hAnsi="Arial" w:cs="Arial"/>
        </w:rPr>
        <w:t>Functional level strategy: marketing (brand trust), operations (cold chain), procurement (ethical sourcing), sustainability (carbon and packaging), finance (investment discipline), HR (purpose-led culture).</w:t>
      </w:r>
      <w:r w:rsidRPr="00116230">
        <w:rPr>
          <w:rFonts w:ascii="Arial" w:hAnsi="Arial" w:cs="Arial"/>
        </w:rPr>
        <w:br/>
        <w:t>This report aligns recommendations across all three levels to avoid strategic drift (Johnson, Whittington and Scholes, 2020).</w:t>
      </w:r>
    </w:p>
    <w:p w14:paraId="76A650B1" w14:textId="3AC2B296" w:rsidR="00452AF7" w:rsidRPr="00725174" w:rsidRDefault="00EE645C" w:rsidP="0013301A">
      <w:pPr>
        <w:pStyle w:val="Heading2"/>
      </w:pPr>
      <w:bookmarkStart w:id="5" w:name="_Toc223254236"/>
      <w:r>
        <w:t xml:space="preserve">2.4 </w:t>
      </w:r>
      <w:r w:rsidR="00452AF7" w:rsidRPr="00725174">
        <w:t>Operational performance objectives and 4V analysis (strategy–operations fit)</w:t>
      </w:r>
      <w:bookmarkEnd w:id="5"/>
    </w:p>
    <w:p w14:paraId="599AA24B" w14:textId="0118EBFE" w:rsidR="00615556" w:rsidRPr="00C12711" w:rsidRDefault="00452AF7" w:rsidP="00C12711">
      <w:pPr>
        <w:spacing w:line="360" w:lineRule="auto"/>
        <w:jc w:val="both"/>
        <w:rPr>
          <w:rFonts w:ascii="Arial" w:hAnsi="Arial" w:cs="Arial"/>
        </w:rPr>
      </w:pPr>
      <w:r w:rsidRPr="00C12711">
        <w:rPr>
          <w:rFonts w:ascii="Arial" w:hAnsi="Arial" w:cs="Arial"/>
        </w:rPr>
        <w:t>Operations should reinforce strategic intent (Slack, Brandon-Jones and Burgess, 2019). Innocent’s operating model points to differentiation: it excels where quality, dependability and brand-facing visibility matter.</w:t>
      </w:r>
    </w:p>
    <w:p w14:paraId="0B651918" w14:textId="77777777" w:rsidR="00A45B6C" w:rsidRDefault="00A45B6C" w:rsidP="00A45B6C">
      <w:pPr>
        <w:spacing w:line="360" w:lineRule="auto"/>
        <w:rPr>
          <w:rFonts w:ascii="Arial" w:hAnsi="Arial" w:cs="Arial"/>
          <w:b/>
          <w:bCs/>
        </w:rPr>
      </w:pPr>
    </w:p>
    <w:p w14:paraId="77696B97" w14:textId="19953027" w:rsidR="00452AF7" w:rsidRPr="00A45B6C" w:rsidRDefault="00452AF7" w:rsidP="00A45B6C">
      <w:pPr>
        <w:spacing w:line="360" w:lineRule="auto"/>
        <w:rPr>
          <w:rFonts w:ascii="Arial" w:hAnsi="Arial" w:cs="Arial"/>
          <w:b/>
          <w:bCs/>
        </w:rPr>
      </w:pPr>
      <w:r w:rsidRPr="00A45B6C">
        <w:rPr>
          <w:rFonts w:ascii="Arial" w:hAnsi="Arial" w:cs="Arial"/>
          <w:b/>
          <w:bCs/>
        </w:rPr>
        <w:lastRenderedPageBreak/>
        <w:t xml:space="preserve">Table </w:t>
      </w:r>
      <w:r w:rsidR="001A089B" w:rsidRPr="00A45B6C">
        <w:rPr>
          <w:rFonts w:ascii="Arial" w:hAnsi="Arial" w:cs="Arial"/>
          <w:b/>
          <w:bCs/>
        </w:rPr>
        <w:t>2</w:t>
      </w:r>
      <w:r w:rsidRPr="00A45B6C">
        <w:rPr>
          <w:rFonts w:ascii="Arial" w:hAnsi="Arial" w:cs="Arial"/>
          <w:b/>
          <w:bCs/>
        </w:rPr>
        <w:t>.</w:t>
      </w:r>
      <w:r w:rsidR="00806BB5" w:rsidRPr="00A45B6C">
        <w:rPr>
          <w:rFonts w:ascii="Arial" w:hAnsi="Arial" w:cs="Arial"/>
          <w:b/>
          <w:bCs/>
        </w:rPr>
        <w:t>3</w:t>
      </w:r>
      <w:r w:rsidRPr="00A45B6C">
        <w:rPr>
          <w:rFonts w:ascii="Arial" w:hAnsi="Arial" w:cs="Arial"/>
          <w:b/>
          <w:bCs/>
        </w:rPr>
        <w:t xml:space="preserve">: Operational performance objectives – Innocent assessment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9"/>
        <w:gridCol w:w="1696"/>
        <w:gridCol w:w="5891"/>
      </w:tblGrid>
      <w:tr w:rsidR="00452AF7" w:rsidRPr="00116230" w14:paraId="3CB4C0DA" w14:textId="77777777" w:rsidTr="00A2490B">
        <w:trPr>
          <w:tblHeader/>
          <w:tblCellSpacing w:w="15" w:type="dxa"/>
        </w:trPr>
        <w:tc>
          <w:tcPr>
            <w:tcW w:w="0" w:type="auto"/>
            <w:shd w:val="clear" w:color="auto" w:fill="00B0F0"/>
            <w:vAlign w:val="center"/>
            <w:hideMark/>
          </w:tcPr>
          <w:p w14:paraId="22517EF0" w14:textId="77777777" w:rsidR="00452AF7" w:rsidRPr="00695F1C" w:rsidRDefault="00452AF7" w:rsidP="00A2490B">
            <w:pPr>
              <w:spacing w:line="360" w:lineRule="auto"/>
              <w:rPr>
                <w:rFonts w:ascii="Arial" w:hAnsi="Arial" w:cs="Arial"/>
                <w:b/>
                <w:bCs/>
              </w:rPr>
            </w:pPr>
            <w:r w:rsidRPr="00695F1C">
              <w:rPr>
                <w:rFonts w:ascii="Arial" w:hAnsi="Arial" w:cs="Arial"/>
                <w:b/>
                <w:bCs/>
              </w:rPr>
              <w:t>Objective</w:t>
            </w:r>
          </w:p>
        </w:tc>
        <w:tc>
          <w:tcPr>
            <w:tcW w:w="0" w:type="auto"/>
            <w:shd w:val="clear" w:color="auto" w:fill="00B0F0"/>
            <w:vAlign w:val="center"/>
            <w:hideMark/>
          </w:tcPr>
          <w:p w14:paraId="2B7F7310" w14:textId="77777777" w:rsidR="00452AF7" w:rsidRPr="00695F1C" w:rsidRDefault="00452AF7" w:rsidP="00A2490B">
            <w:pPr>
              <w:spacing w:line="360" w:lineRule="auto"/>
              <w:rPr>
                <w:rFonts w:ascii="Arial" w:hAnsi="Arial" w:cs="Arial"/>
                <w:b/>
                <w:bCs/>
              </w:rPr>
            </w:pPr>
            <w:r w:rsidRPr="00695F1C">
              <w:rPr>
                <w:rFonts w:ascii="Arial" w:hAnsi="Arial" w:cs="Arial"/>
                <w:b/>
                <w:bCs/>
              </w:rPr>
              <w:t>Priority for Innocent</w:t>
            </w:r>
          </w:p>
        </w:tc>
        <w:tc>
          <w:tcPr>
            <w:tcW w:w="0" w:type="auto"/>
            <w:shd w:val="clear" w:color="auto" w:fill="00B0F0"/>
            <w:vAlign w:val="center"/>
            <w:hideMark/>
          </w:tcPr>
          <w:p w14:paraId="536DF74A" w14:textId="77777777" w:rsidR="00452AF7" w:rsidRPr="00695F1C" w:rsidRDefault="00452AF7" w:rsidP="00A2490B">
            <w:pPr>
              <w:spacing w:line="360" w:lineRule="auto"/>
              <w:rPr>
                <w:rFonts w:ascii="Arial" w:hAnsi="Arial" w:cs="Arial"/>
                <w:b/>
                <w:bCs/>
              </w:rPr>
            </w:pPr>
            <w:r w:rsidRPr="00695F1C">
              <w:rPr>
                <w:rFonts w:ascii="Arial" w:hAnsi="Arial" w:cs="Arial"/>
                <w:b/>
                <w:bCs/>
              </w:rPr>
              <w:t>Why it matters strategically</w:t>
            </w:r>
          </w:p>
        </w:tc>
      </w:tr>
      <w:tr w:rsidR="00452AF7" w:rsidRPr="00116230" w14:paraId="59BC0DA9" w14:textId="77777777" w:rsidTr="00A2490B">
        <w:trPr>
          <w:tblCellSpacing w:w="15" w:type="dxa"/>
        </w:trPr>
        <w:tc>
          <w:tcPr>
            <w:tcW w:w="0" w:type="auto"/>
            <w:shd w:val="clear" w:color="auto" w:fill="C1E4F5" w:themeFill="accent1" w:themeFillTint="33"/>
            <w:vAlign w:val="center"/>
            <w:hideMark/>
          </w:tcPr>
          <w:p w14:paraId="7D574568" w14:textId="77777777" w:rsidR="00452AF7" w:rsidRPr="00116230" w:rsidRDefault="00452AF7" w:rsidP="00A2490B">
            <w:pPr>
              <w:spacing w:line="360" w:lineRule="auto"/>
              <w:rPr>
                <w:rFonts w:ascii="Arial" w:hAnsi="Arial" w:cs="Arial"/>
              </w:rPr>
            </w:pPr>
            <w:r w:rsidRPr="00116230">
              <w:rPr>
                <w:rFonts w:ascii="Arial" w:hAnsi="Arial" w:cs="Arial"/>
              </w:rPr>
              <w:t>Quality</w:t>
            </w:r>
          </w:p>
        </w:tc>
        <w:tc>
          <w:tcPr>
            <w:tcW w:w="0" w:type="auto"/>
            <w:shd w:val="clear" w:color="auto" w:fill="DAE9F7" w:themeFill="text2" w:themeFillTint="1A"/>
            <w:vAlign w:val="center"/>
            <w:hideMark/>
          </w:tcPr>
          <w:p w14:paraId="180E9B4C" w14:textId="77777777" w:rsidR="00452AF7" w:rsidRPr="00116230" w:rsidRDefault="00452AF7" w:rsidP="00A2490B">
            <w:pPr>
              <w:spacing w:line="360" w:lineRule="auto"/>
              <w:rPr>
                <w:rFonts w:ascii="Arial" w:hAnsi="Arial" w:cs="Arial"/>
              </w:rPr>
            </w:pPr>
            <w:r w:rsidRPr="00116230">
              <w:rPr>
                <w:rFonts w:ascii="Arial" w:hAnsi="Arial" w:cs="Arial"/>
              </w:rPr>
              <w:t>High</w:t>
            </w:r>
          </w:p>
        </w:tc>
        <w:tc>
          <w:tcPr>
            <w:tcW w:w="0" w:type="auto"/>
            <w:vAlign w:val="center"/>
            <w:hideMark/>
          </w:tcPr>
          <w:p w14:paraId="03687779" w14:textId="77777777" w:rsidR="00452AF7" w:rsidRPr="00116230" w:rsidRDefault="00452AF7" w:rsidP="00A2490B">
            <w:pPr>
              <w:spacing w:line="360" w:lineRule="auto"/>
              <w:rPr>
                <w:rFonts w:ascii="Arial" w:hAnsi="Arial" w:cs="Arial"/>
              </w:rPr>
            </w:pPr>
            <w:r w:rsidRPr="00116230">
              <w:rPr>
                <w:rFonts w:ascii="Arial" w:hAnsi="Arial" w:cs="Arial"/>
              </w:rPr>
              <w:t>Taste, safety and ingredient trust underpin brand equity</w:t>
            </w:r>
          </w:p>
        </w:tc>
      </w:tr>
      <w:tr w:rsidR="00452AF7" w:rsidRPr="00116230" w14:paraId="459B41AB" w14:textId="77777777" w:rsidTr="00A2490B">
        <w:trPr>
          <w:tblCellSpacing w:w="15" w:type="dxa"/>
        </w:trPr>
        <w:tc>
          <w:tcPr>
            <w:tcW w:w="0" w:type="auto"/>
            <w:shd w:val="clear" w:color="auto" w:fill="C1E4F5" w:themeFill="accent1" w:themeFillTint="33"/>
            <w:vAlign w:val="center"/>
            <w:hideMark/>
          </w:tcPr>
          <w:p w14:paraId="1E64E8C9" w14:textId="77777777" w:rsidR="00452AF7" w:rsidRPr="00116230" w:rsidRDefault="00452AF7" w:rsidP="00A2490B">
            <w:pPr>
              <w:spacing w:line="360" w:lineRule="auto"/>
              <w:rPr>
                <w:rFonts w:ascii="Arial" w:hAnsi="Arial" w:cs="Arial"/>
              </w:rPr>
            </w:pPr>
            <w:r w:rsidRPr="00116230">
              <w:rPr>
                <w:rFonts w:ascii="Arial" w:hAnsi="Arial" w:cs="Arial"/>
              </w:rPr>
              <w:t>Dependability</w:t>
            </w:r>
          </w:p>
        </w:tc>
        <w:tc>
          <w:tcPr>
            <w:tcW w:w="0" w:type="auto"/>
            <w:shd w:val="clear" w:color="auto" w:fill="DAE9F7" w:themeFill="text2" w:themeFillTint="1A"/>
            <w:vAlign w:val="center"/>
            <w:hideMark/>
          </w:tcPr>
          <w:p w14:paraId="20431913" w14:textId="77777777" w:rsidR="00452AF7" w:rsidRPr="00116230" w:rsidRDefault="00452AF7" w:rsidP="00A2490B">
            <w:pPr>
              <w:spacing w:line="360" w:lineRule="auto"/>
              <w:rPr>
                <w:rFonts w:ascii="Arial" w:hAnsi="Arial" w:cs="Arial"/>
              </w:rPr>
            </w:pPr>
            <w:r w:rsidRPr="00116230">
              <w:rPr>
                <w:rFonts w:ascii="Arial" w:hAnsi="Arial" w:cs="Arial"/>
              </w:rPr>
              <w:t>High</w:t>
            </w:r>
          </w:p>
        </w:tc>
        <w:tc>
          <w:tcPr>
            <w:tcW w:w="0" w:type="auto"/>
            <w:vAlign w:val="center"/>
            <w:hideMark/>
          </w:tcPr>
          <w:p w14:paraId="4925AE44" w14:textId="77777777" w:rsidR="00452AF7" w:rsidRPr="00116230" w:rsidRDefault="00452AF7" w:rsidP="00A2490B">
            <w:pPr>
              <w:spacing w:line="360" w:lineRule="auto"/>
              <w:rPr>
                <w:rFonts w:ascii="Arial" w:hAnsi="Arial" w:cs="Arial"/>
              </w:rPr>
            </w:pPr>
            <w:r w:rsidRPr="00116230">
              <w:rPr>
                <w:rFonts w:ascii="Arial" w:hAnsi="Arial" w:cs="Arial"/>
              </w:rPr>
              <w:t>Retailer confidence and shelf availability drive repeat purchase</w:t>
            </w:r>
          </w:p>
        </w:tc>
      </w:tr>
      <w:tr w:rsidR="00452AF7" w:rsidRPr="00116230" w14:paraId="2D588BCA" w14:textId="77777777" w:rsidTr="00A2490B">
        <w:trPr>
          <w:tblCellSpacing w:w="15" w:type="dxa"/>
        </w:trPr>
        <w:tc>
          <w:tcPr>
            <w:tcW w:w="0" w:type="auto"/>
            <w:shd w:val="clear" w:color="auto" w:fill="C1E4F5" w:themeFill="accent1" w:themeFillTint="33"/>
            <w:vAlign w:val="center"/>
            <w:hideMark/>
          </w:tcPr>
          <w:p w14:paraId="7033043A" w14:textId="77777777" w:rsidR="00452AF7" w:rsidRPr="00116230" w:rsidRDefault="00452AF7" w:rsidP="00A2490B">
            <w:pPr>
              <w:spacing w:line="360" w:lineRule="auto"/>
              <w:rPr>
                <w:rFonts w:ascii="Arial" w:hAnsi="Arial" w:cs="Arial"/>
              </w:rPr>
            </w:pPr>
            <w:r w:rsidRPr="00116230">
              <w:rPr>
                <w:rFonts w:ascii="Arial" w:hAnsi="Arial" w:cs="Arial"/>
              </w:rPr>
              <w:t>Speed</w:t>
            </w:r>
          </w:p>
        </w:tc>
        <w:tc>
          <w:tcPr>
            <w:tcW w:w="0" w:type="auto"/>
            <w:shd w:val="clear" w:color="auto" w:fill="DAE9F7" w:themeFill="text2" w:themeFillTint="1A"/>
            <w:vAlign w:val="center"/>
            <w:hideMark/>
          </w:tcPr>
          <w:p w14:paraId="70360D5E" w14:textId="77777777" w:rsidR="00452AF7" w:rsidRPr="00116230" w:rsidRDefault="00452AF7" w:rsidP="00A2490B">
            <w:pPr>
              <w:spacing w:line="360" w:lineRule="auto"/>
              <w:rPr>
                <w:rFonts w:ascii="Arial" w:hAnsi="Arial" w:cs="Arial"/>
              </w:rPr>
            </w:pPr>
            <w:r w:rsidRPr="00116230">
              <w:rPr>
                <w:rFonts w:ascii="Arial" w:hAnsi="Arial" w:cs="Arial"/>
              </w:rPr>
              <w:t>Medium</w:t>
            </w:r>
          </w:p>
        </w:tc>
        <w:tc>
          <w:tcPr>
            <w:tcW w:w="0" w:type="auto"/>
            <w:vAlign w:val="center"/>
            <w:hideMark/>
          </w:tcPr>
          <w:p w14:paraId="64ABC95B" w14:textId="77777777" w:rsidR="00452AF7" w:rsidRPr="00116230" w:rsidRDefault="00452AF7" w:rsidP="00A2490B">
            <w:pPr>
              <w:spacing w:line="360" w:lineRule="auto"/>
              <w:rPr>
                <w:rFonts w:ascii="Arial" w:hAnsi="Arial" w:cs="Arial"/>
              </w:rPr>
            </w:pPr>
            <w:r w:rsidRPr="00116230">
              <w:rPr>
                <w:rFonts w:ascii="Arial" w:hAnsi="Arial" w:cs="Arial"/>
              </w:rPr>
              <w:t>Must balance fast innovation with testing, compliance and sustainability verification</w:t>
            </w:r>
          </w:p>
        </w:tc>
      </w:tr>
      <w:tr w:rsidR="00452AF7" w:rsidRPr="00116230" w14:paraId="6C88F22D" w14:textId="77777777" w:rsidTr="00A2490B">
        <w:trPr>
          <w:tblCellSpacing w:w="15" w:type="dxa"/>
        </w:trPr>
        <w:tc>
          <w:tcPr>
            <w:tcW w:w="0" w:type="auto"/>
            <w:shd w:val="clear" w:color="auto" w:fill="C1E4F5" w:themeFill="accent1" w:themeFillTint="33"/>
            <w:vAlign w:val="center"/>
            <w:hideMark/>
          </w:tcPr>
          <w:p w14:paraId="38F79528" w14:textId="77777777" w:rsidR="00452AF7" w:rsidRPr="00116230" w:rsidRDefault="00452AF7" w:rsidP="00A2490B">
            <w:pPr>
              <w:spacing w:line="360" w:lineRule="auto"/>
              <w:rPr>
                <w:rFonts w:ascii="Arial" w:hAnsi="Arial" w:cs="Arial"/>
              </w:rPr>
            </w:pPr>
            <w:r w:rsidRPr="00116230">
              <w:rPr>
                <w:rFonts w:ascii="Arial" w:hAnsi="Arial" w:cs="Arial"/>
              </w:rPr>
              <w:t>Flexibility</w:t>
            </w:r>
          </w:p>
        </w:tc>
        <w:tc>
          <w:tcPr>
            <w:tcW w:w="0" w:type="auto"/>
            <w:shd w:val="clear" w:color="auto" w:fill="DAE9F7" w:themeFill="text2" w:themeFillTint="1A"/>
            <w:vAlign w:val="center"/>
            <w:hideMark/>
          </w:tcPr>
          <w:p w14:paraId="0D21F208" w14:textId="77777777" w:rsidR="00452AF7" w:rsidRPr="00116230" w:rsidRDefault="00452AF7" w:rsidP="00A2490B">
            <w:pPr>
              <w:spacing w:line="360" w:lineRule="auto"/>
              <w:rPr>
                <w:rFonts w:ascii="Arial" w:hAnsi="Arial" w:cs="Arial"/>
              </w:rPr>
            </w:pPr>
            <w:r w:rsidRPr="00116230">
              <w:rPr>
                <w:rFonts w:ascii="Arial" w:hAnsi="Arial" w:cs="Arial"/>
              </w:rPr>
              <w:t>Medium–High</w:t>
            </w:r>
          </w:p>
        </w:tc>
        <w:tc>
          <w:tcPr>
            <w:tcW w:w="0" w:type="auto"/>
            <w:vAlign w:val="center"/>
            <w:hideMark/>
          </w:tcPr>
          <w:p w14:paraId="6A4ECFDB" w14:textId="77777777" w:rsidR="00452AF7" w:rsidRPr="00116230" w:rsidRDefault="00452AF7" w:rsidP="00A2490B">
            <w:pPr>
              <w:spacing w:line="360" w:lineRule="auto"/>
              <w:rPr>
                <w:rFonts w:ascii="Arial" w:hAnsi="Arial" w:cs="Arial"/>
              </w:rPr>
            </w:pPr>
            <w:r w:rsidRPr="00116230">
              <w:rPr>
                <w:rFonts w:ascii="Arial" w:hAnsi="Arial" w:cs="Arial"/>
              </w:rPr>
              <w:t>Needs to adapt to seasonal demand and manage innovation; constrained by ethical sourcing standards</w:t>
            </w:r>
          </w:p>
        </w:tc>
      </w:tr>
      <w:tr w:rsidR="00452AF7" w:rsidRPr="00116230" w14:paraId="0FB7D72C" w14:textId="77777777" w:rsidTr="00A2490B">
        <w:trPr>
          <w:tblCellSpacing w:w="15" w:type="dxa"/>
        </w:trPr>
        <w:tc>
          <w:tcPr>
            <w:tcW w:w="0" w:type="auto"/>
            <w:shd w:val="clear" w:color="auto" w:fill="C1E4F5" w:themeFill="accent1" w:themeFillTint="33"/>
            <w:vAlign w:val="center"/>
            <w:hideMark/>
          </w:tcPr>
          <w:p w14:paraId="5CBF9E95" w14:textId="77777777" w:rsidR="00452AF7" w:rsidRPr="00116230" w:rsidRDefault="00452AF7" w:rsidP="00A2490B">
            <w:pPr>
              <w:spacing w:line="360" w:lineRule="auto"/>
              <w:rPr>
                <w:rFonts w:ascii="Arial" w:hAnsi="Arial" w:cs="Arial"/>
              </w:rPr>
            </w:pPr>
            <w:r w:rsidRPr="00116230">
              <w:rPr>
                <w:rFonts w:ascii="Arial" w:hAnsi="Arial" w:cs="Arial"/>
              </w:rPr>
              <w:t>Cost</w:t>
            </w:r>
          </w:p>
        </w:tc>
        <w:tc>
          <w:tcPr>
            <w:tcW w:w="0" w:type="auto"/>
            <w:shd w:val="clear" w:color="auto" w:fill="DAE9F7" w:themeFill="text2" w:themeFillTint="1A"/>
            <w:vAlign w:val="center"/>
            <w:hideMark/>
          </w:tcPr>
          <w:p w14:paraId="3E33AC3F" w14:textId="77777777" w:rsidR="00452AF7" w:rsidRPr="00116230" w:rsidRDefault="00452AF7" w:rsidP="00A2490B">
            <w:pPr>
              <w:spacing w:line="360" w:lineRule="auto"/>
              <w:rPr>
                <w:rFonts w:ascii="Arial" w:hAnsi="Arial" w:cs="Arial"/>
              </w:rPr>
            </w:pPr>
            <w:r w:rsidRPr="00116230">
              <w:rPr>
                <w:rFonts w:ascii="Arial" w:hAnsi="Arial" w:cs="Arial"/>
              </w:rPr>
              <w:t>Medium (constraint)</w:t>
            </w:r>
          </w:p>
        </w:tc>
        <w:tc>
          <w:tcPr>
            <w:tcW w:w="0" w:type="auto"/>
            <w:vAlign w:val="center"/>
            <w:hideMark/>
          </w:tcPr>
          <w:p w14:paraId="5F63B8DD" w14:textId="77777777" w:rsidR="00452AF7" w:rsidRPr="00116230" w:rsidRDefault="00452AF7" w:rsidP="00A2490B">
            <w:pPr>
              <w:spacing w:line="360" w:lineRule="auto"/>
              <w:rPr>
                <w:rFonts w:ascii="Arial" w:hAnsi="Arial" w:cs="Arial"/>
              </w:rPr>
            </w:pPr>
            <w:r w:rsidRPr="00116230">
              <w:rPr>
                <w:rFonts w:ascii="Arial" w:hAnsi="Arial" w:cs="Arial"/>
              </w:rPr>
              <w:t>Cost must be improved through waste reduction and efficiency rather than “race to the bottom” pricing</w:t>
            </w:r>
          </w:p>
        </w:tc>
      </w:tr>
    </w:tbl>
    <w:p w14:paraId="1AC66125" w14:textId="77777777" w:rsidR="00452AF7" w:rsidRPr="00452AF7" w:rsidRDefault="00452AF7" w:rsidP="001A089B">
      <w:pPr>
        <w:pStyle w:val="ListParagraph"/>
        <w:spacing w:line="360" w:lineRule="auto"/>
        <w:rPr>
          <w:rFonts w:ascii="Arial" w:hAnsi="Arial" w:cs="Arial"/>
        </w:rPr>
      </w:pPr>
    </w:p>
    <w:p w14:paraId="478977B9" w14:textId="269AA5A0" w:rsidR="00452AF7" w:rsidRPr="003B3C40" w:rsidRDefault="001A089B" w:rsidP="001A089B">
      <w:pPr>
        <w:spacing w:line="360" w:lineRule="auto"/>
        <w:rPr>
          <w:rFonts w:ascii="Arial" w:hAnsi="Arial" w:cs="Arial"/>
          <w:b/>
          <w:bCs/>
        </w:rPr>
      </w:pPr>
      <w:r w:rsidRPr="003B3C40">
        <w:rPr>
          <w:rFonts w:ascii="Arial" w:hAnsi="Arial" w:cs="Arial"/>
          <w:b/>
          <w:bCs/>
        </w:rPr>
        <w:t>T</w:t>
      </w:r>
      <w:r w:rsidR="00452AF7" w:rsidRPr="003B3C40">
        <w:rPr>
          <w:rFonts w:ascii="Arial" w:hAnsi="Arial" w:cs="Arial"/>
          <w:b/>
          <w:bCs/>
        </w:rPr>
        <w:t xml:space="preserve">able </w:t>
      </w:r>
      <w:r w:rsidRPr="003B3C40">
        <w:rPr>
          <w:rFonts w:ascii="Arial" w:hAnsi="Arial" w:cs="Arial"/>
          <w:b/>
          <w:bCs/>
        </w:rPr>
        <w:t>2.</w:t>
      </w:r>
      <w:r w:rsidR="00806BB5">
        <w:rPr>
          <w:rFonts w:ascii="Arial" w:hAnsi="Arial" w:cs="Arial"/>
          <w:b/>
          <w:bCs/>
        </w:rPr>
        <w:t>4</w:t>
      </w:r>
      <w:r w:rsidR="00452AF7" w:rsidRPr="003B3C40">
        <w:rPr>
          <w:rFonts w:ascii="Arial" w:hAnsi="Arial" w:cs="Arial"/>
          <w:b/>
          <w:bCs/>
        </w:rPr>
        <w:t>: 4V analysis of Innocent operations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3"/>
        <w:gridCol w:w="2863"/>
        <w:gridCol w:w="4580"/>
      </w:tblGrid>
      <w:tr w:rsidR="00452AF7" w:rsidRPr="00116230" w14:paraId="6021C9D5" w14:textId="77777777" w:rsidTr="00A2490B">
        <w:trPr>
          <w:tblHeader/>
          <w:tblCellSpacing w:w="15" w:type="dxa"/>
        </w:trPr>
        <w:tc>
          <w:tcPr>
            <w:tcW w:w="0" w:type="auto"/>
            <w:shd w:val="clear" w:color="auto" w:fill="00B0F0"/>
            <w:vAlign w:val="center"/>
            <w:hideMark/>
          </w:tcPr>
          <w:p w14:paraId="7FC2BF48" w14:textId="77777777" w:rsidR="00452AF7" w:rsidRPr="00695F1C" w:rsidRDefault="00452AF7" w:rsidP="00A2490B">
            <w:pPr>
              <w:spacing w:line="360" w:lineRule="auto"/>
              <w:rPr>
                <w:rFonts w:ascii="Arial" w:hAnsi="Arial" w:cs="Arial"/>
                <w:b/>
                <w:bCs/>
              </w:rPr>
            </w:pPr>
            <w:r w:rsidRPr="00695F1C">
              <w:rPr>
                <w:rFonts w:ascii="Arial" w:hAnsi="Arial" w:cs="Arial"/>
                <w:b/>
                <w:bCs/>
              </w:rPr>
              <w:t>4V dimension</w:t>
            </w:r>
          </w:p>
        </w:tc>
        <w:tc>
          <w:tcPr>
            <w:tcW w:w="0" w:type="auto"/>
            <w:shd w:val="clear" w:color="auto" w:fill="00B0F0"/>
            <w:vAlign w:val="center"/>
            <w:hideMark/>
          </w:tcPr>
          <w:p w14:paraId="6D312D82" w14:textId="77777777" w:rsidR="00452AF7" w:rsidRPr="00695F1C" w:rsidRDefault="00452AF7" w:rsidP="00A2490B">
            <w:pPr>
              <w:spacing w:line="360" w:lineRule="auto"/>
              <w:rPr>
                <w:rFonts w:ascii="Arial" w:hAnsi="Arial" w:cs="Arial"/>
                <w:b/>
                <w:bCs/>
              </w:rPr>
            </w:pPr>
            <w:r w:rsidRPr="00695F1C">
              <w:rPr>
                <w:rFonts w:ascii="Arial" w:hAnsi="Arial" w:cs="Arial"/>
                <w:b/>
                <w:bCs/>
              </w:rPr>
              <w:t>Innocent profile</w:t>
            </w:r>
          </w:p>
        </w:tc>
        <w:tc>
          <w:tcPr>
            <w:tcW w:w="0" w:type="auto"/>
            <w:shd w:val="clear" w:color="auto" w:fill="00B0F0"/>
            <w:vAlign w:val="center"/>
            <w:hideMark/>
          </w:tcPr>
          <w:p w14:paraId="12ABB3EA" w14:textId="77777777" w:rsidR="00452AF7" w:rsidRPr="00695F1C" w:rsidRDefault="00452AF7" w:rsidP="00A2490B">
            <w:pPr>
              <w:spacing w:line="360" w:lineRule="auto"/>
              <w:rPr>
                <w:rFonts w:ascii="Arial" w:hAnsi="Arial" w:cs="Arial"/>
                <w:b/>
                <w:bCs/>
              </w:rPr>
            </w:pPr>
            <w:r w:rsidRPr="00695F1C">
              <w:rPr>
                <w:rFonts w:ascii="Arial" w:hAnsi="Arial" w:cs="Arial"/>
                <w:b/>
                <w:bCs/>
              </w:rPr>
              <w:t>Strategic meaning</w:t>
            </w:r>
          </w:p>
        </w:tc>
      </w:tr>
      <w:tr w:rsidR="00452AF7" w:rsidRPr="00116230" w14:paraId="7077D0D0" w14:textId="77777777" w:rsidTr="00A2490B">
        <w:trPr>
          <w:tblCellSpacing w:w="15" w:type="dxa"/>
        </w:trPr>
        <w:tc>
          <w:tcPr>
            <w:tcW w:w="0" w:type="auto"/>
            <w:shd w:val="clear" w:color="auto" w:fill="DAE9F7" w:themeFill="text2" w:themeFillTint="1A"/>
            <w:vAlign w:val="center"/>
            <w:hideMark/>
          </w:tcPr>
          <w:p w14:paraId="0B48E891" w14:textId="77777777" w:rsidR="00452AF7" w:rsidRPr="00116230" w:rsidRDefault="00452AF7" w:rsidP="00A2490B">
            <w:pPr>
              <w:spacing w:line="360" w:lineRule="auto"/>
              <w:rPr>
                <w:rFonts w:ascii="Arial" w:hAnsi="Arial" w:cs="Arial"/>
              </w:rPr>
            </w:pPr>
            <w:r w:rsidRPr="00116230">
              <w:rPr>
                <w:rFonts w:ascii="Arial" w:hAnsi="Arial" w:cs="Arial"/>
              </w:rPr>
              <w:t>Volume</w:t>
            </w:r>
          </w:p>
        </w:tc>
        <w:tc>
          <w:tcPr>
            <w:tcW w:w="0" w:type="auto"/>
            <w:vAlign w:val="center"/>
            <w:hideMark/>
          </w:tcPr>
          <w:p w14:paraId="070EC3A4" w14:textId="77777777" w:rsidR="00452AF7" w:rsidRPr="00116230" w:rsidRDefault="00452AF7" w:rsidP="00A2490B">
            <w:pPr>
              <w:spacing w:line="360" w:lineRule="auto"/>
              <w:rPr>
                <w:rFonts w:ascii="Arial" w:hAnsi="Arial" w:cs="Arial"/>
                <w:lang w:val="de-DE"/>
              </w:rPr>
            </w:pPr>
            <w:r w:rsidRPr="00116230">
              <w:rPr>
                <w:rFonts w:ascii="Arial" w:hAnsi="Arial" w:cs="Arial"/>
                <w:lang w:val="de-DE"/>
              </w:rPr>
              <w:t>Medium (</w:t>
            </w:r>
            <w:proofErr w:type="spellStart"/>
            <w:r w:rsidRPr="00116230">
              <w:rPr>
                <w:rFonts w:ascii="Arial" w:hAnsi="Arial" w:cs="Arial"/>
                <w:lang w:val="de-DE"/>
              </w:rPr>
              <w:t>vs</w:t>
            </w:r>
            <w:proofErr w:type="spellEnd"/>
            <w:r w:rsidRPr="00116230">
              <w:rPr>
                <w:rFonts w:ascii="Arial" w:hAnsi="Arial" w:cs="Arial"/>
                <w:lang w:val="de-DE"/>
              </w:rPr>
              <w:t xml:space="preserve"> </w:t>
            </w:r>
            <w:proofErr w:type="spellStart"/>
            <w:r w:rsidRPr="00116230">
              <w:rPr>
                <w:rFonts w:ascii="Arial" w:hAnsi="Arial" w:cs="Arial"/>
                <w:lang w:val="de-DE"/>
              </w:rPr>
              <w:t>mass</w:t>
            </w:r>
            <w:proofErr w:type="spellEnd"/>
            <w:r w:rsidRPr="00116230">
              <w:rPr>
                <w:rFonts w:ascii="Arial" w:hAnsi="Arial" w:cs="Arial"/>
                <w:lang w:val="de-DE"/>
              </w:rPr>
              <w:t xml:space="preserve"> soft </w:t>
            </w:r>
            <w:proofErr w:type="spellStart"/>
            <w:r w:rsidRPr="00116230">
              <w:rPr>
                <w:rFonts w:ascii="Arial" w:hAnsi="Arial" w:cs="Arial"/>
                <w:lang w:val="de-DE"/>
              </w:rPr>
              <w:t>drinks</w:t>
            </w:r>
            <w:proofErr w:type="spellEnd"/>
            <w:r w:rsidRPr="00116230">
              <w:rPr>
                <w:rFonts w:ascii="Arial" w:hAnsi="Arial" w:cs="Arial"/>
                <w:lang w:val="de-DE"/>
              </w:rPr>
              <w:t>)</w:t>
            </w:r>
          </w:p>
        </w:tc>
        <w:tc>
          <w:tcPr>
            <w:tcW w:w="0" w:type="auto"/>
            <w:vAlign w:val="center"/>
            <w:hideMark/>
          </w:tcPr>
          <w:p w14:paraId="5C74308F" w14:textId="77777777" w:rsidR="00452AF7" w:rsidRPr="00116230" w:rsidRDefault="00452AF7" w:rsidP="00A2490B">
            <w:pPr>
              <w:spacing w:line="360" w:lineRule="auto"/>
              <w:rPr>
                <w:rFonts w:ascii="Arial" w:hAnsi="Arial" w:cs="Arial"/>
              </w:rPr>
            </w:pPr>
            <w:r w:rsidRPr="00116230">
              <w:rPr>
                <w:rFonts w:ascii="Arial" w:hAnsi="Arial" w:cs="Arial"/>
              </w:rPr>
              <w:t>Fewer scale economies; reinforces premium and differentiation logic</w:t>
            </w:r>
          </w:p>
        </w:tc>
      </w:tr>
      <w:tr w:rsidR="00452AF7" w:rsidRPr="00116230" w14:paraId="111C9E02" w14:textId="77777777" w:rsidTr="00A2490B">
        <w:trPr>
          <w:tblCellSpacing w:w="15" w:type="dxa"/>
        </w:trPr>
        <w:tc>
          <w:tcPr>
            <w:tcW w:w="0" w:type="auto"/>
            <w:shd w:val="clear" w:color="auto" w:fill="DAE9F7" w:themeFill="text2" w:themeFillTint="1A"/>
            <w:vAlign w:val="center"/>
            <w:hideMark/>
          </w:tcPr>
          <w:p w14:paraId="3F92A6DC" w14:textId="77777777" w:rsidR="00452AF7" w:rsidRPr="00116230" w:rsidRDefault="00452AF7" w:rsidP="00A2490B">
            <w:pPr>
              <w:spacing w:line="360" w:lineRule="auto"/>
              <w:rPr>
                <w:rFonts w:ascii="Arial" w:hAnsi="Arial" w:cs="Arial"/>
              </w:rPr>
            </w:pPr>
            <w:r w:rsidRPr="00116230">
              <w:rPr>
                <w:rFonts w:ascii="Arial" w:hAnsi="Arial" w:cs="Arial"/>
              </w:rPr>
              <w:t>Variety</w:t>
            </w:r>
          </w:p>
        </w:tc>
        <w:tc>
          <w:tcPr>
            <w:tcW w:w="0" w:type="auto"/>
            <w:vAlign w:val="center"/>
            <w:hideMark/>
          </w:tcPr>
          <w:p w14:paraId="781823F4" w14:textId="77777777" w:rsidR="00452AF7" w:rsidRPr="00116230" w:rsidRDefault="00452AF7" w:rsidP="00A2490B">
            <w:pPr>
              <w:spacing w:line="360" w:lineRule="auto"/>
              <w:rPr>
                <w:rFonts w:ascii="Arial" w:hAnsi="Arial" w:cs="Arial"/>
              </w:rPr>
            </w:pPr>
            <w:r w:rsidRPr="00116230">
              <w:rPr>
                <w:rFonts w:ascii="Arial" w:hAnsi="Arial" w:cs="Arial"/>
              </w:rPr>
              <w:t>High</w:t>
            </w:r>
          </w:p>
        </w:tc>
        <w:tc>
          <w:tcPr>
            <w:tcW w:w="0" w:type="auto"/>
            <w:vAlign w:val="center"/>
            <w:hideMark/>
          </w:tcPr>
          <w:p w14:paraId="51284645" w14:textId="77777777" w:rsidR="00452AF7" w:rsidRPr="00116230" w:rsidRDefault="00452AF7" w:rsidP="00A2490B">
            <w:pPr>
              <w:spacing w:line="360" w:lineRule="auto"/>
              <w:rPr>
                <w:rFonts w:ascii="Arial" w:hAnsi="Arial" w:cs="Arial"/>
              </w:rPr>
            </w:pPr>
            <w:r w:rsidRPr="00116230">
              <w:rPr>
                <w:rFonts w:ascii="Arial" w:hAnsi="Arial" w:cs="Arial"/>
              </w:rPr>
              <w:t>SKU complexity increases cost but supports innovation and customer engagement</w:t>
            </w:r>
          </w:p>
        </w:tc>
      </w:tr>
      <w:tr w:rsidR="00452AF7" w:rsidRPr="00116230" w14:paraId="5E1749AD" w14:textId="77777777" w:rsidTr="00A2490B">
        <w:trPr>
          <w:tblCellSpacing w:w="15" w:type="dxa"/>
        </w:trPr>
        <w:tc>
          <w:tcPr>
            <w:tcW w:w="0" w:type="auto"/>
            <w:shd w:val="clear" w:color="auto" w:fill="DAE9F7" w:themeFill="text2" w:themeFillTint="1A"/>
            <w:vAlign w:val="center"/>
            <w:hideMark/>
          </w:tcPr>
          <w:p w14:paraId="11E67D82" w14:textId="77777777" w:rsidR="00452AF7" w:rsidRPr="00116230" w:rsidRDefault="00452AF7" w:rsidP="00A2490B">
            <w:pPr>
              <w:spacing w:line="360" w:lineRule="auto"/>
              <w:rPr>
                <w:rFonts w:ascii="Arial" w:hAnsi="Arial" w:cs="Arial"/>
              </w:rPr>
            </w:pPr>
            <w:r w:rsidRPr="00116230">
              <w:rPr>
                <w:rFonts w:ascii="Arial" w:hAnsi="Arial" w:cs="Arial"/>
              </w:rPr>
              <w:t>Variation in demand</w:t>
            </w:r>
          </w:p>
        </w:tc>
        <w:tc>
          <w:tcPr>
            <w:tcW w:w="0" w:type="auto"/>
            <w:vAlign w:val="center"/>
            <w:hideMark/>
          </w:tcPr>
          <w:p w14:paraId="5269A257" w14:textId="77777777" w:rsidR="00452AF7" w:rsidRPr="00116230" w:rsidRDefault="00452AF7" w:rsidP="00A2490B">
            <w:pPr>
              <w:spacing w:line="360" w:lineRule="auto"/>
              <w:rPr>
                <w:rFonts w:ascii="Arial" w:hAnsi="Arial" w:cs="Arial"/>
              </w:rPr>
            </w:pPr>
            <w:r w:rsidRPr="00116230">
              <w:rPr>
                <w:rFonts w:ascii="Arial" w:hAnsi="Arial" w:cs="Arial"/>
              </w:rPr>
              <w:t>Medium–High (seasonal/weather effects)</w:t>
            </w:r>
          </w:p>
        </w:tc>
        <w:tc>
          <w:tcPr>
            <w:tcW w:w="0" w:type="auto"/>
            <w:vAlign w:val="center"/>
            <w:hideMark/>
          </w:tcPr>
          <w:p w14:paraId="3985D3B3" w14:textId="77777777" w:rsidR="00452AF7" w:rsidRPr="00116230" w:rsidRDefault="00452AF7" w:rsidP="00A2490B">
            <w:pPr>
              <w:spacing w:line="360" w:lineRule="auto"/>
              <w:rPr>
                <w:rFonts w:ascii="Arial" w:hAnsi="Arial" w:cs="Arial"/>
              </w:rPr>
            </w:pPr>
            <w:r w:rsidRPr="00116230">
              <w:rPr>
                <w:rFonts w:ascii="Arial" w:hAnsi="Arial" w:cs="Arial"/>
              </w:rPr>
              <w:t>Requires flexible planning; strengthens value of forecasting and resilient sourcing</w:t>
            </w:r>
          </w:p>
        </w:tc>
      </w:tr>
      <w:tr w:rsidR="00452AF7" w:rsidRPr="00116230" w14:paraId="096BAEC3" w14:textId="77777777" w:rsidTr="00A2490B">
        <w:trPr>
          <w:tblCellSpacing w:w="15" w:type="dxa"/>
        </w:trPr>
        <w:tc>
          <w:tcPr>
            <w:tcW w:w="0" w:type="auto"/>
            <w:shd w:val="clear" w:color="auto" w:fill="DAE9F7" w:themeFill="text2" w:themeFillTint="1A"/>
            <w:vAlign w:val="center"/>
            <w:hideMark/>
          </w:tcPr>
          <w:p w14:paraId="3E724EE9" w14:textId="77777777" w:rsidR="00452AF7" w:rsidRPr="00116230" w:rsidRDefault="00452AF7" w:rsidP="00A2490B">
            <w:pPr>
              <w:spacing w:line="360" w:lineRule="auto"/>
              <w:rPr>
                <w:rFonts w:ascii="Arial" w:hAnsi="Arial" w:cs="Arial"/>
              </w:rPr>
            </w:pPr>
            <w:r w:rsidRPr="00116230">
              <w:rPr>
                <w:rFonts w:ascii="Arial" w:hAnsi="Arial" w:cs="Arial"/>
              </w:rPr>
              <w:t>Visibility</w:t>
            </w:r>
          </w:p>
        </w:tc>
        <w:tc>
          <w:tcPr>
            <w:tcW w:w="0" w:type="auto"/>
            <w:vAlign w:val="center"/>
            <w:hideMark/>
          </w:tcPr>
          <w:p w14:paraId="424A0B0C" w14:textId="77777777" w:rsidR="00452AF7" w:rsidRPr="00116230" w:rsidRDefault="00452AF7" w:rsidP="00A2490B">
            <w:pPr>
              <w:spacing w:line="360" w:lineRule="auto"/>
              <w:rPr>
                <w:rFonts w:ascii="Arial" w:hAnsi="Arial" w:cs="Arial"/>
              </w:rPr>
            </w:pPr>
            <w:r w:rsidRPr="00116230">
              <w:rPr>
                <w:rFonts w:ascii="Arial" w:hAnsi="Arial" w:cs="Arial"/>
              </w:rPr>
              <w:t>High</w:t>
            </w:r>
          </w:p>
        </w:tc>
        <w:tc>
          <w:tcPr>
            <w:tcW w:w="0" w:type="auto"/>
            <w:vAlign w:val="center"/>
            <w:hideMark/>
          </w:tcPr>
          <w:p w14:paraId="2D96B35C" w14:textId="77777777" w:rsidR="00452AF7" w:rsidRPr="00116230" w:rsidRDefault="00452AF7" w:rsidP="00A2490B">
            <w:pPr>
              <w:spacing w:line="360" w:lineRule="auto"/>
              <w:rPr>
                <w:rFonts w:ascii="Arial" w:hAnsi="Arial" w:cs="Arial"/>
              </w:rPr>
            </w:pPr>
            <w:r w:rsidRPr="00116230">
              <w:rPr>
                <w:rFonts w:ascii="Arial" w:hAnsi="Arial" w:cs="Arial"/>
              </w:rPr>
              <w:t>Transparency increases trust but raises reputational risk if claims and practice diverge</w:t>
            </w:r>
          </w:p>
        </w:tc>
      </w:tr>
    </w:tbl>
    <w:p w14:paraId="352522E0" w14:textId="77777777" w:rsidR="006105D5" w:rsidRDefault="006105D5" w:rsidP="0013301A">
      <w:pPr>
        <w:pStyle w:val="Heading1"/>
      </w:pPr>
      <w:bookmarkStart w:id="6" w:name="_Toc223254237"/>
    </w:p>
    <w:p w14:paraId="6CC676A2" w14:textId="7C8FD682" w:rsidR="00116230" w:rsidRPr="00642438" w:rsidRDefault="00116230" w:rsidP="0013301A">
      <w:pPr>
        <w:pStyle w:val="Heading1"/>
      </w:pPr>
      <w:r w:rsidRPr="00642438">
        <w:t>3. Evaluation of the Current Market Situation</w:t>
      </w:r>
      <w:bookmarkEnd w:id="6"/>
      <w:r w:rsidRPr="00642438">
        <w:t xml:space="preserve"> </w:t>
      </w:r>
    </w:p>
    <w:p w14:paraId="14C211CD" w14:textId="77777777" w:rsidR="00116230" w:rsidRPr="00642438" w:rsidRDefault="00116230" w:rsidP="0013301A">
      <w:pPr>
        <w:pStyle w:val="Heading2"/>
      </w:pPr>
      <w:bookmarkStart w:id="7" w:name="_Toc223254238"/>
      <w:r w:rsidRPr="00642438">
        <w:t>3.1 PESTEL analysis</w:t>
      </w:r>
      <w:bookmarkEnd w:id="7"/>
    </w:p>
    <w:p w14:paraId="70CED513" w14:textId="77777777" w:rsidR="007667BB" w:rsidRDefault="007667BB" w:rsidP="007667BB">
      <w:pPr>
        <w:spacing w:line="360" w:lineRule="auto"/>
        <w:rPr>
          <w:rFonts w:ascii="Arial" w:hAnsi="Arial" w:cs="Arial"/>
          <w:b/>
          <w:bCs/>
        </w:rPr>
      </w:pPr>
    </w:p>
    <w:p w14:paraId="74319D24" w14:textId="2FE4CF8E" w:rsidR="00116230" w:rsidRPr="002C65BD" w:rsidRDefault="00116230" w:rsidP="002C65BD">
      <w:pPr>
        <w:spacing w:line="360" w:lineRule="auto"/>
        <w:rPr>
          <w:rFonts w:ascii="Arial" w:hAnsi="Arial" w:cs="Arial"/>
          <w:b/>
          <w:bCs/>
        </w:rPr>
      </w:pPr>
      <w:r w:rsidRPr="00642438">
        <w:rPr>
          <w:rFonts w:ascii="Arial" w:hAnsi="Arial" w:cs="Arial"/>
          <w:b/>
          <w:bCs/>
        </w:rPr>
        <w:t>Political and legal factors.</w:t>
      </w:r>
      <w:r w:rsidRPr="00116230">
        <w:rPr>
          <w:rFonts w:ascii="Arial" w:hAnsi="Arial" w:cs="Arial"/>
        </w:rPr>
        <w:br/>
        <w:t>UK and EU policy is increasingly interventionist regarding health and environmental externalities. HM Treasury’s consultation on strengthening the Soft Drinks Industry Levy signals continuing government intent to reduce sugar consumption and incentivise reformulation (HM Treasury, 2025). For Innocent, a strategic risk exists because smoothies and juices can be perceived as “healthy by default”, yet policy framing increasingly focuses on free sugars and portion size. The implication is that Innocent must proactively manage sugar-per-serve and communicate transparently to prevent reputational risk and potential future category-level restrictions.</w:t>
      </w:r>
    </w:p>
    <w:p w14:paraId="2E666CB5" w14:textId="77777777" w:rsidR="00116230" w:rsidRPr="00116230" w:rsidRDefault="00116230" w:rsidP="007667BB">
      <w:pPr>
        <w:spacing w:line="360" w:lineRule="auto"/>
        <w:jc w:val="both"/>
        <w:rPr>
          <w:rFonts w:ascii="Arial" w:hAnsi="Arial" w:cs="Arial"/>
        </w:rPr>
      </w:pPr>
      <w:r w:rsidRPr="00116230">
        <w:rPr>
          <w:rFonts w:ascii="Arial" w:hAnsi="Arial" w:cs="Arial"/>
        </w:rPr>
        <w:t>Packaging regulation is escalating from voluntary commitments to enforceable compliance regimes. UK packaging extended producer responsibility (</w:t>
      </w:r>
      <w:proofErr w:type="spellStart"/>
      <w:r w:rsidRPr="00116230">
        <w:rPr>
          <w:rFonts w:ascii="Arial" w:hAnsi="Arial" w:cs="Arial"/>
        </w:rPr>
        <w:t>pEPR</w:t>
      </w:r>
      <w:proofErr w:type="spellEnd"/>
      <w:r w:rsidRPr="00116230">
        <w:rPr>
          <w:rFonts w:ascii="Arial" w:hAnsi="Arial" w:cs="Arial"/>
        </w:rPr>
        <w:t>) is expected to increase reporting burden and shift waste management costs onto producers (House of Commons Library, 2026). The EU Packaging and Packaging Waste Regulation also tightens obligations and reduces implementation flexibility across member states (European Commission, 2025). Packaging therefore becomes a “licence-to-operate” issue: compliance failures can create both cost shocks and reputational harm.</w:t>
      </w:r>
    </w:p>
    <w:p w14:paraId="0A75D008" w14:textId="3587A374" w:rsidR="000E6E00" w:rsidRDefault="00116230" w:rsidP="005A485F">
      <w:pPr>
        <w:spacing w:line="360" w:lineRule="auto"/>
        <w:rPr>
          <w:rFonts w:ascii="Arial" w:hAnsi="Arial" w:cs="Arial"/>
          <w:b/>
          <w:bCs/>
        </w:rPr>
      </w:pPr>
      <w:r w:rsidRPr="00254687">
        <w:rPr>
          <w:rFonts w:ascii="Arial" w:hAnsi="Arial" w:cs="Arial"/>
          <w:b/>
          <w:bCs/>
        </w:rPr>
        <w:t>Economic factors.</w:t>
      </w:r>
      <w:r w:rsidRPr="00116230">
        <w:rPr>
          <w:rFonts w:ascii="Arial" w:hAnsi="Arial" w:cs="Arial"/>
        </w:rPr>
        <w:br/>
        <w:t>FMCG continues to face inflation-linked pressures, supply chain disruptions and energy cost volatility (OECD, 2023). Innocent’s cost base is structurally higher due to chilled distribution, packaging ambitions and ethical sourcing. When consumers become more price sensitive, retailers accelerate private-label substitution, increasing margin pressure (Mintel, 2025). The strategic implication is that Innocent must protect willingness-to-pay through clear value signalling and differentiation rather than attempting to compete on lowest price.</w:t>
      </w:r>
    </w:p>
    <w:p w14:paraId="07A35B72" w14:textId="7949FB87" w:rsidR="00116230" w:rsidRPr="00331EB2" w:rsidRDefault="00116230" w:rsidP="006105D5">
      <w:pPr>
        <w:spacing w:line="360" w:lineRule="auto"/>
        <w:rPr>
          <w:rFonts w:ascii="Arial" w:hAnsi="Arial" w:cs="Arial"/>
          <w:b/>
          <w:bCs/>
        </w:rPr>
      </w:pPr>
      <w:r w:rsidRPr="00254687">
        <w:rPr>
          <w:rFonts w:ascii="Arial" w:hAnsi="Arial" w:cs="Arial"/>
          <w:b/>
          <w:bCs/>
        </w:rPr>
        <w:t>Social factors.</w:t>
      </w:r>
      <w:r w:rsidRPr="00116230">
        <w:rPr>
          <w:rFonts w:ascii="Arial" w:hAnsi="Arial" w:cs="Arial"/>
        </w:rPr>
        <w:br/>
        <w:t>Demand for healthier, plant-based and ethically aligned products remains strong, supported by broader wellness and sustainability norms (</w:t>
      </w:r>
      <w:proofErr w:type="spellStart"/>
      <w:r w:rsidRPr="00116230">
        <w:rPr>
          <w:rFonts w:ascii="Arial" w:hAnsi="Arial" w:cs="Arial"/>
        </w:rPr>
        <w:t>NielsenIQ</w:t>
      </w:r>
      <w:proofErr w:type="spellEnd"/>
      <w:r w:rsidRPr="00116230">
        <w:rPr>
          <w:rFonts w:ascii="Arial" w:hAnsi="Arial" w:cs="Arial"/>
        </w:rPr>
        <w:t xml:space="preserve">, 2023). However, stakeholder scepticism of corporate claims is intensifying; trust is conditional on evidence and consistency (Edelman, 2024). This is critical for Innocent because brand equity rests on </w:t>
      </w:r>
      <w:r w:rsidRPr="00116230">
        <w:rPr>
          <w:rFonts w:ascii="Arial" w:hAnsi="Arial" w:cs="Arial"/>
        </w:rPr>
        <w:lastRenderedPageBreak/>
        <w:t>authenticity. Research on greenwashing highlights that the risk is greatest when marketing claims outpace operational reality (Delmas and Burbano, 2011). Innocent therefore needs strong claims governance and credible reporting to preserve legitimacy.</w:t>
      </w:r>
    </w:p>
    <w:p w14:paraId="20F7E288" w14:textId="51A64EE0" w:rsidR="00116230" w:rsidRPr="00331EB2" w:rsidRDefault="00116230" w:rsidP="006105D5">
      <w:pPr>
        <w:spacing w:line="360" w:lineRule="auto"/>
        <w:rPr>
          <w:rFonts w:ascii="Arial" w:hAnsi="Arial" w:cs="Arial"/>
          <w:b/>
          <w:bCs/>
        </w:rPr>
      </w:pPr>
      <w:r w:rsidRPr="00254687">
        <w:rPr>
          <w:rFonts w:ascii="Arial" w:hAnsi="Arial" w:cs="Arial"/>
          <w:b/>
          <w:bCs/>
        </w:rPr>
        <w:t>Technological factors.</w:t>
      </w:r>
      <w:r w:rsidRPr="00116230">
        <w:rPr>
          <w:rFonts w:ascii="Arial" w:hAnsi="Arial" w:cs="Arial"/>
        </w:rPr>
        <w:br/>
        <w:t>Digital channels increase both engagement and scrutiny. Transparent storytelling can strengthen loyalty, but inaccuracies are rapidly amplified. Analytics, lifecycle assessment (LCA) and packaging innovation tools support better environmental decision-making (Kotler and Keller, 2022; Espinoza-Orias et al., 2025). Operational technology (automation and efficiency) can also reduce energy intensity and increase dependability, which is important for chilled products (E80 Group, 2023).</w:t>
      </w:r>
    </w:p>
    <w:p w14:paraId="60BA4522" w14:textId="1525E266" w:rsidR="00116230" w:rsidRPr="0000474C" w:rsidRDefault="00116230" w:rsidP="006105D5">
      <w:pPr>
        <w:spacing w:line="360" w:lineRule="auto"/>
        <w:rPr>
          <w:rFonts w:ascii="Arial" w:hAnsi="Arial" w:cs="Arial"/>
          <w:b/>
          <w:bCs/>
        </w:rPr>
      </w:pPr>
      <w:r w:rsidRPr="00254687">
        <w:rPr>
          <w:rFonts w:ascii="Arial" w:hAnsi="Arial" w:cs="Arial"/>
          <w:b/>
          <w:bCs/>
        </w:rPr>
        <w:t>Environmental factors.</w:t>
      </w:r>
      <w:r w:rsidRPr="00116230">
        <w:rPr>
          <w:rFonts w:ascii="Arial" w:hAnsi="Arial" w:cs="Arial"/>
        </w:rPr>
        <w:br/>
        <w:t>Climate change creates direct risk to agricultural supply chains; the IPCC notes increasing hazards affecting crop yields and supply stability (IPCC, 2023). For a fruit-based business, this translates into cost volatility, availability risk and quality variation. Innocent’s climate commitments and carbon reduction targets create strategic focus but also require ongoing investment and operational redesign (Innocent Drinks, 2024b).</w:t>
      </w:r>
    </w:p>
    <w:p w14:paraId="10EF0FD9" w14:textId="605584FB" w:rsidR="00116230" w:rsidRPr="0000474C" w:rsidRDefault="00116230" w:rsidP="006105D5">
      <w:pPr>
        <w:spacing w:line="360" w:lineRule="auto"/>
        <w:rPr>
          <w:rFonts w:ascii="Arial" w:hAnsi="Arial" w:cs="Arial"/>
          <w:b/>
          <w:bCs/>
        </w:rPr>
      </w:pPr>
      <w:r w:rsidRPr="00254687">
        <w:rPr>
          <w:rFonts w:ascii="Arial" w:hAnsi="Arial" w:cs="Arial"/>
          <w:b/>
          <w:bCs/>
        </w:rPr>
        <w:t>Strategic implications.</w:t>
      </w:r>
      <w:r w:rsidRPr="00116230">
        <w:rPr>
          <w:rFonts w:ascii="Arial" w:hAnsi="Arial" w:cs="Arial"/>
        </w:rPr>
        <w:br/>
        <w:t>Overall, PESTEL shows that Innocent’s future competitiveness depends on integrating regulatory compliance, sustainability execution and consumer trust into core strategy. The external environment rewards firms that treat sustainability as capability-building rather than as peripheral messaging (</w:t>
      </w:r>
      <w:proofErr w:type="spellStart"/>
      <w:r w:rsidRPr="00116230">
        <w:rPr>
          <w:rFonts w:ascii="Arial" w:hAnsi="Arial" w:cs="Arial"/>
        </w:rPr>
        <w:t>Nidumolu</w:t>
      </w:r>
      <w:proofErr w:type="spellEnd"/>
      <w:r w:rsidRPr="00116230">
        <w:rPr>
          <w:rFonts w:ascii="Arial" w:hAnsi="Arial" w:cs="Arial"/>
        </w:rPr>
        <w:t>, Prahalad and Rangaswami, 2009).</w:t>
      </w:r>
    </w:p>
    <w:p w14:paraId="3E3FC23C" w14:textId="77777777" w:rsidR="00116230" w:rsidRPr="00254687" w:rsidRDefault="00116230" w:rsidP="0013301A">
      <w:pPr>
        <w:pStyle w:val="Heading2"/>
      </w:pPr>
      <w:bookmarkStart w:id="8" w:name="_Toc223254239"/>
      <w:r w:rsidRPr="00254687">
        <w:t>3.2 Porter’s Five Forces (industry attractiveness and competitive pressure)</w:t>
      </w:r>
      <w:bookmarkEnd w:id="8"/>
    </w:p>
    <w:p w14:paraId="2EB360DE" w14:textId="7F4908AD" w:rsidR="000B0A66" w:rsidRDefault="00116230" w:rsidP="009C625A">
      <w:pPr>
        <w:spacing w:line="360" w:lineRule="auto"/>
        <w:jc w:val="both"/>
        <w:rPr>
          <w:rFonts w:ascii="Arial" w:hAnsi="Arial" w:cs="Arial"/>
        </w:rPr>
      </w:pPr>
      <w:r w:rsidRPr="00116230">
        <w:rPr>
          <w:rFonts w:ascii="Arial" w:hAnsi="Arial" w:cs="Arial"/>
        </w:rPr>
        <w:t>Porter’s Five Forces indicates a structurally challenging competitive environment (Porter, 2008). Rivalry, buyer power and substitution are the strongest pressures, reinforcing the need for defensible differentiation.</w:t>
      </w:r>
    </w:p>
    <w:p w14:paraId="6266F371" w14:textId="28FB31A4" w:rsidR="00116230" w:rsidRPr="003B3C40" w:rsidRDefault="00116230" w:rsidP="00116230">
      <w:pPr>
        <w:spacing w:line="360" w:lineRule="auto"/>
        <w:rPr>
          <w:rFonts w:ascii="Arial" w:hAnsi="Arial" w:cs="Arial"/>
          <w:b/>
          <w:bCs/>
        </w:rPr>
      </w:pPr>
      <w:r w:rsidRPr="003B3C40">
        <w:rPr>
          <w:rFonts w:ascii="Arial" w:hAnsi="Arial" w:cs="Arial"/>
          <w:b/>
          <w:bCs/>
        </w:rPr>
        <w:t>Table 3.</w:t>
      </w:r>
      <w:r w:rsidR="00EC0211">
        <w:rPr>
          <w:rFonts w:ascii="Arial" w:hAnsi="Arial" w:cs="Arial"/>
          <w:b/>
          <w:bCs/>
        </w:rPr>
        <w:t>1</w:t>
      </w:r>
      <w:r w:rsidRPr="003B3C40">
        <w:rPr>
          <w:rFonts w:ascii="Arial" w:hAnsi="Arial" w:cs="Arial"/>
          <w:b/>
          <w:bCs/>
        </w:rPr>
        <w:t xml:space="preserve">: Porter’s Five Forces – drivers and strength (Innocent context)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3"/>
        <w:gridCol w:w="4065"/>
        <w:gridCol w:w="3468"/>
      </w:tblGrid>
      <w:tr w:rsidR="00116230" w:rsidRPr="00116230" w14:paraId="0E13A23A" w14:textId="77777777" w:rsidTr="00E41253">
        <w:trPr>
          <w:tblHeader/>
          <w:tblCellSpacing w:w="15" w:type="dxa"/>
        </w:trPr>
        <w:tc>
          <w:tcPr>
            <w:tcW w:w="0" w:type="auto"/>
            <w:shd w:val="clear" w:color="auto" w:fill="00B0F0"/>
            <w:vAlign w:val="center"/>
            <w:hideMark/>
          </w:tcPr>
          <w:p w14:paraId="22962A31" w14:textId="77777777" w:rsidR="00116230" w:rsidRPr="00976F79" w:rsidRDefault="00116230" w:rsidP="00116230">
            <w:pPr>
              <w:spacing w:line="360" w:lineRule="auto"/>
              <w:rPr>
                <w:rFonts w:ascii="Arial" w:hAnsi="Arial" w:cs="Arial"/>
                <w:b/>
                <w:bCs/>
              </w:rPr>
            </w:pPr>
            <w:r w:rsidRPr="00976F79">
              <w:rPr>
                <w:rFonts w:ascii="Arial" w:hAnsi="Arial" w:cs="Arial"/>
                <w:b/>
                <w:bCs/>
              </w:rPr>
              <w:t>Force</w:t>
            </w:r>
          </w:p>
        </w:tc>
        <w:tc>
          <w:tcPr>
            <w:tcW w:w="0" w:type="auto"/>
            <w:shd w:val="clear" w:color="auto" w:fill="00B0F0"/>
            <w:vAlign w:val="center"/>
            <w:hideMark/>
          </w:tcPr>
          <w:p w14:paraId="75DD621B" w14:textId="77777777" w:rsidR="00116230" w:rsidRPr="00976F79" w:rsidRDefault="00116230" w:rsidP="00116230">
            <w:pPr>
              <w:spacing w:line="360" w:lineRule="auto"/>
              <w:rPr>
                <w:rFonts w:ascii="Arial" w:hAnsi="Arial" w:cs="Arial"/>
                <w:b/>
                <w:bCs/>
              </w:rPr>
            </w:pPr>
            <w:r w:rsidRPr="00976F79">
              <w:rPr>
                <w:rFonts w:ascii="Arial" w:hAnsi="Arial" w:cs="Arial"/>
                <w:b/>
                <w:bCs/>
              </w:rPr>
              <w:t>Factors that increase force strength</w:t>
            </w:r>
          </w:p>
        </w:tc>
        <w:tc>
          <w:tcPr>
            <w:tcW w:w="0" w:type="auto"/>
            <w:shd w:val="clear" w:color="auto" w:fill="00B0F0"/>
            <w:vAlign w:val="center"/>
            <w:hideMark/>
          </w:tcPr>
          <w:p w14:paraId="49098A83" w14:textId="77777777" w:rsidR="00116230" w:rsidRPr="00976F79" w:rsidRDefault="00116230" w:rsidP="00116230">
            <w:pPr>
              <w:spacing w:line="360" w:lineRule="auto"/>
              <w:rPr>
                <w:rFonts w:ascii="Arial" w:hAnsi="Arial" w:cs="Arial"/>
                <w:b/>
                <w:bCs/>
              </w:rPr>
            </w:pPr>
            <w:r w:rsidRPr="00976F79">
              <w:rPr>
                <w:rFonts w:ascii="Arial" w:hAnsi="Arial" w:cs="Arial"/>
                <w:b/>
                <w:bCs/>
              </w:rPr>
              <w:t>Factors that decrease force strength</w:t>
            </w:r>
          </w:p>
        </w:tc>
      </w:tr>
      <w:tr w:rsidR="00116230" w:rsidRPr="00116230" w14:paraId="5FA4EF1E" w14:textId="77777777" w:rsidTr="00E41253">
        <w:trPr>
          <w:tblCellSpacing w:w="15" w:type="dxa"/>
        </w:trPr>
        <w:tc>
          <w:tcPr>
            <w:tcW w:w="0" w:type="auto"/>
            <w:shd w:val="clear" w:color="auto" w:fill="DAE9F7" w:themeFill="text2" w:themeFillTint="1A"/>
            <w:vAlign w:val="center"/>
            <w:hideMark/>
          </w:tcPr>
          <w:p w14:paraId="22434E5C" w14:textId="77777777" w:rsidR="00116230" w:rsidRPr="00116230" w:rsidRDefault="00116230" w:rsidP="00116230">
            <w:pPr>
              <w:spacing w:line="360" w:lineRule="auto"/>
              <w:rPr>
                <w:rFonts w:ascii="Arial" w:hAnsi="Arial" w:cs="Arial"/>
              </w:rPr>
            </w:pPr>
            <w:r w:rsidRPr="00116230">
              <w:rPr>
                <w:rFonts w:ascii="Arial" w:hAnsi="Arial" w:cs="Arial"/>
              </w:rPr>
              <w:t>Competitive rivalry</w:t>
            </w:r>
          </w:p>
        </w:tc>
        <w:tc>
          <w:tcPr>
            <w:tcW w:w="0" w:type="auto"/>
            <w:vAlign w:val="center"/>
            <w:hideMark/>
          </w:tcPr>
          <w:p w14:paraId="0B21D73F" w14:textId="77777777" w:rsidR="00116230" w:rsidRPr="00116230" w:rsidRDefault="00116230" w:rsidP="00116230">
            <w:pPr>
              <w:spacing w:line="360" w:lineRule="auto"/>
              <w:rPr>
                <w:rFonts w:ascii="Arial" w:hAnsi="Arial" w:cs="Arial"/>
              </w:rPr>
            </w:pPr>
            <w:r w:rsidRPr="00116230">
              <w:rPr>
                <w:rFonts w:ascii="Arial" w:hAnsi="Arial" w:cs="Arial"/>
              </w:rPr>
              <w:t xml:space="preserve">Many brands (multinationals + challengers); low switching costs; heavy </w:t>
            </w:r>
            <w:r w:rsidRPr="00116230">
              <w:rPr>
                <w:rFonts w:ascii="Arial" w:hAnsi="Arial" w:cs="Arial"/>
              </w:rPr>
              <w:lastRenderedPageBreak/>
              <w:t>promotions; own-label growth; mature UK category</w:t>
            </w:r>
          </w:p>
        </w:tc>
        <w:tc>
          <w:tcPr>
            <w:tcW w:w="0" w:type="auto"/>
            <w:vAlign w:val="center"/>
            <w:hideMark/>
          </w:tcPr>
          <w:p w14:paraId="2C4B4BBA" w14:textId="77777777" w:rsidR="00116230" w:rsidRPr="00116230" w:rsidRDefault="00116230" w:rsidP="00116230">
            <w:pPr>
              <w:spacing w:line="360" w:lineRule="auto"/>
              <w:rPr>
                <w:rFonts w:ascii="Arial" w:hAnsi="Arial" w:cs="Arial"/>
              </w:rPr>
            </w:pPr>
            <w:r w:rsidRPr="00116230">
              <w:rPr>
                <w:rFonts w:ascii="Arial" w:hAnsi="Arial" w:cs="Arial"/>
              </w:rPr>
              <w:lastRenderedPageBreak/>
              <w:t xml:space="preserve">Strong brand equity; distinctive brand voice; trust-based loyalty; B </w:t>
            </w:r>
            <w:r w:rsidRPr="00116230">
              <w:rPr>
                <w:rFonts w:ascii="Arial" w:hAnsi="Arial" w:cs="Arial"/>
              </w:rPr>
              <w:lastRenderedPageBreak/>
              <w:t>Corp credibility; sustainability leadership</w:t>
            </w:r>
          </w:p>
        </w:tc>
      </w:tr>
      <w:tr w:rsidR="00116230" w:rsidRPr="00116230" w14:paraId="79AD09A9" w14:textId="77777777" w:rsidTr="00E41253">
        <w:trPr>
          <w:tblCellSpacing w:w="15" w:type="dxa"/>
        </w:trPr>
        <w:tc>
          <w:tcPr>
            <w:tcW w:w="0" w:type="auto"/>
            <w:shd w:val="clear" w:color="auto" w:fill="DAE9F7" w:themeFill="text2" w:themeFillTint="1A"/>
            <w:vAlign w:val="center"/>
            <w:hideMark/>
          </w:tcPr>
          <w:p w14:paraId="557635DA" w14:textId="77777777" w:rsidR="00116230" w:rsidRPr="00116230" w:rsidRDefault="00116230" w:rsidP="00116230">
            <w:pPr>
              <w:spacing w:line="360" w:lineRule="auto"/>
              <w:rPr>
                <w:rFonts w:ascii="Arial" w:hAnsi="Arial" w:cs="Arial"/>
              </w:rPr>
            </w:pPr>
            <w:r w:rsidRPr="00116230">
              <w:rPr>
                <w:rFonts w:ascii="Arial" w:hAnsi="Arial" w:cs="Arial"/>
              </w:rPr>
              <w:lastRenderedPageBreak/>
              <w:t>Threat of new entrants</w:t>
            </w:r>
          </w:p>
        </w:tc>
        <w:tc>
          <w:tcPr>
            <w:tcW w:w="0" w:type="auto"/>
            <w:vAlign w:val="center"/>
            <w:hideMark/>
          </w:tcPr>
          <w:p w14:paraId="32FCD1E0" w14:textId="77777777" w:rsidR="00116230" w:rsidRPr="00116230" w:rsidRDefault="00116230" w:rsidP="00116230">
            <w:pPr>
              <w:spacing w:line="360" w:lineRule="auto"/>
              <w:rPr>
                <w:rFonts w:ascii="Arial" w:hAnsi="Arial" w:cs="Arial"/>
              </w:rPr>
            </w:pPr>
            <w:r w:rsidRPr="00116230">
              <w:rPr>
                <w:rFonts w:ascii="Arial" w:hAnsi="Arial" w:cs="Arial"/>
              </w:rPr>
              <w:t>Contract manufacturing lowers entry barriers; digital marketing enables rapid brand building</w:t>
            </w:r>
          </w:p>
        </w:tc>
        <w:tc>
          <w:tcPr>
            <w:tcW w:w="0" w:type="auto"/>
            <w:vAlign w:val="center"/>
            <w:hideMark/>
          </w:tcPr>
          <w:p w14:paraId="280C4482" w14:textId="77777777" w:rsidR="00116230" w:rsidRPr="00116230" w:rsidRDefault="00116230" w:rsidP="00116230">
            <w:pPr>
              <w:spacing w:line="360" w:lineRule="auto"/>
              <w:rPr>
                <w:rFonts w:ascii="Arial" w:hAnsi="Arial" w:cs="Arial"/>
              </w:rPr>
            </w:pPr>
            <w:r w:rsidRPr="00116230">
              <w:rPr>
                <w:rFonts w:ascii="Arial" w:hAnsi="Arial" w:cs="Arial"/>
              </w:rPr>
              <w:t>Chilled distribution complexity; retailer listing barriers; compliance costs; need for trust and quality consistency</w:t>
            </w:r>
          </w:p>
        </w:tc>
      </w:tr>
      <w:tr w:rsidR="00116230" w:rsidRPr="00116230" w14:paraId="6974FB2E" w14:textId="77777777" w:rsidTr="00E41253">
        <w:trPr>
          <w:tblCellSpacing w:w="15" w:type="dxa"/>
        </w:trPr>
        <w:tc>
          <w:tcPr>
            <w:tcW w:w="0" w:type="auto"/>
            <w:shd w:val="clear" w:color="auto" w:fill="DAE9F7" w:themeFill="text2" w:themeFillTint="1A"/>
            <w:vAlign w:val="center"/>
            <w:hideMark/>
          </w:tcPr>
          <w:p w14:paraId="7E58A1CF" w14:textId="77777777" w:rsidR="00116230" w:rsidRPr="00116230" w:rsidRDefault="00116230" w:rsidP="00116230">
            <w:pPr>
              <w:spacing w:line="360" w:lineRule="auto"/>
              <w:rPr>
                <w:rFonts w:ascii="Arial" w:hAnsi="Arial" w:cs="Arial"/>
              </w:rPr>
            </w:pPr>
            <w:r w:rsidRPr="00116230">
              <w:rPr>
                <w:rFonts w:ascii="Arial" w:hAnsi="Arial" w:cs="Arial"/>
              </w:rPr>
              <w:t>Buyer power</w:t>
            </w:r>
          </w:p>
        </w:tc>
        <w:tc>
          <w:tcPr>
            <w:tcW w:w="0" w:type="auto"/>
            <w:vAlign w:val="center"/>
            <w:hideMark/>
          </w:tcPr>
          <w:p w14:paraId="29448780" w14:textId="77777777" w:rsidR="00116230" w:rsidRPr="00116230" w:rsidRDefault="00116230" w:rsidP="00116230">
            <w:pPr>
              <w:spacing w:line="360" w:lineRule="auto"/>
              <w:rPr>
                <w:rFonts w:ascii="Arial" w:hAnsi="Arial" w:cs="Arial"/>
              </w:rPr>
            </w:pPr>
            <w:r w:rsidRPr="00116230">
              <w:rPr>
                <w:rFonts w:ascii="Arial" w:hAnsi="Arial" w:cs="Arial"/>
              </w:rPr>
              <w:t>High retailer concentration; control of shelf space; own-label substitution; price sensitivity</w:t>
            </w:r>
          </w:p>
        </w:tc>
        <w:tc>
          <w:tcPr>
            <w:tcW w:w="0" w:type="auto"/>
            <w:vAlign w:val="center"/>
            <w:hideMark/>
          </w:tcPr>
          <w:p w14:paraId="450EF25F" w14:textId="77777777" w:rsidR="00116230" w:rsidRPr="00116230" w:rsidRDefault="00116230" w:rsidP="00116230">
            <w:pPr>
              <w:spacing w:line="360" w:lineRule="auto"/>
              <w:rPr>
                <w:rFonts w:ascii="Arial" w:hAnsi="Arial" w:cs="Arial"/>
              </w:rPr>
            </w:pPr>
            <w:r w:rsidRPr="00116230">
              <w:rPr>
                <w:rFonts w:ascii="Arial" w:hAnsi="Arial" w:cs="Arial"/>
              </w:rPr>
              <w:t>Brand pull (consumer demand); premium positioning; retailer interest in sustainability-led category growth</w:t>
            </w:r>
          </w:p>
        </w:tc>
      </w:tr>
      <w:tr w:rsidR="00116230" w:rsidRPr="00116230" w14:paraId="2AE3C1B7" w14:textId="77777777" w:rsidTr="00E41253">
        <w:trPr>
          <w:tblCellSpacing w:w="15" w:type="dxa"/>
        </w:trPr>
        <w:tc>
          <w:tcPr>
            <w:tcW w:w="0" w:type="auto"/>
            <w:shd w:val="clear" w:color="auto" w:fill="DAE9F7" w:themeFill="text2" w:themeFillTint="1A"/>
            <w:vAlign w:val="center"/>
            <w:hideMark/>
          </w:tcPr>
          <w:p w14:paraId="47D4F74A" w14:textId="77777777" w:rsidR="00116230" w:rsidRPr="00116230" w:rsidRDefault="00116230" w:rsidP="00116230">
            <w:pPr>
              <w:spacing w:line="360" w:lineRule="auto"/>
              <w:rPr>
                <w:rFonts w:ascii="Arial" w:hAnsi="Arial" w:cs="Arial"/>
              </w:rPr>
            </w:pPr>
            <w:r w:rsidRPr="00116230">
              <w:rPr>
                <w:rFonts w:ascii="Arial" w:hAnsi="Arial" w:cs="Arial"/>
              </w:rPr>
              <w:t>Supplier power</w:t>
            </w:r>
          </w:p>
        </w:tc>
        <w:tc>
          <w:tcPr>
            <w:tcW w:w="0" w:type="auto"/>
            <w:vAlign w:val="center"/>
            <w:hideMark/>
          </w:tcPr>
          <w:p w14:paraId="501FBB15" w14:textId="77777777" w:rsidR="00116230" w:rsidRPr="00116230" w:rsidRDefault="00116230" w:rsidP="00116230">
            <w:pPr>
              <w:spacing w:line="360" w:lineRule="auto"/>
              <w:rPr>
                <w:rFonts w:ascii="Arial" w:hAnsi="Arial" w:cs="Arial"/>
              </w:rPr>
            </w:pPr>
            <w:r w:rsidRPr="00116230">
              <w:rPr>
                <w:rFonts w:ascii="Arial" w:hAnsi="Arial" w:cs="Arial"/>
              </w:rPr>
              <w:t>Ethical sourcing constraints reduce options; climate volatility; dependence on high-quality fruit supply</w:t>
            </w:r>
          </w:p>
        </w:tc>
        <w:tc>
          <w:tcPr>
            <w:tcW w:w="0" w:type="auto"/>
            <w:vAlign w:val="center"/>
            <w:hideMark/>
          </w:tcPr>
          <w:p w14:paraId="6C58EF5D" w14:textId="77777777" w:rsidR="00116230" w:rsidRPr="00116230" w:rsidRDefault="00116230" w:rsidP="00116230">
            <w:pPr>
              <w:spacing w:line="360" w:lineRule="auto"/>
              <w:rPr>
                <w:rFonts w:ascii="Arial" w:hAnsi="Arial" w:cs="Arial"/>
              </w:rPr>
            </w:pPr>
            <w:r w:rsidRPr="00116230">
              <w:rPr>
                <w:rFonts w:ascii="Arial" w:hAnsi="Arial" w:cs="Arial"/>
              </w:rPr>
              <w:t>Diversified sourcing; long-term partnerships; supplier development; scale relative to smaller entrants</w:t>
            </w:r>
          </w:p>
        </w:tc>
      </w:tr>
      <w:tr w:rsidR="00116230" w:rsidRPr="00116230" w14:paraId="73CA5D1F" w14:textId="77777777" w:rsidTr="00E41253">
        <w:trPr>
          <w:tblCellSpacing w:w="15" w:type="dxa"/>
        </w:trPr>
        <w:tc>
          <w:tcPr>
            <w:tcW w:w="0" w:type="auto"/>
            <w:shd w:val="clear" w:color="auto" w:fill="DAE9F7" w:themeFill="text2" w:themeFillTint="1A"/>
            <w:vAlign w:val="center"/>
            <w:hideMark/>
          </w:tcPr>
          <w:p w14:paraId="7E8B57ED" w14:textId="77777777" w:rsidR="00116230" w:rsidRPr="00116230" w:rsidRDefault="00116230" w:rsidP="00116230">
            <w:pPr>
              <w:spacing w:line="360" w:lineRule="auto"/>
              <w:rPr>
                <w:rFonts w:ascii="Arial" w:hAnsi="Arial" w:cs="Arial"/>
              </w:rPr>
            </w:pPr>
            <w:r w:rsidRPr="00116230">
              <w:rPr>
                <w:rFonts w:ascii="Arial" w:hAnsi="Arial" w:cs="Arial"/>
              </w:rPr>
              <w:t>Threat of substitutes</w:t>
            </w:r>
          </w:p>
        </w:tc>
        <w:tc>
          <w:tcPr>
            <w:tcW w:w="0" w:type="auto"/>
            <w:vAlign w:val="center"/>
            <w:hideMark/>
          </w:tcPr>
          <w:p w14:paraId="42B9261E" w14:textId="77777777" w:rsidR="00116230" w:rsidRPr="00116230" w:rsidRDefault="00116230" w:rsidP="00116230">
            <w:pPr>
              <w:spacing w:line="360" w:lineRule="auto"/>
              <w:rPr>
                <w:rFonts w:ascii="Arial" w:hAnsi="Arial" w:cs="Arial"/>
              </w:rPr>
            </w:pPr>
            <w:r w:rsidRPr="00116230">
              <w:rPr>
                <w:rFonts w:ascii="Arial" w:hAnsi="Arial" w:cs="Arial"/>
              </w:rPr>
              <w:t>Water, functional drinks, homemade options; low switching costs; price/performance trade-offs</w:t>
            </w:r>
          </w:p>
        </w:tc>
        <w:tc>
          <w:tcPr>
            <w:tcW w:w="0" w:type="auto"/>
            <w:vAlign w:val="center"/>
            <w:hideMark/>
          </w:tcPr>
          <w:p w14:paraId="53F83306" w14:textId="77777777" w:rsidR="00116230" w:rsidRPr="00116230" w:rsidRDefault="00116230" w:rsidP="00116230">
            <w:pPr>
              <w:spacing w:line="360" w:lineRule="auto"/>
              <w:rPr>
                <w:rFonts w:ascii="Arial" w:hAnsi="Arial" w:cs="Arial"/>
              </w:rPr>
            </w:pPr>
            <w:r w:rsidRPr="00116230">
              <w:rPr>
                <w:rFonts w:ascii="Arial" w:hAnsi="Arial" w:cs="Arial"/>
              </w:rPr>
              <w:t>Emotional attachment to brand; perceived quality; convenience; credible ethics and transparency</w:t>
            </w:r>
          </w:p>
        </w:tc>
      </w:tr>
    </w:tbl>
    <w:p w14:paraId="6D5B7740" w14:textId="77777777" w:rsidR="00CC142B" w:rsidRDefault="00CC142B" w:rsidP="00B20ABC">
      <w:pPr>
        <w:spacing w:line="360" w:lineRule="auto"/>
        <w:jc w:val="both"/>
        <w:rPr>
          <w:rFonts w:ascii="Arial" w:hAnsi="Arial" w:cs="Arial"/>
          <w:b/>
          <w:bCs/>
        </w:rPr>
      </w:pPr>
    </w:p>
    <w:p w14:paraId="587BE7EA" w14:textId="36E1E030" w:rsidR="00EC06BB" w:rsidRDefault="00116230" w:rsidP="00B20ABC">
      <w:pPr>
        <w:spacing w:line="360" w:lineRule="auto"/>
        <w:jc w:val="both"/>
        <w:rPr>
          <w:rFonts w:ascii="Arial" w:hAnsi="Arial" w:cs="Arial"/>
        </w:rPr>
      </w:pPr>
      <w:r w:rsidRPr="00B20ABC">
        <w:rPr>
          <w:rFonts w:ascii="Arial" w:hAnsi="Arial" w:cs="Arial"/>
          <w:b/>
          <w:bCs/>
        </w:rPr>
        <w:t>Implications.</w:t>
      </w:r>
      <w:r w:rsidRPr="00116230">
        <w:rPr>
          <w:rFonts w:ascii="Arial" w:hAnsi="Arial" w:cs="Arial"/>
        </w:rPr>
        <w:br/>
        <w:t>In high-rivalry categories with strong buyer power, Porter suggests firms without clear advantage risk being “stuck in the middle” (Porter, 2008). Because Innocent cannot sustainably win on price against own-label, it must compete on attributes that are costly to imitate: governance credibility, supply chain transparency and verifiable sustainability delivery. Evidence from sustainability research indicates that trust is strengthened when firms align communication with measurable outcomes, reducing the risk of “purpose theatre” (Delmas and Burbano, 2011).</w:t>
      </w:r>
    </w:p>
    <w:p w14:paraId="3D8B60FF" w14:textId="77777777" w:rsidR="006105D5" w:rsidRDefault="006105D5" w:rsidP="00B20ABC">
      <w:pPr>
        <w:spacing w:line="360" w:lineRule="auto"/>
        <w:jc w:val="both"/>
        <w:rPr>
          <w:rFonts w:ascii="Arial" w:hAnsi="Arial" w:cs="Arial"/>
        </w:rPr>
      </w:pPr>
    </w:p>
    <w:p w14:paraId="5FAC02D2" w14:textId="77777777" w:rsidR="006105D5" w:rsidRPr="00116230" w:rsidRDefault="006105D5" w:rsidP="00B20ABC">
      <w:pPr>
        <w:spacing w:line="360" w:lineRule="auto"/>
        <w:jc w:val="both"/>
        <w:rPr>
          <w:rFonts w:ascii="Arial" w:hAnsi="Arial" w:cs="Arial"/>
        </w:rPr>
      </w:pPr>
    </w:p>
    <w:p w14:paraId="6BB5693E" w14:textId="05A8EFFD" w:rsidR="00B97DB5" w:rsidRPr="006A5349" w:rsidRDefault="00116230" w:rsidP="0013301A">
      <w:pPr>
        <w:pStyle w:val="Heading2"/>
      </w:pPr>
      <w:bookmarkStart w:id="9" w:name="_Toc223254240"/>
      <w:r w:rsidRPr="006A5349">
        <w:lastRenderedPageBreak/>
        <w:t>3.</w:t>
      </w:r>
      <w:r w:rsidR="002764A9">
        <w:t xml:space="preserve">3 </w:t>
      </w:r>
      <w:r w:rsidRPr="006A5349">
        <w:t>SWOT analysis</w:t>
      </w:r>
      <w:bookmarkEnd w:id="9"/>
      <w:r w:rsidRPr="006A5349">
        <w:t xml:space="preserve"> </w:t>
      </w:r>
    </w:p>
    <w:p w14:paraId="77C9E485" w14:textId="434DF8C4" w:rsidR="00116230" w:rsidRPr="009A448B" w:rsidRDefault="00116230" w:rsidP="00116230">
      <w:pPr>
        <w:spacing w:line="360" w:lineRule="auto"/>
        <w:rPr>
          <w:rFonts w:ascii="Arial" w:hAnsi="Arial" w:cs="Arial"/>
          <w:b/>
          <w:bCs/>
        </w:rPr>
      </w:pPr>
      <w:r w:rsidRPr="009A448B">
        <w:rPr>
          <w:rFonts w:ascii="Arial" w:hAnsi="Arial" w:cs="Arial"/>
          <w:b/>
          <w:bCs/>
        </w:rPr>
        <w:t>Table 3.</w:t>
      </w:r>
      <w:r w:rsidR="00490DBA">
        <w:rPr>
          <w:rFonts w:ascii="Arial" w:hAnsi="Arial" w:cs="Arial"/>
          <w:b/>
          <w:bCs/>
        </w:rPr>
        <w:t>2</w:t>
      </w:r>
      <w:r w:rsidRPr="009A448B">
        <w:rPr>
          <w:rFonts w:ascii="Arial" w:hAnsi="Arial" w:cs="Arial"/>
          <w:b/>
          <w:bCs/>
        </w:rPr>
        <w:t xml:space="preserve">: SWOT analysis of Innocent Drinks </w:t>
      </w:r>
    </w:p>
    <w:tbl>
      <w:tblPr>
        <w:tblStyle w:val="TableGrid"/>
        <w:tblW w:w="0" w:type="auto"/>
        <w:tblLook w:val="04A0" w:firstRow="1" w:lastRow="0" w:firstColumn="1" w:lastColumn="0" w:noHBand="0" w:noVBand="1"/>
      </w:tblPr>
      <w:tblGrid>
        <w:gridCol w:w="4508"/>
        <w:gridCol w:w="4508"/>
      </w:tblGrid>
      <w:tr w:rsidR="00A25F87" w14:paraId="1EFF0FA2" w14:textId="77777777" w:rsidTr="005B05C1">
        <w:tc>
          <w:tcPr>
            <w:tcW w:w="4508" w:type="dxa"/>
            <w:shd w:val="clear" w:color="auto" w:fill="00B0F0"/>
          </w:tcPr>
          <w:p w14:paraId="49812505" w14:textId="77777777" w:rsidR="00A25F87" w:rsidRDefault="00A25F87" w:rsidP="005B05C1">
            <w:pPr>
              <w:spacing w:line="360" w:lineRule="auto"/>
              <w:jc w:val="center"/>
              <w:rPr>
                <w:rFonts w:ascii="Arial" w:hAnsi="Arial" w:cs="Arial"/>
                <w:b/>
                <w:bCs/>
              </w:rPr>
            </w:pPr>
            <w:r w:rsidRPr="00F83931">
              <w:rPr>
                <w:rFonts w:ascii="Arial" w:hAnsi="Arial" w:cs="Arial"/>
                <w:b/>
                <w:bCs/>
                <w:sz w:val="20"/>
                <w:szCs w:val="20"/>
              </w:rPr>
              <w:t>STRENGTHS</w:t>
            </w:r>
          </w:p>
        </w:tc>
        <w:tc>
          <w:tcPr>
            <w:tcW w:w="4508" w:type="dxa"/>
            <w:shd w:val="clear" w:color="auto" w:fill="00B0F0"/>
          </w:tcPr>
          <w:p w14:paraId="7A76148B" w14:textId="77777777" w:rsidR="00A25F87" w:rsidRDefault="00A25F87" w:rsidP="005B05C1">
            <w:pPr>
              <w:spacing w:line="360" w:lineRule="auto"/>
              <w:jc w:val="center"/>
              <w:rPr>
                <w:rFonts w:ascii="Arial" w:hAnsi="Arial" w:cs="Arial"/>
                <w:b/>
                <w:bCs/>
              </w:rPr>
            </w:pPr>
            <w:r w:rsidRPr="00F83931">
              <w:rPr>
                <w:rFonts w:ascii="Arial" w:hAnsi="Arial" w:cs="Arial"/>
                <w:b/>
                <w:bCs/>
                <w:sz w:val="20"/>
                <w:szCs w:val="20"/>
              </w:rPr>
              <w:t>WEAKNESSES</w:t>
            </w:r>
          </w:p>
        </w:tc>
      </w:tr>
      <w:tr w:rsidR="00A25F87" w:rsidRPr="00F6681A" w14:paraId="49787A58" w14:textId="77777777" w:rsidTr="005B05C1">
        <w:tc>
          <w:tcPr>
            <w:tcW w:w="4508" w:type="dxa"/>
            <w:shd w:val="clear" w:color="auto" w:fill="DAE9F7" w:themeFill="text2" w:themeFillTint="1A"/>
          </w:tcPr>
          <w:p w14:paraId="3A078C80" w14:textId="77777777" w:rsidR="00A25F87" w:rsidRPr="00F6681A" w:rsidRDefault="00A25F87" w:rsidP="005B05C1">
            <w:pPr>
              <w:spacing w:line="360" w:lineRule="auto"/>
              <w:rPr>
                <w:rFonts w:ascii="Arial" w:hAnsi="Arial" w:cs="Arial"/>
              </w:rPr>
            </w:pPr>
            <w:r w:rsidRPr="00F6681A">
              <w:rPr>
                <w:rFonts w:ascii="Arial" w:hAnsi="Arial" w:cs="Arial"/>
                <w:sz w:val="20"/>
                <w:szCs w:val="20"/>
              </w:rPr>
              <w:t xml:space="preserve">• Strong brand equity and high consumer trust built over time </w:t>
            </w:r>
            <w:r w:rsidRPr="00F6681A">
              <w:rPr>
                <w:rFonts w:ascii="Arial" w:hAnsi="Arial" w:cs="Arial"/>
                <w:sz w:val="20"/>
                <w:szCs w:val="20"/>
              </w:rPr>
              <w:br/>
              <w:t xml:space="preserve">• Certified B Corporation status enhances ethical credibility </w:t>
            </w:r>
            <w:r w:rsidRPr="00F6681A">
              <w:rPr>
                <w:rFonts w:ascii="Arial" w:hAnsi="Arial" w:cs="Arial"/>
                <w:sz w:val="20"/>
                <w:szCs w:val="20"/>
              </w:rPr>
              <w:br/>
              <w:t xml:space="preserve">• Clear sustainability mission and science-based carbon reduction targets </w:t>
            </w:r>
            <w:r w:rsidRPr="00F6681A">
              <w:rPr>
                <w:rFonts w:ascii="Arial" w:hAnsi="Arial" w:cs="Arial"/>
                <w:sz w:val="20"/>
                <w:szCs w:val="20"/>
              </w:rPr>
              <w:br/>
              <w:t xml:space="preserve">• Distinctive brand personality and transparent communication style </w:t>
            </w:r>
            <w:r w:rsidRPr="00F6681A">
              <w:rPr>
                <w:rFonts w:ascii="Arial" w:hAnsi="Arial" w:cs="Arial"/>
                <w:sz w:val="20"/>
                <w:szCs w:val="20"/>
              </w:rPr>
              <w:br/>
              <w:t>• Strong relationships with major UK retailers</w:t>
            </w:r>
          </w:p>
        </w:tc>
        <w:tc>
          <w:tcPr>
            <w:tcW w:w="4508" w:type="dxa"/>
            <w:shd w:val="clear" w:color="auto" w:fill="DAE9F7" w:themeFill="text2" w:themeFillTint="1A"/>
            <w:vAlign w:val="center"/>
          </w:tcPr>
          <w:p w14:paraId="4EA5CB63" w14:textId="77777777" w:rsidR="00A25F87" w:rsidRPr="00F6681A" w:rsidRDefault="00A25F87" w:rsidP="005B05C1">
            <w:pPr>
              <w:spacing w:line="360" w:lineRule="auto"/>
              <w:rPr>
                <w:rFonts w:ascii="Arial" w:hAnsi="Arial" w:cs="Arial"/>
              </w:rPr>
            </w:pPr>
            <w:r w:rsidRPr="00F6681A">
              <w:rPr>
                <w:rFonts w:ascii="Arial" w:hAnsi="Arial" w:cs="Arial"/>
                <w:sz w:val="20"/>
                <w:szCs w:val="20"/>
              </w:rPr>
              <w:t xml:space="preserve">• Premium pricing relative to private-label and some competitors </w:t>
            </w:r>
            <w:r w:rsidRPr="00F6681A">
              <w:rPr>
                <w:rFonts w:ascii="Arial" w:hAnsi="Arial" w:cs="Arial"/>
                <w:sz w:val="20"/>
                <w:szCs w:val="20"/>
              </w:rPr>
              <w:br/>
              <w:t xml:space="preserve">• Higher cost base due to ethical sourcing and sustainability investment </w:t>
            </w:r>
            <w:r w:rsidRPr="00F6681A">
              <w:rPr>
                <w:rFonts w:ascii="Arial" w:hAnsi="Arial" w:cs="Arial"/>
                <w:sz w:val="20"/>
                <w:szCs w:val="20"/>
              </w:rPr>
              <w:br/>
              <w:t xml:space="preserve">• Dependence on chilled distribution increases logistics costs </w:t>
            </w:r>
            <w:r w:rsidRPr="00F6681A">
              <w:rPr>
                <w:rFonts w:ascii="Arial" w:hAnsi="Arial" w:cs="Arial"/>
                <w:sz w:val="20"/>
                <w:szCs w:val="20"/>
              </w:rPr>
              <w:br/>
              <w:t xml:space="preserve">• Exposure to climate-related supply chain volatility </w:t>
            </w:r>
            <w:r w:rsidRPr="00F6681A">
              <w:rPr>
                <w:rFonts w:ascii="Arial" w:hAnsi="Arial" w:cs="Arial"/>
                <w:sz w:val="20"/>
                <w:szCs w:val="20"/>
              </w:rPr>
              <w:br/>
              <w:t>• Limited ability to compete on price without eroding brand equity</w:t>
            </w:r>
          </w:p>
        </w:tc>
      </w:tr>
      <w:tr w:rsidR="00A25F87" w14:paraId="53CA94D9" w14:textId="77777777" w:rsidTr="00DA7201">
        <w:tc>
          <w:tcPr>
            <w:tcW w:w="4508" w:type="dxa"/>
            <w:shd w:val="clear" w:color="auto" w:fill="00B0F0"/>
          </w:tcPr>
          <w:p w14:paraId="2DFA5298" w14:textId="77777777" w:rsidR="00A25F87" w:rsidRDefault="00A25F87" w:rsidP="005B05C1">
            <w:pPr>
              <w:spacing w:line="360" w:lineRule="auto"/>
              <w:jc w:val="center"/>
              <w:rPr>
                <w:rFonts w:ascii="Arial" w:hAnsi="Arial" w:cs="Arial"/>
                <w:b/>
                <w:bCs/>
              </w:rPr>
            </w:pPr>
            <w:r w:rsidRPr="00F83931">
              <w:rPr>
                <w:rFonts w:ascii="Arial" w:hAnsi="Arial" w:cs="Arial"/>
                <w:b/>
                <w:bCs/>
                <w:sz w:val="20"/>
                <w:szCs w:val="20"/>
              </w:rPr>
              <w:t>OPPORTUNITIES</w:t>
            </w:r>
          </w:p>
        </w:tc>
        <w:tc>
          <w:tcPr>
            <w:tcW w:w="4508" w:type="dxa"/>
            <w:shd w:val="clear" w:color="auto" w:fill="00B0F0"/>
          </w:tcPr>
          <w:p w14:paraId="773F55C6" w14:textId="77777777" w:rsidR="00A25F87" w:rsidRDefault="00A25F87" w:rsidP="005B05C1">
            <w:pPr>
              <w:spacing w:line="360" w:lineRule="auto"/>
              <w:jc w:val="center"/>
              <w:rPr>
                <w:rFonts w:ascii="Arial" w:hAnsi="Arial" w:cs="Arial"/>
                <w:b/>
                <w:bCs/>
              </w:rPr>
            </w:pPr>
            <w:r w:rsidRPr="00F83931">
              <w:rPr>
                <w:rFonts w:ascii="Arial" w:hAnsi="Arial" w:cs="Arial"/>
                <w:b/>
                <w:bCs/>
                <w:sz w:val="20"/>
                <w:szCs w:val="20"/>
              </w:rPr>
              <w:t>THREATS</w:t>
            </w:r>
          </w:p>
        </w:tc>
      </w:tr>
      <w:tr w:rsidR="00A25F87" w:rsidRPr="00F6681A" w14:paraId="52ABA5EE" w14:textId="77777777" w:rsidTr="005B05C1">
        <w:tc>
          <w:tcPr>
            <w:tcW w:w="4508" w:type="dxa"/>
            <w:shd w:val="clear" w:color="auto" w:fill="DAE9F7" w:themeFill="text2" w:themeFillTint="1A"/>
          </w:tcPr>
          <w:p w14:paraId="1DBD35DB" w14:textId="77777777" w:rsidR="00A25F87" w:rsidRPr="00F6681A" w:rsidRDefault="00A25F87" w:rsidP="005B05C1">
            <w:pPr>
              <w:spacing w:line="360" w:lineRule="auto"/>
              <w:rPr>
                <w:rFonts w:ascii="Arial" w:hAnsi="Arial" w:cs="Arial"/>
              </w:rPr>
            </w:pPr>
            <w:r w:rsidRPr="00F6681A">
              <w:rPr>
                <w:rFonts w:ascii="Arial" w:hAnsi="Arial" w:cs="Arial"/>
                <w:sz w:val="20"/>
                <w:szCs w:val="20"/>
              </w:rPr>
              <w:t xml:space="preserve">• Growing consumer demand for plant-based and functional beverages </w:t>
            </w:r>
            <w:r w:rsidRPr="00F6681A">
              <w:rPr>
                <w:rFonts w:ascii="Arial" w:hAnsi="Arial" w:cs="Arial"/>
                <w:sz w:val="20"/>
                <w:szCs w:val="20"/>
              </w:rPr>
              <w:br/>
              <w:t xml:space="preserve">• Increased interest in ethical and purpose-driven brands </w:t>
            </w:r>
            <w:r w:rsidRPr="00F6681A">
              <w:rPr>
                <w:rFonts w:ascii="Arial" w:hAnsi="Arial" w:cs="Arial"/>
                <w:sz w:val="20"/>
                <w:szCs w:val="20"/>
              </w:rPr>
              <w:br/>
              <w:t xml:space="preserve">• Selective expansion into ethically aligned European markets </w:t>
            </w:r>
            <w:r w:rsidRPr="00F6681A">
              <w:rPr>
                <w:rFonts w:ascii="Arial" w:hAnsi="Arial" w:cs="Arial"/>
                <w:sz w:val="20"/>
                <w:szCs w:val="20"/>
              </w:rPr>
              <w:br/>
              <w:t xml:space="preserve">• Packaging innovation to meet tightening environmental regulations </w:t>
            </w:r>
            <w:r w:rsidRPr="00F6681A">
              <w:rPr>
                <w:rFonts w:ascii="Arial" w:hAnsi="Arial" w:cs="Arial"/>
                <w:sz w:val="20"/>
                <w:szCs w:val="20"/>
              </w:rPr>
              <w:br/>
              <w:t>• Product reformulation and portion-led innovation to address sugar concerns</w:t>
            </w:r>
          </w:p>
        </w:tc>
        <w:tc>
          <w:tcPr>
            <w:tcW w:w="4508" w:type="dxa"/>
            <w:shd w:val="clear" w:color="auto" w:fill="DAE9F7" w:themeFill="text2" w:themeFillTint="1A"/>
            <w:vAlign w:val="center"/>
          </w:tcPr>
          <w:p w14:paraId="7EC7D10C" w14:textId="77777777" w:rsidR="00A25F87" w:rsidRPr="00F6681A" w:rsidRDefault="00A25F87" w:rsidP="005B05C1">
            <w:pPr>
              <w:spacing w:line="360" w:lineRule="auto"/>
              <w:rPr>
                <w:rFonts w:ascii="Arial" w:hAnsi="Arial" w:cs="Arial"/>
              </w:rPr>
            </w:pPr>
            <w:r w:rsidRPr="00F6681A">
              <w:rPr>
                <w:rFonts w:ascii="Arial" w:hAnsi="Arial" w:cs="Arial"/>
                <w:sz w:val="20"/>
                <w:szCs w:val="20"/>
              </w:rPr>
              <w:t xml:space="preserve">• Intense competition from multinational brands and agile challengers </w:t>
            </w:r>
            <w:r w:rsidRPr="00F6681A">
              <w:rPr>
                <w:rFonts w:ascii="Arial" w:hAnsi="Arial" w:cs="Arial"/>
                <w:sz w:val="20"/>
                <w:szCs w:val="20"/>
              </w:rPr>
              <w:br/>
              <w:t xml:space="preserve">• Strong bargaining power of large supermarket retailers </w:t>
            </w:r>
            <w:r w:rsidRPr="00F6681A">
              <w:rPr>
                <w:rFonts w:ascii="Arial" w:hAnsi="Arial" w:cs="Arial"/>
                <w:sz w:val="20"/>
                <w:szCs w:val="20"/>
              </w:rPr>
              <w:br/>
              <w:t xml:space="preserve">• Growth of retailer own-label healthy drinks </w:t>
            </w:r>
            <w:r w:rsidRPr="00F6681A">
              <w:rPr>
                <w:rFonts w:ascii="Arial" w:hAnsi="Arial" w:cs="Arial"/>
                <w:sz w:val="20"/>
                <w:szCs w:val="20"/>
              </w:rPr>
              <w:br/>
              <w:t xml:space="preserve">• Regulatory pressure on sugar content and packaging waste </w:t>
            </w:r>
            <w:r w:rsidRPr="00F6681A">
              <w:rPr>
                <w:rFonts w:ascii="Arial" w:hAnsi="Arial" w:cs="Arial"/>
                <w:sz w:val="20"/>
                <w:szCs w:val="20"/>
              </w:rPr>
              <w:br/>
              <w:t>• Climate change impacting fruit availability and costs</w:t>
            </w:r>
          </w:p>
        </w:tc>
      </w:tr>
    </w:tbl>
    <w:p w14:paraId="6048C4D6" w14:textId="77777777" w:rsidR="00160B47" w:rsidRPr="00116230" w:rsidRDefault="00160B47" w:rsidP="00116230">
      <w:pPr>
        <w:spacing w:line="360" w:lineRule="auto"/>
        <w:rPr>
          <w:rFonts w:ascii="Arial" w:hAnsi="Arial" w:cs="Arial"/>
        </w:rPr>
      </w:pPr>
    </w:p>
    <w:p w14:paraId="422556D8" w14:textId="77777777" w:rsidR="00116230" w:rsidRPr="00504E8D" w:rsidRDefault="00116230" w:rsidP="0013301A">
      <w:pPr>
        <w:pStyle w:val="Heading2"/>
      </w:pPr>
      <w:bookmarkStart w:id="10" w:name="_Toc223254241"/>
      <w:r w:rsidRPr="00504E8D">
        <w:t>3.4 TOWS matrix (strategy generation)</w:t>
      </w:r>
      <w:bookmarkEnd w:id="10"/>
    </w:p>
    <w:p w14:paraId="2D8173B0" w14:textId="3821F760" w:rsidR="00116230" w:rsidRPr="009A448B" w:rsidRDefault="00116230" w:rsidP="00116230">
      <w:pPr>
        <w:spacing w:line="360" w:lineRule="auto"/>
        <w:rPr>
          <w:rFonts w:ascii="Arial" w:hAnsi="Arial" w:cs="Arial"/>
          <w:b/>
          <w:bCs/>
        </w:rPr>
      </w:pPr>
      <w:r w:rsidRPr="009A448B">
        <w:rPr>
          <w:rFonts w:ascii="Arial" w:hAnsi="Arial" w:cs="Arial"/>
          <w:b/>
          <w:bCs/>
        </w:rPr>
        <w:t xml:space="preserve">Table 3.3: TOWS matrix – strategic options for Innocent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4"/>
        <w:gridCol w:w="3939"/>
        <w:gridCol w:w="3673"/>
      </w:tblGrid>
      <w:tr w:rsidR="00116230" w:rsidRPr="00116230" w14:paraId="4F023C47" w14:textId="77777777" w:rsidTr="00DA7201">
        <w:trPr>
          <w:tblHeader/>
          <w:tblCellSpacing w:w="15" w:type="dxa"/>
        </w:trPr>
        <w:tc>
          <w:tcPr>
            <w:tcW w:w="0" w:type="auto"/>
            <w:vAlign w:val="center"/>
            <w:hideMark/>
          </w:tcPr>
          <w:p w14:paraId="5A3FEAE5" w14:textId="77777777" w:rsidR="00116230" w:rsidRPr="00116230" w:rsidRDefault="00116230" w:rsidP="00116230">
            <w:pPr>
              <w:spacing w:line="360" w:lineRule="auto"/>
              <w:rPr>
                <w:rFonts w:ascii="Arial" w:hAnsi="Arial" w:cs="Arial"/>
              </w:rPr>
            </w:pPr>
          </w:p>
        </w:tc>
        <w:tc>
          <w:tcPr>
            <w:tcW w:w="0" w:type="auto"/>
            <w:shd w:val="clear" w:color="auto" w:fill="00B0F0"/>
            <w:vAlign w:val="center"/>
            <w:hideMark/>
          </w:tcPr>
          <w:p w14:paraId="612349BA" w14:textId="77777777" w:rsidR="00116230" w:rsidRPr="00695F1C" w:rsidRDefault="00116230" w:rsidP="00116230">
            <w:pPr>
              <w:spacing w:line="360" w:lineRule="auto"/>
              <w:rPr>
                <w:rFonts w:ascii="Arial" w:hAnsi="Arial" w:cs="Arial"/>
                <w:b/>
                <w:bCs/>
              </w:rPr>
            </w:pPr>
            <w:r w:rsidRPr="00695F1C">
              <w:rPr>
                <w:rFonts w:ascii="Arial" w:hAnsi="Arial" w:cs="Arial"/>
                <w:b/>
                <w:bCs/>
              </w:rPr>
              <w:t>Opportunities (O)</w:t>
            </w:r>
          </w:p>
        </w:tc>
        <w:tc>
          <w:tcPr>
            <w:tcW w:w="0" w:type="auto"/>
            <w:shd w:val="clear" w:color="auto" w:fill="00B0F0"/>
            <w:vAlign w:val="center"/>
            <w:hideMark/>
          </w:tcPr>
          <w:p w14:paraId="21D04C0C" w14:textId="77777777" w:rsidR="00116230" w:rsidRPr="00695F1C" w:rsidRDefault="00116230" w:rsidP="00116230">
            <w:pPr>
              <w:spacing w:line="360" w:lineRule="auto"/>
              <w:rPr>
                <w:rFonts w:ascii="Arial" w:hAnsi="Arial" w:cs="Arial"/>
                <w:b/>
                <w:bCs/>
              </w:rPr>
            </w:pPr>
            <w:r w:rsidRPr="00695F1C">
              <w:rPr>
                <w:rFonts w:ascii="Arial" w:hAnsi="Arial" w:cs="Arial"/>
                <w:b/>
                <w:bCs/>
              </w:rPr>
              <w:t>Threats (T)</w:t>
            </w:r>
          </w:p>
        </w:tc>
      </w:tr>
      <w:tr w:rsidR="00116230" w:rsidRPr="00116230" w14:paraId="260C6930" w14:textId="77777777" w:rsidTr="00DA7201">
        <w:trPr>
          <w:tblCellSpacing w:w="15" w:type="dxa"/>
        </w:trPr>
        <w:tc>
          <w:tcPr>
            <w:tcW w:w="0" w:type="auto"/>
            <w:shd w:val="clear" w:color="auto" w:fill="DAE9F7" w:themeFill="text2" w:themeFillTint="1A"/>
            <w:vAlign w:val="center"/>
            <w:hideMark/>
          </w:tcPr>
          <w:p w14:paraId="23CF5A6B" w14:textId="77777777" w:rsidR="00116230" w:rsidRPr="00116230" w:rsidRDefault="00116230" w:rsidP="00116230">
            <w:pPr>
              <w:spacing w:line="360" w:lineRule="auto"/>
              <w:rPr>
                <w:rFonts w:ascii="Arial" w:hAnsi="Arial" w:cs="Arial"/>
              </w:rPr>
            </w:pPr>
            <w:r w:rsidRPr="00116230">
              <w:rPr>
                <w:rFonts w:ascii="Arial" w:hAnsi="Arial" w:cs="Arial"/>
              </w:rPr>
              <w:t>Strengths (S)</w:t>
            </w:r>
          </w:p>
        </w:tc>
        <w:tc>
          <w:tcPr>
            <w:tcW w:w="0" w:type="auto"/>
            <w:vAlign w:val="center"/>
            <w:hideMark/>
          </w:tcPr>
          <w:p w14:paraId="64CC808D" w14:textId="77777777" w:rsidR="00116230" w:rsidRPr="00116230" w:rsidRDefault="00116230" w:rsidP="00116230">
            <w:pPr>
              <w:spacing w:line="360" w:lineRule="auto"/>
              <w:rPr>
                <w:rFonts w:ascii="Arial" w:hAnsi="Arial" w:cs="Arial"/>
              </w:rPr>
            </w:pPr>
            <w:r w:rsidRPr="00116230">
              <w:rPr>
                <w:rFonts w:ascii="Arial" w:hAnsi="Arial" w:cs="Arial"/>
              </w:rPr>
              <w:t>SO: Use B Corp credibility + brand trust to launch evidence-led functional/plant-based innovations; leverage sustainability leadership to expand selectively into aligned European markets.</w:t>
            </w:r>
          </w:p>
        </w:tc>
        <w:tc>
          <w:tcPr>
            <w:tcW w:w="0" w:type="auto"/>
            <w:vAlign w:val="center"/>
            <w:hideMark/>
          </w:tcPr>
          <w:p w14:paraId="146C9E95" w14:textId="77777777" w:rsidR="00116230" w:rsidRPr="00116230" w:rsidRDefault="00116230" w:rsidP="00116230">
            <w:pPr>
              <w:spacing w:line="360" w:lineRule="auto"/>
              <w:rPr>
                <w:rFonts w:ascii="Arial" w:hAnsi="Arial" w:cs="Arial"/>
              </w:rPr>
            </w:pPr>
            <w:r w:rsidRPr="00116230">
              <w:rPr>
                <w:rFonts w:ascii="Arial" w:hAnsi="Arial" w:cs="Arial"/>
              </w:rPr>
              <w:t>ST: Use packaging leadership and transparent reporting to defend against regulatory scrutiny and greenwashing accusations; reinforce emotional differentiation to resist own-label substitution.</w:t>
            </w:r>
          </w:p>
        </w:tc>
      </w:tr>
      <w:tr w:rsidR="00116230" w:rsidRPr="00116230" w14:paraId="32618479" w14:textId="77777777" w:rsidTr="00DA7201">
        <w:trPr>
          <w:tblCellSpacing w:w="15" w:type="dxa"/>
        </w:trPr>
        <w:tc>
          <w:tcPr>
            <w:tcW w:w="0" w:type="auto"/>
            <w:shd w:val="clear" w:color="auto" w:fill="DAE9F7" w:themeFill="text2" w:themeFillTint="1A"/>
            <w:vAlign w:val="center"/>
            <w:hideMark/>
          </w:tcPr>
          <w:p w14:paraId="452C0C9C" w14:textId="77777777" w:rsidR="00116230" w:rsidRPr="00116230" w:rsidRDefault="00116230" w:rsidP="00116230">
            <w:pPr>
              <w:spacing w:line="360" w:lineRule="auto"/>
              <w:rPr>
                <w:rFonts w:ascii="Arial" w:hAnsi="Arial" w:cs="Arial"/>
              </w:rPr>
            </w:pPr>
            <w:r w:rsidRPr="00116230">
              <w:rPr>
                <w:rFonts w:ascii="Arial" w:hAnsi="Arial" w:cs="Arial"/>
              </w:rPr>
              <w:lastRenderedPageBreak/>
              <w:t>Weaknesses (W)</w:t>
            </w:r>
          </w:p>
        </w:tc>
        <w:tc>
          <w:tcPr>
            <w:tcW w:w="0" w:type="auto"/>
            <w:vAlign w:val="center"/>
            <w:hideMark/>
          </w:tcPr>
          <w:p w14:paraId="45ECA306" w14:textId="77777777" w:rsidR="00116230" w:rsidRPr="00116230" w:rsidRDefault="00116230" w:rsidP="00116230">
            <w:pPr>
              <w:spacing w:line="360" w:lineRule="auto"/>
              <w:rPr>
                <w:rFonts w:ascii="Arial" w:hAnsi="Arial" w:cs="Arial"/>
              </w:rPr>
            </w:pPr>
            <w:r w:rsidRPr="00116230">
              <w:rPr>
                <w:rFonts w:ascii="Arial" w:hAnsi="Arial" w:cs="Arial"/>
              </w:rPr>
              <w:t>WO: Reduce structural costs via ethical “value engineering” (SKU simplification, waste reduction, pack architecture) while protecting ethics; build supplier development for scalable responsible sourcing.</w:t>
            </w:r>
          </w:p>
        </w:tc>
        <w:tc>
          <w:tcPr>
            <w:tcW w:w="0" w:type="auto"/>
            <w:vAlign w:val="center"/>
            <w:hideMark/>
          </w:tcPr>
          <w:p w14:paraId="2236FBAB" w14:textId="77777777" w:rsidR="00116230" w:rsidRPr="00116230" w:rsidRDefault="00116230" w:rsidP="00116230">
            <w:pPr>
              <w:spacing w:line="360" w:lineRule="auto"/>
              <w:rPr>
                <w:rFonts w:ascii="Arial" w:hAnsi="Arial" w:cs="Arial"/>
              </w:rPr>
            </w:pPr>
            <w:r w:rsidRPr="00116230">
              <w:rPr>
                <w:rFonts w:ascii="Arial" w:hAnsi="Arial" w:cs="Arial"/>
              </w:rPr>
              <w:t>WT: Avoid price wars and excessive discounting that erode equity; prioritise compliance readiness to prevent packaging cost shocks; limit exposure to high-risk sourcing geographies.</w:t>
            </w:r>
          </w:p>
        </w:tc>
      </w:tr>
    </w:tbl>
    <w:p w14:paraId="329096E4" w14:textId="77777777" w:rsidR="00DA7201" w:rsidRDefault="00DA7201" w:rsidP="00116230">
      <w:pPr>
        <w:spacing w:line="360" w:lineRule="auto"/>
        <w:rPr>
          <w:rFonts w:ascii="Arial" w:hAnsi="Arial" w:cs="Arial"/>
        </w:rPr>
      </w:pPr>
    </w:p>
    <w:p w14:paraId="13D66346" w14:textId="2758E67C" w:rsidR="00116230" w:rsidRPr="00116230" w:rsidRDefault="00116230" w:rsidP="008F50E1">
      <w:pPr>
        <w:spacing w:line="360" w:lineRule="auto"/>
        <w:jc w:val="both"/>
        <w:rPr>
          <w:rFonts w:ascii="Arial" w:hAnsi="Arial" w:cs="Arial"/>
        </w:rPr>
      </w:pPr>
      <w:r w:rsidRPr="00116230">
        <w:rPr>
          <w:rFonts w:ascii="Arial" w:hAnsi="Arial" w:cs="Arial"/>
        </w:rPr>
        <w:t>TOWS is used here as a practical bridge from diagnosis to action, ensuring strategies explicitly respond to external opportunities and threats (</w:t>
      </w:r>
      <w:proofErr w:type="spellStart"/>
      <w:r w:rsidRPr="00116230">
        <w:rPr>
          <w:rFonts w:ascii="Arial" w:hAnsi="Arial" w:cs="Arial"/>
        </w:rPr>
        <w:t>Weihrich</w:t>
      </w:r>
      <w:proofErr w:type="spellEnd"/>
      <w:r w:rsidRPr="00116230">
        <w:rPr>
          <w:rFonts w:ascii="Arial" w:hAnsi="Arial" w:cs="Arial"/>
        </w:rPr>
        <w:t>, 1982).</w:t>
      </w:r>
    </w:p>
    <w:p w14:paraId="22AB25A9" w14:textId="77777777" w:rsidR="00116230" w:rsidRPr="00504E8D" w:rsidRDefault="00116230" w:rsidP="0013301A">
      <w:pPr>
        <w:pStyle w:val="Heading2"/>
      </w:pPr>
      <w:bookmarkStart w:id="11" w:name="_Toc223254242"/>
      <w:r w:rsidRPr="00504E8D">
        <w:t>3.5 Porter’s Value Chain analysis (internal advantage and constraints)</w:t>
      </w:r>
      <w:bookmarkEnd w:id="11"/>
    </w:p>
    <w:p w14:paraId="2493D631" w14:textId="22FEC4C6" w:rsidR="00160B47" w:rsidRPr="00116230" w:rsidRDefault="00116230" w:rsidP="00E63927">
      <w:pPr>
        <w:spacing w:line="360" w:lineRule="auto"/>
        <w:jc w:val="both"/>
        <w:rPr>
          <w:rFonts w:ascii="Arial" w:hAnsi="Arial" w:cs="Arial"/>
        </w:rPr>
      </w:pPr>
      <w:r w:rsidRPr="00116230">
        <w:rPr>
          <w:rFonts w:ascii="Arial" w:hAnsi="Arial" w:cs="Arial"/>
        </w:rPr>
        <w:t>Porter’s Value Chain clarifies where Innocent creates value and where constraints arise (Porter, 1985). Because Innocent’s advantage is trust-based, value is created through system-wide alignment rather than a single activity.</w:t>
      </w:r>
    </w:p>
    <w:p w14:paraId="4C84C14F" w14:textId="0101128B" w:rsidR="00116230" w:rsidRPr="009A448B" w:rsidRDefault="00116230" w:rsidP="00116230">
      <w:pPr>
        <w:spacing w:line="360" w:lineRule="auto"/>
        <w:rPr>
          <w:rFonts w:ascii="Arial" w:hAnsi="Arial" w:cs="Arial"/>
          <w:b/>
          <w:bCs/>
        </w:rPr>
      </w:pPr>
      <w:r w:rsidRPr="009A448B">
        <w:rPr>
          <w:rFonts w:ascii="Arial" w:hAnsi="Arial" w:cs="Arial"/>
          <w:b/>
          <w:bCs/>
        </w:rPr>
        <w:t xml:space="preserve">Table 3.4: Value Chain – Innocent summary and implications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0"/>
        <w:gridCol w:w="2870"/>
        <w:gridCol w:w="4516"/>
      </w:tblGrid>
      <w:tr w:rsidR="00116230" w:rsidRPr="00116230" w14:paraId="4E0FE944" w14:textId="77777777" w:rsidTr="00E41253">
        <w:trPr>
          <w:tblHeader/>
          <w:tblCellSpacing w:w="15" w:type="dxa"/>
        </w:trPr>
        <w:tc>
          <w:tcPr>
            <w:tcW w:w="0" w:type="auto"/>
            <w:shd w:val="clear" w:color="auto" w:fill="00B0F0"/>
            <w:vAlign w:val="center"/>
            <w:hideMark/>
          </w:tcPr>
          <w:p w14:paraId="1BF8DD0D" w14:textId="77777777" w:rsidR="00116230" w:rsidRPr="00695F1C" w:rsidRDefault="00116230" w:rsidP="00116230">
            <w:pPr>
              <w:spacing w:line="360" w:lineRule="auto"/>
              <w:rPr>
                <w:rFonts w:ascii="Arial" w:hAnsi="Arial" w:cs="Arial"/>
                <w:b/>
                <w:bCs/>
              </w:rPr>
            </w:pPr>
            <w:r w:rsidRPr="00695F1C">
              <w:rPr>
                <w:rFonts w:ascii="Arial" w:hAnsi="Arial" w:cs="Arial"/>
                <w:b/>
                <w:bCs/>
              </w:rPr>
              <w:t>Value chain activity</w:t>
            </w:r>
          </w:p>
        </w:tc>
        <w:tc>
          <w:tcPr>
            <w:tcW w:w="0" w:type="auto"/>
            <w:shd w:val="clear" w:color="auto" w:fill="00B0F0"/>
            <w:vAlign w:val="center"/>
            <w:hideMark/>
          </w:tcPr>
          <w:p w14:paraId="3544FE09" w14:textId="77777777" w:rsidR="00116230" w:rsidRPr="00695F1C" w:rsidRDefault="00116230" w:rsidP="00116230">
            <w:pPr>
              <w:spacing w:line="360" w:lineRule="auto"/>
              <w:rPr>
                <w:rFonts w:ascii="Arial" w:hAnsi="Arial" w:cs="Arial"/>
                <w:b/>
                <w:bCs/>
              </w:rPr>
            </w:pPr>
            <w:r w:rsidRPr="00695F1C">
              <w:rPr>
                <w:rFonts w:ascii="Arial" w:hAnsi="Arial" w:cs="Arial"/>
                <w:b/>
                <w:bCs/>
              </w:rPr>
              <w:t>Innocent characteristics</w:t>
            </w:r>
          </w:p>
        </w:tc>
        <w:tc>
          <w:tcPr>
            <w:tcW w:w="0" w:type="auto"/>
            <w:shd w:val="clear" w:color="auto" w:fill="00B0F0"/>
            <w:vAlign w:val="center"/>
            <w:hideMark/>
          </w:tcPr>
          <w:p w14:paraId="32D26F98" w14:textId="77777777" w:rsidR="00116230" w:rsidRPr="00695F1C" w:rsidRDefault="00116230" w:rsidP="00116230">
            <w:pPr>
              <w:spacing w:line="360" w:lineRule="auto"/>
              <w:rPr>
                <w:rFonts w:ascii="Arial" w:hAnsi="Arial" w:cs="Arial"/>
                <w:b/>
                <w:bCs/>
              </w:rPr>
            </w:pPr>
            <w:r w:rsidRPr="00695F1C">
              <w:rPr>
                <w:rFonts w:ascii="Arial" w:hAnsi="Arial" w:cs="Arial"/>
                <w:b/>
                <w:bCs/>
              </w:rPr>
              <w:t>Strategic implications</w:t>
            </w:r>
          </w:p>
        </w:tc>
      </w:tr>
      <w:tr w:rsidR="00116230" w:rsidRPr="00116230" w14:paraId="7D7372CE" w14:textId="77777777" w:rsidTr="00E41253">
        <w:trPr>
          <w:tblCellSpacing w:w="15" w:type="dxa"/>
        </w:trPr>
        <w:tc>
          <w:tcPr>
            <w:tcW w:w="0" w:type="auto"/>
            <w:shd w:val="clear" w:color="auto" w:fill="DAE9F7" w:themeFill="text2" w:themeFillTint="1A"/>
            <w:vAlign w:val="center"/>
            <w:hideMark/>
          </w:tcPr>
          <w:p w14:paraId="5374C7BE" w14:textId="77777777" w:rsidR="00116230" w:rsidRPr="00116230" w:rsidRDefault="00116230" w:rsidP="00116230">
            <w:pPr>
              <w:spacing w:line="360" w:lineRule="auto"/>
              <w:rPr>
                <w:rFonts w:ascii="Arial" w:hAnsi="Arial" w:cs="Arial"/>
              </w:rPr>
            </w:pPr>
            <w:r w:rsidRPr="00116230">
              <w:rPr>
                <w:rFonts w:ascii="Arial" w:hAnsi="Arial" w:cs="Arial"/>
              </w:rPr>
              <w:t>Inbound logistics</w:t>
            </w:r>
          </w:p>
        </w:tc>
        <w:tc>
          <w:tcPr>
            <w:tcW w:w="0" w:type="auto"/>
            <w:vAlign w:val="center"/>
            <w:hideMark/>
          </w:tcPr>
          <w:p w14:paraId="421FAF65" w14:textId="77777777" w:rsidR="00116230" w:rsidRPr="00116230" w:rsidRDefault="00116230" w:rsidP="00116230">
            <w:pPr>
              <w:spacing w:line="360" w:lineRule="auto"/>
              <w:rPr>
                <w:rFonts w:ascii="Arial" w:hAnsi="Arial" w:cs="Arial"/>
              </w:rPr>
            </w:pPr>
            <w:r w:rsidRPr="00116230">
              <w:rPr>
                <w:rFonts w:ascii="Arial" w:hAnsi="Arial" w:cs="Arial"/>
              </w:rPr>
              <w:t>Ethical sourcing; quality specifications; traceability requirements</w:t>
            </w:r>
          </w:p>
        </w:tc>
        <w:tc>
          <w:tcPr>
            <w:tcW w:w="0" w:type="auto"/>
            <w:vAlign w:val="center"/>
            <w:hideMark/>
          </w:tcPr>
          <w:p w14:paraId="54989AB2" w14:textId="77777777" w:rsidR="00116230" w:rsidRPr="00116230" w:rsidRDefault="00116230" w:rsidP="00116230">
            <w:pPr>
              <w:spacing w:line="360" w:lineRule="auto"/>
              <w:rPr>
                <w:rFonts w:ascii="Arial" w:hAnsi="Arial" w:cs="Arial"/>
              </w:rPr>
            </w:pPr>
            <w:r w:rsidRPr="00116230">
              <w:rPr>
                <w:rFonts w:ascii="Arial" w:hAnsi="Arial" w:cs="Arial"/>
              </w:rPr>
              <w:t>Differentiation asset but raises supplier constraints; requires resilience planning and diversified ethical sourcing</w:t>
            </w:r>
          </w:p>
        </w:tc>
      </w:tr>
      <w:tr w:rsidR="00116230" w:rsidRPr="00116230" w14:paraId="4E827AC0" w14:textId="77777777" w:rsidTr="00E41253">
        <w:trPr>
          <w:tblCellSpacing w:w="15" w:type="dxa"/>
        </w:trPr>
        <w:tc>
          <w:tcPr>
            <w:tcW w:w="0" w:type="auto"/>
            <w:shd w:val="clear" w:color="auto" w:fill="DAE9F7" w:themeFill="text2" w:themeFillTint="1A"/>
            <w:vAlign w:val="center"/>
            <w:hideMark/>
          </w:tcPr>
          <w:p w14:paraId="5108485D" w14:textId="77777777" w:rsidR="00116230" w:rsidRPr="00116230" w:rsidRDefault="00116230" w:rsidP="00116230">
            <w:pPr>
              <w:spacing w:line="360" w:lineRule="auto"/>
              <w:rPr>
                <w:rFonts w:ascii="Arial" w:hAnsi="Arial" w:cs="Arial"/>
              </w:rPr>
            </w:pPr>
            <w:r w:rsidRPr="00116230">
              <w:rPr>
                <w:rFonts w:ascii="Arial" w:hAnsi="Arial" w:cs="Arial"/>
              </w:rPr>
              <w:t>Operations</w:t>
            </w:r>
          </w:p>
        </w:tc>
        <w:tc>
          <w:tcPr>
            <w:tcW w:w="0" w:type="auto"/>
            <w:vAlign w:val="center"/>
            <w:hideMark/>
          </w:tcPr>
          <w:p w14:paraId="45CCF79E" w14:textId="77777777" w:rsidR="00116230" w:rsidRPr="00116230" w:rsidRDefault="00116230" w:rsidP="00116230">
            <w:pPr>
              <w:spacing w:line="360" w:lineRule="auto"/>
              <w:rPr>
                <w:rFonts w:ascii="Arial" w:hAnsi="Arial" w:cs="Arial"/>
              </w:rPr>
            </w:pPr>
            <w:r w:rsidRPr="00116230">
              <w:rPr>
                <w:rFonts w:ascii="Arial" w:hAnsi="Arial" w:cs="Arial"/>
              </w:rPr>
              <w:t>Freshness focus; food safety; sustainability improvements</w:t>
            </w:r>
          </w:p>
        </w:tc>
        <w:tc>
          <w:tcPr>
            <w:tcW w:w="0" w:type="auto"/>
            <w:vAlign w:val="center"/>
            <w:hideMark/>
          </w:tcPr>
          <w:p w14:paraId="63444E73" w14:textId="77777777" w:rsidR="00116230" w:rsidRPr="00116230" w:rsidRDefault="00116230" w:rsidP="00116230">
            <w:pPr>
              <w:spacing w:line="360" w:lineRule="auto"/>
              <w:rPr>
                <w:rFonts w:ascii="Arial" w:hAnsi="Arial" w:cs="Arial"/>
              </w:rPr>
            </w:pPr>
            <w:r w:rsidRPr="00116230">
              <w:rPr>
                <w:rFonts w:ascii="Arial" w:hAnsi="Arial" w:cs="Arial"/>
              </w:rPr>
              <w:t>Supports quality and legitimacy; limits cost leadership; favours targeted platform innovation and efficiency investment</w:t>
            </w:r>
          </w:p>
        </w:tc>
      </w:tr>
      <w:tr w:rsidR="00116230" w:rsidRPr="00116230" w14:paraId="7FC78D18" w14:textId="77777777" w:rsidTr="00E41253">
        <w:trPr>
          <w:tblCellSpacing w:w="15" w:type="dxa"/>
        </w:trPr>
        <w:tc>
          <w:tcPr>
            <w:tcW w:w="0" w:type="auto"/>
            <w:shd w:val="clear" w:color="auto" w:fill="DAE9F7" w:themeFill="text2" w:themeFillTint="1A"/>
            <w:vAlign w:val="center"/>
            <w:hideMark/>
          </w:tcPr>
          <w:p w14:paraId="7EAC03F1" w14:textId="77777777" w:rsidR="00116230" w:rsidRPr="00116230" w:rsidRDefault="00116230" w:rsidP="00116230">
            <w:pPr>
              <w:spacing w:line="360" w:lineRule="auto"/>
              <w:rPr>
                <w:rFonts w:ascii="Arial" w:hAnsi="Arial" w:cs="Arial"/>
              </w:rPr>
            </w:pPr>
            <w:r w:rsidRPr="00116230">
              <w:rPr>
                <w:rFonts w:ascii="Arial" w:hAnsi="Arial" w:cs="Arial"/>
              </w:rPr>
              <w:t>Outbound logistics</w:t>
            </w:r>
          </w:p>
        </w:tc>
        <w:tc>
          <w:tcPr>
            <w:tcW w:w="0" w:type="auto"/>
            <w:vAlign w:val="center"/>
            <w:hideMark/>
          </w:tcPr>
          <w:p w14:paraId="28203FD8" w14:textId="77777777" w:rsidR="00116230" w:rsidRPr="00116230" w:rsidRDefault="00116230" w:rsidP="00116230">
            <w:pPr>
              <w:spacing w:line="360" w:lineRule="auto"/>
              <w:rPr>
                <w:rFonts w:ascii="Arial" w:hAnsi="Arial" w:cs="Arial"/>
              </w:rPr>
            </w:pPr>
            <w:r w:rsidRPr="00116230">
              <w:rPr>
                <w:rFonts w:ascii="Arial" w:hAnsi="Arial" w:cs="Arial"/>
              </w:rPr>
              <w:t>Chilled distribution; retailer delivery reliability</w:t>
            </w:r>
          </w:p>
        </w:tc>
        <w:tc>
          <w:tcPr>
            <w:tcW w:w="0" w:type="auto"/>
            <w:vAlign w:val="center"/>
            <w:hideMark/>
          </w:tcPr>
          <w:p w14:paraId="783E0EB7" w14:textId="77777777" w:rsidR="00116230" w:rsidRPr="00116230" w:rsidRDefault="00116230" w:rsidP="00116230">
            <w:pPr>
              <w:spacing w:line="360" w:lineRule="auto"/>
              <w:rPr>
                <w:rFonts w:ascii="Arial" w:hAnsi="Arial" w:cs="Arial"/>
              </w:rPr>
            </w:pPr>
            <w:r w:rsidRPr="00116230">
              <w:rPr>
                <w:rFonts w:ascii="Arial" w:hAnsi="Arial" w:cs="Arial"/>
              </w:rPr>
              <w:t>High cost and complexity; dependability is critical for retailer relationships</w:t>
            </w:r>
          </w:p>
        </w:tc>
      </w:tr>
      <w:tr w:rsidR="00116230" w:rsidRPr="00116230" w14:paraId="5B5E6327" w14:textId="77777777" w:rsidTr="00E41253">
        <w:trPr>
          <w:tblCellSpacing w:w="15" w:type="dxa"/>
        </w:trPr>
        <w:tc>
          <w:tcPr>
            <w:tcW w:w="0" w:type="auto"/>
            <w:shd w:val="clear" w:color="auto" w:fill="DAE9F7" w:themeFill="text2" w:themeFillTint="1A"/>
            <w:vAlign w:val="center"/>
            <w:hideMark/>
          </w:tcPr>
          <w:p w14:paraId="257CD36C" w14:textId="77777777" w:rsidR="00116230" w:rsidRPr="00116230" w:rsidRDefault="00116230" w:rsidP="00116230">
            <w:pPr>
              <w:spacing w:line="360" w:lineRule="auto"/>
              <w:rPr>
                <w:rFonts w:ascii="Arial" w:hAnsi="Arial" w:cs="Arial"/>
              </w:rPr>
            </w:pPr>
            <w:r w:rsidRPr="00116230">
              <w:rPr>
                <w:rFonts w:ascii="Arial" w:hAnsi="Arial" w:cs="Arial"/>
              </w:rPr>
              <w:t>Marketing &amp; sales</w:t>
            </w:r>
          </w:p>
        </w:tc>
        <w:tc>
          <w:tcPr>
            <w:tcW w:w="0" w:type="auto"/>
            <w:vAlign w:val="center"/>
            <w:hideMark/>
          </w:tcPr>
          <w:p w14:paraId="40C799E5" w14:textId="77777777" w:rsidR="00116230" w:rsidRPr="00116230" w:rsidRDefault="00116230" w:rsidP="00116230">
            <w:pPr>
              <w:spacing w:line="360" w:lineRule="auto"/>
              <w:rPr>
                <w:rFonts w:ascii="Arial" w:hAnsi="Arial" w:cs="Arial"/>
              </w:rPr>
            </w:pPr>
            <w:r w:rsidRPr="00116230">
              <w:rPr>
                <w:rFonts w:ascii="Arial" w:hAnsi="Arial" w:cs="Arial"/>
              </w:rPr>
              <w:t>Distinctive brand voice; transparency storytelling</w:t>
            </w:r>
          </w:p>
        </w:tc>
        <w:tc>
          <w:tcPr>
            <w:tcW w:w="0" w:type="auto"/>
            <w:vAlign w:val="center"/>
            <w:hideMark/>
          </w:tcPr>
          <w:p w14:paraId="4467C0DB" w14:textId="77777777" w:rsidR="00116230" w:rsidRPr="00116230" w:rsidRDefault="00116230" w:rsidP="00116230">
            <w:pPr>
              <w:spacing w:line="360" w:lineRule="auto"/>
              <w:rPr>
                <w:rFonts w:ascii="Arial" w:hAnsi="Arial" w:cs="Arial"/>
              </w:rPr>
            </w:pPr>
            <w:r w:rsidRPr="00116230">
              <w:rPr>
                <w:rFonts w:ascii="Arial" w:hAnsi="Arial" w:cs="Arial"/>
              </w:rPr>
              <w:t>Primary advantage area; must be supported by claims governance to avoid greenwashing risk (Delmas and Burbano, 2011)</w:t>
            </w:r>
          </w:p>
        </w:tc>
      </w:tr>
      <w:tr w:rsidR="00116230" w:rsidRPr="00116230" w14:paraId="0C437C63" w14:textId="77777777" w:rsidTr="00E41253">
        <w:trPr>
          <w:tblCellSpacing w:w="15" w:type="dxa"/>
        </w:trPr>
        <w:tc>
          <w:tcPr>
            <w:tcW w:w="0" w:type="auto"/>
            <w:shd w:val="clear" w:color="auto" w:fill="DAE9F7" w:themeFill="text2" w:themeFillTint="1A"/>
            <w:vAlign w:val="center"/>
            <w:hideMark/>
          </w:tcPr>
          <w:p w14:paraId="4F0EC7F4" w14:textId="77777777" w:rsidR="00116230" w:rsidRPr="00116230" w:rsidRDefault="00116230" w:rsidP="00116230">
            <w:pPr>
              <w:spacing w:line="360" w:lineRule="auto"/>
              <w:rPr>
                <w:rFonts w:ascii="Arial" w:hAnsi="Arial" w:cs="Arial"/>
              </w:rPr>
            </w:pPr>
            <w:r w:rsidRPr="00116230">
              <w:rPr>
                <w:rFonts w:ascii="Arial" w:hAnsi="Arial" w:cs="Arial"/>
              </w:rPr>
              <w:lastRenderedPageBreak/>
              <w:t>Service</w:t>
            </w:r>
          </w:p>
        </w:tc>
        <w:tc>
          <w:tcPr>
            <w:tcW w:w="0" w:type="auto"/>
            <w:vAlign w:val="center"/>
            <w:hideMark/>
          </w:tcPr>
          <w:p w14:paraId="0519ADFE" w14:textId="77777777" w:rsidR="00116230" w:rsidRPr="00116230" w:rsidRDefault="00116230" w:rsidP="00116230">
            <w:pPr>
              <w:spacing w:line="360" w:lineRule="auto"/>
              <w:rPr>
                <w:rFonts w:ascii="Arial" w:hAnsi="Arial" w:cs="Arial"/>
              </w:rPr>
            </w:pPr>
            <w:r w:rsidRPr="00116230">
              <w:rPr>
                <w:rFonts w:ascii="Arial" w:hAnsi="Arial" w:cs="Arial"/>
              </w:rPr>
              <w:t>Consumer engagement; responsive comms</w:t>
            </w:r>
          </w:p>
        </w:tc>
        <w:tc>
          <w:tcPr>
            <w:tcW w:w="0" w:type="auto"/>
            <w:vAlign w:val="center"/>
            <w:hideMark/>
          </w:tcPr>
          <w:p w14:paraId="45348E4A" w14:textId="77777777" w:rsidR="00116230" w:rsidRPr="00116230" w:rsidRDefault="00116230" w:rsidP="00116230">
            <w:pPr>
              <w:spacing w:line="360" w:lineRule="auto"/>
              <w:rPr>
                <w:rFonts w:ascii="Arial" w:hAnsi="Arial" w:cs="Arial"/>
              </w:rPr>
            </w:pPr>
            <w:r w:rsidRPr="00116230">
              <w:rPr>
                <w:rFonts w:ascii="Arial" w:hAnsi="Arial" w:cs="Arial"/>
              </w:rPr>
              <w:t>Reinforces trust and loyalty; high visibility increases reputational consequences of inconsistency</w:t>
            </w:r>
          </w:p>
        </w:tc>
      </w:tr>
      <w:tr w:rsidR="00116230" w:rsidRPr="00116230" w14:paraId="4795A1D0" w14:textId="77777777" w:rsidTr="00E41253">
        <w:trPr>
          <w:tblCellSpacing w:w="15" w:type="dxa"/>
        </w:trPr>
        <w:tc>
          <w:tcPr>
            <w:tcW w:w="0" w:type="auto"/>
            <w:shd w:val="clear" w:color="auto" w:fill="DAE9F7" w:themeFill="text2" w:themeFillTint="1A"/>
            <w:vAlign w:val="center"/>
            <w:hideMark/>
          </w:tcPr>
          <w:p w14:paraId="14078ABB" w14:textId="77777777" w:rsidR="00116230" w:rsidRPr="00116230" w:rsidRDefault="00116230" w:rsidP="00116230">
            <w:pPr>
              <w:spacing w:line="360" w:lineRule="auto"/>
              <w:rPr>
                <w:rFonts w:ascii="Arial" w:hAnsi="Arial" w:cs="Arial"/>
              </w:rPr>
            </w:pPr>
            <w:r w:rsidRPr="00116230">
              <w:rPr>
                <w:rFonts w:ascii="Arial" w:hAnsi="Arial" w:cs="Arial"/>
              </w:rPr>
              <w:t>Support: procurement</w:t>
            </w:r>
          </w:p>
        </w:tc>
        <w:tc>
          <w:tcPr>
            <w:tcW w:w="0" w:type="auto"/>
            <w:vAlign w:val="center"/>
            <w:hideMark/>
          </w:tcPr>
          <w:p w14:paraId="0061D438" w14:textId="77777777" w:rsidR="00116230" w:rsidRPr="00116230" w:rsidRDefault="00116230" w:rsidP="00116230">
            <w:pPr>
              <w:spacing w:line="360" w:lineRule="auto"/>
              <w:rPr>
                <w:rFonts w:ascii="Arial" w:hAnsi="Arial" w:cs="Arial"/>
              </w:rPr>
            </w:pPr>
            <w:r w:rsidRPr="00116230">
              <w:rPr>
                <w:rFonts w:ascii="Arial" w:hAnsi="Arial" w:cs="Arial"/>
              </w:rPr>
              <w:t>Values-constrained supplier selection</w:t>
            </w:r>
          </w:p>
        </w:tc>
        <w:tc>
          <w:tcPr>
            <w:tcW w:w="0" w:type="auto"/>
            <w:vAlign w:val="center"/>
            <w:hideMark/>
          </w:tcPr>
          <w:p w14:paraId="4417293B" w14:textId="77777777" w:rsidR="00116230" w:rsidRPr="00116230" w:rsidRDefault="00116230" w:rsidP="00116230">
            <w:pPr>
              <w:spacing w:line="360" w:lineRule="auto"/>
              <w:rPr>
                <w:rFonts w:ascii="Arial" w:hAnsi="Arial" w:cs="Arial"/>
              </w:rPr>
            </w:pPr>
            <w:r w:rsidRPr="00116230">
              <w:rPr>
                <w:rFonts w:ascii="Arial" w:hAnsi="Arial" w:cs="Arial"/>
              </w:rPr>
              <w:t>Limits low-cost substitution; pushes strategy towards differentiation</w:t>
            </w:r>
          </w:p>
        </w:tc>
      </w:tr>
      <w:tr w:rsidR="00116230" w:rsidRPr="00116230" w14:paraId="32A7DD9B" w14:textId="77777777" w:rsidTr="00E41253">
        <w:trPr>
          <w:tblCellSpacing w:w="15" w:type="dxa"/>
        </w:trPr>
        <w:tc>
          <w:tcPr>
            <w:tcW w:w="0" w:type="auto"/>
            <w:shd w:val="clear" w:color="auto" w:fill="DAE9F7" w:themeFill="text2" w:themeFillTint="1A"/>
            <w:vAlign w:val="center"/>
            <w:hideMark/>
          </w:tcPr>
          <w:p w14:paraId="526D8792" w14:textId="77777777" w:rsidR="00116230" w:rsidRPr="00116230" w:rsidRDefault="00116230" w:rsidP="00116230">
            <w:pPr>
              <w:spacing w:line="360" w:lineRule="auto"/>
              <w:rPr>
                <w:rFonts w:ascii="Arial" w:hAnsi="Arial" w:cs="Arial"/>
              </w:rPr>
            </w:pPr>
            <w:r w:rsidRPr="00116230">
              <w:rPr>
                <w:rFonts w:ascii="Arial" w:hAnsi="Arial" w:cs="Arial"/>
              </w:rPr>
              <w:t>Support: HR and culture</w:t>
            </w:r>
          </w:p>
        </w:tc>
        <w:tc>
          <w:tcPr>
            <w:tcW w:w="0" w:type="auto"/>
            <w:vAlign w:val="center"/>
            <w:hideMark/>
          </w:tcPr>
          <w:p w14:paraId="4EF6D22A" w14:textId="77777777" w:rsidR="00116230" w:rsidRPr="00116230" w:rsidRDefault="00116230" w:rsidP="00116230">
            <w:pPr>
              <w:spacing w:line="360" w:lineRule="auto"/>
              <w:rPr>
                <w:rFonts w:ascii="Arial" w:hAnsi="Arial" w:cs="Arial"/>
              </w:rPr>
            </w:pPr>
            <w:r w:rsidRPr="00116230">
              <w:rPr>
                <w:rFonts w:ascii="Arial" w:hAnsi="Arial" w:cs="Arial"/>
              </w:rPr>
              <w:t>Purpose-led employee engagement</w:t>
            </w:r>
          </w:p>
        </w:tc>
        <w:tc>
          <w:tcPr>
            <w:tcW w:w="0" w:type="auto"/>
            <w:vAlign w:val="center"/>
            <w:hideMark/>
          </w:tcPr>
          <w:p w14:paraId="6DE98533" w14:textId="77777777" w:rsidR="00116230" w:rsidRPr="00116230" w:rsidRDefault="00116230" w:rsidP="00116230">
            <w:pPr>
              <w:spacing w:line="360" w:lineRule="auto"/>
              <w:rPr>
                <w:rFonts w:ascii="Arial" w:hAnsi="Arial" w:cs="Arial"/>
              </w:rPr>
            </w:pPr>
            <w:r w:rsidRPr="00116230">
              <w:rPr>
                <w:rFonts w:ascii="Arial" w:hAnsi="Arial" w:cs="Arial"/>
              </w:rPr>
              <w:t>Aligns with B Corp/stakeholder governance; supports implementation momentum</w:t>
            </w:r>
          </w:p>
        </w:tc>
      </w:tr>
      <w:tr w:rsidR="00116230" w:rsidRPr="00116230" w14:paraId="592F94C0" w14:textId="77777777" w:rsidTr="00E41253">
        <w:trPr>
          <w:tblCellSpacing w:w="15" w:type="dxa"/>
        </w:trPr>
        <w:tc>
          <w:tcPr>
            <w:tcW w:w="0" w:type="auto"/>
            <w:shd w:val="clear" w:color="auto" w:fill="DAE9F7" w:themeFill="text2" w:themeFillTint="1A"/>
            <w:vAlign w:val="center"/>
            <w:hideMark/>
          </w:tcPr>
          <w:p w14:paraId="6CED4252" w14:textId="77777777" w:rsidR="00116230" w:rsidRPr="00116230" w:rsidRDefault="00116230" w:rsidP="00116230">
            <w:pPr>
              <w:spacing w:line="360" w:lineRule="auto"/>
              <w:rPr>
                <w:rFonts w:ascii="Arial" w:hAnsi="Arial" w:cs="Arial"/>
              </w:rPr>
            </w:pPr>
            <w:r w:rsidRPr="00116230">
              <w:rPr>
                <w:rFonts w:ascii="Arial" w:hAnsi="Arial" w:cs="Arial"/>
              </w:rPr>
              <w:t>Support: technology</w:t>
            </w:r>
          </w:p>
        </w:tc>
        <w:tc>
          <w:tcPr>
            <w:tcW w:w="0" w:type="auto"/>
            <w:vAlign w:val="center"/>
            <w:hideMark/>
          </w:tcPr>
          <w:p w14:paraId="65163AC6" w14:textId="77777777" w:rsidR="00116230" w:rsidRPr="00116230" w:rsidRDefault="00116230" w:rsidP="00116230">
            <w:pPr>
              <w:spacing w:line="360" w:lineRule="auto"/>
              <w:rPr>
                <w:rFonts w:ascii="Arial" w:hAnsi="Arial" w:cs="Arial"/>
              </w:rPr>
            </w:pPr>
            <w:r w:rsidRPr="00116230">
              <w:rPr>
                <w:rFonts w:ascii="Arial" w:hAnsi="Arial" w:cs="Arial"/>
              </w:rPr>
              <w:t>Packaging innovation; analytics; LCA tools</w:t>
            </w:r>
          </w:p>
        </w:tc>
        <w:tc>
          <w:tcPr>
            <w:tcW w:w="0" w:type="auto"/>
            <w:vAlign w:val="center"/>
            <w:hideMark/>
          </w:tcPr>
          <w:p w14:paraId="20D9A8DB" w14:textId="77777777" w:rsidR="00116230" w:rsidRPr="00116230" w:rsidRDefault="00116230" w:rsidP="00116230">
            <w:pPr>
              <w:spacing w:line="360" w:lineRule="auto"/>
              <w:rPr>
                <w:rFonts w:ascii="Arial" w:hAnsi="Arial" w:cs="Arial"/>
              </w:rPr>
            </w:pPr>
            <w:r w:rsidRPr="00116230">
              <w:rPr>
                <w:rFonts w:ascii="Arial" w:hAnsi="Arial" w:cs="Arial"/>
              </w:rPr>
              <w:t>Enables compliance readiness and carbon reductions; capability building strengthens long-term advantage</w:t>
            </w:r>
          </w:p>
        </w:tc>
      </w:tr>
    </w:tbl>
    <w:p w14:paraId="72768963" w14:textId="77777777" w:rsidR="00116230" w:rsidRDefault="00116230" w:rsidP="0013301A">
      <w:pPr>
        <w:pStyle w:val="Heading1"/>
      </w:pPr>
      <w:bookmarkStart w:id="12" w:name="_Toc223254243"/>
      <w:r w:rsidRPr="00450AAB">
        <w:t>4. Strategic Growth Options and Proposed Strategy</w:t>
      </w:r>
      <w:bookmarkEnd w:id="12"/>
    </w:p>
    <w:p w14:paraId="41F8172F" w14:textId="03812479" w:rsidR="00693760" w:rsidRPr="00693760" w:rsidRDefault="00693760" w:rsidP="00693760">
      <w:pPr>
        <w:spacing w:line="360" w:lineRule="auto"/>
        <w:rPr>
          <w:rFonts w:ascii="Arial" w:hAnsi="Arial" w:cs="Arial"/>
        </w:rPr>
      </w:pPr>
      <w:r w:rsidRPr="00693760">
        <w:rPr>
          <w:rFonts w:ascii="Arial" w:hAnsi="Arial" w:cs="Arial"/>
        </w:rPr>
        <w:t xml:space="preserve">Innocent should develop a new innovation platform called </w:t>
      </w:r>
      <w:r w:rsidRPr="00693760">
        <w:rPr>
          <w:rFonts w:ascii="Arial" w:hAnsi="Arial" w:cs="Arial"/>
          <w:b/>
          <w:bCs/>
        </w:rPr>
        <w:t>“Everyday Health”</w:t>
      </w:r>
      <w:r w:rsidRPr="00693760">
        <w:rPr>
          <w:rFonts w:ascii="Arial" w:hAnsi="Arial" w:cs="Arial"/>
        </w:rPr>
        <w:t>, focused on portion-led sugar management, plant-based nutrition and evidence-led functional benefits.</w:t>
      </w:r>
    </w:p>
    <w:p w14:paraId="6BB0A58B" w14:textId="50A3C117" w:rsidR="00906C5D" w:rsidRPr="00116230" w:rsidRDefault="00116230" w:rsidP="0013301A">
      <w:pPr>
        <w:pStyle w:val="Heading2"/>
      </w:pPr>
      <w:bookmarkStart w:id="13" w:name="_Toc223254244"/>
      <w:r w:rsidRPr="00116230">
        <w:t>4.1 Ansoff matrix (growth routes)</w:t>
      </w:r>
      <w:bookmarkEnd w:id="13"/>
    </w:p>
    <w:p w14:paraId="2CBDAE4E" w14:textId="0C7B0327" w:rsidR="00116230" w:rsidRPr="009A448B" w:rsidRDefault="00116230" w:rsidP="00116230">
      <w:pPr>
        <w:spacing w:line="360" w:lineRule="auto"/>
        <w:rPr>
          <w:rFonts w:ascii="Arial" w:hAnsi="Arial" w:cs="Arial"/>
          <w:b/>
          <w:bCs/>
        </w:rPr>
      </w:pPr>
      <w:r w:rsidRPr="009A448B">
        <w:rPr>
          <w:rFonts w:ascii="Arial" w:hAnsi="Arial" w:cs="Arial"/>
          <w:b/>
          <w:bCs/>
        </w:rPr>
        <w:t>Table 4.1: Ansoff matrix – growth options for Innocent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5"/>
        <w:gridCol w:w="4211"/>
        <w:gridCol w:w="3615"/>
      </w:tblGrid>
      <w:tr w:rsidR="00116230" w:rsidRPr="00116230" w14:paraId="7DDE9363" w14:textId="77777777" w:rsidTr="00906C5D">
        <w:trPr>
          <w:tblHeader/>
          <w:tblCellSpacing w:w="15" w:type="dxa"/>
        </w:trPr>
        <w:tc>
          <w:tcPr>
            <w:tcW w:w="0" w:type="auto"/>
            <w:vAlign w:val="center"/>
            <w:hideMark/>
          </w:tcPr>
          <w:p w14:paraId="03D4A821" w14:textId="77777777" w:rsidR="00116230" w:rsidRPr="00116230" w:rsidRDefault="00116230" w:rsidP="00116230">
            <w:pPr>
              <w:spacing w:line="360" w:lineRule="auto"/>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shd w:val="clear" w:color="auto" w:fill="00B0F0"/>
            <w:vAlign w:val="center"/>
            <w:hideMark/>
          </w:tcPr>
          <w:p w14:paraId="10429989" w14:textId="77777777" w:rsidR="00116230" w:rsidRPr="00695F1C" w:rsidRDefault="00116230" w:rsidP="00116230">
            <w:pPr>
              <w:spacing w:line="360" w:lineRule="auto"/>
              <w:rPr>
                <w:rFonts w:ascii="Arial" w:hAnsi="Arial" w:cs="Arial"/>
                <w:b/>
                <w:bCs/>
              </w:rPr>
            </w:pPr>
            <w:r w:rsidRPr="00695F1C">
              <w:rPr>
                <w:rFonts w:ascii="Arial" w:hAnsi="Arial" w:cs="Arial"/>
                <w:b/>
                <w:bCs/>
              </w:rPr>
              <w:t>Existing markets</w:t>
            </w:r>
          </w:p>
        </w:tc>
        <w:tc>
          <w:tcPr>
            <w:tcW w:w="0" w:type="auto"/>
            <w:tcBorders>
              <w:top w:val="single" w:sz="4" w:space="0" w:color="auto"/>
              <w:left w:val="single" w:sz="4" w:space="0" w:color="auto"/>
              <w:bottom w:val="single" w:sz="4" w:space="0" w:color="auto"/>
              <w:right w:val="single" w:sz="4" w:space="0" w:color="auto"/>
            </w:tcBorders>
            <w:shd w:val="clear" w:color="auto" w:fill="00B0F0"/>
            <w:vAlign w:val="center"/>
            <w:hideMark/>
          </w:tcPr>
          <w:p w14:paraId="6608E24D" w14:textId="77777777" w:rsidR="00116230" w:rsidRPr="00695F1C" w:rsidRDefault="00116230" w:rsidP="00116230">
            <w:pPr>
              <w:spacing w:line="360" w:lineRule="auto"/>
              <w:rPr>
                <w:rFonts w:ascii="Arial" w:hAnsi="Arial" w:cs="Arial"/>
                <w:b/>
                <w:bCs/>
              </w:rPr>
            </w:pPr>
            <w:r w:rsidRPr="00695F1C">
              <w:rPr>
                <w:rFonts w:ascii="Arial" w:hAnsi="Arial" w:cs="Arial"/>
                <w:b/>
                <w:bCs/>
              </w:rPr>
              <w:t>New markets</w:t>
            </w:r>
          </w:p>
        </w:tc>
      </w:tr>
      <w:tr w:rsidR="00116230" w:rsidRPr="00116230" w14:paraId="5B16D390" w14:textId="77777777" w:rsidTr="00906C5D">
        <w:trPr>
          <w:tblCellSpacing w:w="15" w:type="dxa"/>
        </w:trPr>
        <w:tc>
          <w:tcPr>
            <w:tcW w:w="0" w:type="auto"/>
            <w:vAlign w:val="center"/>
            <w:hideMark/>
          </w:tcPr>
          <w:p w14:paraId="5EC940FD" w14:textId="77777777" w:rsidR="00116230" w:rsidRPr="00906C5D" w:rsidRDefault="00116230" w:rsidP="00116230">
            <w:pPr>
              <w:spacing w:line="360" w:lineRule="auto"/>
              <w:rPr>
                <w:rFonts w:ascii="Arial" w:hAnsi="Arial" w:cs="Arial"/>
                <w:b/>
                <w:bCs/>
              </w:rPr>
            </w:pPr>
            <w:r w:rsidRPr="00906C5D">
              <w:rPr>
                <w:rFonts w:ascii="Arial" w:hAnsi="Arial" w:cs="Arial"/>
                <w:b/>
                <w:bCs/>
              </w:rPr>
              <w:t>Existing products</w:t>
            </w:r>
          </w:p>
        </w:tc>
        <w:tc>
          <w:tcPr>
            <w:tcW w:w="0" w:type="auto"/>
            <w:tcBorders>
              <w:top w:val="single" w:sz="4" w:space="0" w:color="auto"/>
              <w:left w:val="single" w:sz="4" w:space="0" w:color="auto"/>
              <w:bottom w:val="single" w:sz="4" w:space="0" w:color="auto"/>
              <w:right w:val="single" w:sz="4" w:space="0" w:color="auto"/>
            </w:tcBorders>
            <w:vAlign w:val="center"/>
            <w:hideMark/>
          </w:tcPr>
          <w:p w14:paraId="69CF05D8" w14:textId="77777777" w:rsidR="00116230" w:rsidRPr="00116230" w:rsidRDefault="00116230" w:rsidP="00116230">
            <w:pPr>
              <w:spacing w:line="360" w:lineRule="auto"/>
              <w:rPr>
                <w:rFonts w:ascii="Arial" w:hAnsi="Arial" w:cs="Arial"/>
              </w:rPr>
            </w:pPr>
            <w:r w:rsidRPr="00116230">
              <w:rPr>
                <w:rFonts w:ascii="Arial" w:hAnsi="Arial" w:cs="Arial"/>
              </w:rPr>
              <w:t>Market penetration: improve distribution, shopper conversion, and repeat purchase; protect margin through smarter promotions rather than discount dependence.</w:t>
            </w:r>
          </w:p>
        </w:tc>
        <w:tc>
          <w:tcPr>
            <w:tcW w:w="0" w:type="auto"/>
            <w:tcBorders>
              <w:top w:val="single" w:sz="4" w:space="0" w:color="auto"/>
              <w:left w:val="single" w:sz="4" w:space="0" w:color="auto"/>
              <w:bottom w:val="single" w:sz="4" w:space="0" w:color="auto"/>
              <w:right w:val="single" w:sz="4" w:space="0" w:color="auto"/>
            </w:tcBorders>
            <w:vAlign w:val="center"/>
            <w:hideMark/>
          </w:tcPr>
          <w:p w14:paraId="46202ACD" w14:textId="77777777" w:rsidR="00116230" w:rsidRPr="00116230" w:rsidRDefault="00116230" w:rsidP="00116230">
            <w:pPr>
              <w:spacing w:line="360" w:lineRule="auto"/>
              <w:rPr>
                <w:rFonts w:ascii="Arial" w:hAnsi="Arial" w:cs="Arial"/>
              </w:rPr>
            </w:pPr>
            <w:r w:rsidRPr="00116230">
              <w:rPr>
                <w:rFonts w:ascii="Arial" w:hAnsi="Arial" w:cs="Arial"/>
              </w:rPr>
              <w:t>Market development: selective European expansion in markets with premium health demand and ethical consumption norms.</w:t>
            </w:r>
          </w:p>
        </w:tc>
      </w:tr>
      <w:tr w:rsidR="00116230" w:rsidRPr="00116230" w14:paraId="1D1B6A53" w14:textId="77777777" w:rsidTr="00906C5D">
        <w:trPr>
          <w:tblCellSpacing w:w="15" w:type="dxa"/>
        </w:trPr>
        <w:tc>
          <w:tcPr>
            <w:tcW w:w="0" w:type="auto"/>
            <w:vAlign w:val="center"/>
            <w:hideMark/>
          </w:tcPr>
          <w:p w14:paraId="15BF1408" w14:textId="77777777" w:rsidR="00116230" w:rsidRPr="00906C5D" w:rsidRDefault="00116230" w:rsidP="00116230">
            <w:pPr>
              <w:spacing w:line="360" w:lineRule="auto"/>
              <w:rPr>
                <w:rFonts w:ascii="Arial" w:hAnsi="Arial" w:cs="Arial"/>
                <w:b/>
                <w:bCs/>
              </w:rPr>
            </w:pPr>
            <w:r w:rsidRPr="00906C5D">
              <w:rPr>
                <w:rFonts w:ascii="Arial" w:hAnsi="Arial" w:cs="Arial"/>
                <w:b/>
                <w:bCs/>
              </w:rPr>
              <w:t>New products</w:t>
            </w:r>
          </w:p>
        </w:tc>
        <w:tc>
          <w:tcPr>
            <w:tcW w:w="0" w:type="auto"/>
            <w:tcBorders>
              <w:top w:val="single" w:sz="4" w:space="0" w:color="auto"/>
              <w:left w:val="single" w:sz="4" w:space="0" w:color="auto"/>
              <w:bottom w:val="single" w:sz="4" w:space="0" w:color="auto"/>
              <w:right w:val="single" w:sz="4" w:space="0" w:color="auto"/>
            </w:tcBorders>
            <w:vAlign w:val="center"/>
            <w:hideMark/>
          </w:tcPr>
          <w:p w14:paraId="5E702CC7" w14:textId="77777777" w:rsidR="00116230" w:rsidRPr="00116230" w:rsidRDefault="00116230" w:rsidP="00116230">
            <w:pPr>
              <w:spacing w:line="360" w:lineRule="auto"/>
              <w:rPr>
                <w:rFonts w:ascii="Arial" w:hAnsi="Arial" w:cs="Arial"/>
              </w:rPr>
            </w:pPr>
            <w:r w:rsidRPr="00116230">
              <w:rPr>
                <w:rFonts w:ascii="Arial" w:hAnsi="Arial" w:cs="Arial"/>
              </w:rPr>
              <w:t>Product development: “Everyday Health” platform (portion-led sugar management; fibre/protein; plant-based innovation) with evidence-led claims.</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2BF23" w14:textId="77777777" w:rsidR="00116230" w:rsidRPr="00116230" w:rsidRDefault="00116230" w:rsidP="00116230">
            <w:pPr>
              <w:spacing w:line="360" w:lineRule="auto"/>
              <w:rPr>
                <w:rFonts w:ascii="Arial" w:hAnsi="Arial" w:cs="Arial"/>
              </w:rPr>
            </w:pPr>
            <w:r w:rsidRPr="00116230">
              <w:rPr>
                <w:rFonts w:ascii="Arial" w:hAnsi="Arial" w:cs="Arial"/>
              </w:rPr>
              <w:t>Diversification: only close adjacencies (high risk of dilution); avoid unrelated categories that weaken authenticity.</w:t>
            </w:r>
          </w:p>
        </w:tc>
      </w:tr>
    </w:tbl>
    <w:p w14:paraId="0A2D8957" w14:textId="77777777" w:rsidR="007463D2" w:rsidRDefault="007463D2" w:rsidP="007463D2">
      <w:pPr>
        <w:spacing w:line="360" w:lineRule="auto"/>
        <w:jc w:val="both"/>
        <w:rPr>
          <w:rFonts w:ascii="Arial" w:hAnsi="Arial" w:cs="Arial"/>
        </w:rPr>
      </w:pPr>
    </w:p>
    <w:p w14:paraId="5C4F4283" w14:textId="30679592" w:rsidR="00116230" w:rsidRPr="00116230" w:rsidRDefault="00116230" w:rsidP="007463D2">
      <w:pPr>
        <w:spacing w:line="360" w:lineRule="auto"/>
        <w:jc w:val="both"/>
        <w:rPr>
          <w:rFonts w:ascii="Arial" w:hAnsi="Arial" w:cs="Arial"/>
        </w:rPr>
      </w:pPr>
      <w:r w:rsidRPr="00116230">
        <w:rPr>
          <w:rFonts w:ascii="Arial" w:hAnsi="Arial" w:cs="Arial"/>
        </w:rPr>
        <w:lastRenderedPageBreak/>
        <w:t>Product development and selective market development provide the best fit because they leverage existing brand assets while creating new value (Ansoff, 1957).</w:t>
      </w:r>
    </w:p>
    <w:p w14:paraId="67B786BC" w14:textId="77777777" w:rsidR="00116230" w:rsidRPr="00906C5D" w:rsidRDefault="00116230" w:rsidP="0013301A">
      <w:pPr>
        <w:pStyle w:val="Heading2"/>
      </w:pPr>
      <w:bookmarkStart w:id="14" w:name="_Toc223254245"/>
      <w:r w:rsidRPr="00906C5D">
        <w:t>4.2 Porter’s Generic Strategies (competitive positioning)</w:t>
      </w:r>
      <w:bookmarkEnd w:id="14"/>
    </w:p>
    <w:p w14:paraId="107E1A1F" w14:textId="7E21572B" w:rsidR="00C54E05" w:rsidRPr="00116230" w:rsidRDefault="00116230" w:rsidP="007463D2">
      <w:pPr>
        <w:spacing w:line="360" w:lineRule="auto"/>
        <w:jc w:val="both"/>
        <w:rPr>
          <w:rFonts w:ascii="Arial" w:hAnsi="Arial" w:cs="Arial"/>
        </w:rPr>
      </w:pPr>
      <w:r w:rsidRPr="00116230">
        <w:rPr>
          <w:rFonts w:ascii="Arial" w:hAnsi="Arial" w:cs="Arial"/>
        </w:rPr>
        <w:t>Innocent’s cost structure makes cost leadership strategically unrealistic. Ethical sourcing and chilled distribution create a structurally higher cost base. Competing on price risks eroding brand equity and stakeholder trust.</w:t>
      </w:r>
    </w:p>
    <w:p w14:paraId="7B2D82FB" w14:textId="18811858" w:rsidR="00116230" w:rsidRPr="009A448B" w:rsidRDefault="00116230" w:rsidP="00116230">
      <w:pPr>
        <w:spacing w:line="360" w:lineRule="auto"/>
        <w:rPr>
          <w:rFonts w:ascii="Arial" w:hAnsi="Arial" w:cs="Arial"/>
          <w:b/>
          <w:bCs/>
        </w:rPr>
      </w:pPr>
      <w:r w:rsidRPr="009A448B">
        <w:rPr>
          <w:rFonts w:ascii="Arial" w:hAnsi="Arial" w:cs="Arial"/>
          <w:b/>
          <w:bCs/>
        </w:rPr>
        <w:t>Table 4.2: Porter Generic Strategies – Innocent position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3"/>
        <w:gridCol w:w="1404"/>
        <w:gridCol w:w="5549"/>
      </w:tblGrid>
      <w:tr w:rsidR="00116230" w:rsidRPr="00116230" w14:paraId="044CAD90" w14:textId="77777777" w:rsidTr="00695F1C">
        <w:trPr>
          <w:tblHeader/>
          <w:tblCellSpacing w:w="15" w:type="dxa"/>
        </w:trPr>
        <w:tc>
          <w:tcPr>
            <w:tcW w:w="0" w:type="auto"/>
            <w:shd w:val="clear" w:color="auto" w:fill="00B0F0"/>
            <w:vAlign w:val="center"/>
            <w:hideMark/>
          </w:tcPr>
          <w:p w14:paraId="1C06D597" w14:textId="77777777" w:rsidR="00116230" w:rsidRPr="00695F1C" w:rsidRDefault="00116230" w:rsidP="00116230">
            <w:pPr>
              <w:spacing w:line="360" w:lineRule="auto"/>
              <w:rPr>
                <w:rFonts w:ascii="Arial" w:hAnsi="Arial" w:cs="Arial"/>
                <w:b/>
                <w:bCs/>
              </w:rPr>
            </w:pPr>
            <w:r w:rsidRPr="00695F1C">
              <w:rPr>
                <w:rFonts w:ascii="Arial" w:hAnsi="Arial" w:cs="Arial"/>
                <w:b/>
                <w:bCs/>
              </w:rPr>
              <w:t>Strategy</w:t>
            </w:r>
          </w:p>
        </w:tc>
        <w:tc>
          <w:tcPr>
            <w:tcW w:w="0" w:type="auto"/>
            <w:shd w:val="clear" w:color="auto" w:fill="00B0F0"/>
            <w:vAlign w:val="center"/>
            <w:hideMark/>
          </w:tcPr>
          <w:p w14:paraId="4D3CC5D1" w14:textId="77777777" w:rsidR="00116230" w:rsidRPr="00695F1C" w:rsidRDefault="00116230" w:rsidP="00116230">
            <w:pPr>
              <w:spacing w:line="360" w:lineRule="auto"/>
              <w:rPr>
                <w:rFonts w:ascii="Arial" w:hAnsi="Arial" w:cs="Arial"/>
                <w:b/>
                <w:bCs/>
              </w:rPr>
            </w:pPr>
            <w:r w:rsidRPr="00695F1C">
              <w:rPr>
                <w:rFonts w:ascii="Arial" w:hAnsi="Arial" w:cs="Arial"/>
                <w:b/>
                <w:bCs/>
              </w:rPr>
              <w:t>Fit for Innocent</w:t>
            </w:r>
          </w:p>
        </w:tc>
        <w:tc>
          <w:tcPr>
            <w:tcW w:w="0" w:type="auto"/>
            <w:shd w:val="clear" w:color="auto" w:fill="00B0F0"/>
            <w:vAlign w:val="center"/>
            <w:hideMark/>
          </w:tcPr>
          <w:p w14:paraId="2F7DB31A" w14:textId="77777777" w:rsidR="00116230" w:rsidRPr="00695F1C" w:rsidRDefault="00116230" w:rsidP="00116230">
            <w:pPr>
              <w:spacing w:line="360" w:lineRule="auto"/>
              <w:rPr>
                <w:rFonts w:ascii="Arial" w:hAnsi="Arial" w:cs="Arial"/>
                <w:b/>
                <w:bCs/>
              </w:rPr>
            </w:pPr>
            <w:r w:rsidRPr="00695F1C">
              <w:rPr>
                <w:rFonts w:ascii="Arial" w:hAnsi="Arial" w:cs="Arial"/>
                <w:b/>
                <w:bCs/>
              </w:rPr>
              <w:t>Justification</w:t>
            </w:r>
          </w:p>
        </w:tc>
      </w:tr>
      <w:tr w:rsidR="00116230" w:rsidRPr="00116230" w14:paraId="4113EF87" w14:textId="77777777" w:rsidTr="00695F1C">
        <w:trPr>
          <w:tblCellSpacing w:w="15" w:type="dxa"/>
        </w:trPr>
        <w:tc>
          <w:tcPr>
            <w:tcW w:w="0" w:type="auto"/>
            <w:shd w:val="clear" w:color="auto" w:fill="DAE9F7" w:themeFill="text2" w:themeFillTint="1A"/>
            <w:vAlign w:val="center"/>
            <w:hideMark/>
          </w:tcPr>
          <w:p w14:paraId="0CAB1ADF" w14:textId="77777777" w:rsidR="00116230" w:rsidRPr="00116230" w:rsidRDefault="00116230" w:rsidP="00116230">
            <w:pPr>
              <w:spacing w:line="360" w:lineRule="auto"/>
              <w:rPr>
                <w:rFonts w:ascii="Arial" w:hAnsi="Arial" w:cs="Arial"/>
              </w:rPr>
            </w:pPr>
            <w:r w:rsidRPr="00116230">
              <w:rPr>
                <w:rFonts w:ascii="Arial" w:hAnsi="Arial" w:cs="Arial"/>
              </w:rPr>
              <w:t>Cost leadership</w:t>
            </w:r>
          </w:p>
        </w:tc>
        <w:tc>
          <w:tcPr>
            <w:tcW w:w="0" w:type="auto"/>
            <w:vAlign w:val="center"/>
            <w:hideMark/>
          </w:tcPr>
          <w:p w14:paraId="1B32A146" w14:textId="77777777" w:rsidR="00116230" w:rsidRPr="00116230" w:rsidRDefault="00116230" w:rsidP="00116230">
            <w:pPr>
              <w:spacing w:line="360" w:lineRule="auto"/>
              <w:rPr>
                <w:rFonts w:ascii="Arial" w:hAnsi="Arial" w:cs="Arial"/>
              </w:rPr>
            </w:pPr>
            <w:r w:rsidRPr="00116230">
              <w:rPr>
                <w:rFonts w:ascii="Arial" w:hAnsi="Arial" w:cs="Arial"/>
              </w:rPr>
              <w:t>Low</w:t>
            </w:r>
          </w:p>
        </w:tc>
        <w:tc>
          <w:tcPr>
            <w:tcW w:w="0" w:type="auto"/>
            <w:vAlign w:val="center"/>
            <w:hideMark/>
          </w:tcPr>
          <w:p w14:paraId="0061C01E" w14:textId="77777777" w:rsidR="00116230" w:rsidRPr="00116230" w:rsidRDefault="00116230" w:rsidP="00116230">
            <w:pPr>
              <w:spacing w:line="360" w:lineRule="auto"/>
              <w:rPr>
                <w:rFonts w:ascii="Arial" w:hAnsi="Arial" w:cs="Arial"/>
              </w:rPr>
            </w:pPr>
            <w:r w:rsidRPr="00116230">
              <w:rPr>
                <w:rFonts w:ascii="Arial" w:hAnsi="Arial" w:cs="Arial"/>
              </w:rPr>
              <w:t>Own-label and mass manufacturers can undercut; would require value compromises</w:t>
            </w:r>
          </w:p>
        </w:tc>
      </w:tr>
      <w:tr w:rsidR="00116230" w:rsidRPr="00116230" w14:paraId="7D114234" w14:textId="77777777" w:rsidTr="00695F1C">
        <w:trPr>
          <w:tblCellSpacing w:w="15" w:type="dxa"/>
        </w:trPr>
        <w:tc>
          <w:tcPr>
            <w:tcW w:w="0" w:type="auto"/>
            <w:shd w:val="clear" w:color="auto" w:fill="DAE9F7" w:themeFill="text2" w:themeFillTint="1A"/>
            <w:vAlign w:val="center"/>
            <w:hideMark/>
          </w:tcPr>
          <w:p w14:paraId="34D8E377" w14:textId="77777777" w:rsidR="00116230" w:rsidRPr="00116230" w:rsidRDefault="00116230" w:rsidP="00116230">
            <w:pPr>
              <w:spacing w:line="360" w:lineRule="auto"/>
              <w:rPr>
                <w:rFonts w:ascii="Arial" w:hAnsi="Arial" w:cs="Arial"/>
              </w:rPr>
            </w:pPr>
            <w:r w:rsidRPr="00116230">
              <w:rPr>
                <w:rFonts w:ascii="Arial" w:hAnsi="Arial" w:cs="Arial"/>
              </w:rPr>
              <w:t>Differentiation (broad)</w:t>
            </w:r>
          </w:p>
        </w:tc>
        <w:tc>
          <w:tcPr>
            <w:tcW w:w="0" w:type="auto"/>
            <w:vAlign w:val="center"/>
            <w:hideMark/>
          </w:tcPr>
          <w:p w14:paraId="7F9B10C9" w14:textId="77777777" w:rsidR="00116230" w:rsidRPr="00116230" w:rsidRDefault="00116230" w:rsidP="00116230">
            <w:pPr>
              <w:spacing w:line="360" w:lineRule="auto"/>
              <w:rPr>
                <w:rFonts w:ascii="Arial" w:hAnsi="Arial" w:cs="Arial"/>
              </w:rPr>
            </w:pPr>
            <w:r w:rsidRPr="00116230">
              <w:rPr>
                <w:rFonts w:ascii="Arial" w:hAnsi="Arial" w:cs="Arial"/>
              </w:rPr>
              <w:t>Medium</w:t>
            </w:r>
          </w:p>
        </w:tc>
        <w:tc>
          <w:tcPr>
            <w:tcW w:w="0" w:type="auto"/>
            <w:vAlign w:val="center"/>
            <w:hideMark/>
          </w:tcPr>
          <w:p w14:paraId="7ADFF6F0" w14:textId="77777777" w:rsidR="00116230" w:rsidRPr="00116230" w:rsidRDefault="00116230" w:rsidP="00116230">
            <w:pPr>
              <w:spacing w:line="360" w:lineRule="auto"/>
              <w:rPr>
                <w:rFonts w:ascii="Arial" w:hAnsi="Arial" w:cs="Arial"/>
              </w:rPr>
            </w:pPr>
            <w:r w:rsidRPr="00116230">
              <w:rPr>
                <w:rFonts w:ascii="Arial" w:hAnsi="Arial" w:cs="Arial"/>
              </w:rPr>
              <w:t>Brand could broaden, but over-expansion risks dilution</w:t>
            </w:r>
          </w:p>
        </w:tc>
      </w:tr>
      <w:tr w:rsidR="00116230" w:rsidRPr="00116230" w14:paraId="44119CF8" w14:textId="77777777" w:rsidTr="00695F1C">
        <w:trPr>
          <w:tblCellSpacing w:w="15" w:type="dxa"/>
        </w:trPr>
        <w:tc>
          <w:tcPr>
            <w:tcW w:w="0" w:type="auto"/>
            <w:shd w:val="clear" w:color="auto" w:fill="DAE9F7" w:themeFill="text2" w:themeFillTint="1A"/>
            <w:vAlign w:val="center"/>
            <w:hideMark/>
          </w:tcPr>
          <w:p w14:paraId="1A25D02F" w14:textId="77777777" w:rsidR="00116230" w:rsidRPr="00116230" w:rsidRDefault="00116230" w:rsidP="00116230">
            <w:pPr>
              <w:spacing w:line="360" w:lineRule="auto"/>
              <w:rPr>
                <w:rFonts w:ascii="Arial" w:hAnsi="Arial" w:cs="Arial"/>
              </w:rPr>
            </w:pPr>
            <w:r w:rsidRPr="00116230">
              <w:rPr>
                <w:rFonts w:ascii="Arial" w:hAnsi="Arial" w:cs="Arial"/>
              </w:rPr>
              <w:t>Focused cost leadership</w:t>
            </w:r>
          </w:p>
        </w:tc>
        <w:tc>
          <w:tcPr>
            <w:tcW w:w="0" w:type="auto"/>
            <w:vAlign w:val="center"/>
            <w:hideMark/>
          </w:tcPr>
          <w:p w14:paraId="37B06853" w14:textId="77777777" w:rsidR="00116230" w:rsidRPr="00116230" w:rsidRDefault="00116230" w:rsidP="00116230">
            <w:pPr>
              <w:spacing w:line="360" w:lineRule="auto"/>
              <w:rPr>
                <w:rFonts w:ascii="Arial" w:hAnsi="Arial" w:cs="Arial"/>
              </w:rPr>
            </w:pPr>
            <w:r w:rsidRPr="00116230">
              <w:rPr>
                <w:rFonts w:ascii="Arial" w:hAnsi="Arial" w:cs="Arial"/>
              </w:rPr>
              <w:t>Low</w:t>
            </w:r>
          </w:p>
        </w:tc>
        <w:tc>
          <w:tcPr>
            <w:tcW w:w="0" w:type="auto"/>
            <w:vAlign w:val="center"/>
            <w:hideMark/>
          </w:tcPr>
          <w:p w14:paraId="059F1C69" w14:textId="77777777" w:rsidR="00116230" w:rsidRPr="00116230" w:rsidRDefault="00116230" w:rsidP="00116230">
            <w:pPr>
              <w:spacing w:line="360" w:lineRule="auto"/>
              <w:rPr>
                <w:rFonts w:ascii="Arial" w:hAnsi="Arial" w:cs="Arial"/>
              </w:rPr>
            </w:pPr>
            <w:r w:rsidRPr="00116230">
              <w:rPr>
                <w:rFonts w:ascii="Arial" w:hAnsi="Arial" w:cs="Arial"/>
              </w:rPr>
              <w:t>Price-led niche would conflict with ethics and sourcing constraints</w:t>
            </w:r>
          </w:p>
        </w:tc>
      </w:tr>
      <w:tr w:rsidR="00116230" w:rsidRPr="00116230" w14:paraId="6B035904" w14:textId="77777777" w:rsidTr="00695F1C">
        <w:trPr>
          <w:tblCellSpacing w:w="15" w:type="dxa"/>
        </w:trPr>
        <w:tc>
          <w:tcPr>
            <w:tcW w:w="0" w:type="auto"/>
            <w:shd w:val="clear" w:color="auto" w:fill="DAE9F7" w:themeFill="text2" w:themeFillTint="1A"/>
            <w:vAlign w:val="center"/>
            <w:hideMark/>
          </w:tcPr>
          <w:p w14:paraId="72BFB21A" w14:textId="77777777" w:rsidR="00116230" w:rsidRPr="00116230" w:rsidRDefault="00116230" w:rsidP="00116230">
            <w:pPr>
              <w:spacing w:line="360" w:lineRule="auto"/>
              <w:rPr>
                <w:rFonts w:ascii="Arial" w:hAnsi="Arial" w:cs="Arial"/>
              </w:rPr>
            </w:pPr>
            <w:r w:rsidRPr="00116230">
              <w:rPr>
                <w:rFonts w:ascii="Arial" w:hAnsi="Arial" w:cs="Arial"/>
              </w:rPr>
              <w:t>Focused differentiation</w:t>
            </w:r>
          </w:p>
        </w:tc>
        <w:tc>
          <w:tcPr>
            <w:tcW w:w="0" w:type="auto"/>
            <w:vAlign w:val="center"/>
            <w:hideMark/>
          </w:tcPr>
          <w:p w14:paraId="3F2091BF" w14:textId="77777777" w:rsidR="00116230" w:rsidRPr="00116230" w:rsidRDefault="00116230" w:rsidP="00116230">
            <w:pPr>
              <w:spacing w:line="360" w:lineRule="auto"/>
              <w:rPr>
                <w:rFonts w:ascii="Arial" w:hAnsi="Arial" w:cs="Arial"/>
              </w:rPr>
            </w:pPr>
            <w:r w:rsidRPr="00116230">
              <w:rPr>
                <w:rFonts w:ascii="Arial" w:hAnsi="Arial" w:cs="Arial"/>
              </w:rPr>
              <w:t>High</w:t>
            </w:r>
          </w:p>
        </w:tc>
        <w:tc>
          <w:tcPr>
            <w:tcW w:w="0" w:type="auto"/>
            <w:vAlign w:val="center"/>
            <w:hideMark/>
          </w:tcPr>
          <w:p w14:paraId="5F84216E" w14:textId="77777777" w:rsidR="00116230" w:rsidRPr="00116230" w:rsidRDefault="00116230" w:rsidP="00116230">
            <w:pPr>
              <w:spacing w:line="360" w:lineRule="auto"/>
              <w:rPr>
                <w:rFonts w:ascii="Arial" w:hAnsi="Arial" w:cs="Arial"/>
              </w:rPr>
            </w:pPr>
            <w:r w:rsidRPr="00116230">
              <w:rPr>
                <w:rFonts w:ascii="Arial" w:hAnsi="Arial" w:cs="Arial"/>
              </w:rPr>
              <w:t>Aligns with B Corp identity, trust assets and operational profile (Porter, 1985)</w:t>
            </w:r>
          </w:p>
        </w:tc>
      </w:tr>
    </w:tbl>
    <w:p w14:paraId="7A7AE968" w14:textId="0FD2F742" w:rsidR="00116230" w:rsidRPr="00116230" w:rsidRDefault="00116230" w:rsidP="00116230">
      <w:pPr>
        <w:spacing w:line="360" w:lineRule="auto"/>
        <w:rPr>
          <w:rFonts w:ascii="Arial" w:hAnsi="Arial" w:cs="Arial"/>
        </w:rPr>
      </w:pPr>
    </w:p>
    <w:p w14:paraId="58593DD4" w14:textId="77777777" w:rsidR="00116230" w:rsidRPr="009C3226" w:rsidRDefault="00116230" w:rsidP="0013301A">
      <w:pPr>
        <w:pStyle w:val="Heading2"/>
      </w:pPr>
      <w:bookmarkStart w:id="15" w:name="_Toc223254246"/>
      <w:r w:rsidRPr="009C3226">
        <w:t>4.3 Recommended strategy and rationale (integrated approach)</w:t>
      </w:r>
      <w:bookmarkEnd w:id="15"/>
    </w:p>
    <w:p w14:paraId="72A5E260" w14:textId="77777777" w:rsidR="00116230" w:rsidRPr="00116230" w:rsidRDefault="00116230" w:rsidP="007463D2">
      <w:pPr>
        <w:spacing w:line="360" w:lineRule="auto"/>
        <w:jc w:val="both"/>
        <w:rPr>
          <w:rFonts w:ascii="Arial" w:hAnsi="Arial" w:cs="Arial"/>
        </w:rPr>
      </w:pPr>
      <w:r w:rsidRPr="00116230">
        <w:rPr>
          <w:rFonts w:ascii="Arial" w:hAnsi="Arial" w:cs="Arial"/>
        </w:rPr>
        <w:t>Recommended strategy: Focused differentiation delivered through three integrated pillars:</w:t>
      </w:r>
    </w:p>
    <w:p w14:paraId="7E6353C9" w14:textId="730639AE" w:rsidR="00CC142B" w:rsidRPr="00951C92" w:rsidRDefault="00116230" w:rsidP="00951C92">
      <w:pPr>
        <w:numPr>
          <w:ilvl w:val="0"/>
          <w:numId w:val="2"/>
        </w:numPr>
        <w:spacing w:line="360" w:lineRule="auto"/>
        <w:rPr>
          <w:rFonts w:ascii="Arial" w:hAnsi="Arial" w:cs="Arial"/>
          <w:b/>
          <w:bCs/>
        </w:rPr>
      </w:pPr>
      <w:r w:rsidRPr="00A87445">
        <w:rPr>
          <w:rFonts w:ascii="Arial" w:hAnsi="Arial" w:cs="Arial"/>
          <w:b/>
          <w:bCs/>
        </w:rPr>
        <w:t>Sustainable “Everyday Health” innovation platform</w:t>
      </w:r>
      <w:r w:rsidRPr="00951C92">
        <w:rPr>
          <w:rFonts w:ascii="Arial" w:hAnsi="Arial" w:cs="Arial"/>
        </w:rPr>
        <w:br/>
        <w:t>Innocent should prioritise innovation that strengthens relevance without drifting into unsupported health claims. This means portion-led design (sugar-per-serve transparency) and carefully selected functional benefits (e.g., fibre/protein) where substantiation is credible. Research on plant-based beverages shows that purchase intention is influenced by perceived health, trust and price sensitivity, meaning value communication must be clear and evidence-based (Baş et al., 2024; Rachtan-Janicka et al., 2025). This innovation platform should also reduce complexity by building modular product families rather than proliferating minor SKU variations, protecting operational efficiency and forecasting accuracy.</w:t>
      </w:r>
    </w:p>
    <w:p w14:paraId="1F4E941F" w14:textId="69326223" w:rsidR="00116230" w:rsidRPr="00BF38E7" w:rsidRDefault="00116230" w:rsidP="00BF38E7">
      <w:pPr>
        <w:numPr>
          <w:ilvl w:val="0"/>
          <w:numId w:val="2"/>
        </w:numPr>
        <w:spacing w:line="360" w:lineRule="auto"/>
        <w:rPr>
          <w:rFonts w:ascii="Arial" w:hAnsi="Arial" w:cs="Arial"/>
          <w:b/>
          <w:bCs/>
        </w:rPr>
      </w:pPr>
      <w:r w:rsidRPr="00FB5E47">
        <w:rPr>
          <w:rFonts w:ascii="Arial" w:hAnsi="Arial" w:cs="Arial"/>
          <w:b/>
          <w:bCs/>
        </w:rPr>
        <w:lastRenderedPageBreak/>
        <w:t>Packaging leadership and compliance readiness</w:t>
      </w:r>
      <w:r w:rsidRPr="00BF38E7">
        <w:rPr>
          <w:rFonts w:ascii="Arial" w:hAnsi="Arial" w:cs="Arial"/>
        </w:rPr>
        <w:br/>
        <w:t xml:space="preserve">Packaging is shifting from a CSR topic to a strategic cost and compliance topic. UK </w:t>
      </w:r>
      <w:proofErr w:type="spellStart"/>
      <w:r w:rsidRPr="00BF38E7">
        <w:rPr>
          <w:rFonts w:ascii="Arial" w:hAnsi="Arial" w:cs="Arial"/>
        </w:rPr>
        <w:t>pEPR</w:t>
      </w:r>
      <w:proofErr w:type="spellEnd"/>
      <w:r w:rsidRPr="00BF38E7">
        <w:rPr>
          <w:rFonts w:ascii="Arial" w:hAnsi="Arial" w:cs="Arial"/>
        </w:rPr>
        <w:t xml:space="preserve"> and EU PPWR increase reporting demands and financial exposure, so Innocent should treat packaging capability as a competitive advantage (House of Commons Library, 2026; European Commission, 2025). LCA research indicates that packaging sustainability claims need robust methodological grounding because trade-offs are common (Espinoza-Orias et al., 2025). Innocent should therefore use LCA-informed decisions, publish transparent progress metrics, and prioritise “designed for recycling” packaging to reduce both cost risk and reputational vulnerability.</w:t>
      </w:r>
    </w:p>
    <w:p w14:paraId="249522A9" w14:textId="7D63E164" w:rsidR="00116230" w:rsidRPr="00BF38E7" w:rsidRDefault="00116230" w:rsidP="00BF38E7">
      <w:pPr>
        <w:numPr>
          <w:ilvl w:val="0"/>
          <w:numId w:val="2"/>
        </w:numPr>
        <w:spacing w:line="360" w:lineRule="auto"/>
        <w:rPr>
          <w:rFonts w:ascii="Arial" w:hAnsi="Arial" w:cs="Arial"/>
          <w:b/>
          <w:bCs/>
        </w:rPr>
      </w:pPr>
      <w:r w:rsidRPr="00FB5E47">
        <w:rPr>
          <w:rFonts w:ascii="Arial" w:hAnsi="Arial" w:cs="Arial"/>
          <w:b/>
          <w:bCs/>
        </w:rPr>
        <w:t>Selective European expansion aligned with ethics and capability</w:t>
      </w:r>
      <w:r w:rsidRPr="00BF38E7">
        <w:rPr>
          <w:rFonts w:ascii="Arial" w:hAnsi="Arial" w:cs="Arial"/>
        </w:rPr>
        <w:br/>
        <w:t>Innocent already has European presence; the strategic recommendation is selective deepening in high-fit markets rather than indiscriminate expansion. Market selection should be based on: (</w:t>
      </w:r>
      <w:proofErr w:type="spellStart"/>
      <w:r w:rsidRPr="00BF38E7">
        <w:rPr>
          <w:rFonts w:ascii="Arial" w:hAnsi="Arial" w:cs="Arial"/>
        </w:rPr>
        <w:t>i</w:t>
      </w:r>
      <w:proofErr w:type="spellEnd"/>
      <w:r w:rsidRPr="00BF38E7">
        <w:rPr>
          <w:rFonts w:ascii="Arial" w:hAnsi="Arial" w:cs="Arial"/>
        </w:rPr>
        <w:t>) premium health segment maturity, (ii) retailer openness to sustainability-led propositions, and (iii) regulatory alignment that Innocent can manage. Expansion should follow a test-and-learn approach with clear thresholds for repeat purchase, margin and sustainability outcomes before scaling.</w:t>
      </w:r>
    </w:p>
    <w:p w14:paraId="2DB7D4F4" w14:textId="77777777" w:rsidR="007E0EAE" w:rsidRDefault="00116230" w:rsidP="00BC01A6">
      <w:pPr>
        <w:spacing w:line="360" w:lineRule="auto"/>
        <w:rPr>
          <w:rFonts w:ascii="Arial" w:hAnsi="Arial" w:cs="Arial"/>
        </w:rPr>
      </w:pPr>
      <w:r w:rsidRPr="00116230">
        <w:rPr>
          <w:rFonts w:ascii="Arial" w:hAnsi="Arial" w:cs="Arial"/>
        </w:rPr>
        <w:t>Why this works (theory link).</w:t>
      </w:r>
    </w:p>
    <w:p w14:paraId="4EDD53A1" w14:textId="00716F29" w:rsidR="00116230" w:rsidRDefault="00116230" w:rsidP="00506353">
      <w:pPr>
        <w:spacing w:line="360" w:lineRule="auto"/>
        <w:jc w:val="both"/>
        <w:rPr>
          <w:rFonts w:ascii="Arial" w:hAnsi="Arial" w:cs="Arial"/>
        </w:rPr>
      </w:pPr>
      <w:r w:rsidRPr="00116230">
        <w:rPr>
          <w:rFonts w:ascii="Arial" w:hAnsi="Arial" w:cs="Arial"/>
        </w:rPr>
        <w:t xml:space="preserve">The strategy builds on the resource-based view: Innocent’s most valuable resources are trust, brand meaning and governance credibility, which are hard for rivals to imitate (Barney, 1991; Aaker, 1996). Sustainability-led innovation can also be a driver of competitive advantage when treated as capability-building rather than public relations (Hart, 1995; </w:t>
      </w:r>
      <w:proofErr w:type="spellStart"/>
      <w:r w:rsidRPr="00116230">
        <w:rPr>
          <w:rFonts w:ascii="Arial" w:hAnsi="Arial" w:cs="Arial"/>
        </w:rPr>
        <w:t>Nidumolu</w:t>
      </w:r>
      <w:proofErr w:type="spellEnd"/>
      <w:r w:rsidRPr="00116230">
        <w:rPr>
          <w:rFonts w:ascii="Arial" w:hAnsi="Arial" w:cs="Arial"/>
        </w:rPr>
        <w:t>, Prahalad and Rangaswami, 2009). Because stakeholder trust is fragile, the strategy aligns differentiation with robust evidence and transparent reporting (Delmas and Burbano, 2011).</w:t>
      </w:r>
    </w:p>
    <w:p w14:paraId="4C5C1C81" w14:textId="45FE1483" w:rsidR="00506353" w:rsidRPr="00BA489F" w:rsidRDefault="00C508BA" w:rsidP="00BA489F">
      <w:pPr>
        <w:spacing w:line="360" w:lineRule="auto"/>
        <w:rPr>
          <w:rFonts w:ascii="Arial" w:hAnsi="Arial" w:cs="Arial"/>
          <w:b/>
          <w:bCs/>
        </w:rPr>
      </w:pPr>
      <w:r w:rsidRPr="00BA489F">
        <w:rPr>
          <w:rFonts w:ascii="Arial" w:hAnsi="Arial" w:cs="Arial"/>
          <w:b/>
          <w:bCs/>
        </w:rPr>
        <w:t>Strategic Architecture</w:t>
      </w:r>
    </w:p>
    <w:p w14:paraId="663E80CF" w14:textId="13BDA325" w:rsidR="002E2C56" w:rsidRPr="00116230" w:rsidRDefault="002E2C56" w:rsidP="00506353">
      <w:pPr>
        <w:spacing w:line="360" w:lineRule="auto"/>
        <w:jc w:val="both"/>
        <w:rPr>
          <w:rFonts w:ascii="Arial" w:hAnsi="Arial" w:cs="Arial"/>
        </w:rPr>
      </w:pPr>
      <w:r w:rsidRPr="002E2C56">
        <w:rPr>
          <w:rFonts w:ascii="Arial" w:hAnsi="Arial" w:cs="Arial"/>
        </w:rPr>
        <w:t>The proposed strategy can be summarised as a strategic architecture comprising four elements. First, Innocent will focus on premium health beverages within the chilled category and selected European markets (“where to play”). Second, the company will compete through focused differentiation based on verifiable sustainability, packaging leadership and evidence-led product innovation (“how to win”). Third, key enabling capabilities include lifecycle assessment expertise, ethical sourcing partnerships and claims governance processes. Finally, performance will be monitored through integrated commercial and sustainability KPIs to ensure strategic coherence.</w:t>
      </w:r>
    </w:p>
    <w:p w14:paraId="1BDE3350" w14:textId="77777777" w:rsidR="00116230" w:rsidRPr="009C3226" w:rsidRDefault="00116230" w:rsidP="0013301A">
      <w:pPr>
        <w:pStyle w:val="Heading1"/>
      </w:pPr>
      <w:bookmarkStart w:id="16" w:name="_Toc223254247"/>
      <w:r w:rsidRPr="009C3226">
        <w:lastRenderedPageBreak/>
        <w:t>5. Strategy Evaluation: SFA Framework and Assumptions</w:t>
      </w:r>
      <w:bookmarkEnd w:id="16"/>
    </w:p>
    <w:p w14:paraId="36634626" w14:textId="77777777" w:rsidR="00116230" w:rsidRPr="00116230" w:rsidRDefault="00116230" w:rsidP="00506353">
      <w:pPr>
        <w:spacing w:line="360" w:lineRule="auto"/>
        <w:jc w:val="both"/>
        <w:rPr>
          <w:rFonts w:ascii="Arial" w:hAnsi="Arial" w:cs="Arial"/>
        </w:rPr>
      </w:pPr>
      <w:r w:rsidRPr="00116230">
        <w:rPr>
          <w:rFonts w:ascii="Arial" w:hAnsi="Arial" w:cs="Arial"/>
        </w:rPr>
        <w:t>The SFA framework evaluates suitability, feasibility and acceptability (Johnson, Whittington and Scholes, 2020).</w:t>
      </w:r>
    </w:p>
    <w:p w14:paraId="035C2AD2" w14:textId="1F7F8ACD" w:rsidR="0051362A" w:rsidRDefault="00116230" w:rsidP="0023767A">
      <w:pPr>
        <w:spacing w:line="360" w:lineRule="auto"/>
        <w:rPr>
          <w:rFonts w:ascii="Arial" w:hAnsi="Arial" w:cs="Arial"/>
          <w:b/>
          <w:bCs/>
        </w:rPr>
      </w:pPr>
      <w:r w:rsidRPr="00FB5E47">
        <w:rPr>
          <w:rFonts w:ascii="Arial" w:hAnsi="Arial" w:cs="Arial"/>
          <w:b/>
          <w:bCs/>
        </w:rPr>
        <w:t>Suitability.</w:t>
      </w:r>
      <w:r w:rsidRPr="00116230">
        <w:rPr>
          <w:rFonts w:ascii="Arial" w:hAnsi="Arial" w:cs="Arial"/>
        </w:rPr>
        <w:br/>
        <w:t>The strategy directly responds to the most material external forces: sugar policy direction, packaging regulation, climate supply risk and intensified competitive pressure. Five Forces analysis shows that price competition is structurally unattractive given buyer power and own-label growth; differentiation is the sustainable route (Porter, 2008). The strategy also fits Innocent’s B Corp identity by embedding stakeholder outcomes into growth design rather than treating them as add-ons (B Lab, 2024).</w:t>
      </w:r>
    </w:p>
    <w:p w14:paraId="18E8AC83" w14:textId="1376896D" w:rsidR="00506353" w:rsidRPr="00FB5E47" w:rsidRDefault="00116230" w:rsidP="00116230">
      <w:pPr>
        <w:spacing w:line="360" w:lineRule="auto"/>
        <w:rPr>
          <w:rFonts w:ascii="Arial" w:hAnsi="Arial" w:cs="Arial"/>
          <w:b/>
          <w:bCs/>
        </w:rPr>
      </w:pPr>
      <w:r w:rsidRPr="00FB5E47">
        <w:rPr>
          <w:rFonts w:ascii="Arial" w:hAnsi="Arial" w:cs="Arial"/>
          <w:b/>
          <w:bCs/>
        </w:rPr>
        <w:t>Feasibility.</w:t>
      </w:r>
    </w:p>
    <w:p w14:paraId="6B54B2E7" w14:textId="01E368AC" w:rsidR="00116230" w:rsidRPr="00116230" w:rsidRDefault="00116230" w:rsidP="00F944D5">
      <w:pPr>
        <w:spacing w:line="360" w:lineRule="auto"/>
        <w:jc w:val="both"/>
        <w:rPr>
          <w:rFonts w:ascii="Arial" w:hAnsi="Arial" w:cs="Arial"/>
        </w:rPr>
      </w:pPr>
      <w:r w:rsidRPr="00116230">
        <w:rPr>
          <w:rFonts w:ascii="Arial" w:hAnsi="Arial" w:cs="Arial"/>
        </w:rPr>
        <w:t>Feasibility depends on capabilities and resourcing. Innocent’s scale, brand equity and existing European footprint support feasibility, as does evidence of investment in operational capability (E80 Group, 2023). However, risks include (</w:t>
      </w:r>
      <w:proofErr w:type="spellStart"/>
      <w:r w:rsidRPr="00116230">
        <w:rPr>
          <w:rFonts w:ascii="Arial" w:hAnsi="Arial" w:cs="Arial"/>
        </w:rPr>
        <w:t>i</w:t>
      </w:r>
      <w:proofErr w:type="spellEnd"/>
      <w:r w:rsidRPr="00116230">
        <w:rPr>
          <w:rFonts w:ascii="Arial" w:hAnsi="Arial" w:cs="Arial"/>
        </w:rPr>
        <w:t xml:space="preserve">) supply volatility from climate impacts, (ii) packaging transition cost and complexity, and (iii) innovation overload that increases operational complexity. These risks should be managed through supplier development, LCA-guided packaging roadmaps, and a disciplined stage-gate innovation process (Teece, Pisano and </w:t>
      </w:r>
      <w:proofErr w:type="spellStart"/>
      <w:r w:rsidRPr="00116230">
        <w:rPr>
          <w:rFonts w:ascii="Arial" w:hAnsi="Arial" w:cs="Arial"/>
        </w:rPr>
        <w:t>Shuen</w:t>
      </w:r>
      <w:proofErr w:type="spellEnd"/>
      <w:r w:rsidRPr="00116230">
        <w:rPr>
          <w:rFonts w:ascii="Arial" w:hAnsi="Arial" w:cs="Arial"/>
        </w:rPr>
        <w:t>, 1997).</w:t>
      </w:r>
    </w:p>
    <w:p w14:paraId="2B6038D6" w14:textId="2255D3F1" w:rsidR="00116230" w:rsidRPr="0051362A" w:rsidRDefault="00116230" w:rsidP="0023767A">
      <w:pPr>
        <w:spacing w:line="360" w:lineRule="auto"/>
        <w:rPr>
          <w:rFonts w:ascii="Arial" w:hAnsi="Arial" w:cs="Arial"/>
          <w:b/>
          <w:bCs/>
        </w:rPr>
      </w:pPr>
      <w:r w:rsidRPr="00FB5E47">
        <w:rPr>
          <w:rFonts w:ascii="Arial" w:hAnsi="Arial" w:cs="Arial"/>
          <w:b/>
          <w:bCs/>
        </w:rPr>
        <w:t>Acceptability.</w:t>
      </w:r>
      <w:r w:rsidRPr="00116230">
        <w:rPr>
          <w:rFonts w:ascii="Arial" w:hAnsi="Arial" w:cs="Arial"/>
        </w:rPr>
        <w:br/>
      </w:r>
      <w:r w:rsidR="007C6BF5" w:rsidRPr="007C6BF5">
        <w:rPr>
          <w:rFonts w:ascii="Arial" w:hAnsi="Arial" w:cs="Arial"/>
        </w:rPr>
        <w:t xml:space="preserve">For consumers, the strategy improves relevance through the “Everyday Health” platform </w:t>
      </w:r>
      <w:r w:rsidRPr="00116230">
        <w:rPr>
          <w:rFonts w:ascii="Arial" w:hAnsi="Arial" w:cs="Arial"/>
        </w:rPr>
        <w:t>transparency and packaging outcomes. For retailers, it supports premiumisation, category growth and compliance alignment. For employees, a purpose-consistent strategy supports motivation and retention; research indicates that sustainability aligned HR practices can strengthen engagement when CSR is credible (Khan et al., 2025). For investors/owners, it offers risk-managed growth and brand equity protection. Price sensitivity remains the key acceptability risk; mitigation includes pack architecture (entry price points), value-per-serve communication and reduced reliance on deep discounting.</w:t>
      </w:r>
    </w:p>
    <w:p w14:paraId="25713965" w14:textId="77777777" w:rsidR="00116230" w:rsidRPr="00116230" w:rsidRDefault="00116230" w:rsidP="00506353">
      <w:pPr>
        <w:spacing w:line="360" w:lineRule="auto"/>
        <w:jc w:val="both"/>
        <w:rPr>
          <w:rFonts w:ascii="Arial" w:hAnsi="Arial" w:cs="Arial"/>
        </w:rPr>
      </w:pPr>
      <w:r w:rsidRPr="00116230">
        <w:rPr>
          <w:rFonts w:ascii="Arial" w:hAnsi="Arial" w:cs="Arial"/>
        </w:rPr>
        <w:t>Explicit assumptions (stated).</w:t>
      </w:r>
    </w:p>
    <w:p w14:paraId="03B38E65" w14:textId="77777777" w:rsidR="00116230" w:rsidRPr="00116230" w:rsidRDefault="00116230" w:rsidP="00506353">
      <w:pPr>
        <w:numPr>
          <w:ilvl w:val="0"/>
          <w:numId w:val="3"/>
        </w:numPr>
        <w:spacing w:line="360" w:lineRule="auto"/>
        <w:jc w:val="both"/>
        <w:rPr>
          <w:rFonts w:ascii="Arial" w:hAnsi="Arial" w:cs="Arial"/>
        </w:rPr>
      </w:pPr>
      <w:r w:rsidRPr="00116230">
        <w:rPr>
          <w:rFonts w:ascii="Arial" w:hAnsi="Arial" w:cs="Arial"/>
        </w:rPr>
        <w:t>Innocent can fund packaging innovation and R&amp;D through internal resources and/or supportive ownership (assumption due to limited public detail).</w:t>
      </w:r>
    </w:p>
    <w:p w14:paraId="1A6A5CBC" w14:textId="77777777" w:rsidR="00116230" w:rsidRPr="00116230" w:rsidRDefault="00116230" w:rsidP="00506353">
      <w:pPr>
        <w:numPr>
          <w:ilvl w:val="0"/>
          <w:numId w:val="3"/>
        </w:numPr>
        <w:spacing w:line="360" w:lineRule="auto"/>
        <w:jc w:val="both"/>
        <w:rPr>
          <w:rFonts w:ascii="Arial" w:hAnsi="Arial" w:cs="Arial"/>
        </w:rPr>
      </w:pPr>
      <w:r w:rsidRPr="00116230">
        <w:rPr>
          <w:rFonts w:ascii="Arial" w:hAnsi="Arial" w:cs="Arial"/>
        </w:rPr>
        <w:t>Ethical sourcing can scale via supplier development without standards dilution (assumption).</w:t>
      </w:r>
    </w:p>
    <w:p w14:paraId="7D7459EE" w14:textId="77777777" w:rsidR="00116230" w:rsidRPr="00116230" w:rsidRDefault="00116230" w:rsidP="00506353">
      <w:pPr>
        <w:numPr>
          <w:ilvl w:val="0"/>
          <w:numId w:val="3"/>
        </w:numPr>
        <w:spacing w:line="360" w:lineRule="auto"/>
        <w:jc w:val="both"/>
        <w:rPr>
          <w:rFonts w:ascii="Arial" w:hAnsi="Arial" w:cs="Arial"/>
        </w:rPr>
      </w:pPr>
      <w:r w:rsidRPr="00116230">
        <w:rPr>
          <w:rFonts w:ascii="Arial" w:hAnsi="Arial" w:cs="Arial"/>
        </w:rPr>
        <w:lastRenderedPageBreak/>
        <w:t>A meaningful segment will continue paying a modest premium for credible ethics and verified sustainability (supported directionally by trust data) (Edelman, 2024).</w:t>
      </w:r>
    </w:p>
    <w:p w14:paraId="1582A8D3" w14:textId="24808E2A" w:rsidR="006D165A" w:rsidRPr="00BC431D" w:rsidRDefault="00116230" w:rsidP="00506353">
      <w:pPr>
        <w:numPr>
          <w:ilvl w:val="0"/>
          <w:numId w:val="3"/>
        </w:numPr>
        <w:spacing w:line="360" w:lineRule="auto"/>
        <w:jc w:val="both"/>
        <w:rPr>
          <w:rFonts w:ascii="Arial" w:hAnsi="Arial" w:cs="Arial"/>
        </w:rPr>
      </w:pPr>
      <w:r w:rsidRPr="00116230">
        <w:rPr>
          <w:rFonts w:ascii="Arial" w:hAnsi="Arial" w:cs="Arial"/>
        </w:rPr>
        <w:t xml:space="preserve">UK </w:t>
      </w:r>
      <w:proofErr w:type="spellStart"/>
      <w:r w:rsidRPr="00116230">
        <w:rPr>
          <w:rFonts w:ascii="Arial" w:hAnsi="Arial" w:cs="Arial"/>
        </w:rPr>
        <w:t>pEPR</w:t>
      </w:r>
      <w:proofErr w:type="spellEnd"/>
      <w:r w:rsidRPr="00116230">
        <w:rPr>
          <w:rFonts w:ascii="Arial" w:hAnsi="Arial" w:cs="Arial"/>
        </w:rPr>
        <w:t xml:space="preserve"> and EU PPWR proceed broadly as published, shaping compliance costs and obligations (House of Commons Library, 2026; European Commission, 2025).</w:t>
      </w:r>
    </w:p>
    <w:p w14:paraId="747E0808" w14:textId="3A70D405" w:rsidR="00C02DC7" w:rsidRPr="00C02DC7" w:rsidRDefault="00C02DC7" w:rsidP="00C02DC7">
      <w:pPr>
        <w:spacing w:before="100" w:beforeAutospacing="1" w:after="100" w:afterAutospacing="1" w:line="360" w:lineRule="auto"/>
        <w:ind w:left="360"/>
        <w:rPr>
          <w:rFonts w:ascii="Arial" w:eastAsia="Times New Roman" w:hAnsi="Arial" w:cs="Arial"/>
          <w:kern w:val="0"/>
          <w:lang w:eastAsia="en-GB"/>
          <w14:ligatures w14:val="none"/>
        </w:rPr>
      </w:pPr>
      <w:r w:rsidRPr="00C02DC7">
        <w:rPr>
          <w:rFonts w:ascii="Arial" w:eastAsia="Times New Roman" w:hAnsi="Arial" w:cs="Arial"/>
          <w:b/>
          <w:bCs/>
          <w:kern w:val="0"/>
          <w:lang w:eastAsia="en-GB"/>
          <w14:ligatures w14:val="none"/>
        </w:rPr>
        <w:t>Table 5.1: Strategic option evaluation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35"/>
        <w:gridCol w:w="1132"/>
        <w:gridCol w:w="1156"/>
        <w:gridCol w:w="1450"/>
        <w:gridCol w:w="1025"/>
      </w:tblGrid>
      <w:tr w:rsidR="00C02DC7" w:rsidRPr="00C02DC7" w14:paraId="1AB3CB6B" w14:textId="77777777" w:rsidTr="00C02DC7">
        <w:trPr>
          <w:tblHeader/>
          <w:tblCellSpacing w:w="15" w:type="dxa"/>
        </w:trPr>
        <w:tc>
          <w:tcPr>
            <w:tcW w:w="0" w:type="auto"/>
            <w:shd w:val="clear" w:color="auto" w:fill="00B0F0"/>
            <w:vAlign w:val="center"/>
            <w:hideMark/>
          </w:tcPr>
          <w:p w14:paraId="2207066E" w14:textId="77777777" w:rsidR="00C02DC7" w:rsidRPr="00C02DC7" w:rsidRDefault="00C02DC7" w:rsidP="00C02DC7">
            <w:pPr>
              <w:spacing w:after="0" w:line="360" w:lineRule="auto"/>
              <w:jc w:val="center"/>
              <w:rPr>
                <w:rFonts w:ascii="Arial" w:eastAsia="Times New Roman" w:hAnsi="Arial" w:cs="Arial"/>
                <w:b/>
                <w:bCs/>
                <w:kern w:val="0"/>
                <w:lang w:eastAsia="en-GB"/>
                <w14:ligatures w14:val="none"/>
              </w:rPr>
            </w:pPr>
            <w:r w:rsidRPr="00C02DC7">
              <w:rPr>
                <w:rFonts w:ascii="Arial" w:eastAsia="Times New Roman" w:hAnsi="Arial" w:cs="Arial"/>
                <w:b/>
                <w:bCs/>
                <w:kern w:val="0"/>
                <w:lang w:eastAsia="en-GB"/>
                <w14:ligatures w14:val="none"/>
              </w:rPr>
              <w:t>Strategy option</w:t>
            </w:r>
          </w:p>
        </w:tc>
        <w:tc>
          <w:tcPr>
            <w:tcW w:w="0" w:type="auto"/>
            <w:shd w:val="clear" w:color="auto" w:fill="00B0F0"/>
            <w:vAlign w:val="center"/>
            <w:hideMark/>
          </w:tcPr>
          <w:p w14:paraId="028E769E" w14:textId="77777777" w:rsidR="00C02DC7" w:rsidRPr="00C02DC7" w:rsidRDefault="00C02DC7" w:rsidP="00C02DC7">
            <w:pPr>
              <w:spacing w:after="0" w:line="360" w:lineRule="auto"/>
              <w:jc w:val="center"/>
              <w:rPr>
                <w:rFonts w:ascii="Arial" w:eastAsia="Times New Roman" w:hAnsi="Arial" w:cs="Arial"/>
                <w:b/>
                <w:bCs/>
                <w:kern w:val="0"/>
                <w:lang w:eastAsia="en-GB"/>
                <w14:ligatures w14:val="none"/>
              </w:rPr>
            </w:pPr>
            <w:r w:rsidRPr="00C02DC7">
              <w:rPr>
                <w:rFonts w:ascii="Arial" w:eastAsia="Times New Roman" w:hAnsi="Arial" w:cs="Arial"/>
                <w:b/>
                <w:bCs/>
                <w:kern w:val="0"/>
                <w:lang w:eastAsia="en-GB"/>
                <w14:ligatures w14:val="none"/>
              </w:rPr>
              <w:t>Suitability</w:t>
            </w:r>
          </w:p>
        </w:tc>
        <w:tc>
          <w:tcPr>
            <w:tcW w:w="0" w:type="auto"/>
            <w:shd w:val="clear" w:color="auto" w:fill="00B0F0"/>
            <w:vAlign w:val="center"/>
            <w:hideMark/>
          </w:tcPr>
          <w:p w14:paraId="2E6937E8" w14:textId="77777777" w:rsidR="00C02DC7" w:rsidRPr="00C02DC7" w:rsidRDefault="00C02DC7" w:rsidP="00C02DC7">
            <w:pPr>
              <w:spacing w:after="0" w:line="360" w:lineRule="auto"/>
              <w:jc w:val="center"/>
              <w:rPr>
                <w:rFonts w:ascii="Arial" w:eastAsia="Times New Roman" w:hAnsi="Arial" w:cs="Arial"/>
                <w:b/>
                <w:bCs/>
                <w:kern w:val="0"/>
                <w:lang w:eastAsia="en-GB"/>
                <w14:ligatures w14:val="none"/>
              </w:rPr>
            </w:pPr>
            <w:r w:rsidRPr="00C02DC7">
              <w:rPr>
                <w:rFonts w:ascii="Arial" w:eastAsia="Times New Roman" w:hAnsi="Arial" w:cs="Arial"/>
                <w:b/>
                <w:bCs/>
                <w:kern w:val="0"/>
                <w:lang w:eastAsia="en-GB"/>
                <w14:ligatures w14:val="none"/>
              </w:rPr>
              <w:t>Feasibility</w:t>
            </w:r>
          </w:p>
        </w:tc>
        <w:tc>
          <w:tcPr>
            <w:tcW w:w="0" w:type="auto"/>
            <w:shd w:val="clear" w:color="auto" w:fill="00B0F0"/>
            <w:vAlign w:val="center"/>
            <w:hideMark/>
          </w:tcPr>
          <w:p w14:paraId="15929514" w14:textId="77777777" w:rsidR="00C02DC7" w:rsidRPr="00C02DC7" w:rsidRDefault="00C02DC7" w:rsidP="00C02DC7">
            <w:pPr>
              <w:spacing w:after="0" w:line="360" w:lineRule="auto"/>
              <w:jc w:val="center"/>
              <w:rPr>
                <w:rFonts w:ascii="Arial" w:eastAsia="Times New Roman" w:hAnsi="Arial" w:cs="Arial"/>
                <w:b/>
                <w:bCs/>
                <w:kern w:val="0"/>
                <w:lang w:eastAsia="en-GB"/>
                <w14:ligatures w14:val="none"/>
              </w:rPr>
            </w:pPr>
            <w:r w:rsidRPr="00C02DC7">
              <w:rPr>
                <w:rFonts w:ascii="Arial" w:eastAsia="Times New Roman" w:hAnsi="Arial" w:cs="Arial"/>
                <w:b/>
                <w:bCs/>
                <w:kern w:val="0"/>
                <w:lang w:eastAsia="en-GB"/>
                <w14:ligatures w14:val="none"/>
              </w:rPr>
              <w:t>Acceptability</w:t>
            </w:r>
          </w:p>
        </w:tc>
        <w:tc>
          <w:tcPr>
            <w:tcW w:w="0" w:type="auto"/>
            <w:shd w:val="clear" w:color="auto" w:fill="00B0F0"/>
            <w:vAlign w:val="center"/>
            <w:hideMark/>
          </w:tcPr>
          <w:p w14:paraId="336DE9EC" w14:textId="77777777" w:rsidR="00C02DC7" w:rsidRPr="00C02DC7" w:rsidRDefault="00C02DC7" w:rsidP="00C02DC7">
            <w:pPr>
              <w:spacing w:after="0" w:line="360" w:lineRule="auto"/>
              <w:jc w:val="center"/>
              <w:rPr>
                <w:rFonts w:ascii="Arial" w:eastAsia="Times New Roman" w:hAnsi="Arial" w:cs="Arial"/>
                <w:b/>
                <w:bCs/>
                <w:kern w:val="0"/>
                <w:lang w:eastAsia="en-GB"/>
                <w14:ligatures w14:val="none"/>
              </w:rPr>
            </w:pPr>
            <w:r w:rsidRPr="00C02DC7">
              <w:rPr>
                <w:rFonts w:ascii="Arial" w:eastAsia="Times New Roman" w:hAnsi="Arial" w:cs="Arial"/>
                <w:b/>
                <w:bCs/>
                <w:kern w:val="0"/>
                <w:lang w:eastAsia="en-GB"/>
                <w14:ligatures w14:val="none"/>
              </w:rPr>
              <w:t>Overall</w:t>
            </w:r>
          </w:p>
        </w:tc>
      </w:tr>
      <w:tr w:rsidR="00C02DC7" w:rsidRPr="00C02DC7" w14:paraId="0D6A1F3C" w14:textId="77777777" w:rsidTr="00C02DC7">
        <w:trPr>
          <w:tblCellSpacing w:w="15" w:type="dxa"/>
        </w:trPr>
        <w:tc>
          <w:tcPr>
            <w:tcW w:w="0" w:type="auto"/>
            <w:vAlign w:val="center"/>
            <w:hideMark/>
          </w:tcPr>
          <w:p w14:paraId="7E8F82B0"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Focused differentiation (recommended)</w:t>
            </w:r>
          </w:p>
        </w:tc>
        <w:tc>
          <w:tcPr>
            <w:tcW w:w="0" w:type="auto"/>
            <w:vAlign w:val="center"/>
            <w:hideMark/>
          </w:tcPr>
          <w:p w14:paraId="62958A54"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High</w:t>
            </w:r>
          </w:p>
        </w:tc>
        <w:tc>
          <w:tcPr>
            <w:tcW w:w="0" w:type="auto"/>
            <w:vAlign w:val="center"/>
            <w:hideMark/>
          </w:tcPr>
          <w:p w14:paraId="1DE8A40A"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High</w:t>
            </w:r>
          </w:p>
        </w:tc>
        <w:tc>
          <w:tcPr>
            <w:tcW w:w="0" w:type="auto"/>
            <w:vAlign w:val="center"/>
            <w:hideMark/>
          </w:tcPr>
          <w:p w14:paraId="00E9E037"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High</w:t>
            </w:r>
          </w:p>
        </w:tc>
        <w:tc>
          <w:tcPr>
            <w:tcW w:w="0" w:type="auto"/>
            <w:vAlign w:val="center"/>
            <w:hideMark/>
          </w:tcPr>
          <w:p w14:paraId="274B4385"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Strong</w:t>
            </w:r>
          </w:p>
        </w:tc>
      </w:tr>
      <w:tr w:rsidR="00C02DC7" w:rsidRPr="00C02DC7" w14:paraId="67084957" w14:textId="77777777" w:rsidTr="00C02DC7">
        <w:trPr>
          <w:tblCellSpacing w:w="15" w:type="dxa"/>
        </w:trPr>
        <w:tc>
          <w:tcPr>
            <w:tcW w:w="0" w:type="auto"/>
            <w:vAlign w:val="center"/>
            <w:hideMark/>
          </w:tcPr>
          <w:p w14:paraId="3B3CFE93"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Broad differentiation expansion</w:t>
            </w:r>
          </w:p>
        </w:tc>
        <w:tc>
          <w:tcPr>
            <w:tcW w:w="0" w:type="auto"/>
            <w:vAlign w:val="center"/>
            <w:hideMark/>
          </w:tcPr>
          <w:p w14:paraId="2DFF3152"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Medium</w:t>
            </w:r>
          </w:p>
        </w:tc>
        <w:tc>
          <w:tcPr>
            <w:tcW w:w="0" w:type="auto"/>
            <w:vAlign w:val="center"/>
            <w:hideMark/>
          </w:tcPr>
          <w:p w14:paraId="3213E5C4"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Medium</w:t>
            </w:r>
          </w:p>
        </w:tc>
        <w:tc>
          <w:tcPr>
            <w:tcW w:w="0" w:type="auto"/>
            <w:vAlign w:val="center"/>
            <w:hideMark/>
          </w:tcPr>
          <w:p w14:paraId="406254EA"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Medium</w:t>
            </w:r>
          </w:p>
        </w:tc>
        <w:tc>
          <w:tcPr>
            <w:tcW w:w="0" w:type="auto"/>
            <w:vAlign w:val="center"/>
            <w:hideMark/>
          </w:tcPr>
          <w:p w14:paraId="17605E24"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Moderate</w:t>
            </w:r>
          </w:p>
        </w:tc>
      </w:tr>
      <w:tr w:rsidR="00C02DC7" w:rsidRPr="00C02DC7" w14:paraId="51E69A5B" w14:textId="77777777" w:rsidTr="00C02DC7">
        <w:trPr>
          <w:tblCellSpacing w:w="15" w:type="dxa"/>
        </w:trPr>
        <w:tc>
          <w:tcPr>
            <w:tcW w:w="0" w:type="auto"/>
            <w:vAlign w:val="center"/>
            <w:hideMark/>
          </w:tcPr>
          <w:p w14:paraId="43F28CA3"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Price-led competition</w:t>
            </w:r>
          </w:p>
        </w:tc>
        <w:tc>
          <w:tcPr>
            <w:tcW w:w="0" w:type="auto"/>
            <w:vAlign w:val="center"/>
            <w:hideMark/>
          </w:tcPr>
          <w:p w14:paraId="4B0A109F"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Low</w:t>
            </w:r>
          </w:p>
        </w:tc>
        <w:tc>
          <w:tcPr>
            <w:tcW w:w="0" w:type="auto"/>
            <w:vAlign w:val="center"/>
            <w:hideMark/>
          </w:tcPr>
          <w:p w14:paraId="5C2C8192"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High</w:t>
            </w:r>
          </w:p>
        </w:tc>
        <w:tc>
          <w:tcPr>
            <w:tcW w:w="0" w:type="auto"/>
            <w:vAlign w:val="center"/>
            <w:hideMark/>
          </w:tcPr>
          <w:p w14:paraId="3273A7C4"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Low</w:t>
            </w:r>
          </w:p>
        </w:tc>
        <w:tc>
          <w:tcPr>
            <w:tcW w:w="0" w:type="auto"/>
            <w:vAlign w:val="center"/>
            <w:hideMark/>
          </w:tcPr>
          <w:p w14:paraId="19F7C8FF" w14:textId="77777777" w:rsidR="00C02DC7" w:rsidRPr="00C02DC7" w:rsidRDefault="00C02DC7" w:rsidP="00C02DC7">
            <w:pPr>
              <w:spacing w:after="0" w:line="360" w:lineRule="auto"/>
              <w:rPr>
                <w:rFonts w:ascii="Arial" w:eastAsia="Times New Roman" w:hAnsi="Arial" w:cs="Arial"/>
                <w:kern w:val="0"/>
                <w:lang w:eastAsia="en-GB"/>
                <w14:ligatures w14:val="none"/>
              </w:rPr>
            </w:pPr>
            <w:r w:rsidRPr="00C02DC7">
              <w:rPr>
                <w:rFonts w:ascii="Arial" w:eastAsia="Times New Roman" w:hAnsi="Arial" w:cs="Arial"/>
                <w:kern w:val="0"/>
                <w:lang w:eastAsia="en-GB"/>
                <w14:ligatures w14:val="none"/>
              </w:rPr>
              <w:t>Weak</w:t>
            </w:r>
          </w:p>
        </w:tc>
      </w:tr>
    </w:tbl>
    <w:p w14:paraId="286256E1" w14:textId="77777777" w:rsidR="003B47C9" w:rsidRDefault="003B47C9" w:rsidP="003B47C9">
      <w:pPr>
        <w:spacing w:line="360" w:lineRule="auto"/>
        <w:ind w:left="720"/>
        <w:jc w:val="both"/>
        <w:rPr>
          <w:rFonts w:ascii="Arial" w:hAnsi="Arial" w:cs="Arial"/>
        </w:rPr>
      </w:pPr>
    </w:p>
    <w:p w14:paraId="226CCBC1" w14:textId="3804FB00" w:rsidR="00D8699B" w:rsidRPr="00921E62" w:rsidRDefault="00D8699B" w:rsidP="00D8699B">
      <w:pPr>
        <w:spacing w:line="360" w:lineRule="auto"/>
        <w:jc w:val="both"/>
        <w:rPr>
          <w:rFonts w:ascii="Arial" w:hAnsi="Arial" w:cs="Arial"/>
        </w:rPr>
      </w:pPr>
      <w:r w:rsidRPr="00D8699B">
        <w:rPr>
          <w:rFonts w:ascii="Arial" w:hAnsi="Arial" w:cs="Arial"/>
        </w:rPr>
        <w:t>Compared with alternative approaches, focused differentiation performs strongest across all SFA dimensions because it aligns with Innocent’s brand equity, operational capabilities and stakeholder expectations.</w:t>
      </w:r>
    </w:p>
    <w:p w14:paraId="50317CBC" w14:textId="77777777" w:rsidR="00116230" w:rsidRPr="009C3226" w:rsidRDefault="00116230" w:rsidP="0013301A">
      <w:pPr>
        <w:pStyle w:val="Heading1"/>
      </w:pPr>
      <w:bookmarkStart w:id="17" w:name="_Toc223254248"/>
      <w:r w:rsidRPr="009C3226">
        <w:t>6. Stakeholder Analysis and Engagement Plan</w:t>
      </w:r>
      <w:bookmarkEnd w:id="17"/>
    </w:p>
    <w:p w14:paraId="57C9E429" w14:textId="0EE55BB9" w:rsidR="00506353" w:rsidRPr="00116230" w:rsidRDefault="00116230" w:rsidP="00921E62">
      <w:pPr>
        <w:spacing w:line="360" w:lineRule="auto"/>
        <w:jc w:val="both"/>
        <w:rPr>
          <w:rFonts w:ascii="Arial" w:hAnsi="Arial" w:cs="Arial"/>
        </w:rPr>
      </w:pPr>
      <w:r w:rsidRPr="00116230">
        <w:rPr>
          <w:rFonts w:ascii="Arial" w:hAnsi="Arial" w:cs="Arial"/>
        </w:rPr>
        <w:t>Stakeholder theory argues that long-term value requires balancing stakeholder interests rather than focusing solely on shareholders (Freeman, 1984). This aligns with B Corp’s stakeholder governance orientation (B Lab, 2024), but it also increases the requirement for clarity and accountability. Innocent’s stakeholders are diverse: consumers want healthier, affordable products and integrity; retailers demand reliability and commercial performance; suppliers require stable partnerships; employees need purpose-consistent leadership; regulators expect compliance; and NGOs/public audiences shape legitimacy.</w:t>
      </w:r>
    </w:p>
    <w:p w14:paraId="1551B9BA" w14:textId="4A40540B" w:rsidR="00116230" w:rsidRPr="009A448B" w:rsidRDefault="00116230" w:rsidP="00116230">
      <w:pPr>
        <w:spacing w:line="360" w:lineRule="auto"/>
        <w:rPr>
          <w:rFonts w:ascii="Arial" w:hAnsi="Arial" w:cs="Arial"/>
          <w:b/>
          <w:bCs/>
        </w:rPr>
      </w:pPr>
      <w:r w:rsidRPr="009A448B">
        <w:rPr>
          <w:rFonts w:ascii="Arial" w:hAnsi="Arial" w:cs="Arial"/>
          <w:b/>
          <w:bCs/>
        </w:rPr>
        <w:t xml:space="preserve">Table 6.1: Mendelow power–interest matrix (Innocent)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19"/>
        <w:gridCol w:w="2771"/>
        <w:gridCol w:w="4226"/>
      </w:tblGrid>
      <w:tr w:rsidR="00116230" w:rsidRPr="00116230" w14:paraId="5B394D4F" w14:textId="77777777" w:rsidTr="009C3226">
        <w:trPr>
          <w:tblHeader/>
          <w:tblCellSpacing w:w="15" w:type="dxa"/>
        </w:trPr>
        <w:tc>
          <w:tcPr>
            <w:tcW w:w="0" w:type="auto"/>
            <w:shd w:val="clear" w:color="auto" w:fill="00B0F0"/>
            <w:vAlign w:val="center"/>
            <w:hideMark/>
          </w:tcPr>
          <w:p w14:paraId="7B4ECBA4" w14:textId="77777777" w:rsidR="00116230" w:rsidRPr="00695F1C" w:rsidRDefault="00116230" w:rsidP="00116230">
            <w:pPr>
              <w:spacing w:line="360" w:lineRule="auto"/>
              <w:rPr>
                <w:rFonts w:ascii="Arial" w:hAnsi="Arial" w:cs="Arial"/>
                <w:b/>
                <w:bCs/>
              </w:rPr>
            </w:pPr>
            <w:r w:rsidRPr="00695F1C">
              <w:rPr>
                <w:rFonts w:ascii="Arial" w:hAnsi="Arial" w:cs="Arial"/>
                <w:b/>
                <w:bCs/>
              </w:rPr>
              <w:t>Category</w:t>
            </w:r>
          </w:p>
        </w:tc>
        <w:tc>
          <w:tcPr>
            <w:tcW w:w="0" w:type="auto"/>
            <w:shd w:val="clear" w:color="auto" w:fill="00B0F0"/>
            <w:vAlign w:val="center"/>
            <w:hideMark/>
          </w:tcPr>
          <w:p w14:paraId="18E73FD4" w14:textId="77777777" w:rsidR="00116230" w:rsidRPr="00695F1C" w:rsidRDefault="00116230" w:rsidP="00116230">
            <w:pPr>
              <w:spacing w:line="360" w:lineRule="auto"/>
              <w:rPr>
                <w:rFonts w:ascii="Arial" w:hAnsi="Arial" w:cs="Arial"/>
                <w:b/>
                <w:bCs/>
              </w:rPr>
            </w:pPr>
            <w:r w:rsidRPr="00695F1C">
              <w:rPr>
                <w:rFonts w:ascii="Arial" w:hAnsi="Arial" w:cs="Arial"/>
                <w:b/>
                <w:bCs/>
              </w:rPr>
              <w:t>Key stakeholders</w:t>
            </w:r>
          </w:p>
        </w:tc>
        <w:tc>
          <w:tcPr>
            <w:tcW w:w="0" w:type="auto"/>
            <w:shd w:val="clear" w:color="auto" w:fill="00B0F0"/>
            <w:vAlign w:val="center"/>
            <w:hideMark/>
          </w:tcPr>
          <w:p w14:paraId="7A885532" w14:textId="77777777" w:rsidR="00116230" w:rsidRPr="00695F1C" w:rsidRDefault="00116230" w:rsidP="00116230">
            <w:pPr>
              <w:spacing w:line="360" w:lineRule="auto"/>
              <w:rPr>
                <w:rFonts w:ascii="Arial" w:hAnsi="Arial" w:cs="Arial"/>
                <w:b/>
                <w:bCs/>
              </w:rPr>
            </w:pPr>
            <w:r w:rsidRPr="00695F1C">
              <w:rPr>
                <w:rFonts w:ascii="Arial" w:hAnsi="Arial" w:cs="Arial"/>
                <w:b/>
                <w:bCs/>
              </w:rPr>
              <w:t>Engagement approach</w:t>
            </w:r>
          </w:p>
        </w:tc>
      </w:tr>
      <w:tr w:rsidR="00116230" w:rsidRPr="00116230" w14:paraId="6377DCFE" w14:textId="77777777" w:rsidTr="009C3226">
        <w:trPr>
          <w:tblCellSpacing w:w="15" w:type="dxa"/>
        </w:trPr>
        <w:tc>
          <w:tcPr>
            <w:tcW w:w="0" w:type="auto"/>
            <w:shd w:val="clear" w:color="auto" w:fill="DAE9F7" w:themeFill="text2" w:themeFillTint="1A"/>
            <w:vAlign w:val="center"/>
            <w:hideMark/>
          </w:tcPr>
          <w:p w14:paraId="4057AA23" w14:textId="77777777" w:rsidR="00116230" w:rsidRPr="00116230" w:rsidRDefault="00116230" w:rsidP="00116230">
            <w:pPr>
              <w:spacing w:line="360" w:lineRule="auto"/>
              <w:rPr>
                <w:rFonts w:ascii="Arial" w:hAnsi="Arial" w:cs="Arial"/>
              </w:rPr>
            </w:pPr>
            <w:r w:rsidRPr="00116230">
              <w:rPr>
                <w:rFonts w:ascii="Arial" w:hAnsi="Arial" w:cs="Arial"/>
              </w:rPr>
              <w:t>High power / high interest (manage closely)</w:t>
            </w:r>
          </w:p>
        </w:tc>
        <w:tc>
          <w:tcPr>
            <w:tcW w:w="0" w:type="auto"/>
            <w:vAlign w:val="center"/>
            <w:hideMark/>
          </w:tcPr>
          <w:p w14:paraId="7E26E3C4" w14:textId="77777777" w:rsidR="00116230" w:rsidRPr="00116230" w:rsidRDefault="00116230" w:rsidP="00116230">
            <w:pPr>
              <w:spacing w:line="360" w:lineRule="auto"/>
              <w:rPr>
                <w:rFonts w:ascii="Arial" w:hAnsi="Arial" w:cs="Arial"/>
              </w:rPr>
            </w:pPr>
            <w:r w:rsidRPr="00116230">
              <w:rPr>
                <w:rFonts w:ascii="Arial" w:hAnsi="Arial" w:cs="Arial"/>
              </w:rPr>
              <w:t>Major retailers; senior leadership; owners/investors</w:t>
            </w:r>
          </w:p>
        </w:tc>
        <w:tc>
          <w:tcPr>
            <w:tcW w:w="0" w:type="auto"/>
            <w:vAlign w:val="center"/>
            <w:hideMark/>
          </w:tcPr>
          <w:p w14:paraId="34FCDB5A" w14:textId="77777777" w:rsidR="00116230" w:rsidRPr="00116230" w:rsidRDefault="00116230" w:rsidP="00116230">
            <w:pPr>
              <w:spacing w:line="360" w:lineRule="auto"/>
              <w:rPr>
                <w:rFonts w:ascii="Arial" w:hAnsi="Arial" w:cs="Arial"/>
              </w:rPr>
            </w:pPr>
            <w:r w:rsidRPr="00116230">
              <w:rPr>
                <w:rFonts w:ascii="Arial" w:hAnsi="Arial" w:cs="Arial"/>
              </w:rPr>
              <w:t>Joint business planning; regular performance reviews; transparent sustainability and commercial reporting</w:t>
            </w:r>
          </w:p>
        </w:tc>
      </w:tr>
      <w:tr w:rsidR="00116230" w:rsidRPr="00116230" w14:paraId="6C90EA7A" w14:textId="77777777" w:rsidTr="009C3226">
        <w:trPr>
          <w:tblCellSpacing w:w="15" w:type="dxa"/>
        </w:trPr>
        <w:tc>
          <w:tcPr>
            <w:tcW w:w="0" w:type="auto"/>
            <w:shd w:val="clear" w:color="auto" w:fill="DAE9F7" w:themeFill="text2" w:themeFillTint="1A"/>
            <w:vAlign w:val="center"/>
            <w:hideMark/>
          </w:tcPr>
          <w:p w14:paraId="0865D930" w14:textId="77777777" w:rsidR="00116230" w:rsidRPr="00116230" w:rsidRDefault="00116230" w:rsidP="00116230">
            <w:pPr>
              <w:spacing w:line="360" w:lineRule="auto"/>
              <w:rPr>
                <w:rFonts w:ascii="Arial" w:hAnsi="Arial" w:cs="Arial"/>
              </w:rPr>
            </w:pPr>
            <w:r w:rsidRPr="00116230">
              <w:rPr>
                <w:rFonts w:ascii="Arial" w:hAnsi="Arial" w:cs="Arial"/>
              </w:rPr>
              <w:t>High power / low interest (keep satisfied)</w:t>
            </w:r>
          </w:p>
        </w:tc>
        <w:tc>
          <w:tcPr>
            <w:tcW w:w="0" w:type="auto"/>
            <w:vAlign w:val="center"/>
            <w:hideMark/>
          </w:tcPr>
          <w:p w14:paraId="4649C2E8" w14:textId="77777777" w:rsidR="00116230" w:rsidRPr="00116230" w:rsidRDefault="00116230" w:rsidP="00116230">
            <w:pPr>
              <w:spacing w:line="360" w:lineRule="auto"/>
              <w:rPr>
                <w:rFonts w:ascii="Arial" w:hAnsi="Arial" w:cs="Arial"/>
              </w:rPr>
            </w:pPr>
            <w:r w:rsidRPr="00116230">
              <w:rPr>
                <w:rFonts w:ascii="Arial" w:hAnsi="Arial" w:cs="Arial"/>
              </w:rPr>
              <w:t>Regulators; certification bodies</w:t>
            </w:r>
          </w:p>
        </w:tc>
        <w:tc>
          <w:tcPr>
            <w:tcW w:w="0" w:type="auto"/>
            <w:vAlign w:val="center"/>
            <w:hideMark/>
          </w:tcPr>
          <w:p w14:paraId="16C7082A" w14:textId="77777777" w:rsidR="00116230" w:rsidRPr="00116230" w:rsidRDefault="00116230" w:rsidP="00116230">
            <w:pPr>
              <w:spacing w:line="360" w:lineRule="auto"/>
              <w:rPr>
                <w:rFonts w:ascii="Arial" w:hAnsi="Arial" w:cs="Arial"/>
              </w:rPr>
            </w:pPr>
            <w:r w:rsidRPr="00116230">
              <w:rPr>
                <w:rFonts w:ascii="Arial" w:hAnsi="Arial" w:cs="Arial"/>
              </w:rPr>
              <w:t>Proactive compliance; audit readiness; evidence-led disclosures</w:t>
            </w:r>
          </w:p>
        </w:tc>
      </w:tr>
      <w:tr w:rsidR="00116230" w:rsidRPr="00116230" w14:paraId="306062A2" w14:textId="77777777" w:rsidTr="009C3226">
        <w:trPr>
          <w:tblCellSpacing w:w="15" w:type="dxa"/>
        </w:trPr>
        <w:tc>
          <w:tcPr>
            <w:tcW w:w="0" w:type="auto"/>
            <w:shd w:val="clear" w:color="auto" w:fill="DAE9F7" w:themeFill="text2" w:themeFillTint="1A"/>
            <w:vAlign w:val="center"/>
            <w:hideMark/>
          </w:tcPr>
          <w:p w14:paraId="0E804581" w14:textId="77777777" w:rsidR="00116230" w:rsidRPr="00116230" w:rsidRDefault="00116230" w:rsidP="00116230">
            <w:pPr>
              <w:spacing w:line="360" w:lineRule="auto"/>
              <w:rPr>
                <w:rFonts w:ascii="Arial" w:hAnsi="Arial" w:cs="Arial"/>
              </w:rPr>
            </w:pPr>
            <w:r w:rsidRPr="00116230">
              <w:rPr>
                <w:rFonts w:ascii="Arial" w:hAnsi="Arial" w:cs="Arial"/>
              </w:rPr>
              <w:lastRenderedPageBreak/>
              <w:t>Low power / high interest (keep informed)</w:t>
            </w:r>
          </w:p>
        </w:tc>
        <w:tc>
          <w:tcPr>
            <w:tcW w:w="0" w:type="auto"/>
            <w:vAlign w:val="center"/>
            <w:hideMark/>
          </w:tcPr>
          <w:p w14:paraId="69F73104" w14:textId="77777777" w:rsidR="00116230" w:rsidRPr="00116230" w:rsidRDefault="00116230" w:rsidP="00116230">
            <w:pPr>
              <w:spacing w:line="360" w:lineRule="auto"/>
              <w:rPr>
                <w:rFonts w:ascii="Arial" w:hAnsi="Arial" w:cs="Arial"/>
              </w:rPr>
            </w:pPr>
            <w:r w:rsidRPr="00116230">
              <w:rPr>
                <w:rFonts w:ascii="Arial" w:hAnsi="Arial" w:cs="Arial"/>
              </w:rPr>
              <w:t>Consumers; employees; NGOs/community groups</w:t>
            </w:r>
          </w:p>
        </w:tc>
        <w:tc>
          <w:tcPr>
            <w:tcW w:w="0" w:type="auto"/>
            <w:vAlign w:val="center"/>
            <w:hideMark/>
          </w:tcPr>
          <w:p w14:paraId="4B204769" w14:textId="77777777" w:rsidR="00116230" w:rsidRPr="00116230" w:rsidRDefault="00116230" w:rsidP="00116230">
            <w:pPr>
              <w:spacing w:line="360" w:lineRule="auto"/>
              <w:rPr>
                <w:rFonts w:ascii="Arial" w:hAnsi="Arial" w:cs="Arial"/>
              </w:rPr>
            </w:pPr>
            <w:r w:rsidRPr="00116230">
              <w:rPr>
                <w:rFonts w:ascii="Arial" w:hAnsi="Arial" w:cs="Arial"/>
              </w:rPr>
              <w:t>Transparent communication; two-way engagement; impact reporting; listening mechanisms</w:t>
            </w:r>
          </w:p>
        </w:tc>
      </w:tr>
      <w:tr w:rsidR="00116230" w:rsidRPr="00116230" w14:paraId="355E426C" w14:textId="77777777" w:rsidTr="009C3226">
        <w:trPr>
          <w:tblCellSpacing w:w="15" w:type="dxa"/>
        </w:trPr>
        <w:tc>
          <w:tcPr>
            <w:tcW w:w="0" w:type="auto"/>
            <w:shd w:val="clear" w:color="auto" w:fill="DAE9F7" w:themeFill="text2" w:themeFillTint="1A"/>
            <w:vAlign w:val="center"/>
            <w:hideMark/>
          </w:tcPr>
          <w:p w14:paraId="7CB4B25F" w14:textId="77777777" w:rsidR="00116230" w:rsidRPr="00116230" w:rsidRDefault="00116230" w:rsidP="00116230">
            <w:pPr>
              <w:spacing w:line="360" w:lineRule="auto"/>
              <w:rPr>
                <w:rFonts w:ascii="Arial" w:hAnsi="Arial" w:cs="Arial"/>
              </w:rPr>
            </w:pPr>
            <w:r w:rsidRPr="00116230">
              <w:rPr>
                <w:rFonts w:ascii="Arial" w:hAnsi="Arial" w:cs="Arial"/>
              </w:rPr>
              <w:t>Low power / low interest (monitor)</w:t>
            </w:r>
          </w:p>
        </w:tc>
        <w:tc>
          <w:tcPr>
            <w:tcW w:w="0" w:type="auto"/>
            <w:vAlign w:val="center"/>
            <w:hideMark/>
          </w:tcPr>
          <w:p w14:paraId="3B2BD854" w14:textId="77777777" w:rsidR="00116230" w:rsidRPr="00116230" w:rsidRDefault="00116230" w:rsidP="00116230">
            <w:pPr>
              <w:spacing w:line="360" w:lineRule="auto"/>
              <w:rPr>
                <w:rFonts w:ascii="Arial" w:hAnsi="Arial" w:cs="Arial"/>
              </w:rPr>
            </w:pPr>
            <w:r w:rsidRPr="00116230">
              <w:rPr>
                <w:rFonts w:ascii="Arial" w:hAnsi="Arial" w:cs="Arial"/>
              </w:rPr>
              <w:t>Wider public; non-engaged media</w:t>
            </w:r>
          </w:p>
        </w:tc>
        <w:tc>
          <w:tcPr>
            <w:tcW w:w="0" w:type="auto"/>
            <w:vAlign w:val="center"/>
            <w:hideMark/>
          </w:tcPr>
          <w:p w14:paraId="1C16E50F" w14:textId="77777777" w:rsidR="00116230" w:rsidRPr="00116230" w:rsidRDefault="00116230" w:rsidP="00116230">
            <w:pPr>
              <w:spacing w:line="360" w:lineRule="auto"/>
              <w:rPr>
                <w:rFonts w:ascii="Arial" w:hAnsi="Arial" w:cs="Arial"/>
              </w:rPr>
            </w:pPr>
            <w:r w:rsidRPr="00116230">
              <w:rPr>
                <w:rFonts w:ascii="Arial" w:hAnsi="Arial" w:cs="Arial"/>
              </w:rPr>
              <w:t>Monitoring and rapid response capability</w:t>
            </w:r>
          </w:p>
        </w:tc>
      </w:tr>
    </w:tbl>
    <w:p w14:paraId="21678E9A" w14:textId="77777777" w:rsidR="009C3226" w:rsidRDefault="009C3226" w:rsidP="00116230">
      <w:pPr>
        <w:spacing w:line="360" w:lineRule="auto"/>
        <w:rPr>
          <w:rFonts w:ascii="Arial" w:hAnsi="Arial" w:cs="Arial"/>
        </w:rPr>
      </w:pPr>
    </w:p>
    <w:p w14:paraId="7C26F821" w14:textId="2C8264F3" w:rsidR="00116230" w:rsidRPr="00116230" w:rsidRDefault="00116230" w:rsidP="00116230">
      <w:pPr>
        <w:spacing w:line="360" w:lineRule="auto"/>
        <w:rPr>
          <w:rFonts w:ascii="Arial" w:hAnsi="Arial" w:cs="Arial"/>
        </w:rPr>
      </w:pPr>
      <w:r w:rsidRPr="00116230">
        <w:rPr>
          <w:rFonts w:ascii="Arial" w:hAnsi="Arial" w:cs="Arial"/>
        </w:rPr>
        <w:t>Stakeholder engagement plan (brief).</w:t>
      </w:r>
    </w:p>
    <w:p w14:paraId="7E0A1474" w14:textId="77777777" w:rsidR="00116230" w:rsidRPr="00116230" w:rsidRDefault="00116230" w:rsidP="00921E62">
      <w:pPr>
        <w:numPr>
          <w:ilvl w:val="0"/>
          <w:numId w:val="4"/>
        </w:numPr>
        <w:spacing w:line="360" w:lineRule="auto"/>
        <w:jc w:val="both"/>
        <w:rPr>
          <w:rFonts w:ascii="Arial" w:hAnsi="Arial" w:cs="Arial"/>
        </w:rPr>
      </w:pPr>
      <w:r w:rsidRPr="00116230">
        <w:rPr>
          <w:rFonts w:ascii="Arial" w:hAnsi="Arial" w:cs="Arial"/>
        </w:rPr>
        <w:t>Consumers: publish credible metrics (carbon, packaging, sourcing), avoid exaggerated health claims, use evidence-led storytelling (Delmas and Burbano, 2011).</w:t>
      </w:r>
    </w:p>
    <w:p w14:paraId="63BF99C1" w14:textId="77777777" w:rsidR="00116230" w:rsidRPr="00116230" w:rsidRDefault="00116230" w:rsidP="00921E62">
      <w:pPr>
        <w:numPr>
          <w:ilvl w:val="0"/>
          <w:numId w:val="4"/>
        </w:numPr>
        <w:spacing w:line="360" w:lineRule="auto"/>
        <w:jc w:val="both"/>
        <w:rPr>
          <w:rFonts w:ascii="Arial" w:hAnsi="Arial" w:cs="Arial"/>
        </w:rPr>
      </w:pPr>
      <w:r w:rsidRPr="00116230">
        <w:rPr>
          <w:rFonts w:ascii="Arial" w:hAnsi="Arial" w:cs="Arial"/>
        </w:rPr>
        <w:t>Retailers: align sustainability goals with retailer priorities; demonstrate category value, not just brand value (Porter, 2008).</w:t>
      </w:r>
    </w:p>
    <w:p w14:paraId="487A6571" w14:textId="77777777" w:rsidR="00116230" w:rsidRPr="00116230" w:rsidRDefault="00116230" w:rsidP="00921E62">
      <w:pPr>
        <w:numPr>
          <w:ilvl w:val="0"/>
          <w:numId w:val="4"/>
        </w:numPr>
        <w:spacing w:line="360" w:lineRule="auto"/>
        <w:jc w:val="both"/>
        <w:rPr>
          <w:rFonts w:ascii="Arial" w:hAnsi="Arial" w:cs="Arial"/>
        </w:rPr>
      </w:pPr>
      <w:r w:rsidRPr="00116230">
        <w:rPr>
          <w:rFonts w:ascii="Arial" w:hAnsi="Arial" w:cs="Arial"/>
        </w:rPr>
        <w:t>Suppliers: invest in partnerships, risk mapping and supplier development; set shared ethical and climate objectives (IPCC, 2023).</w:t>
      </w:r>
    </w:p>
    <w:p w14:paraId="1A928236" w14:textId="77777777" w:rsidR="00116230" w:rsidRPr="00116230" w:rsidRDefault="00116230" w:rsidP="00921E62">
      <w:pPr>
        <w:numPr>
          <w:ilvl w:val="0"/>
          <w:numId w:val="4"/>
        </w:numPr>
        <w:spacing w:line="360" w:lineRule="auto"/>
        <w:jc w:val="both"/>
        <w:rPr>
          <w:rFonts w:ascii="Arial" w:hAnsi="Arial" w:cs="Arial"/>
        </w:rPr>
      </w:pPr>
      <w:r w:rsidRPr="00116230">
        <w:rPr>
          <w:rFonts w:ascii="Arial" w:hAnsi="Arial" w:cs="Arial"/>
        </w:rPr>
        <w:t>Employees: maintain purpose alignment, capability training and recognition for sustainability-linked improvements (Khan et al., 2025).</w:t>
      </w:r>
    </w:p>
    <w:p w14:paraId="0F016CC2" w14:textId="34BA25DA" w:rsidR="00D717B6" w:rsidRPr="001956A4" w:rsidRDefault="00116230" w:rsidP="00116230">
      <w:pPr>
        <w:numPr>
          <w:ilvl w:val="0"/>
          <w:numId w:val="4"/>
        </w:numPr>
        <w:spacing w:line="360" w:lineRule="auto"/>
        <w:jc w:val="both"/>
        <w:rPr>
          <w:rFonts w:ascii="Arial" w:hAnsi="Arial" w:cs="Arial"/>
        </w:rPr>
      </w:pPr>
      <w:r w:rsidRPr="00116230">
        <w:rPr>
          <w:rFonts w:ascii="Arial" w:hAnsi="Arial" w:cs="Arial"/>
        </w:rPr>
        <w:t>Regulators/NGOs: proactive compliance and transparent reporting to strengthen legitimacy and reduce reputational risk.</w:t>
      </w:r>
    </w:p>
    <w:p w14:paraId="5F46838F" w14:textId="08BE7E56" w:rsidR="00116230" w:rsidRDefault="00116230" w:rsidP="0013301A">
      <w:pPr>
        <w:pStyle w:val="Heading1"/>
      </w:pPr>
      <w:bookmarkStart w:id="18" w:name="_Toc223254249"/>
      <w:r w:rsidRPr="009C3226">
        <w:t>7. Implementation and Monitoring</w:t>
      </w:r>
      <w:bookmarkEnd w:id="18"/>
    </w:p>
    <w:p w14:paraId="2F64A66B" w14:textId="77777777" w:rsidR="000221B0" w:rsidRPr="000221B0" w:rsidRDefault="000221B0" w:rsidP="00506353">
      <w:pPr>
        <w:spacing w:line="360" w:lineRule="auto"/>
        <w:jc w:val="both"/>
        <w:rPr>
          <w:rFonts w:ascii="Arial" w:hAnsi="Arial" w:cs="Arial"/>
        </w:rPr>
      </w:pPr>
      <w:r w:rsidRPr="000221B0">
        <w:rPr>
          <w:rFonts w:ascii="Arial" w:hAnsi="Arial" w:cs="Arial"/>
        </w:rPr>
        <w:t>Implementation should be phased and controlled through measurable KPIs and governance, consistent with balanced scorecard logic (Kaplan and Norton, 1996). A major reason strategies fail is weak execution discipline rather than weak analysis; therefore, this section prioritises actionable steps and monitoring.</w:t>
      </w:r>
    </w:p>
    <w:p w14:paraId="43513069" w14:textId="77777777" w:rsidR="000221B0" w:rsidRPr="000221B0" w:rsidRDefault="000221B0" w:rsidP="000221B0">
      <w:pPr>
        <w:pStyle w:val="Heading2"/>
      </w:pPr>
      <w:r w:rsidRPr="000221B0">
        <w:t>7.1 Implementation plan and KPIs</w:t>
      </w:r>
    </w:p>
    <w:p w14:paraId="3A2A2049" w14:textId="77777777" w:rsidR="00441C51" w:rsidRPr="00441C51" w:rsidRDefault="00441C51" w:rsidP="00506353">
      <w:pPr>
        <w:spacing w:line="360" w:lineRule="auto"/>
        <w:jc w:val="both"/>
        <w:rPr>
          <w:rFonts w:ascii="Arial" w:hAnsi="Arial" w:cs="Arial"/>
          <w:b/>
          <w:bCs/>
        </w:rPr>
      </w:pPr>
      <w:r w:rsidRPr="00441C51">
        <w:rPr>
          <w:rFonts w:ascii="Arial" w:hAnsi="Arial" w:cs="Arial"/>
          <w:b/>
          <w:bCs/>
        </w:rPr>
        <w:t>Phase 1 (0–6 months): Design and readiness</w:t>
      </w:r>
    </w:p>
    <w:p w14:paraId="7D2565B6" w14:textId="77777777" w:rsidR="00441C51" w:rsidRPr="00441C51" w:rsidRDefault="00441C51" w:rsidP="00506353">
      <w:pPr>
        <w:numPr>
          <w:ilvl w:val="0"/>
          <w:numId w:val="15"/>
        </w:numPr>
        <w:spacing w:line="360" w:lineRule="auto"/>
        <w:jc w:val="both"/>
        <w:rPr>
          <w:rFonts w:ascii="Arial" w:hAnsi="Arial" w:cs="Arial"/>
        </w:rPr>
      </w:pPr>
      <w:r w:rsidRPr="00441C51">
        <w:rPr>
          <w:rFonts w:ascii="Arial" w:hAnsi="Arial" w:cs="Arial"/>
        </w:rPr>
        <w:t>Build an “Everyday Health” innovation roadmap with clear platforms and claims governance rules.</w:t>
      </w:r>
    </w:p>
    <w:p w14:paraId="1EBBE51D" w14:textId="77777777" w:rsidR="00441C51" w:rsidRPr="00441C51" w:rsidRDefault="00441C51" w:rsidP="00506353">
      <w:pPr>
        <w:numPr>
          <w:ilvl w:val="0"/>
          <w:numId w:val="15"/>
        </w:numPr>
        <w:spacing w:line="360" w:lineRule="auto"/>
        <w:jc w:val="both"/>
        <w:rPr>
          <w:rFonts w:ascii="Arial" w:hAnsi="Arial" w:cs="Arial"/>
        </w:rPr>
      </w:pPr>
      <w:r w:rsidRPr="00441C51">
        <w:rPr>
          <w:rFonts w:ascii="Arial" w:hAnsi="Arial" w:cs="Arial"/>
        </w:rPr>
        <w:t xml:space="preserve">Map </w:t>
      </w:r>
      <w:proofErr w:type="spellStart"/>
      <w:r w:rsidRPr="00441C51">
        <w:rPr>
          <w:rFonts w:ascii="Arial" w:hAnsi="Arial" w:cs="Arial"/>
        </w:rPr>
        <w:t>pEPR</w:t>
      </w:r>
      <w:proofErr w:type="spellEnd"/>
      <w:r w:rsidRPr="00441C51">
        <w:rPr>
          <w:rFonts w:ascii="Arial" w:hAnsi="Arial" w:cs="Arial"/>
        </w:rPr>
        <w:t xml:space="preserve"> and PPWR obligations, data requirements and supplier reporting needs.</w:t>
      </w:r>
    </w:p>
    <w:p w14:paraId="295155E4" w14:textId="77777777" w:rsidR="00441C51" w:rsidRPr="00441C51" w:rsidRDefault="00441C51" w:rsidP="00506353">
      <w:pPr>
        <w:numPr>
          <w:ilvl w:val="0"/>
          <w:numId w:val="15"/>
        </w:numPr>
        <w:spacing w:line="360" w:lineRule="auto"/>
        <w:jc w:val="both"/>
        <w:rPr>
          <w:rFonts w:ascii="Arial" w:hAnsi="Arial" w:cs="Arial"/>
        </w:rPr>
      </w:pPr>
      <w:r w:rsidRPr="00441C51">
        <w:rPr>
          <w:rFonts w:ascii="Arial" w:hAnsi="Arial" w:cs="Arial"/>
        </w:rPr>
        <w:t>Conduct supply risk mapping for priority fruits (volume and climate exposure).</w:t>
      </w:r>
    </w:p>
    <w:p w14:paraId="3058C2D4" w14:textId="77777777" w:rsidR="00441C51" w:rsidRPr="00441C51" w:rsidRDefault="00441C51" w:rsidP="00506353">
      <w:pPr>
        <w:numPr>
          <w:ilvl w:val="0"/>
          <w:numId w:val="15"/>
        </w:numPr>
        <w:spacing w:line="360" w:lineRule="auto"/>
        <w:jc w:val="both"/>
        <w:rPr>
          <w:rFonts w:ascii="Arial" w:hAnsi="Arial" w:cs="Arial"/>
        </w:rPr>
      </w:pPr>
      <w:r w:rsidRPr="00441C51">
        <w:rPr>
          <w:rFonts w:ascii="Arial" w:hAnsi="Arial" w:cs="Arial"/>
        </w:rPr>
        <w:lastRenderedPageBreak/>
        <w:t>Establish a cross-functional steering group (commercial, sustainability and operations).</w:t>
      </w:r>
    </w:p>
    <w:p w14:paraId="5836FEEE" w14:textId="77777777" w:rsidR="00441C51" w:rsidRPr="00441C51" w:rsidRDefault="00441C51" w:rsidP="00506353">
      <w:pPr>
        <w:spacing w:line="360" w:lineRule="auto"/>
        <w:jc w:val="both"/>
        <w:rPr>
          <w:rFonts w:ascii="Arial" w:hAnsi="Arial" w:cs="Arial"/>
        </w:rPr>
      </w:pPr>
      <w:r w:rsidRPr="00441C51">
        <w:rPr>
          <w:rFonts w:ascii="Arial" w:hAnsi="Arial" w:cs="Arial"/>
          <w:b/>
          <w:bCs/>
        </w:rPr>
        <w:t>Phase 2</w:t>
      </w:r>
      <w:r w:rsidRPr="00441C51">
        <w:rPr>
          <w:rFonts w:ascii="Arial" w:hAnsi="Arial" w:cs="Arial"/>
        </w:rPr>
        <w:t xml:space="preserve"> (6–18 months): Pilot and launch</w:t>
      </w:r>
    </w:p>
    <w:p w14:paraId="50DEC7FA" w14:textId="77777777" w:rsidR="00441C51" w:rsidRPr="00441C51" w:rsidRDefault="00441C51" w:rsidP="00506353">
      <w:pPr>
        <w:numPr>
          <w:ilvl w:val="0"/>
          <w:numId w:val="16"/>
        </w:numPr>
        <w:spacing w:line="360" w:lineRule="auto"/>
        <w:jc w:val="both"/>
        <w:rPr>
          <w:rFonts w:ascii="Arial" w:hAnsi="Arial" w:cs="Arial"/>
        </w:rPr>
      </w:pPr>
      <w:r w:rsidRPr="00441C51">
        <w:rPr>
          <w:rFonts w:ascii="Arial" w:hAnsi="Arial" w:cs="Arial"/>
        </w:rPr>
        <w:t>Launch initial “Everyday Health” SKUs: portion-led variants, reduced sugar per serve, and fibre/protein options where substantiated.</w:t>
      </w:r>
    </w:p>
    <w:p w14:paraId="0DAAA1A8" w14:textId="77777777" w:rsidR="00441C51" w:rsidRPr="00441C51" w:rsidRDefault="00441C51" w:rsidP="00506353">
      <w:pPr>
        <w:numPr>
          <w:ilvl w:val="0"/>
          <w:numId w:val="16"/>
        </w:numPr>
        <w:spacing w:line="360" w:lineRule="auto"/>
        <w:jc w:val="both"/>
        <w:rPr>
          <w:rFonts w:ascii="Arial" w:hAnsi="Arial" w:cs="Arial"/>
        </w:rPr>
      </w:pPr>
      <w:r w:rsidRPr="00441C51">
        <w:rPr>
          <w:rFonts w:ascii="Arial" w:hAnsi="Arial" w:cs="Arial"/>
        </w:rPr>
        <w:t>Run packaging pilots guided by LCA and recyclability targets (Espinoza-Orias et al., 2025).</w:t>
      </w:r>
    </w:p>
    <w:p w14:paraId="660869B8" w14:textId="77777777" w:rsidR="00441C51" w:rsidRPr="00441C51" w:rsidRDefault="00441C51" w:rsidP="00506353">
      <w:pPr>
        <w:numPr>
          <w:ilvl w:val="0"/>
          <w:numId w:val="16"/>
        </w:numPr>
        <w:spacing w:line="360" w:lineRule="auto"/>
        <w:jc w:val="both"/>
        <w:rPr>
          <w:rFonts w:ascii="Arial" w:hAnsi="Arial" w:cs="Arial"/>
        </w:rPr>
      </w:pPr>
      <w:r w:rsidRPr="00441C51">
        <w:rPr>
          <w:rFonts w:ascii="Arial" w:hAnsi="Arial" w:cs="Arial"/>
        </w:rPr>
        <w:t>Pilot deeper expansion in 2–3 high-fit European markets with limited retail partners; measure repeat purchase and margin before scaling.</w:t>
      </w:r>
    </w:p>
    <w:p w14:paraId="6BCCA0D1" w14:textId="77777777" w:rsidR="00441C51" w:rsidRPr="00441C51" w:rsidRDefault="00441C51" w:rsidP="00506353">
      <w:pPr>
        <w:spacing w:line="360" w:lineRule="auto"/>
        <w:jc w:val="both"/>
        <w:rPr>
          <w:rFonts w:ascii="Arial" w:hAnsi="Arial" w:cs="Arial"/>
        </w:rPr>
      </w:pPr>
      <w:r w:rsidRPr="00441C51">
        <w:rPr>
          <w:rFonts w:ascii="Arial" w:hAnsi="Arial" w:cs="Arial"/>
          <w:b/>
          <w:bCs/>
        </w:rPr>
        <w:t>Phase 3</w:t>
      </w:r>
      <w:r w:rsidRPr="00441C51">
        <w:rPr>
          <w:rFonts w:ascii="Arial" w:hAnsi="Arial" w:cs="Arial"/>
        </w:rPr>
        <w:t xml:space="preserve"> (18–24 months): Scale and optimise</w:t>
      </w:r>
    </w:p>
    <w:p w14:paraId="24425E20" w14:textId="77777777" w:rsidR="00441C51" w:rsidRPr="00441C51" w:rsidRDefault="00441C51" w:rsidP="00506353">
      <w:pPr>
        <w:numPr>
          <w:ilvl w:val="0"/>
          <w:numId w:val="17"/>
        </w:numPr>
        <w:spacing w:line="360" w:lineRule="auto"/>
        <w:jc w:val="both"/>
        <w:rPr>
          <w:rFonts w:ascii="Arial" w:hAnsi="Arial" w:cs="Arial"/>
        </w:rPr>
      </w:pPr>
      <w:r w:rsidRPr="00441C51">
        <w:rPr>
          <w:rFonts w:ascii="Arial" w:hAnsi="Arial" w:cs="Arial"/>
        </w:rPr>
        <w:t>Scale proven SKUs and reduce complexity by exiting weak performers.</w:t>
      </w:r>
    </w:p>
    <w:p w14:paraId="2121B031" w14:textId="77777777" w:rsidR="00441C51" w:rsidRPr="00441C51" w:rsidRDefault="00441C51" w:rsidP="00506353">
      <w:pPr>
        <w:numPr>
          <w:ilvl w:val="0"/>
          <w:numId w:val="17"/>
        </w:numPr>
        <w:spacing w:line="360" w:lineRule="auto"/>
        <w:jc w:val="both"/>
        <w:rPr>
          <w:rFonts w:ascii="Arial" w:hAnsi="Arial" w:cs="Arial"/>
        </w:rPr>
      </w:pPr>
      <w:r w:rsidRPr="00441C51">
        <w:rPr>
          <w:rFonts w:ascii="Arial" w:hAnsi="Arial" w:cs="Arial"/>
        </w:rPr>
        <w:t>Expand European distribution where thresholds are met.</w:t>
      </w:r>
    </w:p>
    <w:p w14:paraId="49ABB136" w14:textId="23EF02BD" w:rsidR="008158BF" w:rsidRPr="006009DD" w:rsidRDefault="00441C51" w:rsidP="00116230">
      <w:pPr>
        <w:numPr>
          <w:ilvl w:val="0"/>
          <w:numId w:val="17"/>
        </w:numPr>
        <w:spacing w:line="360" w:lineRule="auto"/>
        <w:jc w:val="both"/>
        <w:rPr>
          <w:rFonts w:ascii="Arial" w:hAnsi="Arial" w:cs="Arial"/>
        </w:rPr>
        <w:sectPr w:rsidR="008158BF" w:rsidRPr="006009DD">
          <w:footerReference w:type="default" r:id="rId9"/>
          <w:pgSz w:w="11906" w:h="16838"/>
          <w:pgMar w:top="1440" w:right="1440" w:bottom="1440" w:left="1440" w:header="708" w:footer="708" w:gutter="0"/>
          <w:cols w:space="708"/>
          <w:docGrid w:linePitch="360"/>
        </w:sectPr>
      </w:pPr>
      <w:r w:rsidRPr="00441C51">
        <w:rPr>
          <w:rFonts w:ascii="Arial" w:hAnsi="Arial" w:cs="Arial"/>
        </w:rPr>
        <w:t>Continue improving forecasting, cold chain efficiency and waste reduction.</w:t>
      </w:r>
    </w:p>
    <w:p w14:paraId="6B4F3012" w14:textId="26B4F024" w:rsidR="00116230" w:rsidRPr="009C3226" w:rsidRDefault="006009DD" w:rsidP="00116230">
      <w:pPr>
        <w:spacing w:line="360" w:lineRule="auto"/>
        <w:rPr>
          <w:rFonts w:ascii="Arial" w:hAnsi="Arial" w:cs="Arial"/>
          <w:b/>
          <w:bCs/>
        </w:rPr>
      </w:pPr>
      <w:r w:rsidRPr="009C3226">
        <w:rPr>
          <w:rFonts w:ascii="Arial" w:hAnsi="Arial" w:cs="Arial"/>
          <w:b/>
          <w:bCs/>
        </w:rPr>
        <w:lastRenderedPageBreak/>
        <w:t>Table 7.1: Implementation plan and KPIs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5"/>
        <w:gridCol w:w="2561"/>
        <w:gridCol w:w="3257"/>
        <w:gridCol w:w="2930"/>
        <w:gridCol w:w="1214"/>
        <w:gridCol w:w="2071"/>
      </w:tblGrid>
      <w:tr w:rsidR="00D93D13" w:rsidRPr="00694170" w14:paraId="0F15CB1A" w14:textId="77777777" w:rsidTr="00AC0034">
        <w:trPr>
          <w:tblHeader/>
          <w:tblCellSpacing w:w="15" w:type="dxa"/>
        </w:trPr>
        <w:tc>
          <w:tcPr>
            <w:tcW w:w="0" w:type="auto"/>
            <w:shd w:val="clear" w:color="auto" w:fill="00B0F0"/>
            <w:vAlign w:val="center"/>
            <w:hideMark/>
          </w:tcPr>
          <w:p w14:paraId="0744B03C" w14:textId="77777777" w:rsidR="00D93D13" w:rsidRPr="00205B2F" w:rsidRDefault="00D93D13" w:rsidP="00AC0034">
            <w:pPr>
              <w:rPr>
                <w:rFonts w:ascii="Arial" w:hAnsi="Arial" w:cs="Arial"/>
                <w:b/>
                <w:bCs/>
              </w:rPr>
            </w:pPr>
            <w:r w:rsidRPr="00205B2F">
              <w:rPr>
                <w:rFonts w:ascii="Arial" w:hAnsi="Arial" w:cs="Arial"/>
                <w:b/>
                <w:bCs/>
              </w:rPr>
              <w:t>Objective</w:t>
            </w:r>
          </w:p>
        </w:tc>
        <w:tc>
          <w:tcPr>
            <w:tcW w:w="0" w:type="auto"/>
            <w:shd w:val="clear" w:color="auto" w:fill="00B0F0"/>
            <w:vAlign w:val="center"/>
            <w:hideMark/>
          </w:tcPr>
          <w:p w14:paraId="7129A491" w14:textId="77777777" w:rsidR="00D93D13" w:rsidRPr="00205B2F" w:rsidRDefault="00D93D13" w:rsidP="00AC0034">
            <w:pPr>
              <w:rPr>
                <w:rFonts w:ascii="Arial" w:hAnsi="Arial" w:cs="Arial"/>
                <w:b/>
                <w:bCs/>
              </w:rPr>
            </w:pPr>
            <w:r w:rsidRPr="00205B2F">
              <w:rPr>
                <w:rFonts w:ascii="Arial" w:hAnsi="Arial" w:cs="Arial"/>
                <w:b/>
                <w:bCs/>
              </w:rPr>
              <w:t>Key actions</w:t>
            </w:r>
          </w:p>
        </w:tc>
        <w:tc>
          <w:tcPr>
            <w:tcW w:w="0" w:type="auto"/>
            <w:shd w:val="clear" w:color="auto" w:fill="00B0F0"/>
            <w:vAlign w:val="center"/>
            <w:hideMark/>
          </w:tcPr>
          <w:p w14:paraId="659B4669" w14:textId="77777777" w:rsidR="00D93D13" w:rsidRPr="00205B2F" w:rsidRDefault="00D93D13" w:rsidP="00AC0034">
            <w:pPr>
              <w:rPr>
                <w:rFonts w:ascii="Arial" w:hAnsi="Arial" w:cs="Arial"/>
                <w:b/>
                <w:bCs/>
              </w:rPr>
            </w:pPr>
            <w:r w:rsidRPr="00205B2F">
              <w:rPr>
                <w:rFonts w:ascii="Arial" w:hAnsi="Arial" w:cs="Arial"/>
                <w:b/>
                <w:bCs/>
              </w:rPr>
              <w:t>KPI examples</w:t>
            </w:r>
          </w:p>
        </w:tc>
        <w:tc>
          <w:tcPr>
            <w:tcW w:w="0" w:type="auto"/>
            <w:shd w:val="clear" w:color="auto" w:fill="00B0F0"/>
            <w:vAlign w:val="center"/>
            <w:hideMark/>
          </w:tcPr>
          <w:p w14:paraId="10E90E2D" w14:textId="77777777" w:rsidR="00D93D13" w:rsidRPr="00205B2F" w:rsidRDefault="00D93D13" w:rsidP="00AC0034">
            <w:pPr>
              <w:rPr>
                <w:rFonts w:ascii="Arial" w:hAnsi="Arial" w:cs="Arial"/>
                <w:b/>
                <w:bCs/>
              </w:rPr>
            </w:pPr>
            <w:r w:rsidRPr="00205B2F">
              <w:rPr>
                <w:rFonts w:ascii="Arial" w:hAnsi="Arial" w:cs="Arial"/>
                <w:b/>
                <w:bCs/>
              </w:rPr>
              <w:t>Target indicators</w:t>
            </w:r>
          </w:p>
        </w:tc>
        <w:tc>
          <w:tcPr>
            <w:tcW w:w="0" w:type="auto"/>
            <w:shd w:val="clear" w:color="auto" w:fill="00B0F0"/>
            <w:vAlign w:val="center"/>
            <w:hideMark/>
          </w:tcPr>
          <w:p w14:paraId="57D19AA1" w14:textId="77777777" w:rsidR="00D93D13" w:rsidRPr="00205B2F" w:rsidRDefault="00D93D13" w:rsidP="00AC0034">
            <w:pPr>
              <w:rPr>
                <w:rFonts w:ascii="Arial" w:hAnsi="Arial" w:cs="Arial"/>
                <w:b/>
                <w:bCs/>
              </w:rPr>
            </w:pPr>
            <w:r w:rsidRPr="00205B2F">
              <w:rPr>
                <w:rFonts w:ascii="Arial" w:hAnsi="Arial" w:cs="Arial"/>
                <w:b/>
                <w:bCs/>
              </w:rPr>
              <w:t>Review pace</w:t>
            </w:r>
          </w:p>
        </w:tc>
        <w:tc>
          <w:tcPr>
            <w:tcW w:w="0" w:type="auto"/>
            <w:shd w:val="clear" w:color="auto" w:fill="00B0F0"/>
            <w:vAlign w:val="center"/>
            <w:hideMark/>
          </w:tcPr>
          <w:p w14:paraId="1F25FADE" w14:textId="77777777" w:rsidR="00D93D13" w:rsidRPr="00205B2F" w:rsidRDefault="00D93D13" w:rsidP="00AC0034">
            <w:pPr>
              <w:rPr>
                <w:rFonts w:ascii="Arial" w:hAnsi="Arial" w:cs="Arial"/>
                <w:b/>
                <w:bCs/>
              </w:rPr>
            </w:pPr>
            <w:r w:rsidRPr="00205B2F">
              <w:rPr>
                <w:rFonts w:ascii="Arial" w:hAnsi="Arial" w:cs="Arial"/>
                <w:b/>
                <w:bCs/>
              </w:rPr>
              <w:t>Owner</w:t>
            </w:r>
          </w:p>
        </w:tc>
      </w:tr>
      <w:tr w:rsidR="00D93D13" w:rsidRPr="00694170" w14:paraId="4FE56A08" w14:textId="77777777" w:rsidTr="00AC0034">
        <w:trPr>
          <w:tblCellSpacing w:w="15" w:type="dxa"/>
        </w:trPr>
        <w:tc>
          <w:tcPr>
            <w:tcW w:w="0" w:type="auto"/>
            <w:vAlign w:val="center"/>
            <w:hideMark/>
          </w:tcPr>
          <w:p w14:paraId="521D5D9D" w14:textId="77777777" w:rsidR="00D93D13" w:rsidRPr="00205B2F" w:rsidRDefault="00D93D13" w:rsidP="00AC0034">
            <w:pPr>
              <w:rPr>
                <w:rFonts w:ascii="Arial" w:hAnsi="Arial" w:cs="Arial"/>
              </w:rPr>
            </w:pPr>
            <w:r w:rsidRPr="00205B2F">
              <w:rPr>
                <w:rFonts w:ascii="Arial" w:hAnsi="Arial" w:cs="Arial"/>
              </w:rPr>
              <w:t>Grow “Everyday Health” revenue</w:t>
            </w:r>
          </w:p>
        </w:tc>
        <w:tc>
          <w:tcPr>
            <w:tcW w:w="0" w:type="auto"/>
            <w:vAlign w:val="center"/>
            <w:hideMark/>
          </w:tcPr>
          <w:p w14:paraId="4B9D4094" w14:textId="77777777" w:rsidR="00D93D13" w:rsidRPr="00205B2F" w:rsidRDefault="00D93D13" w:rsidP="00AC0034">
            <w:pPr>
              <w:rPr>
                <w:rFonts w:ascii="Arial" w:hAnsi="Arial" w:cs="Arial"/>
              </w:rPr>
            </w:pPr>
            <w:r w:rsidRPr="00205B2F">
              <w:rPr>
                <w:rFonts w:ascii="Arial" w:hAnsi="Arial" w:cs="Arial"/>
              </w:rPr>
              <w:t>Launch platform SKUs; governance for claims</w:t>
            </w:r>
          </w:p>
        </w:tc>
        <w:tc>
          <w:tcPr>
            <w:tcW w:w="0" w:type="auto"/>
            <w:vAlign w:val="center"/>
            <w:hideMark/>
          </w:tcPr>
          <w:p w14:paraId="6AC340DC" w14:textId="77777777" w:rsidR="00D93D13" w:rsidRPr="00205B2F" w:rsidRDefault="00D93D13" w:rsidP="00AC0034">
            <w:pPr>
              <w:rPr>
                <w:rFonts w:ascii="Arial" w:hAnsi="Arial" w:cs="Arial"/>
              </w:rPr>
            </w:pPr>
            <w:r w:rsidRPr="00205B2F">
              <w:rPr>
                <w:rFonts w:ascii="Arial" w:hAnsi="Arial" w:cs="Arial"/>
              </w:rPr>
              <w:t>% revenue from new products; repeat purchase rate; sugar-per-serve trend</w:t>
            </w:r>
          </w:p>
        </w:tc>
        <w:tc>
          <w:tcPr>
            <w:tcW w:w="0" w:type="auto"/>
            <w:vAlign w:val="center"/>
            <w:hideMark/>
          </w:tcPr>
          <w:p w14:paraId="5F9C229E" w14:textId="77777777" w:rsidR="00D93D13" w:rsidRPr="00205B2F" w:rsidRDefault="00D93D13" w:rsidP="00AC0034">
            <w:pPr>
              <w:rPr>
                <w:rFonts w:ascii="Arial" w:hAnsi="Arial" w:cs="Arial"/>
              </w:rPr>
            </w:pPr>
            <w:r w:rsidRPr="00205B2F">
              <w:rPr>
                <w:rFonts w:ascii="Arial" w:hAnsi="Arial" w:cs="Arial"/>
              </w:rPr>
              <w:t>20–25% of revenue from “Everyday Health” platform within 3 years</w:t>
            </w:r>
          </w:p>
        </w:tc>
        <w:tc>
          <w:tcPr>
            <w:tcW w:w="0" w:type="auto"/>
            <w:vAlign w:val="center"/>
            <w:hideMark/>
          </w:tcPr>
          <w:p w14:paraId="03E8FA6B" w14:textId="77777777" w:rsidR="00D93D13" w:rsidRPr="00205B2F" w:rsidRDefault="00D93D13" w:rsidP="00AC0034">
            <w:pPr>
              <w:rPr>
                <w:rFonts w:ascii="Arial" w:hAnsi="Arial" w:cs="Arial"/>
              </w:rPr>
            </w:pPr>
            <w:r w:rsidRPr="00205B2F">
              <w:rPr>
                <w:rFonts w:ascii="Arial" w:hAnsi="Arial" w:cs="Arial"/>
              </w:rPr>
              <w:t>Quarterly</w:t>
            </w:r>
          </w:p>
        </w:tc>
        <w:tc>
          <w:tcPr>
            <w:tcW w:w="0" w:type="auto"/>
            <w:vAlign w:val="center"/>
            <w:hideMark/>
          </w:tcPr>
          <w:p w14:paraId="1BDB8762" w14:textId="77777777" w:rsidR="00D93D13" w:rsidRPr="00205B2F" w:rsidRDefault="00D93D13" w:rsidP="00AC0034">
            <w:pPr>
              <w:rPr>
                <w:rFonts w:ascii="Arial" w:hAnsi="Arial" w:cs="Arial"/>
              </w:rPr>
            </w:pPr>
            <w:r w:rsidRPr="00205B2F">
              <w:rPr>
                <w:rFonts w:ascii="Arial" w:hAnsi="Arial" w:cs="Arial"/>
              </w:rPr>
              <w:t>Marketing Director</w:t>
            </w:r>
          </w:p>
        </w:tc>
      </w:tr>
      <w:tr w:rsidR="00D93D13" w:rsidRPr="00694170" w14:paraId="1D6BE747" w14:textId="77777777" w:rsidTr="00AC0034">
        <w:trPr>
          <w:tblCellSpacing w:w="15" w:type="dxa"/>
        </w:trPr>
        <w:tc>
          <w:tcPr>
            <w:tcW w:w="0" w:type="auto"/>
            <w:vAlign w:val="center"/>
            <w:hideMark/>
          </w:tcPr>
          <w:p w14:paraId="2F218DEC" w14:textId="77777777" w:rsidR="00D93D13" w:rsidRPr="00205B2F" w:rsidRDefault="00D93D13" w:rsidP="00AC0034">
            <w:pPr>
              <w:rPr>
                <w:rFonts w:ascii="Arial" w:hAnsi="Arial" w:cs="Arial"/>
              </w:rPr>
            </w:pPr>
            <w:r w:rsidRPr="00205B2F">
              <w:rPr>
                <w:rFonts w:ascii="Arial" w:hAnsi="Arial" w:cs="Arial"/>
              </w:rPr>
              <w:t>Reduce environmental impact</w:t>
            </w:r>
          </w:p>
        </w:tc>
        <w:tc>
          <w:tcPr>
            <w:tcW w:w="0" w:type="auto"/>
            <w:vAlign w:val="center"/>
            <w:hideMark/>
          </w:tcPr>
          <w:p w14:paraId="354E687B" w14:textId="77777777" w:rsidR="00D93D13" w:rsidRPr="00205B2F" w:rsidRDefault="00D93D13" w:rsidP="00AC0034">
            <w:pPr>
              <w:rPr>
                <w:rFonts w:ascii="Arial" w:hAnsi="Arial" w:cs="Arial"/>
              </w:rPr>
            </w:pPr>
            <w:r w:rsidRPr="00205B2F">
              <w:rPr>
                <w:rFonts w:ascii="Arial" w:hAnsi="Arial" w:cs="Arial"/>
              </w:rPr>
              <w:t>Packaging redesign; LCA use; carbon initiatives</w:t>
            </w:r>
          </w:p>
        </w:tc>
        <w:tc>
          <w:tcPr>
            <w:tcW w:w="0" w:type="auto"/>
            <w:vAlign w:val="center"/>
            <w:hideMark/>
          </w:tcPr>
          <w:p w14:paraId="1C0B170B" w14:textId="77777777" w:rsidR="00D93D13" w:rsidRPr="00205B2F" w:rsidRDefault="00D93D13" w:rsidP="00AC0034">
            <w:pPr>
              <w:rPr>
                <w:rFonts w:ascii="Arial" w:hAnsi="Arial" w:cs="Arial"/>
              </w:rPr>
            </w:pPr>
            <w:proofErr w:type="spellStart"/>
            <w:r w:rsidRPr="00205B2F">
              <w:rPr>
                <w:rFonts w:ascii="Arial" w:hAnsi="Arial" w:cs="Arial"/>
              </w:rPr>
              <w:t>CO</w:t>
            </w:r>
            <w:r w:rsidRPr="00205B2F">
              <w:rPr>
                <w:rFonts w:ascii="Cambria Math" w:hAnsi="Cambria Math" w:cs="Cambria Math"/>
              </w:rPr>
              <w:t>₂</w:t>
            </w:r>
            <w:r w:rsidRPr="00205B2F">
              <w:rPr>
                <w:rFonts w:ascii="Arial" w:hAnsi="Arial" w:cs="Arial"/>
              </w:rPr>
              <w:t>e</w:t>
            </w:r>
            <w:proofErr w:type="spellEnd"/>
            <w:r w:rsidRPr="00205B2F">
              <w:rPr>
                <w:rFonts w:ascii="Arial" w:hAnsi="Arial" w:cs="Arial"/>
              </w:rPr>
              <w:t xml:space="preserve"> per litre; % recyclable/recycled content; packaging weight per litre</w:t>
            </w:r>
          </w:p>
        </w:tc>
        <w:tc>
          <w:tcPr>
            <w:tcW w:w="0" w:type="auto"/>
            <w:vAlign w:val="center"/>
            <w:hideMark/>
          </w:tcPr>
          <w:p w14:paraId="707FCB19" w14:textId="77777777" w:rsidR="00D93D13" w:rsidRPr="00205B2F" w:rsidRDefault="00D93D13" w:rsidP="00AC0034">
            <w:pPr>
              <w:rPr>
                <w:rFonts w:ascii="Arial" w:hAnsi="Arial" w:cs="Arial"/>
              </w:rPr>
            </w:pPr>
            <w:r w:rsidRPr="00205B2F">
              <w:rPr>
                <w:rFonts w:ascii="Arial" w:hAnsi="Arial" w:cs="Arial"/>
              </w:rPr>
              <w:t>&gt;95% recyclable packaging by 2028; 15% reduction in packaging weight per litre</w:t>
            </w:r>
          </w:p>
        </w:tc>
        <w:tc>
          <w:tcPr>
            <w:tcW w:w="0" w:type="auto"/>
            <w:vAlign w:val="center"/>
            <w:hideMark/>
          </w:tcPr>
          <w:p w14:paraId="719F7092" w14:textId="77777777" w:rsidR="00D93D13" w:rsidRPr="00205B2F" w:rsidRDefault="00D93D13" w:rsidP="00AC0034">
            <w:pPr>
              <w:rPr>
                <w:rFonts w:ascii="Arial" w:hAnsi="Arial" w:cs="Arial"/>
              </w:rPr>
            </w:pPr>
            <w:r w:rsidRPr="00205B2F">
              <w:rPr>
                <w:rFonts w:ascii="Arial" w:hAnsi="Arial" w:cs="Arial"/>
              </w:rPr>
              <w:t>Quarterly</w:t>
            </w:r>
          </w:p>
        </w:tc>
        <w:tc>
          <w:tcPr>
            <w:tcW w:w="0" w:type="auto"/>
            <w:vAlign w:val="center"/>
            <w:hideMark/>
          </w:tcPr>
          <w:p w14:paraId="0CAE7FDD" w14:textId="77777777" w:rsidR="00D93D13" w:rsidRPr="00205B2F" w:rsidRDefault="00D93D13" w:rsidP="00AC0034">
            <w:pPr>
              <w:rPr>
                <w:rFonts w:ascii="Arial" w:hAnsi="Arial" w:cs="Arial"/>
              </w:rPr>
            </w:pPr>
            <w:r w:rsidRPr="00205B2F">
              <w:rPr>
                <w:rFonts w:ascii="Arial" w:hAnsi="Arial" w:cs="Arial"/>
              </w:rPr>
              <w:t>Sustainability Lead</w:t>
            </w:r>
          </w:p>
        </w:tc>
      </w:tr>
      <w:tr w:rsidR="00D93D13" w:rsidRPr="00694170" w14:paraId="69CDD83E" w14:textId="77777777" w:rsidTr="00AC0034">
        <w:trPr>
          <w:tblCellSpacing w:w="15" w:type="dxa"/>
        </w:trPr>
        <w:tc>
          <w:tcPr>
            <w:tcW w:w="0" w:type="auto"/>
            <w:vAlign w:val="center"/>
            <w:hideMark/>
          </w:tcPr>
          <w:p w14:paraId="4F9445CA" w14:textId="77777777" w:rsidR="00D93D13" w:rsidRPr="00205B2F" w:rsidRDefault="00D93D13" w:rsidP="00AC0034">
            <w:pPr>
              <w:rPr>
                <w:rFonts w:ascii="Arial" w:hAnsi="Arial" w:cs="Arial"/>
              </w:rPr>
            </w:pPr>
            <w:r w:rsidRPr="00205B2F">
              <w:rPr>
                <w:rFonts w:ascii="Arial" w:hAnsi="Arial" w:cs="Arial"/>
              </w:rPr>
              <w:t>Improve resilience &amp; efficiency</w:t>
            </w:r>
          </w:p>
        </w:tc>
        <w:tc>
          <w:tcPr>
            <w:tcW w:w="0" w:type="auto"/>
            <w:vAlign w:val="center"/>
            <w:hideMark/>
          </w:tcPr>
          <w:p w14:paraId="06463CAA" w14:textId="77777777" w:rsidR="00D93D13" w:rsidRPr="00205B2F" w:rsidRDefault="00D93D13" w:rsidP="00AC0034">
            <w:pPr>
              <w:rPr>
                <w:rFonts w:ascii="Arial" w:hAnsi="Arial" w:cs="Arial"/>
              </w:rPr>
            </w:pPr>
            <w:r w:rsidRPr="00205B2F">
              <w:rPr>
                <w:rFonts w:ascii="Arial" w:hAnsi="Arial" w:cs="Arial"/>
              </w:rPr>
              <w:t>Supplier development; risk mapping; cold chain optimisation</w:t>
            </w:r>
          </w:p>
        </w:tc>
        <w:tc>
          <w:tcPr>
            <w:tcW w:w="0" w:type="auto"/>
            <w:vAlign w:val="center"/>
            <w:hideMark/>
          </w:tcPr>
          <w:p w14:paraId="4F91F6E9" w14:textId="77777777" w:rsidR="00D93D13" w:rsidRPr="00205B2F" w:rsidRDefault="00D93D13" w:rsidP="00AC0034">
            <w:pPr>
              <w:rPr>
                <w:rFonts w:ascii="Arial" w:hAnsi="Arial" w:cs="Arial"/>
              </w:rPr>
            </w:pPr>
            <w:r w:rsidRPr="00205B2F">
              <w:rPr>
                <w:rFonts w:ascii="Arial" w:hAnsi="Arial" w:cs="Arial"/>
              </w:rPr>
              <w:t>supply disruption rate; OTIF (on-time-in-full); waste %</w:t>
            </w:r>
          </w:p>
        </w:tc>
        <w:tc>
          <w:tcPr>
            <w:tcW w:w="0" w:type="auto"/>
            <w:vAlign w:val="center"/>
            <w:hideMark/>
          </w:tcPr>
          <w:p w14:paraId="2DBA287B" w14:textId="77777777" w:rsidR="00D93D13" w:rsidRPr="00205B2F" w:rsidRDefault="00D93D13" w:rsidP="00AC0034">
            <w:pPr>
              <w:rPr>
                <w:rFonts w:ascii="Arial" w:hAnsi="Arial" w:cs="Arial"/>
              </w:rPr>
            </w:pPr>
            <w:r w:rsidRPr="00205B2F">
              <w:rPr>
                <w:rFonts w:ascii="Arial" w:hAnsi="Arial" w:cs="Arial"/>
              </w:rPr>
              <w:t>OTIF &gt;98%; &lt;2% supply disruption incidents annually</w:t>
            </w:r>
          </w:p>
        </w:tc>
        <w:tc>
          <w:tcPr>
            <w:tcW w:w="0" w:type="auto"/>
            <w:vAlign w:val="center"/>
            <w:hideMark/>
          </w:tcPr>
          <w:p w14:paraId="59AFB65F" w14:textId="77777777" w:rsidR="00D93D13" w:rsidRPr="00205B2F" w:rsidRDefault="00D93D13" w:rsidP="00AC0034">
            <w:pPr>
              <w:rPr>
                <w:rFonts w:ascii="Arial" w:hAnsi="Arial" w:cs="Arial"/>
              </w:rPr>
            </w:pPr>
            <w:r w:rsidRPr="00205B2F">
              <w:rPr>
                <w:rFonts w:ascii="Arial" w:hAnsi="Arial" w:cs="Arial"/>
              </w:rPr>
              <w:t>Monthly / Quarterly</w:t>
            </w:r>
          </w:p>
        </w:tc>
        <w:tc>
          <w:tcPr>
            <w:tcW w:w="0" w:type="auto"/>
            <w:vAlign w:val="center"/>
            <w:hideMark/>
          </w:tcPr>
          <w:p w14:paraId="44F4437C" w14:textId="77777777" w:rsidR="00D93D13" w:rsidRPr="00205B2F" w:rsidRDefault="00D93D13" w:rsidP="00AC0034">
            <w:pPr>
              <w:rPr>
                <w:rFonts w:ascii="Arial" w:hAnsi="Arial" w:cs="Arial"/>
              </w:rPr>
            </w:pPr>
            <w:r w:rsidRPr="00205B2F">
              <w:rPr>
                <w:rFonts w:ascii="Arial" w:hAnsi="Arial" w:cs="Arial"/>
              </w:rPr>
              <w:t>Operations Director</w:t>
            </w:r>
          </w:p>
        </w:tc>
      </w:tr>
      <w:tr w:rsidR="00D93D13" w:rsidRPr="00694170" w14:paraId="2DAF4464" w14:textId="77777777" w:rsidTr="00AC0034">
        <w:trPr>
          <w:tblCellSpacing w:w="15" w:type="dxa"/>
        </w:trPr>
        <w:tc>
          <w:tcPr>
            <w:tcW w:w="0" w:type="auto"/>
            <w:vAlign w:val="center"/>
            <w:hideMark/>
          </w:tcPr>
          <w:p w14:paraId="18EDA774" w14:textId="77777777" w:rsidR="00D93D13" w:rsidRPr="00205B2F" w:rsidRDefault="00D93D13" w:rsidP="00AC0034">
            <w:pPr>
              <w:rPr>
                <w:rFonts w:ascii="Arial" w:hAnsi="Arial" w:cs="Arial"/>
              </w:rPr>
            </w:pPr>
            <w:r w:rsidRPr="00205B2F">
              <w:rPr>
                <w:rFonts w:ascii="Arial" w:hAnsi="Arial" w:cs="Arial"/>
              </w:rPr>
              <w:t>Strengthen brand trust</w:t>
            </w:r>
          </w:p>
        </w:tc>
        <w:tc>
          <w:tcPr>
            <w:tcW w:w="0" w:type="auto"/>
            <w:vAlign w:val="center"/>
            <w:hideMark/>
          </w:tcPr>
          <w:p w14:paraId="703DDA50" w14:textId="77777777" w:rsidR="00D93D13" w:rsidRPr="00205B2F" w:rsidRDefault="00D93D13" w:rsidP="00AC0034">
            <w:pPr>
              <w:rPr>
                <w:rFonts w:ascii="Arial" w:hAnsi="Arial" w:cs="Arial"/>
              </w:rPr>
            </w:pPr>
            <w:r w:rsidRPr="00205B2F">
              <w:rPr>
                <w:rFonts w:ascii="Arial" w:hAnsi="Arial" w:cs="Arial"/>
              </w:rPr>
              <w:t>Transparent reporting; evidence-led messaging</w:t>
            </w:r>
          </w:p>
        </w:tc>
        <w:tc>
          <w:tcPr>
            <w:tcW w:w="0" w:type="auto"/>
            <w:vAlign w:val="center"/>
            <w:hideMark/>
          </w:tcPr>
          <w:p w14:paraId="0FED32B7" w14:textId="77777777" w:rsidR="00D93D13" w:rsidRPr="00205B2F" w:rsidRDefault="00D93D13" w:rsidP="00AC0034">
            <w:pPr>
              <w:rPr>
                <w:rFonts w:ascii="Arial" w:hAnsi="Arial" w:cs="Arial"/>
              </w:rPr>
            </w:pPr>
            <w:r w:rsidRPr="00205B2F">
              <w:rPr>
                <w:rFonts w:ascii="Arial" w:hAnsi="Arial" w:cs="Arial"/>
              </w:rPr>
              <w:t>trust score; sentiment analysis; complaint resolution time</w:t>
            </w:r>
          </w:p>
        </w:tc>
        <w:tc>
          <w:tcPr>
            <w:tcW w:w="0" w:type="auto"/>
            <w:vAlign w:val="center"/>
            <w:hideMark/>
          </w:tcPr>
          <w:p w14:paraId="19BF4F81" w14:textId="77777777" w:rsidR="00D93D13" w:rsidRPr="00205B2F" w:rsidRDefault="00D93D13" w:rsidP="00AC0034">
            <w:pPr>
              <w:rPr>
                <w:rFonts w:ascii="Arial" w:hAnsi="Arial" w:cs="Arial"/>
              </w:rPr>
            </w:pPr>
            <w:r w:rsidRPr="00205B2F">
              <w:rPr>
                <w:rFonts w:ascii="Arial" w:hAnsi="Arial" w:cs="Arial"/>
              </w:rPr>
              <w:t>+5% improvement in consumer trust metrics within 2 years</w:t>
            </w:r>
          </w:p>
        </w:tc>
        <w:tc>
          <w:tcPr>
            <w:tcW w:w="0" w:type="auto"/>
            <w:vAlign w:val="center"/>
            <w:hideMark/>
          </w:tcPr>
          <w:p w14:paraId="5B59C41B" w14:textId="77777777" w:rsidR="00D93D13" w:rsidRPr="00205B2F" w:rsidRDefault="00D93D13" w:rsidP="00AC0034">
            <w:pPr>
              <w:rPr>
                <w:rFonts w:ascii="Arial" w:hAnsi="Arial" w:cs="Arial"/>
              </w:rPr>
            </w:pPr>
            <w:r w:rsidRPr="00205B2F">
              <w:rPr>
                <w:rFonts w:ascii="Arial" w:hAnsi="Arial" w:cs="Arial"/>
              </w:rPr>
              <w:t>Quarterly</w:t>
            </w:r>
          </w:p>
        </w:tc>
        <w:tc>
          <w:tcPr>
            <w:tcW w:w="0" w:type="auto"/>
            <w:vAlign w:val="center"/>
            <w:hideMark/>
          </w:tcPr>
          <w:p w14:paraId="1DC51B26" w14:textId="77777777" w:rsidR="00D93D13" w:rsidRPr="00205B2F" w:rsidRDefault="00D93D13" w:rsidP="00AC0034">
            <w:pPr>
              <w:rPr>
                <w:rFonts w:ascii="Arial" w:hAnsi="Arial" w:cs="Arial"/>
              </w:rPr>
            </w:pPr>
            <w:r w:rsidRPr="00205B2F">
              <w:rPr>
                <w:rFonts w:ascii="Arial" w:hAnsi="Arial" w:cs="Arial"/>
              </w:rPr>
              <w:t>Brand &amp; Communications Lead</w:t>
            </w:r>
          </w:p>
        </w:tc>
      </w:tr>
      <w:tr w:rsidR="00D93D13" w:rsidRPr="00694170" w14:paraId="609BE9C7" w14:textId="77777777" w:rsidTr="00AC0034">
        <w:trPr>
          <w:tblCellSpacing w:w="15" w:type="dxa"/>
        </w:trPr>
        <w:tc>
          <w:tcPr>
            <w:tcW w:w="0" w:type="auto"/>
            <w:vAlign w:val="center"/>
            <w:hideMark/>
          </w:tcPr>
          <w:p w14:paraId="37DF8406" w14:textId="77777777" w:rsidR="00D93D13" w:rsidRPr="00205B2F" w:rsidRDefault="00D93D13" w:rsidP="00AC0034">
            <w:pPr>
              <w:rPr>
                <w:rFonts w:ascii="Arial" w:hAnsi="Arial" w:cs="Arial"/>
              </w:rPr>
            </w:pPr>
            <w:r w:rsidRPr="00205B2F">
              <w:rPr>
                <w:rFonts w:ascii="Arial" w:hAnsi="Arial" w:cs="Arial"/>
              </w:rPr>
              <w:t>Maintain profitability</w:t>
            </w:r>
          </w:p>
        </w:tc>
        <w:tc>
          <w:tcPr>
            <w:tcW w:w="0" w:type="auto"/>
            <w:vAlign w:val="center"/>
            <w:hideMark/>
          </w:tcPr>
          <w:p w14:paraId="14D8AFE7" w14:textId="77777777" w:rsidR="00D93D13" w:rsidRPr="00205B2F" w:rsidRDefault="00D93D13" w:rsidP="00AC0034">
            <w:pPr>
              <w:rPr>
                <w:rFonts w:ascii="Arial" w:hAnsi="Arial" w:cs="Arial"/>
              </w:rPr>
            </w:pPr>
            <w:r w:rsidRPr="00205B2F">
              <w:rPr>
                <w:rFonts w:ascii="Arial" w:hAnsi="Arial" w:cs="Arial"/>
              </w:rPr>
              <w:t>SKU rationalisation; value engineering; targeted promotions</w:t>
            </w:r>
          </w:p>
        </w:tc>
        <w:tc>
          <w:tcPr>
            <w:tcW w:w="0" w:type="auto"/>
            <w:vAlign w:val="center"/>
            <w:hideMark/>
          </w:tcPr>
          <w:p w14:paraId="57E0DC9A" w14:textId="77777777" w:rsidR="00D93D13" w:rsidRPr="00205B2F" w:rsidRDefault="00D93D13" w:rsidP="00AC0034">
            <w:pPr>
              <w:rPr>
                <w:rFonts w:ascii="Arial" w:hAnsi="Arial" w:cs="Arial"/>
              </w:rPr>
            </w:pPr>
            <w:r w:rsidRPr="00205B2F">
              <w:rPr>
                <w:rFonts w:ascii="Arial" w:hAnsi="Arial" w:cs="Arial"/>
              </w:rPr>
              <w:t>contribution margin by platform; promotion ROI</w:t>
            </w:r>
          </w:p>
        </w:tc>
        <w:tc>
          <w:tcPr>
            <w:tcW w:w="0" w:type="auto"/>
            <w:vAlign w:val="center"/>
            <w:hideMark/>
          </w:tcPr>
          <w:p w14:paraId="687BD5D0" w14:textId="77777777" w:rsidR="00D93D13" w:rsidRPr="00205B2F" w:rsidRDefault="00D93D13" w:rsidP="00AC0034">
            <w:pPr>
              <w:rPr>
                <w:rFonts w:ascii="Arial" w:hAnsi="Arial" w:cs="Arial"/>
              </w:rPr>
            </w:pPr>
            <w:r w:rsidRPr="00205B2F">
              <w:rPr>
                <w:rFonts w:ascii="Arial" w:hAnsi="Arial" w:cs="Arial"/>
              </w:rPr>
              <w:t>Maintain platform contribution margin above category average</w:t>
            </w:r>
          </w:p>
        </w:tc>
        <w:tc>
          <w:tcPr>
            <w:tcW w:w="0" w:type="auto"/>
            <w:vAlign w:val="center"/>
            <w:hideMark/>
          </w:tcPr>
          <w:p w14:paraId="71C66C8B" w14:textId="77777777" w:rsidR="00D93D13" w:rsidRPr="00205B2F" w:rsidRDefault="00D93D13" w:rsidP="00AC0034">
            <w:pPr>
              <w:rPr>
                <w:rFonts w:ascii="Arial" w:hAnsi="Arial" w:cs="Arial"/>
              </w:rPr>
            </w:pPr>
            <w:r w:rsidRPr="00205B2F">
              <w:rPr>
                <w:rFonts w:ascii="Arial" w:hAnsi="Arial" w:cs="Arial"/>
              </w:rPr>
              <w:t>Quarterly</w:t>
            </w:r>
          </w:p>
        </w:tc>
        <w:tc>
          <w:tcPr>
            <w:tcW w:w="0" w:type="auto"/>
            <w:vAlign w:val="center"/>
            <w:hideMark/>
          </w:tcPr>
          <w:p w14:paraId="643F047C" w14:textId="77777777" w:rsidR="00D93D13" w:rsidRPr="00205B2F" w:rsidRDefault="00D93D13" w:rsidP="00AC0034">
            <w:pPr>
              <w:rPr>
                <w:rFonts w:ascii="Arial" w:hAnsi="Arial" w:cs="Arial"/>
              </w:rPr>
            </w:pPr>
            <w:r w:rsidRPr="00205B2F">
              <w:rPr>
                <w:rFonts w:ascii="Arial" w:hAnsi="Arial" w:cs="Arial"/>
              </w:rPr>
              <w:t>Finance Director</w:t>
            </w:r>
          </w:p>
        </w:tc>
      </w:tr>
    </w:tbl>
    <w:p w14:paraId="51418817" w14:textId="77777777" w:rsidR="007919BD" w:rsidRDefault="007919BD" w:rsidP="00827EA2">
      <w:pPr>
        <w:spacing w:line="360" w:lineRule="auto"/>
        <w:jc w:val="both"/>
        <w:rPr>
          <w:rFonts w:ascii="Arial" w:hAnsi="Arial" w:cs="Arial"/>
          <w:b/>
          <w:bCs/>
        </w:rPr>
      </w:pPr>
    </w:p>
    <w:p w14:paraId="62F81C94" w14:textId="77777777" w:rsidR="00F56A9F" w:rsidRDefault="00F56A9F" w:rsidP="00827EA2">
      <w:pPr>
        <w:spacing w:line="360" w:lineRule="auto"/>
        <w:jc w:val="both"/>
        <w:rPr>
          <w:rFonts w:ascii="Arial" w:hAnsi="Arial" w:cs="Arial"/>
          <w:b/>
          <w:bCs/>
        </w:rPr>
      </w:pPr>
    </w:p>
    <w:p w14:paraId="72BA2C70" w14:textId="77777777" w:rsidR="00F56A9F" w:rsidRDefault="00F56A9F" w:rsidP="00827EA2">
      <w:pPr>
        <w:spacing w:line="360" w:lineRule="auto"/>
        <w:jc w:val="both"/>
        <w:rPr>
          <w:rFonts w:ascii="Arial" w:hAnsi="Arial" w:cs="Arial"/>
          <w:b/>
          <w:bCs/>
        </w:rPr>
      </w:pPr>
    </w:p>
    <w:p w14:paraId="1E4ED605" w14:textId="77777777" w:rsidR="00983CAE" w:rsidRDefault="00983CAE" w:rsidP="00827EA2">
      <w:pPr>
        <w:spacing w:line="360" w:lineRule="auto"/>
        <w:jc w:val="both"/>
        <w:rPr>
          <w:rFonts w:ascii="Arial" w:hAnsi="Arial" w:cs="Arial"/>
          <w:b/>
          <w:bCs/>
        </w:rPr>
        <w:sectPr w:rsidR="00983CAE" w:rsidSect="00983CAE">
          <w:pgSz w:w="16838" w:h="11906" w:orient="landscape"/>
          <w:pgMar w:top="1440" w:right="1440" w:bottom="1440" w:left="1440" w:header="708" w:footer="708" w:gutter="0"/>
          <w:cols w:space="708"/>
          <w:docGrid w:linePitch="360"/>
        </w:sectPr>
      </w:pPr>
    </w:p>
    <w:p w14:paraId="2B9EEE46" w14:textId="77777777" w:rsidR="003955D8" w:rsidRPr="003955D8" w:rsidRDefault="003955D8" w:rsidP="003955D8">
      <w:pPr>
        <w:spacing w:line="360" w:lineRule="auto"/>
        <w:rPr>
          <w:rFonts w:ascii="Arial" w:hAnsi="Arial" w:cs="Arial"/>
          <w:b/>
          <w:bCs/>
        </w:rPr>
      </w:pPr>
      <w:r w:rsidRPr="003955D8">
        <w:rPr>
          <w:rFonts w:ascii="Arial" w:hAnsi="Arial" w:cs="Arial"/>
          <w:b/>
          <w:bCs/>
        </w:rPr>
        <w:lastRenderedPageBreak/>
        <w:t>Governance and monitoring</w:t>
      </w:r>
    </w:p>
    <w:p w14:paraId="0B27C27C" w14:textId="77777777" w:rsidR="003955D8" w:rsidRPr="003955D8" w:rsidRDefault="003955D8" w:rsidP="00506353">
      <w:pPr>
        <w:spacing w:line="360" w:lineRule="auto"/>
        <w:jc w:val="both"/>
        <w:rPr>
          <w:rFonts w:ascii="Arial" w:hAnsi="Arial" w:cs="Arial"/>
        </w:rPr>
      </w:pPr>
      <w:r w:rsidRPr="003955D8">
        <w:rPr>
          <w:rFonts w:ascii="Arial" w:hAnsi="Arial" w:cs="Arial"/>
        </w:rPr>
        <w:t xml:space="preserve">A quarterly strategic review should integrate commercial and sustainability metrics to prevent impact drift and ensure promises remain credible (Kaplan and Norton, 1996). A risk register should track regulatory changes, climate disruption, retailer negotiations and innovation pipeline performance. This approach supports dynamic capability development, enabling Innocent to adapt as markets and regulation evolve (Teece, Pisano and </w:t>
      </w:r>
      <w:proofErr w:type="spellStart"/>
      <w:r w:rsidRPr="003955D8">
        <w:rPr>
          <w:rFonts w:ascii="Arial" w:hAnsi="Arial" w:cs="Arial"/>
        </w:rPr>
        <w:t>Shuen</w:t>
      </w:r>
      <w:proofErr w:type="spellEnd"/>
      <w:r w:rsidRPr="003955D8">
        <w:rPr>
          <w:rFonts w:ascii="Arial" w:hAnsi="Arial" w:cs="Arial"/>
        </w:rPr>
        <w:t>, 1997).</w:t>
      </w:r>
    </w:p>
    <w:p w14:paraId="0F5CB45D" w14:textId="77777777" w:rsidR="003955D8" w:rsidRPr="003955D8" w:rsidRDefault="003955D8" w:rsidP="008E3D27">
      <w:pPr>
        <w:pStyle w:val="Heading2"/>
      </w:pPr>
      <w:r w:rsidRPr="003955D8">
        <w:t>7.2 Risk Analysis</w:t>
      </w:r>
    </w:p>
    <w:p w14:paraId="728018CB" w14:textId="77777777" w:rsidR="003955D8" w:rsidRPr="003955D8" w:rsidRDefault="003955D8" w:rsidP="00506353">
      <w:pPr>
        <w:spacing w:line="360" w:lineRule="auto"/>
        <w:jc w:val="both"/>
        <w:rPr>
          <w:rFonts w:ascii="Arial" w:hAnsi="Arial" w:cs="Arial"/>
        </w:rPr>
      </w:pPr>
      <w:r w:rsidRPr="003955D8">
        <w:rPr>
          <w:rFonts w:ascii="Arial" w:hAnsi="Arial" w:cs="Arial"/>
        </w:rPr>
        <w:t>Effective strategy execution requires systematic identification and management of risks that could undermine delivery. Research suggests that implementation failure is often caused by operational, financial or market uncertainties rather than weaknesses in strategic design (Johnson, Whittington and Scholes, 2020). For Innocent, the proposed focused differentiation strategy introduces several material risks across supply chain, regulatory, commercial and reputational dimensions.</w:t>
      </w:r>
    </w:p>
    <w:p w14:paraId="374408C0" w14:textId="263F1FCA" w:rsidR="003955D8" w:rsidRPr="003955D8" w:rsidRDefault="003955D8" w:rsidP="00205B2F">
      <w:pPr>
        <w:spacing w:line="360" w:lineRule="auto"/>
        <w:rPr>
          <w:rFonts w:ascii="Arial" w:hAnsi="Arial" w:cs="Arial"/>
        </w:rPr>
      </w:pPr>
      <w:r w:rsidRPr="003955D8">
        <w:rPr>
          <w:rFonts w:ascii="Arial" w:hAnsi="Arial" w:cs="Arial"/>
        </w:rPr>
        <w:t>1. Supply chain and climate risk</w:t>
      </w:r>
      <w:r w:rsidRPr="003955D8">
        <w:rPr>
          <w:rFonts w:ascii="Arial" w:hAnsi="Arial" w:cs="Arial"/>
        </w:rPr>
        <w:br/>
        <w:t>Innocent’s reliance on agricultural inputs exposes the business to climate-related disruption, including extreme weather, yield variability and long-term shifts in crop suitability. Climate change is already increasing risks to global food production and supply stability (IPCC, 2023). Disruptions could lead to input cost volatility, quality inconsistency and product availability challenges.</w:t>
      </w:r>
    </w:p>
    <w:p w14:paraId="481081E5" w14:textId="77777777" w:rsidR="003955D8" w:rsidRPr="003955D8" w:rsidRDefault="003955D8" w:rsidP="00506353">
      <w:pPr>
        <w:spacing w:line="360" w:lineRule="auto"/>
        <w:jc w:val="both"/>
        <w:rPr>
          <w:rFonts w:ascii="Arial" w:hAnsi="Arial" w:cs="Arial"/>
        </w:rPr>
      </w:pPr>
      <w:r w:rsidRPr="003955D8">
        <w:rPr>
          <w:rFonts w:ascii="Arial" w:hAnsi="Arial" w:cs="Arial"/>
        </w:rPr>
        <w:t>Mitigation</w:t>
      </w:r>
    </w:p>
    <w:p w14:paraId="3C54075B" w14:textId="77777777" w:rsidR="003955D8" w:rsidRPr="003955D8" w:rsidRDefault="003955D8" w:rsidP="00506353">
      <w:pPr>
        <w:numPr>
          <w:ilvl w:val="0"/>
          <w:numId w:val="18"/>
        </w:numPr>
        <w:spacing w:line="360" w:lineRule="auto"/>
        <w:jc w:val="both"/>
        <w:rPr>
          <w:rFonts w:ascii="Arial" w:hAnsi="Arial" w:cs="Arial"/>
        </w:rPr>
      </w:pPr>
      <w:r w:rsidRPr="003955D8">
        <w:rPr>
          <w:rFonts w:ascii="Arial" w:hAnsi="Arial" w:cs="Arial"/>
        </w:rPr>
        <w:t>Diversify sourcing across multiple regions</w:t>
      </w:r>
    </w:p>
    <w:p w14:paraId="7EAB0DBD" w14:textId="77777777" w:rsidR="003955D8" w:rsidRPr="003955D8" w:rsidRDefault="003955D8" w:rsidP="00506353">
      <w:pPr>
        <w:numPr>
          <w:ilvl w:val="0"/>
          <w:numId w:val="18"/>
        </w:numPr>
        <w:spacing w:line="360" w:lineRule="auto"/>
        <w:jc w:val="both"/>
        <w:rPr>
          <w:rFonts w:ascii="Arial" w:hAnsi="Arial" w:cs="Arial"/>
        </w:rPr>
      </w:pPr>
      <w:r w:rsidRPr="003955D8">
        <w:rPr>
          <w:rFonts w:ascii="Arial" w:hAnsi="Arial" w:cs="Arial"/>
        </w:rPr>
        <w:t>Develop long-term supplier partnerships and resilience programmes</w:t>
      </w:r>
    </w:p>
    <w:p w14:paraId="033B0A25" w14:textId="77777777" w:rsidR="003955D8" w:rsidRPr="003955D8" w:rsidRDefault="003955D8" w:rsidP="00506353">
      <w:pPr>
        <w:numPr>
          <w:ilvl w:val="0"/>
          <w:numId w:val="18"/>
        </w:numPr>
        <w:spacing w:line="360" w:lineRule="auto"/>
        <w:jc w:val="both"/>
        <w:rPr>
          <w:rFonts w:ascii="Arial" w:hAnsi="Arial" w:cs="Arial"/>
        </w:rPr>
      </w:pPr>
      <w:r w:rsidRPr="003955D8">
        <w:rPr>
          <w:rFonts w:ascii="Arial" w:hAnsi="Arial" w:cs="Arial"/>
        </w:rPr>
        <w:t>Strengthen supply risk monitoring and forward contracting</w:t>
      </w:r>
    </w:p>
    <w:p w14:paraId="693403B7" w14:textId="77777777" w:rsidR="00506353" w:rsidRDefault="003955D8" w:rsidP="003955D8">
      <w:pPr>
        <w:spacing w:line="360" w:lineRule="auto"/>
        <w:rPr>
          <w:rFonts w:ascii="Arial" w:hAnsi="Arial" w:cs="Arial"/>
        </w:rPr>
      </w:pPr>
      <w:r w:rsidRPr="003955D8">
        <w:rPr>
          <w:rFonts w:ascii="Arial" w:hAnsi="Arial" w:cs="Arial"/>
        </w:rPr>
        <w:t>2. Packaging transition and regulatory cost risk</w:t>
      </w:r>
    </w:p>
    <w:p w14:paraId="0B00D1EF" w14:textId="56B141BE" w:rsidR="003955D8" w:rsidRPr="003955D8" w:rsidRDefault="003955D8" w:rsidP="00506353">
      <w:pPr>
        <w:spacing w:line="360" w:lineRule="auto"/>
        <w:jc w:val="both"/>
        <w:rPr>
          <w:rFonts w:ascii="Arial" w:hAnsi="Arial" w:cs="Arial"/>
        </w:rPr>
      </w:pPr>
      <w:r w:rsidRPr="003955D8">
        <w:rPr>
          <w:rFonts w:ascii="Arial" w:hAnsi="Arial" w:cs="Arial"/>
        </w:rPr>
        <w:t>The introduction of UK packaging extended producer responsibility (</w:t>
      </w:r>
      <w:proofErr w:type="spellStart"/>
      <w:r w:rsidRPr="003955D8">
        <w:rPr>
          <w:rFonts w:ascii="Arial" w:hAnsi="Arial" w:cs="Arial"/>
        </w:rPr>
        <w:t>pEPR</w:t>
      </w:r>
      <w:proofErr w:type="spellEnd"/>
      <w:r w:rsidRPr="003955D8">
        <w:rPr>
          <w:rFonts w:ascii="Arial" w:hAnsi="Arial" w:cs="Arial"/>
        </w:rPr>
        <w:t>) and the EU Packaging and Packaging Waste Regulation (PPWR) will increase reporting requirements and shift greater financial responsibility for waste management onto producers (House of Commons Library, 2026; European Commission, 2025). Packaging redesign and data system upgrades may also require significant investment.</w:t>
      </w:r>
    </w:p>
    <w:p w14:paraId="398282E9" w14:textId="77777777" w:rsidR="003955D8" w:rsidRPr="003955D8" w:rsidRDefault="003955D8" w:rsidP="00506353">
      <w:pPr>
        <w:spacing w:line="360" w:lineRule="auto"/>
        <w:jc w:val="both"/>
        <w:rPr>
          <w:rFonts w:ascii="Arial" w:hAnsi="Arial" w:cs="Arial"/>
        </w:rPr>
      </w:pPr>
      <w:r w:rsidRPr="003955D8">
        <w:rPr>
          <w:rFonts w:ascii="Arial" w:hAnsi="Arial" w:cs="Arial"/>
        </w:rPr>
        <w:t>Mitigation</w:t>
      </w:r>
    </w:p>
    <w:p w14:paraId="5EE5013F" w14:textId="77777777" w:rsidR="003955D8" w:rsidRPr="003955D8" w:rsidRDefault="003955D8" w:rsidP="00506353">
      <w:pPr>
        <w:numPr>
          <w:ilvl w:val="0"/>
          <w:numId w:val="19"/>
        </w:numPr>
        <w:spacing w:line="360" w:lineRule="auto"/>
        <w:jc w:val="both"/>
        <w:rPr>
          <w:rFonts w:ascii="Arial" w:hAnsi="Arial" w:cs="Arial"/>
        </w:rPr>
      </w:pPr>
      <w:r w:rsidRPr="003955D8">
        <w:rPr>
          <w:rFonts w:ascii="Arial" w:hAnsi="Arial" w:cs="Arial"/>
        </w:rPr>
        <w:t>Implement a phased packaging roadmap informed by lifecycle assessment (LCA)</w:t>
      </w:r>
    </w:p>
    <w:p w14:paraId="126DABED" w14:textId="77777777" w:rsidR="003955D8" w:rsidRPr="003955D8" w:rsidRDefault="003955D8" w:rsidP="00506353">
      <w:pPr>
        <w:numPr>
          <w:ilvl w:val="0"/>
          <w:numId w:val="19"/>
        </w:numPr>
        <w:spacing w:line="360" w:lineRule="auto"/>
        <w:jc w:val="both"/>
        <w:rPr>
          <w:rFonts w:ascii="Arial" w:hAnsi="Arial" w:cs="Arial"/>
        </w:rPr>
      </w:pPr>
      <w:r w:rsidRPr="003955D8">
        <w:rPr>
          <w:rFonts w:ascii="Arial" w:hAnsi="Arial" w:cs="Arial"/>
        </w:rPr>
        <w:lastRenderedPageBreak/>
        <w:t>Build internal data and compliance capability</w:t>
      </w:r>
    </w:p>
    <w:p w14:paraId="14695501" w14:textId="77777777" w:rsidR="003955D8" w:rsidRPr="003955D8" w:rsidRDefault="003955D8" w:rsidP="00506353">
      <w:pPr>
        <w:numPr>
          <w:ilvl w:val="0"/>
          <w:numId w:val="19"/>
        </w:numPr>
        <w:spacing w:line="360" w:lineRule="auto"/>
        <w:jc w:val="both"/>
        <w:rPr>
          <w:rFonts w:ascii="Arial" w:hAnsi="Arial" w:cs="Arial"/>
        </w:rPr>
      </w:pPr>
      <w:r w:rsidRPr="003955D8">
        <w:rPr>
          <w:rFonts w:ascii="Arial" w:hAnsi="Arial" w:cs="Arial"/>
        </w:rPr>
        <w:t>Prioritise recyclable and lightweight packaging to reduce long-term cost exposure</w:t>
      </w:r>
    </w:p>
    <w:p w14:paraId="27EEB9CB" w14:textId="7236638F" w:rsidR="003955D8" w:rsidRPr="003955D8" w:rsidRDefault="003955D8" w:rsidP="00205B2F">
      <w:pPr>
        <w:spacing w:line="360" w:lineRule="auto"/>
        <w:rPr>
          <w:rFonts w:ascii="Arial" w:hAnsi="Arial" w:cs="Arial"/>
        </w:rPr>
      </w:pPr>
      <w:r w:rsidRPr="003955D8">
        <w:rPr>
          <w:rFonts w:ascii="Arial" w:hAnsi="Arial" w:cs="Arial"/>
        </w:rPr>
        <w:t>3. Consumer price sensitivity and downtrading risk</w:t>
      </w:r>
      <w:r w:rsidRPr="003955D8">
        <w:rPr>
          <w:rFonts w:ascii="Arial" w:hAnsi="Arial" w:cs="Arial"/>
        </w:rPr>
        <w:br/>
        <w:t>The strategy depends on maintaining a premium positioning. However, ongoing cost-of-living pressures have increased consumer price sensitivity and encouraged switching towards lower-priced own-label alternatives within FMCG categories (Mintel, 2025). Reduced willingness to pay could affect volume growth and margin performance.</w:t>
      </w:r>
    </w:p>
    <w:p w14:paraId="0C5A5D97" w14:textId="77777777" w:rsidR="003955D8" w:rsidRPr="003955D8" w:rsidRDefault="003955D8" w:rsidP="00506353">
      <w:pPr>
        <w:spacing w:line="360" w:lineRule="auto"/>
        <w:jc w:val="both"/>
        <w:rPr>
          <w:rFonts w:ascii="Arial" w:hAnsi="Arial" w:cs="Arial"/>
        </w:rPr>
      </w:pPr>
      <w:r w:rsidRPr="003955D8">
        <w:rPr>
          <w:rFonts w:ascii="Arial" w:hAnsi="Arial" w:cs="Arial"/>
        </w:rPr>
        <w:t>Mitigation</w:t>
      </w:r>
    </w:p>
    <w:p w14:paraId="01C53038" w14:textId="77777777" w:rsidR="003955D8" w:rsidRPr="003955D8" w:rsidRDefault="003955D8" w:rsidP="00506353">
      <w:pPr>
        <w:numPr>
          <w:ilvl w:val="0"/>
          <w:numId w:val="20"/>
        </w:numPr>
        <w:spacing w:line="360" w:lineRule="auto"/>
        <w:jc w:val="both"/>
        <w:rPr>
          <w:rFonts w:ascii="Arial" w:hAnsi="Arial" w:cs="Arial"/>
        </w:rPr>
      </w:pPr>
      <w:r w:rsidRPr="003955D8">
        <w:rPr>
          <w:rFonts w:ascii="Arial" w:hAnsi="Arial" w:cs="Arial"/>
        </w:rPr>
        <w:t>Introduce accessible entry price points through pack architecture</w:t>
      </w:r>
    </w:p>
    <w:p w14:paraId="04D776F7" w14:textId="77777777" w:rsidR="003955D8" w:rsidRPr="003955D8" w:rsidRDefault="003955D8" w:rsidP="00506353">
      <w:pPr>
        <w:numPr>
          <w:ilvl w:val="0"/>
          <w:numId w:val="20"/>
        </w:numPr>
        <w:spacing w:line="360" w:lineRule="auto"/>
        <w:jc w:val="both"/>
        <w:rPr>
          <w:rFonts w:ascii="Arial" w:hAnsi="Arial" w:cs="Arial"/>
        </w:rPr>
      </w:pPr>
      <w:r w:rsidRPr="003955D8">
        <w:rPr>
          <w:rFonts w:ascii="Arial" w:hAnsi="Arial" w:cs="Arial"/>
        </w:rPr>
        <w:t>Communicate value-per-serve and functional benefits clearly</w:t>
      </w:r>
    </w:p>
    <w:p w14:paraId="58FB920F" w14:textId="77777777" w:rsidR="003955D8" w:rsidRPr="003955D8" w:rsidRDefault="003955D8" w:rsidP="00506353">
      <w:pPr>
        <w:numPr>
          <w:ilvl w:val="0"/>
          <w:numId w:val="20"/>
        </w:numPr>
        <w:spacing w:line="360" w:lineRule="auto"/>
        <w:jc w:val="both"/>
        <w:rPr>
          <w:rFonts w:ascii="Arial" w:hAnsi="Arial" w:cs="Arial"/>
        </w:rPr>
      </w:pPr>
      <w:r w:rsidRPr="003955D8">
        <w:rPr>
          <w:rFonts w:ascii="Arial" w:hAnsi="Arial" w:cs="Arial"/>
        </w:rPr>
        <w:t>Focus promotions on value rather than deep discounting to protect brand equity</w:t>
      </w:r>
    </w:p>
    <w:p w14:paraId="461F405A" w14:textId="2C304495" w:rsidR="003955D8" w:rsidRPr="003955D8" w:rsidRDefault="003955D8" w:rsidP="000D2E47">
      <w:pPr>
        <w:spacing w:line="360" w:lineRule="auto"/>
        <w:rPr>
          <w:rFonts w:ascii="Arial" w:hAnsi="Arial" w:cs="Arial"/>
        </w:rPr>
      </w:pPr>
      <w:r w:rsidRPr="003955D8">
        <w:rPr>
          <w:rFonts w:ascii="Arial" w:hAnsi="Arial" w:cs="Arial"/>
        </w:rPr>
        <w:t>4. Innovation complexity and operational risk</w:t>
      </w:r>
      <w:r w:rsidRPr="003955D8">
        <w:rPr>
          <w:rFonts w:ascii="Arial" w:hAnsi="Arial" w:cs="Arial"/>
        </w:rPr>
        <w:br/>
        <w:t>Expansion of the “Everyday Health” platform may increase SKU variety, raising operational complexity, forecasting difficulty and inventory risk. High product variety is associated with increased operational cost and reduced efficiency if not carefully managed (Slack, Brandon-Jones and Burgess, 2019).</w:t>
      </w:r>
    </w:p>
    <w:p w14:paraId="37F4915D" w14:textId="77777777" w:rsidR="003955D8" w:rsidRPr="003955D8" w:rsidRDefault="003955D8" w:rsidP="00506353">
      <w:pPr>
        <w:spacing w:line="360" w:lineRule="auto"/>
        <w:jc w:val="both"/>
        <w:rPr>
          <w:rFonts w:ascii="Arial" w:hAnsi="Arial" w:cs="Arial"/>
        </w:rPr>
      </w:pPr>
      <w:r w:rsidRPr="003955D8">
        <w:rPr>
          <w:rFonts w:ascii="Arial" w:hAnsi="Arial" w:cs="Arial"/>
        </w:rPr>
        <w:t>Mitigation</w:t>
      </w:r>
    </w:p>
    <w:p w14:paraId="3C79805E" w14:textId="77777777" w:rsidR="003955D8" w:rsidRPr="003955D8" w:rsidRDefault="003955D8" w:rsidP="00506353">
      <w:pPr>
        <w:numPr>
          <w:ilvl w:val="0"/>
          <w:numId w:val="21"/>
        </w:numPr>
        <w:spacing w:line="360" w:lineRule="auto"/>
        <w:jc w:val="both"/>
        <w:rPr>
          <w:rFonts w:ascii="Arial" w:hAnsi="Arial" w:cs="Arial"/>
        </w:rPr>
      </w:pPr>
      <w:r w:rsidRPr="003955D8">
        <w:rPr>
          <w:rFonts w:ascii="Arial" w:hAnsi="Arial" w:cs="Arial"/>
        </w:rPr>
        <w:t>Apply a disciplined stage-gate innovation process</w:t>
      </w:r>
    </w:p>
    <w:p w14:paraId="1C3E58FD" w14:textId="77777777" w:rsidR="003955D8" w:rsidRPr="003955D8" w:rsidRDefault="003955D8" w:rsidP="00506353">
      <w:pPr>
        <w:numPr>
          <w:ilvl w:val="0"/>
          <w:numId w:val="21"/>
        </w:numPr>
        <w:spacing w:line="360" w:lineRule="auto"/>
        <w:jc w:val="both"/>
        <w:rPr>
          <w:rFonts w:ascii="Arial" w:hAnsi="Arial" w:cs="Arial"/>
        </w:rPr>
      </w:pPr>
      <w:r w:rsidRPr="003955D8">
        <w:rPr>
          <w:rFonts w:ascii="Arial" w:hAnsi="Arial" w:cs="Arial"/>
        </w:rPr>
        <w:t>Set clear performance thresholds for new products</w:t>
      </w:r>
    </w:p>
    <w:p w14:paraId="1EE8964A" w14:textId="77777777" w:rsidR="003955D8" w:rsidRPr="003955D8" w:rsidRDefault="003955D8" w:rsidP="00506353">
      <w:pPr>
        <w:numPr>
          <w:ilvl w:val="0"/>
          <w:numId w:val="21"/>
        </w:numPr>
        <w:spacing w:line="360" w:lineRule="auto"/>
        <w:jc w:val="both"/>
        <w:rPr>
          <w:rFonts w:ascii="Arial" w:hAnsi="Arial" w:cs="Arial"/>
        </w:rPr>
      </w:pPr>
      <w:r w:rsidRPr="003955D8">
        <w:rPr>
          <w:rFonts w:ascii="Arial" w:hAnsi="Arial" w:cs="Arial"/>
        </w:rPr>
        <w:t>Rationalise underperforming SKUs to maintain operational focus</w:t>
      </w:r>
    </w:p>
    <w:p w14:paraId="5BDA4715" w14:textId="7DD72227" w:rsidR="003955D8" w:rsidRPr="003955D8" w:rsidRDefault="003955D8" w:rsidP="000D2E47">
      <w:pPr>
        <w:spacing w:line="360" w:lineRule="auto"/>
        <w:rPr>
          <w:rFonts w:ascii="Arial" w:hAnsi="Arial" w:cs="Arial"/>
        </w:rPr>
      </w:pPr>
      <w:r w:rsidRPr="003955D8">
        <w:rPr>
          <w:rFonts w:ascii="Arial" w:hAnsi="Arial" w:cs="Arial"/>
        </w:rPr>
        <w:t>5. Reputational and claims credibility risk</w:t>
      </w:r>
      <w:r w:rsidRPr="003955D8">
        <w:rPr>
          <w:rFonts w:ascii="Arial" w:hAnsi="Arial" w:cs="Arial"/>
        </w:rPr>
        <w:br/>
        <w:t>Innocent’s differentiation relies heavily on consumer trust in its health and sustainability positioning. If marketing claims are perceived as exaggerated or inconsistent with operational performance, reputational damage may occur. Greenwashing risks arise when communication exceeds verifiable organisational practices (Delmas and Burbano, 2011).</w:t>
      </w:r>
    </w:p>
    <w:p w14:paraId="5FE5E54A" w14:textId="77777777" w:rsidR="003955D8" w:rsidRPr="003955D8" w:rsidRDefault="003955D8" w:rsidP="00034CFD">
      <w:pPr>
        <w:spacing w:line="360" w:lineRule="auto"/>
        <w:jc w:val="both"/>
        <w:rPr>
          <w:rFonts w:ascii="Arial" w:hAnsi="Arial" w:cs="Arial"/>
        </w:rPr>
      </w:pPr>
      <w:r w:rsidRPr="003955D8">
        <w:rPr>
          <w:rFonts w:ascii="Arial" w:hAnsi="Arial" w:cs="Arial"/>
        </w:rPr>
        <w:t>Mitigation</w:t>
      </w:r>
    </w:p>
    <w:p w14:paraId="119A40F8" w14:textId="77777777" w:rsidR="003955D8" w:rsidRPr="003955D8" w:rsidRDefault="003955D8" w:rsidP="00034CFD">
      <w:pPr>
        <w:numPr>
          <w:ilvl w:val="0"/>
          <w:numId w:val="22"/>
        </w:numPr>
        <w:spacing w:line="360" w:lineRule="auto"/>
        <w:jc w:val="both"/>
        <w:rPr>
          <w:rFonts w:ascii="Arial" w:hAnsi="Arial" w:cs="Arial"/>
        </w:rPr>
      </w:pPr>
      <w:r w:rsidRPr="003955D8">
        <w:rPr>
          <w:rFonts w:ascii="Arial" w:hAnsi="Arial" w:cs="Arial"/>
        </w:rPr>
        <w:t>Implement formal claims governance and evidence review procedures</w:t>
      </w:r>
    </w:p>
    <w:p w14:paraId="65BB31F3" w14:textId="77777777" w:rsidR="003955D8" w:rsidRPr="003955D8" w:rsidRDefault="003955D8" w:rsidP="00034CFD">
      <w:pPr>
        <w:numPr>
          <w:ilvl w:val="0"/>
          <w:numId w:val="22"/>
        </w:numPr>
        <w:spacing w:line="360" w:lineRule="auto"/>
        <w:jc w:val="both"/>
        <w:rPr>
          <w:rFonts w:ascii="Arial" w:hAnsi="Arial" w:cs="Arial"/>
        </w:rPr>
      </w:pPr>
      <w:r w:rsidRPr="003955D8">
        <w:rPr>
          <w:rFonts w:ascii="Arial" w:hAnsi="Arial" w:cs="Arial"/>
        </w:rPr>
        <w:t>Publish transparent metrics on carbon, packaging and sourcing performance</w:t>
      </w:r>
    </w:p>
    <w:p w14:paraId="59781888" w14:textId="77777777" w:rsidR="003955D8" w:rsidRPr="003955D8" w:rsidRDefault="003955D8" w:rsidP="00034CFD">
      <w:pPr>
        <w:numPr>
          <w:ilvl w:val="0"/>
          <w:numId w:val="22"/>
        </w:numPr>
        <w:spacing w:line="360" w:lineRule="auto"/>
        <w:jc w:val="both"/>
        <w:rPr>
          <w:rFonts w:ascii="Arial" w:hAnsi="Arial" w:cs="Arial"/>
        </w:rPr>
      </w:pPr>
      <w:r w:rsidRPr="003955D8">
        <w:rPr>
          <w:rFonts w:ascii="Arial" w:hAnsi="Arial" w:cs="Arial"/>
        </w:rPr>
        <w:t>Ensure marketing communications align with independently verifiable data</w:t>
      </w:r>
    </w:p>
    <w:p w14:paraId="5D6FE196" w14:textId="77777777" w:rsidR="0077121A" w:rsidRDefault="0077121A" w:rsidP="003955D8">
      <w:pPr>
        <w:spacing w:line="360" w:lineRule="auto"/>
        <w:rPr>
          <w:rFonts w:ascii="Arial" w:hAnsi="Arial" w:cs="Arial"/>
        </w:rPr>
      </w:pPr>
    </w:p>
    <w:p w14:paraId="4A596B37" w14:textId="5F75772A" w:rsidR="00034CFD" w:rsidRPr="004F540C" w:rsidRDefault="003955D8" w:rsidP="003955D8">
      <w:pPr>
        <w:spacing w:line="360" w:lineRule="auto"/>
        <w:rPr>
          <w:rFonts w:ascii="Arial" w:hAnsi="Arial" w:cs="Arial"/>
          <w:b/>
          <w:bCs/>
        </w:rPr>
      </w:pPr>
      <w:r w:rsidRPr="004F540C">
        <w:rPr>
          <w:rFonts w:ascii="Arial" w:hAnsi="Arial" w:cs="Arial"/>
          <w:b/>
          <w:bCs/>
        </w:rPr>
        <w:t>Risk governance and monitoring</w:t>
      </w:r>
    </w:p>
    <w:p w14:paraId="3A5A169B" w14:textId="77777777" w:rsidR="003955D8" w:rsidRPr="003955D8" w:rsidRDefault="003955D8" w:rsidP="00034CFD">
      <w:pPr>
        <w:spacing w:line="360" w:lineRule="auto"/>
        <w:jc w:val="both"/>
        <w:rPr>
          <w:rFonts w:ascii="Arial" w:hAnsi="Arial" w:cs="Arial"/>
        </w:rPr>
      </w:pPr>
      <w:r w:rsidRPr="003955D8">
        <w:rPr>
          <w:rFonts w:ascii="Arial" w:hAnsi="Arial" w:cs="Arial"/>
        </w:rPr>
        <w:t xml:space="preserve">A formal risk register should be maintained and reviewed quarterly alongside strategic KPIs. Key indicators should include supply disruption frequency, packaging compliance readiness, margin trends, consumer sentiment and regulatory developments. Integrating risk monitoring within a balanced scorecard framework strengthens strategic control and supports organisational adaptability (Kaplan and Norton, 1996; Teece, Pisano and </w:t>
      </w:r>
      <w:proofErr w:type="spellStart"/>
      <w:r w:rsidRPr="003955D8">
        <w:rPr>
          <w:rFonts w:ascii="Arial" w:hAnsi="Arial" w:cs="Arial"/>
        </w:rPr>
        <w:t>Shuen</w:t>
      </w:r>
      <w:proofErr w:type="spellEnd"/>
      <w:r w:rsidRPr="003955D8">
        <w:rPr>
          <w:rFonts w:ascii="Arial" w:hAnsi="Arial" w:cs="Arial"/>
        </w:rPr>
        <w:t>, 1997).</w:t>
      </w:r>
    </w:p>
    <w:p w14:paraId="3ED3C93B" w14:textId="6BD46848" w:rsidR="00313CBE" w:rsidRPr="00BA700E" w:rsidRDefault="00992FA9" w:rsidP="00FF0CFB">
      <w:pPr>
        <w:spacing w:line="360" w:lineRule="auto"/>
        <w:rPr>
          <w:rFonts w:ascii="Arial" w:hAnsi="Arial" w:cs="Arial"/>
          <w:b/>
          <w:bCs/>
        </w:rPr>
      </w:pPr>
      <w:r w:rsidRPr="00BA700E">
        <w:rPr>
          <w:rFonts w:ascii="Arial" w:hAnsi="Arial" w:cs="Arial"/>
          <w:b/>
          <w:bCs/>
        </w:rPr>
        <w:t>Table 7.2: Strategic risk prioritisation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7"/>
        <w:gridCol w:w="1438"/>
        <w:gridCol w:w="1438"/>
        <w:gridCol w:w="1025"/>
      </w:tblGrid>
      <w:tr w:rsidR="00992FA9" w:rsidRPr="00BA700E" w14:paraId="4FF40E96" w14:textId="77777777" w:rsidTr="00884F30">
        <w:trPr>
          <w:tblHeader/>
          <w:tblCellSpacing w:w="15" w:type="dxa"/>
        </w:trPr>
        <w:tc>
          <w:tcPr>
            <w:tcW w:w="0" w:type="auto"/>
            <w:shd w:val="clear" w:color="auto" w:fill="00B0F0"/>
            <w:vAlign w:val="center"/>
            <w:hideMark/>
          </w:tcPr>
          <w:p w14:paraId="4734855E" w14:textId="77777777" w:rsidR="00992FA9" w:rsidRPr="00BA700E" w:rsidRDefault="00992FA9" w:rsidP="00FF0CFB">
            <w:pPr>
              <w:spacing w:line="360" w:lineRule="auto"/>
              <w:rPr>
                <w:rFonts w:ascii="Arial" w:hAnsi="Arial" w:cs="Arial"/>
                <w:b/>
                <w:bCs/>
              </w:rPr>
            </w:pPr>
            <w:r w:rsidRPr="00BA700E">
              <w:rPr>
                <w:rFonts w:ascii="Arial" w:hAnsi="Arial" w:cs="Arial"/>
                <w:b/>
                <w:bCs/>
              </w:rPr>
              <w:t>Risk</w:t>
            </w:r>
          </w:p>
        </w:tc>
        <w:tc>
          <w:tcPr>
            <w:tcW w:w="0" w:type="auto"/>
            <w:shd w:val="clear" w:color="auto" w:fill="00B0F0"/>
            <w:vAlign w:val="center"/>
            <w:hideMark/>
          </w:tcPr>
          <w:p w14:paraId="44ED3766" w14:textId="77777777" w:rsidR="00992FA9" w:rsidRPr="00BA700E" w:rsidRDefault="00992FA9" w:rsidP="00FF0CFB">
            <w:pPr>
              <w:spacing w:line="360" w:lineRule="auto"/>
              <w:rPr>
                <w:rFonts w:ascii="Arial" w:hAnsi="Arial" w:cs="Arial"/>
                <w:b/>
                <w:bCs/>
              </w:rPr>
            </w:pPr>
            <w:r w:rsidRPr="00BA700E">
              <w:rPr>
                <w:rFonts w:ascii="Arial" w:hAnsi="Arial" w:cs="Arial"/>
                <w:b/>
                <w:bCs/>
              </w:rPr>
              <w:t>Likelihood</w:t>
            </w:r>
          </w:p>
        </w:tc>
        <w:tc>
          <w:tcPr>
            <w:tcW w:w="0" w:type="auto"/>
            <w:shd w:val="clear" w:color="auto" w:fill="00B0F0"/>
            <w:vAlign w:val="center"/>
            <w:hideMark/>
          </w:tcPr>
          <w:p w14:paraId="5B730C22" w14:textId="77777777" w:rsidR="00992FA9" w:rsidRPr="00BA700E" w:rsidRDefault="00992FA9" w:rsidP="00FF0CFB">
            <w:pPr>
              <w:spacing w:line="360" w:lineRule="auto"/>
              <w:rPr>
                <w:rFonts w:ascii="Arial" w:hAnsi="Arial" w:cs="Arial"/>
                <w:b/>
                <w:bCs/>
              </w:rPr>
            </w:pPr>
            <w:r w:rsidRPr="00BA700E">
              <w:rPr>
                <w:rFonts w:ascii="Arial" w:hAnsi="Arial" w:cs="Arial"/>
                <w:b/>
                <w:bCs/>
              </w:rPr>
              <w:t>Impact</w:t>
            </w:r>
          </w:p>
        </w:tc>
        <w:tc>
          <w:tcPr>
            <w:tcW w:w="0" w:type="auto"/>
            <w:shd w:val="clear" w:color="auto" w:fill="00B0F0"/>
            <w:vAlign w:val="center"/>
            <w:hideMark/>
          </w:tcPr>
          <w:p w14:paraId="67A56A83" w14:textId="77777777" w:rsidR="00992FA9" w:rsidRPr="00BA700E" w:rsidRDefault="00992FA9" w:rsidP="00FF0CFB">
            <w:pPr>
              <w:spacing w:line="360" w:lineRule="auto"/>
              <w:rPr>
                <w:rFonts w:ascii="Arial" w:hAnsi="Arial" w:cs="Arial"/>
                <w:b/>
                <w:bCs/>
              </w:rPr>
            </w:pPr>
            <w:r w:rsidRPr="00BA700E">
              <w:rPr>
                <w:rFonts w:ascii="Arial" w:hAnsi="Arial" w:cs="Arial"/>
                <w:b/>
                <w:bCs/>
              </w:rPr>
              <w:t>Priority</w:t>
            </w:r>
          </w:p>
        </w:tc>
      </w:tr>
      <w:tr w:rsidR="00992FA9" w:rsidRPr="00BA700E" w14:paraId="0298356C" w14:textId="77777777" w:rsidTr="00313CBE">
        <w:trPr>
          <w:tblCellSpacing w:w="15" w:type="dxa"/>
        </w:trPr>
        <w:tc>
          <w:tcPr>
            <w:tcW w:w="0" w:type="auto"/>
            <w:vAlign w:val="center"/>
            <w:hideMark/>
          </w:tcPr>
          <w:p w14:paraId="60E07904" w14:textId="77777777" w:rsidR="00992FA9" w:rsidRPr="00BA700E" w:rsidRDefault="00992FA9" w:rsidP="00FF0CFB">
            <w:pPr>
              <w:spacing w:line="360" w:lineRule="auto"/>
              <w:rPr>
                <w:rFonts w:ascii="Arial" w:hAnsi="Arial" w:cs="Arial"/>
              </w:rPr>
            </w:pPr>
            <w:r w:rsidRPr="00BA700E">
              <w:rPr>
                <w:rFonts w:ascii="Arial" w:hAnsi="Arial" w:cs="Arial"/>
              </w:rPr>
              <w:t>Consumer downtrading to own-label</w:t>
            </w:r>
          </w:p>
        </w:tc>
        <w:tc>
          <w:tcPr>
            <w:tcW w:w="0" w:type="auto"/>
            <w:vAlign w:val="center"/>
            <w:hideMark/>
          </w:tcPr>
          <w:p w14:paraId="1E8F7735" w14:textId="77777777" w:rsidR="00992FA9" w:rsidRPr="00BA700E" w:rsidRDefault="00992FA9" w:rsidP="00FF0CFB">
            <w:pPr>
              <w:spacing w:line="360" w:lineRule="auto"/>
              <w:rPr>
                <w:rFonts w:ascii="Arial" w:hAnsi="Arial" w:cs="Arial"/>
              </w:rPr>
            </w:pPr>
            <w:r w:rsidRPr="00BA700E">
              <w:rPr>
                <w:rFonts w:ascii="Arial" w:hAnsi="Arial" w:cs="Arial"/>
              </w:rPr>
              <w:t>High</w:t>
            </w:r>
          </w:p>
        </w:tc>
        <w:tc>
          <w:tcPr>
            <w:tcW w:w="0" w:type="auto"/>
            <w:vAlign w:val="center"/>
            <w:hideMark/>
          </w:tcPr>
          <w:p w14:paraId="00DCDD30" w14:textId="77777777" w:rsidR="00992FA9" w:rsidRPr="00BA700E" w:rsidRDefault="00992FA9" w:rsidP="00FF0CFB">
            <w:pPr>
              <w:spacing w:line="360" w:lineRule="auto"/>
              <w:rPr>
                <w:rFonts w:ascii="Arial" w:hAnsi="Arial" w:cs="Arial"/>
              </w:rPr>
            </w:pPr>
            <w:r w:rsidRPr="00BA700E">
              <w:rPr>
                <w:rFonts w:ascii="Arial" w:hAnsi="Arial" w:cs="Arial"/>
              </w:rPr>
              <w:t>High</w:t>
            </w:r>
          </w:p>
        </w:tc>
        <w:tc>
          <w:tcPr>
            <w:tcW w:w="0" w:type="auto"/>
            <w:vAlign w:val="center"/>
            <w:hideMark/>
          </w:tcPr>
          <w:p w14:paraId="341E1F01" w14:textId="77777777" w:rsidR="00992FA9" w:rsidRPr="00BA700E" w:rsidRDefault="00992FA9" w:rsidP="00FF0CFB">
            <w:pPr>
              <w:spacing w:line="360" w:lineRule="auto"/>
              <w:rPr>
                <w:rFonts w:ascii="Arial" w:hAnsi="Arial" w:cs="Arial"/>
              </w:rPr>
            </w:pPr>
            <w:r w:rsidRPr="00BA700E">
              <w:rPr>
                <w:rFonts w:ascii="Arial" w:hAnsi="Arial" w:cs="Arial"/>
              </w:rPr>
              <w:t>Critical</w:t>
            </w:r>
          </w:p>
        </w:tc>
      </w:tr>
      <w:tr w:rsidR="00992FA9" w:rsidRPr="00BA700E" w14:paraId="256664F9" w14:textId="77777777" w:rsidTr="00313CBE">
        <w:trPr>
          <w:tblCellSpacing w:w="15" w:type="dxa"/>
        </w:trPr>
        <w:tc>
          <w:tcPr>
            <w:tcW w:w="0" w:type="auto"/>
            <w:vAlign w:val="center"/>
            <w:hideMark/>
          </w:tcPr>
          <w:p w14:paraId="244616DD" w14:textId="77777777" w:rsidR="00992FA9" w:rsidRPr="00BA700E" w:rsidRDefault="00992FA9" w:rsidP="00FF0CFB">
            <w:pPr>
              <w:spacing w:line="360" w:lineRule="auto"/>
              <w:rPr>
                <w:rFonts w:ascii="Arial" w:hAnsi="Arial" w:cs="Arial"/>
              </w:rPr>
            </w:pPr>
            <w:r w:rsidRPr="00BA700E">
              <w:rPr>
                <w:rFonts w:ascii="Arial" w:hAnsi="Arial" w:cs="Arial"/>
              </w:rPr>
              <w:t>Climate-driven supply disruption</w:t>
            </w:r>
          </w:p>
        </w:tc>
        <w:tc>
          <w:tcPr>
            <w:tcW w:w="0" w:type="auto"/>
            <w:vAlign w:val="center"/>
            <w:hideMark/>
          </w:tcPr>
          <w:p w14:paraId="2FE7D4F9" w14:textId="77777777" w:rsidR="00992FA9" w:rsidRPr="00BA700E" w:rsidRDefault="00992FA9" w:rsidP="00FF0CFB">
            <w:pPr>
              <w:spacing w:line="360" w:lineRule="auto"/>
              <w:rPr>
                <w:rFonts w:ascii="Arial" w:hAnsi="Arial" w:cs="Arial"/>
              </w:rPr>
            </w:pPr>
            <w:r w:rsidRPr="00BA700E">
              <w:rPr>
                <w:rFonts w:ascii="Arial" w:hAnsi="Arial" w:cs="Arial"/>
              </w:rPr>
              <w:t>Medium–High</w:t>
            </w:r>
          </w:p>
        </w:tc>
        <w:tc>
          <w:tcPr>
            <w:tcW w:w="0" w:type="auto"/>
            <w:vAlign w:val="center"/>
            <w:hideMark/>
          </w:tcPr>
          <w:p w14:paraId="6BE21B86" w14:textId="77777777" w:rsidR="00992FA9" w:rsidRPr="00BA700E" w:rsidRDefault="00992FA9" w:rsidP="00FF0CFB">
            <w:pPr>
              <w:spacing w:line="360" w:lineRule="auto"/>
              <w:rPr>
                <w:rFonts w:ascii="Arial" w:hAnsi="Arial" w:cs="Arial"/>
              </w:rPr>
            </w:pPr>
            <w:r w:rsidRPr="00BA700E">
              <w:rPr>
                <w:rFonts w:ascii="Arial" w:hAnsi="Arial" w:cs="Arial"/>
              </w:rPr>
              <w:t>High</w:t>
            </w:r>
          </w:p>
        </w:tc>
        <w:tc>
          <w:tcPr>
            <w:tcW w:w="0" w:type="auto"/>
            <w:vAlign w:val="center"/>
            <w:hideMark/>
          </w:tcPr>
          <w:p w14:paraId="5C46DBAD" w14:textId="77777777" w:rsidR="00992FA9" w:rsidRPr="00BA700E" w:rsidRDefault="00992FA9" w:rsidP="00FF0CFB">
            <w:pPr>
              <w:spacing w:line="360" w:lineRule="auto"/>
              <w:rPr>
                <w:rFonts w:ascii="Arial" w:hAnsi="Arial" w:cs="Arial"/>
              </w:rPr>
            </w:pPr>
            <w:r w:rsidRPr="00BA700E">
              <w:rPr>
                <w:rFonts w:ascii="Arial" w:hAnsi="Arial" w:cs="Arial"/>
              </w:rPr>
              <w:t>Critical</w:t>
            </w:r>
          </w:p>
        </w:tc>
      </w:tr>
      <w:tr w:rsidR="00992FA9" w:rsidRPr="00BA700E" w14:paraId="4323D9DB" w14:textId="77777777" w:rsidTr="00313CBE">
        <w:trPr>
          <w:tblCellSpacing w:w="15" w:type="dxa"/>
        </w:trPr>
        <w:tc>
          <w:tcPr>
            <w:tcW w:w="0" w:type="auto"/>
            <w:vAlign w:val="center"/>
            <w:hideMark/>
          </w:tcPr>
          <w:p w14:paraId="643C783A" w14:textId="77777777" w:rsidR="00992FA9" w:rsidRPr="00BA700E" w:rsidRDefault="00992FA9" w:rsidP="00FF0CFB">
            <w:pPr>
              <w:spacing w:line="360" w:lineRule="auto"/>
              <w:rPr>
                <w:rFonts w:ascii="Arial" w:hAnsi="Arial" w:cs="Arial"/>
              </w:rPr>
            </w:pPr>
            <w:r w:rsidRPr="00BA700E">
              <w:rPr>
                <w:rFonts w:ascii="Arial" w:hAnsi="Arial" w:cs="Arial"/>
              </w:rPr>
              <w:t>Packaging regulation cost increases</w:t>
            </w:r>
          </w:p>
        </w:tc>
        <w:tc>
          <w:tcPr>
            <w:tcW w:w="0" w:type="auto"/>
            <w:vAlign w:val="center"/>
            <w:hideMark/>
          </w:tcPr>
          <w:p w14:paraId="7EDD25C1" w14:textId="77777777" w:rsidR="00992FA9" w:rsidRPr="00BA700E" w:rsidRDefault="00992FA9" w:rsidP="00FF0CFB">
            <w:pPr>
              <w:spacing w:line="360" w:lineRule="auto"/>
              <w:rPr>
                <w:rFonts w:ascii="Arial" w:hAnsi="Arial" w:cs="Arial"/>
              </w:rPr>
            </w:pPr>
            <w:r w:rsidRPr="00BA700E">
              <w:rPr>
                <w:rFonts w:ascii="Arial" w:hAnsi="Arial" w:cs="Arial"/>
              </w:rPr>
              <w:t>High</w:t>
            </w:r>
          </w:p>
        </w:tc>
        <w:tc>
          <w:tcPr>
            <w:tcW w:w="0" w:type="auto"/>
            <w:vAlign w:val="center"/>
            <w:hideMark/>
          </w:tcPr>
          <w:p w14:paraId="04FE5168" w14:textId="77777777" w:rsidR="00992FA9" w:rsidRPr="00BA700E" w:rsidRDefault="00992FA9" w:rsidP="00FF0CFB">
            <w:pPr>
              <w:spacing w:line="360" w:lineRule="auto"/>
              <w:rPr>
                <w:rFonts w:ascii="Arial" w:hAnsi="Arial" w:cs="Arial"/>
              </w:rPr>
            </w:pPr>
            <w:r w:rsidRPr="00BA700E">
              <w:rPr>
                <w:rFonts w:ascii="Arial" w:hAnsi="Arial" w:cs="Arial"/>
              </w:rPr>
              <w:t>Medium–High</w:t>
            </w:r>
          </w:p>
        </w:tc>
        <w:tc>
          <w:tcPr>
            <w:tcW w:w="0" w:type="auto"/>
            <w:vAlign w:val="center"/>
            <w:hideMark/>
          </w:tcPr>
          <w:p w14:paraId="2B85B2A9" w14:textId="77777777" w:rsidR="00992FA9" w:rsidRPr="00BA700E" w:rsidRDefault="00992FA9" w:rsidP="00FF0CFB">
            <w:pPr>
              <w:spacing w:line="360" w:lineRule="auto"/>
              <w:rPr>
                <w:rFonts w:ascii="Arial" w:hAnsi="Arial" w:cs="Arial"/>
              </w:rPr>
            </w:pPr>
            <w:r w:rsidRPr="00BA700E">
              <w:rPr>
                <w:rFonts w:ascii="Arial" w:hAnsi="Arial" w:cs="Arial"/>
              </w:rPr>
              <w:t>High</w:t>
            </w:r>
          </w:p>
        </w:tc>
      </w:tr>
      <w:tr w:rsidR="00992FA9" w:rsidRPr="00BA700E" w14:paraId="445D6D47" w14:textId="77777777" w:rsidTr="00313CBE">
        <w:trPr>
          <w:tblCellSpacing w:w="15" w:type="dxa"/>
        </w:trPr>
        <w:tc>
          <w:tcPr>
            <w:tcW w:w="0" w:type="auto"/>
            <w:vAlign w:val="center"/>
            <w:hideMark/>
          </w:tcPr>
          <w:p w14:paraId="516985F1" w14:textId="77777777" w:rsidR="00992FA9" w:rsidRPr="00BA700E" w:rsidRDefault="00992FA9" w:rsidP="00FF0CFB">
            <w:pPr>
              <w:spacing w:line="360" w:lineRule="auto"/>
              <w:rPr>
                <w:rFonts w:ascii="Arial" w:hAnsi="Arial" w:cs="Arial"/>
              </w:rPr>
            </w:pPr>
            <w:r w:rsidRPr="00BA700E">
              <w:rPr>
                <w:rFonts w:ascii="Arial" w:hAnsi="Arial" w:cs="Arial"/>
              </w:rPr>
              <w:t>Innovation complexity / SKU proliferation</w:t>
            </w:r>
          </w:p>
        </w:tc>
        <w:tc>
          <w:tcPr>
            <w:tcW w:w="0" w:type="auto"/>
            <w:vAlign w:val="center"/>
            <w:hideMark/>
          </w:tcPr>
          <w:p w14:paraId="58445128" w14:textId="77777777" w:rsidR="00992FA9" w:rsidRPr="00BA700E" w:rsidRDefault="00992FA9" w:rsidP="00FF0CFB">
            <w:pPr>
              <w:spacing w:line="360" w:lineRule="auto"/>
              <w:rPr>
                <w:rFonts w:ascii="Arial" w:hAnsi="Arial" w:cs="Arial"/>
              </w:rPr>
            </w:pPr>
            <w:r w:rsidRPr="00BA700E">
              <w:rPr>
                <w:rFonts w:ascii="Arial" w:hAnsi="Arial" w:cs="Arial"/>
              </w:rPr>
              <w:t>Medium</w:t>
            </w:r>
          </w:p>
        </w:tc>
        <w:tc>
          <w:tcPr>
            <w:tcW w:w="0" w:type="auto"/>
            <w:vAlign w:val="center"/>
            <w:hideMark/>
          </w:tcPr>
          <w:p w14:paraId="4FEA46DE" w14:textId="77777777" w:rsidR="00992FA9" w:rsidRPr="00BA700E" w:rsidRDefault="00992FA9" w:rsidP="00FF0CFB">
            <w:pPr>
              <w:spacing w:line="360" w:lineRule="auto"/>
              <w:rPr>
                <w:rFonts w:ascii="Arial" w:hAnsi="Arial" w:cs="Arial"/>
              </w:rPr>
            </w:pPr>
            <w:r w:rsidRPr="00BA700E">
              <w:rPr>
                <w:rFonts w:ascii="Arial" w:hAnsi="Arial" w:cs="Arial"/>
              </w:rPr>
              <w:t>Medium</w:t>
            </w:r>
          </w:p>
        </w:tc>
        <w:tc>
          <w:tcPr>
            <w:tcW w:w="0" w:type="auto"/>
            <w:vAlign w:val="center"/>
            <w:hideMark/>
          </w:tcPr>
          <w:p w14:paraId="69AD9C98" w14:textId="77777777" w:rsidR="00992FA9" w:rsidRPr="00BA700E" w:rsidRDefault="00992FA9" w:rsidP="00FF0CFB">
            <w:pPr>
              <w:spacing w:line="360" w:lineRule="auto"/>
              <w:rPr>
                <w:rFonts w:ascii="Arial" w:hAnsi="Arial" w:cs="Arial"/>
              </w:rPr>
            </w:pPr>
            <w:r w:rsidRPr="00BA700E">
              <w:rPr>
                <w:rFonts w:ascii="Arial" w:hAnsi="Arial" w:cs="Arial"/>
              </w:rPr>
              <w:t>Moderate</w:t>
            </w:r>
          </w:p>
        </w:tc>
      </w:tr>
      <w:tr w:rsidR="00992FA9" w:rsidRPr="00BA700E" w14:paraId="7749B1A8" w14:textId="77777777" w:rsidTr="00313CBE">
        <w:trPr>
          <w:tblCellSpacing w:w="15" w:type="dxa"/>
        </w:trPr>
        <w:tc>
          <w:tcPr>
            <w:tcW w:w="0" w:type="auto"/>
            <w:vAlign w:val="center"/>
            <w:hideMark/>
          </w:tcPr>
          <w:p w14:paraId="4F361283" w14:textId="77777777" w:rsidR="00992FA9" w:rsidRPr="00BA700E" w:rsidRDefault="00992FA9" w:rsidP="00FF0CFB">
            <w:pPr>
              <w:spacing w:line="360" w:lineRule="auto"/>
              <w:rPr>
                <w:rFonts w:ascii="Arial" w:hAnsi="Arial" w:cs="Arial"/>
              </w:rPr>
            </w:pPr>
            <w:r w:rsidRPr="00BA700E">
              <w:rPr>
                <w:rFonts w:ascii="Arial" w:hAnsi="Arial" w:cs="Arial"/>
              </w:rPr>
              <w:t>Claims credibility / reputational risk</w:t>
            </w:r>
          </w:p>
        </w:tc>
        <w:tc>
          <w:tcPr>
            <w:tcW w:w="0" w:type="auto"/>
            <w:vAlign w:val="center"/>
            <w:hideMark/>
          </w:tcPr>
          <w:p w14:paraId="6870FDA2" w14:textId="77777777" w:rsidR="00992FA9" w:rsidRPr="00BA700E" w:rsidRDefault="00992FA9" w:rsidP="00FF0CFB">
            <w:pPr>
              <w:spacing w:line="360" w:lineRule="auto"/>
              <w:rPr>
                <w:rFonts w:ascii="Arial" w:hAnsi="Arial" w:cs="Arial"/>
              </w:rPr>
            </w:pPr>
            <w:r w:rsidRPr="00BA700E">
              <w:rPr>
                <w:rFonts w:ascii="Arial" w:hAnsi="Arial" w:cs="Arial"/>
              </w:rPr>
              <w:t>Low–Medium</w:t>
            </w:r>
          </w:p>
        </w:tc>
        <w:tc>
          <w:tcPr>
            <w:tcW w:w="0" w:type="auto"/>
            <w:vAlign w:val="center"/>
            <w:hideMark/>
          </w:tcPr>
          <w:p w14:paraId="51BF2C15" w14:textId="77777777" w:rsidR="00992FA9" w:rsidRPr="00BA700E" w:rsidRDefault="00992FA9" w:rsidP="00FF0CFB">
            <w:pPr>
              <w:spacing w:line="360" w:lineRule="auto"/>
              <w:rPr>
                <w:rFonts w:ascii="Arial" w:hAnsi="Arial" w:cs="Arial"/>
              </w:rPr>
            </w:pPr>
            <w:r w:rsidRPr="00BA700E">
              <w:rPr>
                <w:rFonts w:ascii="Arial" w:hAnsi="Arial" w:cs="Arial"/>
              </w:rPr>
              <w:t>High</w:t>
            </w:r>
          </w:p>
        </w:tc>
        <w:tc>
          <w:tcPr>
            <w:tcW w:w="0" w:type="auto"/>
            <w:vAlign w:val="center"/>
            <w:hideMark/>
          </w:tcPr>
          <w:p w14:paraId="2E0B019D" w14:textId="77777777" w:rsidR="00992FA9" w:rsidRPr="00BA700E" w:rsidRDefault="00992FA9" w:rsidP="00FF0CFB">
            <w:pPr>
              <w:spacing w:line="360" w:lineRule="auto"/>
              <w:rPr>
                <w:rFonts w:ascii="Arial" w:hAnsi="Arial" w:cs="Arial"/>
              </w:rPr>
            </w:pPr>
            <w:r w:rsidRPr="00BA700E">
              <w:rPr>
                <w:rFonts w:ascii="Arial" w:hAnsi="Arial" w:cs="Arial"/>
              </w:rPr>
              <w:t>High</w:t>
            </w:r>
          </w:p>
        </w:tc>
      </w:tr>
    </w:tbl>
    <w:p w14:paraId="6D7654EB" w14:textId="77777777" w:rsidR="002C4423" w:rsidRDefault="002C4423" w:rsidP="00034CFD">
      <w:pPr>
        <w:pStyle w:val="Heading2"/>
        <w:spacing w:line="360" w:lineRule="auto"/>
        <w:rPr>
          <w:rFonts w:ascii="Arial" w:eastAsiaTheme="minorHAnsi" w:hAnsi="Arial" w:cs="Arial"/>
          <w:color w:val="auto"/>
          <w:sz w:val="22"/>
          <w:szCs w:val="22"/>
        </w:rPr>
      </w:pPr>
      <w:r w:rsidRPr="002C4423">
        <w:rPr>
          <w:rFonts w:ascii="Arial" w:eastAsiaTheme="minorHAnsi" w:hAnsi="Arial" w:cs="Arial"/>
          <w:color w:val="auto"/>
          <w:sz w:val="22"/>
          <w:szCs w:val="22"/>
        </w:rPr>
        <w:t>The highest-priority risks are consumer downtrading and supply disruption, as these pose the greatest threat to revenue stability and operational continuity.</w:t>
      </w:r>
    </w:p>
    <w:p w14:paraId="22BB57E6" w14:textId="73570C0D" w:rsidR="004E2BDB" w:rsidRPr="004E2BDB" w:rsidRDefault="00370144" w:rsidP="004E2BDB">
      <w:pPr>
        <w:pStyle w:val="Heading2"/>
      </w:pPr>
      <w:r w:rsidRPr="00370144">
        <w:t>7.3 Limitations and Assumptions</w:t>
      </w:r>
    </w:p>
    <w:p w14:paraId="08A1AD25" w14:textId="154387E2" w:rsidR="00566EA1" w:rsidRDefault="00AA1363" w:rsidP="00034CFD">
      <w:pPr>
        <w:pStyle w:val="Heading1"/>
        <w:spacing w:line="360" w:lineRule="auto"/>
        <w:jc w:val="both"/>
      </w:pPr>
      <w:bookmarkStart w:id="19" w:name="_Toc223254251"/>
      <w:r w:rsidRPr="00AA1363">
        <w:rPr>
          <w:rFonts w:ascii="Arial" w:eastAsiaTheme="minorHAnsi" w:hAnsi="Arial" w:cs="Arial"/>
          <w:color w:val="auto"/>
          <w:sz w:val="22"/>
          <w:szCs w:val="22"/>
        </w:rPr>
        <w:t>This analysis relies primarily on publicly available sources and secondary industry data. As Innocent is a privately held subsidiary of The Coca-Cola Company, detailed financial information, internal cost structures and proprietary market research are not publicly accessible. Where numerical estimates or operational assumptions are used, they are explicitly stated and supported by industry evidence where possible. Future research could strengthen the analysis through primary consumer research, retailer partnership data and internal operational metrics.</w:t>
      </w:r>
    </w:p>
    <w:p w14:paraId="4D4A372A" w14:textId="656FAF37" w:rsidR="00116230" w:rsidRPr="00074B85" w:rsidRDefault="00116230" w:rsidP="00FF0CFB">
      <w:pPr>
        <w:pStyle w:val="Heading1"/>
        <w:spacing w:line="360" w:lineRule="auto"/>
      </w:pPr>
      <w:r w:rsidRPr="00074B85">
        <w:t>8. Conclusion</w:t>
      </w:r>
      <w:bookmarkEnd w:id="19"/>
      <w:r w:rsidRPr="00074B85">
        <w:t xml:space="preserve"> </w:t>
      </w:r>
    </w:p>
    <w:p w14:paraId="33331F59" w14:textId="77777777" w:rsidR="00116230" w:rsidRPr="00116230" w:rsidRDefault="00116230" w:rsidP="00FF0CFB">
      <w:pPr>
        <w:spacing w:line="360" w:lineRule="auto"/>
        <w:jc w:val="both"/>
        <w:rPr>
          <w:rFonts w:ascii="Arial" w:hAnsi="Arial" w:cs="Arial"/>
        </w:rPr>
      </w:pPr>
      <w:r w:rsidRPr="00116230">
        <w:rPr>
          <w:rFonts w:ascii="Arial" w:hAnsi="Arial" w:cs="Arial"/>
        </w:rPr>
        <w:t xml:space="preserve">Innocent Drinks operates in a highly competitive and increasingly regulated environment, shaped by retailer bargaining power, substitution threats, sugar policy tightening and </w:t>
      </w:r>
      <w:r w:rsidRPr="00116230">
        <w:rPr>
          <w:rFonts w:ascii="Arial" w:hAnsi="Arial" w:cs="Arial"/>
        </w:rPr>
        <w:lastRenderedPageBreak/>
        <w:t>packaging compliance escalation. Climate change intensifies supply chain volatility for fruit-based products, increasing cost and availability risk. The analysis shows that Innocent’s strongest competitive advantages are trust-based brand equity, governance credibility through B Corp certification and the ability to translate sustainability into defensible differentiation. Conversely, its key constraints are a structurally higher cost base and exposure to price-sensitive switching towards own-label alternatives.</w:t>
      </w:r>
    </w:p>
    <w:p w14:paraId="30EEF161" w14:textId="4055BB92" w:rsidR="00D248BA" w:rsidRDefault="00116230" w:rsidP="00FF0CFB">
      <w:pPr>
        <w:spacing w:line="360" w:lineRule="auto"/>
        <w:jc w:val="both"/>
        <w:rPr>
          <w:rFonts w:ascii="Arial" w:hAnsi="Arial" w:cs="Arial"/>
        </w:rPr>
      </w:pPr>
      <w:r w:rsidRPr="00116230">
        <w:rPr>
          <w:rFonts w:ascii="Arial" w:hAnsi="Arial" w:cs="Arial"/>
        </w:rPr>
        <w:t>This report recommends a focused differentiation strategy anchored in sustainable “Everyday Health” innovation, packaging leadership and selective European expansion into high-fit markets. The SFA evaluation supports the strategy as suitable, feasible and acceptable, subject to explicit assumptions and disciplined execution. With robust stakeholder engagement, strong claims governance and KPI-led monitoring, Innocent can deliver responsible growth, protect authenticity and strengthen long-term competitiveness without compromising its ethical commitment</w:t>
      </w:r>
      <w:r w:rsidR="005335F2">
        <w:rPr>
          <w:rFonts w:ascii="Arial" w:hAnsi="Arial" w:cs="Arial"/>
        </w:rPr>
        <w:t>.</w:t>
      </w:r>
    </w:p>
    <w:p w14:paraId="6A25380B" w14:textId="7BA8778B" w:rsidR="002F4973" w:rsidRDefault="002F4973" w:rsidP="00FF0CFB">
      <w:pPr>
        <w:spacing w:line="360" w:lineRule="auto"/>
        <w:jc w:val="both"/>
        <w:rPr>
          <w:rFonts w:ascii="Arial" w:hAnsi="Arial" w:cs="Arial"/>
        </w:rPr>
      </w:pPr>
      <w:r w:rsidRPr="002F4973">
        <w:rPr>
          <w:rFonts w:ascii="Arial" w:hAnsi="Arial" w:cs="Arial"/>
        </w:rPr>
        <w:t>Looking forward, Innocent’s strategic challenge will be maintaining authenticity while scaling innovation and expanding geographically. As regulatory scrutiny and consumer expectations continue to intensify, the company must ensure that sustainability commitments remain operationally credible and supported by measurable outcomes. Firms that successfully integrate environmental responsibility, product innovation and stakeholder trust into their core strategy are more likely to sustain competitive advantage in increasingly transparent consumer markets (</w:t>
      </w:r>
      <w:proofErr w:type="spellStart"/>
      <w:r w:rsidRPr="002F4973">
        <w:rPr>
          <w:rFonts w:ascii="Arial" w:hAnsi="Arial" w:cs="Arial"/>
        </w:rPr>
        <w:t>Nidumolu</w:t>
      </w:r>
      <w:proofErr w:type="spellEnd"/>
      <w:r w:rsidRPr="002F4973">
        <w:rPr>
          <w:rFonts w:ascii="Arial" w:hAnsi="Arial" w:cs="Arial"/>
        </w:rPr>
        <w:t>, Prahalad and Rangaswami, 2009).</w:t>
      </w:r>
    </w:p>
    <w:p w14:paraId="081F8973" w14:textId="77777777" w:rsidR="00105F21" w:rsidRDefault="00105F21" w:rsidP="00FF0CFB">
      <w:pPr>
        <w:spacing w:line="360" w:lineRule="auto"/>
        <w:jc w:val="both"/>
        <w:rPr>
          <w:rFonts w:ascii="Arial" w:hAnsi="Arial" w:cs="Arial"/>
        </w:rPr>
      </w:pPr>
    </w:p>
    <w:p w14:paraId="7C7032E4" w14:textId="77777777" w:rsidR="00105F21" w:rsidRDefault="00105F21" w:rsidP="00FF0CFB">
      <w:pPr>
        <w:spacing w:line="360" w:lineRule="auto"/>
        <w:jc w:val="both"/>
        <w:rPr>
          <w:rFonts w:ascii="Arial" w:hAnsi="Arial" w:cs="Arial"/>
        </w:rPr>
      </w:pPr>
    </w:p>
    <w:p w14:paraId="6C4D9DC4" w14:textId="77777777" w:rsidR="00105F21" w:rsidRDefault="00105F21" w:rsidP="00FF0CFB">
      <w:pPr>
        <w:spacing w:line="360" w:lineRule="auto"/>
        <w:jc w:val="both"/>
        <w:rPr>
          <w:rFonts w:ascii="Arial" w:hAnsi="Arial" w:cs="Arial"/>
        </w:rPr>
      </w:pPr>
    </w:p>
    <w:p w14:paraId="0F9C9632" w14:textId="77777777" w:rsidR="00105F21" w:rsidRPr="005335F2" w:rsidRDefault="00105F21" w:rsidP="00FF0CFB">
      <w:pPr>
        <w:spacing w:line="360" w:lineRule="auto"/>
        <w:jc w:val="both"/>
        <w:rPr>
          <w:rFonts w:ascii="Arial" w:hAnsi="Arial" w:cs="Arial"/>
        </w:rPr>
      </w:pPr>
    </w:p>
    <w:p w14:paraId="07B4588C" w14:textId="77777777" w:rsidR="004B1390" w:rsidRDefault="004B1390" w:rsidP="0013301A">
      <w:pPr>
        <w:pStyle w:val="Heading1"/>
      </w:pPr>
      <w:bookmarkStart w:id="20" w:name="_Toc223254252"/>
    </w:p>
    <w:p w14:paraId="4C3180CA" w14:textId="77777777" w:rsidR="00BC431D" w:rsidRDefault="00BC431D" w:rsidP="00BC431D"/>
    <w:p w14:paraId="3DDCA935" w14:textId="77777777" w:rsidR="00BC431D" w:rsidRDefault="00BC431D" w:rsidP="00BC431D"/>
    <w:p w14:paraId="1AA6104E" w14:textId="77777777" w:rsidR="00BC431D" w:rsidRDefault="00BC431D" w:rsidP="00BC431D"/>
    <w:p w14:paraId="0B6D5BE3" w14:textId="77777777" w:rsidR="00BC431D" w:rsidRDefault="00BC431D" w:rsidP="00BC431D"/>
    <w:p w14:paraId="071C3DAC" w14:textId="77777777" w:rsidR="00BC431D" w:rsidRDefault="00BC431D" w:rsidP="00BC431D"/>
    <w:p w14:paraId="1749CDD9" w14:textId="77777777" w:rsidR="00314A39" w:rsidRPr="00BC431D" w:rsidRDefault="00314A39" w:rsidP="00BC431D"/>
    <w:p w14:paraId="198BF3BD" w14:textId="307EB361" w:rsidR="0090508B" w:rsidRPr="0090508B" w:rsidRDefault="0090508B" w:rsidP="0013301A">
      <w:pPr>
        <w:pStyle w:val="Heading1"/>
      </w:pPr>
      <w:r w:rsidRPr="0090508B">
        <w:lastRenderedPageBreak/>
        <w:t>9. Reference List</w:t>
      </w:r>
      <w:bookmarkEnd w:id="20"/>
      <w:r w:rsidRPr="0090508B">
        <w:t xml:space="preserve"> </w:t>
      </w:r>
    </w:p>
    <w:p w14:paraId="2912529B" w14:textId="77777777" w:rsidR="0090508B" w:rsidRPr="0090508B" w:rsidRDefault="0090508B" w:rsidP="0090508B">
      <w:pPr>
        <w:spacing w:line="360" w:lineRule="auto"/>
        <w:rPr>
          <w:rFonts w:ascii="Arial" w:hAnsi="Arial" w:cs="Arial"/>
        </w:rPr>
      </w:pPr>
      <w:r w:rsidRPr="0090508B">
        <w:rPr>
          <w:rFonts w:ascii="Arial" w:hAnsi="Arial" w:cs="Arial"/>
        </w:rPr>
        <w:t xml:space="preserve">Aaker, D.A. (1996) </w:t>
      </w:r>
      <w:r w:rsidRPr="0090508B">
        <w:rPr>
          <w:rFonts w:ascii="Arial" w:hAnsi="Arial" w:cs="Arial"/>
          <w:i/>
          <w:iCs/>
        </w:rPr>
        <w:t>Building strong brands</w:t>
      </w:r>
      <w:r w:rsidRPr="0090508B">
        <w:rPr>
          <w:rFonts w:ascii="Arial" w:hAnsi="Arial" w:cs="Arial"/>
        </w:rPr>
        <w:t>. New York: Free Press.</w:t>
      </w:r>
      <w:r w:rsidRPr="0090508B">
        <w:rPr>
          <w:rFonts w:ascii="Arial" w:hAnsi="Arial" w:cs="Arial"/>
        </w:rPr>
        <w:br/>
        <w:t xml:space="preserve">Ansoff, H.I. (1957) ‘Strategies for diversification’, </w:t>
      </w:r>
      <w:r w:rsidRPr="0090508B">
        <w:rPr>
          <w:rFonts w:ascii="Arial" w:hAnsi="Arial" w:cs="Arial"/>
          <w:i/>
          <w:iCs/>
        </w:rPr>
        <w:t>Harvard Business Review</w:t>
      </w:r>
      <w:r w:rsidRPr="0090508B">
        <w:rPr>
          <w:rFonts w:ascii="Arial" w:hAnsi="Arial" w:cs="Arial"/>
        </w:rPr>
        <w:t>, 35(5), pp. 113–124.</w:t>
      </w:r>
      <w:r w:rsidRPr="0090508B">
        <w:rPr>
          <w:rFonts w:ascii="Arial" w:hAnsi="Arial" w:cs="Arial"/>
        </w:rPr>
        <w:br/>
        <w:t xml:space="preserve">Barney, J. (1991) ‘Firm resources and sustained competitive advantage’, </w:t>
      </w:r>
      <w:r w:rsidRPr="0090508B">
        <w:rPr>
          <w:rFonts w:ascii="Arial" w:hAnsi="Arial" w:cs="Arial"/>
          <w:i/>
          <w:iCs/>
        </w:rPr>
        <w:t>Journal of Management</w:t>
      </w:r>
      <w:r w:rsidRPr="0090508B">
        <w:rPr>
          <w:rFonts w:ascii="Arial" w:hAnsi="Arial" w:cs="Arial"/>
        </w:rPr>
        <w:t>, 17(1), pp. 99–120.</w:t>
      </w:r>
      <w:r w:rsidRPr="0090508B">
        <w:rPr>
          <w:rFonts w:ascii="Arial" w:hAnsi="Arial" w:cs="Arial"/>
        </w:rPr>
        <w:br/>
        <w:t xml:space="preserve">Baş, M. et al. (2024) ‘Driving factors influencing the decision to purchase plant-based beverages’, </w:t>
      </w:r>
      <w:r w:rsidRPr="0090508B">
        <w:rPr>
          <w:rFonts w:ascii="Arial" w:hAnsi="Arial" w:cs="Arial"/>
          <w:i/>
          <w:iCs/>
        </w:rPr>
        <w:t>Nutrients</w:t>
      </w:r>
      <w:r w:rsidRPr="0090508B">
        <w:rPr>
          <w:rFonts w:ascii="Arial" w:hAnsi="Arial" w:cs="Arial"/>
        </w:rPr>
        <w:t xml:space="preserve">. Available at: </w:t>
      </w:r>
      <w:hyperlink r:id="rId10" w:tgtFrame="_new" w:history="1">
        <w:r w:rsidRPr="0090508B">
          <w:rPr>
            <w:rStyle w:val="Hyperlink"/>
            <w:rFonts w:ascii="Arial" w:hAnsi="Arial" w:cs="Arial"/>
          </w:rPr>
          <w:t>https://pmc.ncbi.nlm.nih.gov/articles/PMC11172123/</w:t>
        </w:r>
      </w:hyperlink>
      <w:r w:rsidRPr="0090508B">
        <w:rPr>
          <w:rFonts w:ascii="Arial" w:hAnsi="Arial" w:cs="Arial"/>
        </w:rPr>
        <w:t xml:space="preserve"> (Accessed: 5 February 2026). </w:t>
      </w:r>
      <w:r w:rsidRPr="0090508B">
        <w:rPr>
          <w:rFonts w:ascii="Arial" w:hAnsi="Arial" w:cs="Arial"/>
        </w:rPr>
        <w:br/>
        <w:t xml:space="preserve">B Lab (2024) </w:t>
      </w:r>
      <w:r w:rsidRPr="0090508B">
        <w:rPr>
          <w:rFonts w:ascii="Arial" w:hAnsi="Arial" w:cs="Arial"/>
          <w:i/>
          <w:iCs/>
        </w:rPr>
        <w:t>Certified B Corporation directory</w:t>
      </w:r>
      <w:r w:rsidRPr="0090508B">
        <w:rPr>
          <w:rFonts w:ascii="Arial" w:hAnsi="Arial" w:cs="Arial"/>
        </w:rPr>
        <w:t xml:space="preserve">. Available at: </w:t>
      </w:r>
      <w:hyperlink r:id="rId11" w:tgtFrame="_new" w:history="1">
        <w:r w:rsidRPr="0090508B">
          <w:rPr>
            <w:rStyle w:val="Hyperlink"/>
            <w:rFonts w:ascii="Arial" w:hAnsi="Arial" w:cs="Arial"/>
          </w:rPr>
          <w:t>https://www.bcorporation.net/</w:t>
        </w:r>
      </w:hyperlink>
      <w:r w:rsidRPr="0090508B">
        <w:rPr>
          <w:rFonts w:ascii="Arial" w:hAnsi="Arial" w:cs="Arial"/>
        </w:rPr>
        <w:t xml:space="preserve"> (Accessed: 5 February 2026). </w:t>
      </w:r>
      <w:r w:rsidRPr="0090508B">
        <w:rPr>
          <w:rFonts w:ascii="Arial" w:hAnsi="Arial" w:cs="Arial"/>
        </w:rPr>
        <w:br/>
        <w:t xml:space="preserve">City A.M. (2025) ‘Innocent Drinks makes first profit since 2020’. Available at: </w:t>
      </w:r>
      <w:hyperlink r:id="rId12" w:tgtFrame="_new" w:history="1">
        <w:r w:rsidRPr="0090508B">
          <w:rPr>
            <w:rStyle w:val="Hyperlink"/>
            <w:rFonts w:ascii="Arial" w:hAnsi="Arial" w:cs="Arial"/>
          </w:rPr>
          <w:t>https://www.cityam.com/innocent-drinks-makes-first-profit-since-2020/</w:t>
        </w:r>
      </w:hyperlink>
      <w:r w:rsidRPr="0090508B">
        <w:rPr>
          <w:rFonts w:ascii="Arial" w:hAnsi="Arial" w:cs="Arial"/>
        </w:rPr>
        <w:t xml:space="preserve"> (Accessed: 5 February 2026). </w:t>
      </w:r>
      <w:r w:rsidRPr="0090508B">
        <w:rPr>
          <w:rFonts w:ascii="Arial" w:hAnsi="Arial" w:cs="Arial"/>
        </w:rPr>
        <w:br/>
        <w:t xml:space="preserve">Delmas, M.A. and Burbano, V.C. (2011) ‘The drivers of greenwashing’, </w:t>
      </w:r>
      <w:r w:rsidRPr="0090508B">
        <w:rPr>
          <w:rFonts w:ascii="Arial" w:hAnsi="Arial" w:cs="Arial"/>
          <w:i/>
          <w:iCs/>
        </w:rPr>
        <w:t>California Management Review</w:t>
      </w:r>
      <w:r w:rsidRPr="0090508B">
        <w:rPr>
          <w:rFonts w:ascii="Arial" w:hAnsi="Arial" w:cs="Arial"/>
        </w:rPr>
        <w:t>, 54(1), pp. 64–87.</w:t>
      </w:r>
      <w:r w:rsidRPr="0090508B">
        <w:rPr>
          <w:rFonts w:ascii="Arial" w:hAnsi="Arial" w:cs="Arial"/>
        </w:rPr>
        <w:br/>
        <w:t xml:space="preserve">E80 Group (2023) </w:t>
      </w:r>
      <w:r w:rsidRPr="0090508B">
        <w:rPr>
          <w:rFonts w:ascii="Arial" w:hAnsi="Arial" w:cs="Arial"/>
          <w:i/>
          <w:iCs/>
        </w:rPr>
        <w:t>Innocent’s Blender: the safe and sustainable smart factory</w:t>
      </w:r>
      <w:r w:rsidRPr="0090508B">
        <w:rPr>
          <w:rFonts w:ascii="Arial" w:hAnsi="Arial" w:cs="Arial"/>
        </w:rPr>
        <w:t xml:space="preserve">. Available at: </w:t>
      </w:r>
      <w:hyperlink r:id="rId13" w:tgtFrame="_new" w:history="1">
        <w:r w:rsidRPr="0090508B">
          <w:rPr>
            <w:rStyle w:val="Hyperlink"/>
            <w:rFonts w:ascii="Arial" w:hAnsi="Arial" w:cs="Arial"/>
          </w:rPr>
          <w:t>https://www.e80group.com/</w:t>
        </w:r>
      </w:hyperlink>
      <w:r w:rsidRPr="0090508B">
        <w:rPr>
          <w:rFonts w:ascii="Arial" w:hAnsi="Arial" w:cs="Arial"/>
        </w:rPr>
        <w:t xml:space="preserve"> (Accessed: 5 February 2026). </w:t>
      </w:r>
      <w:r w:rsidRPr="0090508B">
        <w:rPr>
          <w:rFonts w:ascii="Arial" w:hAnsi="Arial" w:cs="Arial"/>
        </w:rPr>
        <w:br/>
        <w:t xml:space="preserve">Edelman (2024) </w:t>
      </w:r>
      <w:r w:rsidRPr="0090508B">
        <w:rPr>
          <w:rFonts w:ascii="Arial" w:hAnsi="Arial" w:cs="Arial"/>
          <w:i/>
          <w:iCs/>
        </w:rPr>
        <w:t>Edelman Trust Barometer 2024</w:t>
      </w:r>
      <w:r w:rsidRPr="0090508B">
        <w:rPr>
          <w:rFonts w:ascii="Arial" w:hAnsi="Arial" w:cs="Arial"/>
        </w:rPr>
        <w:t xml:space="preserve">. Available at: </w:t>
      </w:r>
      <w:hyperlink r:id="rId14" w:tgtFrame="_new" w:history="1">
        <w:r w:rsidRPr="0090508B">
          <w:rPr>
            <w:rStyle w:val="Hyperlink"/>
            <w:rFonts w:ascii="Arial" w:hAnsi="Arial" w:cs="Arial"/>
          </w:rPr>
          <w:t>https://www.edelman.com/trust</w:t>
        </w:r>
      </w:hyperlink>
      <w:r w:rsidRPr="0090508B">
        <w:rPr>
          <w:rFonts w:ascii="Arial" w:hAnsi="Arial" w:cs="Arial"/>
        </w:rPr>
        <w:t xml:space="preserve"> (Accessed: 5 February 2026). </w:t>
      </w:r>
      <w:r w:rsidRPr="0090508B">
        <w:rPr>
          <w:rFonts w:ascii="Arial" w:hAnsi="Arial" w:cs="Arial"/>
        </w:rPr>
        <w:br/>
        <w:t xml:space="preserve">Espinoza-Orias, N. et al. (2025) ‘Life cycle assessment of reusable food and beverage packaging systems’, </w:t>
      </w:r>
      <w:r w:rsidRPr="0090508B">
        <w:rPr>
          <w:rFonts w:ascii="Arial" w:hAnsi="Arial" w:cs="Arial"/>
          <w:i/>
          <w:iCs/>
        </w:rPr>
        <w:t>Journal of Cleaner Production</w:t>
      </w:r>
      <w:r w:rsidRPr="0090508B">
        <w:rPr>
          <w:rFonts w:ascii="Arial" w:hAnsi="Arial" w:cs="Arial"/>
        </w:rPr>
        <w:t xml:space="preserve">. Available at: </w:t>
      </w:r>
      <w:hyperlink r:id="rId15" w:tgtFrame="_new" w:history="1">
        <w:r w:rsidRPr="0090508B">
          <w:rPr>
            <w:rStyle w:val="Hyperlink"/>
            <w:rFonts w:ascii="Arial" w:hAnsi="Arial" w:cs="Arial"/>
          </w:rPr>
          <w:t>https://www.sciencedirect.com/science/article/pii/S0959652625005578</w:t>
        </w:r>
      </w:hyperlink>
      <w:r w:rsidRPr="0090508B">
        <w:rPr>
          <w:rFonts w:ascii="Arial" w:hAnsi="Arial" w:cs="Arial"/>
        </w:rPr>
        <w:t xml:space="preserve"> (Accessed: 5 February 2026). </w:t>
      </w:r>
      <w:r w:rsidRPr="0090508B">
        <w:rPr>
          <w:rFonts w:ascii="Arial" w:hAnsi="Arial" w:cs="Arial"/>
        </w:rPr>
        <w:br/>
        <w:t xml:space="preserve">European Commission (2025) </w:t>
      </w:r>
      <w:r w:rsidRPr="0090508B">
        <w:rPr>
          <w:rFonts w:ascii="Arial" w:hAnsi="Arial" w:cs="Arial"/>
          <w:i/>
          <w:iCs/>
        </w:rPr>
        <w:t>Packaging and Packaging Waste Regulation: overview and timeline</w:t>
      </w:r>
      <w:r w:rsidRPr="0090508B">
        <w:rPr>
          <w:rFonts w:ascii="Arial" w:hAnsi="Arial" w:cs="Arial"/>
        </w:rPr>
        <w:t xml:space="preserve">. Available at: </w:t>
      </w:r>
      <w:hyperlink r:id="rId16" w:tgtFrame="_new" w:history="1">
        <w:r w:rsidRPr="0090508B">
          <w:rPr>
            <w:rStyle w:val="Hyperlink"/>
            <w:rFonts w:ascii="Arial" w:hAnsi="Arial" w:cs="Arial"/>
          </w:rPr>
          <w:t>https://environment.ec.europa.eu/</w:t>
        </w:r>
      </w:hyperlink>
      <w:r w:rsidRPr="0090508B">
        <w:rPr>
          <w:rFonts w:ascii="Arial" w:hAnsi="Arial" w:cs="Arial"/>
        </w:rPr>
        <w:t xml:space="preserve"> (Accessed: 5 February 2026). </w:t>
      </w:r>
      <w:r w:rsidRPr="0090508B">
        <w:rPr>
          <w:rFonts w:ascii="Arial" w:hAnsi="Arial" w:cs="Arial"/>
        </w:rPr>
        <w:br/>
        <w:t xml:space="preserve">Freeman, R.E. (1984) </w:t>
      </w:r>
      <w:r w:rsidRPr="0090508B">
        <w:rPr>
          <w:rFonts w:ascii="Arial" w:hAnsi="Arial" w:cs="Arial"/>
          <w:i/>
          <w:iCs/>
        </w:rPr>
        <w:t>Strategic management: A stakeholder approach</w:t>
      </w:r>
      <w:r w:rsidRPr="0090508B">
        <w:rPr>
          <w:rFonts w:ascii="Arial" w:hAnsi="Arial" w:cs="Arial"/>
        </w:rPr>
        <w:t>. Boston: Pitman.</w:t>
      </w:r>
      <w:r w:rsidRPr="0090508B">
        <w:rPr>
          <w:rFonts w:ascii="Arial" w:hAnsi="Arial" w:cs="Arial"/>
        </w:rPr>
        <w:br/>
        <w:t xml:space="preserve">Grocery Gazette (2025) ‘Innocent Drinks returned to profit in 2024’. Available at: </w:t>
      </w:r>
      <w:hyperlink r:id="rId17" w:tgtFrame="_new" w:history="1">
        <w:r w:rsidRPr="0090508B">
          <w:rPr>
            <w:rStyle w:val="Hyperlink"/>
            <w:rFonts w:ascii="Arial" w:hAnsi="Arial" w:cs="Arial"/>
          </w:rPr>
          <w:t>https://www.grocerygazette.co.uk/2025/12/10/innocent-drinks-returned-to-profit-in-2024/</w:t>
        </w:r>
      </w:hyperlink>
      <w:r w:rsidRPr="0090508B">
        <w:rPr>
          <w:rFonts w:ascii="Arial" w:hAnsi="Arial" w:cs="Arial"/>
        </w:rPr>
        <w:t xml:space="preserve"> (Accessed: 5 February 2026). </w:t>
      </w:r>
      <w:r w:rsidRPr="0090508B">
        <w:rPr>
          <w:rFonts w:ascii="Arial" w:hAnsi="Arial" w:cs="Arial"/>
        </w:rPr>
        <w:br/>
        <w:t xml:space="preserve">Hart, S.L. (1995) ‘A natural-resource-based view of the firm’, </w:t>
      </w:r>
      <w:r w:rsidRPr="0090508B">
        <w:rPr>
          <w:rFonts w:ascii="Arial" w:hAnsi="Arial" w:cs="Arial"/>
          <w:i/>
          <w:iCs/>
        </w:rPr>
        <w:t>Academy of Management Review</w:t>
      </w:r>
      <w:r w:rsidRPr="0090508B">
        <w:rPr>
          <w:rFonts w:ascii="Arial" w:hAnsi="Arial" w:cs="Arial"/>
        </w:rPr>
        <w:t>, 20(4), pp. 986–1014.</w:t>
      </w:r>
      <w:r w:rsidRPr="0090508B">
        <w:rPr>
          <w:rFonts w:ascii="Arial" w:hAnsi="Arial" w:cs="Arial"/>
        </w:rPr>
        <w:br/>
        <w:t xml:space="preserve">HM Treasury (2025) </w:t>
      </w:r>
      <w:r w:rsidRPr="0090508B">
        <w:rPr>
          <w:rFonts w:ascii="Arial" w:hAnsi="Arial" w:cs="Arial"/>
          <w:i/>
          <w:iCs/>
        </w:rPr>
        <w:t>Strengthening the Soft Drinks Industry Levy: consultation</w:t>
      </w:r>
      <w:r w:rsidRPr="0090508B">
        <w:rPr>
          <w:rFonts w:ascii="Arial" w:hAnsi="Arial" w:cs="Arial"/>
        </w:rPr>
        <w:t xml:space="preserve">. Available at: </w:t>
      </w:r>
      <w:hyperlink r:id="rId18" w:tgtFrame="_new" w:history="1">
        <w:r w:rsidRPr="0090508B">
          <w:rPr>
            <w:rStyle w:val="Hyperlink"/>
            <w:rFonts w:ascii="Arial" w:hAnsi="Arial" w:cs="Arial"/>
          </w:rPr>
          <w:t>https://www.gov.uk/</w:t>
        </w:r>
      </w:hyperlink>
      <w:r w:rsidRPr="0090508B">
        <w:rPr>
          <w:rFonts w:ascii="Arial" w:hAnsi="Arial" w:cs="Arial"/>
        </w:rPr>
        <w:t xml:space="preserve"> (Accessed: 5 February 2026). </w:t>
      </w:r>
      <w:r w:rsidRPr="0090508B">
        <w:rPr>
          <w:rFonts w:ascii="Arial" w:hAnsi="Arial" w:cs="Arial"/>
        </w:rPr>
        <w:br/>
        <w:t xml:space="preserve">House of Commons Library (2026) </w:t>
      </w:r>
      <w:r w:rsidRPr="0090508B">
        <w:rPr>
          <w:rFonts w:ascii="Arial" w:hAnsi="Arial" w:cs="Arial"/>
          <w:i/>
          <w:iCs/>
        </w:rPr>
        <w:t>Packaging extended producer responsibility</w:t>
      </w:r>
      <w:r w:rsidRPr="0090508B">
        <w:rPr>
          <w:rFonts w:ascii="Arial" w:hAnsi="Arial" w:cs="Arial"/>
        </w:rPr>
        <w:t xml:space="preserve">. Research Briefing CBP-10352. Available at: </w:t>
      </w:r>
      <w:hyperlink r:id="rId19" w:tgtFrame="_new" w:history="1">
        <w:r w:rsidRPr="0090508B">
          <w:rPr>
            <w:rStyle w:val="Hyperlink"/>
            <w:rFonts w:ascii="Arial" w:hAnsi="Arial" w:cs="Arial"/>
          </w:rPr>
          <w:t>https://commonslibrary.parliament.uk/</w:t>
        </w:r>
      </w:hyperlink>
      <w:r w:rsidRPr="0090508B">
        <w:rPr>
          <w:rFonts w:ascii="Arial" w:hAnsi="Arial" w:cs="Arial"/>
        </w:rPr>
        <w:t xml:space="preserve"> (Accessed: 5 </w:t>
      </w:r>
      <w:r w:rsidRPr="0090508B">
        <w:rPr>
          <w:rFonts w:ascii="Arial" w:hAnsi="Arial" w:cs="Arial"/>
        </w:rPr>
        <w:lastRenderedPageBreak/>
        <w:t xml:space="preserve">February 2026). </w:t>
      </w:r>
      <w:r w:rsidRPr="0090508B">
        <w:rPr>
          <w:rFonts w:ascii="Arial" w:hAnsi="Arial" w:cs="Arial"/>
        </w:rPr>
        <w:br/>
        <w:t xml:space="preserve">IPCC (2023) </w:t>
      </w:r>
      <w:r w:rsidRPr="0090508B">
        <w:rPr>
          <w:rFonts w:ascii="Arial" w:hAnsi="Arial" w:cs="Arial"/>
          <w:i/>
          <w:iCs/>
        </w:rPr>
        <w:t>Climate Change 2023: Synthesis Report</w:t>
      </w:r>
      <w:r w:rsidRPr="0090508B">
        <w:rPr>
          <w:rFonts w:ascii="Arial" w:hAnsi="Arial" w:cs="Arial"/>
        </w:rPr>
        <w:t>. Geneva: Intergovernmental Panel on Climate Change.</w:t>
      </w:r>
      <w:r w:rsidRPr="0090508B">
        <w:rPr>
          <w:rFonts w:ascii="Arial" w:hAnsi="Arial" w:cs="Arial"/>
        </w:rPr>
        <w:br/>
        <w:t xml:space="preserve">Innocent Drinks (2022) </w:t>
      </w:r>
      <w:r w:rsidRPr="0090508B">
        <w:rPr>
          <w:rFonts w:ascii="Arial" w:hAnsi="Arial" w:cs="Arial"/>
          <w:i/>
          <w:iCs/>
        </w:rPr>
        <w:t>Modern slavery statement 2022</w:t>
      </w:r>
      <w:r w:rsidRPr="0090508B">
        <w:rPr>
          <w:rFonts w:ascii="Arial" w:hAnsi="Arial" w:cs="Arial"/>
        </w:rPr>
        <w:t xml:space="preserve">. Available at: </w:t>
      </w:r>
      <w:hyperlink r:id="rId20" w:tgtFrame="_new" w:history="1">
        <w:r w:rsidRPr="0090508B">
          <w:rPr>
            <w:rStyle w:val="Hyperlink"/>
            <w:rFonts w:ascii="Arial" w:hAnsi="Arial" w:cs="Arial"/>
          </w:rPr>
          <w:t>https://www.innocentdrinks.co.uk/</w:t>
        </w:r>
      </w:hyperlink>
      <w:r w:rsidRPr="0090508B">
        <w:rPr>
          <w:rFonts w:ascii="Arial" w:hAnsi="Arial" w:cs="Arial"/>
        </w:rPr>
        <w:t xml:space="preserve"> (Accessed: 5 February 2026). </w:t>
      </w:r>
      <w:r w:rsidRPr="0090508B">
        <w:rPr>
          <w:rFonts w:ascii="Arial" w:hAnsi="Arial" w:cs="Arial"/>
        </w:rPr>
        <w:br/>
        <w:t xml:space="preserve">Innocent Drinks (2024a) ‘A bit about us’. Available at: </w:t>
      </w:r>
      <w:hyperlink r:id="rId21" w:tgtFrame="_new" w:history="1">
        <w:r w:rsidRPr="0090508B">
          <w:rPr>
            <w:rStyle w:val="Hyperlink"/>
            <w:rFonts w:ascii="Arial" w:hAnsi="Arial" w:cs="Arial"/>
          </w:rPr>
          <w:t>https://www.innocentdrinks.co.uk/a-bit-about-us</w:t>
        </w:r>
      </w:hyperlink>
      <w:r w:rsidRPr="0090508B">
        <w:rPr>
          <w:rFonts w:ascii="Arial" w:hAnsi="Arial" w:cs="Arial"/>
        </w:rPr>
        <w:t xml:space="preserve"> (Accessed: 5 February 2026). </w:t>
      </w:r>
      <w:r w:rsidRPr="0090508B">
        <w:rPr>
          <w:rFonts w:ascii="Arial" w:hAnsi="Arial" w:cs="Arial"/>
        </w:rPr>
        <w:br/>
        <w:t xml:space="preserve">Innocent Drinks (2024b) ‘Climate changers / tackling climate change’. Available at: </w:t>
      </w:r>
      <w:hyperlink r:id="rId22" w:tgtFrame="_new" w:history="1">
        <w:r w:rsidRPr="0090508B">
          <w:rPr>
            <w:rStyle w:val="Hyperlink"/>
            <w:rFonts w:ascii="Arial" w:hAnsi="Arial" w:cs="Arial"/>
          </w:rPr>
          <w:t>https://www.innocentdrinks.co.uk/</w:t>
        </w:r>
      </w:hyperlink>
      <w:r w:rsidRPr="0090508B">
        <w:rPr>
          <w:rFonts w:ascii="Arial" w:hAnsi="Arial" w:cs="Arial"/>
        </w:rPr>
        <w:t xml:space="preserve"> (Accessed: 5 February 2026). </w:t>
      </w:r>
      <w:r w:rsidRPr="0090508B">
        <w:rPr>
          <w:rFonts w:ascii="Arial" w:hAnsi="Arial" w:cs="Arial"/>
        </w:rPr>
        <w:br/>
        <w:t xml:space="preserve">Innocent Drinks (2024c) </w:t>
      </w:r>
      <w:r w:rsidRPr="0090508B">
        <w:rPr>
          <w:rFonts w:ascii="Arial" w:hAnsi="Arial" w:cs="Arial"/>
          <w:i/>
          <w:iCs/>
        </w:rPr>
        <w:t>Modern slavery statement 2024</w:t>
      </w:r>
      <w:r w:rsidRPr="0090508B">
        <w:rPr>
          <w:rFonts w:ascii="Arial" w:hAnsi="Arial" w:cs="Arial"/>
        </w:rPr>
        <w:t xml:space="preserve">. Available at: </w:t>
      </w:r>
      <w:hyperlink r:id="rId23" w:tgtFrame="_new" w:history="1">
        <w:r w:rsidRPr="0090508B">
          <w:rPr>
            <w:rStyle w:val="Hyperlink"/>
            <w:rFonts w:ascii="Arial" w:hAnsi="Arial" w:cs="Arial"/>
          </w:rPr>
          <w:t>https://www.innocentdrinks.co.uk/</w:t>
        </w:r>
      </w:hyperlink>
      <w:r w:rsidRPr="0090508B">
        <w:rPr>
          <w:rFonts w:ascii="Arial" w:hAnsi="Arial" w:cs="Arial"/>
        </w:rPr>
        <w:t xml:space="preserve"> (Accessed: 5 February 2026). </w:t>
      </w:r>
      <w:r w:rsidRPr="0090508B">
        <w:rPr>
          <w:rFonts w:ascii="Arial" w:hAnsi="Arial" w:cs="Arial"/>
        </w:rPr>
        <w:br/>
        <w:t xml:space="preserve">Johnson, G., Whittington, R. and Scholes, K. (2020) </w:t>
      </w:r>
      <w:r w:rsidRPr="0090508B">
        <w:rPr>
          <w:rFonts w:ascii="Arial" w:hAnsi="Arial" w:cs="Arial"/>
          <w:i/>
          <w:iCs/>
        </w:rPr>
        <w:t>Exploring strategy</w:t>
      </w:r>
      <w:r w:rsidRPr="0090508B">
        <w:rPr>
          <w:rFonts w:ascii="Arial" w:hAnsi="Arial" w:cs="Arial"/>
        </w:rPr>
        <w:t xml:space="preserve">. 12th </w:t>
      </w:r>
      <w:proofErr w:type="spellStart"/>
      <w:r w:rsidRPr="0090508B">
        <w:rPr>
          <w:rFonts w:ascii="Arial" w:hAnsi="Arial" w:cs="Arial"/>
        </w:rPr>
        <w:t>edn</w:t>
      </w:r>
      <w:proofErr w:type="spellEnd"/>
      <w:r w:rsidRPr="0090508B">
        <w:rPr>
          <w:rFonts w:ascii="Arial" w:hAnsi="Arial" w:cs="Arial"/>
        </w:rPr>
        <w:t>. Harlow: Pearson.</w:t>
      </w:r>
      <w:r w:rsidRPr="0090508B">
        <w:rPr>
          <w:rFonts w:ascii="Arial" w:hAnsi="Arial" w:cs="Arial"/>
        </w:rPr>
        <w:br/>
        <w:t xml:space="preserve">Kaplan, R.S. and Norton, D.P. (1996) </w:t>
      </w:r>
      <w:r w:rsidRPr="0090508B">
        <w:rPr>
          <w:rFonts w:ascii="Arial" w:hAnsi="Arial" w:cs="Arial"/>
          <w:i/>
          <w:iCs/>
        </w:rPr>
        <w:t>The balanced scorecard: Translating strategy into action</w:t>
      </w:r>
      <w:r w:rsidRPr="0090508B">
        <w:rPr>
          <w:rFonts w:ascii="Arial" w:hAnsi="Arial" w:cs="Arial"/>
        </w:rPr>
        <w:t>. Boston: Harvard Business School Press.</w:t>
      </w:r>
      <w:r w:rsidRPr="0090508B">
        <w:rPr>
          <w:rFonts w:ascii="Arial" w:hAnsi="Arial" w:cs="Arial"/>
        </w:rPr>
        <w:br/>
        <w:t xml:space="preserve">Khan, A.J. et al. (2025) ‘Seeds of sustainability in organizations: Green HRM and CSR effects’, </w:t>
      </w:r>
      <w:r w:rsidRPr="0090508B">
        <w:rPr>
          <w:rFonts w:ascii="Arial" w:hAnsi="Arial" w:cs="Arial"/>
          <w:i/>
          <w:iCs/>
        </w:rPr>
        <w:t>Journal of Business Research</w:t>
      </w:r>
      <w:r w:rsidRPr="0090508B">
        <w:rPr>
          <w:rFonts w:ascii="Arial" w:hAnsi="Arial" w:cs="Arial"/>
        </w:rPr>
        <w:t xml:space="preserve">. Available at: </w:t>
      </w:r>
      <w:hyperlink r:id="rId24" w:tgtFrame="_new" w:history="1">
        <w:r w:rsidRPr="0090508B">
          <w:rPr>
            <w:rStyle w:val="Hyperlink"/>
            <w:rFonts w:ascii="Arial" w:hAnsi="Arial" w:cs="Arial"/>
          </w:rPr>
          <w:t>https://www.sciencedirect.com/science/article/pii/S0001691825009618</w:t>
        </w:r>
      </w:hyperlink>
      <w:r w:rsidRPr="0090508B">
        <w:rPr>
          <w:rFonts w:ascii="Arial" w:hAnsi="Arial" w:cs="Arial"/>
        </w:rPr>
        <w:t xml:space="preserve"> (Accessed: 5 February 2026). </w:t>
      </w:r>
      <w:r w:rsidRPr="0090508B">
        <w:rPr>
          <w:rFonts w:ascii="Arial" w:hAnsi="Arial" w:cs="Arial"/>
        </w:rPr>
        <w:br/>
        <w:t xml:space="preserve">Kotler, P. and Keller, K.L. (2022) </w:t>
      </w:r>
      <w:r w:rsidRPr="0090508B">
        <w:rPr>
          <w:rFonts w:ascii="Arial" w:hAnsi="Arial" w:cs="Arial"/>
          <w:i/>
          <w:iCs/>
        </w:rPr>
        <w:t>Marketing management</w:t>
      </w:r>
      <w:r w:rsidRPr="0090508B">
        <w:rPr>
          <w:rFonts w:ascii="Arial" w:hAnsi="Arial" w:cs="Arial"/>
        </w:rPr>
        <w:t xml:space="preserve">. 16th </w:t>
      </w:r>
      <w:proofErr w:type="spellStart"/>
      <w:r w:rsidRPr="0090508B">
        <w:rPr>
          <w:rFonts w:ascii="Arial" w:hAnsi="Arial" w:cs="Arial"/>
        </w:rPr>
        <w:t>edn</w:t>
      </w:r>
      <w:proofErr w:type="spellEnd"/>
      <w:r w:rsidRPr="0090508B">
        <w:rPr>
          <w:rFonts w:ascii="Arial" w:hAnsi="Arial" w:cs="Arial"/>
        </w:rPr>
        <w:t>. Harlow: Pearson.</w:t>
      </w:r>
      <w:r w:rsidRPr="0090508B">
        <w:rPr>
          <w:rFonts w:ascii="Arial" w:hAnsi="Arial" w:cs="Arial"/>
        </w:rPr>
        <w:br/>
        <w:t xml:space="preserve">Mintel (2025) </w:t>
      </w:r>
      <w:r w:rsidRPr="0090508B">
        <w:rPr>
          <w:rFonts w:ascii="Arial" w:hAnsi="Arial" w:cs="Arial"/>
          <w:i/>
          <w:iCs/>
        </w:rPr>
        <w:t>UK Fruit Juice, Juice Drinks and Smoothies Market Report 2025</w:t>
      </w:r>
      <w:r w:rsidRPr="0090508B">
        <w:rPr>
          <w:rFonts w:ascii="Arial" w:hAnsi="Arial" w:cs="Arial"/>
        </w:rPr>
        <w:t xml:space="preserve">. London: Mintel. </w:t>
      </w:r>
      <w:r w:rsidRPr="0090508B">
        <w:rPr>
          <w:rFonts w:ascii="Arial" w:hAnsi="Arial" w:cs="Arial"/>
        </w:rPr>
        <w:br/>
      </w:r>
      <w:proofErr w:type="spellStart"/>
      <w:r w:rsidRPr="0090508B">
        <w:rPr>
          <w:rFonts w:ascii="Arial" w:hAnsi="Arial" w:cs="Arial"/>
        </w:rPr>
        <w:t>Nidumolu</w:t>
      </w:r>
      <w:proofErr w:type="spellEnd"/>
      <w:r w:rsidRPr="0090508B">
        <w:rPr>
          <w:rFonts w:ascii="Arial" w:hAnsi="Arial" w:cs="Arial"/>
        </w:rPr>
        <w:t xml:space="preserve">, R., Prahalad, C.K. and Rangaswami, M.R. (2009) ‘Why sustainability is now the key driver of innovation’, </w:t>
      </w:r>
      <w:r w:rsidRPr="0090508B">
        <w:rPr>
          <w:rFonts w:ascii="Arial" w:hAnsi="Arial" w:cs="Arial"/>
          <w:i/>
          <w:iCs/>
        </w:rPr>
        <w:t>Harvard Business Review</w:t>
      </w:r>
      <w:r w:rsidRPr="0090508B">
        <w:rPr>
          <w:rFonts w:ascii="Arial" w:hAnsi="Arial" w:cs="Arial"/>
        </w:rPr>
        <w:t>, 87(9), pp. 57–64.</w:t>
      </w:r>
      <w:r w:rsidRPr="0090508B">
        <w:rPr>
          <w:rFonts w:ascii="Arial" w:hAnsi="Arial" w:cs="Arial"/>
        </w:rPr>
        <w:br/>
      </w:r>
      <w:proofErr w:type="spellStart"/>
      <w:r w:rsidRPr="0090508B">
        <w:rPr>
          <w:rFonts w:ascii="Arial" w:hAnsi="Arial" w:cs="Arial"/>
        </w:rPr>
        <w:t>NielsenIQ</w:t>
      </w:r>
      <w:proofErr w:type="spellEnd"/>
      <w:r w:rsidRPr="0090508B">
        <w:rPr>
          <w:rFonts w:ascii="Arial" w:hAnsi="Arial" w:cs="Arial"/>
        </w:rPr>
        <w:t xml:space="preserve"> (2023) </w:t>
      </w:r>
      <w:r w:rsidRPr="0090508B">
        <w:rPr>
          <w:rFonts w:ascii="Arial" w:hAnsi="Arial" w:cs="Arial"/>
          <w:i/>
          <w:iCs/>
        </w:rPr>
        <w:t>Global consumer outlook: health and sustainability trends</w:t>
      </w:r>
      <w:r w:rsidRPr="0090508B">
        <w:rPr>
          <w:rFonts w:ascii="Arial" w:hAnsi="Arial" w:cs="Arial"/>
        </w:rPr>
        <w:t xml:space="preserve">. Chicago: </w:t>
      </w:r>
      <w:proofErr w:type="spellStart"/>
      <w:r w:rsidRPr="0090508B">
        <w:rPr>
          <w:rFonts w:ascii="Arial" w:hAnsi="Arial" w:cs="Arial"/>
        </w:rPr>
        <w:t>NielsenIQ</w:t>
      </w:r>
      <w:proofErr w:type="spellEnd"/>
      <w:r w:rsidRPr="0090508B">
        <w:rPr>
          <w:rFonts w:ascii="Arial" w:hAnsi="Arial" w:cs="Arial"/>
        </w:rPr>
        <w:t xml:space="preserve">. </w:t>
      </w:r>
      <w:r w:rsidRPr="0090508B">
        <w:rPr>
          <w:rFonts w:ascii="Arial" w:hAnsi="Arial" w:cs="Arial"/>
        </w:rPr>
        <w:br/>
        <w:t xml:space="preserve">OECD (2023) </w:t>
      </w:r>
      <w:r w:rsidRPr="0090508B">
        <w:rPr>
          <w:rFonts w:ascii="Arial" w:hAnsi="Arial" w:cs="Arial"/>
          <w:i/>
          <w:iCs/>
        </w:rPr>
        <w:t>OECD Economic Outlook</w:t>
      </w:r>
      <w:r w:rsidRPr="0090508B">
        <w:rPr>
          <w:rFonts w:ascii="Arial" w:hAnsi="Arial" w:cs="Arial"/>
        </w:rPr>
        <w:t>. Paris: OECD Publishing.</w:t>
      </w:r>
      <w:r w:rsidRPr="0090508B">
        <w:rPr>
          <w:rFonts w:ascii="Arial" w:hAnsi="Arial" w:cs="Arial"/>
        </w:rPr>
        <w:br/>
        <w:t xml:space="preserve">Porter, M.E. (1985) </w:t>
      </w:r>
      <w:r w:rsidRPr="0090508B">
        <w:rPr>
          <w:rFonts w:ascii="Arial" w:hAnsi="Arial" w:cs="Arial"/>
          <w:i/>
          <w:iCs/>
        </w:rPr>
        <w:t>Competitive advantage: Creating and sustaining superior performance</w:t>
      </w:r>
      <w:r w:rsidRPr="0090508B">
        <w:rPr>
          <w:rFonts w:ascii="Arial" w:hAnsi="Arial" w:cs="Arial"/>
        </w:rPr>
        <w:t>. New York: Free Press.</w:t>
      </w:r>
      <w:r w:rsidRPr="0090508B">
        <w:rPr>
          <w:rFonts w:ascii="Arial" w:hAnsi="Arial" w:cs="Arial"/>
        </w:rPr>
        <w:br/>
        <w:t xml:space="preserve">Porter, M.E. (2008) ‘The five competitive forces that shape strategy’, </w:t>
      </w:r>
      <w:r w:rsidRPr="0090508B">
        <w:rPr>
          <w:rFonts w:ascii="Arial" w:hAnsi="Arial" w:cs="Arial"/>
          <w:i/>
          <w:iCs/>
        </w:rPr>
        <w:t>Harvard Business Review</w:t>
      </w:r>
      <w:r w:rsidRPr="0090508B">
        <w:rPr>
          <w:rFonts w:ascii="Arial" w:hAnsi="Arial" w:cs="Arial"/>
        </w:rPr>
        <w:t>, 86(1), pp. 78–93.</w:t>
      </w:r>
      <w:r w:rsidRPr="0090508B">
        <w:rPr>
          <w:rFonts w:ascii="Arial" w:hAnsi="Arial" w:cs="Arial"/>
        </w:rPr>
        <w:br/>
        <w:t xml:space="preserve">Rachtan-Janicka, J. et al. (2025) ‘The role of plant-based beverages in nutrition’, </w:t>
      </w:r>
      <w:r w:rsidRPr="0090508B">
        <w:rPr>
          <w:rFonts w:ascii="Arial" w:hAnsi="Arial" w:cs="Arial"/>
          <w:i/>
          <w:iCs/>
        </w:rPr>
        <w:t>Nutrients</w:t>
      </w:r>
      <w:r w:rsidRPr="0090508B">
        <w:rPr>
          <w:rFonts w:ascii="Arial" w:hAnsi="Arial" w:cs="Arial"/>
        </w:rPr>
        <w:t xml:space="preserve">. Available at: </w:t>
      </w:r>
      <w:hyperlink r:id="rId25" w:tgtFrame="_new" w:history="1">
        <w:r w:rsidRPr="0090508B">
          <w:rPr>
            <w:rStyle w:val="Hyperlink"/>
            <w:rFonts w:ascii="Arial" w:hAnsi="Arial" w:cs="Arial"/>
          </w:rPr>
          <w:t>https://www.mdpi.com/2072-6643/17/9/1562</w:t>
        </w:r>
      </w:hyperlink>
      <w:r w:rsidRPr="0090508B">
        <w:rPr>
          <w:rFonts w:ascii="Arial" w:hAnsi="Arial" w:cs="Arial"/>
        </w:rPr>
        <w:t xml:space="preserve"> (Accessed: 5 February 2026). </w:t>
      </w:r>
      <w:r w:rsidRPr="0090508B">
        <w:rPr>
          <w:rFonts w:ascii="Arial" w:hAnsi="Arial" w:cs="Arial"/>
        </w:rPr>
        <w:br/>
        <w:t xml:space="preserve">Slack, N., Brandon-Jones, A. and Burgess, N. (2019) </w:t>
      </w:r>
      <w:r w:rsidRPr="0090508B">
        <w:rPr>
          <w:rFonts w:ascii="Arial" w:hAnsi="Arial" w:cs="Arial"/>
          <w:i/>
          <w:iCs/>
        </w:rPr>
        <w:t>Operations management</w:t>
      </w:r>
      <w:r w:rsidRPr="0090508B">
        <w:rPr>
          <w:rFonts w:ascii="Arial" w:hAnsi="Arial" w:cs="Arial"/>
        </w:rPr>
        <w:t xml:space="preserve">. 9th </w:t>
      </w:r>
      <w:proofErr w:type="spellStart"/>
      <w:r w:rsidRPr="0090508B">
        <w:rPr>
          <w:rFonts w:ascii="Arial" w:hAnsi="Arial" w:cs="Arial"/>
        </w:rPr>
        <w:t>edn</w:t>
      </w:r>
      <w:proofErr w:type="spellEnd"/>
      <w:r w:rsidRPr="0090508B">
        <w:rPr>
          <w:rFonts w:ascii="Arial" w:hAnsi="Arial" w:cs="Arial"/>
        </w:rPr>
        <w:t>. Harlow: Pearson.</w:t>
      </w:r>
      <w:r w:rsidRPr="0090508B">
        <w:rPr>
          <w:rFonts w:ascii="Arial" w:hAnsi="Arial" w:cs="Arial"/>
        </w:rPr>
        <w:br/>
        <w:t xml:space="preserve">Teece, D.J., Pisano, G. and </w:t>
      </w:r>
      <w:proofErr w:type="spellStart"/>
      <w:r w:rsidRPr="0090508B">
        <w:rPr>
          <w:rFonts w:ascii="Arial" w:hAnsi="Arial" w:cs="Arial"/>
        </w:rPr>
        <w:t>Shuen</w:t>
      </w:r>
      <w:proofErr w:type="spellEnd"/>
      <w:r w:rsidRPr="0090508B">
        <w:rPr>
          <w:rFonts w:ascii="Arial" w:hAnsi="Arial" w:cs="Arial"/>
        </w:rPr>
        <w:t xml:space="preserve">, A. (1997) ‘Dynamic capabilities and strategic management’, </w:t>
      </w:r>
      <w:r w:rsidRPr="0090508B">
        <w:rPr>
          <w:rFonts w:ascii="Arial" w:hAnsi="Arial" w:cs="Arial"/>
          <w:i/>
          <w:iCs/>
        </w:rPr>
        <w:t>Strategic Management Journal</w:t>
      </w:r>
      <w:r w:rsidRPr="0090508B">
        <w:rPr>
          <w:rFonts w:ascii="Arial" w:hAnsi="Arial" w:cs="Arial"/>
        </w:rPr>
        <w:t>, 18(7), pp. 509–533.</w:t>
      </w:r>
      <w:r w:rsidRPr="0090508B">
        <w:rPr>
          <w:rFonts w:ascii="Arial" w:hAnsi="Arial" w:cs="Arial"/>
        </w:rPr>
        <w:br/>
      </w:r>
      <w:r w:rsidRPr="0090508B">
        <w:rPr>
          <w:rFonts w:ascii="Arial" w:hAnsi="Arial" w:cs="Arial"/>
        </w:rPr>
        <w:lastRenderedPageBreak/>
        <w:t xml:space="preserve">The Grocer (2021) ‘Innocent turns pandemic sales decline around’. Available at: </w:t>
      </w:r>
      <w:hyperlink r:id="rId26" w:tgtFrame="_new" w:history="1">
        <w:r w:rsidRPr="0090508B">
          <w:rPr>
            <w:rStyle w:val="Hyperlink"/>
            <w:rFonts w:ascii="Arial" w:hAnsi="Arial" w:cs="Arial"/>
          </w:rPr>
          <w:t>https://www.thegrocer.co.uk/news/innocent-turns-pandemic-sales-decline-around/660122.article</w:t>
        </w:r>
      </w:hyperlink>
      <w:r w:rsidRPr="0090508B">
        <w:rPr>
          <w:rFonts w:ascii="Arial" w:hAnsi="Arial" w:cs="Arial"/>
        </w:rPr>
        <w:t xml:space="preserve"> (Accessed: 5 February 2026). </w:t>
      </w:r>
      <w:r w:rsidRPr="0090508B">
        <w:rPr>
          <w:rFonts w:ascii="Arial" w:hAnsi="Arial" w:cs="Arial"/>
        </w:rPr>
        <w:br/>
        <w:t xml:space="preserve">The Grocer (2024) ‘Innocent losses soar as £200m factory needs more investment’. Available at: </w:t>
      </w:r>
      <w:hyperlink r:id="rId27" w:tgtFrame="_new" w:history="1">
        <w:r w:rsidRPr="0090508B">
          <w:rPr>
            <w:rStyle w:val="Hyperlink"/>
            <w:rFonts w:ascii="Arial" w:hAnsi="Arial" w:cs="Arial"/>
          </w:rPr>
          <w:t>https://www.thegrocer.co.uk/news/innocent-losses-soar-as-200m-factory-needs-more-investment/687275.article</w:t>
        </w:r>
      </w:hyperlink>
      <w:r w:rsidRPr="0090508B">
        <w:rPr>
          <w:rFonts w:ascii="Arial" w:hAnsi="Arial" w:cs="Arial"/>
        </w:rPr>
        <w:t xml:space="preserve"> (Accessed: 5 February 2026). </w:t>
      </w:r>
      <w:r w:rsidRPr="0090508B">
        <w:rPr>
          <w:rFonts w:ascii="Arial" w:hAnsi="Arial" w:cs="Arial"/>
        </w:rPr>
        <w:br/>
        <w:t xml:space="preserve">The Grocer (2025) ‘Soft drinks, juices and smoothies: functional juice shots fuel growth’. Available at: </w:t>
      </w:r>
      <w:hyperlink r:id="rId28" w:tgtFrame="_new" w:history="1">
        <w:r w:rsidRPr="0090508B">
          <w:rPr>
            <w:rStyle w:val="Hyperlink"/>
            <w:rFonts w:ascii="Arial" w:hAnsi="Arial" w:cs="Arial"/>
          </w:rPr>
          <w:t>https://www.thegrocer.co.uk/rankings/soft-drinks-juices-and-smoothies-2025-functional-juice-shots-fuel-growth/712957.article</w:t>
        </w:r>
      </w:hyperlink>
      <w:r w:rsidRPr="0090508B">
        <w:rPr>
          <w:rFonts w:ascii="Arial" w:hAnsi="Arial" w:cs="Arial"/>
        </w:rPr>
        <w:t xml:space="preserve"> (Accessed: 5 February 2026). </w:t>
      </w:r>
      <w:r w:rsidRPr="0090508B">
        <w:rPr>
          <w:rFonts w:ascii="Arial" w:hAnsi="Arial" w:cs="Arial"/>
        </w:rPr>
        <w:br/>
        <w:t xml:space="preserve">Weihrich, H. (1982) ‘The TOWS matrix: A tool for situational analysis’, </w:t>
      </w:r>
      <w:r w:rsidRPr="0090508B">
        <w:rPr>
          <w:rFonts w:ascii="Arial" w:hAnsi="Arial" w:cs="Arial"/>
          <w:i/>
          <w:iCs/>
        </w:rPr>
        <w:t>Long Range Planning</w:t>
      </w:r>
      <w:r w:rsidRPr="0090508B">
        <w:rPr>
          <w:rFonts w:ascii="Arial" w:hAnsi="Arial" w:cs="Arial"/>
        </w:rPr>
        <w:t>, 15(2), pp. 54–66.</w:t>
      </w:r>
    </w:p>
    <w:p w14:paraId="6C998101" w14:textId="79A98F3B" w:rsidR="00116230" w:rsidRDefault="00116230" w:rsidP="0090508B">
      <w:pPr>
        <w:spacing w:line="360" w:lineRule="auto"/>
      </w:pPr>
    </w:p>
    <w:sectPr w:rsidR="00116230" w:rsidSect="00983C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D1FE2" w14:textId="77777777" w:rsidR="00826AA9" w:rsidRDefault="00826AA9" w:rsidP="004E6516">
      <w:pPr>
        <w:spacing w:after="0" w:line="240" w:lineRule="auto"/>
      </w:pPr>
      <w:r>
        <w:separator/>
      </w:r>
    </w:p>
  </w:endnote>
  <w:endnote w:type="continuationSeparator" w:id="0">
    <w:p w14:paraId="38A67155" w14:textId="77777777" w:rsidR="00826AA9" w:rsidRDefault="00826AA9" w:rsidP="004E6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2254456"/>
      <w:docPartObj>
        <w:docPartGallery w:val="Page Numbers (Bottom of Page)"/>
        <w:docPartUnique/>
      </w:docPartObj>
    </w:sdtPr>
    <w:sdtEndPr>
      <w:rPr>
        <w:noProof/>
      </w:rPr>
    </w:sdtEndPr>
    <w:sdtContent>
      <w:p w14:paraId="43429590" w14:textId="15E11B5A" w:rsidR="004E6516" w:rsidRDefault="004E65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E3704D" w14:textId="77777777" w:rsidR="004E6516" w:rsidRDefault="004E6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D2F87" w14:textId="77777777" w:rsidR="00826AA9" w:rsidRDefault="00826AA9" w:rsidP="004E6516">
      <w:pPr>
        <w:spacing w:after="0" w:line="240" w:lineRule="auto"/>
      </w:pPr>
      <w:r>
        <w:separator/>
      </w:r>
    </w:p>
  </w:footnote>
  <w:footnote w:type="continuationSeparator" w:id="0">
    <w:p w14:paraId="619D4FCC" w14:textId="77777777" w:rsidR="00826AA9" w:rsidRDefault="00826AA9" w:rsidP="004E65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0580"/>
    <w:multiLevelType w:val="multilevel"/>
    <w:tmpl w:val="4E54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47B12"/>
    <w:multiLevelType w:val="multilevel"/>
    <w:tmpl w:val="67DC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F2A84"/>
    <w:multiLevelType w:val="multilevel"/>
    <w:tmpl w:val="71B8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F416B"/>
    <w:multiLevelType w:val="multilevel"/>
    <w:tmpl w:val="D7E4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A0C23"/>
    <w:multiLevelType w:val="multilevel"/>
    <w:tmpl w:val="8C4A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53E52"/>
    <w:multiLevelType w:val="multilevel"/>
    <w:tmpl w:val="24D0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DC0FF7"/>
    <w:multiLevelType w:val="multilevel"/>
    <w:tmpl w:val="32F8A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372292"/>
    <w:multiLevelType w:val="multilevel"/>
    <w:tmpl w:val="F2C0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D5621"/>
    <w:multiLevelType w:val="multilevel"/>
    <w:tmpl w:val="C9DA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4A3086"/>
    <w:multiLevelType w:val="multilevel"/>
    <w:tmpl w:val="9D22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502CE6"/>
    <w:multiLevelType w:val="multilevel"/>
    <w:tmpl w:val="84728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B62F8F"/>
    <w:multiLevelType w:val="multilevel"/>
    <w:tmpl w:val="69C8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F70F4F"/>
    <w:multiLevelType w:val="multilevel"/>
    <w:tmpl w:val="07A2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C10876"/>
    <w:multiLevelType w:val="multilevel"/>
    <w:tmpl w:val="79426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887D97"/>
    <w:multiLevelType w:val="multilevel"/>
    <w:tmpl w:val="9A96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37D7D"/>
    <w:multiLevelType w:val="multilevel"/>
    <w:tmpl w:val="0A06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CC4C5C"/>
    <w:multiLevelType w:val="multilevel"/>
    <w:tmpl w:val="32DE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26206"/>
    <w:multiLevelType w:val="multilevel"/>
    <w:tmpl w:val="7DDA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FE0019"/>
    <w:multiLevelType w:val="multilevel"/>
    <w:tmpl w:val="C89A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F61C53"/>
    <w:multiLevelType w:val="multilevel"/>
    <w:tmpl w:val="82022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5668D4"/>
    <w:multiLevelType w:val="multilevel"/>
    <w:tmpl w:val="A6FA4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D53191"/>
    <w:multiLevelType w:val="multilevel"/>
    <w:tmpl w:val="AB0C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7239421">
    <w:abstractNumId w:val="3"/>
  </w:num>
  <w:num w:numId="2" w16cid:durableId="1085765510">
    <w:abstractNumId w:val="10"/>
  </w:num>
  <w:num w:numId="3" w16cid:durableId="1254359654">
    <w:abstractNumId w:val="6"/>
  </w:num>
  <w:num w:numId="4" w16cid:durableId="786312119">
    <w:abstractNumId w:val="19"/>
  </w:num>
  <w:num w:numId="5" w16cid:durableId="1499150800">
    <w:abstractNumId w:val="14"/>
  </w:num>
  <w:num w:numId="6" w16cid:durableId="926378414">
    <w:abstractNumId w:val="9"/>
  </w:num>
  <w:num w:numId="7" w16cid:durableId="2056813616">
    <w:abstractNumId w:val="21"/>
  </w:num>
  <w:num w:numId="8" w16cid:durableId="357126814">
    <w:abstractNumId w:val="20"/>
  </w:num>
  <w:num w:numId="9" w16cid:durableId="2010908823">
    <w:abstractNumId w:val="13"/>
  </w:num>
  <w:num w:numId="10" w16cid:durableId="1685672830">
    <w:abstractNumId w:val="11"/>
  </w:num>
  <w:num w:numId="11" w16cid:durableId="1604150188">
    <w:abstractNumId w:val="15"/>
  </w:num>
  <w:num w:numId="12" w16cid:durableId="1326133237">
    <w:abstractNumId w:val="1"/>
  </w:num>
  <w:num w:numId="13" w16cid:durableId="1366443505">
    <w:abstractNumId w:val="4"/>
  </w:num>
  <w:num w:numId="14" w16cid:durableId="1485707237">
    <w:abstractNumId w:val="0"/>
  </w:num>
  <w:num w:numId="15" w16cid:durableId="1272517339">
    <w:abstractNumId w:val="2"/>
  </w:num>
  <w:num w:numId="16" w16cid:durableId="1439135853">
    <w:abstractNumId w:val="5"/>
  </w:num>
  <w:num w:numId="17" w16cid:durableId="11804572">
    <w:abstractNumId w:val="18"/>
  </w:num>
  <w:num w:numId="18" w16cid:durableId="588150278">
    <w:abstractNumId w:val="8"/>
  </w:num>
  <w:num w:numId="19" w16cid:durableId="1440640495">
    <w:abstractNumId w:val="7"/>
  </w:num>
  <w:num w:numId="20" w16cid:durableId="2012217919">
    <w:abstractNumId w:val="12"/>
  </w:num>
  <w:num w:numId="21" w16cid:durableId="345401319">
    <w:abstractNumId w:val="16"/>
  </w:num>
  <w:num w:numId="22" w16cid:durableId="13688758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5E1"/>
    <w:rsid w:val="0000474C"/>
    <w:rsid w:val="000221B0"/>
    <w:rsid w:val="00032427"/>
    <w:rsid w:val="00034CFD"/>
    <w:rsid w:val="00074B85"/>
    <w:rsid w:val="000900BD"/>
    <w:rsid w:val="000A0E98"/>
    <w:rsid w:val="000A4037"/>
    <w:rsid w:val="000B0A66"/>
    <w:rsid w:val="000D2E47"/>
    <w:rsid w:val="000E45E1"/>
    <w:rsid w:val="000E6E00"/>
    <w:rsid w:val="000E6EFE"/>
    <w:rsid w:val="000F0643"/>
    <w:rsid w:val="00105F21"/>
    <w:rsid w:val="00110171"/>
    <w:rsid w:val="00116230"/>
    <w:rsid w:val="0013301A"/>
    <w:rsid w:val="00144C16"/>
    <w:rsid w:val="00160B47"/>
    <w:rsid w:val="0017359F"/>
    <w:rsid w:val="0018667B"/>
    <w:rsid w:val="001956A4"/>
    <w:rsid w:val="001A089B"/>
    <w:rsid w:val="001A41C0"/>
    <w:rsid w:val="001F7CF3"/>
    <w:rsid w:val="00205B2F"/>
    <w:rsid w:val="002067C9"/>
    <w:rsid w:val="00210E49"/>
    <w:rsid w:val="002129AF"/>
    <w:rsid w:val="002218FA"/>
    <w:rsid w:val="00221CE3"/>
    <w:rsid w:val="00233F79"/>
    <w:rsid w:val="0023767A"/>
    <w:rsid w:val="00245BBA"/>
    <w:rsid w:val="00254687"/>
    <w:rsid w:val="00257D55"/>
    <w:rsid w:val="002764A9"/>
    <w:rsid w:val="002A6C3E"/>
    <w:rsid w:val="002B5A7D"/>
    <w:rsid w:val="002C4423"/>
    <w:rsid w:val="002C65BD"/>
    <w:rsid w:val="002D3351"/>
    <w:rsid w:val="002D7F7A"/>
    <w:rsid w:val="002E2C56"/>
    <w:rsid w:val="002F098B"/>
    <w:rsid w:val="002F4973"/>
    <w:rsid w:val="00313CBE"/>
    <w:rsid w:val="00314A39"/>
    <w:rsid w:val="0031679B"/>
    <w:rsid w:val="00322948"/>
    <w:rsid w:val="00331EB2"/>
    <w:rsid w:val="00336646"/>
    <w:rsid w:val="003442C0"/>
    <w:rsid w:val="00370144"/>
    <w:rsid w:val="003955D8"/>
    <w:rsid w:val="00395AD1"/>
    <w:rsid w:val="003B3C40"/>
    <w:rsid w:val="003B47C9"/>
    <w:rsid w:val="003F4D69"/>
    <w:rsid w:val="003F79B2"/>
    <w:rsid w:val="004115F8"/>
    <w:rsid w:val="004313EF"/>
    <w:rsid w:val="00441C51"/>
    <w:rsid w:val="00450AAB"/>
    <w:rsid w:val="00452AF7"/>
    <w:rsid w:val="00482A8E"/>
    <w:rsid w:val="00490DBA"/>
    <w:rsid w:val="004B1390"/>
    <w:rsid w:val="004B5091"/>
    <w:rsid w:val="004D706B"/>
    <w:rsid w:val="004E2BDB"/>
    <w:rsid w:val="004E6516"/>
    <w:rsid w:val="004F540C"/>
    <w:rsid w:val="004F627A"/>
    <w:rsid w:val="00504E8D"/>
    <w:rsid w:val="00506353"/>
    <w:rsid w:val="0051362A"/>
    <w:rsid w:val="005159C7"/>
    <w:rsid w:val="005335F2"/>
    <w:rsid w:val="00566EA1"/>
    <w:rsid w:val="005675ED"/>
    <w:rsid w:val="00580FC9"/>
    <w:rsid w:val="00581A95"/>
    <w:rsid w:val="005A485F"/>
    <w:rsid w:val="006009DD"/>
    <w:rsid w:val="00603DA3"/>
    <w:rsid w:val="006105D5"/>
    <w:rsid w:val="00615556"/>
    <w:rsid w:val="006325B7"/>
    <w:rsid w:val="00642438"/>
    <w:rsid w:val="00652492"/>
    <w:rsid w:val="0069035E"/>
    <w:rsid w:val="006919FA"/>
    <w:rsid w:val="00693760"/>
    <w:rsid w:val="00695F1C"/>
    <w:rsid w:val="0069624C"/>
    <w:rsid w:val="006A0DB8"/>
    <w:rsid w:val="006A1C75"/>
    <w:rsid w:val="006A4674"/>
    <w:rsid w:val="006A4791"/>
    <w:rsid w:val="006A5349"/>
    <w:rsid w:val="006B6E1C"/>
    <w:rsid w:val="006C2312"/>
    <w:rsid w:val="006C463C"/>
    <w:rsid w:val="006C6E57"/>
    <w:rsid w:val="006D165A"/>
    <w:rsid w:val="006F2E68"/>
    <w:rsid w:val="00725174"/>
    <w:rsid w:val="00733745"/>
    <w:rsid w:val="007463D2"/>
    <w:rsid w:val="0075707B"/>
    <w:rsid w:val="007667BB"/>
    <w:rsid w:val="0077121A"/>
    <w:rsid w:val="00781E88"/>
    <w:rsid w:val="007919BD"/>
    <w:rsid w:val="007926A0"/>
    <w:rsid w:val="007B5599"/>
    <w:rsid w:val="007C6BF5"/>
    <w:rsid w:val="007D11B7"/>
    <w:rsid w:val="007E0EAE"/>
    <w:rsid w:val="00806BB5"/>
    <w:rsid w:val="008158BF"/>
    <w:rsid w:val="00826AA9"/>
    <w:rsid w:val="00827EA2"/>
    <w:rsid w:val="008421D0"/>
    <w:rsid w:val="008427F7"/>
    <w:rsid w:val="0087583E"/>
    <w:rsid w:val="00884F30"/>
    <w:rsid w:val="008A164B"/>
    <w:rsid w:val="008A59FE"/>
    <w:rsid w:val="008C51CC"/>
    <w:rsid w:val="008E3D27"/>
    <w:rsid w:val="008F206C"/>
    <w:rsid w:val="008F50E1"/>
    <w:rsid w:val="0090508B"/>
    <w:rsid w:val="00906C5D"/>
    <w:rsid w:val="00921E62"/>
    <w:rsid w:val="00951C92"/>
    <w:rsid w:val="009616A2"/>
    <w:rsid w:val="00976F79"/>
    <w:rsid w:val="00983CAE"/>
    <w:rsid w:val="00992FA9"/>
    <w:rsid w:val="009A448B"/>
    <w:rsid w:val="009A73CE"/>
    <w:rsid w:val="009C3226"/>
    <w:rsid w:val="009C625A"/>
    <w:rsid w:val="009C7825"/>
    <w:rsid w:val="00A238D0"/>
    <w:rsid w:val="00A25F87"/>
    <w:rsid w:val="00A45B6C"/>
    <w:rsid w:val="00A87445"/>
    <w:rsid w:val="00AA1363"/>
    <w:rsid w:val="00AA6DB7"/>
    <w:rsid w:val="00AC1B64"/>
    <w:rsid w:val="00AC6654"/>
    <w:rsid w:val="00B20ABC"/>
    <w:rsid w:val="00B5744E"/>
    <w:rsid w:val="00B63154"/>
    <w:rsid w:val="00B64675"/>
    <w:rsid w:val="00B94B01"/>
    <w:rsid w:val="00B97DB5"/>
    <w:rsid w:val="00BA489F"/>
    <w:rsid w:val="00BC01A6"/>
    <w:rsid w:val="00BC431D"/>
    <w:rsid w:val="00BF1DD2"/>
    <w:rsid w:val="00BF38E7"/>
    <w:rsid w:val="00BF3D1C"/>
    <w:rsid w:val="00C02DC7"/>
    <w:rsid w:val="00C03157"/>
    <w:rsid w:val="00C12711"/>
    <w:rsid w:val="00C1636C"/>
    <w:rsid w:val="00C27B93"/>
    <w:rsid w:val="00C41AE1"/>
    <w:rsid w:val="00C508BA"/>
    <w:rsid w:val="00C54E05"/>
    <w:rsid w:val="00C825C9"/>
    <w:rsid w:val="00CA78FA"/>
    <w:rsid w:val="00CC142B"/>
    <w:rsid w:val="00CE1DB9"/>
    <w:rsid w:val="00CF5860"/>
    <w:rsid w:val="00D022FF"/>
    <w:rsid w:val="00D02680"/>
    <w:rsid w:val="00D21804"/>
    <w:rsid w:val="00D248BA"/>
    <w:rsid w:val="00D304DC"/>
    <w:rsid w:val="00D717B6"/>
    <w:rsid w:val="00D80878"/>
    <w:rsid w:val="00D8699B"/>
    <w:rsid w:val="00D93D13"/>
    <w:rsid w:val="00DA7201"/>
    <w:rsid w:val="00DD20E4"/>
    <w:rsid w:val="00E07E54"/>
    <w:rsid w:val="00E17847"/>
    <w:rsid w:val="00E36358"/>
    <w:rsid w:val="00E41253"/>
    <w:rsid w:val="00E569E2"/>
    <w:rsid w:val="00E57E2A"/>
    <w:rsid w:val="00E63927"/>
    <w:rsid w:val="00E86CC6"/>
    <w:rsid w:val="00EA1B1B"/>
    <w:rsid w:val="00EC0211"/>
    <w:rsid w:val="00EC06BB"/>
    <w:rsid w:val="00EC6CE0"/>
    <w:rsid w:val="00ED0A37"/>
    <w:rsid w:val="00EE645C"/>
    <w:rsid w:val="00F230A0"/>
    <w:rsid w:val="00F56A9F"/>
    <w:rsid w:val="00F85E28"/>
    <w:rsid w:val="00F91DC2"/>
    <w:rsid w:val="00F944D5"/>
    <w:rsid w:val="00F97DBA"/>
    <w:rsid w:val="00FB5E47"/>
    <w:rsid w:val="00FD7528"/>
    <w:rsid w:val="00FE4FB1"/>
    <w:rsid w:val="00FE6CFA"/>
    <w:rsid w:val="00FF0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107EE"/>
  <w15:chartTrackingRefBased/>
  <w15:docId w15:val="{B406FBEC-22EE-4D95-8F6B-80D71A5F3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5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45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45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5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5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5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5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5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5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5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45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45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5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5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5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5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5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5E1"/>
    <w:rPr>
      <w:rFonts w:eastAsiaTheme="majorEastAsia" w:cstheme="majorBidi"/>
      <w:color w:val="272727" w:themeColor="text1" w:themeTint="D8"/>
    </w:rPr>
  </w:style>
  <w:style w:type="paragraph" w:styleId="Title">
    <w:name w:val="Title"/>
    <w:basedOn w:val="Normal"/>
    <w:next w:val="Normal"/>
    <w:link w:val="TitleChar"/>
    <w:uiPriority w:val="10"/>
    <w:qFormat/>
    <w:rsid w:val="000E45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5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5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5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5E1"/>
    <w:pPr>
      <w:spacing w:before="160"/>
      <w:jc w:val="center"/>
    </w:pPr>
    <w:rPr>
      <w:i/>
      <w:iCs/>
      <w:color w:val="404040" w:themeColor="text1" w:themeTint="BF"/>
    </w:rPr>
  </w:style>
  <w:style w:type="character" w:customStyle="1" w:styleId="QuoteChar">
    <w:name w:val="Quote Char"/>
    <w:basedOn w:val="DefaultParagraphFont"/>
    <w:link w:val="Quote"/>
    <w:uiPriority w:val="29"/>
    <w:rsid w:val="000E45E1"/>
    <w:rPr>
      <w:i/>
      <w:iCs/>
      <w:color w:val="404040" w:themeColor="text1" w:themeTint="BF"/>
    </w:rPr>
  </w:style>
  <w:style w:type="paragraph" w:styleId="ListParagraph">
    <w:name w:val="List Paragraph"/>
    <w:basedOn w:val="Normal"/>
    <w:uiPriority w:val="34"/>
    <w:qFormat/>
    <w:rsid w:val="000E45E1"/>
    <w:pPr>
      <w:ind w:left="720"/>
      <w:contextualSpacing/>
    </w:pPr>
  </w:style>
  <w:style w:type="character" w:styleId="IntenseEmphasis">
    <w:name w:val="Intense Emphasis"/>
    <w:basedOn w:val="DefaultParagraphFont"/>
    <w:uiPriority w:val="21"/>
    <w:qFormat/>
    <w:rsid w:val="000E45E1"/>
    <w:rPr>
      <w:i/>
      <w:iCs/>
      <w:color w:val="0F4761" w:themeColor="accent1" w:themeShade="BF"/>
    </w:rPr>
  </w:style>
  <w:style w:type="paragraph" w:styleId="IntenseQuote">
    <w:name w:val="Intense Quote"/>
    <w:basedOn w:val="Normal"/>
    <w:next w:val="Normal"/>
    <w:link w:val="IntenseQuoteChar"/>
    <w:uiPriority w:val="30"/>
    <w:qFormat/>
    <w:rsid w:val="000E45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5E1"/>
    <w:rPr>
      <w:i/>
      <w:iCs/>
      <w:color w:val="0F4761" w:themeColor="accent1" w:themeShade="BF"/>
    </w:rPr>
  </w:style>
  <w:style w:type="character" w:styleId="IntenseReference">
    <w:name w:val="Intense Reference"/>
    <w:basedOn w:val="DefaultParagraphFont"/>
    <w:uiPriority w:val="32"/>
    <w:qFormat/>
    <w:rsid w:val="000E45E1"/>
    <w:rPr>
      <w:b/>
      <w:bCs/>
      <w:smallCaps/>
      <w:color w:val="0F4761" w:themeColor="accent1" w:themeShade="BF"/>
      <w:spacing w:val="5"/>
    </w:rPr>
  </w:style>
  <w:style w:type="character" w:styleId="Hyperlink">
    <w:name w:val="Hyperlink"/>
    <w:basedOn w:val="DefaultParagraphFont"/>
    <w:uiPriority w:val="99"/>
    <w:unhideWhenUsed/>
    <w:rsid w:val="00116230"/>
    <w:rPr>
      <w:color w:val="467886" w:themeColor="hyperlink"/>
      <w:u w:val="single"/>
    </w:rPr>
  </w:style>
  <w:style w:type="character" w:styleId="UnresolvedMention">
    <w:name w:val="Unresolved Mention"/>
    <w:basedOn w:val="DefaultParagraphFont"/>
    <w:uiPriority w:val="99"/>
    <w:semiHidden/>
    <w:unhideWhenUsed/>
    <w:rsid w:val="00116230"/>
    <w:rPr>
      <w:color w:val="605E5C"/>
      <w:shd w:val="clear" w:color="auto" w:fill="E1DFDD"/>
    </w:rPr>
  </w:style>
  <w:style w:type="table" w:styleId="TableGrid">
    <w:name w:val="Table Grid"/>
    <w:basedOn w:val="TableNormal"/>
    <w:uiPriority w:val="39"/>
    <w:rsid w:val="00A25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65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516"/>
  </w:style>
  <w:style w:type="paragraph" w:styleId="Footer">
    <w:name w:val="footer"/>
    <w:basedOn w:val="Normal"/>
    <w:link w:val="FooterChar"/>
    <w:uiPriority w:val="99"/>
    <w:unhideWhenUsed/>
    <w:rsid w:val="004E65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516"/>
  </w:style>
  <w:style w:type="paragraph" w:styleId="TOCHeading">
    <w:name w:val="TOC Heading"/>
    <w:basedOn w:val="Heading1"/>
    <w:next w:val="Normal"/>
    <w:uiPriority w:val="39"/>
    <w:unhideWhenUsed/>
    <w:qFormat/>
    <w:rsid w:val="005335F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335F2"/>
    <w:pPr>
      <w:spacing w:after="100"/>
    </w:pPr>
  </w:style>
  <w:style w:type="paragraph" w:styleId="TOC2">
    <w:name w:val="toc 2"/>
    <w:basedOn w:val="Normal"/>
    <w:next w:val="Normal"/>
    <w:autoRedefine/>
    <w:uiPriority w:val="39"/>
    <w:unhideWhenUsed/>
    <w:rsid w:val="005335F2"/>
    <w:pPr>
      <w:spacing w:after="100"/>
      <w:ind w:left="220"/>
    </w:pPr>
  </w:style>
  <w:style w:type="paragraph" w:styleId="NormalWeb">
    <w:name w:val="Normal (Web)"/>
    <w:basedOn w:val="Normal"/>
    <w:uiPriority w:val="99"/>
    <w:semiHidden/>
    <w:unhideWhenUsed/>
    <w:rsid w:val="00C02DC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02D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80group.com/" TargetMode="External"/><Relationship Id="rId18" Type="http://schemas.openxmlformats.org/officeDocument/2006/relationships/hyperlink" Target="https://www.gov.uk/" TargetMode="External"/><Relationship Id="rId26" Type="http://schemas.openxmlformats.org/officeDocument/2006/relationships/hyperlink" Target="https://www.thegrocer.co.uk/news/innocent-turns-pandemic-sales-decline-around/660122.article?utm_source=chatgpt.com" TargetMode="External"/><Relationship Id="rId3" Type="http://schemas.openxmlformats.org/officeDocument/2006/relationships/styles" Target="styles.xml"/><Relationship Id="rId21" Type="http://schemas.openxmlformats.org/officeDocument/2006/relationships/hyperlink" Target="https://www.innocentdrinks.co.uk/a-bit-about-us?utm_source=chatgpt.com" TargetMode="External"/><Relationship Id="rId7" Type="http://schemas.openxmlformats.org/officeDocument/2006/relationships/endnotes" Target="endnotes.xml"/><Relationship Id="rId12" Type="http://schemas.openxmlformats.org/officeDocument/2006/relationships/hyperlink" Target="https://www.cityam.com/innocent-drinks-makes-first-profit-since-2020/?utm_source=chatgpt.com" TargetMode="External"/><Relationship Id="rId17" Type="http://schemas.openxmlformats.org/officeDocument/2006/relationships/hyperlink" Target="https://www.grocerygazette.co.uk/2025/12/10/innocent-drinks-returned-to-profit-in-2024/?utm_source=chatgpt.com" TargetMode="External"/><Relationship Id="rId25" Type="http://schemas.openxmlformats.org/officeDocument/2006/relationships/hyperlink" Target="https://www.mdpi.com/2072-6643/17/9/1562?utm_source=chatgpt.com" TargetMode="External"/><Relationship Id="rId2" Type="http://schemas.openxmlformats.org/officeDocument/2006/relationships/numbering" Target="numbering.xml"/><Relationship Id="rId16" Type="http://schemas.openxmlformats.org/officeDocument/2006/relationships/hyperlink" Target="https://environment.ec.europa.eu/" TargetMode="External"/><Relationship Id="rId20" Type="http://schemas.openxmlformats.org/officeDocument/2006/relationships/hyperlink" Target="https://www.innocentdrinks.co.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corporation.net/" TargetMode="External"/><Relationship Id="rId24" Type="http://schemas.openxmlformats.org/officeDocument/2006/relationships/hyperlink" Target="https://www.sciencedirect.com/science/article/pii/S0001691825009618?utm_source=chatgpt.com" TargetMode="External"/><Relationship Id="rId5" Type="http://schemas.openxmlformats.org/officeDocument/2006/relationships/webSettings" Target="webSettings.xml"/><Relationship Id="rId15" Type="http://schemas.openxmlformats.org/officeDocument/2006/relationships/hyperlink" Target="https://www.sciencedirect.com/science/article/pii/S0959652625005578?utm_source=chatgpt.com" TargetMode="External"/><Relationship Id="rId23" Type="http://schemas.openxmlformats.org/officeDocument/2006/relationships/hyperlink" Target="https://www.innocentdrinks.co.uk/" TargetMode="External"/><Relationship Id="rId28" Type="http://schemas.openxmlformats.org/officeDocument/2006/relationships/hyperlink" Target="https://www.thegrocer.co.uk/rankings/soft-drinks-juices-and-smoothies-2025-functional-juice-shots-fuel-growth/712957.article?utm_source=chatgpt.com" TargetMode="External"/><Relationship Id="rId10" Type="http://schemas.openxmlformats.org/officeDocument/2006/relationships/hyperlink" Target="https://pmc.ncbi.nlm.nih.gov/articles/PMC11172123/?utm_source=chatgpt.com" TargetMode="External"/><Relationship Id="rId19" Type="http://schemas.openxmlformats.org/officeDocument/2006/relationships/hyperlink" Target="https://commonslibrary.parliament.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delman.com/trust" TargetMode="External"/><Relationship Id="rId22" Type="http://schemas.openxmlformats.org/officeDocument/2006/relationships/hyperlink" Target="https://www.innocentdrinks.co.uk/" TargetMode="External"/><Relationship Id="rId27" Type="http://schemas.openxmlformats.org/officeDocument/2006/relationships/hyperlink" Target="https://www.thegrocer.co.uk/news/innocent-losses-soar-as-200m-factory-needs-more-investment/687275.article?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34DC0-B183-470C-A4A1-13B632F76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7440</Words>
  <Characters>42412</Characters>
  <Application>Microsoft Office Word</Application>
  <DocSecurity>0</DocSecurity>
  <Lines>353</Lines>
  <Paragraphs>99</Paragraphs>
  <ScaleCrop>false</ScaleCrop>
  <Company/>
  <LinksUpToDate>false</LinksUpToDate>
  <CharactersWithSpaces>49753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Suleha Azad</dc:creator>
  <cp:keywords/>
  <dc:description/>
  <cp:lastModifiedBy>Suleha Azad</cp:lastModifiedBy>
  <cp:revision>97</cp:revision>
  <dcterms:created xsi:type="dcterms:W3CDTF">2026-03-01T11:07:00Z</dcterms:created>
  <dcterms:modified xsi:type="dcterms:W3CDTF">2026-03-07T11:59:00Z</dcterms:modified>
</cp:coreProperties>
</file>