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259291" w14:textId="77777777" w:rsidR="00284ADC" w:rsidRPr="00F7690F" w:rsidRDefault="00000000" w:rsidP="00F7690F">
      <w:pPr>
        <w:spacing w:line="360" w:lineRule="auto"/>
        <w:jc w:val="both"/>
        <w:rPr>
          <w:rFonts w:ascii="Arial" w:hAnsi="Arial" w:cs="Arial"/>
          <w:szCs w:val="24"/>
        </w:rPr>
      </w:pPr>
      <w:r w:rsidRPr="00F7690F">
        <w:rPr>
          <w:rFonts w:ascii="Arial" w:hAnsi="Arial" w:cs="Arial"/>
          <w:noProof/>
          <w:szCs w:val="24"/>
        </w:rPr>
        <w:drawing>
          <wp:anchor distT="0" distB="0" distL="114300" distR="114300" simplePos="0" relativeHeight="251658240" behindDoc="1" locked="0" layoutInCell="1" allowOverlap="1" wp14:anchorId="2B1A5CC7" wp14:editId="2D65F67E">
            <wp:simplePos x="0" y="0"/>
            <wp:positionH relativeFrom="margin">
              <wp:posOffset>1173480</wp:posOffset>
            </wp:positionH>
            <wp:positionV relativeFrom="paragraph">
              <wp:posOffset>-304800</wp:posOffset>
            </wp:positionV>
            <wp:extent cx="3398520" cy="1331149"/>
            <wp:effectExtent l="0" t="0" r="0" b="2540"/>
            <wp:wrapNone/>
            <wp:docPr id="8053377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337713" name=""/>
                    <pic:cNvPicPr/>
                  </pic:nvPicPr>
                  <pic:blipFill>
                    <a:blip r:embed="rId6">
                      <a:extLst>
                        <a:ext uri="{28A0092B-C50C-407E-A947-70E740481C1C}">
                          <a14:useLocalDpi xmlns:a14="http://schemas.microsoft.com/office/drawing/2010/main" val="0"/>
                        </a:ext>
                      </a:extLst>
                    </a:blip>
                    <a:stretch>
                      <a:fillRect/>
                    </a:stretch>
                  </pic:blipFill>
                  <pic:spPr>
                    <a:xfrm>
                      <a:off x="0" y="0"/>
                      <a:ext cx="3398520" cy="1331149"/>
                    </a:xfrm>
                    <a:prstGeom prst="rect">
                      <a:avLst/>
                    </a:prstGeom>
                  </pic:spPr>
                </pic:pic>
              </a:graphicData>
            </a:graphic>
            <wp14:sizeRelH relativeFrom="margin">
              <wp14:pctWidth>0</wp14:pctWidth>
            </wp14:sizeRelH>
            <wp14:sizeRelV relativeFrom="margin">
              <wp14:pctHeight>0</wp14:pctHeight>
            </wp14:sizeRelV>
          </wp:anchor>
        </w:drawing>
      </w:r>
    </w:p>
    <w:p w14:paraId="09749FDE" w14:textId="77777777" w:rsidR="007945F3" w:rsidRPr="00F7690F" w:rsidRDefault="007945F3" w:rsidP="00F7690F">
      <w:pPr>
        <w:spacing w:line="360" w:lineRule="auto"/>
        <w:jc w:val="both"/>
        <w:rPr>
          <w:rFonts w:ascii="Arial" w:hAnsi="Arial" w:cs="Arial"/>
          <w:szCs w:val="24"/>
        </w:rPr>
      </w:pPr>
    </w:p>
    <w:p w14:paraId="5A25BD4C" w14:textId="77777777" w:rsidR="007945F3" w:rsidRPr="00F7690F" w:rsidRDefault="007945F3" w:rsidP="00F7690F">
      <w:pPr>
        <w:spacing w:line="360" w:lineRule="auto"/>
        <w:jc w:val="both"/>
        <w:rPr>
          <w:rFonts w:ascii="Arial" w:hAnsi="Arial" w:cs="Arial"/>
          <w:szCs w:val="24"/>
        </w:rPr>
      </w:pPr>
    </w:p>
    <w:p w14:paraId="74DBE88B" w14:textId="77777777" w:rsidR="007945F3" w:rsidRPr="00F7690F" w:rsidRDefault="007945F3" w:rsidP="00F7690F">
      <w:pPr>
        <w:spacing w:line="360" w:lineRule="auto"/>
        <w:jc w:val="both"/>
        <w:rPr>
          <w:rFonts w:ascii="Arial" w:hAnsi="Arial" w:cs="Arial"/>
          <w:szCs w:val="24"/>
        </w:rPr>
      </w:pPr>
    </w:p>
    <w:p w14:paraId="337517D4" w14:textId="77777777" w:rsidR="007945F3" w:rsidRPr="00F7690F" w:rsidRDefault="007945F3" w:rsidP="00F7690F">
      <w:pPr>
        <w:spacing w:line="360" w:lineRule="auto"/>
        <w:jc w:val="both"/>
        <w:rPr>
          <w:rFonts w:ascii="Arial" w:hAnsi="Arial" w:cs="Arial"/>
          <w:szCs w:val="24"/>
        </w:rPr>
      </w:pPr>
    </w:p>
    <w:p w14:paraId="2E1FF942" w14:textId="77777777" w:rsidR="007945F3" w:rsidRPr="00F7690F" w:rsidRDefault="007945F3" w:rsidP="00F7690F">
      <w:pPr>
        <w:spacing w:line="360" w:lineRule="auto"/>
        <w:jc w:val="both"/>
        <w:rPr>
          <w:rFonts w:ascii="Arial" w:hAnsi="Arial" w:cs="Arial"/>
          <w:szCs w:val="24"/>
        </w:rPr>
      </w:pPr>
    </w:p>
    <w:p w14:paraId="1BAA1945" w14:textId="77777777" w:rsidR="004834C3" w:rsidRPr="00F7690F" w:rsidRDefault="00000000" w:rsidP="00F7690F">
      <w:pPr>
        <w:spacing w:line="360" w:lineRule="auto"/>
        <w:jc w:val="center"/>
        <w:rPr>
          <w:rFonts w:ascii="Arial" w:hAnsi="Arial" w:cs="Arial"/>
          <w:b/>
          <w:bCs/>
          <w:szCs w:val="24"/>
        </w:rPr>
      </w:pPr>
      <w:r w:rsidRPr="00F7690F">
        <w:rPr>
          <w:rFonts w:ascii="Arial" w:hAnsi="Arial" w:cs="Arial"/>
          <w:b/>
          <w:bCs/>
          <w:szCs w:val="24"/>
        </w:rPr>
        <w:t>Essay title: How to engage employees (Generation Ys or Generation Zs) throughout the employee lifecycle?</w:t>
      </w:r>
    </w:p>
    <w:p w14:paraId="679819B2" w14:textId="77777777" w:rsidR="004834C3" w:rsidRPr="00F7690F" w:rsidRDefault="00000000" w:rsidP="00F7690F">
      <w:pPr>
        <w:spacing w:line="360" w:lineRule="auto"/>
        <w:jc w:val="center"/>
        <w:rPr>
          <w:rFonts w:ascii="Arial" w:hAnsi="Arial" w:cs="Arial"/>
          <w:szCs w:val="24"/>
        </w:rPr>
      </w:pPr>
      <w:r w:rsidRPr="00F7690F">
        <w:rPr>
          <w:rFonts w:ascii="Arial" w:hAnsi="Arial" w:cs="Arial"/>
          <w:szCs w:val="24"/>
        </w:rPr>
        <w:t>Name</w:t>
      </w:r>
    </w:p>
    <w:p w14:paraId="511EB341" w14:textId="41FC9E79" w:rsidR="00F7690F" w:rsidRPr="00F7690F" w:rsidRDefault="00000000" w:rsidP="00F7690F">
      <w:pPr>
        <w:spacing w:line="360" w:lineRule="auto"/>
        <w:jc w:val="center"/>
        <w:rPr>
          <w:rFonts w:ascii="Arial" w:hAnsi="Arial" w:cs="Arial"/>
          <w:szCs w:val="24"/>
        </w:rPr>
      </w:pPr>
      <w:r w:rsidRPr="00F7690F">
        <w:rPr>
          <w:rFonts w:ascii="Arial" w:hAnsi="Arial" w:cs="Arial"/>
          <w:szCs w:val="24"/>
        </w:rPr>
        <w:t>Module: Personnel Resourcing and Development</w:t>
      </w:r>
      <w:r w:rsidR="00EC6DEC">
        <w:rPr>
          <w:rFonts w:ascii="Arial" w:hAnsi="Arial" w:cs="Arial"/>
          <w:szCs w:val="24"/>
        </w:rPr>
        <w:t xml:space="preserve"> (BMIH5005)</w:t>
      </w:r>
    </w:p>
    <w:p w14:paraId="371B0180" w14:textId="1BE5A651" w:rsidR="00F7690F" w:rsidRDefault="00000000" w:rsidP="00F7690F">
      <w:pPr>
        <w:spacing w:line="360" w:lineRule="auto"/>
        <w:jc w:val="center"/>
        <w:rPr>
          <w:rFonts w:ascii="Arial" w:hAnsi="Arial" w:cs="Arial"/>
          <w:szCs w:val="24"/>
        </w:rPr>
      </w:pPr>
      <w:r w:rsidRPr="00F7690F">
        <w:rPr>
          <w:rFonts w:ascii="Arial" w:hAnsi="Arial" w:cs="Arial"/>
          <w:szCs w:val="24"/>
        </w:rPr>
        <w:t>Lecturer</w:t>
      </w:r>
      <w:r w:rsidR="00EC6DEC">
        <w:rPr>
          <w:rFonts w:ascii="Arial" w:hAnsi="Arial" w:cs="Arial"/>
          <w:szCs w:val="24"/>
        </w:rPr>
        <w:t xml:space="preserve"> name</w:t>
      </w:r>
      <w:r w:rsidRPr="00F7690F">
        <w:rPr>
          <w:rFonts w:ascii="Arial" w:hAnsi="Arial" w:cs="Arial"/>
          <w:szCs w:val="24"/>
        </w:rPr>
        <w:t xml:space="preserve">: </w:t>
      </w:r>
      <w:r w:rsidR="00EC6DEC">
        <w:rPr>
          <w:rFonts w:ascii="Arial" w:hAnsi="Arial" w:cs="Arial"/>
          <w:szCs w:val="24"/>
        </w:rPr>
        <w:t>Deborah Llyod</w:t>
      </w:r>
    </w:p>
    <w:p w14:paraId="6F580947" w14:textId="6EBF33E4" w:rsidR="00EC6DEC" w:rsidRDefault="00EC6DEC" w:rsidP="00F7690F">
      <w:pPr>
        <w:spacing w:line="360" w:lineRule="auto"/>
        <w:jc w:val="center"/>
        <w:rPr>
          <w:rFonts w:ascii="Arial" w:hAnsi="Arial" w:cs="Arial"/>
          <w:szCs w:val="24"/>
        </w:rPr>
      </w:pPr>
      <w:r>
        <w:rPr>
          <w:rFonts w:ascii="Arial" w:hAnsi="Arial" w:cs="Arial"/>
          <w:szCs w:val="24"/>
        </w:rPr>
        <w:t xml:space="preserve">Student name: </w:t>
      </w:r>
      <w:proofErr w:type="spellStart"/>
      <w:r>
        <w:rPr>
          <w:rFonts w:ascii="Arial" w:hAnsi="Arial" w:cs="Arial"/>
          <w:szCs w:val="24"/>
        </w:rPr>
        <w:t>Gergo</w:t>
      </w:r>
      <w:proofErr w:type="spellEnd"/>
      <w:r>
        <w:rPr>
          <w:rFonts w:ascii="Arial" w:hAnsi="Arial" w:cs="Arial"/>
          <w:szCs w:val="24"/>
        </w:rPr>
        <w:t xml:space="preserve"> Balla</w:t>
      </w:r>
    </w:p>
    <w:p w14:paraId="261C25DC" w14:textId="775C74AB" w:rsidR="00EC6DEC" w:rsidRDefault="00EC6DEC" w:rsidP="00F7690F">
      <w:pPr>
        <w:spacing w:line="360" w:lineRule="auto"/>
        <w:jc w:val="center"/>
        <w:rPr>
          <w:rFonts w:ascii="Arial" w:hAnsi="Arial" w:cs="Arial"/>
          <w:szCs w:val="24"/>
        </w:rPr>
      </w:pPr>
      <w:r>
        <w:rPr>
          <w:rFonts w:ascii="Arial" w:hAnsi="Arial" w:cs="Arial"/>
          <w:szCs w:val="24"/>
        </w:rPr>
        <w:t>Registration ID: 2209327</w:t>
      </w:r>
    </w:p>
    <w:p w14:paraId="3858FEB2" w14:textId="1B0FB672" w:rsidR="00EC6DEC" w:rsidRPr="00F7690F" w:rsidRDefault="00EC6DEC" w:rsidP="00F7690F">
      <w:pPr>
        <w:spacing w:line="360" w:lineRule="auto"/>
        <w:jc w:val="center"/>
        <w:rPr>
          <w:rFonts w:ascii="Arial" w:hAnsi="Arial" w:cs="Arial"/>
          <w:szCs w:val="24"/>
        </w:rPr>
      </w:pPr>
      <w:r>
        <w:rPr>
          <w:rFonts w:ascii="Arial" w:hAnsi="Arial" w:cs="Arial"/>
          <w:szCs w:val="24"/>
        </w:rPr>
        <w:t>Word count: 1912</w:t>
      </w:r>
    </w:p>
    <w:p w14:paraId="28ACD9FD" w14:textId="77777777" w:rsidR="007945F3" w:rsidRPr="00F7690F" w:rsidRDefault="007945F3" w:rsidP="00F7690F">
      <w:pPr>
        <w:spacing w:line="360" w:lineRule="auto"/>
        <w:jc w:val="both"/>
        <w:rPr>
          <w:rFonts w:ascii="Arial" w:hAnsi="Arial" w:cs="Arial"/>
          <w:szCs w:val="24"/>
        </w:rPr>
      </w:pPr>
    </w:p>
    <w:p w14:paraId="0A3380C7" w14:textId="77777777" w:rsidR="007945F3" w:rsidRPr="00F7690F" w:rsidRDefault="007945F3" w:rsidP="00F7690F">
      <w:pPr>
        <w:spacing w:line="360" w:lineRule="auto"/>
        <w:jc w:val="both"/>
        <w:rPr>
          <w:rFonts w:ascii="Arial" w:hAnsi="Arial" w:cs="Arial"/>
          <w:szCs w:val="24"/>
        </w:rPr>
      </w:pPr>
    </w:p>
    <w:p w14:paraId="74DFF8CE" w14:textId="77777777" w:rsidR="007945F3" w:rsidRPr="00F7690F" w:rsidRDefault="007945F3" w:rsidP="00F7690F">
      <w:pPr>
        <w:spacing w:line="360" w:lineRule="auto"/>
        <w:jc w:val="both"/>
        <w:rPr>
          <w:rFonts w:ascii="Arial" w:hAnsi="Arial" w:cs="Arial"/>
          <w:szCs w:val="24"/>
        </w:rPr>
      </w:pPr>
    </w:p>
    <w:p w14:paraId="4F58DE9C" w14:textId="77777777" w:rsidR="007945F3" w:rsidRPr="00F7690F" w:rsidRDefault="007945F3" w:rsidP="00F7690F">
      <w:pPr>
        <w:spacing w:line="360" w:lineRule="auto"/>
        <w:jc w:val="both"/>
        <w:rPr>
          <w:rFonts w:ascii="Arial" w:hAnsi="Arial" w:cs="Arial"/>
          <w:szCs w:val="24"/>
        </w:rPr>
      </w:pPr>
    </w:p>
    <w:p w14:paraId="1F60F68B" w14:textId="77777777" w:rsidR="007945F3" w:rsidRPr="00F7690F" w:rsidRDefault="007945F3" w:rsidP="00F7690F">
      <w:pPr>
        <w:spacing w:line="360" w:lineRule="auto"/>
        <w:jc w:val="both"/>
        <w:rPr>
          <w:rFonts w:ascii="Arial" w:hAnsi="Arial" w:cs="Arial"/>
          <w:szCs w:val="24"/>
        </w:rPr>
      </w:pPr>
    </w:p>
    <w:p w14:paraId="65DEED3D" w14:textId="77777777" w:rsidR="007945F3" w:rsidRPr="00F7690F" w:rsidRDefault="007945F3" w:rsidP="00F7690F">
      <w:pPr>
        <w:spacing w:line="360" w:lineRule="auto"/>
        <w:jc w:val="both"/>
        <w:rPr>
          <w:rFonts w:ascii="Arial" w:hAnsi="Arial" w:cs="Arial"/>
          <w:szCs w:val="24"/>
        </w:rPr>
      </w:pPr>
    </w:p>
    <w:p w14:paraId="34402696" w14:textId="77777777" w:rsidR="007945F3" w:rsidRPr="00F7690F" w:rsidRDefault="007945F3" w:rsidP="00F7690F">
      <w:pPr>
        <w:spacing w:line="360" w:lineRule="auto"/>
        <w:jc w:val="both"/>
        <w:rPr>
          <w:rFonts w:ascii="Arial" w:hAnsi="Arial" w:cs="Arial"/>
          <w:szCs w:val="24"/>
        </w:rPr>
      </w:pPr>
    </w:p>
    <w:p w14:paraId="1C1511C6" w14:textId="77777777" w:rsidR="004834C3" w:rsidRPr="00F7690F" w:rsidRDefault="004834C3" w:rsidP="00F7690F">
      <w:pPr>
        <w:spacing w:line="360" w:lineRule="auto"/>
        <w:jc w:val="both"/>
        <w:rPr>
          <w:rFonts w:ascii="Arial" w:hAnsi="Arial" w:cs="Arial"/>
          <w:szCs w:val="24"/>
        </w:rPr>
      </w:pPr>
    </w:p>
    <w:p w14:paraId="1066D8C7" w14:textId="77777777" w:rsidR="00351DE1" w:rsidRPr="00F7690F" w:rsidRDefault="00000000" w:rsidP="001A4956">
      <w:pPr>
        <w:spacing w:line="360" w:lineRule="auto"/>
        <w:ind w:firstLine="720"/>
        <w:jc w:val="both"/>
        <w:rPr>
          <w:rFonts w:ascii="Arial" w:hAnsi="Arial" w:cs="Arial"/>
          <w:szCs w:val="24"/>
        </w:rPr>
      </w:pPr>
      <w:r w:rsidRPr="00F7690F">
        <w:rPr>
          <w:rFonts w:ascii="Arial" w:hAnsi="Arial" w:cs="Arial"/>
          <w:szCs w:val="24"/>
        </w:rPr>
        <w:t xml:space="preserve">Premier Inn Limited is the largest hotel brand in the United Kingdom, boasting over 72,000 guest rooms and 800 locations (Ghandour et al., 2015). It runs hotels in various settings, from downtown to the suburbs to airports, where it faces off against chains like Travelodge and Ibis. Wherever in the United Kingdom one may like to travel, one may find a welcoming stay at one of the country's more than 800 hotels. The Premier Inn culture is more unified than ever due to improvements in communication. The Whitbread Group has a high level of employee satisfaction, as seen by the 78% engagement score they received in their most recent annual engagement and enablement survey (Premier Inn, 2022). By focusing on the Premier Inn hotel, this essay discusses the HR department's strategies to engage the employees throughout the employee lifecycle. The purpose of this essay is to analyse the ways in which employees are engaged in Generation Y throughout the employee lifecycle. The role of human resources in engaging employees and the characteristics of Generation Y are explained first. Then, the employee lifecycle is discussed, and the examples of how the team could be engaged are discussed. </w:t>
      </w:r>
    </w:p>
    <w:p w14:paraId="42AB9C8B" w14:textId="77777777" w:rsidR="00C0041C" w:rsidRPr="00F7690F" w:rsidRDefault="00000000" w:rsidP="001A4956">
      <w:pPr>
        <w:spacing w:line="360" w:lineRule="auto"/>
        <w:ind w:firstLine="720"/>
        <w:jc w:val="both"/>
        <w:rPr>
          <w:rFonts w:ascii="Arial" w:hAnsi="Arial" w:cs="Arial"/>
          <w:szCs w:val="24"/>
        </w:rPr>
      </w:pPr>
      <w:r w:rsidRPr="00F7690F">
        <w:rPr>
          <w:rFonts w:ascii="Arial" w:hAnsi="Arial" w:cs="Arial"/>
          <w:szCs w:val="24"/>
        </w:rPr>
        <w:t>Millennials, or members of Generation Y, are people who were born between 1981 and 1996. Depending on the source, the precise range of years may differ significantly. The authors of Generations (1991), William Strauss and Neil Howe, came up with the term because they believed it was appropriate for the first generation to reach adulthood in the new century</w:t>
      </w:r>
      <w:r w:rsidR="007945F3" w:rsidRPr="00F7690F">
        <w:rPr>
          <w:rFonts w:ascii="Arial" w:hAnsi="Arial" w:cs="Arial"/>
          <w:szCs w:val="24"/>
        </w:rPr>
        <w:t xml:space="preserve"> (Bucuta, 2015).</w:t>
      </w:r>
      <w:r w:rsidRPr="00F7690F">
        <w:rPr>
          <w:rFonts w:ascii="Arial" w:hAnsi="Arial" w:cs="Arial"/>
          <w:szCs w:val="24"/>
        </w:rPr>
        <w:t xml:space="preserve"> The millennial generation is the first to adopt digital technology completely for all facets of daily living. Social media is used for a variety of purposes, including dating (through apps like Tinder, Bumble, and Hinge), creating professional connections (through LinkedIn), shopping (through Amazon and other sites), and entertainment</w:t>
      </w:r>
      <w:r w:rsidR="007945F3" w:rsidRPr="00F7690F">
        <w:rPr>
          <w:rFonts w:ascii="Arial" w:hAnsi="Arial" w:cs="Arial"/>
          <w:szCs w:val="24"/>
        </w:rPr>
        <w:t xml:space="preserve"> (Reisenwitz and Iyer, 2009).</w:t>
      </w:r>
      <w:r w:rsidRPr="00F7690F">
        <w:rPr>
          <w:rFonts w:ascii="Arial" w:hAnsi="Arial" w:cs="Arial"/>
          <w:szCs w:val="24"/>
        </w:rPr>
        <w:t xml:space="preserve"> Sites like Facebook are used for staying in touch with friends.</w:t>
      </w:r>
      <w:r w:rsidR="0034767F" w:rsidRPr="00F7690F">
        <w:rPr>
          <w:rFonts w:ascii="Arial" w:hAnsi="Arial" w:cs="Arial"/>
          <w:szCs w:val="24"/>
        </w:rPr>
        <w:t xml:space="preserve"> Since they came of age during the computer revolution, most millennials are experts with a wide range of digital resources. They are generally cited as the first "digital native" generation. Many Generation Y cohort members went on to get advanced degrees, and they all prioritise lifelong education and improvement</w:t>
      </w:r>
      <w:r w:rsidR="007945F3" w:rsidRPr="00F7690F">
        <w:rPr>
          <w:rFonts w:ascii="Arial" w:hAnsi="Arial" w:cs="Arial"/>
          <w:szCs w:val="24"/>
        </w:rPr>
        <w:t xml:space="preserve"> (Eckleberry-Hunt and Tucciarone, 2011).</w:t>
      </w:r>
      <w:r w:rsidR="0034767F" w:rsidRPr="00F7690F">
        <w:rPr>
          <w:rFonts w:ascii="Arial" w:hAnsi="Arial" w:cs="Arial"/>
          <w:szCs w:val="24"/>
        </w:rPr>
        <w:t xml:space="preserve"> Student loan debt and the difficulty of entering the labour </w:t>
      </w:r>
      <w:r w:rsidR="0034767F" w:rsidRPr="00F7690F">
        <w:rPr>
          <w:rFonts w:ascii="Arial" w:hAnsi="Arial" w:cs="Arial"/>
          <w:szCs w:val="24"/>
        </w:rPr>
        <w:lastRenderedPageBreak/>
        <w:t>market during economic downturns are two major financial obstacles that many Millennials must overcome. Because of this, their spending habits and value systems have shifted.</w:t>
      </w:r>
    </w:p>
    <w:p w14:paraId="32E1CAD8" w14:textId="77777777" w:rsidR="001A4956" w:rsidRDefault="00000000" w:rsidP="001A4956">
      <w:pPr>
        <w:spacing w:line="360" w:lineRule="auto"/>
        <w:ind w:firstLine="720"/>
        <w:jc w:val="both"/>
        <w:rPr>
          <w:rFonts w:ascii="Arial" w:hAnsi="Arial" w:cs="Arial"/>
          <w:szCs w:val="24"/>
        </w:rPr>
      </w:pPr>
      <w:r w:rsidRPr="00F7690F">
        <w:rPr>
          <w:rFonts w:ascii="Arial" w:hAnsi="Arial" w:cs="Arial"/>
          <w:szCs w:val="24"/>
        </w:rPr>
        <w:t>Human resources (HR) are crucial in fostering company loyalty among workers. Employee engagement is not just a buzzword; it is a fundamental factor in how successful a company is. Human resources departments link upper management and the workforce, and it is their job to foster an atmosphere where workers feel appreciated and committed to the company's goals</w:t>
      </w:r>
      <w:r w:rsidR="007945F3" w:rsidRPr="00F7690F">
        <w:rPr>
          <w:rFonts w:ascii="Arial" w:hAnsi="Arial" w:cs="Arial"/>
          <w:szCs w:val="24"/>
        </w:rPr>
        <w:t xml:space="preserve"> (Salas</w:t>
      </w:r>
      <w:r w:rsidR="007945F3" w:rsidRPr="00F7690F">
        <w:rPr>
          <w:rFonts w:ascii="Cambria Math" w:hAnsi="Cambria Math" w:cs="Cambria Math"/>
          <w:szCs w:val="24"/>
        </w:rPr>
        <w:t>‐</w:t>
      </w:r>
      <w:r w:rsidR="007945F3" w:rsidRPr="00F7690F">
        <w:rPr>
          <w:rFonts w:ascii="Arial" w:hAnsi="Arial" w:cs="Arial"/>
          <w:szCs w:val="24"/>
        </w:rPr>
        <w:t>Vallina et al., 2021).</w:t>
      </w:r>
      <w:r w:rsidRPr="00F7690F">
        <w:rPr>
          <w:rFonts w:ascii="Arial" w:hAnsi="Arial" w:cs="Arial"/>
          <w:szCs w:val="24"/>
        </w:rPr>
        <w:t xml:space="preserve"> To get there, HR pros need to put in extra effort during the hiring process to find people who are a good cultural match in addition to having the skills necessary for the position. This method of hiring strategically increases the likelihood that new hires will buy into the company's mission and core values. </w:t>
      </w:r>
    </w:p>
    <w:p w14:paraId="67079069" w14:textId="5D0F66A6" w:rsidR="00C0041C" w:rsidRPr="00F7690F" w:rsidRDefault="00000000" w:rsidP="001A4956">
      <w:pPr>
        <w:spacing w:line="360" w:lineRule="auto"/>
        <w:ind w:firstLine="720"/>
        <w:jc w:val="both"/>
        <w:rPr>
          <w:rFonts w:ascii="Arial" w:hAnsi="Arial" w:cs="Arial"/>
          <w:szCs w:val="24"/>
        </w:rPr>
      </w:pPr>
      <w:r w:rsidRPr="00F7690F">
        <w:rPr>
          <w:rFonts w:ascii="Arial" w:hAnsi="Arial" w:cs="Arial"/>
          <w:szCs w:val="24"/>
        </w:rPr>
        <w:t>After an employee has joined the company, HR will use a variety of methods to keep them involved</w:t>
      </w:r>
      <w:r w:rsidR="007945F3" w:rsidRPr="00F7690F">
        <w:rPr>
          <w:rFonts w:ascii="Arial" w:hAnsi="Arial" w:cs="Arial"/>
          <w:szCs w:val="24"/>
        </w:rPr>
        <w:t xml:space="preserve"> (Tucker, 2017).</w:t>
      </w:r>
      <w:r w:rsidRPr="00F7690F">
        <w:rPr>
          <w:rFonts w:ascii="Arial" w:hAnsi="Arial" w:cs="Arial"/>
          <w:szCs w:val="24"/>
        </w:rPr>
        <w:t xml:space="preserve"> Training and development of talent is a crucial component. Human resources should create and roll out training programs that encourage lifelong learning and assist workers to advance in their current positions. Human resources is also accountable for promoting a healthy work environment through the provision of services such as benefits, wellness programs and the promotion of an inclusive and diverse workplace culture</w:t>
      </w:r>
      <w:r w:rsidR="007945F3" w:rsidRPr="00F7690F">
        <w:rPr>
          <w:rFonts w:ascii="Arial" w:hAnsi="Arial" w:cs="Arial"/>
          <w:szCs w:val="24"/>
        </w:rPr>
        <w:t xml:space="preserve"> (Sharma and Tewari, 2018). </w:t>
      </w:r>
      <w:r w:rsidRPr="00F7690F">
        <w:rPr>
          <w:rFonts w:ascii="Arial" w:hAnsi="Arial" w:cs="Arial"/>
          <w:szCs w:val="24"/>
        </w:rPr>
        <w:t>Human resources experts can also facilitate frequent performance reviews and feedback meetings where workers can air their grievances, get advice, and establish objectives for their own growth. In this approach, human resources act as a go-between for the company's leadership and its staff, helping to foster an environment where everyone feels valued and appreciated.</w:t>
      </w:r>
    </w:p>
    <w:p w14:paraId="1EA7B290" w14:textId="77777777" w:rsidR="0034767F" w:rsidRPr="00F7690F" w:rsidRDefault="00000000" w:rsidP="001A4956">
      <w:pPr>
        <w:spacing w:line="360" w:lineRule="auto"/>
        <w:ind w:firstLine="720"/>
        <w:jc w:val="both"/>
        <w:rPr>
          <w:rFonts w:ascii="Arial" w:hAnsi="Arial" w:cs="Arial"/>
          <w:szCs w:val="24"/>
        </w:rPr>
      </w:pPr>
      <w:r w:rsidRPr="00F7690F">
        <w:rPr>
          <w:rFonts w:ascii="Arial" w:hAnsi="Arial" w:cs="Arial"/>
          <w:szCs w:val="24"/>
        </w:rPr>
        <w:t>An effective technique for generating a motivating, satisfying, and productive workplace atmosphere is to implement an employee engagement model based on Maslow's Hierarchy of Needs. Physiological requirements are at the bottom of Maslow's hierarchy, while esteem and self-actualisation needs are at the top</w:t>
      </w:r>
      <w:r w:rsidR="00F7690F" w:rsidRPr="00F7690F">
        <w:rPr>
          <w:rFonts w:ascii="Arial" w:hAnsi="Arial" w:cs="Arial"/>
          <w:szCs w:val="24"/>
        </w:rPr>
        <w:t xml:space="preserve"> (Madan, 2017). </w:t>
      </w:r>
      <w:r w:rsidRPr="00F7690F">
        <w:rPr>
          <w:rFonts w:ascii="Arial" w:hAnsi="Arial" w:cs="Arial"/>
          <w:szCs w:val="24"/>
        </w:rPr>
        <w:t>These requirements can be modified in a business setting to increase employee participation.</w:t>
      </w:r>
    </w:p>
    <w:p w14:paraId="227A0B1E" w14:textId="77777777" w:rsidR="00535881" w:rsidRPr="00F7690F" w:rsidRDefault="00000000" w:rsidP="001A4956">
      <w:pPr>
        <w:spacing w:line="360" w:lineRule="auto"/>
        <w:ind w:firstLine="720"/>
        <w:jc w:val="both"/>
        <w:rPr>
          <w:rFonts w:ascii="Arial" w:hAnsi="Arial" w:cs="Arial"/>
          <w:szCs w:val="24"/>
        </w:rPr>
      </w:pPr>
      <w:r w:rsidRPr="00F7690F">
        <w:rPr>
          <w:rFonts w:ascii="Arial" w:hAnsi="Arial" w:cs="Arial"/>
          <w:i/>
          <w:iCs/>
          <w:szCs w:val="24"/>
        </w:rPr>
        <w:lastRenderedPageBreak/>
        <w:t>Physiological needs</w:t>
      </w:r>
      <w:r w:rsidRPr="00F7690F">
        <w:rPr>
          <w:rFonts w:ascii="Arial" w:hAnsi="Arial" w:cs="Arial"/>
          <w:szCs w:val="24"/>
        </w:rPr>
        <w:t>, such as those for food, housing, and a secure workplace, are at the bottom of Maslow's Hierarchy. For an employee engagement model to be successful, several prerequisites must be satisfied. This entails not only paying employees fairly but also creating a secure and comfortable workplace and addressing any health issues that may arise</w:t>
      </w:r>
      <w:r w:rsidR="00F7690F" w:rsidRPr="00F7690F">
        <w:rPr>
          <w:rFonts w:ascii="Arial" w:hAnsi="Arial" w:cs="Arial"/>
          <w:szCs w:val="24"/>
        </w:rPr>
        <w:t xml:space="preserve"> (Stewart et al., 2018). </w:t>
      </w:r>
      <w:r w:rsidRPr="00F7690F">
        <w:rPr>
          <w:rFonts w:ascii="Arial" w:hAnsi="Arial" w:cs="Arial"/>
          <w:szCs w:val="24"/>
        </w:rPr>
        <w:t>These demands can be met, for instance, by providing employees with nutritious meals, pleasant work environments, and sufficient time off. After their basic requirements are addressed, workers look for stability in their careers and personal lives (</w:t>
      </w:r>
      <w:r w:rsidRPr="00F7690F">
        <w:rPr>
          <w:rFonts w:ascii="Arial" w:hAnsi="Arial" w:cs="Arial"/>
          <w:i/>
          <w:iCs/>
          <w:szCs w:val="24"/>
        </w:rPr>
        <w:t>safety needs</w:t>
      </w:r>
      <w:r w:rsidRPr="00F7690F">
        <w:rPr>
          <w:rFonts w:ascii="Arial" w:hAnsi="Arial" w:cs="Arial"/>
          <w:szCs w:val="24"/>
        </w:rPr>
        <w:t>). A company can motivate its employees by offering stable employment, transparent policies, and a positive work environment</w:t>
      </w:r>
      <w:r w:rsidR="00F7690F" w:rsidRPr="00F7690F">
        <w:rPr>
          <w:rFonts w:ascii="Arial" w:hAnsi="Arial" w:cs="Arial"/>
          <w:szCs w:val="24"/>
        </w:rPr>
        <w:t xml:space="preserve"> (Madan, 2017).</w:t>
      </w:r>
      <w:r w:rsidRPr="00F7690F">
        <w:rPr>
          <w:rFonts w:ascii="Arial" w:hAnsi="Arial" w:cs="Arial"/>
          <w:szCs w:val="24"/>
        </w:rPr>
        <w:t xml:space="preserve"> Job security measures, health and wellness programmes, and addressing safety concerns are all examples of ways to meet this demand.</w:t>
      </w:r>
    </w:p>
    <w:p w14:paraId="3F093858" w14:textId="77777777" w:rsidR="00535881" w:rsidRPr="00F7690F" w:rsidRDefault="00000000" w:rsidP="001A4956">
      <w:pPr>
        <w:spacing w:line="360" w:lineRule="auto"/>
        <w:ind w:firstLine="720"/>
        <w:jc w:val="both"/>
        <w:rPr>
          <w:rFonts w:ascii="Arial" w:hAnsi="Arial" w:cs="Arial"/>
          <w:szCs w:val="24"/>
        </w:rPr>
      </w:pPr>
      <w:r w:rsidRPr="00F7690F">
        <w:rPr>
          <w:rFonts w:ascii="Arial" w:hAnsi="Arial" w:cs="Arial"/>
          <w:szCs w:val="24"/>
        </w:rPr>
        <w:t>At the second level of Maslow's pyramid are demands for belonging and communicating with others (</w:t>
      </w:r>
      <w:r w:rsidRPr="00F7690F">
        <w:rPr>
          <w:rFonts w:ascii="Arial" w:hAnsi="Arial" w:cs="Arial"/>
          <w:i/>
          <w:iCs/>
          <w:szCs w:val="24"/>
        </w:rPr>
        <w:t>social needs</w:t>
      </w:r>
      <w:r w:rsidRPr="00F7690F">
        <w:rPr>
          <w:rFonts w:ascii="Arial" w:hAnsi="Arial" w:cs="Arial"/>
          <w:szCs w:val="24"/>
        </w:rPr>
        <w:t>). One way to get people invested in their work is to make them feel like they belong at the company. Employees can get to know their coworkers and superiors better through team-building exercises, social gatherings, and open lines of communication</w:t>
      </w:r>
      <w:r w:rsidR="00F7690F" w:rsidRPr="00F7690F">
        <w:rPr>
          <w:rFonts w:ascii="Arial" w:hAnsi="Arial" w:cs="Arial"/>
          <w:szCs w:val="24"/>
        </w:rPr>
        <w:t xml:space="preserve"> (Jerome, 2013).</w:t>
      </w:r>
      <w:r w:rsidRPr="00F7690F">
        <w:rPr>
          <w:rFonts w:ascii="Arial" w:hAnsi="Arial" w:cs="Arial"/>
          <w:szCs w:val="24"/>
        </w:rPr>
        <w:t xml:space="preserve"> </w:t>
      </w:r>
      <w:r w:rsidRPr="00F7690F">
        <w:rPr>
          <w:rFonts w:ascii="Arial" w:hAnsi="Arial" w:cs="Arial"/>
          <w:i/>
          <w:iCs/>
          <w:szCs w:val="24"/>
        </w:rPr>
        <w:t>Esteem needs</w:t>
      </w:r>
      <w:r w:rsidRPr="00F7690F">
        <w:rPr>
          <w:rFonts w:ascii="Arial" w:hAnsi="Arial" w:cs="Arial"/>
          <w:szCs w:val="24"/>
        </w:rPr>
        <w:t xml:space="preserve"> centre on feelings of worthiness and the desire to be acknowledged. Recognising and rewarding employees for their efforts is one potential component of a successful engagement plan. Regular feedback on performance, public recognition of accomplishments, and access to training and advancement opportunities are all ways to attain this goal. </w:t>
      </w:r>
      <w:r w:rsidRPr="00F7690F">
        <w:rPr>
          <w:rFonts w:ascii="Arial" w:hAnsi="Arial" w:cs="Arial"/>
          <w:i/>
          <w:iCs/>
          <w:szCs w:val="24"/>
        </w:rPr>
        <w:t>Self-actualisation</w:t>
      </w:r>
      <w:r w:rsidRPr="00F7690F">
        <w:rPr>
          <w:rFonts w:ascii="Arial" w:hAnsi="Arial" w:cs="Arial"/>
          <w:szCs w:val="24"/>
        </w:rPr>
        <w:t xml:space="preserve"> is the highest level on Maslow's hierarchy since it requires the individual to focus on their own development and happiness</w:t>
      </w:r>
      <w:r w:rsidR="00F7690F" w:rsidRPr="00F7690F">
        <w:rPr>
          <w:rFonts w:ascii="Arial" w:hAnsi="Arial" w:cs="Arial"/>
          <w:szCs w:val="24"/>
        </w:rPr>
        <w:t xml:space="preserve"> (Jonas, 2016).</w:t>
      </w:r>
      <w:r w:rsidRPr="00F7690F">
        <w:rPr>
          <w:rFonts w:ascii="Arial" w:hAnsi="Arial" w:cs="Arial"/>
          <w:szCs w:val="24"/>
        </w:rPr>
        <w:t xml:space="preserve"> Employees are more likely to feel invested in their jobs when they are given chances to learn new skills, make their own decisions, and do challenging, meaningful work. Employees can excel at this level if they are encouraged to use their employment to explore their personal interests and hobbies.</w:t>
      </w:r>
    </w:p>
    <w:p w14:paraId="5FC35585" w14:textId="77777777" w:rsidR="00535881" w:rsidRPr="00F7690F" w:rsidRDefault="00000000" w:rsidP="001A4956">
      <w:pPr>
        <w:spacing w:line="360" w:lineRule="auto"/>
        <w:ind w:firstLine="720"/>
        <w:jc w:val="both"/>
        <w:rPr>
          <w:rFonts w:ascii="Arial" w:hAnsi="Arial" w:cs="Arial"/>
          <w:szCs w:val="24"/>
        </w:rPr>
      </w:pPr>
      <w:r w:rsidRPr="00F7690F">
        <w:rPr>
          <w:rFonts w:ascii="Arial" w:hAnsi="Arial" w:cs="Arial"/>
          <w:szCs w:val="24"/>
        </w:rPr>
        <w:t>Using Maslow's Hierarchy as the basis for an engagement model necessitates a comprehensive strategy that considers all of the many requirements that may arise. For instance, routine surveys of workers might reveal whether or not their physiological and safety requirements are being met. They also have the potential to facilitate the development of interpersonal bonds among workers</w:t>
      </w:r>
      <w:r w:rsidR="00F7690F" w:rsidRPr="00F7690F">
        <w:rPr>
          <w:rFonts w:ascii="Arial" w:hAnsi="Arial" w:cs="Arial"/>
          <w:szCs w:val="24"/>
        </w:rPr>
        <w:t xml:space="preserve"> (Pulasinghage, 2010).</w:t>
      </w:r>
      <w:r w:rsidRPr="00F7690F">
        <w:rPr>
          <w:rFonts w:ascii="Arial" w:hAnsi="Arial" w:cs="Arial"/>
          <w:szCs w:val="24"/>
        </w:rPr>
        <w:t xml:space="preserve"> Employees' </w:t>
      </w:r>
      <w:r w:rsidRPr="00F7690F">
        <w:rPr>
          <w:rFonts w:ascii="Arial" w:hAnsi="Arial" w:cs="Arial"/>
          <w:szCs w:val="24"/>
        </w:rPr>
        <w:lastRenderedPageBreak/>
        <w:t>demands for esteem can be met by programmes that acknowledge and reward them for their efforts, both individually and collectively. Last but not least, helping workers realise their full potential through career advancement opportunities, challenging assignments, and independence.</w:t>
      </w:r>
    </w:p>
    <w:p w14:paraId="24C75556" w14:textId="77777777" w:rsidR="00535881" w:rsidRPr="00F7690F" w:rsidRDefault="00000000" w:rsidP="001A4956">
      <w:pPr>
        <w:spacing w:line="360" w:lineRule="auto"/>
        <w:ind w:firstLine="720"/>
        <w:jc w:val="both"/>
        <w:rPr>
          <w:rFonts w:ascii="Arial" w:hAnsi="Arial" w:cs="Arial"/>
          <w:szCs w:val="24"/>
        </w:rPr>
      </w:pPr>
      <w:r w:rsidRPr="00F7690F">
        <w:rPr>
          <w:rFonts w:ascii="Arial" w:hAnsi="Arial" w:cs="Arial"/>
          <w:szCs w:val="24"/>
        </w:rPr>
        <w:t>Premier Inn's Human Resources department, like that of any other company, faces the critical challenge of maintaining the interest of Generation Y workers throughout their employment. HR should use a number of techniques and activities across the employee lifecycle to engage Generation Y workers effectively:</w:t>
      </w:r>
    </w:p>
    <w:p w14:paraId="0E217B65" w14:textId="77777777" w:rsidR="00535881" w:rsidRPr="00F7690F" w:rsidRDefault="00000000" w:rsidP="001A4956">
      <w:pPr>
        <w:spacing w:line="360" w:lineRule="auto"/>
        <w:ind w:firstLine="720"/>
        <w:jc w:val="both"/>
        <w:rPr>
          <w:rFonts w:ascii="Arial" w:hAnsi="Arial" w:cs="Arial"/>
          <w:szCs w:val="24"/>
        </w:rPr>
      </w:pPr>
      <w:r w:rsidRPr="00F7690F">
        <w:rPr>
          <w:rFonts w:ascii="Arial" w:hAnsi="Arial" w:cs="Arial"/>
          <w:szCs w:val="24"/>
        </w:rPr>
        <w:t xml:space="preserve">HR can use tactics that speak to the aspirations and values of Generation Y during the </w:t>
      </w:r>
      <w:r w:rsidRPr="00F7690F">
        <w:rPr>
          <w:rFonts w:ascii="Arial" w:hAnsi="Arial" w:cs="Arial"/>
          <w:i/>
          <w:iCs/>
          <w:szCs w:val="24"/>
        </w:rPr>
        <w:t>attraction and recruitment</w:t>
      </w:r>
      <w:r w:rsidRPr="00F7690F">
        <w:rPr>
          <w:rFonts w:ascii="Arial" w:hAnsi="Arial" w:cs="Arial"/>
          <w:szCs w:val="24"/>
        </w:rPr>
        <w:t xml:space="preserve"> phase. To attract this generation, create job descriptions that are interesting and emphasise work-life balance, possibilities for professional and personal growth, and a positive business culture</w:t>
      </w:r>
      <w:r w:rsidR="00F7690F" w:rsidRPr="00F7690F">
        <w:rPr>
          <w:rFonts w:ascii="Arial" w:hAnsi="Arial" w:cs="Arial"/>
          <w:szCs w:val="24"/>
        </w:rPr>
        <w:t xml:space="preserve"> (Rai, 2012).</w:t>
      </w:r>
      <w:r w:rsidRPr="00F7690F">
        <w:rPr>
          <w:rFonts w:ascii="Arial" w:hAnsi="Arial" w:cs="Arial"/>
          <w:szCs w:val="24"/>
        </w:rPr>
        <w:t xml:space="preserve"> To attract a younger, tech-savvy clientele, social media networks and online recruitment tools are beneficial. Engaging Generation Y employees requires a thorough </w:t>
      </w:r>
      <w:r w:rsidRPr="00F7690F">
        <w:rPr>
          <w:rFonts w:ascii="Arial" w:hAnsi="Arial" w:cs="Arial"/>
          <w:i/>
          <w:iCs/>
          <w:szCs w:val="24"/>
        </w:rPr>
        <w:t>onboarding process</w:t>
      </w:r>
      <w:r w:rsidRPr="00F7690F">
        <w:rPr>
          <w:rFonts w:ascii="Arial" w:hAnsi="Arial" w:cs="Arial"/>
          <w:szCs w:val="24"/>
        </w:rPr>
        <w:t>. By offering clear instructions, mentorship programs, and online resources, HR can facilitate a seamless onboarding process</w:t>
      </w:r>
      <w:r w:rsidR="00F7690F" w:rsidRPr="00F7690F">
        <w:rPr>
          <w:rFonts w:ascii="Arial" w:hAnsi="Arial" w:cs="Arial"/>
          <w:szCs w:val="24"/>
        </w:rPr>
        <w:t xml:space="preserve"> (Schlichting, 2012).</w:t>
      </w:r>
      <w:r w:rsidRPr="00F7690F">
        <w:rPr>
          <w:rFonts w:ascii="Arial" w:hAnsi="Arial" w:cs="Arial"/>
          <w:szCs w:val="24"/>
        </w:rPr>
        <w:t xml:space="preserve"> Because this generation is tech-savvy, a digital onboarding site that includes FAQs, training materials, and a peer-connection social network might be beneficial.</w:t>
      </w:r>
    </w:p>
    <w:p w14:paraId="3587792E" w14:textId="77777777" w:rsidR="00535881" w:rsidRPr="00F7690F" w:rsidRDefault="00000000" w:rsidP="001A4956">
      <w:pPr>
        <w:spacing w:line="360" w:lineRule="auto"/>
        <w:ind w:firstLine="720"/>
        <w:jc w:val="both"/>
        <w:rPr>
          <w:rFonts w:ascii="Arial" w:hAnsi="Arial" w:cs="Arial"/>
          <w:szCs w:val="24"/>
        </w:rPr>
      </w:pPr>
      <w:r w:rsidRPr="00F7690F">
        <w:rPr>
          <w:rFonts w:ascii="Arial" w:hAnsi="Arial" w:cs="Arial"/>
          <w:szCs w:val="24"/>
        </w:rPr>
        <w:t xml:space="preserve">Premier Inn's human resources department can attract and keep members of Generation Y by facilitating ongoing </w:t>
      </w:r>
      <w:r w:rsidRPr="00F7690F">
        <w:rPr>
          <w:rFonts w:ascii="Arial" w:hAnsi="Arial" w:cs="Arial"/>
          <w:i/>
          <w:iCs/>
          <w:szCs w:val="24"/>
        </w:rPr>
        <w:t>training and education</w:t>
      </w:r>
      <w:r w:rsidRPr="00F7690F">
        <w:rPr>
          <w:rFonts w:ascii="Arial" w:hAnsi="Arial" w:cs="Arial"/>
          <w:szCs w:val="24"/>
        </w:rPr>
        <w:t xml:space="preserve">. It makes sense to meet their needs for professional growth by providing individualised training programs and access to online courses. Another way to keep employees engaged is to give them opportunities to grow professionally and to work on complex projects. Work-life balance, appreciation, and a meaningful mission are typically critical factors in the </w:t>
      </w:r>
      <w:r w:rsidRPr="00F7690F">
        <w:rPr>
          <w:rFonts w:ascii="Arial" w:hAnsi="Arial" w:cs="Arial"/>
          <w:i/>
          <w:iCs/>
          <w:szCs w:val="24"/>
        </w:rPr>
        <w:t>retention</w:t>
      </w:r>
      <w:r w:rsidRPr="00F7690F">
        <w:rPr>
          <w:rFonts w:ascii="Arial" w:hAnsi="Arial" w:cs="Arial"/>
          <w:szCs w:val="24"/>
        </w:rPr>
        <w:t xml:space="preserve"> of Generation Y employees</w:t>
      </w:r>
      <w:r w:rsidR="00F7690F" w:rsidRPr="00F7690F">
        <w:rPr>
          <w:rFonts w:ascii="Arial" w:hAnsi="Arial" w:cs="Arial"/>
          <w:szCs w:val="24"/>
        </w:rPr>
        <w:t xml:space="preserve"> (Amankwa, 2020).</w:t>
      </w:r>
      <w:r w:rsidRPr="00F7690F">
        <w:rPr>
          <w:rFonts w:ascii="Arial" w:hAnsi="Arial" w:cs="Arial"/>
          <w:szCs w:val="24"/>
        </w:rPr>
        <w:t xml:space="preserve"> Human resources may provide a more adaptable work environment, provide consistent feedback, and reward employees depending on their performance. Corporate social responsibility (CSR) programs that encourage employee participation might help satisfy workers' need to make a difference in the world.</w:t>
      </w:r>
    </w:p>
    <w:p w14:paraId="2940A8FD" w14:textId="77777777" w:rsidR="007945F3" w:rsidRPr="00F7690F" w:rsidRDefault="00000000" w:rsidP="001A4956">
      <w:pPr>
        <w:spacing w:line="360" w:lineRule="auto"/>
        <w:ind w:firstLine="720"/>
        <w:jc w:val="both"/>
        <w:rPr>
          <w:rFonts w:ascii="Arial" w:hAnsi="Arial" w:cs="Arial"/>
          <w:szCs w:val="24"/>
        </w:rPr>
      </w:pPr>
      <w:r w:rsidRPr="00F7690F">
        <w:rPr>
          <w:rFonts w:ascii="Arial" w:hAnsi="Arial" w:cs="Arial"/>
          <w:szCs w:val="24"/>
        </w:rPr>
        <w:lastRenderedPageBreak/>
        <w:t xml:space="preserve">When it comes to </w:t>
      </w:r>
      <w:r w:rsidRPr="00F7690F">
        <w:rPr>
          <w:rFonts w:ascii="Arial" w:hAnsi="Arial" w:cs="Arial"/>
          <w:i/>
          <w:iCs/>
          <w:szCs w:val="24"/>
        </w:rPr>
        <w:t>separation</w:t>
      </w:r>
      <w:r w:rsidRPr="00F7690F">
        <w:rPr>
          <w:rFonts w:ascii="Arial" w:hAnsi="Arial" w:cs="Arial"/>
          <w:szCs w:val="24"/>
        </w:rPr>
        <w:t>, for job changes or other reasons, HR might interview departing employees to learn more about the factors that influenced their choice. The organisation's engagement tactics may benefit from their input, and they may even be hired again in the future</w:t>
      </w:r>
      <w:r w:rsidR="00F7690F" w:rsidRPr="00F7690F">
        <w:rPr>
          <w:rFonts w:ascii="Arial" w:hAnsi="Arial" w:cs="Arial"/>
          <w:szCs w:val="24"/>
        </w:rPr>
        <w:t xml:space="preserve"> (Solnet et al., 2012).</w:t>
      </w:r>
      <w:r w:rsidRPr="00F7690F">
        <w:rPr>
          <w:rFonts w:ascii="Arial" w:hAnsi="Arial" w:cs="Arial"/>
          <w:szCs w:val="24"/>
        </w:rPr>
        <w:t xml:space="preserve"> HR should consider providing flexible schedule alternatives to the Premier Inn staff in order to meet their needs for work-life balance. Establishing a policy that permits workers to modify their work schedules or work from home is advantageous. Furthermore, encouraging regular team-building activities and implementing employee of the month programmes to recognise outstanding work can boost the motivation and sense of community among Generation Y workers</w:t>
      </w:r>
      <w:r w:rsidR="00F7690F" w:rsidRPr="00F7690F">
        <w:rPr>
          <w:rFonts w:ascii="Arial" w:hAnsi="Arial" w:cs="Arial"/>
          <w:szCs w:val="24"/>
        </w:rPr>
        <w:t xml:space="preserve"> (Naim and Lenka, 2016).</w:t>
      </w:r>
      <w:r w:rsidRPr="00F7690F">
        <w:rPr>
          <w:rFonts w:ascii="Arial" w:hAnsi="Arial" w:cs="Arial"/>
          <w:szCs w:val="24"/>
        </w:rPr>
        <w:t xml:space="preserve"> Hence, engaging Generation Y employees throughout their careers requires understanding their preferences and changing HR practices. Attracting, onboarding, developing, retaining, and even addressing separations should reflect this generation's values and expectations to create a more engaged and productive staff at Premier Inn or any organisation. </w:t>
      </w:r>
    </w:p>
    <w:p w14:paraId="789B4CFF" w14:textId="77777777" w:rsidR="007945F3" w:rsidRPr="00F7690F" w:rsidRDefault="00000000" w:rsidP="001A4956">
      <w:pPr>
        <w:spacing w:line="360" w:lineRule="auto"/>
        <w:ind w:firstLine="720"/>
        <w:jc w:val="both"/>
        <w:rPr>
          <w:rFonts w:ascii="Arial" w:hAnsi="Arial" w:cs="Arial"/>
          <w:szCs w:val="24"/>
        </w:rPr>
      </w:pPr>
      <w:r w:rsidRPr="00F7690F">
        <w:rPr>
          <w:rFonts w:ascii="Arial" w:hAnsi="Arial" w:cs="Arial"/>
          <w:szCs w:val="24"/>
        </w:rPr>
        <w:t>For example, The Ritz-Carlton has built its reputation on its dedication to luxurious, personalised service. To increase employee motivation, they give them more autonomy to make decisions at the moment that will have a positive impact on the customer service they provide. Each worker is allowed to use their own money up to a specific limit to address a guest's problem without getting permission first</w:t>
      </w:r>
      <w:r w:rsidR="00F7690F" w:rsidRPr="00F7690F">
        <w:rPr>
          <w:rFonts w:ascii="Arial" w:hAnsi="Arial" w:cs="Arial"/>
          <w:szCs w:val="24"/>
        </w:rPr>
        <w:t xml:space="preserve"> (Huang, 2021). </w:t>
      </w:r>
      <w:r w:rsidRPr="00F7690F">
        <w:rPr>
          <w:rFonts w:ascii="Arial" w:hAnsi="Arial" w:cs="Arial"/>
          <w:szCs w:val="24"/>
        </w:rPr>
        <w:t>As a result, personnel are given the authority to ensure that guests are satisfied at all times. In addition, it helps employees feel more accountable and prouder of their work. The Four Seasons Hotels and Resorts places significant emphasis on the allocation of resources towards employee training and development. The organisation provides a diverse array of educational prospects, such as the Four Seasons University, an all-encompassing instructional initiative, as well as the opportunity to gain experience at several global establishments</w:t>
      </w:r>
      <w:r w:rsidR="00F7690F" w:rsidRPr="00F7690F">
        <w:rPr>
          <w:rFonts w:ascii="Arial" w:hAnsi="Arial" w:cs="Arial"/>
          <w:szCs w:val="24"/>
        </w:rPr>
        <w:t xml:space="preserve"> (Agustina and Logahan, 2020). </w:t>
      </w:r>
      <w:r w:rsidRPr="00F7690F">
        <w:rPr>
          <w:rFonts w:ascii="Arial" w:hAnsi="Arial" w:cs="Arial"/>
          <w:szCs w:val="24"/>
        </w:rPr>
        <w:t>The Four Seasons hotel chain effectively cultivates employee loyalty and commitment by offering ample growth and development prospects, which not only boost their abilities but also contribute to a strong sense of dedication among the staff. Both of these instances exemplify the ways in which hotels within the industry effectively involve their staff through the implementation of empowerment strategies and the provision of learning and development opportunities</w:t>
      </w:r>
      <w:r w:rsidR="00F7690F" w:rsidRPr="00F7690F">
        <w:rPr>
          <w:rFonts w:ascii="Arial" w:hAnsi="Arial" w:cs="Arial"/>
          <w:szCs w:val="24"/>
        </w:rPr>
        <w:t xml:space="preserve"> </w:t>
      </w:r>
      <w:r w:rsidR="00F7690F" w:rsidRPr="00F7690F">
        <w:rPr>
          <w:rFonts w:ascii="Arial" w:hAnsi="Arial" w:cs="Arial"/>
          <w:szCs w:val="24"/>
        </w:rPr>
        <w:lastRenderedPageBreak/>
        <w:t xml:space="preserve">(Veleva, 2020). </w:t>
      </w:r>
      <w:r w:rsidRPr="00F7690F">
        <w:rPr>
          <w:rFonts w:ascii="Arial" w:hAnsi="Arial" w:cs="Arial"/>
          <w:szCs w:val="24"/>
        </w:rPr>
        <w:t>These tactics not only result in enhanced guest experiences but also contribute to increased employee satisfaction and retention.</w:t>
      </w:r>
    </w:p>
    <w:p w14:paraId="1FEE00DC" w14:textId="77777777" w:rsidR="0034767F" w:rsidRPr="00F7690F" w:rsidRDefault="00000000" w:rsidP="001A4956">
      <w:pPr>
        <w:spacing w:line="360" w:lineRule="auto"/>
        <w:ind w:firstLine="720"/>
        <w:jc w:val="both"/>
        <w:rPr>
          <w:rFonts w:ascii="Arial" w:hAnsi="Arial" w:cs="Arial"/>
          <w:szCs w:val="24"/>
        </w:rPr>
      </w:pPr>
      <w:r w:rsidRPr="00F7690F">
        <w:rPr>
          <w:rFonts w:ascii="Arial" w:hAnsi="Arial" w:cs="Arial"/>
          <w:szCs w:val="24"/>
        </w:rPr>
        <w:t>To conclude, it has been examined that human resources play a crucial and diverse role in motivating and retaining an organisation's workforce. Human resources specialists operate as a link between upper management and the workforce, and their work begins with strategic hiring to promote cultural fit. Talent development, a supportive workplace, and consistent feedback all play a role in keeping employees invested in the company's success. Human resources plays a critical role in establishing a motivated and engaged workforce, which in turn contributes to increased productivity and overall organisational performance by creating a culture of engagement and investing in the well-being and progress of employees. A practical method of creating a workplace that not only stimulates but also fulfils the varying requirements of team members is to use Maslow's Hierarchy of requirements as a framework for an employee engagement model. Organisations can foster employee engagement and success on all fronts by attending to employees' various needs and designing engagement activities accordingly.</w:t>
      </w:r>
    </w:p>
    <w:p w14:paraId="08A3C0AE" w14:textId="77777777" w:rsidR="00F7690F" w:rsidRPr="00F7690F" w:rsidRDefault="00F7690F" w:rsidP="00F7690F">
      <w:pPr>
        <w:spacing w:line="360" w:lineRule="auto"/>
        <w:jc w:val="both"/>
        <w:rPr>
          <w:rFonts w:ascii="Arial" w:hAnsi="Arial" w:cs="Arial"/>
          <w:szCs w:val="24"/>
        </w:rPr>
      </w:pPr>
    </w:p>
    <w:p w14:paraId="0D239500" w14:textId="77777777" w:rsidR="00F7690F" w:rsidRPr="00F7690F" w:rsidRDefault="00F7690F" w:rsidP="00F7690F">
      <w:pPr>
        <w:spacing w:line="360" w:lineRule="auto"/>
        <w:jc w:val="both"/>
        <w:rPr>
          <w:rFonts w:ascii="Arial" w:hAnsi="Arial" w:cs="Arial"/>
          <w:szCs w:val="24"/>
        </w:rPr>
      </w:pPr>
    </w:p>
    <w:p w14:paraId="2917E6E9" w14:textId="77777777" w:rsidR="00F7690F" w:rsidRPr="00F7690F" w:rsidRDefault="00F7690F" w:rsidP="00F7690F">
      <w:pPr>
        <w:spacing w:line="360" w:lineRule="auto"/>
        <w:jc w:val="both"/>
        <w:rPr>
          <w:rFonts w:ascii="Arial" w:hAnsi="Arial" w:cs="Arial"/>
          <w:szCs w:val="24"/>
        </w:rPr>
      </w:pPr>
    </w:p>
    <w:p w14:paraId="15023E2E" w14:textId="77777777" w:rsidR="00F7690F" w:rsidRPr="00F7690F" w:rsidRDefault="00F7690F" w:rsidP="00F7690F">
      <w:pPr>
        <w:spacing w:line="360" w:lineRule="auto"/>
        <w:jc w:val="both"/>
        <w:rPr>
          <w:rFonts w:ascii="Arial" w:hAnsi="Arial" w:cs="Arial"/>
          <w:szCs w:val="24"/>
        </w:rPr>
      </w:pPr>
    </w:p>
    <w:p w14:paraId="121833C5" w14:textId="77777777" w:rsidR="00F7690F" w:rsidRPr="00F7690F" w:rsidRDefault="00F7690F" w:rsidP="00F7690F">
      <w:pPr>
        <w:spacing w:line="360" w:lineRule="auto"/>
        <w:jc w:val="both"/>
        <w:rPr>
          <w:rFonts w:ascii="Arial" w:hAnsi="Arial" w:cs="Arial"/>
          <w:szCs w:val="24"/>
        </w:rPr>
      </w:pPr>
    </w:p>
    <w:p w14:paraId="4586C3DD" w14:textId="77777777" w:rsidR="00F7690F" w:rsidRPr="00F7690F" w:rsidRDefault="00F7690F" w:rsidP="00F7690F">
      <w:pPr>
        <w:spacing w:line="360" w:lineRule="auto"/>
        <w:jc w:val="both"/>
        <w:rPr>
          <w:rFonts w:ascii="Arial" w:hAnsi="Arial" w:cs="Arial"/>
          <w:szCs w:val="24"/>
        </w:rPr>
      </w:pPr>
    </w:p>
    <w:p w14:paraId="5E14D112" w14:textId="77777777" w:rsidR="00F7690F" w:rsidRPr="00F7690F" w:rsidRDefault="00F7690F" w:rsidP="00F7690F">
      <w:pPr>
        <w:spacing w:line="360" w:lineRule="auto"/>
        <w:jc w:val="both"/>
        <w:rPr>
          <w:rFonts w:ascii="Arial" w:hAnsi="Arial" w:cs="Arial"/>
          <w:szCs w:val="24"/>
        </w:rPr>
      </w:pPr>
    </w:p>
    <w:p w14:paraId="5FA58CEF" w14:textId="77777777" w:rsidR="00F7690F" w:rsidRPr="00F7690F" w:rsidRDefault="00F7690F" w:rsidP="00F7690F">
      <w:pPr>
        <w:spacing w:line="360" w:lineRule="auto"/>
        <w:jc w:val="both"/>
        <w:rPr>
          <w:rFonts w:ascii="Arial" w:hAnsi="Arial" w:cs="Arial"/>
          <w:szCs w:val="24"/>
        </w:rPr>
      </w:pPr>
    </w:p>
    <w:p w14:paraId="6D1C8E27" w14:textId="77777777" w:rsidR="00F7690F" w:rsidRDefault="00F7690F" w:rsidP="00F7690F">
      <w:pPr>
        <w:spacing w:line="360" w:lineRule="auto"/>
        <w:jc w:val="both"/>
        <w:rPr>
          <w:rFonts w:ascii="Arial" w:hAnsi="Arial" w:cs="Arial"/>
          <w:szCs w:val="24"/>
        </w:rPr>
      </w:pPr>
    </w:p>
    <w:p w14:paraId="5CA1A991" w14:textId="77777777" w:rsidR="001A4956" w:rsidRDefault="001A4956" w:rsidP="00F7690F">
      <w:pPr>
        <w:spacing w:line="360" w:lineRule="auto"/>
        <w:jc w:val="both"/>
        <w:rPr>
          <w:rFonts w:ascii="Arial" w:hAnsi="Arial" w:cs="Arial"/>
          <w:szCs w:val="24"/>
        </w:rPr>
      </w:pPr>
    </w:p>
    <w:p w14:paraId="48630032" w14:textId="77777777" w:rsidR="001A4956" w:rsidRPr="00F7690F" w:rsidRDefault="001A4956" w:rsidP="00F7690F">
      <w:pPr>
        <w:spacing w:line="360" w:lineRule="auto"/>
        <w:jc w:val="both"/>
        <w:rPr>
          <w:rFonts w:ascii="Arial" w:hAnsi="Arial" w:cs="Arial"/>
          <w:szCs w:val="24"/>
        </w:rPr>
      </w:pPr>
    </w:p>
    <w:p w14:paraId="7B866C7E" w14:textId="77777777" w:rsidR="00F7690F" w:rsidRPr="00F7690F" w:rsidRDefault="00000000" w:rsidP="00F7690F">
      <w:pPr>
        <w:pStyle w:val="Heading1"/>
        <w:rPr>
          <w:rFonts w:ascii="Arial" w:hAnsi="Arial" w:cs="Arial"/>
          <w:szCs w:val="24"/>
        </w:rPr>
      </w:pPr>
      <w:r w:rsidRPr="00F7690F">
        <w:rPr>
          <w:rFonts w:ascii="Arial" w:hAnsi="Arial" w:cs="Arial"/>
          <w:szCs w:val="24"/>
        </w:rPr>
        <w:t>References</w:t>
      </w:r>
    </w:p>
    <w:p w14:paraId="6EFD2790"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Agustina, M.F. and Logahan, J.M., 2020. THE EFFECT A CSR PROGRAM ON CORPORATE IMAGE AND THE IMPACT ON THE EMPLOYEE ENGAGEMENT.</w:t>
      </w:r>
    </w:p>
    <w:p w14:paraId="00E3C104"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Amankwa, E., 2020. Engaging Generation ‘Y’employees and their impact on the sustainability of an organisation.</w:t>
      </w:r>
    </w:p>
    <w:p w14:paraId="3C707A1D"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Bucuta, A., 2015. A review of the specific characteristics of the generation Y consumer. In The Proceedings of the International Conference" Marketing-from Information to Decision" (p. 38). Babes Bolyai University.</w:t>
      </w:r>
    </w:p>
    <w:p w14:paraId="42098533"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Eckleberry-Hunt, J. and Tucciarone, J., 2011. The challenges and opportunities of teaching “Generation Y”. Journal of graduate medical education, 3(4), pp.458-461.</w:t>
      </w:r>
    </w:p>
    <w:p w14:paraId="0247D298"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Ghandour, R., Bilal, J. and Mudassar, H., 2015. Relationship between Service Quality, Customer Retention and the role of Social Media-Case study Premier Inn Hotel (UK). Journal of Organizational Studies and Innovation, 2(4), pp.1-12.</w:t>
      </w:r>
    </w:p>
    <w:p w14:paraId="1866B543"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Jerome, N., 2013. Application of the Maslow’s hierarchy of need theory; impacts and implications on organisational culture, human resource and employee’s performance. International journal of business and management invention, 2(3), pp.39-45.</w:t>
      </w:r>
    </w:p>
    <w:p w14:paraId="37448CFB"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Jonas, J., 2016. Making practical use of Maslow’s Hierarchy of Needs theory to motivate employees: a case of Masvingo Polytechnic. Journal of Management &amp; Administration, 2016(2), pp.105-117.</w:t>
      </w:r>
    </w:p>
    <w:p w14:paraId="5BE14828"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MADAN, S., 2017. MOVING FROM EMPLOYEE SATISFACTION TO EMPLOYEE ENGAGEMENT. CLEAR International Journal of Research in Commerce &amp; Management, 8(6).</w:t>
      </w:r>
    </w:p>
    <w:p w14:paraId="6C9A119A"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Naim, M.F. and Lenka, U., 2016. Mentoring as an HR intervention to engage Gen Y employees. People: International Journal of Social Sciences, 2(1), pp.1697-715.</w:t>
      </w:r>
    </w:p>
    <w:p w14:paraId="6DA23070" w14:textId="79913466"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lastRenderedPageBreak/>
        <w:t>Premier</w:t>
      </w:r>
      <w:r w:rsidR="0031710B">
        <w:rPr>
          <w:rFonts w:ascii="Arial" w:hAnsi="Arial" w:cs="Arial"/>
          <w:szCs w:val="24"/>
        </w:rPr>
        <w:t xml:space="preserve"> </w:t>
      </w:r>
      <w:r w:rsidRPr="00F7690F">
        <w:rPr>
          <w:rFonts w:ascii="Arial" w:hAnsi="Arial" w:cs="Arial"/>
          <w:szCs w:val="24"/>
        </w:rPr>
        <w:t>inn, 2022. https://hellofluid.co.uk/portfolio/premier-inn/#:~:text=Thanks%20to%20crystal%20clear%20communications,Say'%20engagement%20and%20enablement%20survey.</w:t>
      </w:r>
    </w:p>
    <w:p w14:paraId="02291D52"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Pulasinghage, C., 2010. Employee Motivation: What Factors Motivate Employees to Work in Nongovernmental Organizations (NGO) in Sri Lanka: A Study According to Maslow's Hierarchy of Needs Model. International Journal of Interdisciplinary Social Sciences, 5(4).</w:t>
      </w:r>
    </w:p>
    <w:p w14:paraId="7E56842A"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Rai, S., 2012. Engaging young employees (Gen Y) in a social media dominated world–Review and Retrospection. Procedia-Social and Behavioral Sciences, 37, pp.257-266.</w:t>
      </w:r>
    </w:p>
    <w:p w14:paraId="581933FF"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Reisenwitz, T.H. and Iyer, R., 2009. Differences in generation X and generation Y: Implications for the organisation and marketers. Marketing management journal, 19(2).</w:t>
      </w:r>
    </w:p>
    <w:p w14:paraId="59ECAE67"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Salas</w:t>
      </w:r>
      <w:r w:rsidRPr="00F7690F">
        <w:rPr>
          <w:rFonts w:ascii="Cambria Math" w:hAnsi="Cambria Math" w:cs="Cambria Math"/>
          <w:szCs w:val="24"/>
        </w:rPr>
        <w:t>‐</w:t>
      </w:r>
      <w:r w:rsidRPr="00F7690F">
        <w:rPr>
          <w:rFonts w:ascii="Arial" w:hAnsi="Arial" w:cs="Arial"/>
          <w:szCs w:val="24"/>
        </w:rPr>
        <w:t>Vallina, A., Alegre, J. and López</w:t>
      </w:r>
      <w:r w:rsidRPr="00F7690F">
        <w:rPr>
          <w:rFonts w:ascii="Cambria Math" w:hAnsi="Cambria Math" w:cs="Cambria Math"/>
          <w:szCs w:val="24"/>
        </w:rPr>
        <w:t>‐</w:t>
      </w:r>
      <w:r w:rsidRPr="00F7690F">
        <w:rPr>
          <w:rFonts w:ascii="Arial" w:hAnsi="Arial" w:cs="Arial"/>
          <w:szCs w:val="24"/>
        </w:rPr>
        <w:t>Cabrales, Á., 2021. The challenge of increasing employees' well</w:t>
      </w:r>
      <w:r w:rsidRPr="00F7690F">
        <w:rPr>
          <w:rFonts w:ascii="Cambria Math" w:hAnsi="Cambria Math" w:cs="Cambria Math"/>
          <w:szCs w:val="24"/>
        </w:rPr>
        <w:t>‐</w:t>
      </w:r>
      <w:r w:rsidRPr="00F7690F">
        <w:rPr>
          <w:rFonts w:ascii="Arial" w:hAnsi="Arial" w:cs="Arial"/>
          <w:szCs w:val="24"/>
        </w:rPr>
        <w:t>being and performance: How human resource management practices and engaging leadership work together toward reaching this goal. Human Resource Management, 60(3), pp.333-347.</w:t>
      </w:r>
    </w:p>
    <w:p w14:paraId="67EB8D6B"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Schlichting, N., 2012. Engaging workers from all generations. Frontiers of Health Services Management, 29(1), pp.34-39.</w:t>
      </w:r>
    </w:p>
    <w:p w14:paraId="529D2034"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Sharma, E. and Tewari, R., 2018. Engaging employee perception for effective corporate social responsibility: Role of human resource professionals. Global Business Review, 19(1), pp.111-130.</w:t>
      </w:r>
    </w:p>
    <w:p w14:paraId="70E95F07"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Solnet, D., Kralj, A. and Kandampully, J., 2012. Generation Y employees: An examination of work attitude differences. Journal of Applied Management and Entrepreneurship, 17(3), p.36.</w:t>
      </w:r>
    </w:p>
    <w:p w14:paraId="43EF7E36"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lastRenderedPageBreak/>
        <w:t>Stewart, C., Nodoushani, O. and Stumpf, J., 2018, July. Cultivating employees using Maslow's hierarchy of needs. In Competition Forum (Vol. 16, No. 2, pp. 67-75). American Society for Competitiveness.</w:t>
      </w:r>
    </w:p>
    <w:p w14:paraId="55C9C265"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Tucker, E., 2017. Engaging employees: Three critical roles for managers. Strategic HR Review, 16(3), pp.107-111.</w:t>
      </w:r>
    </w:p>
    <w:p w14:paraId="3833824C" w14:textId="77777777" w:rsidR="00F7690F" w:rsidRPr="00F7690F" w:rsidRDefault="00000000" w:rsidP="00F7690F">
      <w:pPr>
        <w:spacing w:line="360" w:lineRule="auto"/>
        <w:ind w:left="720" w:hanging="720"/>
        <w:jc w:val="both"/>
        <w:rPr>
          <w:rFonts w:ascii="Arial" w:hAnsi="Arial" w:cs="Arial"/>
          <w:szCs w:val="24"/>
        </w:rPr>
      </w:pPr>
      <w:r w:rsidRPr="00F7690F">
        <w:rPr>
          <w:rFonts w:ascii="Arial" w:hAnsi="Arial" w:cs="Arial"/>
          <w:szCs w:val="24"/>
        </w:rPr>
        <w:t>Veleva, M., 2020. Best practices as opportunities for leadership soft skills improvement in human resource management in Bulgarian tourism organisations: The Four Season hotels example. Известия на Съюза на учените-Варна. Серия Икономически науки, 9(3), pp.63-71.</w:t>
      </w:r>
    </w:p>
    <w:sectPr w:rsidR="00F7690F" w:rsidRPr="00F7690F" w:rsidSect="000F3E89">
      <w:footerReference w:type="default" r:id="rId7"/>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C192D8" w14:textId="77777777" w:rsidR="00410F05" w:rsidRDefault="00410F05">
      <w:pPr>
        <w:spacing w:after="0" w:line="240" w:lineRule="auto"/>
      </w:pPr>
      <w:r>
        <w:separator/>
      </w:r>
    </w:p>
  </w:endnote>
  <w:endnote w:type="continuationSeparator" w:id="0">
    <w:p w14:paraId="166D21EA" w14:textId="77777777" w:rsidR="00410F05" w:rsidRDefault="00410F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62125673"/>
      <w:docPartObj>
        <w:docPartGallery w:val="Page Numbers (Bottom of Page)"/>
        <w:docPartUnique/>
      </w:docPartObj>
    </w:sdtPr>
    <w:sdtEndPr>
      <w:rPr>
        <w:noProof/>
      </w:rPr>
    </w:sdtEndPr>
    <w:sdtContent>
      <w:p w14:paraId="47C0ABF8" w14:textId="77777777" w:rsidR="00F7690F"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921AC4" w14:textId="77777777" w:rsidR="00F7690F" w:rsidRDefault="00F769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C59338" w14:textId="77777777" w:rsidR="00410F05" w:rsidRDefault="00410F05">
      <w:pPr>
        <w:spacing w:after="0" w:line="240" w:lineRule="auto"/>
      </w:pPr>
      <w:r>
        <w:separator/>
      </w:r>
    </w:p>
  </w:footnote>
  <w:footnote w:type="continuationSeparator" w:id="0">
    <w:p w14:paraId="109ACBBD" w14:textId="77777777" w:rsidR="00410F05" w:rsidRDefault="00410F0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4C3"/>
    <w:rsid w:val="000B13FD"/>
    <w:rsid w:val="000E419A"/>
    <w:rsid w:val="000F3E89"/>
    <w:rsid w:val="001A4956"/>
    <w:rsid w:val="00284ADC"/>
    <w:rsid w:val="0031710B"/>
    <w:rsid w:val="0034767F"/>
    <w:rsid w:val="00351DE1"/>
    <w:rsid w:val="00386E47"/>
    <w:rsid w:val="00410F05"/>
    <w:rsid w:val="00456C49"/>
    <w:rsid w:val="004834C3"/>
    <w:rsid w:val="005075FF"/>
    <w:rsid w:val="00535881"/>
    <w:rsid w:val="007451E5"/>
    <w:rsid w:val="00747930"/>
    <w:rsid w:val="007945F3"/>
    <w:rsid w:val="007A6CC9"/>
    <w:rsid w:val="008878C8"/>
    <w:rsid w:val="009E2F05"/>
    <w:rsid w:val="00C0041C"/>
    <w:rsid w:val="00DF697A"/>
    <w:rsid w:val="00E34B08"/>
    <w:rsid w:val="00EC6DEC"/>
    <w:rsid w:val="00F551D9"/>
    <w:rsid w:val="00F769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5499A"/>
  <w15:chartTrackingRefBased/>
  <w15:docId w15:val="{5C27A90F-8880-43CB-B295-E6C04779C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51E5"/>
    <w:pPr>
      <w:spacing w:after="200" w:line="276" w:lineRule="auto"/>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5075FF"/>
    <w:pPr>
      <w:keepNext/>
      <w:keepLines/>
      <w:spacing w:before="240" w:after="0" w:line="360" w:lineRule="auto"/>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8878C8"/>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7A6CC9"/>
    <w:pPr>
      <w:keepNext/>
      <w:keepLines/>
      <w:spacing w:before="40" w:after="0"/>
      <w:outlineLvl w:val="2"/>
    </w:pPr>
    <w:rPr>
      <w:rFonts w:eastAsiaTheme="majorEastAsia" w:cstheme="majorBidi"/>
      <w:i/>
      <w:szCs w:val="24"/>
    </w:rPr>
  </w:style>
  <w:style w:type="paragraph" w:styleId="Heading4">
    <w:name w:val="heading 4"/>
    <w:basedOn w:val="Normal"/>
    <w:next w:val="Normal"/>
    <w:link w:val="Heading4Char"/>
    <w:uiPriority w:val="9"/>
    <w:unhideWhenUsed/>
    <w:qFormat/>
    <w:rsid w:val="007A6CC9"/>
    <w:pPr>
      <w:keepNext/>
      <w:keepLines/>
      <w:spacing w:before="40" w:after="0"/>
      <w:outlineLvl w:val="3"/>
    </w:pPr>
    <w:rPr>
      <w:rFonts w:eastAsiaTheme="majorEastAsia" w:cstheme="majorBidi"/>
      <w:iCs/>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878C8"/>
    <w:rPr>
      <w:rFonts w:ascii="Times New Roman" w:eastAsiaTheme="majorEastAsia" w:hAnsi="Times New Roman" w:cstheme="majorBidi"/>
      <w:b/>
      <w:i/>
      <w:sz w:val="24"/>
      <w:szCs w:val="26"/>
    </w:rPr>
  </w:style>
  <w:style w:type="character" w:customStyle="1" w:styleId="Heading1Char">
    <w:name w:val="Heading 1 Char"/>
    <w:basedOn w:val="DefaultParagraphFont"/>
    <w:link w:val="Heading1"/>
    <w:uiPriority w:val="9"/>
    <w:rsid w:val="005075FF"/>
    <w:rPr>
      <w:rFonts w:ascii="Times New Roman" w:eastAsiaTheme="majorEastAsia" w:hAnsi="Times New Roman" w:cstheme="majorBidi"/>
      <w:b/>
      <w:sz w:val="24"/>
      <w:szCs w:val="32"/>
    </w:rPr>
  </w:style>
  <w:style w:type="character" w:customStyle="1" w:styleId="Heading3Char">
    <w:name w:val="Heading 3 Char"/>
    <w:basedOn w:val="DefaultParagraphFont"/>
    <w:link w:val="Heading3"/>
    <w:uiPriority w:val="9"/>
    <w:rsid w:val="007A6CC9"/>
    <w:rPr>
      <w:rFonts w:ascii="Times New Roman" w:eastAsiaTheme="majorEastAsia" w:hAnsi="Times New Roman" w:cstheme="majorBidi"/>
      <w:i/>
      <w:sz w:val="24"/>
      <w:szCs w:val="24"/>
    </w:rPr>
  </w:style>
  <w:style w:type="character" w:customStyle="1" w:styleId="Heading4Char">
    <w:name w:val="Heading 4 Char"/>
    <w:basedOn w:val="DefaultParagraphFont"/>
    <w:link w:val="Heading4"/>
    <w:uiPriority w:val="9"/>
    <w:rsid w:val="007A6CC9"/>
    <w:rPr>
      <w:rFonts w:ascii="Times New Roman" w:eastAsiaTheme="majorEastAsia" w:hAnsi="Times New Roman" w:cstheme="majorBidi"/>
      <w:iCs/>
      <w:color w:val="000000" w:themeColor="text1"/>
      <w:sz w:val="24"/>
    </w:rPr>
  </w:style>
  <w:style w:type="paragraph" w:styleId="Header">
    <w:name w:val="header"/>
    <w:basedOn w:val="Normal"/>
    <w:link w:val="HeaderChar"/>
    <w:uiPriority w:val="99"/>
    <w:unhideWhenUsed/>
    <w:rsid w:val="00F769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690F"/>
    <w:rPr>
      <w:rFonts w:ascii="Times New Roman" w:hAnsi="Times New Roman"/>
      <w:kern w:val="0"/>
      <w:sz w:val="24"/>
      <w14:ligatures w14:val="none"/>
    </w:rPr>
  </w:style>
  <w:style w:type="paragraph" w:styleId="Footer">
    <w:name w:val="footer"/>
    <w:basedOn w:val="Normal"/>
    <w:link w:val="FooterChar"/>
    <w:uiPriority w:val="99"/>
    <w:unhideWhenUsed/>
    <w:rsid w:val="00F769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690F"/>
    <w:rPr>
      <w:rFonts w:ascii="Times New Roman" w:hAnsi="Times New Roman"/>
      <w:kern w:val="0"/>
      <w:sz w:val="24"/>
      <w14:ligatures w14:val="none"/>
    </w:rPr>
  </w:style>
  <w:style w:type="paragraph" w:styleId="ListParagraph">
    <w:name w:val="List Paragraph"/>
    <w:basedOn w:val="Normal"/>
    <w:uiPriority w:val="34"/>
    <w:qFormat/>
    <w:rsid w:val="00F769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2575</Words>
  <Characters>14681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2023-10-22T11:27:00Z</dcterms:created>
  <dcterms:modified xsi:type="dcterms:W3CDTF">2023-10-22T11:27:00Z</dcterms:modified>
</cp:coreProperties>
</file>