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88F336" w14:textId="77777777" w:rsidR="00CD5318" w:rsidRDefault="009D44D4">
      <w:r>
        <w:t>Q. Write a clear de</w:t>
      </w:r>
      <w:r w:rsidR="005C05C0">
        <w:t xml:space="preserve">scription of the funerary cones, considering also issues raised in creating it and </w:t>
      </w:r>
      <w:r w:rsidR="00F52234">
        <w:t xml:space="preserve">issues within the object itself. </w:t>
      </w:r>
    </w:p>
    <w:p w14:paraId="60E73528" w14:textId="77777777" w:rsidR="00316C14" w:rsidRDefault="00316C14"/>
    <w:p w14:paraId="20EF37DE" w14:textId="77777777" w:rsidR="00670D33" w:rsidRDefault="009D44D4">
      <w:r>
        <w:t xml:space="preserve">Interconnectivity </w:t>
      </w:r>
      <w:r w:rsidR="00F52234">
        <w:t>between Egypt and Palestine within the 18</w:t>
      </w:r>
      <w:r w:rsidR="00F52234" w:rsidRPr="00F52234">
        <w:rPr>
          <w:vertAlign w:val="superscript"/>
        </w:rPr>
        <w:t>th</w:t>
      </w:r>
      <w:r w:rsidR="00F52234">
        <w:t xml:space="preserve"> dynasty grew with the movement and campaig</w:t>
      </w:r>
      <w:r w:rsidR="00617733">
        <w:t>n of Egyp</w:t>
      </w:r>
      <w:r w:rsidR="00720A42">
        <w:t>tian pharaohs within the</w:t>
      </w:r>
      <w:r w:rsidR="00617733">
        <w:t xml:space="preserve"> Mediterranean</w:t>
      </w:r>
      <w:r w:rsidR="00C0739F">
        <w:t xml:space="preserve">. Interconnectivity and hybridity </w:t>
      </w:r>
      <w:r w:rsidR="00720A42">
        <w:t xml:space="preserve">of Egypt and the eastern Mediterranean </w:t>
      </w:r>
      <w:r w:rsidR="00C0739F">
        <w:t>can clearly be seen within many a</w:t>
      </w:r>
      <w:r w:rsidR="00857185">
        <w:t>spects of archaeology</w:t>
      </w:r>
      <w:r w:rsidR="004437AF">
        <w:t>,</w:t>
      </w:r>
      <w:r w:rsidR="00857185">
        <w:t xml:space="preserve"> such as </w:t>
      </w:r>
      <w:r w:rsidR="00C0739F">
        <w:t>material culture.</w:t>
      </w:r>
    </w:p>
    <w:p w14:paraId="521DF4F6" w14:textId="53129949" w:rsidR="004437AF" w:rsidRDefault="004437AF">
      <w:r>
        <w:rPr>
          <w:noProof/>
          <w:lang w:eastAsia="en-GB"/>
        </w:rPr>
        <w:drawing>
          <wp:anchor distT="0" distB="0" distL="114300" distR="114300" simplePos="0" relativeHeight="251658240" behindDoc="1" locked="0" layoutInCell="1" allowOverlap="1" wp14:anchorId="064D8BA9" wp14:editId="72169859">
            <wp:simplePos x="0" y="0"/>
            <wp:positionH relativeFrom="page">
              <wp:posOffset>800100</wp:posOffset>
            </wp:positionH>
            <wp:positionV relativeFrom="paragraph">
              <wp:posOffset>607060</wp:posOffset>
            </wp:positionV>
            <wp:extent cx="3194685" cy="2253615"/>
            <wp:effectExtent l="0" t="0" r="5715" b="0"/>
            <wp:wrapTight wrapText="bothSides">
              <wp:wrapPolygon edited="0">
                <wp:start x="0" y="0"/>
                <wp:lineTo x="0" y="21363"/>
                <wp:lineTo x="21510" y="21363"/>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es.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94685" cy="2253615"/>
                    </a:xfrm>
                    <a:prstGeom prst="rect">
                      <a:avLst/>
                    </a:prstGeom>
                  </pic:spPr>
                </pic:pic>
              </a:graphicData>
            </a:graphic>
            <wp14:sizeRelH relativeFrom="margin">
              <wp14:pctWidth>0</wp14:pctWidth>
            </wp14:sizeRelH>
            <wp14:sizeRelV relativeFrom="margin">
              <wp14:pctHeight>0</wp14:pctHeight>
            </wp14:sizeRelV>
          </wp:anchor>
        </w:drawing>
      </w:r>
      <w:r w:rsidR="00720A42">
        <w:t xml:space="preserve">An example of this interconnectivity and hybridity can be seen in the </w:t>
      </w:r>
      <w:r w:rsidR="001D4996">
        <w:t>funerary cones foun</w:t>
      </w:r>
      <w:r w:rsidR="00857185">
        <w:t>d at “the</w:t>
      </w:r>
      <w:r w:rsidR="00720A42">
        <w:t xml:space="preserve"> Bronze Age site off el-Moghraqa</w:t>
      </w:r>
      <w:r w:rsidR="00247366">
        <w:t xml:space="preserve"> which lies 700 m north of the Wadi Gaz</w:t>
      </w:r>
      <w:r w:rsidR="00720A42">
        <w:t xml:space="preserve">a and within the catchment area of the major second millennium BC urban centre of </w:t>
      </w:r>
      <w:r w:rsidR="00247366">
        <w:t>Tell el</w:t>
      </w:r>
      <w:r w:rsidR="00972568">
        <w:t>- ‘</w:t>
      </w:r>
      <w:r w:rsidR="00247366">
        <w:t>Ajjul”.</w:t>
      </w:r>
      <w:r w:rsidR="00D22641" w:rsidRPr="00D22641">
        <w:t xml:space="preserve"> (Steel et al:2004)</w:t>
      </w:r>
      <w:r w:rsidR="00247366">
        <w:t xml:space="preserve"> </w:t>
      </w:r>
      <w:r w:rsidR="007A3191">
        <w:t>This area seems to</w:t>
      </w:r>
      <w:r w:rsidR="00A16E3E">
        <w:t xml:space="preserve"> have been </w:t>
      </w:r>
      <w:r w:rsidR="00D22641">
        <w:t>a key settlement of economic and military contact between Egypt and Palestine as it is found along the trade route known as the ‘Ways of Horus’, as “over the millennia countless traders, nomadic tribesmen, soldiers and other travellers have transversed th</w:t>
      </w:r>
      <w:r w:rsidR="00145697">
        <w:t xml:space="preserve">e ‘Ways of Horus’, which </w:t>
      </w:r>
      <w:r w:rsidR="00D22641">
        <w:t>connects the Nile Delta and the Wadi Gaza carrying with them goods, social practices and ideas.</w:t>
      </w:r>
      <w:r w:rsidR="00145697">
        <w:t xml:space="preserve">”. (Clark: 2016) </w:t>
      </w:r>
    </w:p>
    <w:p w14:paraId="624B74FB" w14:textId="0B8F637C" w:rsidR="00247366" w:rsidRPr="007A3191" w:rsidRDefault="0032447B" w:rsidP="007A3191">
      <w:r>
        <w:rPr>
          <w:noProof/>
          <w:lang w:eastAsia="en-GB"/>
        </w:rPr>
        <mc:AlternateContent>
          <mc:Choice Requires="wps">
            <w:drawing>
              <wp:anchor distT="0" distB="0" distL="114300" distR="114300" simplePos="0" relativeHeight="251659264" behindDoc="0" locked="0" layoutInCell="1" allowOverlap="1" wp14:anchorId="0C43416C" wp14:editId="157E8ABA">
                <wp:simplePos x="0" y="0"/>
                <wp:positionH relativeFrom="column">
                  <wp:posOffset>1154430</wp:posOffset>
                </wp:positionH>
                <wp:positionV relativeFrom="paragraph">
                  <wp:posOffset>4445</wp:posOffset>
                </wp:positionV>
                <wp:extent cx="2057400" cy="441960"/>
                <wp:effectExtent l="0" t="0" r="0" b="0"/>
                <wp:wrapNone/>
                <wp:docPr id="3" name="Text Box 3"/>
                <wp:cNvGraphicFramePr/>
                <a:graphic xmlns:a="http://schemas.openxmlformats.org/drawingml/2006/main">
                  <a:graphicData uri="http://schemas.microsoft.com/office/word/2010/wordprocessingShape">
                    <wps:wsp>
                      <wps:cNvSpPr txBox="1"/>
                      <wps:spPr>
                        <a:xfrm>
                          <a:off x="0" y="0"/>
                          <a:ext cx="2057400" cy="441960"/>
                        </a:xfrm>
                        <a:prstGeom prst="rect">
                          <a:avLst/>
                        </a:prstGeom>
                        <a:noFill/>
                        <a:ln w="6350">
                          <a:noFill/>
                        </a:ln>
                      </wps:spPr>
                      <wps:txbx>
                        <w:txbxContent>
                          <w:p w14:paraId="2A9D8E05" w14:textId="77777777" w:rsidR="00D22641" w:rsidRPr="00D22641" w:rsidRDefault="00DA7BFC">
                            <w:pPr>
                              <w:rPr>
                                <w:color w:val="FFFFFF" w:themeColor="background1"/>
                              </w:rPr>
                            </w:pPr>
                            <w:r>
                              <w:rPr>
                                <w:color w:val="FFFFFF" w:themeColor="background1"/>
                                <w:sz w:val="14"/>
                              </w:rPr>
                              <w:t>(</w:t>
                            </w:r>
                            <w:r w:rsidRPr="00DA7BFC">
                              <w:rPr>
                                <w:color w:val="FFFFFF" w:themeColor="background1"/>
                                <w:sz w:val="14"/>
                              </w:rPr>
                              <w:t>Steel et all: 2004)</w:t>
                            </w:r>
                            <w:r>
                              <w:rPr>
                                <w:color w:val="FFFFFF" w:themeColor="background1"/>
                                <w:sz w:val="14"/>
                              </w:rPr>
                              <w:t xml:space="preserve"> </w:t>
                            </w:r>
                            <w:r w:rsidRPr="00DA7BFC">
                              <w:rPr>
                                <w:color w:val="FFFFFF" w:themeColor="background1"/>
                                <w:sz w:val="14"/>
                              </w:rPr>
                              <w:t xml:space="preserve">‘El- Moghraqa Funerary Cones’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C43416C" id="_x0000_t202" coordsize="21600,21600" o:spt="202" path="m,l,21600r21600,l21600,xe">
                <v:stroke joinstyle="miter"/>
                <v:path gradientshapeok="t" o:connecttype="rect"/>
              </v:shapetype>
              <v:shape id="Text Box 3" o:spid="_x0000_s1026" type="#_x0000_t202" style="position:absolute;margin-left:90.9pt;margin-top:.35pt;width:162pt;height:34.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" filled="f" stroked="f" strokeweight=".5pt">
                <v:textbox>
                  <w:txbxContent>
                    <w:p w14:paraId="2A9D8E05" w14:textId="77777777" w:rsidR="00D22641" w:rsidRPr="00D22641" w:rsidRDefault="00DA7BFC">
                      <w:pPr>
                        <w:rPr>
                          <w:color w:val="FFFFFF" w:themeColor="background1"/>
                        </w:rPr>
                      </w:pPr>
                      <w:r>
                        <w:rPr>
                          <w:color w:val="FFFFFF" w:themeColor="background1"/>
                          <w:sz w:val="14"/>
                        </w:rPr>
                        <w:t>(</w:t>
                      </w:r>
                      <w:r w:rsidRPr="00DA7BFC">
                        <w:rPr>
                          <w:color w:val="FFFFFF" w:themeColor="background1"/>
                          <w:sz w:val="14"/>
                        </w:rPr>
                        <w:t>Steel et all: 2004)</w:t>
                      </w:r>
                      <w:r>
                        <w:rPr>
                          <w:color w:val="FFFFFF" w:themeColor="background1"/>
                          <w:sz w:val="14"/>
                        </w:rPr>
                        <w:t xml:space="preserve"> </w:t>
                      </w:r>
                      <w:r w:rsidRPr="00DA7BFC">
                        <w:rPr>
                          <w:color w:val="FFFFFF" w:themeColor="background1"/>
                          <w:sz w:val="14"/>
                        </w:rPr>
                        <w:t xml:space="preserve">‘El- Moghraqa Funerary Cones’ </w:t>
                      </w:r>
                    </w:p>
                  </w:txbxContent>
                </v:textbox>
              </v:shape>
            </w:pict>
          </mc:Fallback>
        </mc:AlternateContent>
      </w:r>
      <w:r w:rsidR="0028091B">
        <w:t xml:space="preserve">El- Moghraqa was discovered by the </w:t>
      </w:r>
      <w:r w:rsidR="007A3191">
        <w:t>“</w:t>
      </w:r>
      <w:r w:rsidR="0028091B">
        <w:t xml:space="preserve">Palestinian Department of </w:t>
      </w:r>
      <w:r w:rsidR="007A3191">
        <w:t>A</w:t>
      </w:r>
      <w:r w:rsidR="0028091B">
        <w:t>ntiquities in 1996, and two seasons of excavation ha</w:t>
      </w:r>
      <w:r w:rsidR="004437AF">
        <w:t>ve</w:t>
      </w:r>
      <w:r w:rsidR="0028091B">
        <w:t xml:space="preserve"> been carried out at this site by the Gaza research project</w:t>
      </w:r>
      <w:r w:rsidR="007A3191">
        <w:t>”</w:t>
      </w:r>
      <w:r w:rsidR="0028091B">
        <w:t xml:space="preserve">. </w:t>
      </w:r>
      <w:r w:rsidR="007A3191" w:rsidRPr="007A3191">
        <w:t xml:space="preserve">(Steel, Clarke et al: 2004) </w:t>
      </w:r>
      <w:r w:rsidR="0028091B">
        <w:t>During these excavations the most significant fin</w:t>
      </w:r>
      <w:bookmarkStart w:id="0" w:name="_GoBack"/>
      <w:bookmarkEnd w:id="0"/>
      <w:r w:rsidR="0028091B">
        <w:t>d</w:t>
      </w:r>
      <w:r w:rsidR="004437AF">
        <w:t>s</w:t>
      </w:r>
      <w:r w:rsidR="0028091B">
        <w:t xml:space="preserve"> were fragments of a terracotta cone with Egyptian hieroglyphics of </w:t>
      </w:r>
      <w:r w:rsidR="00145697">
        <w:t>“mn</w:t>
      </w:r>
      <w:r w:rsidR="0028091B">
        <w:t xml:space="preserve"> </w:t>
      </w:r>
      <w:r w:rsidR="0028091B">
        <w:rPr>
          <w:rFonts w:cstheme="minorHAnsi"/>
        </w:rPr>
        <w:t>ḫ</w:t>
      </w:r>
      <w:r w:rsidR="0028091B">
        <w:t>pr r</w:t>
      </w:r>
      <w:r w:rsidR="00145697">
        <w:rPr>
          <w:rFonts w:cstheme="minorHAnsi"/>
        </w:rPr>
        <w:t>’”</w:t>
      </w:r>
      <w:r w:rsidR="004437AF">
        <w:rPr>
          <w:rFonts w:cstheme="minorHAnsi"/>
        </w:rPr>
        <w:t>;</w:t>
      </w:r>
      <w:r w:rsidR="0028091B">
        <w:t xml:space="preserve"> with</w:t>
      </w:r>
      <w:r w:rsidR="001C6395">
        <w:t xml:space="preserve"> further</w:t>
      </w:r>
      <w:r w:rsidR="0028091B">
        <w:t xml:space="preserve"> examination it is clear the cone is stamped with the throne name of the 18</w:t>
      </w:r>
      <w:r w:rsidR="0028091B" w:rsidRPr="0028091B">
        <w:rPr>
          <w:vertAlign w:val="superscript"/>
        </w:rPr>
        <w:t>th</w:t>
      </w:r>
      <w:r w:rsidR="00857185">
        <w:t xml:space="preserve"> dynasty Egyptian pharaoh </w:t>
      </w:r>
      <w:r w:rsidR="0028091B">
        <w:t>Thutmose</w:t>
      </w:r>
      <w:r w:rsidR="001C6395">
        <w:t xml:space="preserve"> III. </w:t>
      </w:r>
      <w:r w:rsidR="00376624">
        <w:t xml:space="preserve">A </w:t>
      </w:r>
      <w:r w:rsidR="00E17196">
        <w:t xml:space="preserve">further fragment of terracotta cone was </w:t>
      </w:r>
      <w:r w:rsidR="00376624">
        <w:t>found</w:t>
      </w:r>
      <w:r w:rsidR="00E17196">
        <w:t xml:space="preserve"> at this site with Egy</w:t>
      </w:r>
      <w:r w:rsidR="00376624">
        <w:t>ptian hieroglyphics with the throne name</w:t>
      </w:r>
      <w:r w:rsidR="00E17196">
        <w:t xml:space="preserve"> of Hatshepsut</w:t>
      </w:r>
      <w:r w:rsidR="004437AF">
        <w:t>:</w:t>
      </w:r>
      <w:r w:rsidR="00376624">
        <w:t xml:space="preserve"> it </w:t>
      </w:r>
      <w:r w:rsidR="00E17196">
        <w:t>is likely due to this evidence this area was highly populated at the time of the co-regency between Hatshepsut and Thutmose III.</w:t>
      </w:r>
      <w:r w:rsidR="004437AF">
        <w:t xml:space="preserve"> </w:t>
      </w:r>
      <w:r w:rsidR="007A3191" w:rsidRPr="007A3191">
        <w:t>(Steel, Clarke et al: 2004)</w:t>
      </w:r>
    </w:p>
    <w:p w14:paraId="03D3A571" w14:textId="0F53EF65" w:rsidR="00712C0A" w:rsidRDefault="00712C0A">
      <w:r>
        <w:t>Moreover, when analysing these funerary cones, it is clear the clay used is local to the Palestinian area</w:t>
      </w:r>
      <w:r w:rsidR="00CD2095">
        <w:t xml:space="preserve"> suggesting</w:t>
      </w:r>
      <w:r>
        <w:t xml:space="preserve"> they were made loc</w:t>
      </w:r>
      <w:r w:rsidR="00376624">
        <w:t>ally and not brought from Egypt</w:t>
      </w:r>
      <w:r w:rsidR="004437AF">
        <w:t>;</w:t>
      </w:r>
      <w:r w:rsidR="00376624">
        <w:t xml:space="preserve"> </w:t>
      </w:r>
      <w:r w:rsidR="007A3191">
        <w:t xml:space="preserve">which </w:t>
      </w:r>
      <w:r w:rsidR="00874E68">
        <w:t>also indicate</w:t>
      </w:r>
      <w:r w:rsidR="00404F12">
        <w:t xml:space="preserve"> they were not made</w:t>
      </w:r>
      <w:r>
        <w:t xml:space="preserve"> by someone within craft specialisation</w:t>
      </w:r>
      <w:r w:rsidR="00874E68">
        <w:t>. T</w:t>
      </w:r>
      <w:r>
        <w:t>here are clear marks</w:t>
      </w:r>
      <w:r w:rsidR="00874E68">
        <w:t xml:space="preserve"> that</w:t>
      </w:r>
      <w:r>
        <w:t xml:space="preserve"> the cones were badly fired due to them being fragile and flaky</w:t>
      </w:r>
      <w:r w:rsidR="00874E68">
        <w:t xml:space="preserve"> </w:t>
      </w:r>
      <w:r w:rsidR="004437AF">
        <w:t xml:space="preserve">and </w:t>
      </w:r>
      <w:r>
        <w:t>although they had been broken in antiquity they also possessed one or more fr</w:t>
      </w:r>
      <w:r w:rsidR="00805101">
        <w:t>esh breaks. (</w:t>
      </w:r>
      <w:r w:rsidR="0032447B">
        <w:t xml:space="preserve">Steel, Clark </w:t>
      </w:r>
      <w:r w:rsidR="00355C4E">
        <w:t xml:space="preserve">et al: 2004) </w:t>
      </w:r>
      <w:r w:rsidR="00E17196">
        <w:t xml:space="preserve">Another aspect </w:t>
      </w:r>
      <w:r w:rsidR="00CD2095">
        <w:t>of this object to</w:t>
      </w:r>
      <w:r w:rsidR="0032447B">
        <w:t xml:space="preserve"> consider </w:t>
      </w:r>
      <w:r w:rsidR="00CD2095">
        <w:t>is that the hieroglyphics</w:t>
      </w:r>
      <w:r w:rsidR="00E17196">
        <w:t xml:space="preserve"> are of low standards and unlikely to have been created by an Egyptian scribe or craftsman.</w:t>
      </w:r>
      <w:r w:rsidR="00376624">
        <w:t xml:space="preserve"> Furthermore, we can</w:t>
      </w:r>
      <w:r w:rsidR="0032447B">
        <w:t xml:space="preserve"> suggest the idea of this cone</w:t>
      </w:r>
      <w:r w:rsidR="00376624">
        <w:t xml:space="preserve"> were brought by a Palestinian</w:t>
      </w:r>
      <w:r w:rsidR="004437AF">
        <w:t>,</w:t>
      </w:r>
      <w:r w:rsidR="00376624">
        <w:t xml:space="preserve"> possibly a transla</w:t>
      </w:r>
      <w:r w:rsidR="0032447B">
        <w:t>tor that understood</w:t>
      </w:r>
      <w:r w:rsidR="00376624">
        <w:t xml:space="preserve"> the Egyptian language</w:t>
      </w:r>
      <w:r w:rsidR="004437AF">
        <w:t>,</w:t>
      </w:r>
      <w:r w:rsidR="00376624">
        <w:t xml:space="preserve"> from Egypt to create a badly made trinket or tribute to the Egyptian pharaoh that was taking control of their land. </w:t>
      </w:r>
      <w:r w:rsidR="00E17196">
        <w:t>When making these cones ourselves</w:t>
      </w:r>
      <w:r w:rsidR="004437AF">
        <w:t>,</w:t>
      </w:r>
      <w:r w:rsidR="00E17196">
        <w:t xml:space="preserve"> although we used a different clay</w:t>
      </w:r>
      <w:r w:rsidR="004437AF">
        <w:t>,</w:t>
      </w:r>
      <w:r w:rsidR="00CD2095">
        <w:t xml:space="preserve"> the shaping of these </w:t>
      </w:r>
      <w:r w:rsidR="007A3191">
        <w:t>objects</w:t>
      </w:r>
      <w:r w:rsidR="00CD2095">
        <w:t xml:space="preserve"> is easy to produce, however</w:t>
      </w:r>
      <w:r w:rsidR="00E17196">
        <w:t xml:space="preserve"> as it was clearly stamped while wet</w:t>
      </w:r>
      <w:r w:rsidR="00CD2095">
        <w:t xml:space="preserve"> the hieroglyphics were difficult to make clear and visible, </w:t>
      </w:r>
      <w:r w:rsidR="004437AF">
        <w:t xml:space="preserve">which </w:t>
      </w:r>
      <w:r w:rsidR="00CD2095">
        <w:t xml:space="preserve">suggests the individual who created this cone was not specialised in this trade. </w:t>
      </w:r>
    </w:p>
    <w:p w14:paraId="697E94DF" w14:textId="77777777" w:rsidR="00CD2095" w:rsidRDefault="00376624">
      <w:r>
        <w:lastRenderedPageBreak/>
        <w:t>In conclusion, a</w:t>
      </w:r>
      <w:r w:rsidR="00CD2095">
        <w:t xml:space="preserve">lthough we cannot make clear </w:t>
      </w:r>
      <w:r>
        <w:t xml:space="preserve">resolutions on how these funerary cones were used in antiquity and how their ideas of this object travelled from Egypt to Palestine, we can suggest this object is an example of hybridity as it is an Egyptian object made to suit the needs of the Palestinian people. </w:t>
      </w:r>
    </w:p>
    <w:p w14:paraId="38223163" w14:textId="77777777" w:rsidR="00145697" w:rsidRDefault="00376624">
      <w:r>
        <w:t>Word Count: 548</w:t>
      </w:r>
    </w:p>
    <w:p w14:paraId="12CD7EE8" w14:textId="77777777" w:rsidR="00273725" w:rsidRDefault="00273725"/>
    <w:p w14:paraId="708A38E2" w14:textId="77777777" w:rsidR="00273725" w:rsidRDefault="00273725"/>
    <w:p w14:paraId="01B5358F" w14:textId="77777777" w:rsidR="00273725" w:rsidRPr="00273725" w:rsidRDefault="00273725" w:rsidP="00273725">
      <w:pPr>
        <w:jc w:val="center"/>
        <w:rPr>
          <w:u w:val="single"/>
        </w:rPr>
      </w:pPr>
      <w:r w:rsidRPr="00273725">
        <w:rPr>
          <w:u w:val="single"/>
        </w:rPr>
        <w:t>Bibliography</w:t>
      </w:r>
    </w:p>
    <w:p w14:paraId="1FD46161" w14:textId="77777777" w:rsidR="00273725" w:rsidRDefault="00273725" w:rsidP="00273725"/>
    <w:p w14:paraId="31A88315" w14:textId="77777777" w:rsidR="00273725" w:rsidRDefault="00273725" w:rsidP="00273725">
      <w:r>
        <w:t xml:space="preserve">Clarke. T, Steel. L (2016) ‘Shifting Relations in Bronze Age Gaza’, ‘Archaeology, Syncretism and Creolisation’ available on URL:  https://moodle.uwtsd.ac.uk/pluginfile.php/23097/mod_folder/content/0/Steel%20-%20hybridisation.pdf?forcedownload=1 [accessed on 7/3/18] </w:t>
      </w:r>
    </w:p>
    <w:p w14:paraId="28B999FE" w14:textId="77777777" w:rsidR="00273725" w:rsidRDefault="00273725" w:rsidP="00273725">
      <w:r>
        <w:t xml:space="preserve">Steel. L, Clarke. J et al. (2004) ‘Gaza Research Project. Report on the 1999 and 2000 Seasons at al-Moghraqa’ available on URL: https://moodle.uwtsd.ac.uk/pluginfile.php/23097/mod_folder/content/0/Gaza_Research_Project._Report_on_the_199.pdf?forcedownload=1 [accessed on 8/3/18] </w:t>
      </w:r>
    </w:p>
    <w:p w14:paraId="7355652F" w14:textId="77777777" w:rsidR="00273725" w:rsidRDefault="00273725" w:rsidP="00273725">
      <w:r>
        <w:t>Steel. L et al. (2004) ‘Egyptian ‘Funerary Cones’ from el-Moghraqa, Gaza’, The Antiquaries Journal, Volume 84.</w:t>
      </w:r>
    </w:p>
    <w:p w14:paraId="2E17B9F5" w14:textId="77777777" w:rsidR="00273725" w:rsidRDefault="00273725" w:rsidP="00273725">
      <w:r>
        <w:t>Steel. L et al. (2015) ‘Late Bronze Age Gaza: prestige production at el-Moghraqa’ available on URL: https://moodle.uwtsd.ac.uk/pluginfile.php/23097/mod_folder/content/0/Steel%20et%20al_LB%20Gaza%20prestige.pdf?forcedownload=1 [accessed on 6/3/18]</w:t>
      </w:r>
    </w:p>
    <w:p w14:paraId="5F45A579" w14:textId="77777777" w:rsidR="00247366" w:rsidRDefault="00247366"/>
    <w:p w14:paraId="0DE9F903" w14:textId="77777777" w:rsidR="009F6FBF" w:rsidRDefault="009F6FBF"/>
    <w:sectPr w:rsidR="009F6FB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5BE267" w14:textId="77777777" w:rsidR="00086551" w:rsidRDefault="00086551" w:rsidP="009D44D4">
      <w:pPr>
        <w:spacing w:after="0" w:line="240" w:lineRule="auto"/>
      </w:pPr>
      <w:r>
        <w:separator/>
      </w:r>
    </w:p>
  </w:endnote>
  <w:endnote w:type="continuationSeparator" w:id="0">
    <w:p w14:paraId="5C684A31" w14:textId="77777777" w:rsidR="00086551" w:rsidRDefault="00086551" w:rsidP="009D4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D64A09" w14:textId="77777777" w:rsidR="00086551" w:rsidRDefault="00086551" w:rsidP="009D44D4">
      <w:pPr>
        <w:spacing w:after="0" w:line="240" w:lineRule="auto"/>
      </w:pPr>
      <w:r>
        <w:separator/>
      </w:r>
    </w:p>
  </w:footnote>
  <w:footnote w:type="continuationSeparator" w:id="0">
    <w:p w14:paraId="73DC254D" w14:textId="77777777" w:rsidR="00086551" w:rsidRDefault="00086551" w:rsidP="009D44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890CF8" w14:textId="77777777" w:rsidR="009D44D4" w:rsidRDefault="009D44D4">
    <w:pPr>
      <w:pStyle w:val="Header"/>
    </w:pPr>
    <w:r>
      <w:t>1600196</w:t>
    </w:r>
    <w:r>
      <w:ptab w:relativeTo="margin" w:alignment="center" w:leader="none"/>
    </w:r>
    <w:r>
      <w:t>AHAR5005</w:t>
    </w:r>
    <w:r>
      <w:ptab w:relativeTo="margin" w:alignment="right" w:leader="none"/>
    </w:r>
    <w:r>
      <w:t>Assessment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44D4"/>
    <w:rsid w:val="00086551"/>
    <w:rsid w:val="00145697"/>
    <w:rsid w:val="001C6395"/>
    <w:rsid w:val="001D4996"/>
    <w:rsid w:val="00247366"/>
    <w:rsid w:val="00273725"/>
    <w:rsid w:val="0028091B"/>
    <w:rsid w:val="00313C24"/>
    <w:rsid w:val="00316C14"/>
    <w:rsid w:val="0032447B"/>
    <w:rsid w:val="003445DE"/>
    <w:rsid w:val="0034603A"/>
    <w:rsid w:val="00355C4E"/>
    <w:rsid w:val="00365738"/>
    <w:rsid w:val="00376624"/>
    <w:rsid w:val="00404F12"/>
    <w:rsid w:val="00442156"/>
    <w:rsid w:val="004437AF"/>
    <w:rsid w:val="00484263"/>
    <w:rsid w:val="005C05C0"/>
    <w:rsid w:val="00617733"/>
    <w:rsid w:val="00670D33"/>
    <w:rsid w:val="00712C0A"/>
    <w:rsid w:val="00720A42"/>
    <w:rsid w:val="007A3191"/>
    <w:rsid w:val="00805101"/>
    <w:rsid w:val="00857185"/>
    <w:rsid w:val="00874E68"/>
    <w:rsid w:val="008B313F"/>
    <w:rsid w:val="00972568"/>
    <w:rsid w:val="009D44D4"/>
    <w:rsid w:val="009F6FBF"/>
    <w:rsid w:val="00A16E3E"/>
    <w:rsid w:val="00AF72E7"/>
    <w:rsid w:val="00C0739F"/>
    <w:rsid w:val="00CD2095"/>
    <w:rsid w:val="00CD5318"/>
    <w:rsid w:val="00D22641"/>
    <w:rsid w:val="00D43878"/>
    <w:rsid w:val="00DA7BFC"/>
    <w:rsid w:val="00E17196"/>
    <w:rsid w:val="00F25257"/>
    <w:rsid w:val="00F52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6837A"/>
  <w15:chartTrackingRefBased/>
  <w15:docId w15:val="{10C6CD4B-9C7C-493D-B04E-9F9558945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4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4D4"/>
  </w:style>
  <w:style w:type="paragraph" w:styleId="Footer">
    <w:name w:val="footer"/>
    <w:basedOn w:val="Normal"/>
    <w:link w:val="FooterChar"/>
    <w:uiPriority w:val="99"/>
    <w:unhideWhenUsed/>
    <w:rsid w:val="009D4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4D4"/>
  </w:style>
  <w:style w:type="character" w:styleId="CommentReference">
    <w:name w:val="annotation reference"/>
    <w:basedOn w:val="DefaultParagraphFont"/>
    <w:uiPriority w:val="99"/>
    <w:semiHidden/>
    <w:unhideWhenUsed/>
    <w:rsid w:val="004437AF"/>
    <w:rPr>
      <w:sz w:val="16"/>
      <w:szCs w:val="16"/>
    </w:rPr>
  </w:style>
  <w:style w:type="paragraph" w:styleId="CommentText">
    <w:name w:val="annotation text"/>
    <w:basedOn w:val="Normal"/>
    <w:link w:val="CommentTextChar"/>
    <w:uiPriority w:val="99"/>
    <w:semiHidden/>
    <w:unhideWhenUsed/>
    <w:rsid w:val="004437AF"/>
    <w:pPr>
      <w:spacing w:line="240" w:lineRule="auto"/>
    </w:pPr>
    <w:rPr>
      <w:sz w:val="20"/>
      <w:szCs w:val="20"/>
    </w:rPr>
  </w:style>
  <w:style w:type="character" w:customStyle="1" w:styleId="CommentTextChar">
    <w:name w:val="Comment Text Char"/>
    <w:basedOn w:val="DefaultParagraphFont"/>
    <w:link w:val="CommentText"/>
    <w:uiPriority w:val="99"/>
    <w:semiHidden/>
    <w:rsid w:val="004437AF"/>
    <w:rPr>
      <w:sz w:val="20"/>
      <w:szCs w:val="20"/>
    </w:rPr>
  </w:style>
  <w:style w:type="paragraph" w:styleId="CommentSubject">
    <w:name w:val="annotation subject"/>
    <w:basedOn w:val="CommentText"/>
    <w:next w:val="CommentText"/>
    <w:link w:val="CommentSubjectChar"/>
    <w:uiPriority w:val="99"/>
    <w:semiHidden/>
    <w:unhideWhenUsed/>
    <w:rsid w:val="004437AF"/>
    <w:rPr>
      <w:b/>
      <w:bCs/>
    </w:rPr>
  </w:style>
  <w:style w:type="character" w:customStyle="1" w:styleId="CommentSubjectChar">
    <w:name w:val="Comment Subject Char"/>
    <w:basedOn w:val="CommentTextChar"/>
    <w:link w:val="CommentSubject"/>
    <w:uiPriority w:val="99"/>
    <w:semiHidden/>
    <w:rsid w:val="004437AF"/>
    <w:rPr>
      <w:b/>
      <w:bCs/>
      <w:sz w:val="20"/>
      <w:szCs w:val="20"/>
    </w:rPr>
  </w:style>
  <w:style w:type="paragraph" w:styleId="BalloonText">
    <w:name w:val="Balloon Text"/>
    <w:basedOn w:val="Normal"/>
    <w:link w:val="BalloonTextChar"/>
    <w:uiPriority w:val="99"/>
    <w:semiHidden/>
    <w:unhideWhenUsed/>
    <w:rsid w:val="004437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37A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648</Words>
  <Characters>3695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Farnon (1600196)</dc:creator>
  <cp:keywords/>
  <dc:description/>
  <cp:lastModifiedBy>shannon farnon</cp:lastModifiedBy>
  <cp:revision>2</cp:revision>
  <dcterms:created xsi:type="dcterms:W3CDTF">2018-03-12T20:37:00Z</dcterms:created>
  <dcterms:modified xsi:type="dcterms:W3CDTF">2018-03-12T20:37:00Z</dcterms:modified>
</cp:coreProperties>
</file>