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b/>
        </w:rPr>
      </w:pPr>
      <w:r>
        <w:rPr>
          <w:b/>
          <w:noProof/>
        </w:rPr>
        <w:drawing>
          <wp:inline distL="0" distT="0" distB="0" distR="0">
            <wp:extent cx="2143125" cy="742950"/>
            <wp:effectExtent l="0" t="0" r="0" b="0"/>
            <wp:docPr id="1026"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2" cstate="print"/>
                    <a:srcRect l="0" t="0" r="0" b="0"/>
                    <a:stretch/>
                  </pic:blipFill>
                  <pic:spPr>
                    <a:xfrm rot="0">
                      <a:off x="0" y="0"/>
                      <a:ext cx="2143125" cy="742950"/>
                    </a:xfrm>
                    <a:prstGeom prst="rect"/>
                    <a:ln cmpd="sng" cap="flat" w="9525">
                      <a:solidFill>
                        <a:srgbClr val="000000"/>
                      </a:solidFill>
                      <a:prstDash val="solid"/>
                      <a:round/>
                      <a:headEnd/>
                      <a:tailEnd/>
                    </a:ln>
                  </pic:spPr>
                </pic:pic>
              </a:graphicData>
            </a:graphic>
          </wp:inline>
        </w:drawing>
      </w:r>
    </w:p>
    <w:p>
      <w:pPr>
        <w:pStyle w:val="style0"/>
        <w:jc w:val="center"/>
        <w:rPr>
          <w:b/>
        </w:rPr>
      </w:pPr>
    </w:p>
    <w:p>
      <w:pPr>
        <w:pStyle w:val="style0"/>
        <w:jc w:val="center"/>
        <w:rPr>
          <w:b/>
          <w:sz w:val="36"/>
          <w:szCs w:val="36"/>
        </w:rPr>
      </w:pPr>
      <w:r>
        <w:rPr>
          <w:b/>
          <w:sz w:val="36"/>
          <w:szCs w:val="36"/>
        </w:rPr>
        <w:t>MSC PUBLIC HEALTH AND SOCIAL CARE IN PRACTICE</w:t>
      </w:r>
    </w:p>
    <w:p>
      <w:pPr>
        <w:pStyle w:val="style0"/>
        <w:jc w:val="center"/>
        <w:rPr>
          <w:b/>
          <w:sz w:val="36"/>
          <w:szCs w:val="36"/>
        </w:rPr>
      </w:pPr>
    </w:p>
    <w:p>
      <w:pPr>
        <w:pStyle w:val="style0"/>
        <w:jc w:val="center"/>
        <w:rPr>
          <w:b/>
          <w:sz w:val="36"/>
          <w:szCs w:val="36"/>
        </w:rPr>
      </w:pPr>
      <w:r>
        <w:rPr>
          <w:b/>
          <w:sz w:val="36"/>
          <w:szCs w:val="36"/>
        </w:rPr>
        <w:t>LCHS7006: QUALITY ASSURANCE AND SERVICE IMPROVEMENTS</w:t>
      </w:r>
    </w:p>
    <w:p>
      <w:pPr>
        <w:pStyle w:val="style0"/>
        <w:jc w:val="center"/>
        <w:rPr>
          <w:b/>
          <w:sz w:val="36"/>
          <w:szCs w:val="36"/>
        </w:rPr>
      </w:pPr>
    </w:p>
    <w:p>
      <w:pPr>
        <w:pStyle w:val="style0"/>
        <w:jc w:val="center"/>
        <w:rPr>
          <w:b/>
          <w:sz w:val="32"/>
          <w:szCs w:val="32"/>
        </w:rPr>
      </w:pPr>
      <w:r>
        <w:rPr>
          <w:b/>
          <w:sz w:val="32"/>
          <w:szCs w:val="32"/>
        </w:rPr>
        <w:t>COMPONENT 2</w:t>
      </w:r>
    </w:p>
    <w:p>
      <w:pPr>
        <w:pStyle w:val="style0"/>
        <w:jc w:val="center"/>
        <w:rPr>
          <w:b/>
          <w:sz w:val="32"/>
          <w:szCs w:val="32"/>
        </w:rPr>
      </w:pPr>
      <w:r>
        <w:rPr>
          <w:b/>
          <w:sz w:val="32"/>
          <w:szCs w:val="32"/>
        </w:rPr>
        <w:t>SERVICE IMPROVEMENT REPORT</w:t>
      </w:r>
    </w:p>
    <w:p>
      <w:pPr>
        <w:pStyle w:val="style0"/>
        <w:jc w:val="center"/>
        <w:rPr>
          <w:b/>
          <w:sz w:val="20"/>
          <w:szCs w:val="20"/>
        </w:rPr>
      </w:pPr>
    </w:p>
    <w:p>
      <w:pPr>
        <w:pStyle w:val="style0"/>
        <w:jc w:val="center"/>
        <w:rPr>
          <w:b/>
          <w:sz w:val="20"/>
          <w:szCs w:val="20"/>
        </w:rPr>
      </w:pPr>
    </w:p>
    <w:p>
      <w:pPr>
        <w:pStyle w:val="style0"/>
        <w:rPr>
          <w:b/>
        </w:rPr>
      </w:pPr>
    </w:p>
    <w:p>
      <w:pPr>
        <w:pStyle w:val="style0"/>
        <w:jc w:val="center"/>
        <w:rPr>
          <w:b/>
        </w:rPr>
      </w:pPr>
    </w:p>
    <w:p>
      <w:pPr>
        <w:pStyle w:val="style0"/>
        <w:jc w:val="center"/>
        <w:rPr>
          <w:b/>
        </w:rPr>
      </w:pPr>
    </w:p>
    <w:p>
      <w:pPr>
        <w:pStyle w:val="style0"/>
        <w:jc w:val="center"/>
        <w:rPr>
          <w:b/>
        </w:rPr>
      </w:pPr>
    </w:p>
    <w:p>
      <w:pPr>
        <w:pStyle w:val="style0"/>
        <w:jc w:val="center"/>
        <w:rPr>
          <w:b/>
        </w:rPr>
      </w:pPr>
    </w:p>
    <w:p>
      <w:pPr>
        <w:pStyle w:val="style0"/>
        <w:jc w:val="center"/>
        <w:rPr>
          <w:b/>
        </w:rPr>
      </w:pPr>
      <w:r>
        <w:rPr>
          <w:b/>
        </w:rPr>
        <w:t>LECTURER: Dr Fahad Khan</w:t>
      </w:r>
    </w:p>
    <w:p>
      <w:pPr>
        <w:pStyle w:val="style0"/>
        <w:jc w:val="center"/>
        <w:rPr>
          <w:b/>
        </w:rPr>
      </w:pPr>
      <w:r>
        <w:rPr>
          <w:b/>
        </w:rPr>
        <w:t xml:space="preserve">STUDENT NAME:    </w:t>
      </w:r>
      <w:r>
        <w:rPr>
          <w:b/>
          <w:lang w:val="en-US"/>
        </w:rPr>
        <w:t>Adil karim</w:t>
      </w:r>
    </w:p>
    <w:p>
      <w:pPr>
        <w:pStyle w:val="style0"/>
        <w:jc w:val="center"/>
        <w:rPr/>
      </w:pPr>
      <w:r>
        <w:rPr>
          <w:b/>
        </w:rPr>
        <w:t>STUDENT ID NUMBER:</w:t>
      </w:r>
      <w:r>
        <w:t xml:space="preserve"> </w:t>
      </w:r>
      <w:r>
        <w:rPr>
          <w:lang w:val="en-US"/>
        </w:rPr>
        <w:t xml:space="preserve"> 2426763</w:t>
      </w:r>
    </w:p>
    <w:p>
      <w:pPr>
        <w:pStyle w:val="style0"/>
        <w:jc w:val="center"/>
        <w:rPr>
          <w:b/>
          <w:sz w:val="24"/>
          <w:szCs w:val="30"/>
        </w:rPr>
      </w:pPr>
      <w:r>
        <w:rPr>
          <w:b/>
          <w:sz w:val="24"/>
          <w:szCs w:val="30"/>
        </w:rPr>
        <w:t>Table of Contents</w:t>
      </w:r>
    </w:p>
    <w:p>
      <w:pPr>
        <w:pStyle w:val="style19"/>
        <w:tabs>
          <w:tab w:val="right" w:leader="dot" w:pos="9019"/>
        </w:tabs>
        <w:rPr>
          <w:rFonts w:ascii="Cambria" w:cs="宋体" w:eastAsia="宋体" w:hAnsi="Cambria"/>
          <w:noProof/>
          <w:color w:val="auto"/>
          <w:lang w:val="en-IN"/>
        </w:rPr>
      </w:pPr>
      <w:r>
        <w:rPr/>
        <w:fldChar w:fldCharType="begin"/>
      </w:r>
      <w:r>
        <w:instrText xml:space="preserve"> TOC \h \u \z \t "Heading 1,1,Heading 2,2,Heading 3,3,Heading 4,4,Heading 5,5,Heading 6,6,"</w:instrText>
      </w:r>
      <w:r>
        <w:rPr/>
        <w:fldChar w:fldCharType="separate"/>
      </w:r>
      <w:r>
        <w:rPr/>
        <w:fldChar w:fldCharType="begin"/>
      </w:r>
      <w:r>
        <w:instrText xml:space="preserve"> HYPERLINK \l "_Toc213354282" </w:instrText>
      </w:r>
      <w:r>
        <w:rPr/>
        <w:fldChar w:fldCharType="separate"/>
      </w:r>
      <w:r>
        <w:rPr>
          <w:rStyle w:val="style85"/>
          <w:noProof/>
        </w:rPr>
        <w:t>1. Introduction</w:t>
      </w:r>
      <w:r>
        <w:rPr>
          <w:noProof/>
          <w:webHidden/>
        </w:rPr>
        <w:tab/>
      </w:r>
      <w:r>
        <w:rPr>
          <w:noProof/>
          <w:webHidden/>
        </w:rPr>
        <w:fldChar w:fldCharType="begin"/>
      </w:r>
      <w:r>
        <w:rPr>
          <w:noProof/>
          <w:webHidden/>
        </w:rPr>
        <w:instrText xml:space="preserve"> PAGEREF _Toc213354282 \h </w:instrText>
      </w:r>
      <w:r>
        <w:rPr>
          <w:noProof/>
          <w:webHidden/>
        </w:rPr>
        <w:fldChar w:fldCharType="separate"/>
      </w:r>
      <w:r>
        <w:rPr>
          <w:noProof/>
          <w:webHidden/>
        </w:rPr>
        <w:t>2</w:t>
      </w:r>
      <w:r>
        <w:rPr>
          <w:noProof/>
          <w:webHidden/>
        </w:rPr>
        <w:fldChar w:fldCharType="end"/>
      </w:r>
      <w:r>
        <w:rPr/>
        <w:fldChar w:fldCharType="end"/>
      </w:r>
    </w:p>
    <w:p>
      <w:pPr>
        <w:pStyle w:val="style19"/>
        <w:tabs>
          <w:tab w:val="right" w:leader="dot" w:pos="9019"/>
        </w:tabs>
        <w:rPr>
          <w:rFonts w:ascii="Cambria" w:cs="宋体" w:eastAsia="宋体" w:hAnsi="Cambria"/>
          <w:noProof/>
          <w:color w:val="auto"/>
          <w:lang w:val="en-IN"/>
        </w:rPr>
      </w:pPr>
      <w:r>
        <w:rPr/>
        <w:fldChar w:fldCharType="begin"/>
      </w:r>
      <w:r>
        <w:instrText xml:space="preserve"> HYPERLINK \l "_Toc213354283" </w:instrText>
      </w:r>
      <w:r>
        <w:rPr/>
        <w:fldChar w:fldCharType="separate"/>
      </w:r>
      <w:r>
        <w:rPr>
          <w:rStyle w:val="style85"/>
          <w:noProof/>
        </w:rPr>
        <w:t>2. Main Body</w:t>
      </w:r>
      <w:r>
        <w:rPr>
          <w:noProof/>
          <w:webHidden/>
        </w:rPr>
        <w:tab/>
      </w:r>
      <w:r>
        <w:rPr>
          <w:noProof/>
          <w:webHidden/>
        </w:rPr>
        <w:fldChar w:fldCharType="begin"/>
      </w:r>
      <w:r>
        <w:rPr>
          <w:noProof/>
          <w:webHidden/>
        </w:rPr>
        <w:instrText xml:space="preserve"> PAGEREF _Toc213354283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019"/>
        </w:tabs>
        <w:rPr>
          <w:rFonts w:ascii="Cambria" w:cs="宋体" w:eastAsia="宋体" w:hAnsi="Cambria"/>
          <w:noProof/>
          <w:color w:val="auto"/>
          <w:lang w:val="en-IN"/>
        </w:rPr>
      </w:pPr>
      <w:r>
        <w:rPr/>
        <w:fldChar w:fldCharType="begin"/>
      </w:r>
      <w:r>
        <w:instrText xml:space="preserve"> HYPERLINK \l "_Toc213354284" </w:instrText>
      </w:r>
      <w:r>
        <w:rPr/>
        <w:fldChar w:fldCharType="separate"/>
      </w:r>
      <w:r>
        <w:rPr>
          <w:rStyle w:val="style85"/>
          <w:noProof/>
        </w:rPr>
        <w:t>2.1 Overview of the Quality Issue</w:t>
      </w:r>
      <w:r>
        <w:rPr>
          <w:noProof/>
          <w:webHidden/>
        </w:rPr>
        <w:tab/>
      </w:r>
      <w:r>
        <w:rPr>
          <w:noProof/>
          <w:webHidden/>
        </w:rPr>
        <w:fldChar w:fldCharType="begin"/>
      </w:r>
      <w:r>
        <w:rPr>
          <w:noProof/>
          <w:webHidden/>
        </w:rPr>
        <w:instrText xml:space="preserve"> PAGEREF _Toc213354284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019"/>
        </w:tabs>
        <w:rPr>
          <w:rFonts w:ascii="Cambria" w:cs="宋体" w:eastAsia="宋体" w:hAnsi="Cambria"/>
          <w:noProof/>
          <w:color w:val="auto"/>
          <w:lang w:val="en-IN"/>
        </w:rPr>
      </w:pPr>
      <w:r>
        <w:rPr/>
        <w:fldChar w:fldCharType="begin"/>
      </w:r>
      <w:r>
        <w:instrText xml:space="preserve"> HYPERLINK \l "_Toc213354285" </w:instrText>
      </w:r>
      <w:r>
        <w:rPr/>
        <w:fldChar w:fldCharType="separate"/>
      </w:r>
      <w:r>
        <w:rPr>
          <w:rStyle w:val="style85"/>
          <w:noProof/>
        </w:rPr>
        <w:t>2.2 Root-Cause-Analysis Using the Fishbone Diagram</w:t>
      </w:r>
      <w:r>
        <w:rPr>
          <w:noProof/>
          <w:webHidden/>
        </w:rPr>
        <w:tab/>
      </w:r>
      <w:r>
        <w:rPr>
          <w:noProof/>
          <w:webHidden/>
        </w:rPr>
        <w:fldChar w:fldCharType="begin"/>
      </w:r>
      <w:r>
        <w:rPr>
          <w:noProof/>
          <w:webHidden/>
        </w:rPr>
        <w:instrText xml:space="preserve"> PAGEREF _Toc213354285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019"/>
        </w:tabs>
        <w:rPr>
          <w:rFonts w:ascii="Cambria" w:cs="宋体" w:eastAsia="宋体" w:hAnsi="Cambria"/>
          <w:noProof/>
          <w:color w:val="auto"/>
          <w:lang w:val="en-IN"/>
        </w:rPr>
      </w:pPr>
      <w:r>
        <w:rPr/>
        <w:fldChar w:fldCharType="begin"/>
      </w:r>
      <w:r>
        <w:instrText xml:space="preserve"> HYPERLINK \l "_Toc213354286" </w:instrText>
      </w:r>
      <w:r>
        <w:rPr/>
        <w:fldChar w:fldCharType="separate"/>
      </w:r>
      <w:r>
        <w:rPr>
          <w:rStyle w:val="style85"/>
          <w:noProof/>
        </w:rPr>
        <w:t>2.3 The Donabedian Model: Evaluating Structure, Process, and Outcomes</w:t>
      </w:r>
      <w:r>
        <w:rPr>
          <w:noProof/>
          <w:webHidden/>
        </w:rPr>
        <w:tab/>
      </w:r>
      <w:r>
        <w:rPr>
          <w:noProof/>
          <w:webHidden/>
        </w:rPr>
        <w:fldChar w:fldCharType="begin"/>
      </w:r>
      <w:r>
        <w:rPr>
          <w:noProof/>
          <w:webHidden/>
        </w:rPr>
        <w:instrText xml:space="preserve"> PAGEREF _Toc213354286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019"/>
        </w:tabs>
        <w:rPr>
          <w:rFonts w:ascii="Cambria" w:cs="宋体" w:eastAsia="宋体" w:hAnsi="Cambria"/>
          <w:noProof/>
          <w:color w:val="auto"/>
          <w:lang w:val="en-IN"/>
        </w:rPr>
      </w:pPr>
      <w:r>
        <w:rPr/>
        <w:fldChar w:fldCharType="begin"/>
      </w:r>
      <w:r>
        <w:instrText xml:space="preserve"> HYPERLINK \l "_Toc213354287" </w:instrText>
      </w:r>
      <w:r>
        <w:rPr/>
        <w:fldChar w:fldCharType="separate"/>
      </w:r>
      <w:r>
        <w:rPr>
          <w:rStyle w:val="style85"/>
          <w:noProof/>
        </w:rPr>
        <w:t>2.4 SWOT Analysis of Quality Management in the Trust</w:t>
      </w:r>
      <w:r>
        <w:rPr>
          <w:noProof/>
          <w:webHidden/>
        </w:rPr>
        <w:tab/>
      </w:r>
      <w:r>
        <w:rPr>
          <w:noProof/>
          <w:webHidden/>
        </w:rPr>
        <w:fldChar w:fldCharType="begin"/>
      </w:r>
      <w:r>
        <w:rPr>
          <w:noProof/>
          <w:webHidden/>
        </w:rPr>
        <w:instrText xml:space="preserve"> PAGEREF _Toc213354287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019"/>
        </w:tabs>
        <w:rPr>
          <w:rFonts w:ascii="Cambria" w:cs="宋体" w:eastAsia="宋体" w:hAnsi="Cambria"/>
          <w:noProof/>
          <w:color w:val="auto"/>
          <w:lang w:val="en-IN"/>
        </w:rPr>
      </w:pPr>
      <w:r>
        <w:rPr/>
        <w:fldChar w:fldCharType="begin"/>
      </w:r>
      <w:r>
        <w:instrText xml:space="preserve"> HYPERLINK \l "_Toc213354288" </w:instrText>
      </w:r>
      <w:r>
        <w:rPr/>
        <w:fldChar w:fldCharType="separate"/>
      </w:r>
      <w:r>
        <w:rPr>
          <w:rStyle w:val="style85"/>
          <w:noProof/>
        </w:rPr>
        <w:t>2.5 Theoretical Evaluation and Integration</w:t>
      </w:r>
      <w:r>
        <w:rPr>
          <w:noProof/>
          <w:webHidden/>
        </w:rPr>
        <w:tab/>
      </w:r>
      <w:r>
        <w:rPr>
          <w:noProof/>
          <w:webHidden/>
        </w:rPr>
        <w:fldChar w:fldCharType="begin"/>
      </w:r>
      <w:r>
        <w:rPr>
          <w:noProof/>
          <w:webHidden/>
        </w:rPr>
        <w:instrText xml:space="preserve"> PAGEREF _Toc213354288 \h </w:instrText>
      </w:r>
      <w:r>
        <w:rPr>
          <w:noProof/>
          <w:webHidden/>
        </w:rPr>
        <w:fldChar w:fldCharType="separate"/>
      </w:r>
      <w:r>
        <w:rPr>
          <w:noProof/>
          <w:webHidden/>
        </w:rPr>
        <w:t>9</w:t>
      </w:r>
      <w:r>
        <w:rPr>
          <w:noProof/>
          <w:webHidden/>
        </w:rPr>
        <w:fldChar w:fldCharType="end"/>
      </w:r>
      <w:r>
        <w:rPr/>
        <w:fldChar w:fldCharType="end"/>
      </w:r>
    </w:p>
    <w:p>
      <w:pPr>
        <w:pStyle w:val="style19"/>
        <w:tabs>
          <w:tab w:val="right" w:leader="dot" w:pos="9019"/>
        </w:tabs>
        <w:rPr>
          <w:rFonts w:ascii="Cambria" w:cs="宋体" w:eastAsia="宋体" w:hAnsi="Cambria"/>
          <w:noProof/>
          <w:color w:val="auto"/>
          <w:lang w:val="en-IN"/>
        </w:rPr>
      </w:pPr>
      <w:r>
        <w:rPr/>
        <w:fldChar w:fldCharType="begin"/>
      </w:r>
      <w:r>
        <w:instrText xml:space="preserve"> HYPERLINK \l "_Toc213354289" </w:instrText>
      </w:r>
      <w:r>
        <w:rPr/>
        <w:fldChar w:fldCharType="separate"/>
      </w:r>
      <w:r>
        <w:rPr>
          <w:rStyle w:val="style85"/>
          <w:noProof/>
        </w:rPr>
        <w:t>3. Recommendations</w:t>
      </w:r>
      <w:r>
        <w:rPr>
          <w:noProof/>
          <w:webHidden/>
        </w:rPr>
        <w:tab/>
      </w:r>
      <w:r>
        <w:rPr>
          <w:noProof/>
          <w:webHidden/>
        </w:rPr>
        <w:fldChar w:fldCharType="begin"/>
      </w:r>
      <w:r>
        <w:rPr>
          <w:noProof/>
          <w:webHidden/>
        </w:rPr>
        <w:instrText xml:space="preserve"> PAGEREF _Toc213354289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019"/>
        </w:tabs>
        <w:rPr>
          <w:rFonts w:ascii="Cambria" w:cs="宋体" w:eastAsia="宋体" w:hAnsi="Cambria"/>
          <w:noProof/>
          <w:color w:val="auto"/>
          <w:lang w:val="en-IN"/>
        </w:rPr>
      </w:pPr>
      <w:r>
        <w:rPr/>
        <w:fldChar w:fldCharType="begin"/>
      </w:r>
      <w:r>
        <w:instrText xml:space="preserve"> HYPERLINK \l "_Toc213354290" </w:instrText>
      </w:r>
      <w:r>
        <w:rPr/>
        <w:fldChar w:fldCharType="separate"/>
      </w:r>
      <w:r>
        <w:rPr>
          <w:rStyle w:val="style85"/>
          <w:noProof/>
        </w:rPr>
        <w:t>3.1 Strategic Recommendations</w:t>
      </w:r>
      <w:r>
        <w:rPr>
          <w:noProof/>
          <w:webHidden/>
        </w:rPr>
        <w:tab/>
      </w:r>
      <w:r>
        <w:rPr>
          <w:noProof/>
          <w:webHidden/>
        </w:rPr>
        <w:fldChar w:fldCharType="begin"/>
      </w:r>
      <w:r>
        <w:rPr>
          <w:noProof/>
          <w:webHidden/>
        </w:rPr>
        <w:instrText xml:space="preserve"> PAGEREF _Toc213354290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019"/>
        </w:tabs>
        <w:rPr>
          <w:rFonts w:ascii="Cambria" w:cs="宋体" w:eastAsia="宋体" w:hAnsi="Cambria"/>
          <w:noProof/>
          <w:color w:val="auto"/>
          <w:lang w:val="en-IN"/>
        </w:rPr>
      </w:pPr>
      <w:r>
        <w:rPr/>
        <w:fldChar w:fldCharType="begin"/>
      </w:r>
      <w:r>
        <w:instrText xml:space="preserve"> HYPERLINK \l "_Toc213354291" </w:instrText>
      </w:r>
      <w:r>
        <w:rPr/>
        <w:fldChar w:fldCharType="separate"/>
      </w:r>
      <w:r>
        <w:rPr>
          <w:rStyle w:val="style85"/>
          <w:noProof/>
        </w:rPr>
        <w:t>3.2 Implementation Strategy</w:t>
      </w:r>
      <w:r>
        <w:rPr>
          <w:noProof/>
          <w:webHidden/>
        </w:rPr>
        <w:tab/>
      </w:r>
      <w:r>
        <w:rPr>
          <w:noProof/>
          <w:webHidden/>
        </w:rPr>
        <w:fldChar w:fldCharType="begin"/>
      </w:r>
      <w:r>
        <w:rPr>
          <w:noProof/>
          <w:webHidden/>
        </w:rPr>
        <w:instrText xml:space="preserve"> PAGEREF _Toc213354291 \h </w:instrText>
      </w:r>
      <w:r>
        <w:rPr>
          <w:noProof/>
          <w:webHidden/>
        </w:rPr>
        <w:fldChar w:fldCharType="separate"/>
      </w:r>
      <w:r>
        <w:rPr>
          <w:noProof/>
          <w:webHidden/>
        </w:rPr>
        <w:t>13</w:t>
      </w:r>
      <w:r>
        <w:rPr>
          <w:noProof/>
          <w:webHidden/>
        </w:rPr>
        <w:fldChar w:fldCharType="end"/>
      </w:r>
      <w:r>
        <w:rPr/>
        <w:fldChar w:fldCharType="end"/>
      </w:r>
    </w:p>
    <w:p>
      <w:pPr>
        <w:pStyle w:val="style19"/>
        <w:tabs>
          <w:tab w:val="right" w:leader="dot" w:pos="9019"/>
        </w:tabs>
        <w:rPr>
          <w:rFonts w:ascii="Cambria" w:cs="宋体" w:eastAsia="宋体" w:hAnsi="Cambria"/>
          <w:noProof/>
          <w:color w:val="auto"/>
          <w:lang w:val="en-IN"/>
        </w:rPr>
      </w:pPr>
      <w:r>
        <w:rPr/>
        <w:fldChar w:fldCharType="begin"/>
      </w:r>
      <w:r>
        <w:instrText xml:space="preserve"> HYPERLINK \l "_Toc213354292" </w:instrText>
      </w:r>
      <w:r>
        <w:rPr/>
        <w:fldChar w:fldCharType="separate"/>
      </w:r>
      <w:r>
        <w:rPr>
          <w:rStyle w:val="style85"/>
          <w:noProof/>
        </w:rPr>
        <w:t>4. Conclusion</w:t>
      </w:r>
      <w:r>
        <w:rPr>
          <w:noProof/>
          <w:webHidden/>
        </w:rPr>
        <w:tab/>
      </w:r>
      <w:r>
        <w:rPr>
          <w:noProof/>
          <w:webHidden/>
        </w:rPr>
        <w:fldChar w:fldCharType="begin"/>
      </w:r>
      <w:r>
        <w:rPr>
          <w:noProof/>
          <w:webHidden/>
        </w:rPr>
        <w:instrText xml:space="preserve"> PAGEREF _Toc213354292 \h </w:instrText>
      </w:r>
      <w:r>
        <w:rPr>
          <w:noProof/>
          <w:webHidden/>
        </w:rPr>
        <w:fldChar w:fldCharType="separate"/>
      </w:r>
      <w:r>
        <w:rPr>
          <w:noProof/>
          <w:webHidden/>
        </w:rPr>
        <w:t>14</w:t>
      </w:r>
      <w:r>
        <w:rPr>
          <w:noProof/>
          <w:webHidden/>
        </w:rPr>
        <w:fldChar w:fldCharType="end"/>
      </w:r>
      <w:r>
        <w:rPr/>
        <w:fldChar w:fldCharType="end"/>
      </w:r>
    </w:p>
    <w:p>
      <w:pPr>
        <w:pStyle w:val="style19"/>
        <w:tabs>
          <w:tab w:val="right" w:leader="dot" w:pos="9019"/>
        </w:tabs>
        <w:rPr>
          <w:rFonts w:ascii="Cambria" w:cs="宋体" w:eastAsia="宋体" w:hAnsi="Cambria"/>
          <w:noProof/>
          <w:color w:val="auto"/>
          <w:lang w:val="en-IN"/>
        </w:rPr>
      </w:pPr>
      <w:r>
        <w:rPr/>
        <w:fldChar w:fldCharType="begin"/>
      </w:r>
      <w:r>
        <w:instrText xml:space="preserve"> HYPERLINK \l "_Toc213354293"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_Toc213354293 \h </w:instrText>
      </w:r>
      <w:r>
        <w:rPr>
          <w:noProof/>
          <w:webHidden/>
        </w:rPr>
        <w:fldChar w:fldCharType="separate"/>
      </w:r>
      <w:r>
        <w:rPr>
          <w:noProof/>
          <w:webHidden/>
        </w:rPr>
        <w:t>16</w:t>
      </w:r>
      <w:r>
        <w:rPr>
          <w:noProof/>
          <w:webHidden/>
        </w:rPr>
        <w:fldChar w:fldCharType="end"/>
      </w:r>
      <w:r>
        <w:rPr/>
        <w:fldChar w:fldCharType="end"/>
      </w:r>
    </w:p>
    <w:p>
      <w:pPr>
        <w:pStyle w:val="style0"/>
        <w:widowControl w:val="false"/>
        <w:tabs>
          <w:tab w:val="right" w:leader="dot" w:pos="12000"/>
        </w:tabs>
        <w:spacing w:before="60"/>
        <w:rPr>
          <w:color w:val="000000"/>
        </w:rPr>
      </w:pPr>
      <w:r>
        <w:rPr/>
        <w:fldChar w:fldCharType="end"/>
      </w:r>
    </w:p>
    <w:p>
      <w:pPr>
        <w:pStyle w:val="style0"/>
        <w:rPr/>
      </w:pPr>
    </w:p>
    <w:p>
      <w:pPr>
        <w:pStyle w:val="style0"/>
        <w:rPr/>
      </w:pPr>
    </w:p>
    <w:p>
      <w:pPr>
        <w:pStyle w:val="style0"/>
        <w:rPr/>
      </w:pPr>
      <w:r>
        <w:br w:type="page"/>
      </w:r>
    </w:p>
    <w:bookmarkStart w:id="0" w:name="_Toc213354282"/>
    <w:p>
      <w:pPr>
        <w:pStyle w:val="style1"/>
        <w:rPr/>
      </w:pPr>
      <w:r>
        <w:t>1. Introduction</w:t>
      </w:r>
      <w:bookmarkEnd w:id="0"/>
    </w:p>
    <w:p>
      <w:pPr>
        <w:pStyle w:val="style0"/>
        <w:rPr/>
      </w:pPr>
      <w:r>
        <w:t xml:space="preserve">Quality management is a fundamental basis of safe and effective healthcare provision, as it guarantees that the outcome of patients, the work provided by the staff, and the organisational responsibility meet the standards of care on the national level (World Health Organization, 2025b; Young and Smith, 2022). Any failures in quality governance can have devastating effects, which is exactly what happened to the Shrewsbury and Telford Hospital NHS Trust (SaTH) maternity scandal, which was one of the biggest breaches in patient care in the National Health Service (NHS) history (BBC, 2022; Gregory, 2022). The 1970s to 2019 saw hundreds of mothers and infants resourced with preventable injuries or fatalities through failures in the leadership, culture, training and clinical care practices (Backer </w:t>
      </w:r>
      <w:r>
        <w:rPr>
          <w:i/>
        </w:rPr>
        <w:t>et al.,</w:t>
      </w:r>
      <w:r>
        <w:t xml:space="preserve"> 2025). In the Ockenden Review, it was found that there were widespread failures in risk evaluation, escalation, and contact with patients and families that highlighted intrinsic shortcomings regarding the quality management systems of the Trust (Trust, 2023).</w:t>
      </w:r>
    </w:p>
    <w:p>
      <w:pPr>
        <w:pStyle w:val="style0"/>
        <w:rPr/>
      </w:pPr>
      <w:r>
        <w:t xml:space="preserve">The importance of this case is not merely confined to the personal clinical mistakes, but it reveals how structural, procedural and cultural failures affect the quality of care. Maternity safety has become a national priority in the field of public health because maternal and neonatal mortality rates are among the main indicators of healthcare quality and equity (World Health Organization, 2025a). At SaTH, patient trust was eroded by the inability to inculcate continuous improvement processes, weak policy enforcement and accountability (BBC, 2020). Lack of staff, intermittent training, and audits further worsened the situation, which led to a system where avoidable damage became the norm (Waring </w:t>
      </w:r>
      <w:r>
        <w:rPr>
          <w:i/>
        </w:rPr>
        <w:t>et al.,</w:t>
      </w:r>
      <w:r>
        <w:t xml:space="preserve"> 2015).</w:t>
      </w:r>
    </w:p>
    <w:p>
      <w:pPr>
        <w:pStyle w:val="style0"/>
        <w:rPr>
          <w:color w:val="000000"/>
        </w:rPr>
      </w:pPr>
      <w:r>
        <w:rPr>
          <w:color w:val="000000"/>
        </w:rPr>
        <w:t>The report is a review of the underlying factors of the failures at the Shrewsbury and Telford maternity in the primary quality improvement and management tools, Fishbone Diagram, the Donabedian Model, and the SWOT. These models use a methodological enquiry into contributory factors at structural, human, organisational and policy levels. The other policy environment that was discussed in the paper is the broad policy environment, which influenced the maternity services bearing in mind that there was no control mechanism and a gap in governance that undermined the national safety agenda. It is a fact-finding study, grounded on academic literature, NHS reports, and actual life cases to be able to find solutions to eradicate such failures in the system.</w:t>
      </w:r>
    </w:p>
    <w:p>
      <w:pPr>
        <w:pStyle w:val="style0"/>
        <w:rPr/>
      </w:pPr>
      <w:r>
        <w:rPr>
          <w:color w:val="000000"/>
        </w:rPr>
        <w:t>The final objective of the report is to provide feasible recommendations that would build the governance, safety culture and quality assurance in the maternity services. The proposed innovations will be implemented based on the existing quality improvement frameworks, PDSA, Lean, and Six Sigma, which will ensure a long-term, evidence-based, and systematic approach of improving patient safety and the quality of the services in the context of the entire NHS maternity care.</w:t>
      </w:r>
    </w:p>
    <w:bookmarkStart w:id="1" w:name="_Toc213354283"/>
    <w:p>
      <w:pPr>
        <w:pStyle w:val="style1"/>
        <w:rPr/>
      </w:pPr>
      <w:r>
        <w:t>2. Main Body</w:t>
      </w:r>
      <w:bookmarkEnd w:id="1"/>
    </w:p>
    <w:bookmarkStart w:id="2" w:name="_Toc213354284"/>
    <w:p>
      <w:pPr>
        <w:pStyle w:val="style2"/>
        <w:rPr/>
      </w:pPr>
      <w:r>
        <w:t>2.1 Overview of the Quality Issue</w:t>
      </w:r>
      <w:bookmarkEnd w:id="2"/>
    </w:p>
    <w:p>
      <w:pPr>
        <w:pStyle w:val="style0"/>
        <w:rPr/>
      </w:pPr>
      <w:r>
        <w:t>The Shrewsbury and Telford NHS Maternity Scandal is a severe failure in the quality and safety protocols that define the care of a patient. According to the report by Ockenden (2022), the cases of preventable maternal and neonatal deaths and lifelong injuries caused by unsafe practices, poor communication, and failure to establish governance were more than 200 cases. Such incidents demonstrate how the lack of a systems-based approach to safety resulted in the convergence of structural and cultural vulnerabilities to continue the harmful cycle (Barcan</w:t>
      </w:r>
      <w:r>
        <w:t xml:space="preserve"> </w:t>
      </w:r>
      <w:r>
        <w:t xml:space="preserve">Kirby LLP, 2022). </w:t>
      </w:r>
    </w:p>
    <w:p>
      <w:pPr>
        <w:pStyle w:val="style0"/>
        <w:rPr/>
      </w:pPr>
      <w:r>
        <w:t xml:space="preserve">Although there were national maternity safety frameworks, they were not implemented uniformly and monitored at the Trust level. Such a mismatch between policy and practice revealed long-standing organisational flaws like the absence of training, poor leadership, and an unaccountable culture (Khaw </w:t>
      </w:r>
      <w:r>
        <w:rPr>
          <w:i/>
        </w:rPr>
        <w:t>et al.,</w:t>
      </w:r>
      <w:r>
        <w:t xml:space="preserve"> 2022). To examine these failures, theoretical models, including the Fishbone Diagram, Donabedian Model, and SWOT analysis, assist in identifying the causes of failures in the system, judging the effect of each cause, and designing the strategy of sustainable improvement.</w:t>
      </w:r>
    </w:p>
    <w:bookmarkStart w:id="3" w:name="_Toc213354285"/>
    <w:p>
      <w:pPr>
        <w:pStyle w:val="style2"/>
        <w:rPr/>
      </w:pPr>
      <w:r>
        <w:t xml:space="preserve">2.2 Root-Cause-Analysis Using </w:t>
      </w:r>
      <w:r>
        <w:t>the</w:t>
      </w:r>
      <w:r>
        <w:t xml:space="preserve"> Fishbone Diagram</w:t>
      </w:r>
      <w:bookmarkEnd w:id="3"/>
    </w:p>
    <w:p>
      <w:pPr>
        <w:pStyle w:val="style0"/>
        <w:rPr/>
      </w:pPr>
      <w:r>
        <w:t xml:space="preserve">The Fishbone Diagram or Ishikawa is a diagnostic instrument that divides possible causes of an issue into major contributing areas that include People, Processes, Equipment, Environment, Measurement and Management (Kumah </w:t>
      </w:r>
      <w:r>
        <w:rPr>
          <w:i/>
        </w:rPr>
        <w:t>et al.,</w:t>
      </w:r>
      <w:r>
        <w:t xml:space="preserve"> 2024). Its involvement in the case of Shrewsbury and Telford allows a systematic definition of the interconnected factors of the service failure. </w:t>
      </w:r>
    </w:p>
    <w:p>
      <w:pPr>
        <w:pStyle w:val="style0"/>
        <w:jc w:val="center"/>
        <w:rPr/>
      </w:pPr>
      <w:r>
        <w:rPr>
          <w:noProof/>
        </w:rPr>
        <w:drawing>
          <wp:inline distL="0" distT="0" distB="0" distR="0">
            <wp:extent cx="5731200" cy="2514600"/>
            <wp:effectExtent l="12700" t="12700" r="12700" b="12700"/>
            <wp:docPr id="1027" name="image8.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8.png"/>
                    <pic:cNvPicPr/>
                  </pic:nvPicPr>
                  <pic:blipFill>
                    <a:blip r:embed="rId3" cstate="print"/>
                    <a:srcRect l="0" t="0" r="0" b="0"/>
                    <a:stretch/>
                  </pic:blipFill>
                  <pic:spPr>
                    <a:xfrm rot="0">
                      <a:off x="0" y="0"/>
                      <a:ext cx="5731200" cy="2514600"/>
                    </a:xfrm>
                    <a:prstGeom prst="rect"/>
                    <a:ln cmpd="sng" cap="flat" w="12700">
                      <a:solidFill>
                        <a:srgbClr val="000000"/>
                      </a:solidFill>
                      <a:prstDash val="solid"/>
                      <a:round/>
                      <a:headEnd/>
                      <a:tailEnd/>
                    </a:ln>
                  </pic:spPr>
                </pic:pic>
              </a:graphicData>
            </a:graphic>
          </wp:inline>
        </w:drawing>
      </w:r>
    </w:p>
    <w:p>
      <w:pPr>
        <w:pStyle w:val="style0"/>
        <w:jc w:val="center"/>
        <w:rPr>
          <w:b/>
        </w:rPr>
      </w:pPr>
      <w:r>
        <w:rPr>
          <w:b/>
        </w:rPr>
        <w:t>Figure 1: Fishbone Diagram</w:t>
      </w:r>
    </w:p>
    <w:p>
      <w:pPr>
        <w:pStyle w:val="style0"/>
        <w:jc w:val="center"/>
        <w:rPr/>
      </w:pPr>
      <w:r>
        <w:t>(Source: Self-developed)</w:t>
      </w:r>
    </w:p>
    <w:p>
      <w:pPr>
        <w:pStyle w:val="style0"/>
        <w:rPr>
          <w:b/>
        </w:rPr>
      </w:pPr>
      <w:r>
        <w:rPr>
          <w:b/>
        </w:rPr>
        <w:t>People</w:t>
      </w:r>
    </w:p>
    <w:p>
      <w:pPr>
        <w:pStyle w:val="style0"/>
        <w:rPr/>
      </w:pPr>
      <w:r>
        <w:t xml:space="preserve">One of the key causes was poor competency of staff. Numerous midwives and clinicians did not have current training in fetal monitoring and emergency interventions, as well as the escalation protocols (Ockenden, 2022). Employees had also been overworked, a predictor of medical error as it had resulted in fatigue and cognitive overload (Alyahya </w:t>
      </w:r>
      <w:r>
        <w:rPr>
          <w:i/>
        </w:rPr>
        <w:t>et al.,</w:t>
      </w:r>
      <w:r>
        <w:t xml:space="preserve"> 2021). According to human factors theory, too much work and a lack of psychological safety deteriorate decision-making and situational awareness (Alcock </w:t>
      </w:r>
      <w:r>
        <w:rPr>
          <w:i/>
        </w:rPr>
        <w:t>et al.,</w:t>
      </w:r>
      <w:r>
        <w:t xml:space="preserve"> 2025). Moreover, there was a culture of fear that prevented the staff from reporting mistakes, and the cycle of non-learning began.</w:t>
      </w:r>
    </w:p>
    <w:p>
      <w:pPr>
        <w:pStyle w:val="style0"/>
        <w:rPr>
          <w:b/>
        </w:rPr>
      </w:pPr>
      <w:r>
        <w:rPr>
          <w:b/>
        </w:rPr>
        <w:t>Processes</w:t>
      </w:r>
    </w:p>
    <w:p>
      <w:pPr>
        <w:pStyle w:val="style0"/>
        <w:rPr/>
      </w:pPr>
      <w:r>
        <w:t>There was inconsistency and a lack of standardisation in clinical processes. The Trust did not follow the national best practices on risk assessment and escalation of emergencies, with case reports of delayed caesarean sections and insufficient monitoring of fetuses (BBC, 2022). Adverse incidents were not followed up systematically, and internal auditing was not thorough and transparent. This corresponds to the theory of quality management developed by Deming that highlights the continuous improvement of the processes as well as the feedback loops to avoid repeating the mistakes (Haughom, 2024).</w:t>
      </w:r>
    </w:p>
    <w:p>
      <w:pPr>
        <w:pStyle w:val="style0"/>
        <w:jc w:val="center"/>
        <w:rPr/>
      </w:pPr>
      <w:r>
        <w:rPr>
          <w:noProof/>
        </w:rPr>
        <w:drawing>
          <wp:inline distL="0" distT="0" distB="0" distR="0">
            <wp:extent cx="2381250" cy="5638800"/>
            <wp:effectExtent l="12700" t="12700" r="12700" b="12700"/>
            <wp:docPr id="1028" name="image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4" cstate="print"/>
                    <a:srcRect l="0" t="12684" r="0" b="0"/>
                    <a:stretch/>
                  </pic:blipFill>
                  <pic:spPr>
                    <a:xfrm rot="0">
                      <a:off x="0" y="0"/>
                      <a:ext cx="2381250" cy="5638800"/>
                    </a:xfrm>
                    <a:prstGeom prst="rect"/>
                    <a:ln cmpd="sng" cap="flat" w="12700">
                      <a:solidFill>
                        <a:srgbClr val="000000"/>
                      </a:solidFill>
                      <a:prstDash val="solid"/>
                      <a:round/>
                      <a:headEnd/>
                      <a:tailEnd/>
                    </a:ln>
                  </pic:spPr>
                </pic:pic>
              </a:graphicData>
            </a:graphic>
          </wp:inline>
        </w:drawing>
      </w:r>
    </w:p>
    <w:p>
      <w:pPr>
        <w:pStyle w:val="style0"/>
        <w:jc w:val="center"/>
        <w:rPr>
          <w:b/>
        </w:rPr>
      </w:pPr>
      <w:r>
        <w:rPr>
          <w:b/>
        </w:rPr>
        <w:t>Figure 2: Five Deming Principles for Process Improvement</w:t>
      </w:r>
    </w:p>
    <w:p>
      <w:pPr>
        <w:pStyle w:val="style0"/>
        <w:jc w:val="center"/>
        <w:rPr/>
      </w:pPr>
      <w:r>
        <w:t>(Source: Haughom, 2024)</w:t>
      </w:r>
    </w:p>
    <w:p>
      <w:pPr>
        <w:pStyle w:val="style0"/>
        <w:rPr>
          <w:b/>
        </w:rPr>
      </w:pPr>
      <w:r>
        <w:rPr>
          <w:b/>
        </w:rPr>
        <w:t>Equipment and Resources</w:t>
      </w:r>
    </w:p>
    <w:p>
      <w:pPr>
        <w:pStyle w:val="style0"/>
        <w:rPr/>
      </w:pPr>
      <w:r>
        <w:t xml:space="preserve">Poor resourcing is another factor pointed out by the Fishbone analysis. Poor accessibility to modern maternity equipment and chronic staffing undermined the quality of care (BBC, 2022). Inadequate level of monitoring equipment, old infrastructure and misallocation of resources reflect structural laxity. In Lean management terms, this is the inefficient operation that creates little value to patients and threatens their harm (Mahmoud </w:t>
      </w:r>
      <w:r>
        <w:rPr>
          <w:i/>
        </w:rPr>
        <w:t>et al.,</w:t>
      </w:r>
      <w:r>
        <w:t xml:space="preserve"> 2021).</w:t>
      </w:r>
    </w:p>
    <w:p>
      <w:pPr>
        <w:pStyle w:val="style0"/>
        <w:rPr>
          <w:b/>
        </w:rPr>
      </w:pPr>
      <w:r>
        <w:rPr>
          <w:b/>
        </w:rPr>
        <w:t>Leadership and Management</w:t>
      </w:r>
    </w:p>
    <w:p>
      <w:pPr>
        <w:pStyle w:val="style0"/>
        <w:rPr/>
      </w:pPr>
      <w:r>
        <w:t>The scandal was mainly based on leadership failures. The executives at the Trust neglected to pay attention to the red flags raised by employees and the external controls, focusing solely on reputation management rather than patient safety (Ockenden, 2022). Lack of accountability procedures contributed to complacency, and the governance committees did not take any action concerning audit results. Lack of transformational leadership, which was transparent, empowering and shared learning, implied that the organisation was reactive instead of proactive in dealing with risks (Suryadi, Trisnawati and Al-Amin, 2024).</w:t>
      </w:r>
    </w:p>
    <w:p>
      <w:pPr>
        <w:pStyle w:val="style0"/>
        <w:jc w:val="center"/>
        <w:rPr/>
      </w:pPr>
      <w:r>
        <w:rPr>
          <w:noProof/>
        </w:rPr>
        <w:drawing>
          <wp:inline distL="0" distT="0" distB="0" distR="0">
            <wp:extent cx="4227869" cy="3708164"/>
            <wp:effectExtent l="12700" t="12700" r="12700" b="12700"/>
            <wp:docPr id="1029" name="image4.jpg" descr="Transformational Leadership"/>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4.jpg"/>
                    <pic:cNvPicPr/>
                  </pic:nvPicPr>
                  <pic:blipFill>
                    <a:blip r:embed="rId5" cstate="print"/>
                    <a:srcRect l="0" t="0" r="0" b="0"/>
                    <a:stretch/>
                  </pic:blipFill>
                  <pic:spPr>
                    <a:xfrm rot="0">
                      <a:off x="0" y="0"/>
                      <a:ext cx="4227869" cy="3708164"/>
                    </a:xfrm>
                    <a:prstGeom prst="rect"/>
                    <a:ln cmpd="sng" cap="flat" w="12700">
                      <a:solidFill>
                        <a:srgbClr val="000000"/>
                      </a:solidFill>
                      <a:prstDash val="solid"/>
                      <a:round/>
                      <a:headEnd/>
                      <a:tailEnd/>
                    </a:ln>
                  </pic:spPr>
                </pic:pic>
              </a:graphicData>
            </a:graphic>
          </wp:inline>
        </w:drawing>
      </w:r>
    </w:p>
    <w:p>
      <w:pPr>
        <w:pStyle w:val="style0"/>
        <w:jc w:val="center"/>
        <w:rPr>
          <w:b/>
        </w:rPr>
      </w:pPr>
      <w:r>
        <w:rPr>
          <w:b/>
        </w:rPr>
        <w:t>Figure 3: Key Dimensions of Transformational Leadership</w:t>
      </w:r>
    </w:p>
    <w:p>
      <w:pPr>
        <w:pStyle w:val="style0"/>
        <w:jc w:val="center"/>
        <w:rPr/>
      </w:pPr>
      <w:r>
        <w:t>(Source: Ugochukwu, 2025)</w:t>
      </w:r>
    </w:p>
    <w:p>
      <w:pPr>
        <w:pStyle w:val="style0"/>
        <w:rPr>
          <w:b/>
        </w:rPr>
      </w:pPr>
      <w:r>
        <w:rPr>
          <w:b/>
        </w:rPr>
        <w:t>Policy and Regulatory Oversight</w:t>
      </w:r>
    </w:p>
    <w:p>
      <w:pPr>
        <w:pStyle w:val="style0"/>
        <w:rPr/>
      </w:pPr>
      <w:r>
        <w:t xml:space="preserve">Compliance was not enforced by other outside oversight measures like the Care Quality Commission (CQC) and NHS Improvement, which delayed or failed to enforce compliance (CQC, 2022; GOV.UK, 2017). This regulating stability enabled the continuity of unsafe procedures. The policy-practice gap in this case shows the restrictions of top-down models of governance that are not backed up by local engagement and quality data monitoring (Martin </w:t>
      </w:r>
      <w:r>
        <w:rPr>
          <w:i/>
        </w:rPr>
        <w:t>et al.,</w:t>
      </w:r>
      <w:r>
        <w:t xml:space="preserve"> 2024). </w:t>
      </w:r>
    </w:p>
    <w:bookmarkStart w:id="4" w:name="_Toc213354286"/>
    <w:p>
      <w:pPr>
        <w:pStyle w:val="style2"/>
        <w:rPr/>
      </w:pPr>
      <w:r>
        <w:t>2.3 The Donabedian Model: Evaluating Structure, Process, and Outcomes</w:t>
      </w:r>
      <w:bookmarkEnd w:id="4"/>
    </w:p>
    <w:p>
      <w:pPr>
        <w:pStyle w:val="style0"/>
        <w:rPr/>
      </w:pPr>
      <w:r>
        <w:t xml:space="preserve">The Donabedian Model is a comprehensive model that can be used to evaluate the quality of healthcare since it focuses on the connection between the structure, process, and outcomes (Robby </w:t>
      </w:r>
      <w:r>
        <w:rPr>
          <w:i/>
        </w:rPr>
        <w:t>et al.,</w:t>
      </w:r>
      <w:r>
        <w:t xml:space="preserve"> 2025). Using this model on the case of Shrewsbury and Telford offers an idea of how failure in each of the levels led to disastrous outcomes.</w:t>
      </w:r>
    </w:p>
    <w:p>
      <w:pPr>
        <w:pStyle w:val="style0"/>
        <w:rPr>
          <w:b/>
        </w:rPr>
      </w:pPr>
      <w:r>
        <w:rPr>
          <w:b/>
        </w:rPr>
        <w:t>Structure</w:t>
      </w:r>
    </w:p>
    <w:p>
      <w:pPr>
        <w:pStyle w:val="style0"/>
        <w:rPr/>
      </w:pPr>
      <w:r>
        <w:t xml:space="preserve">Its structural components, such as the staffing, infrastructure and leadership, were pathetically poor. The control of safety and learning was not incorporated into governance agendas through leadership structures. The training programmes were not regular, and there was a lack of physical resources. The theory of Donabedian holds that it is impossible to achieve safe processes due to weak structures (Robby </w:t>
      </w:r>
      <w:r>
        <w:rPr>
          <w:i/>
        </w:rPr>
        <w:t>et al.,</w:t>
      </w:r>
      <w:r>
        <w:t xml:space="preserve"> 2025).</w:t>
      </w:r>
    </w:p>
    <w:p>
      <w:pPr>
        <w:pStyle w:val="style0"/>
        <w:rPr>
          <w:b/>
        </w:rPr>
      </w:pPr>
      <w:r>
        <w:rPr>
          <w:b/>
        </w:rPr>
        <w:t>Process</w:t>
      </w:r>
    </w:p>
    <w:p>
      <w:pPr>
        <w:pStyle w:val="style0"/>
        <w:rPr/>
      </w:pPr>
      <w:r>
        <w:t xml:space="preserve">There was fragmentation and inconsistency in the processes of care delivery. The use of risk assessment tools was not high, and the pathways to escalation were not clear, communication among the clinicians was common. It was found that the families were not involved in decision-making, which is not the case with the NHS, which is supposed to provide person-centred care (Prior and Campbell, 2018). Ineffectiveness in the process here implies the violation of the principle of standardised, evidence-based practice that is one of the core requirements of Total Quality Management (TQM) models (Alzoubi </w:t>
      </w:r>
      <w:r>
        <w:rPr>
          <w:i/>
        </w:rPr>
        <w:t>et al.,</w:t>
      </w:r>
      <w:r>
        <w:t xml:space="preserve"> 2019).</w:t>
      </w:r>
    </w:p>
    <w:p>
      <w:pPr>
        <w:pStyle w:val="style0"/>
        <w:rPr>
          <w:b/>
        </w:rPr>
      </w:pPr>
      <w:r>
        <w:rPr>
          <w:b/>
        </w:rPr>
        <w:t>Outcomes</w:t>
      </w:r>
    </w:p>
    <w:p>
      <w:pPr>
        <w:pStyle w:val="style0"/>
        <w:rPr/>
      </w:pPr>
      <w:r>
        <w:t xml:space="preserve">The results were disastrous: preventable maternal and child mortality, long-term morbidity, and family trauma (BBC, 2020). These adverse results depict a direct correlation of poor structures, defective processes and unsafe care provision. In addition, the loss of reputation and trust among people is non-clinical but also has serious adverse consequences (BBC, 2020). The model of Donabedian, therefore, supports the claim that sustainable improvement needs both the structure and process improvement at the same time to deliver positive results (Robby </w:t>
      </w:r>
      <w:r>
        <w:rPr>
          <w:i/>
        </w:rPr>
        <w:t>et al.,</w:t>
      </w:r>
      <w:r>
        <w:t xml:space="preserve"> 2025).</w:t>
      </w:r>
    </w:p>
    <w:bookmarkStart w:id="5" w:name="_Toc213354287"/>
    <w:p>
      <w:pPr>
        <w:pStyle w:val="style2"/>
        <w:rPr/>
      </w:pPr>
      <w:r>
        <w:t>2.4 SWOT Analysis of Quality Management in the Trust</w:t>
      </w:r>
      <w:bookmarkEnd w:id="5"/>
    </w:p>
    <w:p>
      <w:pPr>
        <w:pStyle w:val="style0"/>
        <w:rPr/>
      </w:pPr>
      <w:r>
        <w:t>With a SWOT analysis, one will be able to evaluate the internal and external forces that affect the quality of services and the strategic directions to improve.</w:t>
      </w:r>
    </w:p>
    <w:tbl>
      <w:tblPr>
        <w:tblStyle w:val="style4098"/>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trPr/>
        <w:tc>
          <w:tcPr>
            <w:tcW w:w="4514" w:type="dxa"/>
            <w:tcBorders/>
            <w:tcMar>
              <w:top w:w="100" w:type="dxa"/>
              <w:left w:w="100" w:type="dxa"/>
              <w:bottom w:w="100" w:type="dxa"/>
              <w:right w:w="100" w:type="dxa"/>
            </w:tcMar>
          </w:tcPr>
          <w:p>
            <w:pPr>
              <w:pStyle w:val="style0"/>
              <w:jc w:val="center"/>
              <w:rPr>
                <w:b/>
              </w:rPr>
            </w:pPr>
            <w:r>
              <w:rPr>
                <w:b/>
              </w:rPr>
              <w:t>Strengths</w:t>
            </w:r>
          </w:p>
        </w:tc>
        <w:tc>
          <w:tcPr>
            <w:tcW w:w="4514" w:type="dxa"/>
            <w:tcBorders/>
            <w:tcMar>
              <w:top w:w="100" w:type="dxa"/>
              <w:left w:w="100" w:type="dxa"/>
              <w:bottom w:w="100" w:type="dxa"/>
              <w:right w:w="100" w:type="dxa"/>
            </w:tcMar>
          </w:tcPr>
          <w:p>
            <w:pPr>
              <w:pStyle w:val="style0"/>
              <w:jc w:val="center"/>
              <w:rPr>
                <w:b/>
              </w:rPr>
            </w:pPr>
            <w:r>
              <w:rPr>
                <w:b/>
              </w:rPr>
              <w:t>Weaknesses</w:t>
            </w:r>
          </w:p>
        </w:tc>
      </w:tr>
      <w:tr>
        <w:tblPrEx/>
        <w:trPr/>
        <w:tc>
          <w:tcPr>
            <w:tcW w:w="4514" w:type="dxa"/>
            <w:tcBorders/>
            <w:tcMar>
              <w:top w:w="100" w:type="dxa"/>
              <w:left w:w="100" w:type="dxa"/>
              <w:bottom w:w="100" w:type="dxa"/>
              <w:right w:w="100" w:type="dxa"/>
            </w:tcMar>
          </w:tcPr>
          <w:p>
            <w:pPr>
              <w:pStyle w:val="style0"/>
              <w:numPr>
                <w:ilvl w:val="0"/>
                <w:numId w:val="1"/>
              </w:numPr>
              <w:rPr/>
            </w:pPr>
            <w:r>
              <w:t>Existing national maternity safety policies and NHS quality standards provide a framework for improvement.</w:t>
            </w:r>
          </w:p>
          <w:p>
            <w:pPr>
              <w:pStyle w:val="style0"/>
              <w:numPr>
                <w:ilvl w:val="0"/>
                <w:numId w:val="1"/>
              </w:numPr>
              <w:rPr/>
            </w:pPr>
            <w:r>
              <w:t>Committed staff base willing to learn and improve when supported.</w:t>
            </w:r>
          </w:p>
        </w:tc>
        <w:tc>
          <w:tcPr>
            <w:tcW w:w="4514" w:type="dxa"/>
            <w:tcBorders/>
            <w:tcMar>
              <w:top w:w="100" w:type="dxa"/>
              <w:left w:w="100" w:type="dxa"/>
              <w:bottom w:w="100" w:type="dxa"/>
              <w:right w:w="100" w:type="dxa"/>
            </w:tcMar>
          </w:tcPr>
          <w:p>
            <w:pPr>
              <w:pStyle w:val="style0"/>
              <w:numPr>
                <w:ilvl w:val="0"/>
                <w:numId w:val="1"/>
              </w:numPr>
              <w:rPr/>
            </w:pPr>
            <w:r>
              <w:t>Poor leadership and governance culture; lack of training and accountability; reactive approach to safety (Ockenden, 2022).</w:t>
            </w:r>
          </w:p>
          <w:p>
            <w:pPr>
              <w:pStyle w:val="style0"/>
              <w:numPr>
                <w:ilvl w:val="0"/>
                <w:numId w:val="1"/>
              </w:numPr>
              <w:rPr/>
            </w:pPr>
            <w:r>
              <w:t>Chronic understaffing, outdated infrastructure, and a lack of clinical audits (Ockenden, 2022).</w:t>
            </w:r>
          </w:p>
        </w:tc>
      </w:tr>
      <w:tr>
        <w:tblPrEx/>
        <w:trPr/>
        <w:tc>
          <w:tcPr>
            <w:tcW w:w="4514" w:type="dxa"/>
            <w:tcBorders/>
            <w:tcMar>
              <w:top w:w="100" w:type="dxa"/>
              <w:left w:w="100" w:type="dxa"/>
              <w:bottom w:w="100" w:type="dxa"/>
              <w:right w:w="100" w:type="dxa"/>
            </w:tcMar>
          </w:tcPr>
          <w:p>
            <w:pPr>
              <w:pStyle w:val="style0"/>
              <w:jc w:val="center"/>
              <w:rPr>
                <w:b/>
              </w:rPr>
            </w:pPr>
            <w:r>
              <w:rPr>
                <w:b/>
              </w:rPr>
              <w:t>Opportunities</w:t>
            </w:r>
          </w:p>
        </w:tc>
        <w:tc>
          <w:tcPr>
            <w:tcW w:w="4514" w:type="dxa"/>
            <w:tcBorders/>
            <w:tcMar>
              <w:top w:w="100" w:type="dxa"/>
              <w:left w:w="100" w:type="dxa"/>
              <w:bottom w:w="100" w:type="dxa"/>
              <w:right w:w="100" w:type="dxa"/>
            </w:tcMar>
          </w:tcPr>
          <w:p>
            <w:pPr>
              <w:pStyle w:val="style0"/>
              <w:jc w:val="center"/>
              <w:rPr>
                <w:b/>
              </w:rPr>
            </w:pPr>
            <w:r>
              <w:rPr>
                <w:b/>
              </w:rPr>
              <w:t>Threats</w:t>
            </w:r>
          </w:p>
        </w:tc>
      </w:tr>
      <w:tr>
        <w:tblPrEx/>
        <w:trPr>
          <w:trHeight w:val="432" w:hRule="atLeast"/>
        </w:trPr>
        <w:tc>
          <w:tcPr>
            <w:tcW w:w="4514" w:type="dxa"/>
            <w:tcBorders/>
            <w:tcMar>
              <w:top w:w="100" w:type="dxa"/>
              <w:left w:w="100" w:type="dxa"/>
              <w:bottom w:w="100" w:type="dxa"/>
              <w:right w:w="100" w:type="dxa"/>
            </w:tcMar>
          </w:tcPr>
          <w:p>
            <w:pPr>
              <w:pStyle w:val="style0"/>
              <w:numPr>
                <w:ilvl w:val="0"/>
                <w:numId w:val="10"/>
              </w:numPr>
              <w:rPr/>
            </w:pPr>
            <w:r>
              <w:t>National drive for maternity safety and funding for workforce development (NHS, 2017).</w:t>
            </w:r>
          </w:p>
          <w:p>
            <w:pPr>
              <w:pStyle w:val="style0"/>
              <w:numPr>
                <w:ilvl w:val="0"/>
                <w:numId w:val="10"/>
              </w:numPr>
              <w:rPr/>
            </w:pPr>
            <w:r>
              <w:t>Use of digital health systems and data analytics for real-time monitoring.</w:t>
            </w:r>
          </w:p>
        </w:tc>
        <w:tc>
          <w:tcPr>
            <w:tcW w:w="4514" w:type="dxa"/>
            <w:tcBorders/>
            <w:tcMar>
              <w:top w:w="100" w:type="dxa"/>
              <w:left w:w="100" w:type="dxa"/>
              <w:bottom w:w="100" w:type="dxa"/>
              <w:right w:w="100" w:type="dxa"/>
            </w:tcMar>
          </w:tcPr>
          <w:p>
            <w:pPr>
              <w:pStyle w:val="style0"/>
              <w:numPr>
                <w:ilvl w:val="0"/>
                <w:numId w:val="10"/>
              </w:numPr>
              <w:rPr/>
            </w:pPr>
            <w:r>
              <w:t>Ongoing litigation costs and reputational damage are draining resources.</w:t>
            </w:r>
          </w:p>
          <w:p>
            <w:pPr>
              <w:pStyle w:val="style0"/>
              <w:numPr>
                <w:ilvl w:val="0"/>
                <w:numId w:val="10"/>
              </w:numPr>
              <w:rPr/>
            </w:pPr>
            <w:r>
              <w:t>Resistance to cultural change and fear of blame among staff.</w:t>
            </w:r>
          </w:p>
        </w:tc>
      </w:tr>
    </w:tbl>
    <w:p>
      <w:pPr>
        <w:pStyle w:val="style0"/>
        <w:jc w:val="center"/>
        <w:rPr>
          <w:b/>
        </w:rPr>
      </w:pPr>
      <w:r>
        <w:rPr>
          <w:b/>
        </w:rPr>
        <w:t>Table 1: SWOT Analysis</w:t>
      </w:r>
    </w:p>
    <w:p>
      <w:pPr>
        <w:pStyle w:val="style0"/>
        <w:jc w:val="center"/>
        <w:rPr/>
      </w:pPr>
      <w:r>
        <w:t>(Source: Self-developed)</w:t>
      </w:r>
    </w:p>
    <w:p>
      <w:pPr>
        <w:pStyle w:val="style0"/>
        <w:rPr/>
      </w:pPr>
      <w:r>
        <w:t>More importantly, the SWOT analysis demonstrates that the external opportunities are present, but internal weaknesses of the Trust in governance, culture, and resources are still significant factors that obstruct the operations. The model of organisational change described by Kotter states that successful transformation involves leadership involvement in terms of commitment to vision, communication, and empowerment factors, which were mostly lacking at SaTH.</w:t>
      </w:r>
    </w:p>
    <w:p>
      <w:pPr>
        <w:pStyle w:val="style0"/>
        <w:jc w:val="center"/>
        <w:rPr/>
      </w:pPr>
      <w:r>
        <w:rPr>
          <w:noProof/>
        </w:rPr>
        <w:drawing>
          <wp:inline distL="0" distT="0" distB="0" distR="0">
            <wp:extent cx="4038599" cy="3543300"/>
            <wp:effectExtent l="12700" t="12700" r="12700" b="12700"/>
            <wp:docPr id="1030"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6" cstate="print"/>
                    <a:srcRect l="0" t="0" r="0" b="0"/>
                    <a:stretch/>
                  </pic:blipFill>
                  <pic:spPr>
                    <a:xfrm rot="0">
                      <a:off x="0" y="0"/>
                      <a:ext cx="4038599" cy="3543300"/>
                    </a:xfrm>
                    <a:prstGeom prst="rect"/>
                    <a:ln cmpd="sng" cap="flat" w="12700">
                      <a:solidFill>
                        <a:srgbClr val="000000"/>
                      </a:solidFill>
                      <a:prstDash val="solid"/>
                      <a:round/>
                      <a:headEnd/>
                      <a:tailEnd/>
                    </a:ln>
                  </pic:spPr>
                </pic:pic>
              </a:graphicData>
            </a:graphic>
          </wp:inline>
        </w:drawing>
      </w:r>
    </w:p>
    <w:p>
      <w:pPr>
        <w:pStyle w:val="style0"/>
        <w:jc w:val="center"/>
        <w:rPr>
          <w:b/>
        </w:rPr>
      </w:pPr>
      <w:r>
        <w:rPr>
          <w:b/>
        </w:rPr>
        <w:t>Figure 4: Kotter’s 8-Step Change Management Model</w:t>
      </w:r>
    </w:p>
    <w:p>
      <w:pPr>
        <w:pStyle w:val="style0"/>
        <w:jc w:val="center"/>
        <w:rPr/>
      </w:pPr>
      <w:r>
        <w:t>(Source: Kotter, 2025)</w:t>
      </w:r>
    </w:p>
    <w:bookmarkStart w:id="6" w:name="_Toc213354288"/>
    <w:p>
      <w:pPr>
        <w:pStyle w:val="style2"/>
        <w:rPr/>
      </w:pPr>
      <w:r>
        <w:t>2.5 Theoretical Evaluation and Integration</w:t>
      </w:r>
      <w:bookmarkEnd w:id="6"/>
    </w:p>
    <w:p>
      <w:pPr>
        <w:pStyle w:val="style0"/>
        <w:rPr/>
      </w:pPr>
      <w:r>
        <w:t xml:space="preserve">The integration of the Fishbone Diagram, the Donabedian Model, and the SWOT analysis will allow having a multi-layered view of the quality problem. The Fishbone Diagram determines the operation of factors and cultural aspects, the Donabedian Model determines the cause-and-effect relationships of the weaknesses of the structure and the outcomes, and the SWOT defines the strategic environment to improve. Nevertheless, on critical assessment, it is found that these models, though effective as a diagnostic tool, are not adequate without a long-term behavioural and cultural transition. The NHS dilemma is not only technical, i.e., process redesign, but rather socio-cultural in nature, in that the loss of trust, empowerment of staff, and learning culture have to be restored. The existing literature on safety culture highlights that only in those cases when the systems contribute to openness, reflection, and collective responsibility can improvement be promoted (Naji </w:t>
      </w:r>
      <w:r>
        <w:rPr>
          <w:i/>
        </w:rPr>
        <w:t>et al.,</w:t>
      </w:r>
      <w:r>
        <w:t xml:space="preserve"> 2021).</w:t>
      </w:r>
    </w:p>
    <w:p>
      <w:pPr>
        <w:pStyle w:val="style0"/>
        <w:rPr/>
      </w:pPr>
      <w:r>
        <w:t>The case of Shrewsbury and Telford represents how the psychological safety and communication as human factors can erode one of the most advanced policy frameworks (Derdowski and Mathisen, 2023). Therefore, future improvement approaches need to be based on structural change and cultural change, and learning, transparency and accountability should become the identity of organisations.</w:t>
      </w:r>
    </w:p>
    <w:bookmarkStart w:id="7" w:name="_Toc213354289"/>
    <w:p>
      <w:pPr>
        <w:pStyle w:val="style1"/>
        <w:rPr/>
      </w:pPr>
      <w:r>
        <w:t>3. Recommendations</w:t>
      </w:r>
      <w:bookmarkEnd w:id="7"/>
    </w:p>
    <w:p>
      <w:pPr>
        <w:pStyle w:val="style0"/>
        <w:rPr/>
      </w:pPr>
      <w:r>
        <w:t>The root cause analysis of the Shrewsbury and Telford NHS Maternity Scandal exposes weaknesses in the structure, culture, and procedures that undermine patient safety and trust. To tackle these systemic problems, the integrated approach to quality improvement must be established through consistent learning, responsibility, and evidence-based practices. This part offers specific suggestions to enhance governance and safety culture through the application of Plan-Do-Study-Act (PDSA) frameworks, Lean, and Six Sigma frameworks of sustainable reform and patient-centred care.</w:t>
      </w:r>
    </w:p>
    <w:bookmarkStart w:id="8" w:name="_Toc213354290"/>
    <w:p>
      <w:pPr>
        <w:pStyle w:val="style2"/>
        <w:rPr/>
      </w:pPr>
      <w:r>
        <w:t>3.1 Strategic Recommendations</w:t>
      </w:r>
      <w:bookmarkEnd w:id="8"/>
    </w:p>
    <w:p>
      <w:pPr>
        <w:pStyle w:val="style0"/>
        <w:numPr>
          <w:ilvl w:val="0"/>
          <w:numId w:val="7"/>
        </w:numPr>
        <w:rPr>
          <w:b/>
        </w:rPr>
      </w:pPr>
      <w:r>
        <w:rPr>
          <w:b/>
        </w:rPr>
        <w:t>Strengthen Leadership and Governance</w:t>
      </w:r>
    </w:p>
    <w:p>
      <w:pPr>
        <w:pStyle w:val="style0"/>
        <w:rPr/>
      </w:pPr>
      <w:r>
        <w:t xml:space="preserve">Reforming leadership is important to restore accountability and safety. The Trust is supposed to embrace a shared governance model, which involves a combination of clinical leadership and executive management. Leaders should exhibit transformational leadership, making them open, safe psychologically and collaborative (Suryadi, Trisnawati and Al-Amin, 2024). Transparency and oversight should be provided by regular reviews of governance and safety huddles. The formation of a Maternity Safety Committee, also reporting to the Board, will bring practices in accordance with national safety standards. Training focused on compassionate and systems-based management at the leadership level should be made a priority because these methods have been shown to reinforce the safety cultures (Ahmed </w:t>
      </w:r>
      <w:r>
        <w:rPr>
          <w:i/>
        </w:rPr>
        <w:t>et al.,</w:t>
      </w:r>
      <w:r>
        <w:t xml:space="preserve"> 2024). This is in line with the principles of Lean, whereby the staff are empowered and hierarchical boundaries to decision-making are minimised.</w:t>
      </w:r>
    </w:p>
    <w:p>
      <w:pPr>
        <w:pStyle w:val="style0"/>
        <w:numPr>
          <w:ilvl w:val="0"/>
          <w:numId w:val="2"/>
        </w:numPr>
        <w:rPr>
          <w:b/>
        </w:rPr>
      </w:pPr>
      <w:r>
        <w:rPr>
          <w:b/>
        </w:rPr>
        <w:t>Workforce Development and Competency Training</w:t>
      </w:r>
    </w:p>
    <w:p>
      <w:pPr>
        <w:pStyle w:val="style0"/>
        <w:rPr/>
      </w:pPr>
      <w:r>
        <w:t xml:space="preserve">Failures were key gaps in staffing and low training. This should be enhanced by an effective competency framework that entails regular training on fetal surveillance, emergency management, and escalation procedures yearly. This can be refined using the PDSA cycle that can involve continuous cycles of feedback planning modules, pilot implementation, results research and standardisation of successful practices (The Deming Institute, 2021). Simulation-based education and continuing development should be made possible through partnerships with professional associations like the Royal College of Midwives. This will enhance the confidence of the staff, improve variation, and improve the consistency of care, which will support the Donabedian model that robust structures and skills form the basis of safe processes (Robby </w:t>
      </w:r>
      <w:r>
        <w:rPr>
          <w:i/>
        </w:rPr>
        <w:t>et al.,</w:t>
      </w:r>
      <w:r>
        <w:t xml:space="preserve"> 2025). </w:t>
      </w:r>
    </w:p>
    <w:p>
      <w:pPr>
        <w:pStyle w:val="style0"/>
        <w:numPr>
          <w:ilvl w:val="0"/>
          <w:numId w:val="6"/>
        </w:numPr>
        <w:rPr>
          <w:b/>
        </w:rPr>
      </w:pPr>
      <w:r>
        <w:rPr>
          <w:b/>
        </w:rPr>
        <w:t>Standardise Clinical Processes and Data Monitoring</w:t>
      </w:r>
    </w:p>
    <w:p>
      <w:pPr>
        <w:pStyle w:val="style0"/>
        <w:rPr/>
      </w:pPr>
      <w:r>
        <w:t>An early risk detection must be based on a data-driven quality monitoring system. It is important that the Trust have the fetal monitoring, incident reporting, and staffing metrics as real-time dashboards. The use of the Six Sigma DMAIC (Define, Measure, Analyse, Improve, Control) framework will reduce the process variation and clinical errors to a minimum (Monday, 2022).</w:t>
      </w:r>
    </w:p>
    <w:p>
      <w:pPr>
        <w:pStyle w:val="style0"/>
        <w:jc w:val="center"/>
        <w:rPr/>
      </w:pPr>
      <w:r>
        <w:rPr>
          <w:noProof/>
        </w:rPr>
        <w:drawing>
          <wp:inline distL="0" distT="0" distB="0" distR="0">
            <wp:extent cx="5043488" cy="4264344"/>
            <wp:effectExtent l="12700" t="12700" r="12700" b="12700"/>
            <wp:docPr id="1031" name="image6.jp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image6.jpg"/>
                    <pic:cNvPicPr/>
                  </pic:nvPicPr>
                  <pic:blipFill>
                    <a:blip r:embed="rId7" cstate="print"/>
                    <a:srcRect l="0" t="0" r="0" b="0"/>
                    <a:stretch/>
                  </pic:blipFill>
                  <pic:spPr>
                    <a:xfrm rot="0">
                      <a:off x="0" y="0"/>
                      <a:ext cx="5043488" cy="4264344"/>
                    </a:xfrm>
                    <a:prstGeom prst="rect"/>
                    <a:ln cmpd="sng" cap="flat" w="12700">
                      <a:solidFill>
                        <a:srgbClr val="000000"/>
                      </a:solidFill>
                      <a:prstDash val="solid"/>
                      <a:round/>
                      <a:headEnd/>
                      <a:tailEnd/>
                    </a:ln>
                  </pic:spPr>
                </pic:pic>
              </a:graphicData>
            </a:graphic>
          </wp:inline>
        </w:drawing>
      </w:r>
    </w:p>
    <w:p>
      <w:pPr>
        <w:pStyle w:val="style0"/>
        <w:jc w:val="center"/>
        <w:rPr>
          <w:b/>
        </w:rPr>
      </w:pPr>
      <w:r>
        <w:rPr>
          <w:b/>
        </w:rPr>
        <w:t>Figure 5: DMAIC Methodology</w:t>
      </w:r>
    </w:p>
    <w:p>
      <w:pPr>
        <w:pStyle w:val="style0"/>
        <w:jc w:val="center"/>
        <w:rPr/>
      </w:pPr>
      <w:r>
        <w:t>(Source: Monday, 2022)</w:t>
      </w:r>
    </w:p>
    <w:p>
      <w:pPr>
        <w:pStyle w:val="style179"/>
        <w:numPr>
          <w:ilvl w:val="0"/>
          <w:numId w:val="12"/>
        </w:numPr>
        <w:rPr/>
      </w:pPr>
      <w:r>
        <w:rPr>
          <w:b/>
        </w:rPr>
        <w:t xml:space="preserve">Define: </w:t>
      </w:r>
      <w:r>
        <w:t>Trace the inefficiencies like escalation delays.</w:t>
      </w:r>
    </w:p>
    <w:p>
      <w:pPr>
        <w:pStyle w:val="style179"/>
        <w:numPr>
          <w:ilvl w:val="0"/>
          <w:numId w:val="12"/>
        </w:numPr>
        <w:rPr/>
      </w:pPr>
      <w:r>
        <w:rPr>
          <w:b/>
        </w:rPr>
        <w:t>Measure:</w:t>
      </w:r>
      <w:r>
        <w:t xml:space="preserve"> Monitor the frequency and responsiveness of incidents.</w:t>
      </w:r>
    </w:p>
    <w:p>
      <w:pPr>
        <w:pStyle w:val="style179"/>
        <w:numPr>
          <w:ilvl w:val="0"/>
          <w:numId w:val="12"/>
        </w:numPr>
        <w:rPr/>
      </w:pPr>
      <w:r>
        <w:rPr>
          <w:b/>
        </w:rPr>
        <w:t xml:space="preserve">Analyse: </w:t>
      </w:r>
      <w:r>
        <w:t>Use trend information to find root causes.</w:t>
      </w:r>
    </w:p>
    <w:p>
      <w:pPr>
        <w:pStyle w:val="style179"/>
        <w:numPr>
          <w:ilvl w:val="0"/>
          <w:numId w:val="12"/>
        </w:numPr>
        <w:rPr/>
      </w:pPr>
      <w:r>
        <w:rPr>
          <w:b/>
        </w:rPr>
        <w:t xml:space="preserve">Improve: </w:t>
      </w:r>
      <w:r>
        <w:t xml:space="preserve">Automate processes and procedures. </w:t>
      </w:r>
    </w:p>
    <w:p>
      <w:pPr>
        <w:pStyle w:val="style179"/>
        <w:numPr>
          <w:ilvl w:val="0"/>
          <w:numId w:val="12"/>
        </w:numPr>
        <w:rPr/>
      </w:pPr>
      <w:r>
        <w:rPr>
          <w:b/>
        </w:rPr>
        <w:t xml:space="preserve">Control: </w:t>
      </w:r>
      <w:r>
        <w:t>Continuous audit is the maintenance of performance.</w:t>
      </w:r>
    </w:p>
    <w:p>
      <w:pPr>
        <w:pStyle w:val="style0"/>
        <w:rPr/>
      </w:pPr>
      <w:r>
        <w:t>Such an organised method will bring uniformity and responsibility, and a culture of quantifiable growth.</w:t>
      </w:r>
    </w:p>
    <w:p>
      <w:pPr>
        <w:pStyle w:val="style0"/>
        <w:numPr>
          <w:ilvl w:val="0"/>
          <w:numId w:val="9"/>
        </w:numPr>
        <w:rPr>
          <w:b/>
        </w:rPr>
      </w:pPr>
      <w:r>
        <w:rPr>
          <w:b/>
        </w:rPr>
        <w:t>Promote a Learning and Just Culture</w:t>
      </w:r>
    </w:p>
    <w:p>
      <w:pPr>
        <w:pStyle w:val="style0"/>
        <w:rPr/>
      </w:pPr>
      <w:r>
        <w:t xml:space="preserve">It turned out that there was a punitive environment which discouraged reporting. Building a Just Culture Framework will redirect the blame to the centre stage of learning (GOV.UK, 2017). Quarterly Learning from Incidents Forums and anonymous reporting systems should also be implemented to facilitate the open conversation. This project can be compared to PDSA, whereby safety culture interventions can be refined continuously (Barr and Brannan, 2024). </w:t>
      </w:r>
    </w:p>
    <w:p>
      <w:pPr>
        <w:pStyle w:val="style0"/>
        <w:jc w:val="center"/>
        <w:rPr/>
      </w:pPr>
      <w:r>
        <w:rPr>
          <w:noProof/>
        </w:rPr>
        <w:drawing>
          <wp:inline distL="0" distT="0" distB="0" distR="0">
            <wp:extent cx="2857500" cy="2857500"/>
            <wp:effectExtent l="12700" t="12700" r="12700" b="12700"/>
            <wp:docPr id="1032" name="image2.jp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image2.jpg"/>
                    <pic:cNvPicPr/>
                  </pic:nvPicPr>
                  <pic:blipFill>
                    <a:blip r:embed="rId8" cstate="print"/>
                    <a:srcRect l="0" t="0" r="0" b="0"/>
                    <a:stretch/>
                  </pic:blipFill>
                  <pic:spPr>
                    <a:xfrm rot="0">
                      <a:off x="0" y="0"/>
                      <a:ext cx="2857500" cy="2857500"/>
                    </a:xfrm>
                    <a:prstGeom prst="rect"/>
                    <a:ln cmpd="sng" cap="flat" w="12700">
                      <a:solidFill>
                        <a:srgbClr val="000000"/>
                      </a:solidFill>
                      <a:prstDash val="solid"/>
                      <a:round/>
                      <a:headEnd/>
                      <a:tailEnd/>
                    </a:ln>
                  </pic:spPr>
                </pic:pic>
              </a:graphicData>
            </a:graphic>
          </wp:inline>
        </w:drawing>
      </w:r>
    </w:p>
    <w:p>
      <w:pPr>
        <w:pStyle w:val="style0"/>
        <w:jc w:val="center"/>
        <w:rPr>
          <w:b/>
        </w:rPr>
      </w:pPr>
      <w:r>
        <w:rPr>
          <w:b/>
        </w:rPr>
        <w:t>Figure 6: PDSA Cycle</w:t>
      </w:r>
    </w:p>
    <w:p>
      <w:pPr>
        <w:pStyle w:val="style0"/>
        <w:jc w:val="center"/>
        <w:rPr/>
      </w:pPr>
      <w:r>
        <w:t>(Source: The Deming Institute, 2021)</w:t>
      </w:r>
    </w:p>
    <w:p>
      <w:pPr>
        <w:pStyle w:val="style0"/>
        <w:rPr/>
      </w:pPr>
      <w:r>
        <w:t>Encouraging the employees to be part of the decision-making process in improvement will help in the Lean philosophy of respect and perpetual enhancement. Also, the workload balance, flexible shifts, and counselling should be taken into consideration as additional measures of well-being to avoid burnout and improve the quality of care.</w:t>
      </w:r>
    </w:p>
    <w:p>
      <w:pPr>
        <w:pStyle w:val="style0"/>
        <w:numPr>
          <w:ilvl w:val="0"/>
          <w:numId w:val="8"/>
        </w:numPr>
        <w:rPr>
          <w:b/>
        </w:rPr>
      </w:pPr>
      <w:r>
        <w:rPr>
          <w:b/>
        </w:rPr>
        <w:t>Improve Patient Engagement and Communication</w:t>
      </w:r>
    </w:p>
    <w:p>
      <w:pPr>
        <w:pStyle w:val="style0"/>
        <w:rPr/>
      </w:pPr>
      <w:r>
        <w:t xml:space="preserve">Patient-centred communication is important to restore the confidence of the people. The Trust ought to establish Patient Partnership Panels with families who have had experiences of past failures so that their experience can be used to redesign the services. Constant improvement should be directed by regular communication audits, feedback surveys and co-design sessions (Jamtvedt, Flottorp and Ivers, 2019). Care pathways can be drawn with the help of Lean techniques to eradicate unnecessary steps and simplify the process of consent and sharing information simplified to avoid anxiety in the case of emergencies. The engagement of patients as partners facilitates transparency and trust. </w:t>
      </w:r>
    </w:p>
    <w:p>
      <w:pPr>
        <w:pStyle w:val="style0"/>
        <w:numPr>
          <w:ilvl w:val="0"/>
          <w:numId w:val="4"/>
        </w:numPr>
        <w:rPr>
          <w:b/>
        </w:rPr>
      </w:pPr>
      <w:r>
        <w:rPr>
          <w:b/>
        </w:rPr>
        <w:t>Strengthen Policy Implementation and External Collaboration</w:t>
      </w:r>
    </w:p>
    <w:p>
      <w:pPr>
        <w:pStyle w:val="style0"/>
        <w:rPr/>
      </w:pPr>
      <w:r>
        <w:t>To meet the needs of national maternity safety policies, it is important to work closely with bodies such as the Care Quality Commission (CQC) and NHS Resolution (CQC, 2022; NHS Resolution 2025). External audit and progress appraisals should also be routine. The Plan-Do-Check-Act (PDCA) model can ensure compliance and evolution (Lean Enterprise Institute, 2023):</w:t>
      </w:r>
    </w:p>
    <w:p>
      <w:pPr>
        <w:pStyle w:val="style0"/>
        <w:jc w:val="center"/>
        <w:rPr/>
      </w:pPr>
      <w:r>
        <w:rPr>
          <w:noProof/>
        </w:rPr>
        <w:drawing>
          <wp:inline distL="0" distT="0" distB="0" distR="0">
            <wp:extent cx="3021528" cy="2781300"/>
            <wp:effectExtent l="19050" t="19050" r="26669" b="19050"/>
            <wp:docPr id="1033" name="image7.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image7.png"/>
                    <pic:cNvPicPr/>
                  </pic:nvPicPr>
                  <pic:blipFill>
                    <a:blip r:embed="rId9" cstate="print"/>
                    <a:srcRect l="0" t="0" r="0" b="0"/>
                    <a:stretch/>
                  </pic:blipFill>
                  <pic:spPr>
                    <a:xfrm rot="0">
                      <a:off x="0" y="0"/>
                      <a:ext cx="3021528" cy="2781300"/>
                    </a:xfrm>
                    <a:prstGeom prst="rect"/>
                    <a:ln cmpd="sng" cap="flat" w="12700">
                      <a:solidFill>
                        <a:srgbClr val="000000"/>
                      </a:solidFill>
                      <a:prstDash val="solid"/>
                      <a:round/>
                      <a:headEnd/>
                      <a:tailEnd/>
                    </a:ln>
                  </pic:spPr>
                </pic:pic>
              </a:graphicData>
            </a:graphic>
          </wp:inline>
        </w:drawing>
      </w:r>
    </w:p>
    <w:p>
      <w:pPr>
        <w:pStyle w:val="style0"/>
        <w:jc w:val="center"/>
        <w:rPr>
          <w:b/>
        </w:rPr>
      </w:pPr>
      <w:r>
        <w:rPr>
          <w:b/>
        </w:rPr>
        <w:t>Figure 7: PDCA Cycle</w:t>
      </w:r>
    </w:p>
    <w:p>
      <w:pPr>
        <w:pStyle w:val="style0"/>
        <w:jc w:val="center"/>
        <w:rPr/>
      </w:pPr>
      <w:r>
        <w:t>(Source: Lean Enterprise Institute, 2023)</w:t>
      </w:r>
    </w:p>
    <w:p>
      <w:pPr>
        <w:pStyle w:val="style179"/>
        <w:numPr>
          <w:ilvl w:val="0"/>
          <w:numId w:val="13"/>
        </w:numPr>
        <w:rPr/>
      </w:pPr>
      <w:r>
        <w:rPr>
          <w:b/>
        </w:rPr>
        <w:t>Plan:</w:t>
      </w:r>
      <w:r>
        <w:t xml:space="preserve"> Conform the local targets to the national standards.</w:t>
      </w:r>
    </w:p>
    <w:p>
      <w:pPr>
        <w:pStyle w:val="style179"/>
        <w:numPr>
          <w:ilvl w:val="0"/>
          <w:numId w:val="13"/>
        </w:numPr>
        <w:rPr/>
      </w:pPr>
      <w:r>
        <w:rPr>
          <w:b/>
        </w:rPr>
        <w:t xml:space="preserve">Do: </w:t>
      </w:r>
      <w:r>
        <w:t>Introduce reforms on the Trust level.</w:t>
      </w:r>
    </w:p>
    <w:p>
      <w:pPr>
        <w:pStyle w:val="style179"/>
        <w:numPr>
          <w:ilvl w:val="0"/>
          <w:numId w:val="13"/>
        </w:numPr>
        <w:rPr/>
      </w:pPr>
      <w:r>
        <w:rPr>
          <w:b/>
        </w:rPr>
        <w:t>Check:</w:t>
      </w:r>
      <w:r>
        <w:t xml:space="preserve"> Test results through audits.</w:t>
      </w:r>
    </w:p>
    <w:p>
      <w:pPr>
        <w:pStyle w:val="style179"/>
        <w:numPr>
          <w:ilvl w:val="0"/>
          <w:numId w:val="13"/>
        </w:numPr>
        <w:rPr/>
      </w:pPr>
      <w:r>
        <w:rPr>
          <w:b/>
        </w:rPr>
        <w:t>Act:</w:t>
      </w:r>
      <w:r>
        <w:t xml:space="preserve"> Sustain and modify betterment.</w:t>
      </w:r>
    </w:p>
    <w:p>
      <w:pPr>
        <w:pStyle w:val="style0"/>
        <w:rPr/>
      </w:pPr>
      <w:r>
        <w:t>It is a cycle of accountability that helps to keep up with the changes in policy and clinical practice.</w:t>
      </w:r>
    </w:p>
    <w:bookmarkStart w:id="9" w:name="_Toc213354291"/>
    <w:p>
      <w:pPr>
        <w:pStyle w:val="style2"/>
        <w:rPr/>
      </w:pPr>
      <w:r>
        <w:t>3.2 Implementation Strategy</w:t>
      </w:r>
      <w:bookmarkEnd w:id="9"/>
    </w:p>
    <w:p>
      <w:pPr>
        <w:pStyle w:val="style0"/>
        <w:rPr/>
      </w:pPr>
      <w:r>
        <w:t>In order to operationalise these recommendations, the following implementation roadmap is suggested:</w:t>
      </w:r>
    </w:p>
    <w:tbl>
      <w:tblPr>
        <w:tblStyle w:val="style4099"/>
        <w:tblW w:w="894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65"/>
        <w:gridCol w:w="3570"/>
        <w:gridCol w:w="2280"/>
        <w:gridCol w:w="2025"/>
      </w:tblGrid>
      <w:tr>
        <w:trPr/>
        <w:tc>
          <w:tcPr>
            <w:tcW w:w="1065" w:type="dxa"/>
            <w:tcBorders/>
            <w:tcMar>
              <w:top w:w="100" w:type="dxa"/>
              <w:left w:w="100" w:type="dxa"/>
              <w:bottom w:w="100" w:type="dxa"/>
              <w:right w:w="100" w:type="dxa"/>
            </w:tcMar>
          </w:tcPr>
          <w:p>
            <w:pPr>
              <w:pStyle w:val="style0"/>
              <w:jc w:val="center"/>
              <w:rPr>
                <w:b/>
              </w:rPr>
            </w:pPr>
            <w:r>
              <w:rPr>
                <w:b/>
              </w:rPr>
              <w:t>Phase</w:t>
            </w:r>
            <w:r>
              <w:rPr>
                <w:b/>
              </w:rPr>
              <w:t>s</w:t>
            </w:r>
            <w:r>
              <w:rPr>
                <w:b/>
              </w:rPr>
              <w:t xml:space="preserve"> </w:t>
            </w:r>
          </w:p>
        </w:tc>
        <w:tc>
          <w:tcPr>
            <w:tcW w:w="3570" w:type="dxa"/>
            <w:tcBorders/>
            <w:tcMar>
              <w:top w:w="100" w:type="dxa"/>
              <w:left w:w="100" w:type="dxa"/>
              <w:bottom w:w="100" w:type="dxa"/>
              <w:right w:w="100" w:type="dxa"/>
            </w:tcMar>
          </w:tcPr>
          <w:p>
            <w:pPr>
              <w:pStyle w:val="style0"/>
              <w:jc w:val="center"/>
              <w:rPr>
                <w:b/>
              </w:rPr>
            </w:pPr>
            <w:r>
              <w:rPr>
                <w:b/>
              </w:rPr>
              <w:t>Activity</w:t>
            </w:r>
          </w:p>
        </w:tc>
        <w:tc>
          <w:tcPr>
            <w:tcW w:w="2280" w:type="dxa"/>
            <w:tcBorders/>
            <w:tcMar>
              <w:top w:w="100" w:type="dxa"/>
              <w:left w:w="100" w:type="dxa"/>
              <w:bottom w:w="100" w:type="dxa"/>
              <w:right w:w="100" w:type="dxa"/>
            </w:tcMar>
          </w:tcPr>
          <w:p>
            <w:pPr>
              <w:pStyle w:val="style0"/>
              <w:jc w:val="center"/>
              <w:rPr>
                <w:b/>
              </w:rPr>
            </w:pPr>
            <w:r>
              <w:rPr>
                <w:b/>
              </w:rPr>
              <w:t>Quality Tool</w:t>
            </w:r>
          </w:p>
        </w:tc>
        <w:tc>
          <w:tcPr>
            <w:tcW w:w="2025" w:type="dxa"/>
            <w:tcBorders/>
            <w:tcMar>
              <w:top w:w="100" w:type="dxa"/>
              <w:left w:w="100" w:type="dxa"/>
              <w:bottom w:w="100" w:type="dxa"/>
              <w:right w:w="100" w:type="dxa"/>
            </w:tcMar>
          </w:tcPr>
          <w:p>
            <w:pPr>
              <w:pStyle w:val="style0"/>
              <w:jc w:val="center"/>
              <w:rPr>
                <w:b/>
              </w:rPr>
            </w:pPr>
            <w:r>
              <w:rPr>
                <w:b/>
              </w:rPr>
              <w:t>Timeframe</w:t>
            </w:r>
          </w:p>
        </w:tc>
      </w:tr>
      <w:tr>
        <w:tblPrEx/>
        <w:trPr/>
        <w:tc>
          <w:tcPr>
            <w:tcW w:w="1065" w:type="dxa"/>
            <w:tcBorders/>
            <w:tcMar>
              <w:top w:w="100" w:type="dxa"/>
              <w:left w:w="100" w:type="dxa"/>
              <w:bottom w:w="100" w:type="dxa"/>
              <w:right w:w="100" w:type="dxa"/>
            </w:tcMar>
          </w:tcPr>
          <w:p>
            <w:pPr>
              <w:pStyle w:val="style0"/>
              <w:jc w:val="center"/>
              <w:rPr>
                <w:b/>
                <w:i/>
              </w:rPr>
            </w:pPr>
            <w:r>
              <w:rPr>
                <w:b/>
                <w:i/>
              </w:rPr>
              <w:t>1</w:t>
            </w:r>
          </w:p>
        </w:tc>
        <w:tc>
          <w:tcPr>
            <w:tcW w:w="3570" w:type="dxa"/>
            <w:tcBorders/>
            <w:tcMar>
              <w:top w:w="100" w:type="dxa"/>
              <w:left w:w="100" w:type="dxa"/>
              <w:bottom w:w="100" w:type="dxa"/>
              <w:right w:w="100" w:type="dxa"/>
            </w:tcMar>
          </w:tcPr>
          <w:p>
            <w:pPr>
              <w:pStyle w:val="style0"/>
              <w:rPr/>
            </w:pPr>
            <w:r>
              <w:t>Leadership restructuring, establishment of the Maternity Safety Committee</w:t>
            </w:r>
          </w:p>
        </w:tc>
        <w:tc>
          <w:tcPr>
            <w:tcW w:w="2280" w:type="dxa"/>
            <w:tcBorders/>
            <w:tcMar>
              <w:top w:w="100" w:type="dxa"/>
              <w:left w:w="100" w:type="dxa"/>
              <w:bottom w:w="100" w:type="dxa"/>
              <w:right w:w="100" w:type="dxa"/>
            </w:tcMar>
          </w:tcPr>
          <w:p>
            <w:pPr>
              <w:pStyle w:val="style0"/>
              <w:rPr/>
            </w:pPr>
            <w:r>
              <w:t>Lean (empowerment, waste reduction)</w:t>
            </w:r>
          </w:p>
        </w:tc>
        <w:tc>
          <w:tcPr>
            <w:tcW w:w="2025" w:type="dxa"/>
            <w:tcBorders/>
            <w:tcMar>
              <w:top w:w="100" w:type="dxa"/>
              <w:left w:w="100" w:type="dxa"/>
              <w:bottom w:w="100" w:type="dxa"/>
              <w:right w:w="100" w:type="dxa"/>
            </w:tcMar>
          </w:tcPr>
          <w:p>
            <w:pPr>
              <w:pStyle w:val="style0"/>
              <w:jc w:val="center"/>
              <w:rPr>
                <w:i/>
              </w:rPr>
            </w:pPr>
            <w:r>
              <w:rPr>
                <w:i/>
              </w:rPr>
              <w:t>0-3 months</w:t>
            </w:r>
          </w:p>
        </w:tc>
      </w:tr>
      <w:tr>
        <w:tblPrEx/>
        <w:trPr/>
        <w:tc>
          <w:tcPr>
            <w:tcW w:w="1065" w:type="dxa"/>
            <w:tcBorders/>
            <w:tcMar>
              <w:top w:w="100" w:type="dxa"/>
              <w:left w:w="100" w:type="dxa"/>
              <w:bottom w:w="100" w:type="dxa"/>
              <w:right w:w="100" w:type="dxa"/>
            </w:tcMar>
          </w:tcPr>
          <w:p>
            <w:pPr>
              <w:pStyle w:val="style0"/>
              <w:jc w:val="center"/>
              <w:rPr>
                <w:b/>
                <w:i/>
              </w:rPr>
            </w:pPr>
            <w:r>
              <w:rPr>
                <w:b/>
                <w:i/>
              </w:rPr>
              <w:t>2</w:t>
            </w:r>
          </w:p>
        </w:tc>
        <w:tc>
          <w:tcPr>
            <w:tcW w:w="3570" w:type="dxa"/>
            <w:tcBorders/>
            <w:tcMar>
              <w:top w:w="100" w:type="dxa"/>
              <w:left w:w="100" w:type="dxa"/>
              <w:bottom w:w="100" w:type="dxa"/>
              <w:right w:w="100" w:type="dxa"/>
            </w:tcMar>
          </w:tcPr>
          <w:p>
            <w:pPr>
              <w:pStyle w:val="style0"/>
              <w:rPr/>
            </w:pPr>
            <w:r>
              <w:t>Staff training and competency framework rollout</w:t>
            </w:r>
          </w:p>
        </w:tc>
        <w:tc>
          <w:tcPr>
            <w:tcW w:w="2280" w:type="dxa"/>
            <w:tcBorders/>
            <w:tcMar>
              <w:top w:w="100" w:type="dxa"/>
              <w:left w:w="100" w:type="dxa"/>
              <w:bottom w:w="100" w:type="dxa"/>
              <w:right w:w="100" w:type="dxa"/>
            </w:tcMar>
          </w:tcPr>
          <w:p>
            <w:pPr>
              <w:pStyle w:val="style0"/>
              <w:rPr/>
            </w:pPr>
            <w:r>
              <w:t>PDSA cycle</w:t>
            </w:r>
          </w:p>
        </w:tc>
        <w:tc>
          <w:tcPr>
            <w:tcW w:w="2025" w:type="dxa"/>
            <w:tcBorders/>
            <w:tcMar>
              <w:top w:w="100" w:type="dxa"/>
              <w:left w:w="100" w:type="dxa"/>
              <w:bottom w:w="100" w:type="dxa"/>
              <w:right w:w="100" w:type="dxa"/>
            </w:tcMar>
          </w:tcPr>
          <w:p>
            <w:pPr>
              <w:pStyle w:val="style0"/>
              <w:jc w:val="center"/>
              <w:rPr>
                <w:i/>
              </w:rPr>
            </w:pPr>
            <w:r>
              <w:rPr>
                <w:i/>
              </w:rPr>
              <w:t>3-9 months</w:t>
            </w:r>
          </w:p>
        </w:tc>
      </w:tr>
      <w:tr>
        <w:tblPrEx/>
        <w:trPr/>
        <w:tc>
          <w:tcPr>
            <w:tcW w:w="1065" w:type="dxa"/>
            <w:tcBorders/>
            <w:tcMar>
              <w:top w:w="100" w:type="dxa"/>
              <w:left w:w="100" w:type="dxa"/>
              <w:bottom w:w="100" w:type="dxa"/>
              <w:right w:w="100" w:type="dxa"/>
            </w:tcMar>
          </w:tcPr>
          <w:p>
            <w:pPr>
              <w:pStyle w:val="style0"/>
              <w:jc w:val="center"/>
              <w:rPr>
                <w:b/>
                <w:i/>
              </w:rPr>
            </w:pPr>
            <w:r>
              <w:rPr>
                <w:b/>
                <w:i/>
              </w:rPr>
              <w:t>3</w:t>
            </w:r>
          </w:p>
        </w:tc>
        <w:tc>
          <w:tcPr>
            <w:tcW w:w="3570" w:type="dxa"/>
            <w:tcBorders/>
            <w:tcMar>
              <w:top w:w="100" w:type="dxa"/>
              <w:left w:w="100" w:type="dxa"/>
              <w:bottom w:w="100" w:type="dxa"/>
              <w:right w:w="100" w:type="dxa"/>
            </w:tcMar>
          </w:tcPr>
          <w:p>
            <w:pPr>
              <w:pStyle w:val="style0"/>
              <w:rPr/>
            </w:pPr>
            <w:r>
              <w:t>Implementation of digital dashboards and Six Sigma process reviews</w:t>
            </w:r>
          </w:p>
        </w:tc>
        <w:tc>
          <w:tcPr>
            <w:tcW w:w="2280" w:type="dxa"/>
            <w:tcBorders/>
            <w:tcMar>
              <w:top w:w="100" w:type="dxa"/>
              <w:left w:w="100" w:type="dxa"/>
              <w:bottom w:w="100" w:type="dxa"/>
              <w:right w:w="100" w:type="dxa"/>
            </w:tcMar>
          </w:tcPr>
          <w:p>
            <w:pPr>
              <w:pStyle w:val="style0"/>
              <w:rPr/>
            </w:pPr>
            <w:r>
              <w:t>Six Sigma (DMAIC)</w:t>
            </w:r>
          </w:p>
        </w:tc>
        <w:tc>
          <w:tcPr>
            <w:tcW w:w="2025" w:type="dxa"/>
            <w:tcBorders/>
            <w:tcMar>
              <w:top w:w="100" w:type="dxa"/>
              <w:left w:w="100" w:type="dxa"/>
              <w:bottom w:w="100" w:type="dxa"/>
              <w:right w:w="100" w:type="dxa"/>
            </w:tcMar>
          </w:tcPr>
          <w:p>
            <w:pPr>
              <w:pStyle w:val="style0"/>
              <w:jc w:val="center"/>
              <w:rPr>
                <w:i/>
              </w:rPr>
            </w:pPr>
            <w:r>
              <w:rPr>
                <w:i/>
              </w:rPr>
              <w:t>6-12 months</w:t>
            </w:r>
          </w:p>
        </w:tc>
      </w:tr>
      <w:tr>
        <w:tblPrEx/>
        <w:trPr/>
        <w:tc>
          <w:tcPr>
            <w:tcW w:w="1065" w:type="dxa"/>
            <w:tcBorders/>
            <w:tcMar>
              <w:top w:w="100" w:type="dxa"/>
              <w:left w:w="100" w:type="dxa"/>
              <w:bottom w:w="100" w:type="dxa"/>
              <w:right w:w="100" w:type="dxa"/>
            </w:tcMar>
          </w:tcPr>
          <w:p>
            <w:pPr>
              <w:pStyle w:val="style0"/>
              <w:jc w:val="center"/>
              <w:rPr>
                <w:b/>
                <w:i/>
              </w:rPr>
            </w:pPr>
            <w:r>
              <w:rPr>
                <w:b/>
                <w:i/>
              </w:rPr>
              <w:t>4</w:t>
            </w:r>
          </w:p>
        </w:tc>
        <w:tc>
          <w:tcPr>
            <w:tcW w:w="3570" w:type="dxa"/>
            <w:tcBorders/>
            <w:tcMar>
              <w:top w:w="100" w:type="dxa"/>
              <w:left w:w="100" w:type="dxa"/>
              <w:bottom w:w="100" w:type="dxa"/>
              <w:right w:w="100" w:type="dxa"/>
            </w:tcMar>
          </w:tcPr>
          <w:p>
            <w:pPr>
              <w:pStyle w:val="style0"/>
              <w:rPr/>
            </w:pPr>
            <w:r>
              <w:t>Launch of Just Culture programme and Patient Partnership Panels</w:t>
            </w:r>
          </w:p>
        </w:tc>
        <w:tc>
          <w:tcPr>
            <w:tcW w:w="2280" w:type="dxa"/>
            <w:tcBorders/>
            <w:tcMar>
              <w:top w:w="100" w:type="dxa"/>
              <w:left w:w="100" w:type="dxa"/>
              <w:bottom w:w="100" w:type="dxa"/>
              <w:right w:w="100" w:type="dxa"/>
            </w:tcMar>
          </w:tcPr>
          <w:p>
            <w:pPr>
              <w:pStyle w:val="style0"/>
              <w:rPr/>
            </w:pPr>
            <w:r>
              <w:t>PDSA cycle</w:t>
            </w:r>
          </w:p>
        </w:tc>
        <w:tc>
          <w:tcPr>
            <w:tcW w:w="2025" w:type="dxa"/>
            <w:tcBorders/>
            <w:tcMar>
              <w:top w:w="100" w:type="dxa"/>
              <w:left w:w="100" w:type="dxa"/>
              <w:bottom w:w="100" w:type="dxa"/>
              <w:right w:w="100" w:type="dxa"/>
            </w:tcMar>
          </w:tcPr>
          <w:p>
            <w:pPr>
              <w:pStyle w:val="style0"/>
              <w:jc w:val="center"/>
              <w:rPr>
                <w:i/>
              </w:rPr>
            </w:pPr>
            <w:r>
              <w:rPr>
                <w:i/>
              </w:rPr>
              <w:t>9-15 months</w:t>
            </w:r>
          </w:p>
        </w:tc>
      </w:tr>
      <w:tr>
        <w:tblPrEx/>
        <w:trPr/>
        <w:tc>
          <w:tcPr>
            <w:tcW w:w="1065" w:type="dxa"/>
            <w:tcBorders/>
            <w:tcMar>
              <w:top w:w="100" w:type="dxa"/>
              <w:left w:w="100" w:type="dxa"/>
              <w:bottom w:w="100" w:type="dxa"/>
              <w:right w:w="100" w:type="dxa"/>
            </w:tcMar>
          </w:tcPr>
          <w:p>
            <w:pPr>
              <w:pStyle w:val="style0"/>
              <w:jc w:val="center"/>
              <w:rPr>
                <w:b/>
                <w:i/>
              </w:rPr>
            </w:pPr>
            <w:r>
              <w:rPr>
                <w:b/>
                <w:i/>
              </w:rPr>
              <w:t>5</w:t>
            </w:r>
          </w:p>
        </w:tc>
        <w:tc>
          <w:tcPr>
            <w:tcW w:w="3570" w:type="dxa"/>
            <w:tcBorders/>
            <w:tcMar>
              <w:top w:w="100" w:type="dxa"/>
              <w:left w:w="100" w:type="dxa"/>
              <w:bottom w:w="100" w:type="dxa"/>
              <w:right w:w="100" w:type="dxa"/>
            </w:tcMar>
          </w:tcPr>
          <w:p>
            <w:pPr>
              <w:pStyle w:val="style0"/>
              <w:rPr/>
            </w:pPr>
            <w:r>
              <w:t>Continuous audit, PDCA compliance reviews</w:t>
            </w:r>
          </w:p>
        </w:tc>
        <w:tc>
          <w:tcPr>
            <w:tcW w:w="2280" w:type="dxa"/>
            <w:tcBorders/>
            <w:tcMar>
              <w:top w:w="100" w:type="dxa"/>
              <w:left w:w="100" w:type="dxa"/>
              <w:bottom w:w="100" w:type="dxa"/>
              <w:right w:w="100" w:type="dxa"/>
            </w:tcMar>
          </w:tcPr>
          <w:p>
            <w:pPr>
              <w:pStyle w:val="style0"/>
              <w:rPr/>
            </w:pPr>
            <w:r>
              <w:t>PDCA cycle</w:t>
            </w:r>
          </w:p>
        </w:tc>
        <w:tc>
          <w:tcPr>
            <w:tcW w:w="2025" w:type="dxa"/>
            <w:tcBorders/>
            <w:tcMar>
              <w:top w:w="100" w:type="dxa"/>
              <w:left w:w="100" w:type="dxa"/>
              <w:bottom w:w="100" w:type="dxa"/>
              <w:right w:w="100" w:type="dxa"/>
            </w:tcMar>
          </w:tcPr>
          <w:p>
            <w:pPr>
              <w:pStyle w:val="style0"/>
              <w:jc w:val="center"/>
              <w:rPr>
                <w:i/>
              </w:rPr>
            </w:pPr>
            <w:r>
              <w:rPr>
                <w:i/>
              </w:rPr>
              <w:t>12-24 months</w:t>
            </w:r>
          </w:p>
        </w:tc>
      </w:tr>
    </w:tbl>
    <w:p>
      <w:pPr>
        <w:pStyle w:val="style0"/>
        <w:jc w:val="center"/>
        <w:rPr>
          <w:b/>
        </w:rPr>
      </w:pPr>
      <w:r>
        <w:rPr>
          <w:b/>
        </w:rPr>
        <w:t>Table 2: Implementation Plan</w:t>
      </w:r>
    </w:p>
    <w:p>
      <w:pPr>
        <w:pStyle w:val="style0"/>
        <w:jc w:val="center"/>
        <w:rPr/>
      </w:pPr>
      <w:r>
        <w:t>(Source: Self-developed)</w:t>
      </w:r>
    </w:p>
    <w:bookmarkStart w:id="10" w:name="_Toc213354292"/>
    <w:p>
      <w:pPr>
        <w:pStyle w:val="style0"/>
        <w:rPr/>
      </w:pPr>
      <w:r>
        <w:rPr>
          <w:rFonts w:eastAsia="Times New Roman"/>
          <w:color w:val="000000"/>
        </w:rPr>
        <w:t>This road map will make sure that the implementation is slow but constant, learning and long term responsibility of all levels of service.</w:t>
      </w:r>
      <w:r>
        <w:t xml:space="preserve"> </w:t>
      </w:r>
    </w:p>
    <w:p>
      <w:pPr>
        <w:pStyle w:val="style1"/>
        <w:rPr/>
      </w:pPr>
      <w:r>
        <w:t>4. Conclusion</w:t>
      </w:r>
      <w:bookmarkEnd w:id="10"/>
    </w:p>
    <w:p>
      <w:pPr>
        <w:pStyle w:val="style0"/>
        <w:rPr>
          <w:color w:val="000000"/>
        </w:rPr>
      </w:pPr>
      <w:r>
        <w:rPr>
          <w:color w:val="000000"/>
        </w:rPr>
        <w:t>The example of the Shrewsbury and Telford NHS Maternity can be used in the context of discussing the enormous impact the systemic failure in the area of quality governance, leadership, and safety culture has. The interconnected analysis that was performed with the help of the Fishbone Diagram, Donabedian Model and SWOT framework proves that unsafe care occurred due to a complex of structural deficiency, inefficient processes and highly corrupted organisational culture. The lack of leadership, proper training, inability to communicate, and lack of regulation and so on have been undermined to formulate the pillars of patient safety and trust. </w:t>
      </w:r>
    </w:p>
    <w:p>
      <w:pPr>
        <w:pStyle w:val="style0"/>
        <w:rPr>
          <w:color w:val="000000"/>
        </w:rPr>
      </w:pPr>
      <w:r>
        <w:rPr>
          <w:color w:val="000000"/>
        </w:rPr>
        <w:t>To overcome these hurdles, the recommendations hypothesise the alteration of leadership, competency among the staff, standard clinical practices and efficient data systems on the basis of the quality improvement tools like PDSA, Lean and Six Sigma. To regain the confidence and accountability, a Just Culture is required, which pays much attention to the learning instead of blaming and where patients are engaged in the redesign of the services.</w:t>
      </w:r>
    </w:p>
    <w:p>
      <w:pPr>
        <w:pStyle w:val="style0"/>
        <w:rPr/>
      </w:pPr>
      <w:r>
        <w:rPr>
          <w:color w:val="000000"/>
        </w:rPr>
        <w:t>And last but not the least, to ensure the quality enhancement in the long run, the entrenching of transparency, compassion, and constant learning on all levels of maternity governance will also have to occur. All these modifications to the management practices, enabling the employees, and aligning the practices of the local office with the national level will help the Trust to restore the culture where patient safety is not a procedure but an organisational principle. The lessons, gained in this case, should be taken as an example of how to proceed with a systematic improvement of the NHS to ensure that these types of tragedies will no longer happen.</w:t>
      </w:r>
    </w:p>
    <w:bookmarkStart w:id="11" w:name="_Toc213354293"/>
    <w:p>
      <w:pPr>
        <w:pStyle w:val="style1"/>
        <w:rPr/>
      </w:pPr>
      <w:r>
        <w:t>References</w:t>
      </w:r>
      <w:bookmarkEnd w:id="11"/>
    </w:p>
    <w:p>
      <w:pPr>
        <w:pStyle w:val="style0"/>
        <w:rPr/>
      </w:pPr>
      <w:r>
        <w:t xml:space="preserve">Ahmed, Z., Ellahham, S., Soomro, M., Shams, S. and Latif, K. (2024). Exploring the Impact of Compassion and Leadership on Patient Safety and Quality in Healthcare systems: a Narrative Review. </w:t>
      </w:r>
      <w:r>
        <w:rPr>
          <w:i/>
        </w:rPr>
        <w:t>BMJ Open Quality</w:t>
      </w:r>
      <w:r>
        <w:t xml:space="preserve">, 13(2), pp.1–7. doi: </w:t>
      </w:r>
      <w:r>
        <w:rPr/>
        <w:fldChar w:fldCharType="begin"/>
      </w:r>
      <w:r>
        <w:instrText xml:space="preserve"> HYPERLINK "https://doi.org/10.1136/bmjoq-2023-002651" </w:instrText>
      </w:r>
      <w:r>
        <w:rPr/>
        <w:fldChar w:fldCharType="separate"/>
      </w:r>
      <w:r>
        <w:rPr>
          <w:rStyle w:val="style85"/>
        </w:rPr>
        <w:t>https://doi.org/10.1136/bmjoq-2023-002651</w:t>
      </w:r>
      <w:r>
        <w:rPr/>
        <w:fldChar w:fldCharType="end"/>
      </w:r>
      <w:r>
        <w:t xml:space="preserve">. </w:t>
      </w:r>
    </w:p>
    <w:p>
      <w:pPr>
        <w:pStyle w:val="style0"/>
        <w:rPr/>
      </w:pPr>
      <w:r>
        <w:t>Alcock, A., Addy, C., Al</w:t>
      </w:r>
      <w:r>
        <w:rPr>
          <w:rFonts w:ascii="Cambria Math" w:cs="Cambria Math" w:hAnsi="Cambria Math"/>
        </w:rPr>
        <w:t>‐</w:t>
      </w:r>
      <w:r>
        <w:t xml:space="preserve">Mudhaffar, M., Jenkins, M., Cotter, M. and Edwards, M. (2025). Human Factors: Affect Everyone, Involve Everyone. </w:t>
      </w:r>
      <w:r>
        <w:rPr>
          <w:i/>
        </w:rPr>
        <w:t>The Clinical Teacher</w:t>
      </w:r>
      <w:r>
        <w:t xml:space="preserve">, 22(5). doi: </w:t>
      </w:r>
      <w:r>
        <w:rPr/>
        <w:fldChar w:fldCharType="begin"/>
      </w:r>
      <w:r>
        <w:instrText xml:space="preserve"> HYPERLINK "https://doi.org/10.1111/tct.70165" </w:instrText>
      </w:r>
      <w:r>
        <w:rPr/>
        <w:fldChar w:fldCharType="separate"/>
      </w:r>
      <w:r>
        <w:rPr>
          <w:color w:val="1155cc"/>
          <w:u w:val="single"/>
        </w:rPr>
        <w:t>https://doi.org/10.1111/tct.70165</w:t>
      </w:r>
      <w:r>
        <w:rPr/>
        <w:fldChar w:fldCharType="end"/>
      </w:r>
      <w:r>
        <w:t xml:space="preserve">. </w:t>
      </w:r>
    </w:p>
    <w:p>
      <w:pPr>
        <w:pStyle w:val="style0"/>
        <w:rPr/>
      </w:pPr>
      <w:r>
        <w:t xml:space="preserve">Alyahya, M.S., Hijazi, H.H., Alolayyan, M.N., Ajayneh, F.J., Khader, Y.S. and Al-Sheyab, N.A. (2021). The association between cognitive medical errors and their contributing organizational and individual factors. </w:t>
      </w:r>
      <w:r>
        <w:rPr>
          <w:i/>
        </w:rPr>
        <w:t>Risk Management and Healthcare Policy</w:t>
      </w:r>
      <w:r>
        <w:t xml:space="preserve">, Volume 14(14), pp.415–430. doi: </w:t>
      </w:r>
      <w:r>
        <w:rPr/>
        <w:fldChar w:fldCharType="begin"/>
      </w:r>
      <w:r>
        <w:instrText xml:space="preserve"> HYPERLINK "https://doi.org/10.2147/rmhp.s293110" </w:instrText>
      </w:r>
      <w:r>
        <w:rPr/>
        <w:fldChar w:fldCharType="separate"/>
      </w:r>
      <w:r>
        <w:rPr>
          <w:rStyle w:val="style85"/>
        </w:rPr>
        <w:t>https://doi.org/10.2147/rmhp.s293110</w:t>
      </w:r>
      <w:r>
        <w:rPr/>
        <w:fldChar w:fldCharType="end"/>
      </w:r>
      <w:r>
        <w:t xml:space="preserve">. </w:t>
      </w:r>
    </w:p>
    <w:p>
      <w:pPr>
        <w:pStyle w:val="style0"/>
        <w:rPr/>
      </w:pPr>
      <w:r>
        <w:t xml:space="preserve">Alzoubi, M.M., Shahar, H.K., Manaf, R.A., Ariffin, A.A. and M, A.-H.Z. (2019). Total quality management in the health-care context: Integrating the literature and directing future research. </w:t>
      </w:r>
      <w:r>
        <w:rPr>
          <w:i/>
        </w:rPr>
        <w:t>Risk Management and Healthcare Policy</w:t>
      </w:r>
      <w:r>
        <w:t xml:space="preserve">, Volume 12(12), pp.167–177. doi: </w:t>
      </w:r>
      <w:r>
        <w:rPr/>
        <w:fldChar w:fldCharType="begin"/>
      </w:r>
      <w:r>
        <w:instrText xml:space="preserve"> HYPERLINK "https://doi.org/10.2147/rmhp.s197038" </w:instrText>
      </w:r>
      <w:r>
        <w:rPr/>
        <w:fldChar w:fldCharType="separate"/>
      </w:r>
      <w:r>
        <w:rPr>
          <w:rStyle w:val="style85"/>
        </w:rPr>
        <w:t>https://doi.org/10.2147/rmhp.s197038</w:t>
      </w:r>
      <w:r>
        <w:rPr/>
        <w:fldChar w:fldCharType="end"/>
      </w:r>
      <w:r>
        <w:t xml:space="preserve">. </w:t>
      </w:r>
    </w:p>
    <w:p>
      <w:pPr>
        <w:pStyle w:val="style0"/>
        <w:rPr/>
      </w:pPr>
      <w:r>
        <w:t xml:space="preserve">Backer, K.D., Felker, A.M., Rose, E., Bull, C., Labisi, O., Kitchen, K., Mason, C., Montgomery, E., Sandall, J., Easter, A., Knight, M. and Vousden, N. (2025). Characteristics, outcomes, and maternity care experiences of women with children’s social care involvement who subsequently died: national cohort study and confidential enquiry. </w:t>
      </w:r>
      <w:r>
        <w:rPr>
          <w:i/>
        </w:rPr>
        <w:t>BMJ Medicine</w:t>
      </w:r>
      <w:r>
        <w:t xml:space="preserve">, 4(1), pp.e001464–e001464. doi: </w:t>
      </w:r>
      <w:r>
        <w:rPr/>
        <w:fldChar w:fldCharType="begin"/>
      </w:r>
      <w:r>
        <w:instrText xml:space="preserve"> HYPERLINK "https://doi.org/10.1136/bmjmed-2025-001464" </w:instrText>
      </w:r>
      <w:r>
        <w:rPr/>
        <w:fldChar w:fldCharType="separate"/>
      </w:r>
      <w:r>
        <w:rPr>
          <w:rStyle w:val="style85"/>
        </w:rPr>
        <w:t>https://doi.org/10.1136/bmjmed-2025-001464</w:t>
      </w:r>
      <w:r>
        <w:rPr/>
        <w:fldChar w:fldCharType="end"/>
      </w:r>
      <w:r>
        <w:t xml:space="preserve">. </w:t>
      </w:r>
    </w:p>
    <w:p>
      <w:pPr>
        <w:pStyle w:val="style0"/>
        <w:rPr/>
      </w:pPr>
      <w:r>
        <w:t xml:space="preserve">Barcan+Kirby LLP (2022). </w:t>
      </w:r>
      <w:r>
        <w:rPr>
          <w:i/>
        </w:rPr>
        <w:t>Maternity scandal report: ‘normal births’ and how care can change for the better</w:t>
      </w:r>
      <w:r>
        <w:t xml:space="preserve">. [online] Barcan and Kirby Solicitors in Bristol. Available at: </w:t>
      </w:r>
      <w:r>
        <w:rPr/>
        <w:fldChar w:fldCharType="begin"/>
      </w:r>
      <w:r>
        <w:instrText xml:space="preserve"> HYPERLINK "https://barcankirby.co.uk/maternity-scandal-ockenden-report/" </w:instrText>
      </w:r>
      <w:r>
        <w:rPr/>
        <w:fldChar w:fldCharType="separate"/>
      </w:r>
      <w:r>
        <w:rPr>
          <w:color w:val="1155cc"/>
          <w:u w:val="single"/>
        </w:rPr>
        <w:t>https://barcankirby.co.uk/maternity-scandal-ockenden-report/</w:t>
      </w:r>
      <w:r>
        <w:rPr/>
        <w:fldChar w:fldCharType="end"/>
      </w:r>
      <w:r>
        <w:t xml:space="preserve"> [Accessed 6 Nov. 2025].</w:t>
      </w:r>
    </w:p>
    <w:p>
      <w:pPr>
        <w:pStyle w:val="style0"/>
        <w:rPr/>
      </w:pPr>
      <w:r>
        <w:t xml:space="preserve">Barr, E. and Brannan, G.D. (2024). </w:t>
      </w:r>
      <w:r>
        <w:rPr>
          <w:i/>
        </w:rPr>
        <w:t>Quality improvement methods (LEAN, PDSA, SIX SIGMA)</w:t>
      </w:r>
      <w:r>
        <w:t xml:space="preserve">. [online] PubMed. Available at: </w:t>
      </w:r>
      <w:r>
        <w:rPr/>
        <w:fldChar w:fldCharType="begin"/>
      </w:r>
      <w:r>
        <w:instrText xml:space="preserve"> HYPERLINK "https://www.ncbi.nlm.nih.gov/books/NBK599556/" </w:instrText>
      </w:r>
      <w:r>
        <w:rPr/>
        <w:fldChar w:fldCharType="separate"/>
      </w:r>
      <w:r>
        <w:rPr>
          <w:color w:val="1155cc"/>
          <w:u w:val="single"/>
        </w:rPr>
        <w:t>https://www.ncbi.nlm.nih.gov/books/NBK599556/</w:t>
      </w:r>
      <w:r>
        <w:rPr/>
        <w:fldChar w:fldCharType="end"/>
      </w:r>
      <w:r>
        <w:t xml:space="preserve"> [Accessed 6 Nov. 2025].</w:t>
      </w:r>
    </w:p>
    <w:p>
      <w:pPr>
        <w:pStyle w:val="style0"/>
        <w:rPr/>
      </w:pPr>
      <w:r>
        <w:t xml:space="preserve">BBC (2020). ‘Failing leadership’ at Shrewsbury and Telford Hospital Trust. [online] 13 Aug. Available at: </w:t>
      </w:r>
      <w:r>
        <w:rPr/>
        <w:fldChar w:fldCharType="begin"/>
      </w:r>
      <w:r>
        <w:instrText xml:space="preserve"> HYPERLINK "https://www.bbc.com/news/uk-england-shropshire-53764432" </w:instrText>
      </w:r>
      <w:r>
        <w:rPr/>
        <w:fldChar w:fldCharType="separate"/>
      </w:r>
      <w:r>
        <w:rPr>
          <w:color w:val="1155cc"/>
          <w:u w:val="single"/>
        </w:rPr>
        <w:t>https://www.bbc.com/news/uk-england-shropshire-53764432</w:t>
      </w:r>
      <w:r>
        <w:rPr/>
        <w:fldChar w:fldCharType="end"/>
      </w:r>
      <w:r>
        <w:t xml:space="preserve"> [Accessed 6 Nov. 2025].</w:t>
      </w:r>
    </w:p>
    <w:p>
      <w:pPr>
        <w:pStyle w:val="style0"/>
        <w:rPr/>
      </w:pPr>
      <w:r>
        <w:t xml:space="preserve">BBC (2022). Shrewsbury maternity scandal: Repeated failures led to deaths. </w:t>
      </w:r>
      <w:r>
        <w:rPr>
          <w:i/>
        </w:rPr>
        <w:t>www.bbc.com</w:t>
      </w:r>
      <w:r>
        <w:t xml:space="preserve">. [online] 30 Mar. Available at: </w:t>
      </w:r>
      <w:r>
        <w:rPr/>
        <w:fldChar w:fldCharType="begin"/>
      </w:r>
      <w:r>
        <w:instrText xml:space="preserve"> HYPERLINK "https://www.bbc.com/news/uk-england-shropshire-60925959" </w:instrText>
      </w:r>
      <w:r>
        <w:rPr/>
        <w:fldChar w:fldCharType="separate"/>
      </w:r>
      <w:r>
        <w:rPr>
          <w:color w:val="1155cc"/>
          <w:u w:val="single"/>
        </w:rPr>
        <w:t>https://www.bbc.com/news/uk-england-shropshire-60925959</w:t>
      </w:r>
      <w:r>
        <w:rPr/>
        <w:fldChar w:fldCharType="end"/>
      </w:r>
      <w:r>
        <w:t xml:space="preserve"> [Accessed 6 Nov. 2025].</w:t>
      </w:r>
    </w:p>
    <w:p>
      <w:pPr>
        <w:pStyle w:val="style0"/>
        <w:rPr/>
      </w:pPr>
      <w:r>
        <w:t xml:space="preserve">CQC (2022). </w:t>
      </w:r>
      <w:r>
        <w:rPr>
          <w:i/>
        </w:rPr>
        <w:t>Care Quality Commission</w:t>
      </w:r>
      <w:r>
        <w:t xml:space="preserve">. [online] https://www.cqc.org.uk/. Available at: </w:t>
      </w:r>
      <w:r>
        <w:rPr/>
        <w:fldChar w:fldCharType="begin"/>
      </w:r>
      <w:r>
        <w:instrText xml:space="preserve"> HYPERLINK "https://www.cqc.org.uk/" </w:instrText>
      </w:r>
      <w:r>
        <w:rPr/>
        <w:fldChar w:fldCharType="separate"/>
      </w:r>
      <w:r>
        <w:rPr>
          <w:color w:val="1155cc"/>
          <w:u w:val="single"/>
        </w:rPr>
        <w:t>https://www.cqc.org.uk/</w:t>
      </w:r>
      <w:r>
        <w:rPr/>
        <w:fldChar w:fldCharType="end"/>
      </w:r>
      <w:r>
        <w:t xml:space="preserve"> [Accessed 6 Nov. 2025].</w:t>
      </w:r>
    </w:p>
    <w:p>
      <w:pPr>
        <w:pStyle w:val="style0"/>
        <w:rPr/>
      </w:pPr>
      <w:r>
        <w:t xml:space="preserve">Derdowski, L.A. and Mathisen, G.E. (2023). Psychosocial factors and safety in high-risk industries: A systematic literature review. </w:t>
      </w:r>
      <w:r>
        <w:rPr>
          <w:i/>
        </w:rPr>
        <w:t>Safety Science</w:t>
      </w:r>
      <w:r>
        <w:t xml:space="preserve">, 157, p.105948. doi: </w:t>
      </w:r>
      <w:r>
        <w:rPr/>
        <w:fldChar w:fldCharType="begin"/>
      </w:r>
      <w:r>
        <w:instrText xml:space="preserve"> HYPERLINK "https://doi.org/10.1016/j.ssci.2022.105948" </w:instrText>
      </w:r>
      <w:r>
        <w:rPr/>
        <w:fldChar w:fldCharType="separate"/>
      </w:r>
      <w:r>
        <w:rPr>
          <w:rStyle w:val="style85"/>
        </w:rPr>
        <w:t>https://doi.org/10.1016/j.ssci.2022.105948</w:t>
      </w:r>
      <w:r>
        <w:rPr/>
        <w:fldChar w:fldCharType="end"/>
      </w:r>
      <w:r>
        <w:t xml:space="preserve">. </w:t>
      </w:r>
    </w:p>
    <w:p>
      <w:pPr>
        <w:pStyle w:val="style0"/>
        <w:rPr/>
      </w:pPr>
      <w:r>
        <w:t xml:space="preserve">GOV.UK (2017). </w:t>
      </w:r>
      <w:r>
        <w:rPr>
          <w:i/>
        </w:rPr>
        <w:t>NHS Improvement</w:t>
      </w:r>
      <w:r>
        <w:t xml:space="preserve">. [online] GOV.UK. Available at: </w:t>
      </w:r>
      <w:r>
        <w:rPr/>
        <w:fldChar w:fldCharType="begin"/>
      </w:r>
      <w:r>
        <w:instrText xml:space="preserve"> HYPERLINK "https://www.gov.uk/government/organisations/nhs-improvement" </w:instrText>
      </w:r>
      <w:r>
        <w:rPr/>
        <w:fldChar w:fldCharType="separate"/>
      </w:r>
      <w:r>
        <w:rPr>
          <w:color w:val="1155cc"/>
          <w:u w:val="single"/>
        </w:rPr>
        <w:t>https://www.gov.uk/government/organisations/nhs-improvement</w:t>
      </w:r>
      <w:r>
        <w:rPr/>
        <w:fldChar w:fldCharType="end"/>
      </w:r>
      <w:r>
        <w:t xml:space="preserve"> [Accessed 6 Nov. 2025].</w:t>
      </w:r>
    </w:p>
    <w:p>
      <w:pPr>
        <w:pStyle w:val="style0"/>
        <w:rPr/>
      </w:pPr>
      <w:r>
        <w:t xml:space="preserve">Gregory, A. (2022). </w:t>
      </w:r>
      <w:r>
        <w:rPr>
          <w:i/>
        </w:rPr>
        <w:t>Police examine 600 cases after damning NHS baby deaths report</w:t>
      </w:r>
      <w:r>
        <w:t xml:space="preserve">. [online] the Guardian. Available at: </w:t>
      </w:r>
      <w:r>
        <w:rPr/>
        <w:fldChar w:fldCharType="begin"/>
      </w:r>
      <w:r>
        <w:instrText xml:space="preserve"> HYPERLINK "https://www.theguardian.com/society/2022/mar/30/baby-deaths-inquiry-shrewsbury-nhs-trust-condemned-for-repeated-failures" </w:instrText>
      </w:r>
      <w:r>
        <w:rPr/>
        <w:fldChar w:fldCharType="separate"/>
      </w:r>
      <w:r>
        <w:rPr>
          <w:color w:val="1155cc"/>
          <w:u w:val="single"/>
        </w:rPr>
        <w:t>https://www.theguardian.com/society/2022/mar/30/baby-deaths-inquiry-shrewsbury-nhs-trust-condemned-for-repeated-failures</w:t>
      </w:r>
      <w:r>
        <w:rPr/>
        <w:fldChar w:fldCharType="end"/>
      </w:r>
      <w:r>
        <w:t xml:space="preserve"> [Accessed 6 Nov. 2025].</w:t>
      </w:r>
    </w:p>
    <w:p>
      <w:pPr>
        <w:pStyle w:val="style0"/>
        <w:rPr/>
      </w:pPr>
      <w:r>
        <w:t xml:space="preserve">Haughom, J. (2024). </w:t>
      </w:r>
      <w:r>
        <w:rPr>
          <w:i/>
        </w:rPr>
        <w:t>Five Deming Principles That Help Healthcare Process Improvement</w:t>
      </w:r>
      <w:r>
        <w:t xml:space="preserve">. [online] Healthcatalyst.com. Available at: </w:t>
      </w:r>
      <w:r>
        <w:rPr/>
        <w:fldChar w:fldCharType="begin"/>
      </w:r>
      <w:r>
        <w:instrText xml:space="preserve"> HYPERLINK "https://www.healthcatalyst.com/learn/insights/5-deming-principles-for-healthcare-process-improvement" </w:instrText>
      </w:r>
      <w:r>
        <w:rPr/>
        <w:fldChar w:fldCharType="separate"/>
      </w:r>
      <w:r>
        <w:rPr>
          <w:color w:val="1155cc"/>
          <w:u w:val="single"/>
        </w:rPr>
        <w:t>https://www.healthcatalyst.com/learn/insights/5-deming-principles-for-healthcare-process-improvement</w:t>
      </w:r>
      <w:r>
        <w:rPr/>
        <w:fldChar w:fldCharType="end"/>
      </w:r>
      <w:r>
        <w:t xml:space="preserve"> [Accessed 6 Nov. 2025].</w:t>
      </w:r>
    </w:p>
    <w:p>
      <w:pPr>
        <w:pStyle w:val="style0"/>
        <w:rPr/>
      </w:pPr>
      <w:r>
        <w:t xml:space="preserve">Jamtvedt, G., Flottorp, S. and Ivers, N. (2019). </w:t>
      </w:r>
      <w:r>
        <w:rPr>
          <w:i/>
        </w:rPr>
        <w:t>10Audit and Feedback as a Quality Strategy. Improving healthcare quality in Europe: Characteristics, effectiveness and implementation of different strategies [Internet].</w:t>
      </w:r>
      <w:r>
        <w:t xml:space="preserve"> Available at: </w:t>
      </w:r>
      <w:r>
        <w:rPr/>
        <w:fldChar w:fldCharType="begin"/>
      </w:r>
      <w:r>
        <w:instrText xml:space="preserve"> HYPERLINK "https://www.ncbi.nlm.nih.gov/books/NBK549284/" </w:instrText>
      </w:r>
      <w:r>
        <w:rPr/>
        <w:fldChar w:fldCharType="separate"/>
      </w:r>
      <w:r>
        <w:rPr>
          <w:color w:val="1155cc"/>
          <w:u w:val="single"/>
        </w:rPr>
        <w:t>https://www.ncbi.nlm.nih.gov/books/NBK549284/</w:t>
      </w:r>
      <w:r>
        <w:rPr/>
        <w:fldChar w:fldCharType="end"/>
      </w:r>
      <w:r>
        <w:t xml:space="preserve"> [Accessed 6 Nov. 2025].</w:t>
      </w:r>
    </w:p>
    <w:p>
      <w:pPr>
        <w:pStyle w:val="style0"/>
        <w:rPr/>
      </w:pPr>
      <w:r>
        <w:t xml:space="preserve">Khaw, K.W., Alnoor, A., Abrrow, H.A. -, Tiberius, V., Ganesan, Y. and Atshan, N.A. (2022). Reactions Towards Organizational Change: a Systematic Literature Review. </w:t>
      </w:r>
      <w:r>
        <w:rPr>
          <w:i/>
        </w:rPr>
        <w:t>Current Psychology</w:t>
      </w:r>
      <w:r>
        <w:t xml:space="preserve">, 42(42), pp.1–24. doi: </w:t>
      </w:r>
      <w:r>
        <w:rPr/>
        <w:fldChar w:fldCharType="begin"/>
      </w:r>
      <w:r>
        <w:instrText xml:space="preserve"> HYPERLINK "https://doi.org/10.1007/s12144-022-03070-6" </w:instrText>
      </w:r>
      <w:r>
        <w:rPr/>
        <w:fldChar w:fldCharType="separate"/>
      </w:r>
      <w:r>
        <w:rPr>
          <w:rStyle w:val="style85"/>
        </w:rPr>
        <w:t>https://doi.org/10.1007/s12144-022-03070-6</w:t>
      </w:r>
      <w:r>
        <w:rPr/>
        <w:fldChar w:fldCharType="end"/>
      </w:r>
      <w:r>
        <w:t xml:space="preserve">. </w:t>
      </w:r>
    </w:p>
    <w:p>
      <w:pPr>
        <w:pStyle w:val="style0"/>
        <w:rPr/>
      </w:pPr>
      <w:r>
        <w:t xml:space="preserve">Kotter, J. (2025). </w:t>
      </w:r>
      <w:r>
        <w:rPr>
          <w:i/>
        </w:rPr>
        <w:t>The 8 Steps for Leading Change</w:t>
      </w:r>
      <w:r>
        <w:t xml:space="preserve">. [online] Kotter. Available at: </w:t>
      </w:r>
      <w:r>
        <w:rPr/>
        <w:fldChar w:fldCharType="begin"/>
      </w:r>
      <w:r>
        <w:instrText xml:space="preserve"> HYPERLINK "https://www.kotterinc.com/methodology/8-steps/" </w:instrText>
      </w:r>
      <w:r>
        <w:rPr/>
        <w:fldChar w:fldCharType="separate"/>
      </w:r>
      <w:r>
        <w:rPr>
          <w:color w:val="1155cc"/>
          <w:u w:val="single"/>
        </w:rPr>
        <w:t>https://www.kotterinc.com/methodology/8-steps/</w:t>
      </w:r>
      <w:r>
        <w:rPr/>
        <w:fldChar w:fldCharType="end"/>
      </w:r>
      <w:r>
        <w:t xml:space="preserve"> [Accessed 6 Nov. 2025].</w:t>
      </w:r>
    </w:p>
    <w:p>
      <w:pPr>
        <w:pStyle w:val="style0"/>
        <w:rPr/>
      </w:pPr>
      <w:r>
        <w:t xml:space="preserve">Kumah, A., Nwogu, C.N., Issah, A.-R., Obot, E., Kanamitie, D.T., Sifa, J.S. and Aidoo, L.A. (2024). Cause-and-Effect (Fishbone) Diagram: a Tool for Generating and Organizing Quality Improvement Ideas. </w:t>
      </w:r>
      <w:r>
        <w:rPr>
          <w:i/>
        </w:rPr>
        <w:t>Innovations Journals</w:t>
      </w:r>
      <w:r>
        <w:t xml:space="preserve">, 7(2), pp.85–87. doi: </w:t>
      </w:r>
      <w:r>
        <w:rPr/>
        <w:fldChar w:fldCharType="begin"/>
      </w:r>
      <w:r>
        <w:instrText xml:space="preserve"> HYPERLINK "https://doi.org/10.36401/JQSH-23-42" </w:instrText>
      </w:r>
      <w:r>
        <w:rPr/>
        <w:fldChar w:fldCharType="separate"/>
      </w:r>
      <w:r>
        <w:rPr>
          <w:rStyle w:val="style85"/>
        </w:rPr>
        <w:t>https://doi.org/10.36401/JQSH-23-42</w:t>
      </w:r>
      <w:r>
        <w:rPr/>
        <w:fldChar w:fldCharType="end"/>
      </w:r>
      <w:r>
        <w:t xml:space="preserve">. </w:t>
      </w:r>
    </w:p>
    <w:p>
      <w:pPr>
        <w:pStyle w:val="style0"/>
        <w:rPr/>
      </w:pPr>
      <w:r>
        <w:t xml:space="preserve">Lean Enterprise Institute (2023). </w:t>
      </w:r>
      <w:r>
        <w:rPr>
          <w:i/>
        </w:rPr>
        <w:t>Plan, do, check, act (PDCA)</w:t>
      </w:r>
      <w:r>
        <w:t xml:space="preserve">. [online] Lean Enterprise Institute. Available at: </w:t>
      </w:r>
      <w:r>
        <w:rPr/>
        <w:fldChar w:fldCharType="begin"/>
      </w:r>
      <w:r>
        <w:instrText xml:space="preserve"> HYPERLINK "https://www.lean.org/lexicon-terms/pdca/" </w:instrText>
      </w:r>
      <w:r>
        <w:rPr/>
        <w:fldChar w:fldCharType="separate"/>
      </w:r>
      <w:r>
        <w:rPr>
          <w:color w:val="1155cc"/>
          <w:u w:val="single"/>
        </w:rPr>
        <w:t>https://www.lean.org/lexicon-terms/pdca/</w:t>
      </w:r>
      <w:r>
        <w:rPr/>
        <w:fldChar w:fldCharType="end"/>
      </w:r>
      <w:r>
        <w:t xml:space="preserve"> [Accessed 6 Nov. 2025].</w:t>
      </w:r>
    </w:p>
    <w:p>
      <w:pPr>
        <w:pStyle w:val="style0"/>
        <w:rPr/>
      </w:pPr>
      <w:r>
        <w:t xml:space="preserve">Mahmoud, Z., Angelé-Halgand, N., Churruca, K., Ellis, L.A. and Braithwaite, J. (2021). The impact of lean management on frontline healthcare professionals: a scoping review of the literature. </w:t>
      </w:r>
      <w:r>
        <w:rPr>
          <w:i/>
        </w:rPr>
        <w:t>BMC Health Services Research</w:t>
      </w:r>
      <w:r>
        <w:t xml:space="preserve">, 21(1). doi: </w:t>
      </w:r>
      <w:r>
        <w:rPr/>
        <w:fldChar w:fldCharType="begin"/>
      </w:r>
      <w:r>
        <w:instrText xml:space="preserve"> HYPERLINK "https://doi.org/10.1186/s12913-021-06344-0" </w:instrText>
      </w:r>
      <w:r>
        <w:rPr/>
        <w:fldChar w:fldCharType="separate"/>
      </w:r>
      <w:r>
        <w:rPr>
          <w:rStyle w:val="style85"/>
        </w:rPr>
        <w:t>https://doi.org/10.1186/s12913-021-06344-0</w:t>
      </w:r>
      <w:r>
        <w:rPr/>
        <w:fldChar w:fldCharType="end"/>
      </w:r>
      <w:r>
        <w:t xml:space="preserve">. </w:t>
      </w:r>
    </w:p>
    <w:p>
      <w:pPr>
        <w:pStyle w:val="style0"/>
        <w:rPr/>
      </w:pPr>
      <w:r>
        <w:t xml:space="preserve">Martin, J., Ellström, P.-E., Wallo, A. and Elg, M. (2024). Bridging the policy-practice gap: a dual challenge of organizational learning. </w:t>
      </w:r>
      <w:r>
        <w:rPr>
          <w:i/>
        </w:rPr>
        <w:t>Learning organization/The Learning organisation</w:t>
      </w:r>
      <w:r>
        <w:t xml:space="preserve">, 32(7). doi: </w:t>
      </w:r>
      <w:r>
        <w:rPr/>
        <w:fldChar w:fldCharType="begin"/>
      </w:r>
      <w:r>
        <w:instrText xml:space="preserve"> HYPERLINK "https://doi.org/10.1108/tlo-05-2023-0079" </w:instrText>
      </w:r>
      <w:r>
        <w:rPr/>
        <w:fldChar w:fldCharType="separate"/>
      </w:r>
      <w:r>
        <w:rPr>
          <w:rStyle w:val="style85"/>
        </w:rPr>
        <w:t>https://doi.org/10.1108/tlo-05-2023-0079</w:t>
      </w:r>
      <w:r>
        <w:rPr/>
        <w:fldChar w:fldCharType="end"/>
      </w:r>
      <w:r>
        <w:t xml:space="preserve">. </w:t>
      </w:r>
    </w:p>
    <w:p>
      <w:pPr>
        <w:pStyle w:val="style0"/>
        <w:rPr/>
      </w:pPr>
      <w:r>
        <w:t xml:space="preserve">Monday, L. (2022). Define, measure, analyze, improve, control (DMAIC) methodology as a roadmap in quality improvement. </w:t>
      </w:r>
      <w:r>
        <w:rPr>
          <w:i/>
        </w:rPr>
        <w:t>Global Journal on Quality and Safety in Healthcare</w:t>
      </w:r>
      <w:r>
        <w:t xml:space="preserve">, 5(2), pp.44–46. doi: </w:t>
      </w:r>
      <w:r>
        <w:rPr/>
        <w:fldChar w:fldCharType="begin"/>
      </w:r>
      <w:r>
        <w:instrText xml:space="preserve"> HYPERLINK "https://doi.org/10.36401/jqsh-22-x2" </w:instrText>
      </w:r>
      <w:r>
        <w:rPr/>
        <w:fldChar w:fldCharType="separate"/>
      </w:r>
      <w:r>
        <w:rPr>
          <w:rStyle w:val="style85"/>
        </w:rPr>
        <w:t>https://doi.org/10.36401/jqsh-22-x2</w:t>
      </w:r>
      <w:r>
        <w:rPr/>
        <w:fldChar w:fldCharType="end"/>
      </w:r>
      <w:r>
        <w:t xml:space="preserve">. </w:t>
      </w:r>
    </w:p>
    <w:p>
      <w:pPr>
        <w:pStyle w:val="style0"/>
        <w:rPr/>
      </w:pPr>
      <w:r>
        <w:t xml:space="preserve">Naji, G.M.A., Isha, A.S.N., Mohyaldinn, M.E., Leka, S., Saleem, M.S., Rahman, S.M.N.B.S.A. and Alzoraiki, M. (2021). Impact of Safety Culture on Safety Performance; Mediating Role of Psychosocial Hazard: An Integrated Modelling Approach. </w:t>
      </w:r>
      <w:r>
        <w:rPr>
          <w:i/>
        </w:rPr>
        <w:t>International Journal of Environmental Research and Public Health</w:t>
      </w:r>
      <w:r>
        <w:t xml:space="preserve">, 18(16), p.8568. doi: </w:t>
      </w:r>
      <w:r>
        <w:rPr/>
        <w:fldChar w:fldCharType="begin"/>
      </w:r>
      <w:r>
        <w:instrText xml:space="preserve"> HYPERLINK "https://doi.org/10.3390/ijerph18168568" </w:instrText>
      </w:r>
      <w:r>
        <w:rPr/>
        <w:fldChar w:fldCharType="separate"/>
      </w:r>
      <w:r>
        <w:rPr>
          <w:rStyle w:val="style85"/>
        </w:rPr>
        <w:t>https://doi.org/10.3390/ijerph18168568</w:t>
      </w:r>
      <w:r>
        <w:rPr/>
        <w:fldChar w:fldCharType="end"/>
      </w:r>
      <w:r>
        <w:t xml:space="preserve">. </w:t>
      </w:r>
    </w:p>
    <w:p>
      <w:pPr>
        <w:pStyle w:val="style0"/>
        <w:rPr/>
      </w:pPr>
      <w:r>
        <w:t xml:space="preserve">NHS (2017). </w:t>
      </w:r>
      <w:r>
        <w:rPr>
          <w:i/>
        </w:rPr>
        <w:t>Maternity</w:t>
      </w:r>
      <w:r>
        <w:t xml:space="preserve">. [online] Health Education England. Available at: </w:t>
      </w:r>
      <w:r>
        <w:rPr/>
        <w:fldChar w:fldCharType="begin"/>
      </w:r>
      <w:r>
        <w:instrText xml:space="preserve"> HYPERLINK "https://www.hee.nhs.uk/our-work/maternity" </w:instrText>
      </w:r>
      <w:r>
        <w:rPr/>
        <w:fldChar w:fldCharType="separate"/>
      </w:r>
      <w:r>
        <w:rPr>
          <w:color w:val="1155cc"/>
          <w:u w:val="single"/>
        </w:rPr>
        <w:t>https://www.hee.nhs.uk/our-work/maternity</w:t>
      </w:r>
      <w:r>
        <w:rPr/>
        <w:fldChar w:fldCharType="end"/>
      </w:r>
      <w:r>
        <w:t xml:space="preserve"> [Accessed 6 Nov. 2025].</w:t>
      </w:r>
    </w:p>
    <w:p>
      <w:pPr>
        <w:pStyle w:val="style0"/>
        <w:rPr/>
      </w:pPr>
      <w:r>
        <w:t xml:space="preserve">NHS Resolution (2025). </w:t>
      </w:r>
      <w:r>
        <w:rPr>
          <w:i/>
        </w:rPr>
        <w:t>NHS Resolution</w:t>
      </w:r>
      <w:r>
        <w:t xml:space="preserve">. [online] Available at: </w:t>
      </w:r>
      <w:r>
        <w:rPr/>
        <w:fldChar w:fldCharType="begin"/>
      </w:r>
      <w:r>
        <w:instrText xml:space="preserve"> HYPERLINK "https://resolution.nhs.uk/" </w:instrText>
      </w:r>
      <w:r>
        <w:rPr/>
        <w:fldChar w:fldCharType="separate"/>
      </w:r>
      <w:r>
        <w:rPr>
          <w:color w:val="1155cc"/>
          <w:u w:val="single"/>
        </w:rPr>
        <w:t>https://resolution.nhs.uk/</w:t>
      </w:r>
      <w:r>
        <w:rPr/>
        <w:fldChar w:fldCharType="end"/>
      </w:r>
      <w:r>
        <w:t xml:space="preserve"> [Accessed 6 Nov. 2025].</w:t>
      </w:r>
    </w:p>
    <w:p>
      <w:pPr>
        <w:pStyle w:val="style0"/>
        <w:rPr/>
      </w:pPr>
      <w:r>
        <w:t xml:space="preserve">Ockenden, D. (2022). </w:t>
      </w:r>
      <w:r>
        <w:rPr>
          <w:i/>
        </w:rPr>
        <w:t>Ockenden Report</w:t>
      </w:r>
      <w:r>
        <w:t xml:space="preserve">. [online] pp.1–250. Available at: </w:t>
      </w:r>
      <w:r>
        <w:rPr/>
        <w:fldChar w:fldCharType="begin"/>
      </w:r>
      <w:r>
        <w:instrText xml:space="preserve"> HYPERLINK "https://assets.publishing.service.gov.uk/media/624332fe8fa8f527744f0615/Final-Ockenden-Report-web-accessible.pdf" </w:instrText>
      </w:r>
      <w:r>
        <w:rPr/>
        <w:fldChar w:fldCharType="separate"/>
      </w:r>
      <w:r>
        <w:rPr>
          <w:color w:val="1155cc"/>
          <w:u w:val="single"/>
        </w:rPr>
        <w:t>https://assets.publishing.service.gov.uk/media/624332fe8fa8f527744f0615/Final-Ockenden-Report-web-accessible.pdf</w:t>
      </w:r>
      <w:r>
        <w:rPr/>
        <w:fldChar w:fldCharType="end"/>
      </w:r>
      <w:r>
        <w:t xml:space="preserve"> [Accessed 6 Nov. 2025].</w:t>
      </w:r>
    </w:p>
    <w:p>
      <w:pPr>
        <w:pStyle w:val="style0"/>
        <w:rPr/>
      </w:pPr>
      <w:r>
        <w:t xml:space="preserve">Prior, S.J. and Campbell, S. (2018). Patient and family involvement: a discussion of co-led redesign of healthcare services. </w:t>
      </w:r>
      <w:r>
        <w:rPr>
          <w:i/>
        </w:rPr>
        <w:t>Journal of Participatory Medicine</w:t>
      </w:r>
      <w:r>
        <w:t xml:space="preserve">, 10(1). doi: </w:t>
      </w:r>
      <w:r>
        <w:rPr/>
        <w:fldChar w:fldCharType="begin"/>
      </w:r>
      <w:r>
        <w:instrText xml:space="preserve"> HYPERLINK "https://doi.org/10.2196/jopm.8957" </w:instrText>
      </w:r>
      <w:r>
        <w:rPr/>
        <w:fldChar w:fldCharType="separate"/>
      </w:r>
      <w:r>
        <w:rPr>
          <w:rStyle w:val="style85"/>
        </w:rPr>
        <w:t>https://doi.org/10.2196/jopm.8957</w:t>
      </w:r>
      <w:r>
        <w:rPr/>
        <w:fldChar w:fldCharType="end"/>
      </w:r>
      <w:r>
        <w:t xml:space="preserve">. </w:t>
      </w:r>
    </w:p>
    <w:p>
      <w:pPr>
        <w:pStyle w:val="style0"/>
        <w:rPr/>
      </w:pPr>
      <w:r>
        <w:t xml:space="preserve">Robby, K.N.A., Nurjazuli, N., Izzah, L., Tallapessy, A. and Astuti, I.S.W. (2025). From Structure to Outcome: The Role of the Donabedian Model in Global Health Service Management Research (1987–2024). </w:t>
      </w:r>
      <w:r>
        <w:rPr>
          <w:i/>
        </w:rPr>
        <w:t>E3S Web of Conferences</w:t>
      </w:r>
      <w:r>
        <w:t xml:space="preserve">, 650, p.02025. doi: </w:t>
      </w:r>
      <w:r>
        <w:rPr/>
        <w:fldChar w:fldCharType="begin"/>
      </w:r>
      <w:r>
        <w:instrText xml:space="preserve"> HYPERLINK "https://doi.org/10.1051/e3sconf/202565002025" </w:instrText>
      </w:r>
      <w:r>
        <w:rPr/>
        <w:fldChar w:fldCharType="separate"/>
      </w:r>
      <w:r>
        <w:rPr>
          <w:rStyle w:val="style85"/>
        </w:rPr>
        <w:t>https://doi.org/10.1051/e3sconf/202565002025</w:t>
      </w:r>
      <w:r>
        <w:rPr/>
        <w:fldChar w:fldCharType="end"/>
      </w:r>
      <w:r>
        <w:t xml:space="preserve">. </w:t>
      </w:r>
    </w:p>
    <w:p>
      <w:pPr>
        <w:pStyle w:val="style0"/>
        <w:rPr/>
      </w:pPr>
      <w:r>
        <w:t xml:space="preserve">Suryadi, Y., Trisnawati, T. and Al-Amin, A.-A. (2024). The Impact Of Transformational Leadership On Organizational Performance And Employee Motivation. </w:t>
      </w:r>
      <w:r>
        <w:rPr>
          <w:i/>
        </w:rPr>
        <w:t>Transforma Jurnal Manajemen</w:t>
      </w:r>
      <w:r>
        <w:t xml:space="preserve">, 2(2), pp.65–76. doi: </w:t>
      </w:r>
      <w:r>
        <w:rPr/>
        <w:fldChar w:fldCharType="begin"/>
      </w:r>
      <w:r>
        <w:instrText xml:space="preserve"> HYPERLINK "https://doi.org/10.56457/tjm.v2i2.129" </w:instrText>
      </w:r>
      <w:r>
        <w:rPr/>
        <w:fldChar w:fldCharType="separate"/>
      </w:r>
      <w:r>
        <w:rPr>
          <w:rStyle w:val="style85"/>
        </w:rPr>
        <w:t>https://doi.org/10.56457/tjm.v2i2.129</w:t>
      </w:r>
      <w:r>
        <w:rPr/>
        <w:fldChar w:fldCharType="end"/>
      </w:r>
      <w:r>
        <w:t xml:space="preserve">. </w:t>
      </w:r>
    </w:p>
    <w:p>
      <w:pPr>
        <w:pStyle w:val="style0"/>
        <w:rPr/>
      </w:pPr>
      <w:r>
        <w:t xml:space="preserve">The Deming Institute (2021). </w:t>
      </w:r>
      <w:r>
        <w:rPr>
          <w:i/>
        </w:rPr>
        <w:t>PDSA Cycle</w:t>
      </w:r>
      <w:r>
        <w:t xml:space="preserve">. [online] The Deming Institute. Available at: </w:t>
      </w:r>
      <w:r>
        <w:rPr/>
        <w:fldChar w:fldCharType="begin"/>
      </w:r>
      <w:r>
        <w:instrText xml:space="preserve"> HYPERLINK "https://deming.org/explore/pdsa/" </w:instrText>
      </w:r>
      <w:r>
        <w:rPr/>
        <w:fldChar w:fldCharType="separate"/>
      </w:r>
      <w:r>
        <w:rPr>
          <w:color w:val="1155cc"/>
          <w:u w:val="single"/>
        </w:rPr>
        <w:t>https://deming.org/explore/pdsa/</w:t>
      </w:r>
      <w:r>
        <w:rPr/>
        <w:fldChar w:fldCharType="end"/>
      </w:r>
      <w:r>
        <w:t xml:space="preserve"> [Accessed 6 Nov. 2025].</w:t>
      </w:r>
    </w:p>
    <w:p>
      <w:pPr>
        <w:pStyle w:val="style0"/>
        <w:rPr/>
      </w:pPr>
      <w:r>
        <w:t xml:space="preserve">Trust, N. (2023). </w:t>
      </w:r>
      <w:r>
        <w:rPr>
          <w:i/>
        </w:rPr>
        <w:t>The Shrewsbury and Telford Hospital Quality Account</w:t>
      </w:r>
      <w:r>
        <w:t xml:space="preserve">. [online] pp.1–127. Available at: </w:t>
      </w:r>
      <w:r>
        <w:rPr/>
        <w:fldChar w:fldCharType="begin"/>
      </w:r>
      <w:r>
        <w:instrText xml:space="preserve"> HYPERLINK "https://www.sath.nhs.uk/wp-content/uploads/2024/06/SaTH-Quality-Account-2023-2024-final-28.06.2024.pdf" </w:instrText>
      </w:r>
      <w:r>
        <w:rPr/>
        <w:fldChar w:fldCharType="separate"/>
      </w:r>
      <w:r>
        <w:rPr>
          <w:color w:val="1155cc"/>
          <w:u w:val="single"/>
        </w:rPr>
        <w:t>https://www.sath.nhs.uk/wp-content/uploads/2024/06/SaTH-Quality-Account-2023-2024-final-28.06.2024.pdf</w:t>
      </w:r>
      <w:r>
        <w:rPr/>
        <w:fldChar w:fldCharType="end"/>
      </w:r>
      <w:r>
        <w:t xml:space="preserve"> [Accessed 6 Nov. 2025].</w:t>
      </w:r>
    </w:p>
    <w:p>
      <w:pPr>
        <w:pStyle w:val="style0"/>
        <w:rPr/>
      </w:pPr>
      <w:r>
        <w:t xml:space="preserve">Ugochukwu, C. (2025). </w:t>
      </w:r>
      <w:r>
        <w:rPr>
          <w:i/>
        </w:rPr>
        <w:t>Transformational Leadership Style: How to Inspire and Motivate</w:t>
      </w:r>
      <w:r>
        <w:t xml:space="preserve">. [online] Simply Psychology. Available at: </w:t>
      </w:r>
      <w:r>
        <w:rPr/>
        <w:fldChar w:fldCharType="begin"/>
      </w:r>
      <w:r>
        <w:instrText xml:space="preserve"> HYPERLINK "https://www.simplypsychology.org/what-is-transformational-leadership.html" </w:instrText>
      </w:r>
      <w:r>
        <w:rPr/>
        <w:fldChar w:fldCharType="separate"/>
      </w:r>
      <w:r>
        <w:rPr>
          <w:color w:val="1155cc"/>
          <w:u w:val="single"/>
        </w:rPr>
        <w:t>https://www.simplypsychology.org/what-is-transformational-leadership.html</w:t>
      </w:r>
      <w:r>
        <w:rPr/>
        <w:fldChar w:fldCharType="end"/>
      </w:r>
      <w:r>
        <w:t xml:space="preserve"> [Accessed 6 Nov. 2025].</w:t>
      </w:r>
    </w:p>
    <w:p>
      <w:pPr>
        <w:pStyle w:val="style0"/>
        <w:rPr/>
      </w:pPr>
      <w:r>
        <w:t xml:space="preserve">Waring, J., Allen, D., Braithwaite, J. and Sandall, J. (2015). Healthcare quality and safety: a review of policy, practice and research. </w:t>
      </w:r>
      <w:r>
        <w:rPr>
          <w:i/>
        </w:rPr>
        <w:t>Sociology of Health &amp; Illness</w:t>
      </w:r>
      <w:r>
        <w:t xml:space="preserve">, 38(2), pp.198–215. doi: </w:t>
      </w:r>
      <w:r>
        <w:rPr/>
        <w:fldChar w:fldCharType="begin"/>
      </w:r>
      <w:r>
        <w:instrText xml:space="preserve"> HYPERLINK "https://doi.org/10.1111/1467-9566.12391" </w:instrText>
      </w:r>
      <w:r>
        <w:rPr/>
        <w:fldChar w:fldCharType="separate"/>
      </w:r>
      <w:r>
        <w:rPr>
          <w:rStyle w:val="style85"/>
        </w:rPr>
        <w:t>https://doi.org/10.1111/1467-9566.12391</w:t>
      </w:r>
      <w:r>
        <w:rPr/>
        <w:fldChar w:fldCharType="end"/>
      </w:r>
      <w:r>
        <w:t xml:space="preserve">. </w:t>
      </w:r>
    </w:p>
    <w:p>
      <w:pPr>
        <w:pStyle w:val="style0"/>
        <w:rPr/>
      </w:pPr>
      <w:r>
        <w:t xml:space="preserve">World Health Organization (2025a). </w:t>
      </w:r>
      <w:r>
        <w:rPr>
          <w:i/>
        </w:rPr>
        <w:t>Maternal mortality</w:t>
      </w:r>
      <w:r>
        <w:t xml:space="preserve">. [online] World Health Organization. Available at: </w:t>
      </w:r>
      <w:r>
        <w:rPr/>
        <w:fldChar w:fldCharType="begin"/>
      </w:r>
      <w:r>
        <w:instrText xml:space="preserve"> HYPERLINK "https://www.who.int/news-room/fact-sheets/detail/maternal-mortality" </w:instrText>
      </w:r>
      <w:r>
        <w:rPr/>
        <w:fldChar w:fldCharType="separate"/>
      </w:r>
      <w:r>
        <w:rPr>
          <w:color w:val="1155cc"/>
          <w:u w:val="single"/>
        </w:rPr>
        <w:t>https://www.who.int/news-room/fact-sheets/detail/maternal-mortality</w:t>
      </w:r>
      <w:r>
        <w:rPr/>
        <w:fldChar w:fldCharType="end"/>
      </w:r>
      <w:r>
        <w:t xml:space="preserve"> [Accessed 6 Nov. 2025].</w:t>
      </w:r>
    </w:p>
    <w:p>
      <w:pPr>
        <w:pStyle w:val="style0"/>
        <w:rPr/>
      </w:pPr>
      <w:r>
        <w:t xml:space="preserve">World Health Organization (2025b). </w:t>
      </w:r>
      <w:r>
        <w:rPr>
          <w:i/>
        </w:rPr>
        <w:t>Quality of care</w:t>
      </w:r>
      <w:r>
        <w:t xml:space="preserve">. [online] World Health Organization. Available at: </w:t>
      </w:r>
      <w:r>
        <w:rPr/>
        <w:fldChar w:fldCharType="begin"/>
      </w:r>
      <w:r>
        <w:instrText xml:space="preserve"> HYPERLINK "https://www.who.int/health-topics/quality-of-care" \l "tab=tab_1" </w:instrText>
      </w:r>
      <w:r>
        <w:rPr/>
        <w:fldChar w:fldCharType="separate"/>
      </w:r>
      <w:r>
        <w:rPr>
          <w:color w:val="1155cc"/>
          <w:u w:val="single"/>
        </w:rPr>
        <w:t>https://www.who.int/health-topics/quality-of-care#tab=tab_1</w:t>
      </w:r>
      <w:r>
        <w:rPr/>
        <w:fldChar w:fldCharType="end"/>
      </w:r>
      <w:r>
        <w:t xml:space="preserve"> [Accessed 6 Nov. 2025].</w:t>
      </w:r>
    </w:p>
    <w:p>
      <w:pPr>
        <w:pStyle w:val="style0"/>
        <w:rPr/>
      </w:pPr>
      <w:r>
        <w:t xml:space="preserve">Young, M. and Smith, M. (2022). </w:t>
      </w:r>
      <w:r>
        <w:rPr>
          <w:i/>
        </w:rPr>
        <w:t>Standards And Evaluation Of Healthcare Quality, Safety, and Person Centered Care</w:t>
      </w:r>
      <w:r>
        <w:t xml:space="preserve">. [online] PubMed. Available at: </w:t>
      </w:r>
      <w:r>
        <w:rPr/>
        <w:fldChar w:fldCharType="begin"/>
      </w:r>
      <w:r>
        <w:instrText xml:space="preserve"> HYPERLINK "https://www.ncbi.nlm.nih.gov/books/NBK576432/" </w:instrText>
      </w:r>
      <w:r>
        <w:rPr/>
        <w:fldChar w:fldCharType="separate"/>
      </w:r>
      <w:r>
        <w:rPr>
          <w:color w:val="1155cc"/>
          <w:u w:val="single"/>
        </w:rPr>
        <w:t>https://www.ncbi.nlm.nih.gov/books/NBK576432/</w:t>
      </w:r>
      <w:r>
        <w:rPr/>
        <w:fldChar w:fldCharType="end"/>
      </w:r>
      <w:r>
        <w:t xml:space="preserve"> [Accessed 6 Nov. 2025].</w:t>
      </w:r>
    </w:p>
    <w:sectPr>
      <w:footerReference w:type="default" r:id="rId10"/>
      <w:pgSz w:w="11909" w:h="16834" w:orient="portrait"/>
      <w:pgMar w:top="1440" w:right="1440" w:bottom="1440" w:left="1440" w:header="720" w:footer="720" w:gutter="0"/>
      <w:pgNumType w:start="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decorative"/>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rial">
    <w:altName w:val="Arial"/>
    <w:panose1 w:val="020b0604020002020204"/>
    <w:charset w:val="00"/>
    <w:family w:val="swiss"/>
    <w:pitch w:val="variable"/>
    <w:sig w:usb0="E0002EFF" w:usb1="C000785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 w:name="Cambria Math">
    <w:altName w:val="Cambria Math"/>
    <w:panose1 w:val="02040503050004030204"/>
    <w:charset w:val="00"/>
    <w:family w:val="roman"/>
    <w:pitch w:val="variable"/>
    <w:sig w:usb0="E00006FF" w:usb1="420024FF" w:usb2="02000000" w:usb3="00000000" w:csb0="0000019F" w:csb1="00000000"/>
  </w:font>
  <w:font w:name="Calibri">
    <w:altName w:val="Calibri"/>
    <w:panose1 w:val="020f0502020002030204"/>
    <w:charset w:val="00"/>
    <w:family w:val="swiss"/>
    <w:pitch w:val="variable"/>
    <w:sig w:usb0="E4002EFF" w:usb1="C000ACFF"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jc w:val="right"/>
      <w:rPr/>
    </w:pPr>
    <w:r>
      <w:rPr/>
      <w:fldChar w:fldCharType="begin"/>
    </w:r>
    <w:r>
      <w:instrText>PAGE</w:instrText>
    </w:r>
    <w:r>
      <w:rPr/>
      <w:fldChar w:fldCharType="separate"/>
    </w:r>
    <w:r>
      <w:rPr>
        <w:noProof/>
      </w:rPr>
      <w:t>1</w:t>
    </w:r>
    <w:r>
      <w:rPr/>
      <w:fldChar w:fldCharType="end"/>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853EFC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00000001"/>
    <w:multiLevelType w:val="multilevel"/>
    <w:tmpl w:val="6D863EF6"/>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2">
    <w:nsid w:val="00000002"/>
    <w:multiLevelType w:val="hybridMultilevel"/>
    <w:tmpl w:val="1EE0D0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00000003"/>
    <w:multiLevelType w:val="multilevel"/>
    <w:tmpl w:val="E0E43DC0"/>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4">
    <w:nsid w:val="00000004"/>
    <w:multiLevelType w:val="multilevel"/>
    <w:tmpl w:val="BCC0AF7C"/>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5">
    <w:nsid w:val="00000005"/>
    <w:multiLevelType w:val="hybridMultilevel"/>
    <w:tmpl w:val="C6703E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00000006"/>
    <w:multiLevelType w:val="multilevel"/>
    <w:tmpl w:val="7692561C"/>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7">
    <w:nsid w:val="00000007"/>
    <w:multiLevelType w:val="multilevel"/>
    <w:tmpl w:val="264A51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00000008"/>
    <w:multiLevelType w:val="multilevel"/>
    <w:tmpl w:val="DCCAC594"/>
    <w:lvl w:ilvl="0">
      <w:start w:val="1"/>
      <w:numFmt w:val="bullet"/>
      <w:lvlText w:val="●"/>
      <w:lvlJc w:val="left"/>
      <w:pPr>
        <w:ind w:left="36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00000009"/>
    <w:multiLevelType w:val="multilevel"/>
    <w:tmpl w:val="06426AD8"/>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0">
    <w:nsid w:val="0000000A"/>
    <w:multiLevelType w:val="multilevel"/>
    <w:tmpl w:val="B1EE9E12"/>
    <w:lvl w:ilvl="0">
      <w:start w:val="1"/>
      <w:numFmt w:val="bullet"/>
      <w:lvlText w:val="●"/>
      <w:lvlJc w:val="left"/>
      <w:pPr>
        <w:ind w:left="36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0000000B"/>
    <w:multiLevelType w:val="multilevel"/>
    <w:tmpl w:val="4A60D4F4"/>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2">
    <w:nsid w:val="0000000C"/>
    <w:multiLevelType w:val="multilevel"/>
    <w:tmpl w:val="CDF4A5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8"/>
  </w:num>
  <w:num w:numId="2">
    <w:abstractNumId w:val="6"/>
  </w:num>
  <w:num w:numId="3">
    <w:abstractNumId w:val="12"/>
  </w:num>
  <w:num w:numId="4">
    <w:abstractNumId w:val="9"/>
  </w:num>
  <w:num w:numId="5">
    <w:abstractNumId w:val="7"/>
  </w:num>
  <w:num w:numId="6">
    <w:abstractNumId w:val="3"/>
  </w:num>
  <w:num w:numId="7">
    <w:abstractNumId w:val="4"/>
  </w:num>
  <w:num w:numId="8">
    <w:abstractNumId w:val="11"/>
  </w:num>
  <w:num w:numId="9">
    <w:abstractNumId w:val="1"/>
  </w:num>
  <w:num w:numId="10">
    <w:abstractNumId w:val="10"/>
  </w:num>
  <w:num w:numId="11">
    <w:abstractNumId w:val="5"/>
  </w:num>
  <w:num w:numId="12">
    <w:abstractNumId w:val="2"/>
  </w:num>
  <w:num w:numId="13">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view w:val="web"/>
  <w:zoom w:percent="45"/>
  <w:removePersonalInformation/>
  <w:removeDateAndTime/>
  <w:embedTrueTypeFonts/>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revisionView w:inkAnnotations="f"/>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lang w:val="en-GB" w:bidi="ar-SA" w:eastAsia="en-IN"/>
      </w:rPr>
    </w:rPrDefault>
    <w:pPrDefault>
      <w:pPr>
        <w:spacing w:lineRule="auto" w:line="360"/>
        <w:jc w:val="both"/>
      </w:pPr>
    </w:pPrDefault>
  </w:docDefaults>
  <w:style w:type="paragraph" w:default="1" w:styleId="style0">
    <w:name w:val="Normal"/>
    <w:next w:val="style0"/>
    <w:qFormat/>
    <w:pPr>
      <w:spacing w:before="120" w:after="120"/>
    </w:pPr>
    <w:rPr>
      <w:color w:val="000000"/>
    </w:rPr>
  </w:style>
  <w:style w:type="paragraph" w:styleId="style1">
    <w:name w:val="heading 1"/>
    <w:basedOn w:val="style0"/>
    <w:next w:val="style0"/>
    <w:qFormat/>
    <w:uiPriority w:val="9"/>
    <w:pPr>
      <w:keepNext/>
      <w:keepLines/>
      <w:outlineLvl w:val="0"/>
    </w:pPr>
    <w:rPr>
      <w:b/>
      <w:sz w:val="26"/>
      <w:szCs w:val="26"/>
    </w:rPr>
  </w:style>
  <w:style w:type="paragraph" w:styleId="style2">
    <w:name w:val="heading 2"/>
    <w:basedOn w:val="style0"/>
    <w:next w:val="style0"/>
    <w:qFormat/>
    <w:uiPriority w:val="9"/>
    <w:pPr>
      <w:keepNext/>
      <w:keepLines/>
      <w:outlineLvl w:val="1"/>
    </w:pPr>
    <w:rPr>
      <w:b/>
      <w:sz w:val="24"/>
      <w:szCs w:val="24"/>
    </w:rPr>
  </w:style>
  <w:style w:type="paragraph" w:styleId="style3">
    <w:name w:val="heading 3"/>
    <w:basedOn w:val="style0"/>
    <w:next w:val="style0"/>
    <w:qFormat/>
    <w:uiPriority w:val="9"/>
    <w:pPr>
      <w:keepNext/>
      <w:keepLines/>
      <w:spacing w:before="320" w:after="80"/>
      <w:outlineLvl w:val="2"/>
    </w:pPr>
    <w:rPr>
      <w:color w:val="434343"/>
      <w:sz w:val="28"/>
      <w:szCs w:val="28"/>
    </w:rPr>
  </w:style>
  <w:style w:type="paragraph" w:styleId="style4">
    <w:name w:val="heading 4"/>
    <w:basedOn w:val="style0"/>
    <w:next w:val="style0"/>
    <w:qFormat/>
    <w:uiPriority w:val="9"/>
    <w:pPr>
      <w:keepNext/>
      <w:keepLines/>
      <w:spacing w:before="280" w:after="80"/>
      <w:outlineLvl w:val="3"/>
    </w:pPr>
    <w:rPr>
      <w:color w:val="666666"/>
      <w:sz w:val="24"/>
      <w:szCs w:val="24"/>
    </w:rPr>
  </w:style>
  <w:style w:type="paragraph" w:styleId="style5">
    <w:name w:val="heading 5"/>
    <w:basedOn w:val="style0"/>
    <w:next w:val="style0"/>
    <w:qFormat/>
    <w:uiPriority w:val="9"/>
    <w:pPr>
      <w:keepNext/>
      <w:keepLines/>
      <w:spacing w:before="240" w:after="80"/>
      <w:outlineLvl w:val="4"/>
    </w:pPr>
    <w:rPr>
      <w:color w:val="666666"/>
    </w:rPr>
  </w:style>
  <w:style w:type="paragraph" w:styleId="style6">
    <w:name w:val="heading 6"/>
    <w:basedOn w:val="style0"/>
    <w:next w:val="style0"/>
    <w:qFormat/>
    <w:uiPriority w:val="9"/>
    <w:pPr>
      <w:keepNext/>
      <w:keepLines/>
      <w:spacing w:before="240" w:after="80"/>
      <w:outlineLvl w:val="5"/>
    </w:pPr>
    <w:rPr>
      <w:i/>
      <w:color w:val="66666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qFormat/>
    <w:uiPriority w:val="10"/>
    <w:pPr>
      <w:keepNext/>
      <w:keepLines/>
      <w:spacing w:before="0" w:after="60"/>
    </w:pPr>
    <w:rPr>
      <w:sz w:val="52"/>
      <w:szCs w:val="52"/>
    </w:rPr>
  </w:style>
  <w:style w:type="paragraph" w:styleId="style74">
    <w:name w:val="Subtitle"/>
    <w:basedOn w:val="style0"/>
    <w:next w:val="style0"/>
    <w:qFormat/>
    <w:uiPriority w:val="11"/>
    <w:pPr>
      <w:keepNext/>
      <w:keepLines/>
      <w:spacing w:before="0" w:after="320"/>
    </w:pPr>
    <w:rPr>
      <w:color w:val="666666"/>
      <w:sz w:val="30"/>
      <w:szCs w:val="30"/>
    </w:rPr>
  </w:style>
  <w:style w:type="table" w:customStyle="1" w:styleId="style4098">
    <w:basedOn w:val="style4097"/>
    <w:next w:val="style4098"/>
    <w:pPr/>
    <w:rPr/>
    <w:tblPr>
      <w:tblStyleRowBandSize w:val="1"/>
      <w:tblStyleColBandSize w:val="1"/>
    </w:tblPr>
    <w:tcPr>
      <w:tcBorders/>
    </w:tcPr>
  </w:style>
  <w:style w:type="table" w:customStyle="1" w:styleId="style4099">
    <w:basedOn w:val="style4097"/>
    <w:next w:val="style4099"/>
    <w:pPr/>
    <w:rPr/>
    <w:tblPr>
      <w:tblStyleRowBandSize w:val="1"/>
      <w:tblStyleColBandSize w:val="1"/>
    </w:tblPr>
    <w:tcPr>
      <w:tcBorders/>
    </w:tc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character" w:styleId="style85">
    <w:name w:val="Hyperlink"/>
    <w:basedOn w:val="style65"/>
    <w:next w:val="style85"/>
    <w:uiPriority w:val="99"/>
    <w:rPr>
      <w:color w:val="0000ff"/>
      <w:u w:val="single"/>
    </w:rPr>
  </w:style>
  <w:style w:type="paragraph" w:styleId="style31">
    <w:name w:val="header"/>
    <w:basedOn w:val="style0"/>
    <w:next w:val="style31"/>
    <w:link w:val="style4100"/>
    <w:uiPriority w:val="99"/>
    <w:pPr>
      <w:tabs>
        <w:tab w:val="center" w:leader="none" w:pos="4513"/>
        <w:tab w:val="right" w:leader="none" w:pos="9026"/>
      </w:tabs>
      <w:spacing w:before="0" w:after="0" w:lineRule="auto" w:line="240"/>
    </w:pPr>
    <w:rPr/>
  </w:style>
  <w:style w:type="character" w:customStyle="1" w:styleId="style4100">
    <w:name w:val="Header Char_e202a84a-ddd7-4755-bbb3-45c5ff541acb"/>
    <w:basedOn w:val="style65"/>
    <w:next w:val="style4100"/>
    <w:link w:val="style31"/>
    <w:uiPriority w:val="99"/>
    <w:rPr>
      <w:color w:val="000000"/>
    </w:rPr>
  </w:style>
  <w:style w:type="paragraph" w:styleId="style32">
    <w:name w:val="footer"/>
    <w:basedOn w:val="style0"/>
    <w:next w:val="style32"/>
    <w:link w:val="style4101"/>
    <w:uiPriority w:val="99"/>
    <w:pPr>
      <w:tabs>
        <w:tab w:val="center" w:leader="none" w:pos="4513"/>
        <w:tab w:val="right" w:leader="none" w:pos="9026"/>
      </w:tabs>
      <w:spacing w:before="0" w:after="0" w:lineRule="auto" w:line="240"/>
    </w:pPr>
    <w:rPr/>
  </w:style>
  <w:style w:type="character" w:customStyle="1" w:styleId="style4101">
    <w:name w:val="Footer Char_4d8dfdaf-da20-4eaf-a50f-d7391381268d"/>
    <w:basedOn w:val="style65"/>
    <w:next w:val="style4101"/>
    <w:link w:val="style32"/>
    <w:uiPriority w:val="99"/>
    <w:rPr>
      <w:color w:val="000000"/>
    </w:rPr>
  </w:style>
  <w:style w:type="paragraph" w:styleId="style179">
    <w:name w:val="List Paragraph"/>
    <w:basedOn w:val="style0"/>
    <w:next w:val="style179"/>
    <w:qFormat/>
    <w:uiPriority w:val="34"/>
    <w:pPr>
      <w:ind w:left="720"/>
      <w:contextualSpacing/>
    </w:pPr>
    <w:rPr/>
  </w:style>
  <w:style w:type="character" w:customStyle="1" w:styleId="style4102">
    <w:name w:val="Unresolved Mention"/>
    <w:basedOn w:val="style65"/>
    <w:next w:val="style4102"/>
    <w:uiPriority w:val="99"/>
    <w:rPr>
      <w:color w:val="605e5c"/>
      <w:shd w:val="clear" w:color="auto" w:fill="e1dfdd"/>
    </w:rPr>
  </w:style>
  <w:style w:type="paragraph" w:styleId="style94">
    <w:name w:val="Normal (Web)"/>
    <w:basedOn w:val="style0"/>
    <w:next w:val="style94"/>
    <w:uiPriority w:val="99"/>
    <w:pPr>
      <w:spacing w:before="100" w:beforeAutospacing="true" w:after="100" w:afterAutospacing="true" w:lineRule="auto" w:line="240"/>
      <w:jc w:val="left"/>
    </w:pPr>
    <w:rPr>
      <w:rFonts w:ascii="Times New Roman" w:cs="Times New Roman" w:eastAsia="宋体" w:hAnsi="Times New Roman"/>
      <w:color w:val="auto"/>
      <w:sz w:val="24"/>
      <w:szCs w:val="24"/>
      <w:lang w:val="en-IN" w:eastAsia="en-US"/>
    </w:rPr>
  </w:style>
</w:styles>
</file>

<file path=word/_rels/document.xml.rels><?xml version="1.0" encoding="UTF-8"?>
<Relationships xmlns="http://schemas.openxmlformats.org/package/2006/relationships"><Relationship Id="rId11" Type="http://schemas.openxmlformats.org/officeDocument/2006/relationships/styles" Target="styles.xml"/><Relationship Id="rId10" Type="http://schemas.openxmlformats.org/officeDocument/2006/relationships/footer" Target="footer1.xml"/><Relationship Id="rId13" Type="http://schemas.openxmlformats.org/officeDocument/2006/relationships/settings" Target="settings.xml"/><Relationship Id="rId12"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image" Target="media/image5.png"/><Relationship Id="rId14" Type="http://schemas.openxmlformats.org/officeDocument/2006/relationships/theme" Target="theme/theme1.xml"/><Relationship Id="rId5" Type="http://schemas.openxmlformats.org/officeDocument/2006/relationships/image" Target="media/image2.jpeg"/><Relationship Id="rId6" Type="http://schemas.openxmlformats.org/officeDocument/2006/relationships/image" Target="media/image4.png"/><Relationship Id="rId7" Type="http://schemas.openxmlformats.org/officeDocument/2006/relationships/image" Target="media/image3.jpeg"/><Relationship Id="rId8"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Words>4109</Words>
  <Pages>1</Pages>
  <Characters>25910</Characters>
  <Application>WPS Office</Application>
  <DocSecurity>0</DocSecurity>
  <Paragraphs>216</Paragraphs>
  <ScaleCrop>false</ScaleCrop>
  <LinksUpToDate>false</LinksUpToDate>
  <CharactersWithSpaces>29856</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2025-11-06T15:55:00Z</dcterms:created>
  <dc:creator>WPS Office</dc:creator>
  <lastModifiedBy>TECNO KI5q</lastModifiedBy>
  <dcterms:modified xsi:type="dcterms:W3CDTF">2025-11-11T14:13:33Z</dcterms:modified>
  <revision>1</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42aa0309f8b54f1aa98219dede7e19b9</vt:lpwstr>
  </property>
</Properties>
</file>