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EE6EC" w14:textId="27D296DA" w:rsidR="006D3A3A" w:rsidRDefault="006D3A3A" w:rsidP="006D3A3A">
      <w:pPr>
        <w:spacing w:line="360" w:lineRule="auto"/>
        <w:jc w:val="center"/>
        <w:rPr>
          <w:rFonts w:ascii="Arial" w:hAnsi="Arial" w:cs="Arial"/>
          <w:b/>
          <w:sz w:val="40"/>
          <w:szCs w:val="40"/>
        </w:rPr>
      </w:pPr>
      <w:r w:rsidRPr="006D3A3A">
        <w:rPr>
          <w:rFonts w:ascii="Arial" w:hAnsi="Arial" w:cs="Arial"/>
          <w:b/>
          <w:sz w:val="40"/>
          <w:szCs w:val="40"/>
        </w:rPr>
        <w:t>University of Wales Trinity Saint David</w:t>
      </w:r>
    </w:p>
    <w:p w14:paraId="079D72EB" w14:textId="364B7A60" w:rsidR="006D3A3A" w:rsidRDefault="006643CB" w:rsidP="006D3A3A">
      <w:pPr>
        <w:spacing w:line="360" w:lineRule="auto"/>
        <w:jc w:val="center"/>
        <w:rPr>
          <w:rFonts w:ascii="Arial" w:hAnsi="Arial" w:cs="Arial"/>
          <w:b/>
          <w:sz w:val="32"/>
          <w:szCs w:val="32"/>
        </w:rPr>
      </w:pPr>
      <w:r w:rsidRPr="001939AF">
        <w:rPr>
          <w:rFonts w:ascii="Arial" w:hAnsi="Arial" w:cs="Arial"/>
          <w:b/>
          <w:sz w:val="32"/>
          <w:szCs w:val="32"/>
        </w:rPr>
        <w:t>Community Engagemen</w:t>
      </w:r>
      <w:r w:rsidR="001939AF">
        <w:rPr>
          <w:rFonts w:ascii="Arial" w:hAnsi="Arial" w:cs="Arial"/>
          <w:b/>
          <w:sz w:val="32"/>
          <w:szCs w:val="32"/>
        </w:rPr>
        <w:t>t</w:t>
      </w:r>
    </w:p>
    <w:p w14:paraId="5C6FB500" w14:textId="51E10B7D" w:rsidR="001939AF" w:rsidRDefault="001939AF" w:rsidP="006D3A3A">
      <w:pPr>
        <w:spacing w:line="360" w:lineRule="auto"/>
        <w:jc w:val="center"/>
        <w:rPr>
          <w:rFonts w:ascii="Arial" w:hAnsi="Arial" w:cs="Arial"/>
          <w:b/>
          <w:sz w:val="32"/>
          <w:szCs w:val="32"/>
        </w:rPr>
      </w:pPr>
      <w:r>
        <w:rPr>
          <w:rFonts w:ascii="Arial" w:hAnsi="Arial" w:cs="Arial"/>
          <w:b/>
          <w:sz w:val="32"/>
          <w:szCs w:val="32"/>
        </w:rPr>
        <w:t>LCBB</w:t>
      </w:r>
      <w:r w:rsidR="005012CF">
        <w:rPr>
          <w:rFonts w:ascii="Arial" w:hAnsi="Arial" w:cs="Arial"/>
          <w:b/>
          <w:sz w:val="32"/>
          <w:szCs w:val="32"/>
        </w:rPr>
        <w:t>4002_</w:t>
      </w:r>
      <w:r w:rsidR="00743B37">
        <w:rPr>
          <w:rFonts w:ascii="Arial" w:hAnsi="Arial" w:cs="Arial"/>
          <w:b/>
          <w:sz w:val="32"/>
          <w:szCs w:val="32"/>
        </w:rPr>
        <w:t>BIRM</w:t>
      </w:r>
    </w:p>
    <w:p w14:paraId="4A0266F9" w14:textId="77777777" w:rsidR="00743B37" w:rsidRDefault="00743B37" w:rsidP="006D3A3A">
      <w:pPr>
        <w:spacing w:line="360" w:lineRule="auto"/>
        <w:jc w:val="center"/>
        <w:rPr>
          <w:rFonts w:ascii="Arial" w:hAnsi="Arial" w:cs="Arial"/>
          <w:b/>
          <w:sz w:val="32"/>
          <w:szCs w:val="32"/>
        </w:rPr>
      </w:pPr>
    </w:p>
    <w:p w14:paraId="6A028A2D" w14:textId="77777777" w:rsidR="00743B37" w:rsidRDefault="00743B37" w:rsidP="006D3A3A">
      <w:pPr>
        <w:spacing w:line="360" w:lineRule="auto"/>
        <w:jc w:val="center"/>
        <w:rPr>
          <w:rFonts w:ascii="Arial" w:hAnsi="Arial" w:cs="Arial"/>
          <w:b/>
          <w:sz w:val="32"/>
          <w:szCs w:val="32"/>
        </w:rPr>
      </w:pPr>
    </w:p>
    <w:p w14:paraId="6DFE39F3" w14:textId="77777777" w:rsidR="00743B37" w:rsidRDefault="00743B37" w:rsidP="006D3A3A">
      <w:pPr>
        <w:spacing w:line="360" w:lineRule="auto"/>
        <w:jc w:val="center"/>
        <w:rPr>
          <w:rFonts w:ascii="Arial" w:hAnsi="Arial" w:cs="Arial"/>
          <w:b/>
          <w:sz w:val="32"/>
          <w:szCs w:val="32"/>
        </w:rPr>
      </w:pPr>
    </w:p>
    <w:p w14:paraId="62372931" w14:textId="77777777" w:rsidR="00743B37" w:rsidRDefault="00743B37" w:rsidP="006D3A3A">
      <w:pPr>
        <w:spacing w:line="360" w:lineRule="auto"/>
        <w:jc w:val="center"/>
        <w:rPr>
          <w:rFonts w:ascii="Arial" w:hAnsi="Arial" w:cs="Arial"/>
          <w:b/>
          <w:sz w:val="32"/>
          <w:szCs w:val="32"/>
        </w:rPr>
      </w:pPr>
    </w:p>
    <w:p w14:paraId="616BDFAF" w14:textId="550812A7" w:rsidR="00743B37" w:rsidRDefault="00F70776" w:rsidP="006D3A3A">
      <w:pPr>
        <w:spacing w:line="360" w:lineRule="auto"/>
        <w:jc w:val="center"/>
        <w:rPr>
          <w:rFonts w:ascii="Arial" w:hAnsi="Arial" w:cs="Arial"/>
          <w:b/>
          <w:sz w:val="36"/>
          <w:szCs w:val="36"/>
        </w:rPr>
      </w:pPr>
      <w:r w:rsidRPr="00F70776">
        <w:rPr>
          <w:rFonts w:ascii="Arial" w:hAnsi="Arial" w:cs="Arial"/>
          <w:b/>
          <w:sz w:val="36"/>
          <w:szCs w:val="36"/>
        </w:rPr>
        <w:t>Reflective Report</w:t>
      </w:r>
    </w:p>
    <w:p w14:paraId="35A35403" w14:textId="77777777" w:rsidR="00F70776" w:rsidRDefault="00F70776" w:rsidP="006D3A3A">
      <w:pPr>
        <w:spacing w:line="360" w:lineRule="auto"/>
        <w:jc w:val="center"/>
        <w:rPr>
          <w:rFonts w:ascii="Arial" w:hAnsi="Arial" w:cs="Arial"/>
          <w:b/>
          <w:sz w:val="36"/>
          <w:szCs w:val="36"/>
        </w:rPr>
      </w:pPr>
    </w:p>
    <w:p w14:paraId="43944E67" w14:textId="77777777" w:rsidR="00F70776" w:rsidRDefault="00F70776" w:rsidP="006D3A3A">
      <w:pPr>
        <w:spacing w:line="360" w:lineRule="auto"/>
        <w:jc w:val="center"/>
        <w:rPr>
          <w:rFonts w:ascii="Arial" w:hAnsi="Arial" w:cs="Arial"/>
          <w:b/>
          <w:sz w:val="36"/>
          <w:szCs w:val="36"/>
        </w:rPr>
      </w:pPr>
    </w:p>
    <w:p w14:paraId="68D83A83" w14:textId="77777777" w:rsidR="00F70776" w:rsidRDefault="00F70776" w:rsidP="006D3A3A">
      <w:pPr>
        <w:spacing w:line="360" w:lineRule="auto"/>
        <w:jc w:val="center"/>
        <w:rPr>
          <w:rFonts w:ascii="Arial" w:hAnsi="Arial" w:cs="Arial"/>
          <w:b/>
          <w:sz w:val="36"/>
          <w:szCs w:val="36"/>
        </w:rPr>
      </w:pPr>
    </w:p>
    <w:p w14:paraId="0846E723" w14:textId="77777777" w:rsidR="00F70776" w:rsidRDefault="00F70776" w:rsidP="006D3A3A">
      <w:pPr>
        <w:spacing w:line="360" w:lineRule="auto"/>
        <w:jc w:val="center"/>
        <w:rPr>
          <w:rFonts w:ascii="Arial" w:hAnsi="Arial" w:cs="Arial"/>
          <w:b/>
          <w:sz w:val="36"/>
          <w:szCs w:val="36"/>
        </w:rPr>
      </w:pPr>
    </w:p>
    <w:p w14:paraId="4D22C24E" w14:textId="77777777" w:rsidR="00F70776" w:rsidRDefault="00F70776" w:rsidP="006D3A3A">
      <w:pPr>
        <w:spacing w:line="360" w:lineRule="auto"/>
        <w:jc w:val="center"/>
        <w:rPr>
          <w:rFonts w:ascii="Arial" w:hAnsi="Arial" w:cs="Arial"/>
          <w:b/>
          <w:sz w:val="36"/>
          <w:szCs w:val="36"/>
        </w:rPr>
      </w:pPr>
    </w:p>
    <w:p w14:paraId="1236FEE8" w14:textId="77777777" w:rsidR="00F70776" w:rsidRDefault="00F70776" w:rsidP="006D3A3A">
      <w:pPr>
        <w:spacing w:line="360" w:lineRule="auto"/>
        <w:jc w:val="center"/>
        <w:rPr>
          <w:rFonts w:ascii="Arial" w:hAnsi="Arial" w:cs="Arial"/>
          <w:b/>
          <w:sz w:val="36"/>
          <w:szCs w:val="36"/>
        </w:rPr>
      </w:pPr>
    </w:p>
    <w:p w14:paraId="70AE62AC" w14:textId="77777777" w:rsidR="00F70776" w:rsidRDefault="00F70776" w:rsidP="006D3A3A">
      <w:pPr>
        <w:spacing w:line="360" w:lineRule="auto"/>
        <w:jc w:val="center"/>
        <w:rPr>
          <w:rFonts w:ascii="Arial" w:hAnsi="Arial" w:cs="Arial"/>
          <w:b/>
          <w:sz w:val="36"/>
          <w:szCs w:val="36"/>
        </w:rPr>
      </w:pPr>
    </w:p>
    <w:p w14:paraId="0ACCE0F7" w14:textId="77777777" w:rsidR="00F70776" w:rsidRDefault="00F70776" w:rsidP="006D3A3A">
      <w:pPr>
        <w:spacing w:line="360" w:lineRule="auto"/>
        <w:jc w:val="center"/>
        <w:rPr>
          <w:rFonts w:ascii="Arial" w:hAnsi="Arial" w:cs="Arial"/>
          <w:b/>
          <w:sz w:val="36"/>
          <w:szCs w:val="36"/>
        </w:rPr>
      </w:pPr>
    </w:p>
    <w:p w14:paraId="3CC5F8AE" w14:textId="19A6D20F" w:rsidR="00F70776" w:rsidRDefault="00F70776" w:rsidP="00F70776">
      <w:pPr>
        <w:spacing w:line="360" w:lineRule="auto"/>
        <w:rPr>
          <w:rFonts w:ascii="Arial" w:hAnsi="Arial" w:cs="Arial"/>
          <w:b/>
          <w:sz w:val="28"/>
          <w:szCs w:val="28"/>
        </w:rPr>
      </w:pPr>
      <w:r w:rsidRPr="00A61F31">
        <w:rPr>
          <w:rFonts w:ascii="Arial" w:hAnsi="Arial" w:cs="Arial"/>
          <w:b/>
          <w:sz w:val="28"/>
          <w:szCs w:val="28"/>
        </w:rPr>
        <w:t xml:space="preserve">Simona </w:t>
      </w:r>
      <w:proofErr w:type="spellStart"/>
      <w:r w:rsidRPr="00A61F31">
        <w:rPr>
          <w:rFonts w:ascii="Arial" w:hAnsi="Arial" w:cs="Arial"/>
          <w:b/>
          <w:sz w:val="28"/>
          <w:szCs w:val="28"/>
        </w:rPr>
        <w:t>Borislavova</w:t>
      </w:r>
      <w:proofErr w:type="spellEnd"/>
      <w:r w:rsidR="00A61F31">
        <w:rPr>
          <w:rFonts w:ascii="Arial" w:hAnsi="Arial" w:cs="Arial"/>
          <w:b/>
          <w:sz w:val="28"/>
          <w:szCs w:val="28"/>
        </w:rPr>
        <w:t xml:space="preserve">                                                    Dr. Olu Adegbite</w:t>
      </w:r>
    </w:p>
    <w:p w14:paraId="3E444941" w14:textId="69F8B3EC" w:rsidR="004B7AD3" w:rsidRPr="00A61F31" w:rsidRDefault="004B7AD3" w:rsidP="00F70776">
      <w:pPr>
        <w:spacing w:line="360" w:lineRule="auto"/>
        <w:rPr>
          <w:rFonts w:ascii="Arial" w:hAnsi="Arial" w:cs="Arial"/>
          <w:b/>
          <w:sz w:val="28"/>
          <w:szCs w:val="28"/>
        </w:rPr>
      </w:pPr>
      <w:r>
        <w:rPr>
          <w:rFonts w:ascii="Arial" w:hAnsi="Arial" w:cs="Arial"/>
          <w:b/>
          <w:sz w:val="28"/>
          <w:szCs w:val="28"/>
        </w:rPr>
        <w:t>2114175</w:t>
      </w:r>
    </w:p>
    <w:p w14:paraId="730E43B3" w14:textId="5C179ABC" w:rsidR="00F70776" w:rsidRDefault="006D3A3A">
      <w:pPr>
        <w:rPr>
          <w:rFonts w:ascii="Arial" w:hAnsi="Arial" w:cs="Arial"/>
          <w:b/>
          <w:sz w:val="24"/>
          <w:szCs w:val="24"/>
        </w:rPr>
      </w:pPr>
      <w:r>
        <w:rPr>
          <w:rFonts w:ascii="Arial" w:hAnsi="Arial" w:cs="Arial"/>
          <w:b/>
          <w:sz w:val="24"/>
          <w:szCs w:val="24"/>
        </w:rPr>
        <w:br w:type="page"/>
      </w:r>
    </w:p>
    <w:p w14:paraId="64737207" w14:textId="711DAAD2" w:rsidR="008731DE" w:rsidRPr="004A6E56" w:rsidRDefault="003C2859" w:rsidP="004A6E56">
      <w:pPr>
        <w:spacing w:line="360" w:lineRule="auto"/>
        <w:jc w:val="both"/>
        <w:rPr>
          <w:rFonts w:ascii="Arial" w:hAnsi="Arial" w:cs="Arial"/>
          <w:b/>
          <w:sz w:val="24"/>
          <w:szCs w:val="24"/>
        </w:rPr>
      </w:pPr>
      <w:r w:rsidRPr="004A6E56">
        <w:rPr>
          <w:rFonts w:ascii="Arial" w:hAnsi="Arial" w:cs="Arial"/>
          <w:b/>
          <w:sz w:val="24"/>
          <w:szCs w:val="24"/>
        </w:rPr>
        <w:lastRenderedPageBreak/>
        <w:t>Introduction:</w:t>
      </w:r>
    </w:p>
    <w:p w14:paraId="64737208" w14:textId="77777777" w:rsidR="008D55D9" w:rsidRPr="004B7AD3" w:rsidRDefault="003C2859" w:rsidP="004A6E56">
      <w:pPr>
        <w:spacing w:line="360" w:lineRule="auto"/>
        <w:jc w:val="both"/>
        <w:rPr>
          <w:rFonts w:ascii="Arial" w:hAnsi="Arial" w:cs="Arial"/>
        </w:rPr>
      </w:pPr>
      <w:r w:rsidRPr="004B7AD3">
        <w:rPr>
          <w:rFonts w:ascii="Arial" w:hAnsi="Arial" w:cs="Arial"/>
        </w:rPr>
        <w:t xml:space="preserve">It's impossible to dispute the importance of reflection in one's profession. Reflection and the </w:t>
      </w:r>
      <w:r w:rsidR="008D55D9" w:rsidRPr="004B7AD3">
        <w:rPr>
          <w:rFonts w:ascii="Arial" w:hAnsi="Arial" w:cs="Arial"/>
        </w:rPr>
        <w:t>practice</w:t>
      </w:r>
      <w:r w:rsidRPr="004B7AD3">
        <w:rPr>
          <w:rFonts w:ascii="Arial" w:hAnsi="Arial" w:cs="Arial"/>
        </w:rPr>
        <w:t xml:space="preserve"> of reflection are, nonetheless, concepts that are up for debate. It's an approach that helps individuals become conscious of their tacit body of knowledge and benefits from their experience, according to Dewey's definition of reflection as "thinking about thinking." Reflection, according to Johns in Becoming</w:t>
      </w:r>
      <w:r w:rsidR="008D55D9" w:rsidRPr="004B7AD3">
        <w:rPr>
          <w:rFonts w:ascii="Arial" w:hAnsi="Arial" w:cs="Arial"/>
        </w:rPr>
        <w:t xml:space="preserve"> a Reflective Practitioner, is:</w:t>
      </w:r>
    </w:p>
    <w:p w14:paraId="64737209" w14:textId="77777777" w:rsidR="003C2859" w:rsidRPr="004B7AD3" w:rsidRDefault="003C2859" w:rsidP="004A6E56">
      <w:pPr>
        <w:spacing w:line="360" w:lineRule="auto"/>
        <w:jc w:val="both"/>
        <w:rPr>
          <w:rFonts w:ascii="Arial" w:hAnsi="Arial" w:cs="Arial"/>
        </w:rPr>
      </w:pPr>
      <w:r w:rsidRPr="004B7AD3">
        <w:rPr>
          <w:rFonts w:ascii="Arial" w:hAnsi="Arial" w:cs="Arial"/>
        </w:rPr>
        <w:t xml:space="preserve">As though a pane through which the practitioners can view and focus on self within the context of a certain experience, being attentive of one's own identity can help practitioners confront, comprehend and move towards resolving the discrepancy between their vision and their actual </w:t>
      </w:r>
      <w:r w:rsidR="008D55D9" w:rsidRPr="004B7AD3">
        <w:rPr>
          <w:rFonts w:ascii="Arial" w:hAnsi="Arial" w:cs="Arial"/>
        </w:rPr>
        <w:t>practice</w:t>
      </w:r>
      <w:r w:rsidRPr="004B7AD3">
        <w:rPr>
          <w:rFonts w:ascii="Arial" w:hAnsi="Arial" w:cs="Arial"/>
        </w:rPr>
        <w:t xml:space="preserve">. The professional can gain valuable knowledge into self and be </w:t>
      </w:r>
      <w:r w:rsidR="008D55D9" w:rsidRPr="004B7AD3">
        <w:rPr>
          <w:rFonts w:ascii="Arial" w:hAnsi="Arial" w:cs="Arial"/>
        </w:rPr>
        <w:t>energized</w:t>
      </w:r>
      <w:r w:rsidRPr="004B7AD3">
        <w:rPr>
          <w:rFonts w:ascii="Arial" w:hAnsi="Arial" w:cs="Arial"/>
        </w:rPr>
        <w:t xml:space="preserve"> to respond more ways that are consistent in future interactions through the conflict of inconsistency, the commitment to </w:t>
      </w:r>
      <w:r w:rsidR="008D55D9" w:rsidRPr="004B7AD3">
        <w:rPr>
          <w:rFonts w:ascii="Arial" w:hAnsi="Arial" w:cs="Arial"/>
        </w:rPr>
        <w:t>realize</w:t>
      </w:r>
      <w:r w:rsidRPr="004B7AD3">
        <w:rPr>
          <w:rFonts w:ascii="Arial" w:hAnsi="Arial" w:cs="Arial"/>
        </w:rPr>
        <w:t xml:space="preserve"> one's vision and comprehension why items are as they are, through an instinctive spiral toward the developing common sense and </w:t>
      </w:r>
      <w:r w:rsidR="008D55D9" w:rsidRPr="004B7AD3">
        <w:rPr>
          <w:rFonts w:ascii="Arial" w:hAnsi="Arial" w:cs="Arial"/>
        </w:rPr>
        <w:t>realizing</w:t>
      </w:r>
      <w:r w:rsidRPr="004B7AD3">
        <w:rPr>
          <w:rFonts w:ascii="Arial" w:hAnsi="Arial" w:cs="Arial"/>
        </w:rPr>
        <w:t xml:space="preserve"> one's vision as a daily experience. Some practitioners require assistance in order to get beyond obstacles or get the confidence to act on what they have learned</w:t>
      </w:r>
      <w:r w:rsidR="00590ADE" w:rsidRPr="004B7AD3">
        <w:rPr>
          <w:rFonts w:ascii="Arial" w:hAnsi="Arial" w:cs="Arial"/>
        </w:rPr>
        <w:t>.</w:t>
      </w:r>
      <w:r w:rsidRPr="004B7AD3">
        <w:rPr>
          <w:rFonts w:ascii="Arial" w:hAnsi="Arial" w:cs="Arial"/>
        </w:rPr>
        <w:t>"</w:t>
      </w:r>
      <w:r w:rsidR="00590ADE" w:rsidRPr="004B7AD3">
        <w:rPr>
          <w:rFonts w:ascii="Arial" w:hAnsi="Arial" w:cs="Arial"/>
        </w:rPr>
        <w:t xml:space="preserve"> </w:t>
      </w:r>
      <w:sdt>
        <w:sdtPr>
          <w:rPr>
            <w:rFonts w:ascii="Arial" w:hAnsi="Arial" w:cs="Arial"/>
          </w:rPr>
          <w:id w:val="557133336"/>
          <w:citation/>
        </w:sdtPr>
        <w:sdtEndPr/>
        <w:sdtContent>
          <w:r w:rsidR="00590ADE" w:rsidRPr="004B7AD3">
            <w:rPr>
              <w:rFonts w:ascii="Arial" w:hAnsi="Arial" w:cs="Arial"/>
            </w:rPr>
            <w:fldChar w:fldCharType="begin"/>
          </w:r>
          <w:r w:rsidR="00590ADE" w:rsidRPr="004B7AD3">
            <w:rPr>
              <w:rFonts w:ascii="Arial" w:hAnsi="Arial" w:cs="Arial"/>
            </w:rPr>
            <w:instrText xml:space="preserve"> CITATION Tra22 \l 1033 </w:instrText>
          </w:r>
          <w:r w:rsidR="00590ADE" w:rsidRPr="004B7AD3">
            <w:rPr>
              <w:rFonts w:ascii="Arial" w:hAnsi="Arial" w:cs="Arial"/>
            </w:rPr>
            <w:fldChar w:fldCharType="separate"/>
          </w:r>
          <w:r w:rsidR="00590ADE" w:rsidRPr="004B7AD3">
            <w:rPr>
              <w:rFonts w:ascii="Arial" w:hAnsi="Arial" w:cs="Arial"/>
              <w:noProof/>
            </w:rPr>
            <w:t>(Smith, n.d.)</w:t>
          </w:r>
          <w:r w:rsidR="00590ADE" w:rsidRPr="004B7AD3">
            <w:rPr>
              <w:rFonts w:ascii="Arial" w:hAnsi="Arial" w:cs="Arial"/>
            </w:rPr>
            <w:fldChar w:fldCharType="end"/>
          </w:r>
        </w:sdtContent>
      </w:sdt>
    </w:p>
    <w:p w14:paraId="6473720A" w14:textId="77777777" w:rsidR="008D55D9" w:rsidRPr="004A6E56" w:rsidRDefault="008D55D9" w:rsidP="004A6E56">
      <w:pPr>
        <w:spacing w:line="360" w:lineRule="auto"/>
        <w:jc w:val="both"/>
        <w:rPr>
          <w:rFonts w:ascii="Arial" w:hAnsi="Arial" w:cs="Arial"/>
          <w:b/>
          <w:sz w:val="24"/>
          <w:szCs w:val="24"/>
        </w:rPr>
      </w:pPr>
      <w:r w:rsidRPr="004A6E56">
        <w:rPr>
          <w:rFonts w:ascii="Arial" w:hAnsi="Arial" w:cs="Arial"/>
          <w:b/>
          <w:sz w:val="24"/>
          <w:szCs w:val="24"/>
        </w:rPr>
        <w:t>Types of reflection:</w:t>
      </w:r>
    </w:p>
    <w:p w14:paraId="6473720B" w14:textId="77777777" w:rsidR="008D55D9" w:rsidRPr="004B7AD3" w:rsidRDefault="008D55D9" w:rsidP="004A6E56">
      <w:pPr>
        <w:spacing w:line="360" w:lineRule="auto"/>
        <w:jc w:val="both"/>
        <w:rPr>
          <w:rFonts w:ascii="Arial" w:hAnsi="Arial" w:cs="Arial"/>
        </w:rPr>
      </w:pPr>
      <w:r w:rsidRPr="004B7AD3">
        <w:rPr>
          <w:rFonts w:ascii="Arial" w:hAnsi="Arial" w:cs="Arial"/>
        </w:rPr>
        <w:t>Reflective practice is a crucial 'tool' for professionals who encounter circumstances that can't be solved using only technical reasoning techniques in the performance of everyday practice. To be able to engage in reflective practice, a professional must be able to observe, comprehend, and appreciate the viewpoints of their own activity in order to advance their professional prospects. In Shon’s view, there are two kinds of reflective practice: reflection-in-action and reflection-in-action. While an event is taking place, the individual participating in reflection-in-action reflects on their own behavior in order to improve the next steps they take. At the start of my work at the substance abuse center, I would frequently turn to this form of self-reflection. While attempting to educate others about the dangers of substance abuse, I conducted an evaluation of my own performance to see how I could do it better. Every word I spoke had to be perfectly timed and my gestures, voice tone, and intonation had to be perfected so that I could develop a relationship with my clients and impact their perception of the situation. When I was in that circumstance, I had to play the supervisor and do everything in my power to prove my worth.</w:t>
      </w:r>
    </w:p>
    <w:p w14:paraId="6473720C" w14:textId="77777777" w:rsidR="008D55D9" w:rsidRPr="004B7AD3" w:rsidRDefault="008D55D9" w:rsidP="004A6E56">
      <w:pPr>
        <w:spacing w:line="360" w:lineRule="auto"/>
        <w:jc w:val="both"/>
        <w:rPr>
          <w:rFonts w:ascii="Arial" w:hAnsi="Arial" w:cs="Arial"/>
        </w:rPr>
      </w:pPr>
      <w:r w:rsidRPr="004B7AD3">
        <w:rPr>
          <w:rFonts w:ascii="Arial" w:hAnsi="Arial" w:cs="Arial"/>
        </w:rPr>
        <w:t xml:space="preserve">Reflection on actions is another sort of reflection. After the occurrence, the individual </w:t>
      </w:r>
      <w:proofErr w:type="gramStart"/>
      <w:r w:rsidRPr="004B7AD3">
        <w:rPr>
          <w:rFonts w:ascii="Arial" w:hAnsi="Arial" w:cs="Arial"/>
        </w:rPr>
        <w:t>has the opportunity to</w:t>
      </w:r>
      <w:proofErr w:type="gramEnd"/>
      <w:r w:rsidRPr="004B7AD3">
        <w:rPr>
          <w:rFonts w:ascii="Arial" w:hAnsi="Arial" w:cs="Arial"/>
        </w:rPr>
        <w:t xml:space="preserve"> reflect on, describe, analyses, and assess the circumstances. In this way, he or she will be able to better his or her future practice. In contrast to the first form of contemplation, this one occurs more frequently, due to the lack of instant access to time or space to do so.</w:t>
      </w:r>
    </w:p>
    <w:p w14:paraId="6473720D" w14:textId="77777777" w:rsidR="008D55D9" w:rsidRPr="004B7AD3" w:rsidRDefault="008D55D9" w:rsidP="004A6E56">
      <w:pPr>
        <w:spacing w:line="360" w:lineRule="auto"/>
        <w:jc w:val="both"/>
        <w:rPr>
          <w:rFonts w:ascii="Arial" w:hAnsi="Arial" w:cs="Arial"/>
        </w:rPr>
      </w:pPr>
      <w:r w:rsidRPr="004B7AD3">
        <w:rPr>
          <w:rFonts w:ascii="Arial" w:hAnsi="Arial" w:cs="Arial"/>
        </w:rPr>
        <w:lastRenderedPageBreak/>
        <w:t xml:space="preserve">According to Shon, there are three main stages in the process of self-reflection. Knowledge used </w:t>
      </w:r>
      <w:proofErr w:type="gramStart"/>
      <w:r w:rsidRPr="004B7AD3">
        <w:rPr>
          <w:rFonts w:ascii="Arial" w:hAnsi="Arial" w:cs="Arial"/>
        </w:rPr>
        <w:t>in a given</w:t>
      </w:r>
      <w:proofErr w:type="gramEnd"/>
      <w:r w:rsidRPr="004B7AD3">
        <w:rPr>
          <w:rFonts w:ascii="Arial" w:hAnsi="Arial" w:cs="Arial"/>
        </w:rPr>
        <w:t xml:space="preserve"> circumstance was not adequate to explain what had happened, and this is the first stage. The second step is to conduct a critical evaluation of the current situation." In this stage, information, feelings, and emotions are examined in order to gain a fresh perspective on the problem that happens in the final step.</w:t>
      </w:r>
      <w:r w:rsidR="00590ADE" w:rsidRPr="004B7AD3">
        <w:rPr>
          <w:rFonts w:ascii="Arial" w:hAnsi="Arial" w:cs="Arial"/>
        </w:rPr>
        <w:t xml:space="preserve"> </w:t>
      </w:r>
      <w:sdt>
        <w:sdtPr>
          <w:rPr>
            <w:rFonts w:ascii="Arial" w:hAnsi="Arial" w:cs="Arial"/>
          </w:rPr>
          <w:id w:val="409895391"/>
          <w:citation/>
        </w:sdtPr>
        <w:sdtEndPr/>
        <w:sdtContent>
          <w:r w:rsidR="00590ADE" w:rsidRPr="004B7AD3">
            <w:rPr>
              <w:rFonts w:ascii="Arial" w:hAnsi="Arial" w:cs="Arial"/>
            </w:rPr>
            <w:fldChar w:fldCharType="begin"/>
          </w:r>
          <w:r w:rsidR="00590ADE" w:rsidRPr="004B7AD3">
            <w:rPr>
              <w:rFonts w:ascii="Arial" w:hAnsi="Arial" w:cs="Arial"/>
            </w:rPr>
            <w:instrText xml:space="preserve"> CITATION Ref21 \l 1033 </w:instrText>
          </w:r>
          <w:r w:rsidR="00590ADE" w:rsidRPr="004B7AD3">
            <w:rPr>
              <w:rFonts w:ascii="Arial" w:hAnsi="Arial" w:cs="Arial"/>
            </w:rPr>
            <w:fldChar w:fldCharType="separate"/>
          </w:r>
          <w:r w:rsidR="00590ADE" w:rsidRPr="004B7AD3">
            <w:rPr>
              <w:rFonts w:ascii="Arial" w:hAnsi="Arial" w:cs="Arial"/>
              <w:noProof/>
            </w:rPr>
            <w:t>(Anon., 2021)</w:t>
          </w:r>
          <w:r w:rsidR="00590ADE" w:rsidRPr="004B7AD3">
            <w:rPr>
              <w:rFonts w:ascii="Arial" w:hAnsi="Arial" w:cs="Arial"/>
            </w:rPr>
            <w:fldChar w:fldCharType="end"/>
          </w:r>
        </w:sdtContent>
      </w:sdt>
    </w:p>
    <w:p w14:paraId="6473720E" w14:textId="77777777" w:rsidR="002B37E3" w:rsidRPr="004A6E56" w:rsidRDefault="002B37E3" w:rsidP="004A6E56">
      <w:pPr>
        <w:spacing w:line="360" w:lineRule="auto"/>
        <w:jc w:val="both"/>
        <w:rPr>
          <w:rFonts w:ascii="Arial" w:hAnsi="Arial" w:cs="Arial"/>
          <w:b/>
          <w:sz w:val="24"/>
          <w:szCs w:val="24"/>
        </w:rPr>
      </w:pPr>
      <w:r w:rsidRPr="004A6E56">
        <w:rPr>
          <w:rFonts w:ascii="Arial" w:hAnsi="Arial" w:cs="Arial"/>
          <w:b/>
          <w:sz w:val="24"/>
          <w:szCs w:val="24"/>
        </w:rPr>
        <w:t>The type of reflecting practice:</w:t>
      </w:r>
    </w:p>
    <w:p w14:paraId="6473720F" w14:textId="77777777" w:rsidR="002B37E3" w:rsidRPr="004B7AD3" w:rsidRDefault="002B37E3" w:rsidP="004A6E56">
      <w:pPr>
        <w:spacing w:line="360" w:lineRule="auto"/>
        <w:jc w:val="both"/>
        <w:rPr>
          <w:rFonts w:ascii="Arial" w:hAnsi="Arial" w:cs="Arial"/>
        </w:rPr>
      </w:pPr>
      <w:r w:rsidRPr="004B7AD3">
        <w:rPr>
          <w:rFonts w:ascii="Arial" w:hAnsi="Arial" w:cs="Arial"/>
        </w:rPr>
        <w:t xml:space="preserve">When an incident occurs, we tend to think about it for a short period of time before moving on. However, when we revisit it later, we can often see it in a new light and feel a different way about it. As with any form of self-reflection, time is critical. The theory that underpins Transactional Analysis explains in </w:t>
      </w:r>
      <w:proofErr w:type="gramStart"/>
      <w:r w:rsidRPr="004B7AD3">
        <w:rPr>
          <w:rFonts w:ascii="Arial" w:hAnsi="Arial" w:cs="Arial"/>
        </w:rPr>
        <w:t>great detail</w:t>
      </w:r>
      <w:proofErr w:type="gramEnd"/>
      <w:r w:rsidRPr="004B7AD3">
        <w:rPr>
          <w:rFonts w:ascii="Arial" w:hAnsi="Arial" w:cs="Arial"/>
        </w:rPr>
        <w:t xml:space="preserve"> how and why our emotions might become exaggerated, causing our moods and attitudes to deviate from a more typical, equally balanced perspective. In this way, we can better understand how our emotions can influence our social interactions. Reflective Practice should be scheduled so that it does not follow immediately a mood-altering incident, as Lawrence-Wilkes demonstrates in her teaching experience: Learning/experiencing/reviewing particularly difficult training activities like self-defenses, command and restraining techniques, etc. can benefit from Reflective Practice. Such appraisals can vary substantially depending on how rapidly they are published following an event, and this has long been acknowledged. The term 'hot' is used to describe reviews conducted within a short period of time following intense training or incidents. 'Cold' reviews are those that are conducted several hours after the fact. </w:t>
      </w:r>
    </w:p>
    <w:p w14:paraId="64737210" w14:textId="77777777" w:rsidR="002B37E3" w:rsidRPr="004B7AD3" w:rsidRDefault="002B37E3" w:rsidP="004A6E56">
      <w:pPr>
        <w:spacing w:line="360" w:lineRule="auto"/>
        <w:jc w:val="both"/>
        <w:rPr>
          <w:rFonts w:ascii="Arial" w:hAnsi="Arial" w:cs="Arial"/>
        </w:rPr>
      </w:pPr>
      <w:r w:rsidRPr="004B7AD3">
        <w:rPr>
          <w:rFonts w:ascii="Arial" w:hAnsi="Arial" w:cs="Arial"/>
        </w:rPr>
        <w:t>Trainees' Reflective Practice during "hot" evaluations (as in "in the heat of the moment") is heavily influenced by their emotional responses to the event. Our neural systems automatically produce stress and action hormones, which cause us to feel this emotional sense. The experience may also reactivate feelings that were previously suppressed due to trauma or stress. As a result of these probable impacts, conducting a 'cold' review after the event is extremely necessary (in addition to, or in instead of, conducting a 'hot' review immediately following the event). Allows for Critical Reflection that is more balanced and impartial through this "cold" assessment procedure. By doing this, we are better able to reflect on the situation, examine our own roles and responsibilities, and make better decisions about how to go moving forward.</w:t>
      </w:r>
      <w:r w:rsidR="00816D40" w:rsidRPr="004B7AD3">
        <w:rPr>
          <w:rFonts w:ascii="Arial" w:hAnsi="Arial" w:cs="Arial"/>
        </w:rPr>
        <w:t xml:space="preserve"> </w:t>
      </w:r>
      <w:sdt>
        <w:sdtPr>
          <w:rPr>
            <w:rFonts w:ascii="Arial" w:hAnsi="Arial" w:cs="Arial"/>
          </w:rPr>
          <w:id w:val="-381403343"/>
          <w:citation/>
        </w:sdtPr>
        <w:sdtEndPr/>
        <w:sdtContent>
          <w:r w:rsidR="00816D40" w:rsidRPr="004B7AD3">
            <w:rPr>
              <w:rFonts w:ascii="Arial" w:hAnsi="Arial" w:cs="Arial"/>
            </w:rPr>
            <w:fldChar w:fldCharType="begin"/>
          </w:r>
          <w:r w:rsidR="00816D40" w:rsidRPr="004B7AD3">
            <w:rPr>
              <w:rFonts w:ascii="Arial" w:hAnsi="Arial" w:cs="Arial"/>
            </w:rPr>
            <w:instrText xml:space="preserve"> CITATION Ref211 \l 1033 </w:instrText>
          </w:r>
          <w:r w:rsidR="00816D40" w:rsidRPr="004B7AD3">
            <w:rPr>
              <w:rFonts w:ascii="Arial" w:hAnsi="Arial" w:cs="Arial"/>
            </w:rPr>
            <w:fldChar w:fldCharType="separate"/>
          </w:r>
          <w:r w:rsidR="00816D40" w:rsidRPr="004B7AD3">
            <w:rPr>
              <w:rFonts w:ascii="Arial" w:hAnsi="Arial" w:cs="Arial"/>
              <w:noProof/>
            </w:rPr>
            <w:t>(Anon., 2021)</w:t>
          </w:r>
          <w:r w:rsidR="00816D40" w:rsidRPr="004B7AD3">
            <w:rPr>
              <w:rFonts w:ascii="Arial" w:hAnsi="Arial" w:cs="Arial"/>
            </w:rPr>
            <w:fldChar w:fldCharType="end"/>
          </w:r>
        </w:sdtContent>
      </w:sdt>
    </w:p>
    <w:p w14:paraId="64737211" w14:textId="77777777" w:rsidR="008D55D9" w:rsidRPr="004A6E56" w:rsidRDefault="008D55D9" w:rsidP="004A6E56">
      <w:pPr>
        <w:spacing w:line="360" w:lineRule="auto"/>
        <w:jc w:val="both"/>
        <w:rPr>
          <w:rFonts w:ascii="Arial" w:hAnsi="Arial" w:cs="Arial"/>
          <w:b/>
          <w:sz w:val="24"/>
          <w:szCs w:val="24"/>
        </w:rPr>
      </w:pPr>
      <w:r w:rsidRPr="004A6E56">
        <w:rPr>
          <w:rFonts w:ascii="Arial" w:hAnsi="Arial" w:cs="Arial"/>
          <w:b/>
          <w:sz w:val="24"/>
          <w:szCs w:val="24"/>
        </w:rPr>
        <w:t>Personal experience:</w:t>
      </w:r>
    </w:p>
    <w:p w14:paraId="64737212" w14:textId="77777777" w:rsidR="008D55D9" w:rsidRPr="004B7AD3" w:rsidRDefault="008D55D9" w:rsidP="004A6E56">
      <w:pPr>
        <w:spacing w:line="360" w:lineRule="auto"/>
        <w:jc w:val="both"/>
        <w:rPr>
          <w:rFonts w:ascii="Arial" w:hAnsi="Arial" w:cs="Arial"/>
        </w:rPr>
      </w:pPr>
      <w:r w:rsidRPr="004B7AD3">
        <w:rPr>
          <w:rFonts w:ascii="Arial" w:hAnsi="Arial" w:cs="Arial"/>
        </w:rPr>
        <w:t xml:space="preserve">I can vouch for the classification given above based on my own personal experience. I went through </w:t>
      </w:r>
      <w:proofErr w:type="gramStart"/>
      <w:r w:rsidRPr="004B7AD3">
        <w:rPr>
          <w:rFonts w:ascii="Arial" w:hAnsi="Arial" w:cs="Arial"/>
        </w:rPr>
        <w:t>all of</w:t>
      </w:r>
      <w:proofErr w:type="gramEnd"/>
      <w:r w:rsidRPr="004B7AD3">
        <w:rPr>
          <w:rFonts w:ascii="Arial" w:hAnsi="Arial" w:cs="Arial"/>
        </w:rPr>
        <w:t xml:space="preserve"> the steps as a supervisor and found it quite beneficial to reflect on my actions. As an example, I was responsible for directing the recently received documents on substance </w:t>
      </w:r>
      <w:r w:rsidRPr="004B7AD3">
        <w:rPr>
          <w:rFonts w:ascii="Arial" w:hAnsi="Arial" w:cs="Arial"/>
        </w:rPr>
        <w:lastRenderedPageBreak/>
        <w:t xml:space="preserve">abuse. The resources had to be organized into categories and then disseminated among the center's experts, which I managed to do, although it wasn't as simple as it seemed at first. There is no time to waste here. My tardiness may have caused a lot of issues, even though the assignment wasn't critical. In retrospect, I saw that I was unable to respond swiftly because of my lack of experience. Initially, I had to learn about categorization principles, then I had to find out what our experts needed, and then I had to disseminate it. I'm able to complete the assignment more quickly now that I understand how the system works. </w:t>
      </w:r>
      <w:proofErr w:type="gramStart"/>
      <w:r w:rsidRPr="004B7AD3">
        <w:rPr>
          <w:rFonts w:ascii="Arial" w:hAnsi="Arial" w:cs="Arial"/>
        </w:rPr>
        <w:t>As a way to</w:t>
      </w:r>
      <w:proofErr w:type="gramEnd"/>
      <w:r w:rsidRPr="004B7AD3">
        <w:rPr>
          <w:rFonts w:ascii="Arial" w:hAnsi="Arial" w:cs="Arial"/>
        </w:rPr>
        <w:t xml:space="preserve"> resolve theory-practice disagreements, the ability of professionals to criticize their own practice, understand their needs, and accept personal accountability is regarded a successful technique. However, there is no evidence that reflective practitioners outnumber non-reflective practitioners.</w:t>
      </w:r>
    </w:p>
    <w:p w14:paraId="64737213" w14:textId="77777777" w:rsidR="008D55D9" w:rsidRPr="004B7AD3" w:rsidRDefault="008D55D9" w:rsidP="004A6E56">
      <w:pPr>
        <w:spacing w:line="360" w:lineRule="auto"/>
        <w:jc w:val="both"/>
        <w:rPr>
          <w:rFonts w:ascii="Arial" w:hAnsi="Arial" w:cs="Arial"/>
        </w:rPr>
      </w:pPr>
      <w:r w:rsidRPr="004B7AD3">
        <w:rPr>
          <w:rFonts w:ascii="Arial" w:hAnsi="Arial" w:cs="Arial"/>
        </w:rPr>
        <w:t xml:space="preserve">Even so, I was able to see the difference between both the impact of my work when I thought on it and when I responded as my expertise prompted me. I came to the realization that the knowledge and abilities I had acquired in the past could be easily lost if I didn't engage in critical reflection. While searching for a model for reﬂection that may have fit my information about myself and not ruined the intense desire to better my performance via examination of the work done, I came across this one. </w:t>
      </w:r>
      <w:proofErr w:type="gramStart"/>
      <w:r w:rsidRPr="004B7AD3">
        <w:rPr>
          <w:rFonts w:ascii="Arial" w:hAnsi="Arial" w:cs="Arial"/>
        </w:rPr>
        <w:t>A number of</w:t>
      </w:r>
      <w:proofErr w:type="gramEnd"/>
      <w:r w:rsidRPr="004B7AD3">
        <w:rPr>
          <w:rFonts w:ascii="Arial" w:hAnsi="Arial" w:cs="Arial"/>
        </w:rPr>
        <w:t xml:space="preserve"> reflecting models exist, as it turns out. Some examples are Greenaway's reflective approach, which outlines three easy processes one should follow to learn these lessons: plan, do, and review. "What?" asks Burton, who offers a somewhat different take on the situation. "So, what?" What's next? As a way for people to communicate their sentiments, Baud's reflective model allows for reflection and the consolidation of experiences. Six steps are proposed by Gibbs to help with reflective practice if one considers his method. In order to make a cycle, the following steps must be performed </w:t>
      </w:r>
      <w:proofErr w:type="gramStart"/>
      <w:r w:rsidRPr="004B7AD3">
        <w:rPr>
          <w:rFonts w:ascii="Arial" w:hAnsi="Arial" w:cs="Arial"/>
        </w:rPr>
        <w:t>over and over again</w:t>
      </w:r>
      <w:proofErr w:type="gramEnd"/>
      <w:r w:rsidRPr="004B7AD3">
        <w:rPr>
          <w:rFonts w:ascii="Arial" w:hAnsi="Arial" w:cs="Arial"/>
        </w:rPr>
        <w:t>: a description of what happened, the feelings and thoughts elicited, an appraisal of the experience, an assessment of the situation, and a conclusion. This approach emphasizes the importance of sentiments and emotions in a certain occurrence.</w:t>
      </w:r>
    </w:p>
    <w:p w14:paraId="64737214" w14:textId="77777777" w:rsidR="008D55D9" w:rsidRPr="004B7AD3" w:rsidRDefault="008D55D9" w:rsidP="004A6E56">
      <w:pPr>
        <w:spacing w:line="360" w:lineRule="auto"/>
        <w:jc w:val="both"/>
        <w:rPr>
          <w:rFonts w:ascii="Arial" w:hAnsi="Arial" w:cs="Arial"/>
        </w:rPr>
      </w:pPr>
      <w:r w:rsidRPr="004B7AD3">
        <w:rPr>
          <w:rFonts w:ascii="Arial" w:hAnsi="Arial" w:cs="Arial"/>
        </w:rPr>
        <w:t>In addition, Kolb's concept of reflection was what I appreciated most. This educational thinker in the United States argued that experience alone is not enough to accomplish specific learning objectives. There are times when it seems to be more effective to combine the raw experience with assisted exercises that require the participant to ponder, analyses, or creatively process their thoughts and feelings about the raw experience." His "model" says that a participant first undergoes concrete experience, which is accompanied by reflective observation, which is followed by the construction of abstract conceptualizations, and lastly the testing of a newly created principle by active experimentation.</w:t>
      </w:r>
    </w:p>
    <w:p w14:paraId="64737215" w14:textId="77777777" w:rsidR="00A23414" w:rsidRPr="004A6E56" w:rsidRDefault="00A23414" w:rsidP="004A6E56">
      <w:pPr>
        <w:spacing w:line="360" w:lineRule="auto"/>
        <w:jc w:val="both"/>
        <w:rPr>
          <w:rFonts w:ascii="Arial" w:hAnsi="Arial" w:cs="Arial"/>
          <w:b/>
          <w:sz w:val="24"/>
          <w:szCs w:val="24"/>
        </w:rPr>
      </w:pPr>
      <w:r w:rsidRPr="004A6E56">
        <w:rPr>
          <w:rFonts w:ascii="Arial" w:hAnsi="Arial" w:cs="Arial"/>
          <w:b/>
          <w:sz w:val="24"/>
          <w:szCs w:val="24"/>
        </w:rPr>
        <w:t>Kolbe’s reflective model:</w:t>
      </w:r>
    </w:p>
    <w:p w14:paraId="64737216" w14:textId="77777777" w:rsidR="00A23414" w:rsidRPr="004B7AD3" w:rsidRDefault="00A23414" w:rsidP="004A6E56">
      <w:pPr>
        <w:spacing w:line="360" w:lineRule="auto"/>
        <w:jc w:val="both"/>
        <w:rPr>
          <w:rFonts w:ascii="Arial" w:hAnsi="Arial" w:cs="Arial"/>
        </w:rPr>
      </w:pPr>
      <w:r w:rsidRPr="004B7AD3">
        <w:rPr>
          <w:rFonts w:ascii="Arial" w:hAnsi="Arial" w:cs="Arial"/>
        </w:rPr>
        <w:lastRenderedPageBreak/>
        <w:t>Immersion is the first step in Kolb's reflective model of learning. When I worked as a manager, the most common issue I encountered was a lack of clarity in my own understanding of the tasks I was responsible for delegating to others. When I worked for someone else, it was always a thrill and a challenge for me to take on new responsibilities, especially if they helped me advance professionally. The second step required me to describe what I had observed while completing this or that task: in the context of individuals who were suffering substance abuse, this stage was highly essential, as at this time I was able to gather information about the patient's addiction and its level.</w:t>
      </w:r>
    </w:p>
    <w:p w14:paraId="64737217" w14:textId="77777777" w:rsidR="00A23414" w:rsidRPr="004A6E56" w:rsidRDefault="00A23414" w:rsidP="004A6E56">
      <w:pPr>
        <w:spacing w:line="360" w:lineRule="auto"/>
        <w:jc w:val="both"/>
        <w:rPr>
          <w:rFonts w:ascii="Arial" w:hAnsi="Arial" w:cs="Arial"/>
          <w:sz w:val="24"/>
          <w:szCs w:val="24"/>
        </w:rPr>
      </w:pPr>
      <w:r w:rsidRPr="004A6E56">
        <w:rPr>
          <w:rFonts w:ascii="Arial" w:hAnsi="Arial" w:cs="Arial"/>
          <w:noProof/>
          <w:sz w:val="24"/>
          <w:szCs w:val="24"/>
        </w:rPr>
        <w:drawing>
          <wp:inline distT="0" distB="0" distL="0" distR="0" wp14:anchorId="64737223" wp14:editId="64737224">
            <wp:extent cx="5731510" cy="4317840"/>
            <wp:effectExtent l="0" t="0" r="2540" b="6985"/>
            <wp:docPr id="1" name="Picture 1" descr="kolb-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diagra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317840"/>
                    </a:xfrm>
                    <a:prstGeom prst="rect">
                      <a:avLst/>
                    </a:prstGeom>
                    <a:noFill/>
                    <a:ln>
                      <a:noFill/>
                    </a:ln>
                  </pic:spPr>
                </pic:pic>
              </a:graphicData>
            </a:graphic>
          </wp:inline>
        </w:drawing>
      </w:r>
    </w:p>
    <w:p w14:paraId="64737218" w14:textId="77777777" w:rsidR="00A23414" w:rsidRPr="004B7AD3" w:rsidRDefault="00A23414" w:rsidP="004A6E56">
      <w:pPr>
        <w:spacing w:line="360" w:lineRule="auto"/>
        <w:jc w:val="both"/>
        <w:rPr>
          <w:rFonts w:ascii="Arial" w:hAnsi="Arial" w:cs="Arial"/>
        </w:rPr>
      </w:pPr>
      <w:r w:rsidRPr="004B7AD3">
        <w:rPr>
          <w:rFonts w:ascii="Arial" w:hAnsi="Arial" w:cs="Arial"/>
        </w:rPr>
        <w:t xml:space="preserve">Third, I used </w:t>
      </w:r>
      <w:proofErr w:type="gramStart"/>
      <w:r w:rsidRPr="004B7AD3">
        <w:rPr>
          <w:rFonts w:ascii="Arial" w:hAnsi="Arial" w:cs="Arial"/>
        </w:rPr>
        <w:t>all of</w:t>
      </w:r>
      <w:proofErr w:type="gramEnd"/>
      <w:r w:rsidRPr="004B7AD3">
        <w:rPr>
          <w:rFonts w:ascii="Arial" w:hAnsi="Arial" w:cs="Arial"/>
        </w:rPr>
        <w:t xml:space="preserve"> the information I had to come up with a theory on how it could mean. This is typically when I determine which specialists the patient needs to see or what knowledge he or she needs to learn about substance abuse and its possible effects. Fourth, I contemplated my future steps and the outcomes they'd bring about. As soon as a patient was given the treatment they needed, I would evaluate the results and discuss the possibilities for future care. Taking this paradigm into consideration, I can safely declare that I have ensured that practice does indeed make perfect. Reflecting on my activities each day, I gained more and more self-assurance and confidence. "The practitioner permits himself to feel </w:t>
      </w:r>
      <w:proofErr w:type="gramStart"/>
      <w:r w:rsidRPr="004B7AD3">
        <w:rPr>
          <w:rFonts w:ascii="Arial" w:hAnsi="Arial" w:cs="Arial"/>
        </w:rPr>
        <w:t>surprise</w:t>
      </w:r>
      <w:proofErr w:type="gramEnd"/>
      <w:r w:rsidRPr="004B7AD3">
        <w:rPr>
          <w:rFonts w:ascii="Arial" w:hAnsi="Arial" w:cs="Arial"/>
        </w:rPr>
        <w:t xml:space="preserve">, puzzlement, or uncertainty in a circumstance he finds unknown or distinctive," Shon said </w:t>
      </w:r>
      <w:r w:rsidRPr="004B7AD3">
        <w:rPr>
          <w:rFonts w:ascii="Arial" w:hAnsi="Arial" w:cs="Arial"/>
        </w:rPr>
        <w:lastRenderedPageBreak/>
        <w:t>during the exercise. He ponders the reality before him, and the earlier understandings that have been implied in his actions, as he contemplates the situation. He conducts an experiment that generates both a fresh insight into the phenomenon and a transformation in the current condition.</w:t>
      </w:r>
      <w:r w:rsidR="00816D40" w:rsidRPr="004B7AD3">
        <w:rPr>
          <w:rFonts w:ascii="Arial" w:hAnsi="Arial" w:cs="Arial"/>
        </w:rPr>
        <w:t xml:space="preserve"> </w:t>
      </w:r>
      <w:sdt>
        <w:sdtPr>
          <w:rPr>
            <w:rFonts w:ascii="Arial" w:hAnsi="Arial" w:cs="Arial"/>
          </w:rPr>
          <w:id w:val="-1116826407"/>
          <w:citation/>
        </w:sdtPr>
        <w:sdtEndPr/>
        <w:sdtContent>
          <w:r w:rsidR="00816D40" w:rsidRPr="004B7AD3">
            <w:rPr>
              <w:rFonts w:ascii="Arial" w:hAnsi="Arial" w:cs="Arial"/>
            </w:rPr>
            <w:fldChar w:fldCharType="begin"/>
          </w:r>
          <w:r w:rsidR="00816D40" w:rsidRPr="004B7AD3">
            <w:rPr>
              <w:rFonts w:ascii="Arial" w:hAnsi="Arial" w:cs="Arial"/>
            </w:rPr>
            <w:instrText xml:space="preserve"> CITATION Min19 \l 1033 </w:instrText>
          </w:r>
          <w:r w:rsidR="00816D40" w:rsidRPr="004B7AD3">
            <w:rPr>
              <w:rFonts w:ascii="Arial" w:hAnsi="Arial" w:cs="Arial"/>
            </w:rPr>
            <w:fldChar w:fldCharType="separate"/>
          </w:r>
          <w:r w:rsidR="00816D40" w:rsidRPr="004B7AD3">
            <w:rPr>
              <w:rFonts w:ascii="Arial" w:hAnsi="Arial" w:cs="Arial"/>
              <w:noProof/>
            </w:rPr>
            <w:t>(Tay, 2019)</w:t>
          </w:r>
          <w:r w:rsidR="00816D40" w:rsidRPr="004B7AD3">
            <w:rPr>
              <w:rFonts w:ascii="Arial" w:hAnsi="Arial" w:cs="Arial"/>
            </w:rPr>
            <w:fldChar w:fldCharType="end"/>
          </w:r>
        </w:sdtContent>
      </w:sdt>
    </w:p>
    <w:p w14:paraId="64737219" w14:textId="77777777" w:rsidR="00A23414" w:rsidRPr="004A6E56" w:rsidRDefault="00A23414" w:rsidP="004A6E56">
      <w:pPr>
        <w:spacing w:line="360" w:lineRule="auto"/>
        <w:jc w:val="both"/>
        <w:rPr>
          <w:rFonts w:ascii="Arial" w:hAnsi="Arial" w:cs="Arial"/>
          <w:b/>
          <w:sz w:val="24"/>
          <w:szCs w:val="24"/>
        </w:rPr>
      </w:pPr>
      <w:r w:rsidRPr="004A6E56">
        <w:rPr>
          <w:rFonts w:ascii="Arial" w:hAnsi="Arial" w:cs="Arial"/>
          <w:b/>
          <w:sz w:val="24"/>
          <w:szCs w:val="24"/>
        </w:rPr>
        <w:t>Conclusion:</w:t>
      </w:r>
    </w:p>
    <w:p w14:paraId="6473721A" w14:textId="77777777" w:rsidR="00A23414" w:rsidRPr="004B7AD3" w:rsidRDefault="00A23414" w:rsidP="004A6E56">
      <w:pPr>
        <w:spacing w:line="360" w:lineRule="auto"/>
        <w:jc w:val="both"/>
        <w:rPr>
          <w:rFonts w:ascii="Arial" w:hAnsi="Arial" w:cs="Arial"/>
        </w:rPr>
      </w:pPr>
      <w:r w:rsidRPr="004B7AD3">
        <w:rPr>
          <w:rFonts w:ascii="Arial" w:hAnsi="Arial" w:cs="Arial"/>
        </w:rPr>
        <w:t xml:space="preserve">These models encouraged me to be more comfortable in the use of known and my own judgement criteria.” Professional abilities were </w:t>
      </w:r>
      <w:proofErr w:type="gramStart"/>
      <w:r w:rsidRPr="004B7AD3">
        <w:rPr>
          <w:rFonts w:ascii="Arial" w:hAnsi="Arial" w:cs="Arial"/>
        </w:rPr>
        <w:t>tested</w:t>
      </w:r>
      <w:proofErr w:type="gramEnd"/>
      <w:r w:rsidRPr="004B7AD3">
        <w:rPr>
          <w:rFonts w:ascii="Arial" w:hAnsi="Arial" w:cs="Arial"/>
        </w:rPr>
        <w:t xml:space="preserve"> and I was encouraged to use comments as a platform for further success through reflective practice. In addition, it forced me to accept responsibility for the work, evaluate it, and form logical conclusions.</w:t>
      </w:r>
    </w:p>
    <w:p w14:paraId="6473721B" w14:textId="77777777" w:rsidR="00816D40" w:rsidRPr="004B7AD3" w:rsidRDefault="00816D40" w:rsidP="004A6E56">
      <w:pPr>
        <w:spacing w:line="360" w:lineRule="auto"/>
        <w:jc w:val="both"/>
        <w:rPr>
          <w:rFonts w:ascii="Arial" w:hAnsi="Arial" w:cs="Arial"/>
        </w:rPr>
      </w:pPr>
    </w:p>
    <w:sdt>
      <w:sdtPr>
        <w:rPr>
          <w:rFonts w:ascii="Arial" w:eastAsiaTheme="minorHAnsi" w:hAnsi="Arial" w:cs="Arial"/>
          <w:color w:val="auto"/>
          <w:sz w:val="24"/>
          <w:szCs w:val="24"/>
        </w:rPr>
        <w:id w:val="2138674982"/>
        <w:docPartObj>
          <w:docPartGallery w:val="Bibliographies"/>
          <w:docPartUnique/>
        </w:docPartObj>
      </w:sdtPr>
      <w:sdtEndPr/>
      <w:sdtContent>
        <w:p w14:paraId="6473721C" w14:textId="77777777" w:rsidR="00816D40" w:rsidRPr="004A6E56" w:rsidRDefault="00816D40" w:rsidP="004A6E56">
          <w:pPr>
            <w:pStyle w:val="Heading1"/>
            <w:spacing w:line="360" w:lineRule="auto"/>
            <w:jc w:val="both"/>
            <w:rPr>
              <w:rFonts w:ascii="Arial" w:hAnsi="Arial" w:cs="Arial"/>
              <w:sz w:val="24"/>
              <w:szCs w:val="24"/>
            </w:rPr>
          </w:pPr>
          <w:r w:rsidRPr="004A6E56">
            <w:rPr>
              <w:rFonts w:ascii="Arial" w:hAnsi="Arial" w:cs="Arial"/>
              <w:sz w:val="24"/>
              <w:szCs w:val="24"/>
            </w:rPr>
            <w:t>References</w:t>
          </w:r>
        </w:p>
        <w:sdt>
          <w:sdtPr>
            <w:rPr>
              <w:rFonts w:ascii="Arial" w:hAnsi="Arial" w:cs="Arial"/>
              <w:sz w:val="24"/>
              <w:szCs w:val="24"/>
            </w:rPr>
            <w:id w:val="-573587230"/>
            <w:bibliography/>
          </w:sdtPr>
          <w:sdtEndPr/>
          <w:sdtContent>
            <w:p w14:paraId="6473721D" w14:textId="77777777" w:rsidR="00816D40" w:rsidRPr="004A6E56" w:rsidRDefault="00816D40" w:rsidP="004A6E56">
              <w:pPr>
                <w:pStyle w:val="Bibliography"/>
                <w:spacing w:line="360" w:lineRule="auto"/>
                <w:jc w:val="both"/>
                <w:rPr>
                  <w:rFonts w:ascii="Arial" w:hAnsi="Arial" w:cs="Arial"/>
                  <w:noProof/>
                  <w:sz w:val="24"/>
                  <w:szCs w:val="24"/>
                </w:rPr>
              </w:pPr>
              <w:r w:rsidRPr="004A6E56">
                <w:rPr>
                  <w:rFonts w:ascii="Arial" w:hAnsi="Arial" w:cs="Arial"/>
                  <w:sz w:val="24"/>
                  <w:szCs w:val="24"/>
                </w:rPr>
                <w:fldChar w:fldCharType="begin"/>
              </w:r>
              <w:r w:rsidRPr="004A6E56">
                <w:rPr>
                  <w:rFonts w:ascii="Arial" w:hAnsi="Arial" w:cs="Arial"/>
                  <w:sz w:val="24"/>
                  <w:szCs w:val="24"/>
                </w:rPr>
                <w:instrText xml:space="preserve"> BIBLIOGRAPHY </w:instrText>
              </w:r>
              <w:r w:rsidRPr="004A6E56">
                <w:rPr>
                  <w:rFonts w:ascii="Arial" w:hAnsi="Arial" w:cs="Arial"/>
                  <w:sz w:val="24"/>
                  <w:szCs w:val="24"/>
                </w:rPr>
                <w:fldChar w:fldCharType="separate"/>
              </w:r>
              <w:r w:rsidRPr="004A6E56">
                <w:rPr>
                  <w:rFonts w:ascii="Arial" w:hAnsi="Arial" w:cs="Arial"/>
                  <w:noProof/>
                  <w:sz w:val="24"/>
                  <w:szCs w:val="24"/>
                </w:rPr>
                <w:t xml:space="preserve">Anon., 2021. </w:t>
              </w:r>
              <w:r w:rsidRPr="004A6E56">
                <w:rPr>
                  <w:rFonts w:ascii="Arial" w:hAnsi="Arial" w:cs="Arial"/>
                  <w:i/>
                  <w:iCs/>
                  <w:noProof/>
                  <w:sz w:val="24"/>
                  <w:szCs w:val="24"/>
                </w:rPr>
                <w:t xml:space="preserve">Reflection and Reflective Practice. </w:t>
              </w:r>
              <w:r w:rsidRPr="004A6E56">
                <w:rPr>
                  <w:rFonts w:ascii="Arial" w:hAnsi="Arial" w:cs="Arial"/>
                  <w:noProof/>
                  <w:sz w:val="24"/>
                  <w:szCs w:val="24"/>
                </w:rPr>
                <w:t xml:space="preserve">[Online] </w:t>
              </w:r>
              <w:r w:rsidRPr="004A6E56">
                <w:rPr>
                  <w:rFonts w:ascii="Arial" w:hAnsi="Arial" w:cs="Arial"/>
                  <w:noProof/>
                  <w:sz w:val="24"/>
                  <w:szCs w:val="24"/>
                </w:rPr>
                <w:br/>
                <w:t xml:space="preserve">Available at: </w:t>
              </w:r>
              <w:r w:rsidRPr="004A6E56">
                <w:rPr>
                  <w:rFonts w:ascii="Arial" w:hAnsi="Arial" w:cs="Arial"/>
                  <w:noProof/>
                  <w:sz w:val="24"/>
                  <w:szCs w:val="24"/>
                  <w:u w:val="single"/>
                </w:rPr>
                <w:t>https://ivypanda.com/essays/reflection-and-reflective-practice-personal-experience/</w:t>
              </w:r>
              <w:r w:rsidRPr="004A6E56">
                <w:rPr>
                  <w:rFonts w:ascii="Arial" w:hAnsi="Arial" w:cs="Arial"/>
                  <w:noProof/>
                  <w:sz w:val="24"/>
                  <w:szCs w:val="24"/>
                </w:rPr>
                <w:br/>
                <w:t>[Accessed 25 july 2022].</w:t>
              </w:r>
            </w:p>
            <w:p w14:paraId="6473721E" w14:textId="77777777" w:rsidR="00816D40" w:rsidRPr="004A6E56" w:rsidRDefault="00816D40" w:rsidP="004A6E56">
              <w:pPr>
                <w:pStyle w:val="Bibliography"/>
                <w:spacing w:line="360" w:lineRule="auto"/>
                <w:jc w:val="both"/>
                <w:rPr>
                  <w:rFonts w:ascii="Arial" w:hAnsi="Arial" w:cs="Arial"/>
                  <w:noProof/>
                  <w:sz w:val="24"/>
                  <w:szCs w:val="24"/>
                </w:rPr>
              </w:pPr>
              <w:r w:rsidRPr="004A6E56">
                <w:rPr>
                  <w:rFonts w:ascii="Arial" w:hAnsi="Arial" w:cs="Arial"/>
                  <w:noProof/>
                  <w:sz w:val="24"/>
                  <w:szCs w:val="24"/>
                </w:rPr>
                <w:t xml:space="preserve">Anon., 2021. </w:t>
              </w:r>
              <w:r w:rsidRPr="004A6E56">
                <w:rPr>
                  <w:rFonts w:ascii="Arial" w:hAnsi="Arial" w:cs="Arial"/>
                  <w:i/>
                  <w:iCs/>
                  <w:noProof/>
                  <w:sz w:val="24"/>
                  <w:szCs w:val="24"/>
                </w:rPr>
                <w:t xml:space="preserve">Reflective Practice. </w:t>
              </w:r>
              <w:r w:rsidRPr="004A6E56">
                <w:rPr>
                  <w:rFonts w:ascii="Arial" w:hAnsi="Arial" w:cs="Arial"/>
                  <w:noProof/>
                  <w:sz w:val="24"/>
                  <w:szCs w:val="24"/>
                </w:rPr>
                <w:t xml:space="preserve">[Online] </w:t>
              </w:r>
              <w:r w:rsidRPr="004A6E56">
                <w:rPr>
                  <w:rFonts w:ascii="Arial" w:hAnsi="Arial" w:cs="Arial"/>
                  <w:noProof/>
                  <w:sz w:val="24"/>
                  <w:szCs w:val="24"/>
                </w:rPr>
                <w:br/>
                <w:t xml:space="preserve">Available at: </w:t>
              </w:r>
              <w:r w:rsidRPr="004A6E56">
                <w:rPr>
                  <w:rFonts w:ascii="Arial" w:hAnsi="Arial" w:cs="Arial"/>
                  <w:noProof/>
                  <w:sz w:val="24"/>
                  <w:szCs w:val="24"/>
                  <w:u w:val="single"/>
                </w:rPr>
                <w:t>https://www.businessballs.com/self-awareness/reflective-practice/#history-of-reflective-practice</w:t>
              </w:r>
              <w:r w:rsidRPr="004A6E56">
                <w:rPr>
                  <w:rFonts w:ascii="Arial" w:hAnsi="Arial" w:cs="Arial"/>
                  <w:noProof/>
                  <w:sz w:val="24"/>
                  <w:szCs w:val="24"/>
                </w:rPr>
                <w:br/>
                <w:t>[Accessed 25 july 2022].</w:t>
              </w:r>
            </w:p>
            <w:p w14:paraId="6473721F" w14:textId="77777777" w:rsidR="00816D40" w:rsidRPr="004A6E56" w:rsidRDefault="00816D40" w:rsidP="004A6E56">
              <w:pPr>
                <w:pStyle w:val="Bibliography"/>
                <w:spacing w:line="360" w:lineRule="auto"/>
                <w:jc w:val="both"/>
                <w:rPr>
                  <w:rFonts w:ascii="Arial" w:hAnsi="Arial" w:cs="Arial"/>
                  <w:noProof/>
                  <w:sz w:val="24"/>
                  <w:szCs w:val="24"/>
                </w:rPr>
              </w:pPr>
              <w:r w:rsidRPr="004A6E56">
                <w:rPr>
                  <w:rFonts w:ascii="Arial" w:hAnsi="Arial" w:cs="Arial"/>
                  <w:noProof/>
                  <w:sz w:val="24"/>
                  <w:szCs w:val="24"/>
                </w:rPr>
                <w:t xml:space="preserve">Smith, T. J., n.d. </w:t>
              </w:r>
              <w:r w:rsidRPr="004A6E56">
                <w:rPr>
                  <w:rFonts w:ascii="Arial" w:hAnsi="Arial" w:cs="Arial"/>
                  <w:i/>
                  <w:iCs/>
                  <w:noProof/>
                  <w:sz w:val="24"/>
                  <w:szCs w:val="24"/>
                </w:rPr>
                <w:t xml:space="preserve">CONNECTING THEORY AND REFLECTIVE PRACTICE. </w:t>
              </w:r>
              <w:r w:rsidRPr="004A6E56">
                <w:rPr>
                  <w:rFonts w:ascii="Arial" w:hAnsi="Arial" w:cs="Arial"/>
                  <w:noProof/>
                  <w:sz w:val="24"/>
                  <w:szCs w:val="24"/>
                </w:rPr>
                <w:t xml:space="preserve">[Online] </w:t>
              </w:r>
              <w:r w:rsidRPr="004A6E56">
                <w:rPr>
                  <w:rFonts w:ascii="Arial" w:hAnsi="Arial" w:cs="Arial"/>
                  <w:noProof/>
                  <w:sz w:val="24"/>
                  <w:szCs w:val="24"/>
                </w:rPr>
                <w:br/>
                <w:t xml:space="preserve">Available at: </w:t>
              </w:r>
              <w:r w:rsidRPr="004A6E56">
                <w:rPr>
                  <w:rFonts w:ascii="Arial" w:hAnsi="Arial" w:cs="Arial"/>
                  <w:noProof/>
                  <w:sz w:val="24"/>
                  <w:szCs w:val="24"/>
                  <w:u w:val="single"/>
                </w:rPr>
                <w:t>https://files.eric.ed.gov/fulltext/ED501125.pdf</w:t>
              </w:r>
              <w:r w:rsidRPr="004A6E56">
                <w:rPr>
                  <w:rFonts w:ascii="Arial" w:hAnsi="Arial" w:cs="Arial"/>
                  <w:noProof/>
                  <w:sz w:val="24"/>
                  <w:szCs w:val="24"/>
                </w:rPr>
                <w:br/>
                <w:t>[Accessed 25 july 2022].</w:t>
              </w:r>
            </w:p>
            <w:p w14:paraId="64737220" w14:textId="77777777" w:rsidR="00816D40" w:rsidRPr="004A6E56" w:rsidRDefault="00816D40" w:rsidP="004A6E56">
              <w:pPr>
                <w:pStyle w:val="Bibliography"/>
                <w:spacing w:line="360" w:lineRule="auto"/>
                <w:jc w:val="both"/>
                <w:rPr>
                  <w:rFonts w:ascii="Arial" w:hAnsi="Arial" w:cs="Arial"/>
                  <w:noProof/>
                  <w:sz w:val="24"/>
                  <w:szCs w:val="24"/>
                </w:rPr>
              </w:pPr>
              <w:r w:rsidRPr="004A6E56">
                <w:rPr>
                  <w:rFonts w:ascii="Arial" w:hAnsi="Arial" w:cs="Arial"/>
                  <w:noProof/>
                  <w:sz w:val="24"/>
                  <w:szCs w:val="24"/>
                </w:rPr>
                <w:t xml:space="preserve">Tay, M., 2019. </w:t>
              </w:r>
              <w:r w:rsidRPr="004A6E56">
                <w:rPr>
                  <w:rFonts w:ascii="Arial" w:hAnsi="Arial" w:cs="Arial"/>
                  <w:i/>
                  <w:iCs/>
                  <w:noProof/>
                  <w:sz w:val="24"/>
                  <w:szCs w:val="24"/>
                </w:rPr>
                <w:t xml:space="preserve">Reflective practice: An approach to developing self-knowledge. </w:t>
              </w:r>
              <w:r w:rsidRPr="004A6E56">
                <w:rPr>
                  <w:rFonts w:ascii="Arial" w:hAnsi="Arial" w:cs="Arial"/>
                  <w:noProof/>
                  <w:sz w:val="24"/>
                  <w:szCs w:val="24"/>
                </w:rPr>
                <w:t xml:space="preserve">[Online] </w:t>
              </w:r>
              <w:r w:rsidRPr="004A6E56">
                <w:rPr>
                  <w:rFonts w:ascii="Arial" w:hAnsi="Arial" w:cs="Arial"/>
                  <w:noProof/>
                  <w:sz w:val="24"/>
                  <w:szCs w:val="24"/>
                </w:rPr>
                <w:br/>
                <w:t xml:space="preserve">Available at: </w:t>
              </w:r>
              <w:r w:rsidRPr="004A6E56">
                <w:rPr>
                  <w:rFonts w:ascii="Arial" w:hAnsi="Arial" w:cs="Arial"/>
                  <w:noProof/>
                  <w:sz w:val="24"/>
                  <w:szCs w:val="24"/>
                  <w:u w:val="single"/>
                </w:rPr>
                <w:t>https://www.researchgate.net/publication/332409418_Reflective_practice_An_approach_to_developing_self-knowledge</w:t>
              </w:r>
              <w:r w:rsidRPr="004A6E56">
                <w:rPr>
                  <w:rFonts w:ascii="Arial" w:hAnsi="Arial" w:cs="Arial"/>
                  <w:noProof/>
                  <w:sz w:val="24"/>
                  <w:szCs w:val="24"/>
                </w:rPr>
                <w:br/>
                <w:t>[Accessed 25 july 2022].</w:t>
              </w:r>
            </w:p>
            <w:p w14:paraId="64737221" w14:textId="77777777" w:rsidR="00816D40" w:rsidRPr="004A6E56" w:rsidRDefault="00816D40" w:rsidP="004A6E56">
              <w:pPr>
                <w:spacing w:line="360" w:lineRule="auto"/>
                <w:jc w:val="both"/>
                <w:rPr>
                  <w:rFonts w:ascii="Arial" w:hAnsi="Arial" w:cs="Arial"/>
                  <w:sz w:val="24"/>
                  <w:szCs w:val="24"/>
                </w:rPr>
              </w:pPr>
              <w:r w:rsidRPr="004A6E56">
                <w:rPr>
                  <w:rFonts w:ascii="Arial" w:hAnsi="Arial" w:cs="Arial"/>
                  <w:b/>
                  <w:bCs/>
                  <w:noProof/>
                  <w:sz w:val="24"/>
                  <w:szCs w:val="24"/>
                </w:rPr>
                <w:fldChar w:fldCharType="end"/>
              </w:r>
            </w:p>
          </w:sdtContent>
        </w:sdt>
      </w:sdtContent>
    </w:sdt>
    <w:p w14:paraId="64737222" w14:textId="77777777" w:rsidR="00816D40" w:rsidRPr="004A6E56" w:rsidRDefault="00816D40" w:rsidP="004A6E56">
      <w:pPr>
        <w:spacing w:line="360" w:lineRule="auto"/>
        <w:jc w:val="both"/>
        <w:rPr>
          <w:rFonts w:ascii="Arial" w:hAnsi="Arial" w:cs="Arial"/>
          <w:sz w:val="24"/>
          <w:szCs w:val="24"/>
        </w:rPr>
      </w:pPr>
    </w:p>
    <w:sectPr w:rsidR="00816D40" w:rsidRPr="004A6E56">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22C7C6" w14:textId="77777777" w:rsidR="000D34AA" w:rsidRDefault="000D34AA" w:rsidP="00101561">
      <w:pPr>
        <w:spacing w:after="0" w:line="240" w:lineRule="auto"/>
      </w:pPr>
      <w:r>
        <w:separator/>
      </w:r>
    </w:p>
  </w:endnote>
  <w:endnote w:type="continuationSeparator" w:id="0">
    <w:p w14:paraId="5A933946" w14:textId="77777777" w:rsidR="000D34AA" w:rsidRDefault="000D34AA" w:rsidP="00101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799482"/>
      <w:docPartObj>
        <w:docPartGallery w:val="Page Numbers (Bottom of Page)"/>
        <w:docPartUnique/>
      </w:docPartObj>
    </w:sdtPr>
    <w:sdtEndPr>
      <w:rPr>
        <w:noProof/>
      </w:rPr>
    </w:sdtEndPr>
    <w:sdtContent>
      <w:p w14:paraId="64737229" w14:textId="77777777" w:rsidR="00101561" w:rsidRDefault="00101561">
        <w:pPr>
          <w:pStyle w:val="Footer"/>
        </w:pPr>
        <w:r>
          <w:fldChar w:fldCharType="begin"/>
        </w:r>
        <w:r>
          <w:instrText xml:space="preserve"> PAGE   \* MERGEFORMAT </w:instrText>
        </w:r>
        <w:r>
          <w:fldChar w:fldCharType="separate"/>
        </w:r>
        <w:r>
          <w:rPr>
            <w:noProof/>
          </w:rPr>
          <w:t>3</w:t>
        </w:r>
        <w:r>
          <w:rPr>
            <w:noProof/>
          </w:rPr>
          <w:fldChar w:fldCharType="end"/>
        </w:r>
      </w:p>
    </w:sdtContent>
  </w:sdt>
  <w:p w14:paraId="6473722A" w14:textId="77777777" w:rsidR="00101561" w:rsidRDefault="00101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F30EE" w14:textId="77777777" w:rsidR="000D34AA" w:rsidRDefault="000D34AA" w:rsidP="00101561">
      <w:pPr>
        <w:spacing w:after="0" w:line="240" w:lineRule="auto"/>
      </w:pPr>
      <w:r>
        <w:separator/>
      </w:r>
    </w:p>
  </w:footnote>
  <w:footnote w:type="continuationSeparator" w:id="0">
    <w:p w14:paraId="1D593DB9" w14:textId="77777777" w:rsidR="000D34AA" w:rsidRDefault="000D34AA" w:rsidP="001015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2859"/>
    <w:rsid w:val="000D34AA"/>
    <w:rsid w:val="00101561"/>
    <w:rsid w:val="001939AF"/>
    <w:rsid w:val="002B37E3"/>
    <w:rsid w:val="003C2859"/>
    <w:rsid w:val="004A6E56"/>
    <w:rsid w:val="004B7AD3"/>
    <w:rsid w:val="005012CF"/>
    <w:rsid w:val="00590ADE"/>
    <w:rsid w:val="006643CB"/>
    <w:rsid w:val="006D3A3A"/>
    <w:rsid w:val="00743B37"/>
    <w:rsid w:val="00816D40"/>
    <w:rsid w:val="008731DE"/>
    <w:rsid w:val="008D55D9"/>
    <w:rsid w:val="00A23414"/>
    <w:rsid w:val="00A61F31"/>
    <w:rsid w:val="00F22893"/>
    <w:rsid w:val="00F707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37207"/>
  <w15:chartTrackingRefBased/>
  <w15:docId w15:val="{B4409B74-12CA-46E6-A4B3-A726F990D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D4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D40"/>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816D40"/>
  </w:style>
  <w:style w:type="paragraph" w:styleId="Header">
    <w:name w:val="header"/>
    <w:basedOn w:val="Normal"/>
    <w:link w:val="HeaderChar"/>
    <w:uiPriority w:val="99"/>
    <w:unhideWhenUsed/>
    <w:rsid w:val="001015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561"/>
  </w:style>
  <w:style w:type="paragraph" w:styleId="Footer">
    <w:name w:val="footer"/>
    <w:basedOn w:val="Normal"/>
    <w:link w:val="FooterChar"/>
    <w:uiPriority w:val="99"/>
    <w:unhideWhenUsed/>
    <w:rsid w:val="001015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5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7128029">
      <w:bodyDiv w:val="1"/>
      <w:marLeft w:val="0"/>
      <w:marRight w:val="0"/>
      <w:marTop w:val="0"/>
      <w:marBottom w:val="0"/>
      <w:divBdr>
        <w:top w:val="none" w:sz="0" w:space="0" w:color="auto"/>
        <w:left w:val="none" w:sz="0" w:space="0" w:color="auto"/>
        <w:bottom w:val="none" w:sz="0" w:space="0" w:color="auto"/>
        <w:right w:val="none" w:sz="0" w:space="0" w:color="auto"/>
      </w:divBdr>
    </w:div>
    <w:div w:id="1425147724">
      <w:bodyDiv w:val="1"/>
      <w:marLeft w:val="0"/>
      <w:marRight w:val="0"/>
      <w:marTop w:val="0"/>
      <w:marBottom w:val="0"/>
      <w:divBdr>
        <w:top w:val="none" w:sz="0" w:space="0" w:color="auto"/>
        <w:left w:val="none" w:sz="0" w:space="0" w:color="auto"/>
        <w:bottom w:val="none" w:sz="0" w:space="0" w:color="auto"/>
        <w:right w:val="none" w:sz="0" w:space="0" w:color="auto"/>
      </w:divBdr>
    </w:div>
    <w:div w:id="1459492603">
      <w:bodyDiv w:val="1"/>
      <w:marLeft w:val="0"/>
      <w:marRight w:val="0"/>
      <w:marTop w:val="0"/>
      <w:marBottom w:val="0"/>
      <w:divBdr>
        <w:top w:val="none" w:sz="0" w:space="0" w:color="auto"/>
        <w:left w:val="none" w:sz="0" w:space="0" w:color="auto"/>
        <w:bottom w:val="none" w:sz="0" w:space="0" w:color="auto"/>
        <w:right w:val="none" w:sz="0" w:space="0" w:color="auto"/>
      </w:divBdr>
    </w:div>
    <w:div w:id="1485119404">
      <w:bodyDiv w:val="1"/>
      <w:marLeft w:val="0"/>
      <w:marRight w:val="0"/>
      <w:marTop w:val="0"/>
      <w:marBottom w:val="0"/>
      <w:divBdr>
        <w:top w:val="none" w:sz="0" w:space="0" w:color="auto"/>
        <w:left w:val="none" w:sz="0" w:space="0" w:color="auto"/>
        <w:bottom w:val="none" w:sz="0" w:space="0" w:color="auto"/>
        <w:right w:val="none" w:sz="0" w:space="0" w:color="auto"/>
      </w:divBdr>
    </w:div>
    <w:div w:id="1650091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Tra22</b:Tag>
    <b:SourceType>InternetSite</b:SourceType>
    <b:Guid>{D8CB38F0-D01F-423F-8DEC-93B0A9FD7ADD}</b:Guid>
    <b:Title>CONNECTING THEORY AND REFLECTIVE PRACTICE</b:Title>
    <b:Author>
      <b:Author>
        <b:NameList>
          <b:Person>
            <b:Last>Smith</b:Last>
            <b:First>Tracey</b:First>
            <b:Middle>J.</b:Middle>
          </b:Person>
        </b:NameList>
      </b:Author>
    </b:Author>
    <b:YearAccessed>2022</b:YearAccessed>
    <b:MonthAccessed>july</b:MonthAccessed>
    <b:DayAccessed>25</b:DayAccessed>
    <b:URL>https://files.eric.ed.gov/fulltext/ED501125.pdf</b:URL>
    <b:RefOrder>1</b:RefOrder>
  </b:Source>
  <b:Source>
    <b:Tag>Ref21</b:Tag>
    <b:SourceType>InternetSite</b:SourceType>
    <b:Guid>{205CE300-7E56-4616-B89E-F1E911270330}</b:Guid>
    <b:Title>Reflection and Reflective Practice</b:Title>
    <b:Year>2021</b:Year>
    <b:YearAccessed>2022</b:YearAccessed>
    <b:MonthAccessed>july</b:MonthAccessed>
    <b:DayAccessed>25</b:DayAccessed>
    <b:URL>https://ivypanda.com/essays/reflection-and-reflective-practice-personal-experience/</b:URL>
    <b:RefOrder>2</b:RefOrder>
  </b:Source>
  <b:Source>
    <b:Tag>Ref211</b:Tag>
    <b:SourceType>InternetSite</b:SourceType>
    <b:Guid>{E0A92118-76B7-4E8E-9075-322764837020}</b:Guid>
    <b:Title>Reflective Practice</b:Title>
    <b:Year>2021</b:Year>
    <b:YearAccessed>2022</b:YearAccessed>
    <b:MonthAccessed>july</b:MonthAccessed>
    <b:DayAccessed>25</b:DayAccessed>
    <b:URL>https://www.businessballs.com/self-awareness/reflective-practice/#history-of-reflective-practice</b:URL>
    <b:RefOrder>3</b:RefOrder>
  </b:Source>
  <b:Source>
    <b:Tag>Min19</b:Tag>
    <b:SourceType>InternetSite</b:SourceType>
    <b:Guid>{1D1A2C1C-D30B-4590-8057-DE7CEA4EF7AF}</b:Guid>
    <b:Author>
      <b:Author>
        <b:NameList>
          <b:Person>
            <b:Last>Tay</b:Last>
            <b:First>Mindy</b:First>
          </b:Person>
        </b:NameList>
      </b:Author>
    </b:Author>
    <b:Title>Reflective practice: An approach to developing self-knowledge</b:Title>
    <b:Year>2019</b:Year>
    <b:YearAccessed>2022</b:YearAccessed>
    <b:MonthAccessed>july</b:MonthAccessed>
    <b:DayAccessed>25</b:DayAccessed>
    <b:URL>https://www.researchgate.net/publication/332409418_Reflective_practice_An_approach_to_developing_self-knowledge</b:URL>
    <b:RefOrder>4</b:RefOrder>
  </b:Source>
</b:Sources>
</file>

<file path=customXml/itemProps1.xml><?xml version="1.0" encoding="utf-8"?>
<ds:datastoreItem xmlns:ds="http://schemas.openxmlformats.org/officeDocument/2006/customXml" ds:itemID="{930C23EA-A179-4BEF-BD8F-8905BCFC3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6</Pages>
  <Words>1810</Words>
  <Characters>10317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12103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Moorche</dc:creator>
  <cp:keywords/>
  <dc:description/>
  <cp:lastModifiedBy>Nikola Asparuhov</cp:lastModifiedBy>
  <cp:revision>13</cp:revision>
  <dcterms:created xsi:type="dcterms:W3CDTF">2022-07-24T23:03:00Z</dcterms:created>
  <dcterms:modified xsi:type="dcterms:W3CDTF">2022-08-08T16:01:00Z</dcterms:modified>
</cp:coreProperties>
</file>