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348994711"/>
        <w:docPartObj>
          <w:docPartGallery w:val="Cover Pages"/>
          <w:docPartUnique/>
        </w:docPartObj>
      </w:sdtPr>
      <w:sdtEndPr>
        <w:rPr>
          <w:rFonts w:ascii="Times New Roman" w:eastAsiaTheme="minorHAnsi" w:hAnsi="Times New Roman" w:cs="Times New Roman"/>
          <w:kern w:val="2"/>
          <w:sz w:val="24"/>
          <w:szCs w:val="24"/>
          <w14:ligatures w14:val="standardContextual"/>
        </w:rPr>
      </w:sdtEndPr>
      <w:sdtContent>
        <w:p w14:paraId="61F2BAB5" w14:textId="39CD0C88" w:rsidR="00CF4B73" w:rsidRDefault="00CF4B73">
          <w:pPr>
            <w:pStyle w:val="NoSpacing"/>
            <w:rPr>
              <w:sz w:val="2"/>
            </w:rPr>
          </w:pPr>
        </w:p>
        <w:p w14:paraId="37F1A6CB" w14:textId="30C71FC0" w:rsidR="00CF4B73" w:rsidRDefault="00CF4B73">
          <w:r>
            <w:rPr>
              <w:noProof/>
            </w:rPr>
            <mc:AlternateContent>
              <mc:Choice Requires="wps">
                <w:drawing>
                  <wp:anchor distT="0" distB="0" distL="114300" distR="114300" simplePos="0" relativeHeight="251661312" behindDoc="0" locked="0" layoutInCell="1" allowOverlap="1" wp14:anchorId="4C9888F2" wp14:editId="12CA8588">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D4FA911" w14:textId="6EE53D92" w:rsidR="00CF4B73" w:rsidRPr="005F58DA" w:rsidRDefault="005F58DA">
                                    <w:pPr>
                                      <w:pStyle w:val="NoSpacing"/>
                                      <w:rPr>
                                        <w:rFonts w:asciiTheme="majorHAnsi" w:eastAsiaTheme="majorEastAsia" w:hAnsiTheme="majorHAnsi" w:cstheme="majorBidi"/>
                                        <w:caps/>
                                        <w:sz w:val="68"/>
                                        <w:szCs w:val="68"/>
                                      </w:rPr>
                                    </w:pPr>
                                    <w:r w:rsidRPr="005F58DA">
                                      <w:rPr>
                                        <w:rFonts w:asciiTheme="majorHAnsi" w:eastAsiaTheme="majorEastAsia" w:hAnsiTheme="majorHAnsi" w:cstheme="majorBidi"/>
                                        <w:caps/>
                                        <w:sz w:val="64"/>
                                        <w:szCs w:val="64"/>
                                      </w:rPr>
                                      <w:t>Corporate finance</w:t>
                                    </w:r>
                                  </w:p>
                                </w:sdtContent>
                              </w:sdt>
                              <w:p w14:paraId="6415AB8B" w14:textId="0F3BEE5D" w:rsidR="00CF4B73" w:rsidRDefault="00CF4B7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F58DA">
                                      <w:rPr>
                                        <w:color w:val="4472C4" w:themeColor="accent1"/>
                                        <w:sz w:val="36"/>
                                        <w:szCs w:val="36"/>
                                      </w:rPr>
                                      <w:t>24/04/2024</w:t>
                                    </w:r>
                                  </w:sdtContent>
                                </w:sdt>
                                <w:r>
                                  <w:rPr>
                                    <w:noProof/>
                                  </w:rPr>
                                  <w:t xml:space="preserve"> </w:t>
                                </w:r>
                              </w:p>
                              <w:p w14:paraId="2E62E071" w14:textId="77777777" w:rsidR="00CF4B73" w:rsidRDefault="00CF4B7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C9888F2"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D4FA911" w14:textId="6EE53D92" w:rsidR="00CF4B73" w:rsidRPr="005F58DA" w:rsidRDefault="005F58DA">
                              <w:pPr>
                                <w:pStyle w:val="NoSpacing"/>
                                <w:rPr>
                                  <w:rFonts w:asciiTheme="majorHAnsi" w:eastAsiaTheme="majorEastAsia" w:hAnsiTheme="majorHAnsi" w:cstheme="majorBidi"/>
                                  <w:caps/>
                                  <w:sz w:val="68"/>
                                  <w:szCs w:val="68"/>
                                </w:rPr>
                              </w:pPr>
                              <w:r w:rsidRPr="005F58DA">
                                <w:rPr>
                                  <w:rFonts w:asciiTheme="majorHAnsi" w:eastAsiaTheme="majorEastAsia" w:hAnsiTheme="majorHAnsi" w:cstheme="majorBidi"/>
                                  <w:caps/>
                                  <w:sz w:val="64"/>
                                  <w:szCs w:val="64"/>
                                </w:rPr>
                                <w:t>Corporate finance</w:t>
                              </w:r>
                            </w:p>
                          </w:sdtContent>
                        </w:sdt>
                        <w:p w14:paraId="6415AB8B" w14:textId="0F3BEE5D" w:rsidR="00CF4B73" w:rsidRDefault="00CF4B7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F58DA">
                                <w:rPr>
                                  <w:color w:val="4472C4" w:themeColor="accent1"/>
                                  <w:sz w:val="36"/>
                                  <w:szCs w:val="36"/>
                                </w:rPr>
                                <w:t>24/04/2024</w:t>
                              </w:r>
                            </w:sdtContent>
                          </w:sdt>
                          <w:r>
                            <w:rPr>
                              <w:noProof/>
                            </w:rPr>
                            <w:t xml:space="preserve"> </w:t>
                          </w:r>
                        </w:p>
                        <w:p w14:paraId="2E62E071" w14:textId="77777777" w:rsidR="00CF4B73" w:rsidRDefault="00CF4B7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E716F2B" wp14:editId="60C2D0BC">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45B7BF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C1A0FC5" w14:textId="6219C9B6" w:rsidR="00CF4B73" w:rsidRDefault="00E6255C">
          <w:pPr>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2CCEAFEA" wp14:editId="26383723">
                    <wp:simplePos x="0" y="0"/>
                    <wp:positionH relativeFrom="margin">
                      <wp:posOffset>2852738</wp:posOffset>
                    </wp:positionH>
                    <wp:positionV relativeFrom="margin">
                      <wp:posOffset>6548120</wp:posOffset>
                    </wp:positionV>
                    <wp:extent cx="3776663" cy="2200275"/>
                    <wp:effectExtent l="0" t="0" r="14605" b="9525"/>
                    <wp:wrapNone/>
                    <wp:docPr id="69" name="Text Box 16"/>
                    <wp:cNvGraphicFramePr/>
                    <a:graphic xmlns:a="http://schemas.openxmlformats.org/drawingml/2006/main">
                      <a:graphicData uri="http://schemas.microsoft.com/office/word/2010/wordprocessingShape">
                        <wps:wsp>
                          <wps:cNvSpPr txBox="1"/>
                          <wps:spPr>
                            <a:xfrm>
                              <a:off x="0" y="0"/>
                              <a:ext cx="3776663" cy="2200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689977" w14:textId="77777777" w:rsidR="00E6255C" w:rsidRPr="008E7D45" w:rsidRDefault="00E6255C" w:rsidP="00E6255C">
                                <w:pPr>
                                  <w:pStyle w:val="NoSpacing"/>
                                  <w:rPr>
                                    <w:sz w:val="36"/>
                                    <w:szCs w:val="36"/>
                                  </w:rPr>
                                </w:pPr>
                                <w:sdt>
                                  <w:sdtPr>
                                    <w:rPr>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Pr="008E7D45">
                                      <w:rPr>
                                        <w:sz w:val="36"/>
                                        <w:szCs w:val="36"/>
                                      </w:rPr>
                                      <w:t xml:space="preserve">     </w:t>
                                    </w:r>
                                  </w:sdtContent>
                                </w:sdt>
                              </w:p>
                              <w:p w14:paraId="61D45467" w14:textId="2B5F27A2" w:rsidR="00E6255C" w:rsidRPr="008E7D45" w:rsidRDefault="00E6255C" w:rsidP="00E6255C">
                                <w:pPr>
                                  <w:pStyle w:val="NoSpacing"/>
                                  <w:rPr>
                                    <w:sz w:val="36"/>
                                    <w:szCs w:val="36"/>
                                    <w:lang w:val="en-GB"/>
                                  </w:rPr>
                                </w:pPr>
                                <w:sdt>
                                  <w:sdtPr>
                                    <w:rPr>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Pr>
                                        <w:sz w:val="36"/>
                                        <w:szCs w:val="36"/>
                                      </w:rPr>
                                      <w:t xml:space="preserve">     </w:t>
                                    </w:r>
                                  </w:sdtContent>
                                </w:sdt>
                                <w:r w:rsidRPr="008E7D45">
                                  <w:rPr>
                                    <w:rFonts w:ascii="Times New Roman" w:hAnsi="Times New Roman" w:cs="Times New Roman"/>
                                    <w:sz w:val="28"/>
                                    <w:szCs w:val="28"/>
                                  </w:rPr>
                                  <w:t xml:space="preserve"> </w:t>
                                </w:r>
                                <w:r w:rsidRPr="008E7D45">
                                  <w:rPr>
                                    <w:sz w:val="36"/>
                                    <w:szCs w:val="36"/>
                                  </w:rPr>
                                  <w:t>Name: Anisa Salianji</w:t>
                                </w:r>
                              </w:p>
                              <w:p w14:paraId="29B6DC05" w14:textId="77777777" w:rsidR="00E6255C" w:rsidRPr="008E7D45" w:rsidRDefault="00E6255C" w:rsidP="00E6255C">
                                <w:pPr>
                                  <w:pStyle w:val="NoSpacing"/>
                                  <w:rPr>
                                    <w:sz w:val="36"/>
                                    <w:szCs w:val="36"/>
                                  </w:rPr>
                                </w:pPr>
                                <w:r w:rsidRPr="008E7D45">
                                  <w:rPr>
                                    <w:sz w:val="36"/>
                                    <w:szCs w:val="36"/>
                                  </w:rPr>
                                  <w:t>Student ID: 2246765</w:t>
                                </w:r>
                              </w:p>
                              <w:p w14:paraId="6723752B" w14:textId="21CEE996" w:rsidR="00E6255C" w:rsidRPr="008E7D45" w:rsidRDefault="00E6255C" w:rsidP="00E6255C">
                                <w:pPr>
                                  <w:pStyle w:val="NoSpacing"/>
                                  <w:rPr>
                                    <w:sz w:val="36"/>
                                    <w:szCs w:val="36"/>
                                  </w:rPr>
                                </w:pPr>
                                <w:r w:rsidRPr="008E7D45">
                                  <w:rPr>
                                    <w:sz w:val="36"/>
                                    <w:szCs w:val="36"/>
                                  </w:rPr>
                                  <w:t xml:space="preserve">Module Name: </w:t>
                                </w:r>
                                <w:r>
                                  <w:rPr>
                                    <w:sz w:val="36"/>
                                    <w:szCs w:val="36"/>
                                  </w:rPr>
                                  <w:t>Corporate Finance</w:t>
                                </w:r>
                                <w:r w:rsidRPr="008E7D45">
                                  <w:rPr>
                                    <w:sz w:val="36"/>
                                    <w:szCs w:val="36"/>
                                  </w:rPr>
                                  <w:t xml:space="preserve"> </w:t>
                                </w:r>
                              </w:p>
                              <w:p w14:paraId="5652EC27" w14:textId="26657F8F" w:rsidR="00E6255C" w:rsidRPr="008E7D45" w:rsidRDefault="00E6255C" w:rsidP="00E6255C">
                                <w:pPr>
                                  <w:pStyle w:val="NoSpacing"/>
                                  <w:rPr>
                                    <w:sz w:val="36"/>
                                    <w:szCs w:val="36"/>
                                  </w:rPr>
                                </w:pPr>
                                <w:r w:rsidRPr="008E7D45">
                                  <w:rPr>
                                    <w:sz w:val="36"/>
                                    <w:szCs w:val="36"/>
                                  </w:rPr>
                                  <w:t xml:space="preserve">Module Code: </w:t>
                                </w:r>
                                <w:r w:rsidR="00B12064" w:rsidRPr="00B12064">
                                  <w:rPr>
                                    <w:sz w:val="36"/>
                                    <w:szCs w:val="36"/>
                                  </w:rPr>
                                  <w:t>LCMB7005</w:t>
                                </w:r>
                              </w:p>
                              <w:p w14:paraId="463A85D6" w14:textId="77777777" w:rsidR="00E6255C" w:rsidRPr="008E7D45" w:rsidRDefault="00E6255C" w:rsidP="00E6255C">
                                <w:pPr>
                                  <w:pStyle w:val="NoSpacing"/>
                                  <w:rPr>
                                    <w:sz w:val="36"/>
                                    <w:szCs w:val="36"/>
                                  </w:rPr>
                                </w:pPr>
                                <w:r w:rsidRPr="008E7D45">
                                  <w:rPr>
                                    <w:sz w:val="36"/>
                                    <w:szCs w:val="36"/>
                                  </w:rPr>
                                  <w:t xml:space="preserve">Lecturer Name: </w:t>
                                </w:r>
                                <w:r w:rsidRPr="008E7D45">
                                  <w:rPr>
                                    <w:sz w:val="36"/>
                                    <w:szCs w:val="36"/>
                                    <w:lang w:val="en-GB"/>
                                  </w:rPr>
                                  <w:t>David Coker</w:t>
                                </w:r>
                              </w:p>
                              <w:p w14:paraId="4E2D2B46" w14:textId="77777777" w:rsidR="00E6255C" w:rsidRPr="008E7D45" w:rsidRDefault="00E6255C" w:rsidP="00E6255C">
                                <w:pPr>
                                  <w:pStyle w:val="NoSpacing"/>
                                  <w:rPr>
                                    <w:sz w:val="36"/>
                                    <w:szCs w:val="36"/>
                                  </w:rPr>
                                </w:pPr>
                              </w:p>
                              <w:p w14:paraId="35E1EFAD" w14:textId="77777777" w:rsidR="00E6255C" w:rsidRPr="008E7D45" w:rsidRDefault="00E6255C" w:rsidP="00E6255C">
                                <w:pPr>
                                  <w:pStyle w:val="NoSpacing"/>
                                  <w:rPr>
                                    <w:sz w:val="36"/>
                                    <w:szCs w:val="36"/>
                                  </w:rPr>
                                </w:pPr>
                              </w:p>
                              <w:p w14:paraId="7D6C51FB" w14:textId="356E4562" w:rsidR="00CF4B73" w:rsidRDefault="00CF4B73">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CCEAFEA" id="Text Box 16" o:spid="_x0000_s1027" type="#_x0000_t202" style="position:absolute;margin-left:224.65pt;margin-top:515.6pt;width:297.4pt;height:173.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" filled="f" stroked="f" strokeweight=".5pt">
                    <v:textbox inset="0,0,0,0">
                      <w:txbxContent>
                        <w:p w14:paraId="62689977" w14:textId="77777777" w:rsidR="00E6255C" w:rsidRPr="008E7D45" w:rsidRDefault="00E6255C" w:rsidP="00E6255C">
                          <w:pPr>
                            <w:pStyle w:val="NoSpacing"/>
                            <w:rPr>
                              <w:sz w:val="36"/>
                              <w:szCs w:val="36"/>
                            </w:rPr>
                          </w:pPr>
                          <w:sdt>
                            <w:sdtPr>
                              <w:rPr>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Pr="008E7D45">
                                <w:rPr>
                                  <w:sz w:val="36"/>
                                  <w:szCs w:val="36"/>
                                </w:rPr>
                                <w:t xml:space="preserve">     </w:t>
                              </w:r>
                            </w:sdtContent>
                          </w:sdt>
                        </w:p>
                        <w:p w14:paraId="61D45467" w14:textId="2B5F27A2" w:rsidR="00E6255C" w:rsidRPr="008E7D45" w:rsidRDefault="00E6255C" w:rsidP="00E6255C">
                          <w:pPr>
                            <w:pStyle w:val="NoSpacing"/>
                            <w:rPr>
                              <w:sz w:val="36"/>
                              <w:szCs w:val="36"/>
                              <w:lang w:val="en-GB"/>
                            </w:rPr>
                          </w:pPr>
                          <w:sdt>
                            <w:sdtPr>
                              <w:rPr>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Pr>
                                  <w:sz w:val="36"/>
                                  <w:szCs w:val="36"/>
                                </w:rPr>
                                <w:t xml:space="preserve">     </w:t>
                              </w:r>
                            </w:sdtContent>
                          </w:sdt>
                          <w:r w:rsidRPr="008E7D45">
                            <w:rPr>
                              <w:rFonts w:ascii="Times New Roman" w:hAnsi="Times New Roman" w:cs="Times New Roman"/>
                              <w:sz w:val="28"/>
                              <w:szCs w:val="28"/>
                            </w:rPr>
                            <w:t xml:space="preserve"> </w:t>
                          </w:r>
                          <w:r w:rsidRPr="008E7D45">
                            <w:rPr>
                              <w:sz w:val="36"/>
                              <w:szCs w:val="36"/>
                            </w:rPr>
                            <w:t>Name: Anisa Salianji</w:t>
                          </w:r>
                        </w:p>
                        <w:p w14:paraId="29B6DC05" w14:textId="77777777" w:rsidR="00E6255C" w:rsidRPr="008E7D45" w:rsidRDefault="00E6255C" w:rsidP="00E6255C">
                          <w:pPr>
                            <w:pStyle w:val="NoSpacing"/>
                            <w:rPr>
                              <w:sz w:val="36"/>
                              <w:szCs w:val="36"/>
                            </w:rPr>
                          </w:pPr>
                          <w:r w:rsidRPr="008E7D45">
                            <w:rPr>
                              <w:sz w:val="36"/>
                              <w:szCs w:val="36"/>
                            </w:rPr>
                            <w:t>Student ID: 2246765</w:t>
                          </w:r>
                        </w:p>
                        <w:p w14:paraId="6723752B" w14:textId="21CEE996" w:rsidR="00E6255C" w:rsidRPr="008E7D45" w:rsidRDefault="00E6255C" w:rsidP="00E6255C">
                          <w:pPr>
                            <w:pStyle w:val="NoSpacing"/>
                            <w:rPr>
                              <w:sz w:val="36"/>
                              <w:szCs w:val="36"/>
                            </w:rPr>
                          </w:pPr>
                          <w:r w:rsidRPr="008E7D45">
                            <w:rPr>
                              <w:sz w:val="36"/>
                              <w:szCs w:val="36"/>
                            </w:rPr>
                            <w:t xml:space="preserve">Module Name: </w:t>
                          </w:r>
                          <w:r>
                            <w:rPr>
                              <w:sz w:val="36"/>
                              <w:szCs w:val="36"/>
                            </w:rPr>
                            <w:t>Corporate Finance</w:t>
                          </w:r>
                          <w:r w:rsidRPr="008E7D45">
                            <w:rPr>
                              <w:sz w:val="36"/>
                              <w:szCs w:val="36"/>
                            </w:rPr>
                            <w:t xml:space="preserve"> </w:t>
                          </w:r>
                        </w:p>
                        <w:p w14:paraId="5652EC27" w14:textId="26657F8F" w:rsidR="00E6255C" w:rsidRPr="008E7D45" w:rsidRDefault="00E6255C" w:rsidP="00E6255C">
                          <w:pPr>
                            <w:pStyle w:val="NoSpacing"/>
                            <w:rPr>
                              <w:sz w:val="36"/>
                              <w:szCs w:val="36"/>
                            </w:rPr>
                          </w:pPr>
                          <w:r w:rsidRPr="008E7D45">
                            <w:rPr>
                              <w:sz w:val="36"/>
                              <w:szCs w:val="36"/>
                            </w:rPr>
                            <w:t xml:space="preserve">Module Code: </w:t>
                          </w:r>
                          <w:r w:rsidR="00B12064" w:rsidRPr="00B12064">
                            <w:rPr>
                              <w:sz w:val="36"/>
                              <w:szCs w:val="36"/>
                            </w:rPr>
                            <w:t>LCMB7005</w:t>
                          </w:r>
                        </w:p>
                        <w:p w14:paraId="463A85D6" w14:textId="77777777" w:rsidR="00E6255C" w:rsidRPr="008E7D45" w:rsidRDefault="00E6255C" w:rsidP="00E6255C">
                          <w:pPr>
                            <w:pStyle w:val="NoSpacing"/>
                            <w:rPr>
                              <w:sz w:val="36"/>
                              <w:szCs w:val="36"/>
                            </w:rPr>
                          </w:pPr>
                          <w:r w:rsidRPr="008E7D45">
                            <w:rPr>
                              <w:sz w:val="36"/>
                              <w:szCs w:val="36"/>
                            </w:rPr>
                            <w:t xml:space="preserve">Lecturer Name: </w:t>
                          </w:r>
                          <w:r w:rsidRPr="008E7D45">
                            <w:rPr>
                              <w:sz w:val="36"/>
                              <w:szCs w:val="36"/>
                              <w:lang w:val="en-GB"/>
                            </w:rPr>
                            <w:t>David Coker</w:t>
                          </w:r>
                        </w:p>
                        <w:p w14:paraId="4E2D2B46" w14:textId="77777777" w:rsidR="00E6255C" w:rsidRPr="008E7D45" w:rsidRDefault="00E6255C" w:rsidP="00E6255C">
                          <w:pPr>
                            <w:pStyle w:val="NoSpacing"/>
                            <w:rPr>
                              <w:sz w:val="36"/>
                              <w:szCs w:val="36"/>
                            </w:rPr>
                          </w:pPr>
                        </w:p>
                        <w:p w14:paraId="35E1EFAD" w14:textId="77777777" w:rsidR="00E6255C" w:rsidRPr="008E7D45" w:rsidRDefault="00E6255C" w:rsidP="00E6255C">
                          <w:pPr>
                            <w:pStyle w:val="NoSpacing"/>
                            <w:rPr>
                              <w:sz w:val="36"/>
                              <w:szCs w:val="36"/>
                            </w:rPr>
                          </w:pPr>
                        </w:p>
                        <w:p w14:paraId="7D6C51FB" w14:textId="356E4562" w:rsidR="00CF4B73" w:rsidRDefault="00CF4B73">
                          <w:pPr>
                            <w:pStyle w:val="NoSpacing"/>
                            <w:jc w:val="right"/>
                            <w:rPr>
                              <w:color w:val="4472C4" w:themeColor="accent1"/>
                              <w:sz w:val="36"/>
                              <w:szCs w:val="36"/>
                            </w:rPr>
                          </w:pPr>
                        </w:p>
                      </w:txbxContent>
                    </v:textbox>
                    <w10:wrap anchorx="margin" anchory="margin"/>
                  </v:shape>
                </w:pict>
              </mc:Fallback>
            </mc:AlternateContent>
          </w:r>
          <w:r w:rsidR="00CF4B73">
            <w:rPr>
              <w:rFonts w:ascii="Times New Roman" w:hAnsi="Times New Roman" w:cs="Times New Roman"/>
              <w:sz w:val="24"/>
              <w:szCs w:val="24"/>
            </w:rPr>
            <w:br w:type="page"/>
          </w:r>
        </w:p>
      </w:sdtContent>
    </w:sdt>
    <w:sdt>
      <w:sdtPr>
        <w:rPr>
          <w:rFonts w:asciiTheme="minorHAnsi" w:eastAsiaTheme="minorHAnsi" w:hAnsiTheme="minorHAnsi" w:cstheme="minorBidi"/>
          <w:color w:val="auto"/>
          <w:kern w:val="2"/>
          <w:sz w:val="22"/>
          <w:szCs w:val="22"/>
          <w14:ligatures w14:val="standardContextual"/>
        </w:rPr>
        <w:id w:val="1377737714"/>
        <w:docPartObj>
          <w:docPartGallery w:val="Table of Contents"/>
          <w:docPartUnique/>
        </w:docPartObj>
      </w:sdtPr>
      <w:sdtEndPr>
        <w:rPr>
          <w:b/>
          <w:bCs/>
          <w:noProof/>
        </w:rPr>
      </w:sdtEndPr>
      <w:sdtContent>
        <w:p w14:paraId="2D458678" w14:textId="11C9F71F" w:rsidR="005B5038" w:rsidRDefault="005B5038">
          <w:pPr>
            <w:pStyle w:val="TOCHeading"/>
          </w:pPr>
          <w:r>
            <w:t>Contents</w:t>
          </w:r>
        </w:p>
        <w:p w14:paraId="7A49918E" w14:textId="28D1D252" w:rsidR="00825966" w:rsidRDefault="005B503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64827457" w:history="1">
            <w:r w:rsidR="00825966" w:rsidRPr="00FB110B">
              <w:rPr>
                <w:rStyle w:val="Hyperlink"/>
                <w:b/>
                <w:bCs/>
                <w:noProof/>
                <w:shd w:val="clear" w:color="auto" w:fill="FFFFFF"/>
              </w:rPr>
              <w:t>Introduction</w:t>
            </w:r>
            <w:r w:rsidR="00825966">
              <w:rPr>
                <w:noProof/>
                <w:webHidden/>
              </w:rPr>
              <w:tab/>
            </w:r>
            <w:r w:rsidR="00825966">
              <w:rPr>
                <w:noProof/>
                <w:webHidden/>
              </w:rPr>
              <w:fldChar w:fldCharType="begin"/>
            </w:r>
            <w:r w:rsidR="00825966">
              <w:rPr>
                <w:noProof/>
                <w:webHidden/>
              </w:rPr>
              <w:instrText xml:space="preserve"> PAGEREF _Toc164827457 \h </w:instrText>
            </w:r>
            <w:r w:rsidR="00825966">
              <w:rPr>
                <w:noProof/>
                <w:webHidden/>
              </w:rPr>
            </w:r>
            <w:r w:rsidR="00825966">
              <w:rPr>
                <w:noProof/>
                <w:webHidden/>
              </w:rPr>
              <w:fldChar w:fldCharType="separate"/>
            </w:r>
            <w:r w:rsidR="00825966">
              <w:rPr>
                <w:noProof/>
                <w:webHidden/>
              </w:rPr>
              <w:t>3</w:t>
            </w:r>
            <w:r w:rsidR="00825966">
              <w:rPr>
                <w:noProof/>
                <w:webHidden/>
              </w:rPr>
              <w:fldChar w:fldCharType="end"/>
            </w:r>
          </w:hyperlink>
        </w:p>
        <w:p w14:paraId="7361EE44" w14:textId="1742C902" w:rsidR="00825966" w:rsidRDefault="00B12064">
          <w:pPr>
            <w:pStyle w:val="TOC1"/>
            <w:tabs>
              <w:tab w:val="right" w:leader="dot" w:pos="9350"/>
            </w:tabs>
            <w:rPr>
              <w:rFonts w:eastAsiaTheme="minorEastAsia"/>
              <w:noProof/>
            </w:rPr>
          </w:pPr>
          <w:hyperlink w:anchor="_Toc164827458" w:history="1">
            <w:r w:rsidR="00825966" w:rsidRPr="00FB110B">
              <w:rPr>
                <w:rStyle w:val="Hyperlink"/>
                <w:b/>
                <w:bCs/>
                <w:noProof/>
                <w:shd w:val="clear" w:color="auto" w:fill="FFFFFF"/>
              </w:rPr>
              <w:t>Main Body</w:t>
            </w:r>
            <w:r w:rsidR="00825966">
              <w:rPr>
                <w:noProof/>
                <w:webHidden/>
              </w:rPr>
              <w:tab/>
            </w:r>
            <w:r w:rsidR="00825966">
              <w:rPr>
                <w:noProof/>
                <w:webHidden/>
              </w:rPr>
              <w:fldChar w:fldCharType="begin"/>
            </w:r>
            <w:r w:rsidR="00825966">
              <w:rPr>
                <w:noProof/>
                <w:webHidden/>
              </w:rPr>
              <w:instrText xml:space="preserve"> PAGEREF _Toc164827458 \h </w:instrText>
            </w:r>
            <w:r w:rsidR="00825966">
              <w:rPr>
                <w:noProof/>
                <w:webHidden/>
              </w:rPr>
            </w:r>
            <w:r w:rsidR="00825966">
              <w:rPr>
                <w:noProof/>
                <w:webHidden/>
              </w:rPr>
              <w:fldChar w:fldCharType="separate"/>
            </w:r>
            <w:r w:rsidR="00825966">
              <w:rPr>
                <w:noProof/>
                <w:webHidden/>
              </w:rPr>
              <w:t>3</w:t>
            </w:r>
            <w:r w:rsidR="00825966">
              <w:rPr>
                <w:noProof/>
                <w:webHidden/>
              </w:rPr>
              <w:fldChar w:fldCharType="end"/>
            </w:r>
          </w:hyperlink>
        </w:p>
        <w:p w14:paraId="0EFEA64F" w14:textId="0187847D" w:rsidR="00825966" w:rsidRDefault="00B12064">
          <w:pPr>
            <w:pStyle w:val="TOC2"/>
            <w:tabs>
              <w:tab w:val="right" w:leader="dot" w:pos="9350"/>
            </w:tabs>
            <w:rPr>
              <w:rFonts w:eastAsiaTheme="minorEastAsia"/>
              <w:noProof/>
            </w:rPr>
          </w:pPr>
          <w:hyperlink w:anchor="_Toc164827459" w:history="1">
            <w:r w:rsidR="00825966" w:rsidRPr="00FB110B">
              <w:rPr>
                <w:rStyle w:val="Hyperlink"/>
                <w:noProof/>
                <w:shd w:val="clear" w:color="auto" w:fill="FFFFFF"/>
              </w:rPr>
              <w:t>Overview of the Company:</w:t>
            </w:r>
            <w:r w:rsidR="00825966">
              <w:rPr>
                <w:noProof/>
                <w:webHidden/>
              </w:rPr>
              <w:tab/>
            </w:r>
            <w:r w:rsidR="00825966">
              <w:rPr>
                <w:noProof/>
                <w:webHidden/>
              </w:rPr>
              <w:fldChar w:fldCharType="begin"/>
            </w:r>
            <w:r w:rsidR="00825966">
              <w:rPr>
                <w:noProof/>
                <w:webHidden/>
              </w:rPr>
              <w:instrText xml:space="preserve"> PAGEREF _Toc164827459 \h </w:instrText>
            </w:r>
            <w:r w:rsidR="00825966">
              <w:rPr>
                <w:noProof/>
                <w:webHidden/>
              </w:rPr>
            </w:r>
            <w:r w:rsidR="00825966">
              <w:rPr>
                <w:noProof/>
                <w:webHidden/>
              </w:rPr>
              <w:fldChar w:fldCharType="separate"/>
            </w:r>
            <w:r w:rsidR="00825966">
              <w:rPr>
                <w:noProof/>
                <w:webHidden/>
              </w:rPr>
              <w:t>3</w:t>
            </w:r>
            <w:r w:rsidR="00825966">
              <w:rPr>
                <w:noProof/>
                <w:webHidden/>
              </w:rPr>
              <w:fldChar w:fldCharType="end"/>
            </w:r>
          </w:hyperlink>
        </w:p>
        <w:p w14:paraId="5A3EE510" w14:textId="4B6D8A4C" w:rsidR="00825966" w:rsidRDefault="00B12064">
          <w:pPr>
            <w:pStyle w:val="TOC2"/>
            <w:tabs>
              <w:tab w:val="right" w:leader="dot" w:pos="9350"/>
            </w:tabs>
            <w:rPr>
              <w:rFonts w:eastAsiaTheme="minorEastAsia"/>
              <w:noProof/>
            </w:rPr>
          </w:pPr>
          <w:hyperlink w:anchor="_Toc164827460" w:history="1">
            <w:r w:rsidR="00825966" w:rsidRPr="00FB110B">
              <w:rPr>
                <w:rStyle w:val="Hyperlink"/>
                <w:noProof/>
                <w:shd w:val="clear" w:color="auto" w:fill="FFFFFF"/>
              </w:rPr>
              <w:t>Business Model:</w:t>
            </w:r>
            <w:r w:rsidR="00825966">
              <w:rPr>
                <w:noProof/>
                <w:webHidden/>
              </w:rPr>
              <w:tab/>
            </w:r>
            <w:r w:rsidR="00825966">
              <w:rPr>
                <w:noProof/>
                <w:webHidden/>
              </w:rPr>
              <w:fldChar w:fldCharType="begin"/>
            </w:r>
            <w:r w:rsidR="00825966">
              <w:rPr>
                <w:noProof/>
                <w:webHidden/>
              </w:rPr>
              <w:instrText xml:space="preserve"> PAGEREF _Toc164827460 \h </w:instrText>
            </w:r>
            <w:r w:rsidR="00825966">
              <w:rPr>
                <w:noProof/>
                <w:webHidden/>
              </w:rPr>
            </w:r>
            <w:r w:rsidR="00825966">
              <w:rPr>
                <w:noProof/>
                <w:webHidden/>
              </w:rPr>
              <w:fldChar w:fldCharType="separate"/>
            </w:r>
            <w:r w:rsidR="00825966">
              <w:rPr>
                <w:noProof/>
                <w:webHidden/>
              </w:rPr>
              <w:t>4</w:t>
            </w:r>
            <w:r w:rsidR="00825966">
              <w:rPr>
                <w:noProof/>
                <w:webHidden/>
              </w:rPr>
              <w:fldChar w:fldCharType="end"/>
            </w:r>
          </w:hyperlink>
        </w:p>
        <w:p w14:paraId="39E671C7" w14:textId="1928277F" w:rsidR="00825966" w:rsidRDefault="00B12064">
          <w:pPr>
            <w:pStyle w:val="TOC2"/>
            <w:tabs>
              <w:tab w:val="right" w:leader="dot" w:pos="9350"/>
            </w:tabs>
            <w:rPr>
              <w:rFonts w:eastAsiaTheme="minorEastAsia"/>
              <w:noProof/>
            </w:rPr>
          </w:pPr>
          <w:hyperlink w:anchor="_Toc164827461" w:history="1">
            <w:r w:rsidR="00825966" w:rsidRPr="00FB110B">
              <w:rPr>
                <w:rStyle w:val="Hyperlink"/>
                <w:noProof/>
                <w:shd w:val="clear" w:color="auto" w:fill="FFFFFF"/>
              </w:rPr>
              <w:t>Market place:</w:t>
            </w:r>
            <w:r w:rsidR="00825966">
              <w:rPr>
                <w:noProof/>
                <w:webHidden/>
              </w:rPr>
              <w:tab/>
            </w:r>
            <w:r w:rsidR="00825966">
              <w:rPr>
                <w:noProof/>
                <w:webHidden/>
              </w:rPr>
              <w:fldChar w:fldCharType="begin"/>
            </w:r>
            <w:r w:rsidR="00825966">
              <w:rPr>
                <w:noProof/>
                <w:webHidden/>
              </w:rPr>
              <w:instrText xml:space="preserve"> PAGEREF _Toc164827461 \h </w:instrText>
            </w:r>
            <w:r w:rsidR="00825966">
              <w:rPr>
                <w:noProof/>
                <w:webHidden/>
              </w:rPr>
            </w:r>
            <w:r w:rsidR="00825966">
              <w:rPr>
                <w:noProof/>
                <w:webHidden/>
              </w:rPr>
              <w:fldChar w:fldCharType="separate"/>
            </w:r>
            <w:r w:rsidR="00825966">
              <w:rPr>
                <w:noProof/>
                <w:webHidden/>
              </w:rPr>
              <w:t>5</w:t>
            </w:r>
            <w:r w:rsidR="00825966">
              <w:rPr>
                <w:noProof/>
                <w:webHidden/>
              </w:rPr>
              <w:fldChar w:fldCharType="end"/>
            </w:r>
          </w:hyperlink>
        </w:p>
        <w:p w14:paraId="58A7A666" w14:textId="6DB6FDBF" w:rsidR="00825966" w:rsidRDefault="00B12064">
          <w:pPr>
            <w:pStyle w:val="TOC2"/>
            <w:tabs>
              <w:tab w:val="right" w:leader="dot" w:pos="9350"/>
            </w:tabs>
            <w:rPr>
              <w:rFonts w:eastAsiaTheme="minorEastAsia"/>
              <w:noProof/>
            </w:rPr>
          </w:pPr>
          <w:hyperlink w:anchor="_Toc164827462" w:history="1">
            <w:r w:rsidR="00825966" w:rsidRPr="00FB110B">
              <w:rPr>
                <w:rStyle w:val="Hyperlink"/>
                <w:noProof/>
              </w:rPr>
              <w:t>Major Competitors:</w:t>
            </w:r>
            <w:r w:rsidR="00825966">
              <w:rPr>
                <w:noProof/>
                <w:webHidden/>
              </w:rPr>
              <w:tab/>
            </w:r>
            <w:r w:rsidR="00825966">
              <w:rPr>
                <w:noProof/>
                <w:webHidden/>
              </w:rPr>
              <w:fldChar w:fldCharType="begin"/>
            </w:r>
            <w:r w:rsidR="00825966">
              <w:rPr>
                <w:noProof/>
                <w:webHidden/>
              </w:rPr>
              <w:instrText xml:space="preserve"> PAGEREF _Toc164827462 \h </w:instrText>
            </w:r>
            <w:r w:rsidR="00825966">
              <w:rPr>
                <w:noProof/>
                <w:webHidden/>
              </w:rPr>
            </w:r>
            <w:r w:rsidR="00825966">
              <w:rPr>
                <w:noProof/>
                <w:webHidden/>
              </w:rPr>
              <w:fldChar w:fldCharType="separate"/>
            </w:r>
            <w:r w:rsidR="00825966">
              <w:rPr>
                <w:noProof/>
                <w:webHidden/>
              </w:rPr>
              <w:t>5</w:t>
            </w:r>
            <w:r w:rsidR="00825966">
              <w:rPr>
                <w:noProof/>
                <w:webHidden/>
              </w:rPr>
              <w:fldChar w:fldCharType="end"/>
            </w:r>
          </w:hyperlink>
        </w:p>
        <w:p w14:paraId="32A77F5B" w14:textId="3978E219" w:rsidR="00825966" w:rsidRDefault="00B12064">
          <w:pPr>
            <w:pStyle w:val="TOC2"/>
            <w:tabs>
              <w:tab w:val="right" w:leader="dot" w:pos="9350"/>
            </w:tabs>
            <w:rPr>
              <w:rFonts w:eastAsiaTheme="minorEastAsia"/>
              <w:noProof/>
            </w:rPr>
          </w:pPr>
          <w:hyperlink w:anchor="_Toc164827463" w:history="1">
            <w:r w:rsidR="00825966" w:rsidRPr="00FB110B">
              <w:rPr>
                <w:rStyle w:val="Hyperlink"/>
                <w:noProof/>
              </w:rPr>
              <w:t>Major events over the past five years:</w:t>
            </w:r>
            <w:r w:rsidR="00825966">
              <w:rPr>
                <w:noProof/>
                <w:webHidden/>
              </w:rPr>
              <w:tab/>
            </w:r>
            <w:r w:rsidR="00825966">
              <w:rPr>
                <w:noProof/>
                <w:webHidden/>
              </w:rPr>
              <w:fldChar w:fldCharType="begin"/>
            </w:r>
            <w:r w:rsidR="00825966">
              <w:rPr>
                <w:noProof/>
                <w:webHidden/>
              </w:rPr>
              <w:instrText xml:space="preserve"> PAGEREF _Toc164827463 \h </w:instrText>
            </w:r>
            <w:r w:rsidR="00825966">
              <w:rPr>
                <w:noProof/>
                <w:webHidden/>
              </w:rPr>
            </w:r>
            <w:r w:rsidR="00825966">
              <w:rPr>
                <w:noProof/>
                <w:webHidden/>
              </w:rPr>
              <w:fldChar w:fldCharType="separate"/>
            </w:r>
            <w:r w:rsidR="00825966">
              <w:rPr>
                <w:noProof/>
                <w:webHidden/>
              </w:rPr>
              <w:t>6</w:t>
            </w:r>
            <w:r w:rsidR="00825966">
              <w:rPr>
                <w:noProof/>
                <w:webHidden/>
              </w:rPr>
              <w:fldChar w:fldCharType="end"/>
            </w:r>
          </w:hyperlink>
        </w:p>
        <w:p w14:paraId="5ECD99E7" w14:textId="2600F2C3" w:rsidR="00825966" w:rsidRDefault="00B12064">
          <w:pPr>
            <w:pStyle w:val="TOC2"/>
            <w:tabs>
              <w:tab w:val="right" w:leader="dot" w:pos="9350"/>
            </w:tabs>
            <w:rPr>
              <w:rFonts w:eastAsiaTheme="minorEastAsia"/>
              <w:noProof/>
            </w:rPr>
          </w:pPr>
          <w:hyperlink w:anchor="_Toc164827464" w:history="1">
            <w:r w:rsidR="00825966" w:rsidRPr="00FB110B">
              <w:rPr>
                <w:rStyle w:val="Hyperlink"/>
                <w:noProof/>
              </w:rPr>
              <w:t>Liquidity and Leverage Ratios of Walmart</w:t>
            </w:r>
            <w:r w:rsidR="00825966">
              <w:rPr>
                <w:noProof/>
                <w:webHidden/>
              </w:rPr>
              <w:tab/>
            </w:r>
            <w:r w:rsidR="00825966">
              <w:rPr>
                <w:noProof/>
                <w:webHidden/>
              </w:rPr>
              <w:fldChar w:fldCharType="begin"/>
            </w:r>
            <w:r w:rsidR="00825966">
              <w:rPr>
                <w:noProof/>
                <w:webHidden/>
              </w:rPr>
              <w:instrText xml:space="preserve"> PAGEREF _Toc164827464 \h </w:instrText>
            </w:r>
            <w:r w:rsidR="00825966">
              <w:rPr>
                <w:noProof/>
                <w:webHidden/>
              </w:rPr>
            </w:r>
            <w:r w:rsidR="00825966">
              <w:rPr>
                <w:noProof/>
                <w:webHidden/>
              </w:rPr>
              <w:fldChar w:fldCharType="separate"/>
            </w:r>
            <w:r w:rsidR="00825966">
              <w:rPr>
                <w:noProof/>
                <w:webHidden/>
              </w:rPr>
              <w:t>7</w:t>
            </w:r>
            <w:r w:rsidR="00825966">
              <w:rPr>
                <w:noProof/>
                <w:webHidden/>
              </w:rPr>
              <w:fldChar w:fldCharType="end"/>
            </w:r>
          </w:hyperlink>
        </w:p>
        <w:p w14:paraId="10961693" w14:textId="22F47B65" w:rsidR="00825966" w:rsidRDefault="00B12064">
          <w:pPr>
            <w:pStyle w:val="TOC3"/>
            <w:tabs>
              <w:tab w:val="right" w:leader="dot" w:pos="9350"/>
            </w:tabs>
            <w:rPr>
              <w:rFonts w:eastAsiaTheme="minorEastAsia"/>
              <w:noProof/>
            </w:rPr>
          </w:pPr>
          <w:hyperlink w:anchor="_Toc164827465" w:history="1">
            <w:r w:rsidR="00825966" w:rsidRPr="00FB110B">
              <w:rPr>
                <w:rStyle w:val="Hyperlink"/>
                <w:b/>
                <w:bCs/>
                <w:noProof/>
              </w:rPr>
              <w:t>Liquidity Ratio</w:t>
            </w:r>
            <w:r w:rsidR="00825966">
              <w:rPr>
                <w:noProof/>
                <w:webHidden/>
              </w:rPr>
              <w:tab/>
            </w:r>
            <w:r w:rsidR="00825966">
              <w:rPr>
                <w:noProof/>
                <w:webHidden/>
              </w:rPr>
              <w:fldChar w:fldCharType="begin"/>
            </w:r>
            <w:r w:rsidR="00825966">
              <w:rPr>
                <w:noProof/>
                <w:webHidden/>
              </w:rPr>
              <w:instrText xml:space="preserve"> PAGEREF _Toc164827465 \h </w:instrText>
            </w:r>
            <w:r w:rsidR="00825966">
              <w:rPr>
                <w:noProof/>
                <w:webHidden/>
              </w:rPr>
            </w:r>
            <w:r w:rsidR="00825966">
              <w:rPr>
                <w:noProof/>
                <w:webHidden/>
              </w:rPr>
              <w:fldChar w:fldCharType="separate"/>
            </w:r>
            <w:r w:rsidR="00825966">
              <w:rPr>
                <w:noProof/>
                <w:webHidden/>
              </w:rPr>
              <w:t>7</w:t>
            </w:r>
            <w:r w:rsidR="00825966">
              <w:rPr>
                <w:noProof/>
                <w:webHidden/>
              </w:rPr>
              <w:fldChar w:fldCharType="end"/>
            </w:r>
          </w:hyperlink>
        </w:p>
        <w:p w14:paraId="68ECCF34" w14:textId="1113D138" w:rsidR="00825966" w:rsidRDefault="00B12064">
          <w:pPr>
            <w:pStyle w:val="TOC3"/>
            <w:tabs>
              <w:tab w:val="right" w:leader="dot" w:pos="9350"/>
            </w:tabs>
            <w:rPr>
              <w:rFonts w:eastAsiaTheme="minorEastAsia"/>
              <w:noProof/>
            </w:rPr>
          </w:pPr>
          <w:hyperlink w:anchor="_Toc164827466" w:history="1">
            <w:r w:rsidR="00825966" w:rsidRPr="00FB110B">
              <w:rPr>
                <w:rStyle w:val="Hyperlink"/>
                <w:b/>
                <w:bCs/>
                <w:noProof/>
              </w:rPr>
              <w:t>Leverage Ratio</w:t>
            </w:r>
            <w:r w:rsidR="00825966">
              <w:rPr>
                <w:noProof/>
                <w:webHidden/>
              </w:rPr>
              <w:tab/>
            </w:r>
            <w:r w:rsidR="00825966">
              <w:rPr>
                <w:noProof/>
                <w:webHidden/>
              </w:rPr>
              <w:fldChar w:fldCharType="begin"/>
            </w:r>
            <w:r w:rsidR="00825966">
              <w:rPr>
                <w:noProof/>
                <w:webHidden/>
              </w:rPr>
              <w:instrText xml:space="preserve"> PAGEREF _Toc164827466 \h </w:instrText>
            </w:r>
            <w:r w:rsidR="00825966">
              <w:rPr>
                <w:noProof/>
                <w:webHidden/>
              </w:rPr>
            </w:r>
            <w:r w:rsidR="00825966">
              <w:rPr>
                <w:noProof/>
                <w:webHidden/>
              </w:rPr>
              <w:fldChar w:fldCharType="separate"/>
            </w:r>
            <w:r w:rsidR="00825966">
              <w:rPr>
                <w:noProof/>
                <w:webHidden/>
              </w:rPr>
              <w:t>9</w:t>
            </w:r>
            <w:r w:rsidR="00825966">
              <w:rPr>
                <w:noProof/>
                <w:webHidden/>
              </w:rPr>
              <w:fldChar w:fldCharType="end"/>
            </w:r>
          </w:hyperlink>
        </w:p>
        <w:p w14:paraId="5FD5FADF" w14:textId="2D00F387" w:rsidR="00825966" w:rsidRDefault="00B12064">
          <w:pPr>
            <w:pStyle w:val="TOC2"/>
            <w:tabs>
              <w:tab w:val="right" w:leader="dot" w:pos="9350"/>
            </w:tabs>
            <w:rPr>
              <w:rFonts w:eastAsiaTheme="minorEastAsia"/>
              <w:noProof/>
            </w:rPr>
          </w:pPr>
          <w:hyperlink w:anchor="_Toc164827467" w:history="1">
            <w:r w:rsidR="00825966" w:rsidRPr="00FB110B">
              <w:rPr>
                <w:rStyle w:val="Hyperlink"/>
                <w:noProof/>
              </w:rPr>
              <w:t>Liquidity and Financial ratios of Target</w:t>
            </w:r>
            <w:r w:rsidR="00825966">
              <w:rPr>
                <w:noProof/>
                <w:webHidden/>
              </w:rPr>
              <w:tab/>
            </w:r>
            <w:r w:rsidR="00825966">
              <w:rPr>
                <w:noProof/>
                <w:webHidden/>
              </w:rPr>
              <w:fldChar w:fldCharType="begin"/>
            </w:r>
            <w:r w:rsidR="00825966">
              <w:rPr>
                <w:noProof/>
                <w:webHidden/>
              </w:rPr>
              <w:instrText xml:space="preserve"> PAGEREF _Toc164827467 \h </w:instrText>
            </w:r>
            <w:r w:rsidR="00825966">
              <w:rPr>
                <w:noProof/>
                <w:webHidden/>
              </w:rPr>
            </w:r>
            <w:r w:rsidR="00825966">
              <w:rPr>
                <w:noProof/>
                <w:webHidden/>
              </w:rPr>
              <w:fldChar w:fldCharType="separate"/>
            </w:r>
            <w:r w:rsidR="00825966">
              <w:rPr>
                <w:noProof/>
                <w:webHidden/>
              </w:rPr>
              <w:t>10</w:t>
            </w:r>
            <w:r w:rsidR="00825966">
              <w:rPr>
                <w:noProof/>
                <w:webHidden/>
              </w:rPr>
              <w:fldChar w:fldCharType="end"/>
            </w:r>
          </w:hyperlink>
        </w:p>
        <w:p w14:paraId="2F0615F4" w14:textId="68A18915" w:rsidR="00825966" w:rsidRDefault="00B12064">
          <w:pPr>
            <w:pStyle w:val="TOC3"/>
            <w:tabs>
              <w:tab w:val="right" w:leader="dot" w:pos="9350"/>
            </w:tabs>
            <w:rPr>
              <w:rFonts w:eastAsiaTheme="minorEastAsia"/>
              <w:noProof/>
            </w:rPr>
          </w:pPr>
          <w:hyperlink w:anchor="_Toc164827468" w:history="1">
            <w:r w:rsidR="00825966" w:rsidRPr="00FB110B">
              <w:rPr>
                <w:rStyle w:val="Hyperlink"/>
                <w:b/>
                <w:bCs/>
                <w:noProof/>
              </w:rPr>
              <w:t>Liquidity Ratio</w:t>
            </w:r>
            <w:r w:rsidR="00825966">
              <w:rPr>
                <w:noProof/>
                <w:webHidden/>
              </w:rPr>
              <w:tab/>
            </w:r>
            <w:r w:rsidR="00825966">
              <w:rPr>
                <w:noProof/>
                <w:webHidden/>
              </w:rPr>
              <w:fldChar w:fldCharType="begin"/>
            </w:r>
            <w:r w:rsidR="00825966">
              <w:rPr>
                <w:noProof/>
                <w:webHidden/>
              </w:rPr>
              <w:instrText xml:space="preserve"> PAGEREF _Toc164827468 \h </w:instrText>
            </w:r>
            <w:r w:rsidR="00825966">
              <w:rPr>
                <w:noProof/>
                <w:webHidden/>
              </w:rPr>
            </w:r>
            <w:r w:rsidR="00825966">
              <w:rPr>
                <w:noProof/>
                <w:webHidden/>
              </w:rPr>
              <w:fldChar w:fldCharType="separate"/>
            </w:r>
            <w:r w:rsidR="00825966">
              <w:rPr>
                <w:noProof/>
                <w:webHidden/>
              </w:rPr>
              <w:t>10</w:t>
            </w:r>
            <w:r w:rsidR="00825966">
              <w:rPr>
                <w:noProof/>
                <w:webHidden/>
              </w:rPr>
              <w:fldChar w:fldCharType="end"/>
            </w:r>
          </w:hyperlink>
        </w:p>
        <w:p w14:paraId="1784FC6C" w14:textId="3ADE26F9" w:rsidR="00825966" w:rsidRDefault="00B12064">
          <w:pPr>
            <w:pStyle w:val="TOC3"/>
            <w:tabs>
              <w:tab w:val="right" w:leader="dot" w:pos="9350"/>
            </w:tabs>
            <w:rPr>
              <w:rFonts w:eastAsiaTheme="minorEastAsia"/>
              <w:noProof/>
            </w:rPr>
          </w:pPr>
          <w:hyperlink w:anchor="_Toc164827469" w:history="1">
            <w:r w:rsidR="00825966" w:rsidRPr="00FB110B">
              <w:rPr>
                <w:rStyle w:val="Hyperlink"/>
                <w:b/>
                <w:bCs/>
                <w:noProof/>
              </w:rPr>
              <w:t>Leverage Ratio</w:t>
            </w:r>
            <w:r w:rsidR="00825966">
              <w:rPr>
                <w:noProof/>
                <w:webHidden/>
              </w:rPr>
              <w:tab/>
            </w:r>
            <w:r w:rsidR="00825966">
              <w:rPr>
                <w:noProof/>
                <w:webHidden/>
              </w:rPr>
              <w:fldChar w:fldCharType="begin"/>
            </w:r>
            <w:r w:rsidR="00825966">
              <w:rPr>
                <w:noProof/>
                <w:webHidden/>
              </w:rPr>
              <w:instrText xml:space="preserve"> PAGEREF _Toc164827469 \h </w:instrText>
            </w:r>
            <w:r w:rsidR="00825966">
              <w:rPr>
                <w:noProof/>
                <w:webHidden/>
              </w:rPr>
            </w:r>
            <w:r w:rsidR="00825966">
              <w:rPr>
                <w:noProof/>
                <w:webHidden/>
              </w:rPr>
              <w:fldChar w:fldCharType="separate"/>
            </w:r>
            <w:r w:rsidR="00825966">
              <w:rPr>
                <w:noProof/>
                <w:webHidden/>
              </w:rPr>
              <w:t>11</w:t>
            </w:r>
            <w:r w:rsidR="00825966">
              <w:rPr>
                <w:noProof/>
                <w:webHidden/>
              </w:rPr>
              <w:fldChar w:fldCharType="end"/>
            </w:r>
          </w:hyperlink>
        </w:p>
        <w:p w14:paraId="63D47959" w14:textId="682956EF" w:rsidR="00825966" w:rsidRDefault="00B12064">
          <w:pPr>
            <w:pStyle w:val="TOC3"/>
            <w:tabs>
              <w:tab w:val="right" w:leader="dot" w:pos="9350"/>
            </w:tabs>
            <w:rPr>
              <w:rFonts w:eastAsiaTheme="minorEastAsia"/>
              <w:noProof/>
            </w:rPr>
          </w:pPr>
          <w:hyperlink w:anchor="_Toc164827470" w:history="1">
            <w:r w:rsidR="00825966" w:rsidRPr="00FB110B">
              <w:rPr>
                <w:rStyle w:val="Hyperlink"/>
                <w:rFonts w:eastAsia="Times New Roman"/>
                <w:b/>
                <w:bCs/>
                <w:noProof/>
              </w:rPr>
              <w:t>Analysis of Debt-to-Equity Ratio:</w:t>
            </w:r>
            <w:r w:rsidR="00825966">
              <w:rPr>
                <w:noProof/>
                <w:webHidden/>
              </w:rPr>
              <w:tab/>
            </w:r>
            <w:r w:rsidR="00825966">
              <w:rPr>
                <w:noProof/>
                <w:webHidden/>
              </w:rPr>
              <w:fldChar w:fldCharType="begin"/>
            </w:r>
            <w:r w:rsidR="00825966">
              <w:rPr>
                <w:noProof/>
                <w:webHidden/>
              </w:rPr>
              <w:instrText xml:space="preserve"> PAGEREF _Toc164827470 \h </w:instrText>
            </w:r>
            <w:r w:rsidR="00825966">
              <w:rPr>
                <w:noProof/>
                <w:webHidden/>
              </w:rPr>
            </w:r>
            <w:r w:rsidR="00825966">
              <w:rPr>
                <w:noProof/>
                <w:webHidden/>
              </w:rPr>
              <w:fldChar w:fldCharType="separate"/>
            </w:r>
            <w:r w:rsidR="00825966">
              <w:rPr>
                <w:noProof/>
                <w:webHidden/>
              </w:rPr>
              <w:t>12</w:t>
            </w:r>
            <w:r w:rsidR="00825966">
              <w:rPr>
                <w:noProof/>
                <w:webHidden/>
              </w:rPr>
              <w:fldChar w:fldCharType="end"/>
            </w:r>
          </w:hyperlink>
        </w:p>
        <w:p w14:paraId="69403B6C" w14:textId="12F87165" w:rsidR="00825966" w:rsidRDefault="00B12064">
          <w:pPr>
            <w:pStyle w:val="TOC3"/>
            <w:tabs>
              <w:tab w:val="right" w:leader="dot" w:pos="9350"/>
            </w:tabs>
            <w:rPr>
              <w:rFonts w:eastAsiaTheme="minorEastAsia"/>
              <w:noProof/>
            </w:rPr>
          </w:pPr>
          <w:hyperlink w:anchor="_Toc164827471" w:history="1">
            <w:r w:rsidR="00825966" w:rsidRPr="00FB110B">
              <w:rPr>
                <w:rStyle w:val="Hyperlink"/>
                <w:rFonts w:eastAsia="Times New Roman"/>
                <w:b/>
                <w:bCs/>
                <w:noProof/>
              </w:rPr>
              <w:t>Analysis of Debt-to-Total Assets Ratio:</w:t>
            </w:r>
            <w:r w:rsidR="00825966">
              <w:rPr>
                <w:noProof/>
                <w:webHidden/>
              </w:rPr>
              <w:tab/>
            </w:r>
            <w:r w:rsidR="00825966">
              <w:rPr>
                <w:noProof/>
                <w:webHidden/>
              </w:rPr>
              <w:fldChar w:fldCharType="begin"/>
            </w:r>
            <w:r w:rsidR="00825966">
              <w:rPr>
                <w:noProof/>
                <w:webHidden/>
              </w:rPr>
              <w:instrText xml:space="preserve"> PAGEREF _Toc164827471 \h </w:instrText>
            </w:r>
            <w:r w:rsidR="00825966">
              <w:rPr>
                <w:noProof/>
                <w:webHidden/>
              </w:rPr>
            </w:r>
            <w:r w:rsidR="00825966">
              <w:rPr>
                <w:noProof/>
                <w:webHidden/>
              </w:rPr>
              <w:fldChar w:fldCharType="separate"/>
            </w:r>
            <w:r w:rsidR="00825966">
              <w:rPr>
                <w:noProof/>
                <w:webHidden/>
              </w:rPr>
              <w:t>12</w:t>
            </w:r>
            <w:r w:rsidR="00825966">
              <w:rPr>
                <w:noProof/>
                <w:webHidden/>
              </w:rPr>
              <w:fldChar w:fldCharType="end"/>
            </w:r>
          </w:hyperlink>
        </w:p>
        <w:p w14:paraId="6034943F" w14:textId="236FA3E7" w:rsidR="00825966" w:rsidRDefault="00B12064">
          <w:pPr>
            <w:pStyle w:val="TOC2"/>
            <w:tabs>
              <w:tab w:val="right" w:leader="dot" w:pos="9350"/>
            </w:tabs>
            <w:rPr>
              <w:rFonts w:eastAsiaTheme="minorEastAsia"/>
              <w:noProof/>
            </w:rPr>
          </w:pPr>
          <w:hyperlink w:anchor="_Toc164827472" w:history="1">
            <w:r w:rsidR="00825966" w:rsidRPr="00FB110B">
              <w:rPr>
                <w:rStyle w:val="Hyperlink"/>
                <w:noProof/>
              </w:rPr>
              <w:t>Comparison of Liquidity Ratio of Walmart and Target</w:t>
            </w:r>
            <w:r w:rsidR="00825966">
              <w:rPr>
                <w:noProof/>
                <w:webHidden/>
              </w:rPr>
              <w:tab/>
            </w:r>
            <w:r w:rsidR="00825966">
              <w:rPr>
                <w:noProof/>
                <w:webHidden/>
              </w:rPr>
              <w:fldChar w:fldCharType="begin"/>
            </w:r>
            <w:r w:rsidR="00825966">
              <w:rPr>
                <w:noProof/>
                <w:webHidden/>
              </w:rPr>
              <w:instrText xml:space="preserve"> PAGEREF _Toc164827472 \h </w:instrText>
            </w:r>
            <w:r w:rsidR="00825966">
              <w:rPr>
                <w:noProof/>
                <w:webHidden/>
              </w:rPr>
            </w:r>
            <w:r w:rsidR="00825966">
              <w:rPr>
                <w:noProof/>
                <w:webHidden/>
              </w:rPr>
              <w:fldChar w:fldCharType="separate"/>
            </w:r>
            <w:r w:rsidR="00825966">
              <w:rPr>
                <w:noProof/>
                <w:webHidden/>
              </w:rPr>
              <w:t>12</w:t>
            </w:r>
            <w:r w:rsidR="00825966">
              <w:rPr>
                <w:noProof/>
                <w:webHidden/>
              </w:rPr>
              <w:fldChar w:fldCharType="end"/>
            </w:r>
          </w:hyperlink>
        </w:p>
        <w:p w14:paraId="5C2811F2" w14:textId="54EDA860" w:rsidR="00825966" w:rsidRDefault="00B12064">
          <w:pPr>
            <w:pStyle w:val="TOC2"/>
            <w:tabs>
              <w:tab w:val="right" w:leader="dot" w:pos="9350"/>
            </w:tabs>
            <w:rPr>
              <w:rFonts w:eastAsiaTheme="minorEastAsia"/>
              <w:noProof/>
            </w:rPr>
          </w:pPr>
          <w:hyperlink w:anchor="_Toc164827473" w:history="1">
            <w:r w:rsidR="00825966" w:rsidRPr="00FB110B">
              <w:rPr>
                <w:rStyle w:val="Hyperlink"/>
                <w:noProof/>
              </w:rPr>
              <w:t>Capital Structure Theory:</w:t>
            </w:r>
            <w:r w:rsidR="00825966">
              <w:rPr>
                <w:noProof/>
                <w:webHidden/>
              </w:rPr>
              <w:tab/>
            </w:r>
            <w:r w:rsidR="00825966">
              <w:rPr>
                <w:noProof/>
                <w:webHidden/>
              </w:rPr>
              <w:fldChar w:fldCharType="begin"/>
            </w:r>
            <w:r w:rsidR="00825966">
              <w:rPr>
                <w:noProof/>
                <w:webHidden/>
              </w:rPr>
              <w:instrText xml:space="preserve"> PAGEREF _Toc164827473 \h </w:instrText>
            </w:r>
            <w:r w:rsidR="00825966">
              <w:rPr>
                <w:noProof/>
                <w:webHidden/>
              </w:rPr>
            </w:r>
            <w:r w:rsidR="00825966">
              <w:rPr>
                <w:noProof/>
                <w:webHidden/>
              </w:rPr>
              <w:fldChar w:fldCharType="separate"/>
            </w:r>
            <w:r w:rsidR="00825966">
              <w:rPr>
                <w:noProof/>
                <w:webHidden/>
              </w:rPr>
              <w:t>13</w:t>
            </w:r>
            <w:r w:rsidR="00825966">
              <w:rPr>
                <w:noProof/>
                <w:webHidden/>
              </w:rPr>
              <w:fldChar w:fldCharType="end"/>
            </w:r>
          </w:hyperlink>
        </w:p>
        <w:p w14:paraId="084561AF" w14:textId="7C888689" w:rsidR="00825966" w:rsidRDefault="00B12064">
          <w:pPr>
            <w:pStyle w:val="TOC3"/>
            <w:tabs>
              <w:tab w:val="right" w:leader="dot" w:pos="9350"/>
            </w:tabs>
            <w:rPr>
              <w:rFonts w:eastAsiaTheme="minorEastAsia"/>
              <w:noProof/>
            </w:rPr>
          </w:pPr>
          <w:hyperlink w:anchor="_Toc164827474" w:history="1">
            <w:r w:rsidR="00825966" w:rsidRPr="00FB110B">
              <w:rPr>
                <w:rStyle w:val="Hyperlink"/>
                <w:b/>
                <w:bCs/>
                <w:noProof/>
              </w:rPr>
              <w:t>Traditional Capital Structure Theory</w:t>
            </w:r>
            <w:r w:rsidR="00825966">
              <w:rPr>
                <w:noProof/>
                <w:webHidden/>
              </w:rPr>
              <w:tab/>
            </w:r>
            <w:r w:rsidR="00825966">
              <w:rPr>
                <w:noProof/>
                <w:webHidden/>
              </w:rPr>
              <w:fldChar w:fldCharType="begin"/>
            </w:r>
            <w:r w:rsidR="00825966">
              <w:rPr>
                <w:noProof/>
                <w:webHidden/>
              </w:rPr>
              <w:instrText xml:space="preserve"> PAGEREF _Toc164827474 \h </w:instrText>
            </w:r>
            <w:r w:rsidR="00825966">
              <w:rPr>
                <w:noProof/>
                <w:webHidden/>
              </w:rPr>
            </w:r>
            <w:r w:rsidR="00825966">
              <w:rPr>
                <w:noProof/>
                <w:webHidden/>
              </w:rPr>
              <w:fldChar w:fldCharType="separate"/>
            </w:r>
            <w:r w:rsidR="00825966">
              <w:rPr>
                <w:noProof/>
                <w:webHidden/>
              </w:rPr>
              <w:t>13</w:t>
            </w:r>
            <w:r w:rsidR="00825966">
              <w:rPr>
                <w:noProof/>
                <w:webHidden/>
              </w:rPr>
              <w:fldChar w:fldCharType="end"/>
            </w:r>
          </w:hyperlink>
        </w:p>
        <w:p w14:paraId="68C13836" w14:textId="342D2DEE" w:rsidR="00825966" w:rsidRDefault="00B12064">
          <w:pPr>
            <w:pStyle w:val="TOC2"/>
            <w:tabs>
              <w:tab w:val="right" w:leader="dot" w:pos="9350"/>
            </w:tabs>
            <w:rPr>
              <w:rFonts w:eastAsiaTheme="minorEastAsia"/>
              <w:noProof/>
            </w:rPr>
          </w:pPr>
          <w:hyperlink w:anchor="_Toc164827475" w:history="1">
            <w:r w:rsidR="00825966" w:rsidRPr="00FB110B">
              <w:rPr>
                <w:rStyle w:val="Hyperlink"/>
                <w:noProof/>
              </w:rPr>
              <w:t>Walmart and Traditional Capital structure theory</w:t>
            </w:r>
            <w:r w:rsidR="00825966">
              <w:rPr>
                <w:noProof/>
                <w:webHidden/>
              </w:rPr>
              <w:tab/>
            </w:r>
            <w:r w:rsidR="00825966">
              <w:rPr>
                <w:noProof/>
                <w:webHidden/>
              </w:rPr>
              <w:fldChar w:fldCharType="begin"/>
            </w:r>
            <w:r w:rsidR="00825966">
              <w:rPr>
                <w:noProof/>
                <w:webHidden/>
              </w:rPr>
              <w:instrText xml:space="preserve"> PAGEREF _Toc164827475 \h </w:instrText>
            </w:r>
            <w:r w:rsidR="00825966">
              <w:rPr>
                <w:noProof/>
                <w:webHidden/>
              </w:rPr>
            </w:r>
            <w:r w:rsidR="00825966">
              <w:rPr>
                <w:noProof/>
                <w:webHidden/>
              </w:rPr>
              <w:fldChar w:fldCharType="separate"/>
            </w:r>
            <w:r w:rsidR="00825966">
              <w:rPr>
                <w:noProof/>
                <w:webHidden/>
              </w:rPr>
              <w:t>14</w:t>
            </w:r>
            <w:r w:rsidR="00825966">
              <w:rPr>
                <w:noProof/>
                <w:webHidden/>
              </w:rPr>
              <w:fldChar w:fldCharType="end"/>
            </w:r>
          </w:hyperlink>
        </w:p>
        <w:p w14:paraId="57964DF3" w14:textId="6EFB6883" w:rsidR="00825966" w:rsidRDefault="00B12064">
          <w:pPr>
            <w:pStyle w:val="TOC2"/>
            <w:tabs>
              <w:tab w:val="right" w:leader="dot" w:pos="9350"/>
            </w:tabs>
            <w:rPr>
              <w:rFonts w:eastAsiaTheme="minorEastAsia"/>
              <w:noProof/>
            </w:rPr>
          </w:pPr>
          <w:hyperlink w:anchor="_Toc164827476" w:history="1">
            <w:r w:rsidR="00825966" w:rsidRPr="00FB110B">
              <w:rPr>
                <w:rStyle w:val="Hyperlink"/>
                <w:noProof/>
              </w:rPr>
              <w:t>Average annual share return</w:t>
            </w:r>
            <w:r w:rsidR="00825966">
              <w:rPr>
                <w:noProof/>
                <w:webHidden/>
              </w:rPr>
              <w:tab/>
            </w:r>
            <w:r w:rsidR="00825966">
              <w:rPr>
                <w:noProof/>
                <w:webHidden/>
              </w:rPr>
              <w:fldChar w:fldCharType="begin"/>
            </w:r>
            <w:r w:rsidR="00825966">
              <w:rPr>
                <w:noProof/>
                <w:webHidden/>
              </w:rPr>
              <w:instrText xml:space="preserve"> PAGEREF _Toc164827476 \h </w:instrText>
            </w:r>
            <w:r w:rsidR="00825966">
              <w:rPr>
                <w:noProof/>
                <w:webHidden/>
              </w:rPr>
            </w:r>
            <w:r w:rsidR="00825966">
              <w:rPr>
                <w:noProof/>
                <w:webHidden/>
              </w:rPr>
              <w:fldChar w:fldCharType="separate"/>
            </w:r>
            <w:r w:rsidR="00825966">
              <w:rPr>
                <w:noProof/>
                <w:webHidden/>
              </w:rPr>
              <w:t>15</w:t>
            </w:r>
            <w:r w:rsidR="00825966">
              <w:rPr>
                <w:noProof/>
                <w:webHidden/>
              </w:rPr>
              <w:fldChar w:fldCharType="end"/>
            </w:r>
          </w:hyperlink>
        </w:p>
        <w:p w14:paraId="3C39576B" w14:textId="10306D27" w:rsidR="00825966" w:rsidRDefault="00B12064">
          <w:pPr>
            <w:pStyle w:val="TOC2"/>
            <w:tabs>
              <w:tab w:val="right" w:leader="dot" w:pos="9350"/>
            </w:tabs>
            <w:rPr>
              <w:rFonts w:eastAsiaTheme="minorEastAsia"/>
              <w:noProof/>
            </w:rPr>
          </w:pPr>
          <w:hyperlink w:anchor="_Toc164827477" w:history="1">
            <w:r w:rsidR="00825966" w:rsidRPr="00FB110B">
              <w:rPr>
                <w:rStyle w:val="Hyperlink"/>
                <w:noProof/>
              </w:rPr>
              <w:t>Largest investment activity of Walmart</w:t>
            </w:r>
            <w:r w:rsidR="00825966">
              <w:rPr>
                <w:noProof/>
                <w:webHidden/>
              </w:rPr>
              <w:tab/>
            </w:r>
            <w:r w:rsidR="00825966">
              <w:rPr>
                <w:noProof/>
                <w:webHidden/>
              </w:rPr>
              <w:fldChar w:fldCharType="begin"/>
            </w:r>
            <w:r w:rsidR="00825966">
              <w:rPr>
                <w:noProof/>
                <w:webHidden/>
              </w:rPr>
              <w:instrText xml:space="preserve"> PAGEREF _Toc164827477 \h </w:instrText>
            </w:r>
            <w:r w:rsidR="00825966">
              <w:rPr>
                <w:noProof/>
                <w:webHidden/>
              </w:rPr>
            </w:r>
            <w:r w:rsidR="00825966">
              <w:rPr>
                <w:noProof/>
                <w:webHidden/>
              </w:rPr>
              <w:fldChar w:fldCharType="separate"/>
            </w:r>
            <w:r w:rsidR="00825966">
              <w:rPr>
                <w:noProof/>
                <w:webHidden/>
              </w:rPr>
              <w:t>16</w:t>
            </w:r>
            <w:r w:rsidR="00825966">
              <w:rPr>
                <w:noProof/>
                <w:webHidden/>
              </w:rPr>
              <w:fldChar w:fldCharType="end"/>
            </w:r>
          </w:hyperlink>
        </w:p>
        <w:p w14:paraId="7EDB6C2C" w14:textId="463F82D5" w:rsidR="00825966" w:rsidRDefault="00B12064">
          <w:pPr>
            <w:pStyle w:val="TOC3"/>
            <w:tabs>
              <w:tab w:val="right" w:leader="dot" w:pos="9350"/>
            </w:tabs>
            <w:rPr>
              <w:rFonts w:eastAsiaTheme="minorEastAsia"/>
              <w:noProof/>
            </w:rPr>
          </w:pPr>
          <w:hyperlink w:anchor="_Toc164827478" w:history="1">
            <w:r w:rsidR="00825966" w:rsidRPr="00FB110B">
              <w:rPr>
                <w:rStyle w:val="Hyperlink"/>
                <w:b/>
                <w:bCs/>
                <w:noProof/>
              </w:rPr>
              <w:t>Purpose:</w:t>
            </w:r>
            <w:r w:rsidR="00825966">
              <w:rPr>
                <w:noProof/>
                <w:webHidden/>
              </w:rPr>
              <w:tab/>
            </w:r>
            <w:r w:rsidR="00825966">
              <w:rPr>
                <w:noProof/>
                <w:webHidden/>
              </w:rPr>
              <w:fldChar w:fldCharType="begin"/>
            </w:r>
            <w:r w:rsidR="00825966">
              <w:rPr>
                <w:noProof/>
                <w:webHidden/>
              </w:rPr>
              <w:instrText xml:space="preserve"> PAGEREF _Toc164827478 \h </w:instrText>
            </w:r>
            <w:r w:rsidR="00825966">
              <w:rPr>
                <w:noProof/>
                <w:webHidden/>
              </w:rPr>
            </w:r>
            <w:r w:rsidR="00825966">
              <w:rPr>
                <w:noProof/>
                <w:webHidden/>
              </w:rPr>
              <w:fldChar w:fldCharType="separate"/>
            </w:r>
            <w:r w:rsidR="00825966">
              <w:rPr>
                <w:noProof/>
                <w:webHidden/>
              </w:rPr>
              <w:t>16</w:t>
            </w:r>
            <w:r w:rsidR="00825966">
              <w:rPr>
                <w:noProof/>
                <w:webHidden/>
              </w:rPr>
              <w:fldChar w:fldCharType="end"/>
            </w:r>
          </w:hyperlink>
        </w:p>
        <w:p w14:paraId="42D1DF0D" w14:textId="389271B8" w:rsidR="00825966" w:rsidRDefault="00B12064">
          <w:pPr>
            <w:pStyle w:val="TOC3"/>
            <w:tabs>
              <w:tab w:val="right" w:leader="dot" w:pos="9350"/>
            </w:tabs>
            <w:rPr>
              <w:rFonts w:eastAsiaTheme="minorEastAsia"/>
              <w:noProof/>
            </w:rPr>
          </w:pPr>
          <w:hyperlink w:anchor="_Toc164827479" w:history="1">
            <w:r w:rsidR="00825966" w:rsidRPr="00FB110B">
              <w:rPr>
                <w:rStyle w:val="Hyperlink"/>
                <w:b/>
                <w:bCs/>
                <w:noProof/>
              </w:rPr>
              <w:t>Aims:</w:t>
            </w:r>
            <w:r w:rsidR="00825966">
              <w:rPr>
                <w:noProof/>
                <w:webHidden/>
              </w:rPr>
              <w:tab/>
            </w:r>
            <w:r w:rsidR="00825966">
              <w:rPr>
                <w:noProof/>
                <w:webHidden/>
              </w:rPr>
              <w:fldChar w:fldCharType="begin"/>
            </w:r>
            <w:r w:rsidR="00825966">
              <w:rPr>
                <w:noProof/>
                <w:webHidden/>
              </w:rPr>
              <w:instrText xml:space="preserve"> PAGEREF _Toc164827479 \h </w:instrText>
            </w:r>
            <w:r w:rsidR="00825966">
              <w:rPr>
                <w:noProof/>
                <w:webHidden/>
              </w:rPr>
            </w:r>
            <w:r w:rsidR="00825966">
              <w:rPr>
                <w:noProof/>
                <w:webHidden/>
              </w:rPr>
              <w:fldChar w:fldCharType="separate"/>
            </w:r>
            <w:r w:rsidR="00825966">
              <w:rPr>
                <w:noProof/>
                <w:webHidden/>
              </w:rPr>
              <w:t>17</w:t>
            </w:r>
            <w:r w:rsidR="00825966">
              <w:rPr>
                <w:noProof/>
                <w:webHidden/>
              </w:rPr>
              <w:fldChar w:fldCharType="end"/>
            </w:r>
          </w:hyperlink>
        </w:p>
        <w:p w14:paraId="0866D45C" w14:textId="00E5FE9D" w:rsidR="00825966" w:rsidRDefault="00B12064">
          <w:pPr>
            <w:pStyle w:val="TOC3"/>
            <w:tabs>
              <w:tab w:val="right" w:leader="dot" w:pos="9350"/>
            </w:tabs>
            <w:rPr>
              <w:rFonts w:eastAsiaTheme="minorEastAsia"/>
              <w:noProof/>
            </w:rPr>
          </w:pPr>
          <w:hyperlink w:anchor="_Toc164827480" w:history="1">
            <w:r w:rsidR="00825966" w:rsidRPr="00FB110B">
              <w:rPr>
                <w:rStyle w:val="Hyperlink"/>
                <w:b/>
                <w:bCs/>
                <w:noProof/>
              </w:rPr>
              <w:t>Expected outcomes:</w:t>
            </w:r>
            <w:r w:rsidR="00825966">
              <w:rPr>
                <w:noProof/>
                <w:webHidden/>
              </w:rPr>
              <w:tab/>
            </w:r>
            <w:r w:rsidR="00825966">
              <w:rPr>
                <w:noProof/>
                <w:webHidden/>
              </w:rPr>
              <w:fldChar w:fldCharType="begin"/>
            </w:r>
            <w:r w:rsidR="00825966">
              <w:rPr>
                <w:noProof/>
                <w:webHidden/>
              </w:rPr>
              <w:instrText xml:space="preserve"> PAGEREF _Toc164827480 \h </w:instrText>
            </w:r>
            <w:r w:rsidR="00825966">
              <w:rPr>
                <w:noProof/>
                <w:webHidden/>
              </w:rPr>
            </w:r>
            <w:r w:rsidR="00825966">
              <w:rPr>
                <w:noProof/>
                <w:webHidden/>
              </w:rPr>
              <w:fldChar w:fldCharType="separate"/>
            </w:r>
            <w:r w:rsidR="00825966">
              <w:rPr>
                <w:noProof/>
                <w:webHidden/>
              </w:rPr>
              <w:t>17</w:t>
            </w:r>
            <w:r w:rsidR="00825966">
              <w:rPr>
                <w:noProof/>
                <w:webHidden/>
              </w:rPr>
              <w:fldChar w:fldCharType="end"/>
            </w:r>
          </w:hyperlink>
        </w:p>
        <w:p w14:paraId="6BED90B5" w14:textId="1096D6D3" w:rsidR="00825966" w:rsidRDefault="00B12064">
          <w:pPr>
            <w:pStyle w:val="TOC2"/>
            <w:tabs>
              <w:tab w:val="right" w:leader="dot" w:pos="9350"/>
            </w:tabs>
            <w:rPr>
              <w:rFonts w:eastAsiaTheme="minorEastAsia"/>
              <w:noProof/>
            </w:rPr>
          </w:pPr>
          <w:hyperlink w:anchor="_Toc164827481" w:history="1">
            <w:r w:rsidR="00825966" w:rsidRPr="00FB110B">
              <w:rPr>
                <w:rStyle w:val="Hyperlink"/>
                <w:noProof/>
              </w:rPr>
              <w:t>Size of the investment and Financing</w:t>
            </w:r>
            <w:r w:rsidR="00825966">
              <w:rPr>
                <w:noProof/>
                <w:webHidden/>
              </w:rPr>
              <w:tab/>
            </w:r>
            <w:r w:rsidR="00825966">
              <w:rPr>
                <w:noProof/>
                <w:webHidden/>
              </w:rPr>
              <w:fldChar w:fldCharType="begin"/>
            </w:r>
            <w:r w:rsidR="00825966">
              <w:rPr>
                <w:noProof/>
                <w:webHidden/>
              </w:rPr>
              <w:instrText xml:space="preserve"> PAGEREF _Toc164827481 \h </w:instrText>
            </w:r>
            <w:r w:rsidR="00825966">
              <w:rPr>
                <w:noProof/>
                <w:webHidden/>
              </w:rPr>
            </w:r>
            <w:r w:rsidR="00825966">
              <w:rPr>
                <w:noProof/>
                <w:webHidden/>
              </w:rPr>
              <w:fldChar w:fldCharType="separate"/>
            </w:r>
            <w:r w:rsidR="00825966">
              <w:rPr>
                <w:noProof/>
                <w:webHidden/>
              </w:rPr>
              <w:t>17</w:t>
            </w:r>
            <w:r w:rsidR="00825966">
              <w:rPr>
                <w:noProof/>
                <w:webHidden/>
              </w:rPr>
              <w:fldChar w:fldCharType="end"/>
            </w:r>
          </w:hyperlink>
        </w:p>
        <w:p w14:paraId="13D54DF1" w14:textId="1C5C7449" w:rsidR="00825966" w:rsidRDefault="00B12064">
          <w:pPr>
            <w:pStyle w:val="TOC2"/>
            <w:tabs>
              <w:tab w:val="right" w:leader="dot" w:pos="9350"/>
            </w:tabs>
            <w:rPr>
              <w:rFonts w:eastAsiaTheme="minorEastAsia"/>
              <w:noProof/>
            </w:rPr>
          </w:pPr>
          <w:hyperlink w:anchor="_Toc164827482" w:history="1">
            <w:r w:rsidR="00825966" w:rsidRPr="00FB110B">
              <w:rPr>
                <w:rStyle w:val="Hyperlink"/>
                <w:noProof/>
              </w:rPr>
              <w:t>Feasibility of Walmart's Next-Generation Supply Chain Investment</w:t>
            </w:r>
            <w:r w:rsidR="00825966">
              <w:rPr>
                <w:noProof/>
                <w:webHidden/>
              </w:rPr>
              <w:tab/>
            </w:r>
            <w:r w:rsidR="00825966">
              <w:rPr>
                <w:noProof/>
                <w:webHidden/>
              </w:rPr>
              <w:fldChar w:fldCharType="begin"/>
            </w:r>
            <w:r w:rsidR="00825966">
              <w:rPr>
                <w:noProof/>
                <w:webHidden/>
              </w:rPr>
              <w:instrText xml:space="preserve"> PAGEREF _Toc164827482 \h </w:instrText>
            </w:r>
            <w:r w:rsidR="00825966">
              <w:rPr>
                <w:noProof/>
                <w:webHidden/>
              </w:rPr>
            </w:r>
            <w:r w:rsidR="00825966">
              <w:rPr>
                <w:noProof/>
                <w:webHidden/>
              </w:rPr>
              <w:fldChar w:fldCharType="separate"/>
            </w:r>
            <w:r w:rsidR="00825966">
              <w:rPr>
                <w:noProof/>
                <w:webHidden/>
              </w:rPr>
              <w:t>17</w:t>
            </w:r>
            <w:r w:rsidR="00825966">
              <w:rPr>
                <w:noProof/>
                <w:webHidden/>
              </w:rPr>
              <w:fldChar w:fldCharType="end"/>
            </w:r>
          </w:hyperlink>
        </w:p>
        <w:p w14:paraId="791BD676" w14:textId="20C0C478" w:rsidR="00825966" w:rsidRDefault="00B12064">
          <w:pPr>
            <w:pStyle w:val="TOC2"/>
            <w:tabs>
              <w:tab w:val="right" w:leader="dot" w:pos="9350"/>
            </w:tabs>
            <w:rPr>
              <w:rFonts w:eastAsiaTheme="minorEastAsia"/>
              <w:noProof/>
            </w:rPr>
          </w:pPr>
          <w:hyperlink w:anchor="_Toc164827483" w:history="1">
            <w:r w:rsidR="00825966" w:rsidRPr="00FB110B">
              <w:rPr>
                <w:rStyle w:val="Hyperlink"/>
                <w:noProof/>
              </w:rPr>
              <w:t>Current outcome of the investment</w:t>
            </w:r>
            <w:r w:rsidR="00825966">
              <w:rPr>
                <w:noProof/>
                <w:webHidden/>
              </w:rPr>
              <w:tab/>
            </w:r>
            <w:r w:rsidR="00825966">
              <w:rPr>
                <w:noProof/>
                <w:webHidden/>
              </w:rPr>
              <w:fldChar w:fldCharType="begin"/>
            </w:r>
            <w:r w:rsidR="00825966">
              <w:rPr>
                <w:noProof/>
                <w:webHidden/>
              </w:rPr>
              <w:instrText xml:space="preserve"> PAGEREF _Toc164827483 \h </w:instrText>
            </w:r>
            <w:r w:rsidR="00825966">
              <w:rPr>
                <w:noProof/>
                <w:webHidden/>
              </w:rPr>
            </w:r>
            <w:r w:rsidR="00825966">
              <w:rPr>
                <w:noProof/>
                <w:webHidden/>
              </w:rPr>
              <w:fldChar w:fldCharType="separate"/>
            </w:r>
            <w:r w:rsidR="00825966">
              <w:rPr>
                <w:noProof/>
                <w:webHidden/>
              </w:rPr>
              <w:t>18</w:t>
            </w:r>
            <w:r w:rsidR="00825966">
              <w:rPr>
                <w:noProof/>
                <w:webHidden/>
              </w:rPr>
              <w:fldChar w:fldCharType="end"/>
            </w:r>
          </w:hyperlink>
        </w:p>
        <w:p w14:paraId="3BFF6ABF" w14:textId="75DDA5D5" w:rsidR="00825966" w:rsidRDefault="00B12064">
          <w:pPr>
            <w:pStyle w:val="TOC1"/>
            <w:tabs>
              <w:tab w:val="right" w:leader="dot" w:pos="9350"/>
            </w:tabs>
            <w:rPr>
              <w:rFonts w:eastAsiaTheme="minorEastAsia"/>
              <w:noProof/>
            </w:rPr>
          </w:pPr>
          <w:hyperlink w:anchor="_Toc164827484" w:history="1">
            <w:r w:rsidR="00825966" w:rsidRPr="00FB110B">
              <w:rPr>
                <w:rStyle w:val="Hyperlink"/>
                <w:b/>
                <w:bCs/>
                <w:noProof/>
              </w:rPr>
              <w:t>Conclusions:</w:t>
            </w:r>
            <w:r w:rsidR="00825966">
              <w:rPr>
                <w:noProof/>
                <w:webHidden/>
              </w:rPr>
              <w:tab/>
            </w:r>
            <w:r w:rsidR="00825966">
              <w:rPr>
                <w:noProof/>
                <w:webHidden/>
              </w:rPr>
              <w:fldChar w:fldCharType="begin"/>
            </w:r>
            <w:r w:rsidR="00825966">
              <w:rPr>
                <w:noProof/>
                <w:webHidden/>
              </w:rPr>
              <w:instrText xml:space="preserve"> PAGEREF _Toc164827484 \h </w:instrText>
            </w:r>
            <w:r w:rsidR="00825966">
              <w:rPr>
                <w:noProof/>
                <w:webHidden/>
              </w:rPr>
            </w:r>
            <w:r w:rsidR="00825966">
              <w:rPr>
                <w:noProof/>
                <w:webHidden/>
              </w:rPr>
              <w:fldChar w:fldCharType="separate"/>
            </w:r>
            <w:r w:rsidR="00825966">
              <w:rPr>
                <w:noProof/>
                <w:webHidden/>
              </w:rPr>
              <w:t>19</w:t>
            </w:r>
            <w:r w:rsidR="00825966">
              <w:rPr>
                <w:noProof/>
                <w:webHidden/>
              </w:rPr>
              <w:fldChar w:fldCharType="end"/>
            </w:r>
          </w:hyperlink>
        </w:p>
        <w:p w14:paraId="50AF0138" w14:textId="51AC1ED0" w:rsidR="00825966" w:rsidRDefault="00B12064">
          <w:pPr>
            <w:pStyle w:val="TOC1"/>
            <w:tabs>
              <w:tab w:val="right" w:leader="dot" w:pos="9350"/>
            </w:tabs>
            <w:rPr>
              <w:rFonts w:eastAsiaTheme="minorEastAsia"/>
              <w:noProof/>
            </w:rPr>
          </w:pPr>
          <w:hyperlink w:anchor="_Toc164827485" w:history="1">
            <w:r w:rsidR="00825966" w:rsidRPr="00FB110B">
              <w:rPr>
                <w:rStyle w:val="Hyperlink"/>
                <w:b/>
                <w:bCs/>
                <w:noProof/>
              </w:rPr>
              <w:t>References:</w:t>
            </w:r>
            <w:r w:rsidR="00825966">
              <w:rPr>
                <w:noProof/>
                <w:webHidden/>
              </w:rPr>
              <w:tab/>
            </w:r>
            <w:r w:rsidR="00825966">
              <w:rPr>
                <w:noProof/>
                <w:webHidden/>
              </w:rPr>
              <w:fldChar w:fldCharType="begin"/>
            </w:r>
            <w:r w:rsidR="00825966">
              <w:rPr>
                <w:noProof/>
                <w:webHidden/>
              </w:rPr>
              <w:instrText xml:space="preserve"> PAGEREF _Toc164827485 \h </w:instrText>
            </w:r>
            <w:r w:rsidR="00825966">
              <w:rPr>
                <w:noProof/>
                <w:webHidden/>
              </w:rPr>
            </w:r>
            <w:r w:rsidR="00825966">
              <w:rPr>
                <w:noProof/>
                <w:webHidden/>
              </w:rPr>
              <w:fldChar w:fldCharType="separate"/>
            </w:r>
            <w:r w:rsidR="00825966">
              <w:rPr>
                <w:noProof/>
                <w:webHidden/>
              </w:rPr>
              <w:t>20</w:t>
            </w:r>
            <w:r w:rsidR="00825966">
              <w:rPr>
                <w:noProof/>
                <w:webHidden/>
              </w:rPr>
              <w:fldChar w:fldCharType="end"/>
            </w:r>
          </w:hyperlink>
        </w:p>
        <w:p w14:paraId="5A2C6440" w14:textId="64CEA765" w:rsidR="003A377C" w:rsidRPr="005B5038" w:rsidRDefault="005B5038" w:rsidP="005B5038">
          <w:r>
            <w:rPr>
              <w:b/>
              <w:bCs/>
              <w:noProof/>
            </w:rPr>
            <w:fldChar w:fldCharType="end"/>
          </w:r>
        </w:p>
      </w:sdtContent>
    </w:sdt>
    <w:p w14:paraId="761ECFDA" w14:textId="11B5D950" w:rsidR="00D76AE2" w:rsidRDefault="003A377C" w:rsidP="005B5038">
      <w:pPr>
        <w:rPr>
          <w:shd w:val="clear" w:color="auto" w:fill="FFFFFF"/>
        </w:rPr>
      </w:pPr>
      <w:r>
        <w:rPr>
          <w:shd w:val="clear" w:color="auto" w:fill="FFFFFF"/>
        </w:rPr>
        <w:br w:type="page"/>
      </w:r>
    </w:p>
    <w:p w14:paraId="0C650D7F" w14:textId="1A650105" w:rsidR="00D76AE2" w:rsidRDefault="00D76AE2">
      <w:pPr>
        <w:pStyle w:val="TableofFigures"/>
        <w:tabs>
          <w:tab w:val="right" w:leader="dot" w:pos="9350"/>
        </w:tabs>
        <w:rPr>
          <w:noProof/>
        </w:rPr>
      </w:pPr>
      <w:r>
        <w:rPr>
          <w:shd w:val="clear" w:color="auto" w:fill="FFFFFF"/>
        </w:rPr>
        <w:lastRenderedPageBreak/>
        <w:fldChar w:fldCharType="begin"/>
      </w:r>
      <w:r>
        <w:rPr>
          <w:shd w:val="clear" w:color="auto" w:fill="FFFFFF"/>
        </w:rPr>
        <w:instrText xml:space="preserve"> TOC \h \z \c "Figure" </w:instrText>
      </w:r>
      <w:r>
        <w:rPr>
          <w:shd w:val="clear" w:color="auto" w:fill="FFFFFF"/>
        </w:rPr>
        <w:fldChar w:fldCharType="separate"/>
      </w:r>
      <w:hyperlink w:anchor="_Toc164827052" w:history="1">
        <w:r w:rsidRPr="001609DE">
          <w:rPr>
            <w:rStyle w:val="Hyperlink"/>
            <w:noProof/>
          </w:rPr>
          <w:t>Figure 1</w:t>
        </w:r>
        <w:r w:rsidRPr="001609DE">
          <w:rPr>
            <w:rStyle w:val="Hyperlink"/>
            <w:rFonts w:ascii="Times New Roman" w:hAnsi="Times New Roman" w:cs="Times New Roman"/>
            <w:noProof/>
            <w:shd w:val="clear" w:color="auto" w:fill="FFFFFF"/>
          </w:rPr>
          <w:t>: Business model of Walmart</w:t>
        </w:r>
        <w:r>
          <w:rPr>
            <w:noProof/>
            <w:webHidden/>
          </w:rPr>
          <w:tab/>
        </w:r>
        <w:r>
          <w:rPr>
            <w:noProof/>
            <w:webHidden/>
          </w:rPr>
          <w:fldChar w:fldCharType="begin"/>
        </w:r>
        <w:r>
          <w:rPr>
            <w:noProof/>
            <w:webHidden/>
          </w:rPr>
          <w:instrText xml:space="preserve"> PAGEREF _Toc164827052 \h </w:instrText>
        </w:r>
        <w:r>
          <w:rPr>
            <w:noProof/>
            <w:webHidden/>
          </w:rPr>
        </w:r>
        <w:r>
          <w:rPr>
            <w:noProof/>
            <w:webHidden/>
          </w:rPr>
          <w:fldChar w:fldCharType="separate"/>
        </w:r>
        <w:r>
          <w:rPr>
            <w:noProof/>
            <w:webHidden/>
          </w:rPr>
          <w:t>5</w:t>
        </w:r>
        <w:r>
          <w:rPr>
            <w:noProof/>
            <w:webHidden/>
          </w:rPr>
          <w:fldChar w:fldCharType="end"/>
        </w:r>
      </w:hyperlink>
    </w:p>
    <w:p w14:paraId="1BC36661" w14:textId="3171C70F" w:rsidR="00D76AE2" w:rsidRDefault="00B12064">
      <w:pPr>
        <w:pStyle w:val="TableofFigures"/>
        <w:tabs>
          <w:tab w:val="right" w:leader="dot" w:pos="9350"/>
        </w:tabs>
        <w:rPr>
          <w:noProof/>
        </w:rPr>
      </w:pPr>
      <w:hyperlink w:anchor="_Toc164827053" w:history="1">
        <w:r w:rsidR="00D76AE2" w:rsidRPr="001609DE">
          <w:rPr>
            <w:rStyle w:val="Hyperlink"/>
            <w:noProof/>
          </w:rPr>
          <w:t>Figure 2</w:t>
        </w:r>
        <w:r w:rsidR="00D76AE2" w:rsidRPr="001609DE">
          <w:rPr>
            <w:rStyle w:val="Hyperlink"/>
            <w:rFonts w:ascii="Times New Roman" w:hAnsi="Times New Roman" w:cs="Times New Roman"/>
            <w:noProof/>
          </w:rPr>
          <w:t>: Traditional Capital Structure Theory and its stages</w:t>
        </w:r>
        <w:r w:rsidR="00D76AE2">
          <w:rPr>
            <w:noProof/>
            <w:webHidden/>
          </w:rPr>
          <w:tab/>
        </w:r>
        <w:r w:rsidR="00D76AE2">
          <w:rPr>
            <w:noProof/>
            <w:webHidden/>
          </w:rPr>
          <w:fldChar w:fldCharType="begin"/>
        </w:r>
        <w:r w:rsidR="00D76AE2">
          <w:rPr>
            <w:noProof/>
            <w:webHidden/>
          </w:rPr>
          <w:instrText xml:space="preserve"> PAGEREF _Toc164827053 \h </w:instrText>
        </w:r>
        <w:r w:rsidR="00D76AE2">
          <w:rPr>
            <w:noProof/>
            <w:webHidden/>
          </w:rPr>
        </w:r>
        <w:r w:rsidR="00D76AE2">
          <w:rPr>
            <w:noProof/>
            <w:webHidden/>
          </w:rPr>
          <w:fldChar w:fldCharType="separate"/>
        </w:r>
        <w:r w:rsidR="00D76AE2">
          <w:rPr>
            <w:noProof/>
            <w:webHidden/>
          </w:rPr>
          <w:t>14</w:t>
        </w:r>
        <w:r w:rsidR="00D76AE2">
          <w:rPr>
            <w:noProof/>
            <w:webHidden/>
          </w:rPr>
          <w:fldChar w:fldCharType="end"/>
        </w:r>
      </w:hyperlink>
    </w:p>
    <w:p w14:paraId="759EDE2D" w14:textId="77777777" w:rsidR="00D76AE2" w:rsidRDefault="00D76AE2">
      <w:pPr>
        <w:rPr>
          <w:shd w:val="clear" w:color="auto" w:fill="FFFFFF"/>
        </w:rPr>
      </w:pPr>
      <w:r>
        <w:rPr>
          <w:shd w:val="clear" w:color="auto" w:fill="FFFFFF"/>
        </w:rPr>
        <w:fldChar w:fldCharType="end"/>
      </w:r>
    </w:p>
    <w:p w14:paraId="24B14C25" w14:textId="77777777" w:rsidR="00D76AE2" w:rsidRDefault="00D76AE2">
      <w:pPr>
        <w:rPr>
          <w:shd w:val="clear" w:color="auto" w:fill="FFFFFF"/>
        </w:rPr>
      </w:pPr>
    </w:p>
    <w:p w14:paraId="67B95DDA" w14:textId="11E8CF60" w:rsidR="00825966" w:rsidRDefault="00825966">
      <w:pPr>
        <w:pStyle w:val="TableofFigures"/>
        <w:tabs>
          <w:tab w:val="right" w:leader="dot" w:pos="9350"/>
        </w:tabs>
        <w:rPr>
          <w:rFonts w:eastAsiaTheme="minorEastAsia"/>
          <w:noProof/>
        </w:rPr>
      </w:pPr>
      <w:r>
        <w:rPr>
          <w:shd w:val="clear" w:color="auto" w:fill="FFFFFF"/>
        </w:rPr>
        <w:fldChar w:fldCharType="begin"/>
      </w:r>
      <w:r>
        <w:rPr>
          <w:shd w:val="clear" w:color="auto" w:fill="FFFFFF"/>
        </w:rPr>
        <w:instrText xml:space="preserve"> TOC \h \z \c "Table" </w:instrText>
      </w:r>
      <w:r>
        <w:rPr>
          <w:shd w:val="clear" w:color="auto" w:fill="FFFFFF"/>
        </w:rPr>
        <w:fldChar w:fldCharType="separate"/>
      </w:r>
      <w:hyperlink w:anchor="_Toc164827350" w:history="1">
        <w:r w:rsidRPr="00DC01B6">
          <w:rPr>
            <w:rStyle w:val="Hyperlink"/>
            <w:noProof/>
          </w:rPr>
          <w:t>Table 1: Liquidity and Leverages ratios of Walmart (data)</w:t>
        </w:r>
        <w:r>
          <w:rPr>
            <w:noProof/>
            <w:webHidden/>
          </w:rPr>
          <w:tab/>
        </w:r>
        <w:r>
          <w:rPr>
            <w:noProof/>
            <w:webHidden/>
          </w:rPr>
          <w:fldChar w:fldCharType="begin"/>
        </w:r>
        <w:r>
          <w:rPr>
            <w:noProof/>
            <w:webHidden/>
          </w:rPr>
          <w:instrText xml:space="preserve"> PAGEREF _Toc164827350 \h </w:instrText>
        </w:r>
        <w:r>
          <w:rPr>
            <w:noProof/>
            <w:webHidden/>
          </w:rPr>
        </w:r>
        <w:r>
          <w:rPr>
            <w:noProof/>
            <w:webHidden/>
          </w:rPr>
          <w:fldChar w:fldCharType="separate"/>
        </w:r>
        <w:r>
          <w:rPr>
            <w:noProof/>
            <w:webHidden/>
          </w:rPr>
          <w:t>7</w:t>
        </w:r>
        <w:r>
          <w:rPr>
            <w:noProof/>
            <w:webHidden/>
          </w:rPr>
          <w:fldChar w:fldCharType="end"/>
        </w:r>
      </w:hyperlink>
    </w:p>
    <w:p w14:paraId="4D525EE5" w14:textId="16245687" w:rsidR="00825966" w:rsidRDefault="00B12064">
      <w:pPr>
        <w:pStyle w:val="TableofFigures"/>
        <w:tabs>
          <w:tab w:val="right" w:leader="dot" w:pos="9350"/>
        </w:tabs>
        <w:rPr>
          <w:rFonts w:eastAsiaTheme="minorEastAsia"/>
          <w:noProof/>
        </w:rPr>
      </w:pPr>
      <w:hyperlink w:anchor="_Toc164827351" w:history="1">
        <w:r w:rsidR="00825966" w:rsidRPr="00DC01B6">
          <w:rPr>
            <w:rStyle w:val="Hyperlink"/>
            <w:noProof/>
          </w:rPr>
          <w:t>Table 2: Liquidity ratios of Walmart</w:t>
        </w:r>
        <w:r w:rsidR="00825966">
          <w:rPr>
            <w:noProof/>
            <w:webHidden/>
          </w:rPr>
          <w:tab/>
        </w:r>
        <w:r w:rsidR="00825966">
          <w:rPr>
            <w:noProof/>
            <w:webHidden/>
          </w:rPr>
          <w:fldChar w:fldCharType="begin"/>
        </w:r>
        <w:r w:rsidR="00825966">
          <w:rPr>
            <w:noProof/>
            <w:webHidden/>
          </w:rPr>
          <w:instrText xml:space="preserve"> PAGEREF _Toc164827351 \h </w:instrText>
        </w:r>
        <w:r w:rsidR="00825966">
          <w:rPr>
            <w:noProof/>
            <w:webHidden/>
          </w:rPr>
        </w:r>
        <w:r w:rsidR="00825966">
          <w:rPr>
            <w:noProof/>
            <w:webHidden/>
          </w:rPr>
          <w:fldChar w:fldCharType="separate"/>
        </w:r>
        <w:r w:rsidR="00825966">
          <w:rPr>
            <w:noProof/>
            <w:webHidden/>
          </w:rPr>
          <w:t>7</w:t>
        </w:r>
        <w:r w:rsidR="00825966">
          <w:rPr>
            <w:noProof/>
            <w:webHidden/>
          </w:rPr>
          <w:fldChar w:fldCharType="end"/>
        </w:r>
      </w:hyperlink>
    </w:p>
    <w:p w14:paraId="6C0F43D7" w14:textId="65EA552D" w:rsidR="00825966" w:rsidRDefault="00B12064">
      <w:pPr>
        <w:pStyle w:val="TableofFigures"/>
        <w:tabs>
          <w:tab w:val="right" w:leader="dot" w:pos="9350"/>
        </w:tabs>
        <w:rPr>
          <w:rFonts w:eastAsiaTheme="minorEastAsia"/>
          <w:noProof/>
        </w:rPr>
      </w:pPr>
      <w:hyperlink w:anchor="_Toc164827352" w:history="1">
        <w:r w:rsidR="00825966" w:rsidRPr="00DC01B6">
          <w:rPr>
            <w:rStyle w:val="Hyperlink"/>
            <w:noProof/>
          </w:rPr>
          <w:t>Table 3: Leverage ratios of Walmart</w:t>
        </w:r>
        <w:r w:rsidR="00825966">
          <w:rPr>
            <w:noProof/>
            <w:webHidden/>
          </w:rPr>
          <w:tab/>
        </w:r>
        <w:r w:rsidR="00825966">
          <w:rPr>
            <w:noProof/>
            <w:webHidden/>
          </w:rPr>
          <w:fldChar w:fldCharType="begin"/>
        </w:r>
        <w:r w:rsidR="00825966">
          <w:rPr>
            <w:noProof/>
            <w:webHidden/>
          </w:rPr>
          <w:instrText xml:space="preserve"> PAGEREF _Toc164827352 \h </w:instrText>
        </w:r>
        <w:r w:rsidR="00825966">
          <w:rPr>
            <w:noProof/>
            <w:webHidden/>
          </w:rPr>
        </w:r>
        <w:r w:rsidR="00825966">
          <w:rPr>
            <w:noProof/>
            <w:webHidden/>
          </w:rPr>
          <w:fldChar w:fldCharType="separate"/>
        </w:r>
        <w:r w:rsidR="00825966">
          <w:rPr>
            <w:noProof/>
            <w:webHidden/>
          </w:rPr>
          <w:t>9</w:t>
        </w:r>
        <w:r w:rsidR="00825966">
          <w:rPr>
            <w:noProof/>
            <w:webHidden/>
          </w:rPr>
          <w:fldChar w:fldCharType="end"/>
        </w:r>
      </w:hyperlink>
    </w:p>
    <w:p w14:paraId="20AA8857" w14:textId="5AC434E8" w:rsidR="00825966" w:rsidRDefault="00B12064">
      <w:pPr>
        <w:pStyle w:val="TableofFigures"/>
        <w:tabs>
          <w:tab w:val="right" w:leader="dot" w:pos="9350"/>
        </w:tabs>
        <w:rPr>
          <w:rFonts w:eastAsiaTheme="minorEastAsia"/>
          <w:noProof/>
        </w:rPr>
      </w:pPr>
      <w:hyperlink w:anchor="_Toc164827353" w:history="1">
        <w:r w:rsidR="00825966" w:rsidRPr="00DC01B6">
          <w:rPr>
            <w:rStyle w:val="Hyperlink"/>
            <w:noProof/>
          </w:rPr>
          <w:t>Table 4: Liquidity and Leverage ratios of Target (data)</w:t>
        </w:r>
        <w:r w:rsidR="00825966">
          <w:rPr>
            <w:noProof/>
            <w:webHidden/>
          </w:rPr>
          <w:tab/>
        </w:r>
        <w:r w:rsidR="00825966">
          <w:rPr>
            <w:noProof/>
            <w:webHidden/>
          </w:rPr>
          <w:fldChar w:fldCharType="begin"/>
        </w:r>
        <w:r w:rsidR="00825966">
          <w:rPr>
            <w:noProof/>
            <w:webHidden/>
          </w:rPr>
          <w:instrText xml:space="preserve"> PAGEREF _Toc164827353 \h </w:instrText>
        </w:r>
        <w:r w:rsidR="00825966">
          <w:rPr>
            <w:noProof/>
            <w:webHidden/>
          </w:rPr>
        </w:r>
        <w:r w:rsidR="00825966">
          <w:rPr>
            <w:noProof/>
            <w:webHidden/>
          </w:rPr>
          <w:fldChar w:fldCharType="separate"/>
        </w:r>
        <w:r w:rsidR="00825966">
          <w:rPr>
            <w:noProof/>
            <w:webHidden/>
          </w:rPr>
          <w:t>10</w:t>
        </w:r>
        <w:r w:rsidR="00825966">
          <w:rPr>
            <w:noProof/>
            <w:webHidden/>
          </w:rPr>
          <w:fldChar w:fldCharType="end"/>
        </w:r>
      </w:hyperlink>
    </w:p>
    <w:p w14:paraId="493D478C" w14:textId="4E97B3CF" w:rsidR="00825966" w:rsidRDefault="00B12064">
      <w:pPr>
        <w:pStyle w:val="TableofFigures"/>
        <w:tabs>
          <w:tab w:val="right" w:leader="dot" w:pos="9350"/>
        </w:tabs>
        <w:rPr>
          <w:rFonts w:eastAsiaTheme="minorEastAsia"/>
          <w:noProof/>
        </w:rPr>
      </w:pPr>
      <w:hyperlink w:anchor="_Toc164827354" w:history="1">
        <w:r w:rsidR="00825966" w:rsidRPr="00DC01B6">
          <w:rPr>
            <w:rStyle w:val="Hyperlink"/>
            <w:noProof/>
          </w:rPr>
          <w:t>Table 5: Liquidity ratios of Target</w:t>
        </w:r>
        <w:r w:rsidR="00825966">
          <w:rPr>
            <w:noProof/>
            <w:webHidden/>
          </w:rPr>
          <w:tab/>
        </w:r>
        <w:r w:rsidR="00825966">
          <w:rPr>
            <w:noProof/>
            <w:webHidden/>
          </w:rPr>
          <w:fldChar w:fldCharType="begin"/>
        </w:r>
        <w:r w:rsidR="00825966">
          <w:rPr>
            <w:noProof/>
            <w:webHidden/>
          </w:rPr>
          <w:instrText xml:space="preserve"> PAGEREF _Toc164827354 \h </w:instrText>
        </w:r>
        <w:r w:rsidR="00825966">
          <w:rPr>
            <w:noProof/>
            <w:webHidden/>
          </w:rPr>
        </w:r>
        <w:r w:rsidR="00825966">
          <w:rPr>
            <w:noProof/>
            <w:webHidden/>
          </w:rPr>
          <w:fldChar w:fldCharType="separate"/>
        </w:r>
        <w:r w:rsidR="00825966">
          <w:rPr>
            <w:noProof/>
            <w:webHidden/>
          </w:rPr>
          <w:t>10</w:t>
        </w:r>
        <w:r w:rsidR="00825966">
          <w:rPr>
            <w:noProof/>
            <w:webHidden/>
          </w:rPr>
          <w:fldChar w:fldCharType="end"/>
        </w:r>
      </w:hyperlink>
    </w:p>
    <w:p w14:paraId="4EEEACCF" w14:textId="4B1B5989" w:rsidR="00825966" w:rsidRDefault="00B12064">
      <w:pPr>
        <w:pStyle w:val="TableofFigures"/>
        <w:tabs>
          <w:tab w:val="right" w:leader="dot" w:pos="9350"/>
        </w:tabs>
        <w:rPr>
          <w:rFonts w:eastAsiaTheme="minorEastAsia"/>
          <w:noProof/>
        </w:rPr>
      </w:pPr>
      <w:hyperlink w:anchor="_Toc164827355" w:history="1">
        <w:r w:rsidR="00825966" w:rsidRPr="00DC01B6">
          <w:rPr>
            <w:rStyle w:val="Hyperlink"/>
            <w:noProof/>
          </w:rPr>
          <w:t>Table 6: Leverage ratios of Target</w:t>
        </w:r>
        <w:r w:rsidR="00825966">
          <w:rPr>
            <w:noProof/>
            <w:webHidden/>
          </w:rPr>
          <w:tab/>
        </w:r>
        <w:r w:rsidR="00825966">
          <w:rPr>
            <w:noProof/>
            <w:webHidden/>
          </w:rPr>
          <w:fldChar w:fldCharType="begin"/>
        </w:r>
        <w:r w:rsidR="00825966">
          <w:rPr>
            <w:noProof/>
            <w:webHidden/>
          </w:rPr>
          <w:instrText xml:space="preserve"> PAGEREF _Toc164827355 \h </w:instrText>
        </w:r>
        <w:r w:rsidR="00825966">
          <w:rPr>
            <w:noProof/>
            <w:webHidden/>
          </w:rPr>
        </w:r>
        <w:r w:rsidR="00825966">
          <w:rPr>
            <w:noProof/>
            <w:webHidden/>
          </w:rPr>
          <w:fldChar w:fldCharType="separate"/>
        </w:r>
        <w:r w:rsidR="00825966">
          <w:rPr>
            <w:noProof/>
            <w:webHidden/>
          </w:rPr>
          <w:t>11</w:t>
        </w:r>
        <w:r w:rsidR="00825966">
          <w:rPr>
            <w:noProof/>
            <w:webHidden/>
          </w:rPr>
          <w:fldChar w:fldCharType="end"/>
        </w:r>
      </w:hyperlink>
    </w:p>
    <w:p w14:paraId="35687111" w14:textId="5B3DC474" w:rsidR="00825966" w:rsidRDefault="00B12064">
      <w:pPr>
        <w:pStyle w:val="TableofFigures"/>
        <w:tabs>
          <w:tab w:val="right" w:leader="dot" w:pos="9350"/>
        </w:tabs>
        <w:rPr>
          <w:rFonts w:eastAsiaTheme="minorEastAsia"/>
          <w:noProof/>
        </w:rPr>
      </w:pPr>
      <w:hyperlink w:anchor="_Toc164827356" w:history="1">
        <w:r w:rsidR="00825966" w:rsidRPr="00DC01B6">
          <w:rPr>
            <w:rStyle w:val="Hyperlink"/>
            <w:noProof/>
          </w:rPr>
          <w:t>Table 7: Average annual share return of Walmart</w:t>
        </w:r>
        <w:r w:rsidR="00825966">
          <w:rPr>
            <w:noProof/>
            <w:webHidden/>
          </w:rPr>
          <w:tab/>
        </w:r>
        <w:r w:rsidR="00825966">
          <w:rPr>
            <w:noProof/>
            <w:webHidden/>
          </w:rPr>
          <w:fldChar w:fldCharType="begin"/>
        </w:r>
        <w:r w:rsidR="00825966">
          <w:rPr>
            <w:noProof/>
            <w:webHidden/>
          </w:rPr>
          <w:instrText xml:space="preserve"> PAGEREF _Toc164827356 \h </w:instrText>
        </w:r>
        <w:r w:rsidR="00825966">
          <w:rPr>
            <w:noProof/>
            <w:webHidden/>
          </w:rPr>
        </w:r>
        <w:r w:rsidR="00825966">
          <w:rPr>
            <w:noProof/>
            <w:webHidden/>
          </w:rPr>
          <w:fldChar w:fldCharType="separate"/>
        </w:r>
        <w:r w:rsidR="00825966">
          <w:rPr>
            <w:noProof/>
            <w:webHidden/>
          </w:rPr>
          <w:t>15</w:t>
        </w:r>
        <w:r w:rsidR="00825966">
          <w:rPr>
            <w:noProof/>
            <w:webHidden/>
          </w:rPr>
          <w:fldChar w:fldCharType="end"/>
        </w:r>
      </w:hyperlink>
    </w:p>
    <w:p w14:paraId="11043C23" w14:textId="02C67A49" w:rsidR="00D76AE2" w:rsidRDefault="00825966">
      <w:pPr>
        <w:rPr>
          <w:shd w:val="clear" w:color="auto" w:fill="FFFFFF"/>
        </w:rPr>
      </w:pPr>
      <w:r>
        <w:rPr>
          <w:shd w:val="clear" w:color="auto" w:fill="FFFFFF"/>
        </w:rPr>
        <w:fldChar w:fldCharType="end"/>
      </w:r>
    </w:p>
    <w:p w14:paraId="085E8A43" w14:textId="40C2ECD3" w:rsidR="00D76AE2" w:rsidRDefault="00D76AE2">
      <w:pPr>
        <w:rPr>
          <w:shd w:val="clear" w:color="auto" w:fill="FFFFFF"/>
        </w:rPr>
      </w:pPr>
      <w:r>
        <w:rPr>
          <w:shd w:val="clear" w:color="auto" w:fill="FFFFFF"/>
        </w:rPr>
        <w:br w:type="page"/>
      </w:r>
    </w:p>
    <w:p w14:paraId="04ECF669" w14:textId="77777777" w:rsidR="003A377C" w:rsidRDefault="003A377C" w:rsidP="005B5038">
      <w:pPr>
        <w:rPr>
          <w:rFonts w:asciiTheme="majorHAnsi" w:eastAsiaTheme="majorEastAsia" w:hAnsiTheme="majorHAnsi" w:cstheme="majorBidi"/>
          <w:color w:val="2F5496" w:themeColor="accent1" w:themeShade="BF"/>
          <w:sz w:val="32"/>
          <w:szCs w:val="32"/>
          <w:shd w:val="clear" w:color="auto" w:fill="FFFFFF"/>
        </w:rPr>
      </w:pPr>
    </w:p>
    <w:p w14:paraId="78E08423" w14:textId="740EC815" w:rsidR="0044676F" w:rsidRPr="0044676F" w:rsidRDefault="0044676F" w:rsidP="0044676F">
      <w:pPr>
        <w:pStyle w:val="Heading1"/>
        <w:spacing w:line="360" w:lineRule="auto"/>
        <w:rPr>
          <w:b/>
          <w:bCs/>
          <w:shd w:val="clear" w:color="auto" w:fill="FFFFFF"/>
        </w:rPr>
      </w:pPr>
      <w:bookmarkStart w:id="0" w:name="_Toc164827457"/>
      <w:r w:rsidRPr="0044676F">
        <w:rPr>
          <w:b/>
          <w:bCs/>
          <w:shd w:val="clear" w:color="auto" w:fill="FFFFFF"/>
        </w:rPr>
        <w:t>Introduction</w:t>
      </w:r>
      <w:bookmarkEnd w:id="0"/>
    </w:p>
    <w:p w14:paraId="2F4D2271" w14:textId="6C0D90D7" w:rsidR="005B5038" w:rsidRPr="005B5038" w:rsidRDefault="005B5038" w:rsidP="005B5038">
      <w:pPr>
        <w:jc w:val="both"/>
        <w:rPr>
          <w:rFonts w:ascii="Times New Roman" w:hAnsi="Times New Roman" w:cs="Times New Roman"/>
          <w:sz w:val="24"/>
          <w:szCs w:val="24"/>
          <w:shd w:val="clear" w:color="auto" w:fill="FFFFFF"/>
        </w:rPr>
      </w:pPr>
      <w:r w:rsidRPr="005B5038">
        <w:rPr>
          <w:rFonts w:ascii="Times New Roman" w:hAnsi="Times New Roman" w:cs="Times New Roman"/>
          <w:sz w:val="24"/>
          <w:szCs w:val="24"/>
          <w:shd w:val="clear" w:color="auto" w:fill="FFFFFF"/>
        </w:rPr>
        <w:t>The extraordinary success that Walmart has had as a major retailer all over the globe is the subject of this study, which also examines the significant business tactics that have contributed to the company's rise to the top of its sector. Through this study, Walmart's essential values are investigated. These values include the company's commitment to maintaining consistently low prices, efficient management of its supply chain, and a strong focus on the satisfaction of its customers. It takes a look at how Walmart has been able to thrive in a highly competitive business by using these strategies.</w:t>
      </w:r>
    </w:p>
    <w:p w14:paraId="3D2F0585" w14:textId="6F4603D2" w:rsidR="005B5038" w:rsidRPr="005B5038" w:rsidRDefault="005B5038" w:rsidP="005B5038">
      <w:pPr>
        <w:jc w:val="both"/>
        <w:rPr>
          <w:rFonts w:ascii="Times New Roman" w:hAnsi="Times New Roman" w:cs="Times New Roman"/>
          <w:sz w:val="24"/>
          <w:szCs w:val="24"/>
          <w:shd w:val="clear" w:color="auto" w:fill="FFFFFF"/>
        </w:rPr>
      </w:pPr>
      <w:r w:rsidRPr="005B5038">
        <w:rPr>
          <w:rFonts w:ascii="Times New Roman" w:hAnsi="Times New Roman" w:cs="Times New Roman"/>
          <w:sz w:val="24"/>
          <w:szCs w:val="24"/>
          <w:shd w:val="clear" w:color="auto" w:fill="FFFFFF"/>
        </w:rPr>
        <w:t>In the study, Walmart's attempts to grow worldwide are examined, with a focus on the challenges and successes that were encountered along the way. Specifically, it provides information that is both perceptive and informative on the factors that influence performance in foreign markets, such as regional rivals and cultural considerations.</w:t>
      </w:r>
    </w:p>
    <w:p w14:paraId="406C3A92" w14:textId="70919C40" w:rsidR="005B5038" w:rsidRPr="005B5038" w:rsidRDefault="005B5038" w:rsidP="005B5038">
      <w:pPr>
        <w:jc w:val="both"/>
        <w:rPr>
          <w:rFonts w:ascii="Times New Roman" w:hAnsi="Times New Roman" w:cs="Times New Roman"/>
          <w:sz w:val="24"/>
          <w:szCs w:val="24"/>
          <w:shd w:val="clear" w:color="auto" w:fill="FFFFFF"/>
        </w:rPr>
      </w:pPr>
      <w:r w:rsidRPr="005B5038">
        <w:rPr>
          <w:rFonts w:ascii="Times New Roman" w:hAnsi="Times New Roman" w:cs="Times New Roman"/>
          <w:sz w:val="24"/>
          <w:szCs w:val="24"/>
          <w:shd w:val="clear" w:color="auto" w:fill="FFFFFF"/>
        </w:rPr>
        <w:t>Subsequently, the probe will proceed to investigate Walmart's financial situation, comparing its debt and liquidity ratios to those of Target, a prominent competitor in the industry. This comparison sheds light on the debt management procedures of both businesses as well as their overall financial status.</w:t>
      </w:r>
    </w:p>
    <w:p w14:paraId="130FBE32" w14:textId="153DD5C2" w:rsidR="005B5038" w:rsidRPr="005B5038" w:rsidRDefault="005B5038" w:rsidP="005B5038">
      <w:pPr>
        <w:jc w:val="both"/>
        <w:rPr>
          <w:rFonts w:ascii="Times New Roman" w:hAnsi="Times New Roman" w:cs="Times New Roman"/>
          <w:sz w:val="24"/>
          <w:szCs w:val="24"/>
          <w:shd w:val="clear" w:color="auto" w:fill="FFFFFF"/>
        </w:rPr>
      </w:pPr>
      <w:r w:rsidRPr="005B5038">
        <w:rPr>
          <w:rFonts w:ascii="Times New Roman" w:hAnsi="Times New Roman" w:cs="Times New Roman"/>
          <w:sz w:val="24"/>
          <w:szCs w:val="24"/>
          <w:shd w:val="clear" w:color="auto" w:fill="FFFFFF"/>
        </w:rPr>
        <w:t>The primary focus of the study is on the recent investment that Walmart made in a supply chain network that is of the next generation. It investigates the objectives, goals, and projected outcomes of the initiative, as well as its feasibility and any potential hurdles that may develop. This section provides an outline of the forward-thinking approach that Walmart has used in order to maintain its lead over its competitors.</w:t>
      </w:r>
    </w:p>
    <w:p w14:paraId="0FF4B291" w14:textId="3C741BC6" w:rsidR="0044676F" w:rsidRPr="005B5038" w:rsidRDefault="005B5038" w:rsidP="00C01272">
      <w:pPr>
        <w:jc w:val="both"/>
        <w:rPr>
          <w:rFonts w:ascii="Times New Roman" w:hAnsi="Times New Roman" w:cs="Times New Roman"/>
          <w:sz w:val="24"/>
          <w:szCs w:val="24"/>
          <w:shd w:val="clear" w:color="auto" w:fill="FFFFFF"/>
        </w:rPr>
      </w:pPr>
      <w:r w:rsidRPr="005B5038">
        <w:rPr>
          <w:rFonts w:ascii="Times New Roman" w:hAnsi="Times New Roman" w:cs="Times New Roman"/>
          <w:sz w:val="24"/>
          <w:szCs w:val="24"/>
          <w:shd w:val="clear" w:color="auto" w:fill="FFFFFF"/>
        </w:rPr>
        <w:t>The study offers incisive information for businesses of all sizes, particularly those who are attempting to navigate the problems of the retail industry and achieve long-term success in a world that is becoming more linked. This guidance is provided by carefully evaluating these factors.</w:t>
      </w:r>
    </w:p>
    <w:p w14:paraId="107DB5D1" w14:textId="2A28B71A" w:rsidR="0044676F" w:rsidRPr="0044676F" w:rsidRDefault="0044676F" w:rsidP="0044676F">
      <w:pPr>
        <w:pStyle w:val="Heading1"/>
        <w:spacing w:line="360" w:lineRule="auto"/>
        <w:rPr>
          <w:b/>
          <w:bCs/>
          <w:shd w:val="clear" w:color="auto" w:fill="FFFFFF"/>
        </w:rPr>
      </w:pPr>
      <w:bookmarkStart w:id="1" w:name="_Toc164827458"/>
      <w:r w:rsidRPr="0044676F">
        <w:rPr>
          <w:b/>
          <w:bCs/>
          <w:shd w:val="clear" w:color="auto" w:fill="FFFFFF"/>
        </w:rPr>
        <w:t>Main Body</w:t>
      </w:r>
      <w:bookmarkEnd w:id="1"/>
    </w:p>
    <w:p w14:paraId="68053354" w14:textId="491655A5" w:rsidR="0044676F" w:rsidRPr="0044676F" w:rsidRDefault="0044676F" w:rsidP="00C01272">
      <w:pPr>
        <w:jc w:val="both"/>
        <w:rPr>
          <w:rFonts w:ascii="Times New Roman" w:hAnsi="Times New Roman" w:cs="Times New Roman"/>
          <w:b/>
          <w:bCs/>
          <w:color w:val="4472C4" w:themeColor="accent1"/>
          <w:sz w:val="28"/>
          <w:szCs w:val="28"/>
          <w:shd w:val="clear" w:color="auto" w:fill="FFFFFF"/>
        </w:rPr>
      </w:pPr>
      <w:r w:rsidRPr="0044676F">
        <w:rPr>
          <w:rFonts w:ascii="Times New Roman" w:hAnsi="Times New Roman" w:cs="Times New Roman"/>
          <w:b/>
          <w:bCs/>
          <w:color w:val="4472C4" w:themeColor="accent1"/>
          <w:sz w:val="28"/>
          <w:szCs w:val="28"/>
          <w:shd w:val="clear" w:color="auto" w:fill="FFFFFF"/>
        </w:rPr>
        <w:t>PART A</w:t>
      </w:r>
    </w:p>
    <w:p w14:paraId="3A79B826" w14:textId="1237214D" w:rsidR="00A508EF" w:rsidRPr="0044676F" w:rsidRDefault="00A508EF" w:rsidP="0044676F">
      <w:pPr>
        <w:pStyle w:val="Heading2"/>
        <w:rPr>
          <w:color w:val="4472C4" w:themeColor="accent1"/>
          <w:sz w:val="28"/>
          <w:szCs w:val="28"/>
          <w:shd w:val="clear" w:color="auto" w:fill="FFFFFF"/>
        </w:rPr>
      </w:pPr>
      <w:bookmarkStart w:id="2" w:name="_Toc164827459"/>
      <w:r w:rsidRPr="0044676F">
        <w:rPr>
          <w:color w:val="4472C4" w:themeColor="accent1"/>
          <w:sz w:val="28"/>
          <w:szCs w:val="28"/>
          <w:shd w:val="clear" w:color="auto" w:fill="FFFFFF"/>
        </w:rPr>
        <w:t>Overview of the Company:</w:t>
      </w:r>
      <w:bookmarkEnd w:id="2"/>
    </w:p>
    <w:p w14:paraId="30DC50DA" w14:textId="66A04905" w:rsidR="00C01272" w:rsidRPr="0044676F" w:rsidRDefault="00C01272" w:rsidP="0044676F">
      <w:pPr>
        <w:jc w:val="both"/>
        <w:rPr>
          <w:rFonts w:ascii="Times New Roman" w:hAnsi="Times New Roman" w:cs="Times New Roman"/>
          <w:sz w:val="24"/>
          <w:szCs w:val="24"/>
          <w:shd w:val="clear" w:color="auto" w:fill="FFFFFF"/>
        </w:rPr>
      </w:pPr>
      <w:r w:rsidRPr="00C01272">
        <w:rPr>
          <w:rFonts w:ascii="Times New Roman" w:hAnsi="Times New Roman" w:cs="Times New Roman"/>
          <w:sz w:val="24"/>
          <w:szCs w:val="24"/>
          <w:shd w:val="clear" w:color="auto" w:fill="FFFFFF"/>
        </w:rPr>
        <w:t xml:space="preserve">When it comes to doing business and expanding its operations around the world, The Wal-Mart Corporation is one of the companies that has been impacted by change on all fronts. The strongly held worldwide values, attitudes, and management approaches that have contributed to Wal-Mart's success in a range of countries have also been a significant benefit for the company for a number of reasons. Over the course of barely forty years, this company has evolved to the point that it is the object of envy for every major corporation in the world. Through the use of this case study, Wal-Mart's remarkable success, best practices in the global retail industry, international growth </w:t>
      </w:r>
      <w:r w:rsidRPr="00C01272">
        <w:rPr>
          <w:rFonts w:ascii="Times New Roman" w:hAnsi="Times New Roman" w:cs="Times New Roman"/>
          <w:sz w:val="24"/>
          <w:szCs w:val="24"/>
          <w:shd w:val="clear" w:color="auto" w:fill="FFFFFF"/>
        </w:rPr>
        <w:lastRenderedPageBreak/>
        <w:t>trends and hurdles, and numerous key lessons from their international expansion are discussed. The case focuses on supplying clients with competitive prices, using technology, and offering value to consumers via the establishment of an organizational culture that places a high importance on continuous education (Mujtaba, 2007).</w:t>
      </w:r>
    </w:p>
    <w:p w14:paraId="1FDF62B1" w14:textId="5413C1BD" w:rsidR="001321E9" w:rsidRPr="0044676F" w:rsidRDefault="001321E9" w:rsidP="0044676F">
      <w:pPr>
        <w:pStyle w:val="Heading2"/>
        <w:rPr>
          <w:color w:val="4472C4" w:themeColor="accent1"/>
          <w:sz w:val="28"/>
          <w:szCs w:val="28"/>
          <w:shd w:val="clear" w:color="auto" w:fill="FFFFFF"/>
        </w:rPr>
      </w:pPr>
      <w:bookmarkStart w:id="3" w:name="_Toc164827460"/>
      <w:r w:rsidRPr="0044676F">
        <w:rPr>
          <w:color w:val="4472C4" w:themeColor="accent1"/>
          <w:sz w:val="28"/>
          <w:szCs w:val="28"/>
          <w:shd w:val="clear" w:color="auto" w:fill="FFFFFF"/>
        </w:rPr>
        <w:t>Business Model:</w:t>
      </w:r>
      <w:bookmarkEnd w:id="3"/>
    </w:p>
    <w:p w14:paraId="40E10CD8" w14:textId="77777777" w:rsidR="00C01272" w:rsidRPr="00C01272" w:rsidRDefault="00C01272" w:rsidP="00C01272">
      <w:pPr>
        <w:jc w:val="both"/>
        <w:rPr>
          <w:rFonts w:ascii="Times New Roman" w:hAnsi="Times New Roman" w:cs="Times New Roman"/>
          <w:sz w:val="24"/>
          <w:szCs w:val="24"/>
          <w:shd w:val="clear" w:color="auto" w:fill="FFFFFF"/>
        </w:rPr>
      </w:pPr>
      <w:r w:rsidRPr="00C01272">
        <w:rPr>
          <w:rFonts w:ascii="Times New Roman" w:hAnsi="Times New Roman" w:cs="Times New Roman"/>
          <w:sz w:val="24"/>
          <w:szCs w:val="24"/>
          <w:shd w:val="clear" w:color="auto" w:fill="FFFFFF"/>
        </w:rPr>
        <w:t>The most important aspect of Walmart's business plan is the company's commitment to keeping prices low in order to make certain that they are within the financial reach of almost everyone. Walmart is able to guarantee that it has the required negotiation clout to get the cheapest price by using its enormous worldwide network of suppliers, from whom it purchases items in bulk.</w:t>
      </w:r>
    </w:p>
    <w:p w14:paraId="14B68F4A" w14:textId="77777777" w:rsidR="00C01272" w:rsidRPr="00C01272" w:rsidRDefault="00C01272" w:rsidP="00C01272">
      <w:pPr>
        <w:jc w:val="both"/>
        <w:rPr>
          <w:rFonts w:ascii="Times New Roman" w:hAnsi="Times New Roman" w:cs="Times New Roman"/>
          <w:sz w:val="24"/>
          <w:szCs w:val="24"/>
          <w:shd w:val="clear" w:color="auto" w:fill="FFFFFF"/>
        </w:rPr>
      </w:pPr>
      <w:r w:rsidRPr="00C01272">
        <w:rPr>
          <w:rFonts w:ascii="Times New Roman" w:hAnsi="Times New Roman" w:cs="Times New Roman"/>
          <w:sz w:val="24"/>
          <w:szCs w:val="24"/>
          <w:shd w:val="clear" w:color="auto" w:fill="FFFFFF"/>
        </w:rPr>
        <w:t>Another approach that the corporation employs, especially in regard to Sam's Club, is known as cross-docking. Through the use of a sophisticated and efficiently managed redistribution system, items are sent directly to the customer or point of sale from a warehouse, therefore avoiding the need for storage. Because of this, it is feasible to achieve significant cost savings in the logistics industry.</w:t>
      </w:r>
    </w:p>
    <w:p w14:paraId="75BFDB8E" w14:textId="0E14770B" w:rsidR="00C01272" w:rsidRPr="00C01272" w:rsidRDefault="00C01272" w:rsidP="00C01272">
      <w:pPr>
        <w:jc w:val="both"/>
        <w:rPr>
          <w:rFonts w:ascii="Times New Roman" w:hAnsi="Times New Roman" w:cs="Times New Roman"/>
          <w:sz w:val="24"/>
          <w:szCs w:val="24"/>
          <w:shd w:val="clear" w:color="auto" w:fill="FFFFFF"/>
        </w:rPr>
      </w:pPr>
      <w:r w:rsidRPr="00C01272">
        <w:rPr>
          <w:rFonts w:ascii="Times New Roman" w:hAnsi="Times New Roman" w:cs="Times New Roman"/>
          <w:sz w:val="24"/>
          <w:szCs w:val="24"/>
          <w:shd w:val="clear" w:color="auto" w:fill="FFFFFF"/>
        </w:rPr>
        <w:t>Walmart makes substantial expenditures in a diverse assortment of products and brands, ranging from well-known national brands to luxury names, for both its online and brick-and-mortar retail locations.</w:t>
      </w:r>
    </w:p>
    <w:p w14:paraId="5D7175EE" w14:textId="54C4699C" w:rsidR="00C01272" w:rsidRPr="00C01272" w:rsidRDefault="00C01272" w:rsidP="00C01272">
      <w:pPr>
        <w:jc w:val="both"/>
        <w:rPr>
          <w:rFonts w:ascii="Times New Roman" w:hAnsi="Times New Roman" w:cs="Times New Roman"/>
          <w:sz w:val="24"/>
          <w:szCs w:val="24"/>
          <w:shd w:val="clear" w:color="auto" w:fill="FFFFFF"/>
        </w:rPr>
      </w:pPr>
      <w:r w:rsidRPr="00C01272">
        <w:rPr>
          <w:rFonts w:ascii="Times New Roman" w:hAnsi="Times New Roman" w:cs="Times New Roman"/>
          <w:sz w:val="24"/>
          <w:szCs w:val="24"/>
          <w:shd w:val="clear" w:color="auto" w:fill="FFFFFF"/>
        </w:rPr>
        <w:t>Walmart is well aware that giving consumers with the best possible experience motivates them to make more purchases from other Walmart stores, which is the perfect strategy for retaining customers. In addition, the company is aware that satisfied customers are directly proportional to the level of motivation of the workers. As a consequence of this, it intends to offer its employees with fair remuneration while also investing in their professional development. In addition, Walmart offers a money-back guarantee of one hundred percent to clients who are unhappy with the services they get from the company (Pereira, 2020).</w:t>
      </w:r>
    </w:p>
    <w:p w14:paraId="2D4E3306" w14:textId="568B1927" w:rsidR="000A1E7F" w:rsidRDefault="000A1E7F" w:rsidP="000A1E7F">
      <w:pPr>
        <w:rPr>
          <w:sz w:val="24"/>
          <w:szCs w:val="24"/>
          <w:shd w:val="clear" w:color="auto" w:fill="FFFFFF"/>
        </w:rPr>
      </w:pPr>
      <w:r>
        <w:rPr>
          <w:noProof/>
          <w:sz w:val="24"/>
          <w:szCs w:val="24"/>
          <w:shd w:val="clear" w:color="auto" w:fill="FFFFFF"/>
        </w:rPr>
        <w:drawing>
          <wp:inline distT="0" distB="0" distL="0" distR="0" wp14:anchorId="31B11D0C" wp14:editId="0438ED9F">
            <wp:extent cx="6159108" cy="2752725"/>
            <wp:effectExtent l="0" t="0" r="0" b="0"/>
            <wp:docPr id="4673146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0446" b="10099"/>
                    <a:stretch/>
                  </pic:blipFill>
                  <pic:spPr bwMode="auto">
                    <a:xfrm>
                      <a:off x="0" y="0"/>
                      <a:ext cx="6165586" cy="2755620"/>
                    </a:xfrm>
                    <a:prstGeom prst="rect">
                      <a:avLst/>
                    </a:prstGeom>
                    <a:noFill/>
                    <a:ln>
                      <a:noFill/>
                    </a:ln>
                    <a:extLst>
                      <a:ext uri="{53640926-AAD7-44D8-BBD7-CCE9431645EC}">
                        <a14:shadowObscured xmlns:a14="http://schemas.microsoft.com/office/drawing/2010/main"/>
                      </a:ext>
                    </a:extLst>
                  </pic:spPr>
                </pic:pic>
              </a:graphicData>
            </a:graphic>
          </wp:inline>
        </w:drawing>
      </w:r>
    </w:p>
    <w:p w14:paraId="0F3DF6A1" w14:textId="6AED2DA8" w:rsidR="00DB7F06" w:rsidRPr="00DB7F06" w:rsidRDefault="00D76AE2" w:rsidP="00D76AE2">
      <w:pPr>
        <w:pStyle w:val="Caption"/>
        <w:jc w:val="center"/>
        <w:rPr>
          <w:rFonts w:ascii="Times New Roman" w:hAnsi="Times New Roman" w:cs="Times New Roman"/>
          <w:sz w:val="24"/>
          <w:szCs w:val="24"/>
          <w:shd w:val="clear" w:color="auto" w:fill="FFFFFF"/>
        </w:rPr>
      </w:pPr>
      <w:bookmarkStart w:id="4" w:name="_Toc164827052"/>
      <w:r>
        <w:lastRenderedPageBreak/>
        <w:t xml:space="preserve">Figure </w:t>
      </w:r>
      <w:r>
        <w:fldChar w:fldCharType="begin"/>
      </w:r>
      <w:r>
        <w:instrText xml:space="preserve"> SEQ Figure \* ARABIC </w:instrText>
      </w:r>
      <w:r>
        <w:fldChar w:fldCharType="separate"/>
      </w:r>
      <w:r>
        <w:rPr>
          <w:noProof/>
        </w:rPr>
        <w:t>1</w:t>
      </w:r>
      <w:r>
        <w:fldChar w:fldCharType="end"/>
      </w:r>
      <w:r w:rsidR="00DB7F06" w:rsidRPr="00DB7F06">
        <w:rPr>
          <w:rFonts w:ascii="Times New Roman" w:hAnsi="Times New Roman" w:cs="Times New Roman"/>
          <w:sz w:val="24"/>
          <w:szCs w:val="24"/>
          <w:shd w:val="clear" w:color="auto" w:fill="FFFFFF"/>
        </w:rPr>
        <w:t>: Business model of Walmart</w:t>
      </w:r>
      <w:bookmarkEnd w:id="4"/>
    </w:p>
    <w:p w14:paraId="17578705" w14:textId="1700A81C" w:rsidR="000A1E7F" w:rsidRPr="00DB7F06" w:rsidRDefault="000A1E7F" w:rsidP="00D76AE2">
      <w:pPr>
        <w:jc w:val="center"/>
        <w:rPr>
          <w:rFonts w:ascii="Times New Roman" w:hAnsi="Times New Roman" w:cs="Times New Roman"/>
          <w:sz w:val="24"/>
          <w:szCs w:val="24"/>
          <w:shd w:val="clear" w:color="auto" w:fill="FFFFFF"/>
        </w:rPr>
      </w:pPr>
      <w:r w:rsidRPr="00DB7F06">
        <w:rPr>
          <w:rFonts w:ascii="Times New Roman" w:hAnsi="Times New Roman" w:cs="Times New Roman"/>
          <w:sz w:val="24"/>
          <w:szCs w:val="24"/>
          <w:shd w:val="clear" w:color="auto" w:fill="FFFFFF"/>
        </w:rPr>
        <w:t>Source: (Pereira, 2020)</w:t>
      </w:r>
    </w:p>
    <w:p w14:paraId="3B514053" w14:textId="36331939" w:rsidR="000A1E7F" w:rsidRPr="0044676F" w:rsidRDefault="00A508EF" w:rsidP="0044676F">
      <w:pPr>
        <w:pStyle w:val="Heading2"/>
        <w:rPr>
          <w:color w:val="4472C4" w:themeColor="accent1"/>
          <w:sz w:val="28"/>
          <w:szCs w:val="28"/>
          <w:shd w:val="clear" w:color="auto" w:fill="FFFFFF"/>
        </w:rPr>
      </w:pPr>
      <w:bookmarkStart w:id="5" w:name="_Toc164827461"/>
      <w:r w:rsidRPr="0044676F">
        <w:rPr>
          <w:color w:val="4472C4" w:themeColor="accent1"/>
          <w:sz w:val="28"/>
          <w:szCs w:val="28"/>
          <w:shd w:val="clear" w:color="auto" w:fill="FFFFFF"/>
        </w:rPr>
        <w:t>Market place:</w:t>
      </w:r>
      <w:bookmarkEnd w:id="5"/>
    </w:p>
    <w:p w14:paraId="642A55A3" w14:textId="77777777" w:rsidR="00C01272" w:rsidRPr="00C01272" w:rsidRDefault="00C01272" w:rsidP="00C01272">
      <w:pPr>
        <w:jc w:val="both"/>
        <w:rPr>
          <w:rFonts w:ascii="Times New Roman" w:hAnsi="Times New Roman" w:cs="Times New Roman"/>
          <w:color w:val="1F1F1F"/>
          <w:sz w:val="24"/>
          <w:szCs w:val="24"/>
          <w:shd w:val="clear" w:color="auto" w:fill="FFFFFF"/>
        </w:rPr>
      </w:pPr>
      <w:r w:rsidRPr="00C01272">
        <w:rPr>
          <w:rFonts w:ascii="Times New Roman" w:hAnsi="Times New Roman" w:cs="Times New Roman"/>
          <w:color w:val="1F1F1F"/>
          <w:sz w:val="24"/>
          <w:szCs w:val="24"/>
          <w:shd w:val="clear" w:color="auto" w:fill="FFFFFF"/>
        </w:rPr>
        <w:t xml:space="preserve">A marketplace business strategy, similar to that of eBay or Amazon Marketplace, is used by Walmart. This approach allows independent merchants to sell their products to Walmart's massive customer base to generate revenue. With the use of this technique, Walmart has the potential to significantly expand the variety of things it provides without incurring the costs associated with the upkeep and storage of each individual item (Leon, 2023). </w:t>
      </w:r>
    </w:p>
    <w:p w14:paraId="333C169F" w14:textId="68A818D8" w:rsidR="00C01272" w:rsidRPr="0044676F" w:rsidRDefault="00C01272" w:rsidP="0044676F">
      <w:pPr>
        <w:jc w:val="both"/>
        <w:rPr>
          <w:rFonts w:ascii="Times New Roman" w:hAnsi="Times New Roman" w:cs="Times New Roman"/>
          <w:color w:val="1F1F1F"/>
          <w:sz w:val="24"/>
          <w:szCs w:val="24"/>
          <w:shd w:val="clear" w:color="auto" w:fill="FFFFFF"/>
        </w:rPr>
      </w:pPr>
      <w:r w:rsidRPr="00C01272">
        <w:rPr>
          <w:rFonts w:ascii="Times New Roman" w:hAnsi="Times New Roman" w:cs="Times New Roman"/>
          <w:color w:val="1F1F1F"/>
          <w:sz w:val="24"/>
          <w:szCs w:val="24"/>
          <w:shd w:val="clear" w:color="auto" w:fill="FFFFFF"/>
        </w:rPr>
        <w:t>On a monthly basis, the website of Walmart gets more than 120 million visitors, providing advertisers with a convenient entry point to a broad customer base. One of the things that sets Walmart apart from other marketplaces and draws suppliers, particularly small businesses, is the fact that it does not charge any startup or monthly fees. To help sellers in building their companies, Walmart Marketplace offers a variety of services, including fulfillment and advertising choices (Walmart, 2017). These resources and options are provided by Walmart.</w:t>
      </w:r>
    </w:p>
    <w:p w14:paraId="5E91BB2F" w14:textId="57DF7944" w:rsidR="00A508EF" w:rsidRPr="0044676F" w:rsidRDefault="00A508EF" w:rsidP="0044676F">
      <w:pPr>
        <w:pStyle w:val="Heading2"/>
        <w:rPr>
          <w:color w:val="4472C4" w:themeColor="accent1"/>
          <w:sz w:val="28"/>
          <w:szCs w:val="28"/>
        </w:rPr>
      </w:pPr>
      <w:bookmarkStart w:id="6" w:name="_Toc164827462"/>
      <w:r w:rsidRPr="0044676F">
        <w:rPr>
          <w:color w:val="4472C4" w:themeColor="accent1"/>
          <w:sz w:val="28"/>
          <w:szCs w:val="28"/>
        </w:rPr>
        <w:t>Major Competitors:</w:t>
      </w:r>
      <w:bookmarkEnd w:id="6"/>
    </w:p>
    <w:p w14:paraId="133490E4" w14:textId="77777777" w:rsidR="00C01272" w:rsidRPr="00C01272" w:rsidRDefault="00C01272" w:rsidP="00C01272">
      <w:pPr>
        <w:jc w:val="both"/>
        <w:rPr>
          <w:rFonts w:ascii="Times New Roman" w:eastAsia="Times New Roman" w:hAnsi="Times New Roman" w:cs="Times New Roman"/>
          <w:kern w:val="0"/>
          <w:sz w:val="24"/>
          <w:szCs w:val="24"/>
          <w14:ligatures w14:val="none"/>
        </w:rPr>
      </w:pPr>
      <w:r w:rsidRPr="00C01272">
        <w:rPr>
          <w:rFonts w:ascii="Times New Roman" w:eastAsia="Times New Roman" w:hAnsi="Times New Roman" w:cs="Times New Roman"/>
          <w:kern w:val="0"/>
          <w:sz w:val="24"/>
          <w:szCs w:val="24"/>
          <w14:ligatures w14:val="none"/>
        </w:rPr>
        <w:t xml:space="preserve">Walmart is driven by competition, and in the United States, its most direct competitors in the large-scale discount retail sector are Target, Kmart, and Costco Wholesale. Wal-Mart is one of the most successful retailers in the world. As an additional point of interest, Wal-Mart has positioned itself in comparison to other regional chains and independent grocery shops, such as Winn-Dixie, Safeway, Publix, Kroger, and Albertsons. The presence of rivals may result in a variety of obstacles, such as decreased price, the establishment of product monopolies, and the loss of market share. In spite of this, Wal-Mart performs more business than Target, Sears, Kmart, J.C. Penney, Safeway, and Kroger combined. In fact, Wal-Mart sells four times as much yearly as Home Depot, which is the retailer that comes in second place. It is crucial for Wal-Mart's existence to have an understanding of what other competitors are doing in order to either uncover or satisfy the wants of their customers. The retail industry is seeing a rising trend, according to Target, which is the popularity of trademark lines with national or private brands. Some examples of these lines are the Todd Oldham home furnishings line and the Isaac Mizrahi clothes line. For instance, in an attempt to maintain its position as a market leader, Wal-Mart has promoted its new, stylish brand, George, in favor of brands such as Kathy Lee and Bobbie Brooks, which are considered to be out of date and worn out. A cost-benefit analysis is also provided by the George brand of clothes, which ensures that Wal-Mart's "Always Low Prices, Always" business model is maintained. This is due to the fact that there are no intermediaries involved, which allows the clothing's margins to be much lower than those of other national brands. Analysts estimate that twenty percent of Wal-Mart's sales in 2004 came from clothing; hence, it made sense for the company to pursue this strategy in order to counteract the might of its rivals. A number of international markets, such as South Korea, China, and Germany, have proven to be challenging for Wal-Mart to compete in. The firm made the announcement in July 2006 that it was leaving Germany owing to huge losses, </w:t>
      </w:r>
      <w:r w:rsidRPr="00C01272">
        <w:rPr>
          <w:rFonts w:ascii="Times New Roman" w:eastAsia="Times New Roman" w:hAnsi="Times New Roman" w:cs="Times New Roman"/>
          <w:kern w:val="0"/>
          <w:sz w:val="24"/>
          <w:szCs w:val="24"/>
          <w14:ligatures w14:val="none"/>
        </w:rPr>
        <w:lastRenderedPageBreak/>
        <w:t xml:space="preserve">and in China, its approach of offering "everyday low prices" has not been successful in competing with "Chinese mom-and-pop" retailers that are used to offering aggressive pricing. It was in May of 2006 that Wal-Mart made the decision to withdraw from the South Korean market after reaching an agreement with Shinsegae, a local retailer, to sell all sixteen of its South Korean sites for a total of $882 million. Several factors have contributed to Wal-Mart's superior performance in comparison to those of its competitors, as shown by comparative analysis. In addition to the many worldwide acquisitions that Wal-Mart has made, there are other important aspects that may have contributed to the company's remarkable success. After Wal-Mart acquired potential competitors such as Bompreco and Sonae, two of the major supermarkets in the area, there are only two important competitors left in Northern Brazil. These competitors are Carrefour and Púo de Açúcar. Wal-Mart has acquired businesses in various countries, including those in Canada, Mexico, and Japan, which have proven to be successful.   </w:t>
      </w:r>
    </w:p>
    <w:p w14:paraId="3C8AE066" w14:textId="407954AD" w:rsidR="00C01272" w:rsidRDefault="00C01272" w:rsidP="0044676F">
      <w:pPr>
        <w:jc w:val="both"/>
        <w:rPr>
          <w:rFonts w:ascii="Times New Roman" w:eastAsia="Times New Roman" w:hAnsi="Times New Roman" w:cs="Times New Roman"/>
          <w:kern w:val="0"/>
          <w:sz w:val="24"/>
          <w:szCs w:val="24"/>
          <w14:ligatures w14:val="none"/>
        </w:rPr>
      </w:pPr>
      <w:r w:rsidRPr="00C01272">
        <w:rPr>
          <w:rFonts w:ascii="Times New Roman" w:eastAsia="Times New Roman" w:hAnsi="Times New Roman" w:cs="Times New Roman"/>
          <w:kern w:val="0"/>
          <w:sz w:val="24"/>
          <w:szCs w:val="24"/>
          <w14:ligatures w14:val="none"/>
        </w:rPr>
        <w:t>In the same way that other big corporations are subject to a general environment, Wal-Mart is also subject to a general environment that is heavily impacted by influences from the sociocultural, demographic, political, legal, and global domains. When compared to the direct pressures that are present in the workplace, these forces are often more elusive, harder to identify, and difficult to address (Mujtaba, 2007).</w:t>
      </w:r>
    </w:p>
    <w:p w14:paraId="1C717A6A" w14:textId="583D2395" w:rsidR="00A508EF" w:rsidRPr="0044676F" w:rsidRDefault="00A508EF" w:rsidP="0044676F">
      <w:pPr>
        <w:pStyle w:val="Heading2"/>
        <w:rPr>
          <w:color w:val="4472C4" w:themeColor="accent1"/>
          <w:sz w:val="28"/>
          <w:szCs w:val="28"/>
        </w:rPr>
      </w:pPr>
      <w:bookmarkStart w:id="7" w:name="_Toc164827463"/>
      <w:r w:rsidRPr="0044676F">
        <w:rPr>
          <w:color w:val="4472C4" w:themeColor="accent1"/>
          <w:sz w:val="28"/>
          <w:szCs w:val="28"/>
        </w:rPr>
        <w:t>Major events over the past five years:</w:t>
      </w:r>
      <w:bookmarkEnd w:id="7"/>
    </w:p>
    <w:p w14:paraId="69CE57E5" w14:textId="6B77ADC2" w:rsidR="00C01272" w:rsidRPr="00E427F9" w:rsidRDefault="00C01272"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427F9">
        <w:rPr>
          <w:rFonts w:ascii="Times New Roman" w:eastAsia="Times New Roman" w:hAnsi="Times New Roman" w:cs="Times New Roman"/>
          <w:color w:val="1F1F1F"/>
          <w:kern w:val="0"/>
          <w:sz w:val="24"/>
          <w:szCs w:val="24"/>
          <w14:ligatures w14:val="none"/>
        </w:rPr>
        <w:t>An overview of some key events that have occurred in relation to Walmart during the course of the last five years is provided below:</w:t>
      </w:r>
    </w:p>
    <w:p w14:paraId="6128D957" w14:textId="5EA7E378" w:rsidR="00A508EF" w:rsidRPr="00A508EF" w:rsidRDefault="00A508EF"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508EF">
        <w:rPr>
          <w:rFonts w:ascii="Times New Roman" w:eastAsia="Times New Roman" w:hAnsi="Times New Roman" w:cs="Times New Roman"/>
          <w:b/>
          <w:bCs/>
          <w:color w:val="1F1F1F"/>
          <w:kern w:val="0"/>
          <w:sz w:val="24"/>
          <w:szCs w:val="24"/>
          <w14:ligatures w14:val="none"/>
        </w:rPr>
        <w:t>2019:</w:t>
      </w:r>
    </w:p>
    <w:p w14:paraId="346D07F3" w14:textId="77777777" w:rsidR="00E427F9" w:rsidRPr="00E427F9" w:rsidRDefault="00E427F9"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427F9">
        <w:rPr>
          <w:rFonts w:ascii="Times New Roman" w:eastAsia="Times New Roman" w:hAnsi="Times New Roman" w:cs="Times New Roman"/>
          <w:color w:val="1F1F1F"/>
          <w:kern w:val="0"/>
          <w:sz w:val="24"/>
          <w:szCs w:val="24"/>
          <w14:ligatures w14:val="none"/>
        </w:rPr>
        <w:t xml:space="preserve">During the time when Amazon was gaining influence at Walmart, Doug McMillon, who had been serving as CEO since 2014, made certain that he would continue to hold the position for the foreseeable future. According to Nassauer (2023), this demonstrated that the leadership had maintained its continuity and stability at a crucial point for the company. </w:t>
      </w:r>
    </w:p>
    <w:p w14:paraId="799D60CA" w14:textId="73F5B6A7" w:rsidR="00A508EF" w:rsidRPr="00A508EF" w:rsidRDefault="00A508EF"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508EF">
        <w:rPr>
          <w:rFonts w:ascii="Times New Roman" w:eastAsia="Times New Roman" w:hAnsi="Times New Roman" w:cs="Times New Roman"/>
          <w:b/>
          <w:bCs/>
          <w:color w:val="1F1F1F"/>
          <w:kern w:val="0"/>
          <w:sz w:val="24"/>
          <w:szCs w:val="24"/>
          <w14:ligatures w14:val="none"/>
        </w:rPr>
        <w:t>2020:</w:t>
      </w:r>
    </w:p>
    <w:p w14:paraId="05A52BC9" w14:textId="5C850DA2" w:rsidR="00E427F9" w:rsidRPr="00E427F9" w:rsidRDefault="00E427F9"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427F9">
        <w:rPr>
          <w:rFonts w:ascii="Times New Roman" w:eastAsia="Times New Roman" w:hAnsi="Times New Roman" w:cs="Times New Roman"/>
          <w:color w:val="1F1F1F"/>
          <w:kern w:val="0"/>
          <w:sz w:val="24"/>
          <w:szCs w:val="24"/>
          <w14:ligatures w14:val="none"/>
        </w:rPr>
        <w:t>Walmart made a significant increase in the quantity of food that it delivered and picked up once the COVID-19 pandemic became widespread. Because of this strategic decision, which was a response to the surge in the number of people ordering groceries online, Walmart was able to establish itself as a market leader in the field of easy food fulfillment (Ignatius, 2017).</w:t>
      </w:r>
    </w:p>
    <w:p w14:paraId="6581E25E" w14:textId="2910D416" w:rsidR="00A508EF" w:rsidRPr="00A508EF" w:rsidRDefault="00A508EF"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508EF">
        <w:rPr>
          <w:rFonts w:ascii="Times New Roman" w:eastAsia="Times New Roman" w:hAnsi="Times New Roman" w:cs="Times New Roman"/>
          <w:b/>
          <w:bCs/>
          <w:color w:val="1F1F1F"/>
          <w:kern w:val="0"/>
          <w:sz w:val="24"/>
          <w:szCs w:val="24"/>
          <w14:ligatures w14:val="none"/>
        </w:rPr>
        <w:t>2021:</w:t>
      </w:r>
    </w:p>
    <w:p w14:paraId="5108D92C" w14:textId="5F1D1C45" w:rsidR="00E427F9" w:rsidRPr="00E427F9" w:rsidRDefault="00E427F9"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427F9">
        <w:rPr>
          <w:rFonts w:ascii="Times New Roman" w:eastAsia="Times New Roman" w:hAnsi="Times New Roman" w:cs="Times New Roman"/>
          <w:color w:val="1F1F1F"/>
          <w:kern w:val="0"/>
          <w:sz w:val="24"/>
          <w:szCs w:val="24"/>
          <w14:ligatures w14:val="none"/>
        </w:rPr>
        <w:t>Walmart and DroneUp got up to examine the possibility of using drones to deliver online orders. The considerable investment that Walmart made demonstrates the company's commitment to innovation and the discovery of new ways to satisfy the expectations of its customers (Palmer, 2023).</w:t>
      </w:r>
    </w:p>
    <w:p w14:paraId="1A5FC96E" w14:textId="53E69C59" w:rsidR="00A508EF" w:rsidRPr="00A508EF" w:rsidRDefault="00A508EF"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508EF">
        <w:rPr>
          <w:rFonts w:ascii="Times New Roman" w:eastAsia="Times New Roman" w:hAnsi="Times New Roman" w:cs="Times New Roman"/>
          <w:b/>
          <w:bCs/>
          <w:color w:val="1F1F1F"/>
          <w:kern w:val="0"/>
          <w:sz w:val="24"/>
          <w:szCs w:val="24"/>
          <w14:ligatures w14:val="none"/>
        </w:rPr>
        <w:lastRenderedPageBreak/>
        <w:t>2022:</w:t>
      </w:r>
    </w:p>
    <w:p w14:paraId="2FB5828E" w14:textId="2C3C4C4C" w:rsidR="00A508EF" w:rsidRPr="00A508EF" w:rsidRDefault="00A508EF" w:rsidP="00E427F9">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A508EF">
        <w:rPr>
          <w:rFonts w:ascii="Times New Roman" w:eastAsia="Times New Roman" w:hAnsi="Times New Roman" w:cs="Times New Roman"/>
          <w:b/>
          <w:bCs/>
          <w:color w:val="1F1F1F"/>
          <w:kern w:val="0"/>
          <w:sz w:val="24"/>
          <w:szCs w:val="24"/>
          <w14:ligatures w14:val="none"/>
        </w:rPr>
        <w:t>Walmart Targets $250 Billion in US-Made Products:</w:t>
      </w:r>
      <w:r w:rsidRPr="00A508EF">
        <w:rPr>
          <w:rFonts w:ascii="Times New Roman" w:eastAsia="Times New Roman" w:hAnsi="Times New Roman" w:cs="Times New Roman"/>
          <w:color w:val="1F1F1F"/>
          <w:kern w:val="0"/>
          <w:sz w:val="24"/>
          <w:szCs w:val="24"/>
          <w14:ligatures w14:val="none"/>
        </w:rPr>
        <w:t xml:space="preserve"> Walmart pledged to source $250 billion worth of goods manufactured in the United States over the next decade. This strategic move aimed to strengthen domestic supply chains and potentially benefit from growing consumer preference for American-made products </w:t>
      </w:r>
      <w:r w:rsidR="009E19E3" w:rsidRPr="00E427F9">
        <w:rPr>
          <w:rFonts w:ascii="Times New Roman" w:eastAsia="Times New Roman" w:hAnsi="Times New Roman" w:cs="Times New Roman"/>
          <w:color w:val="1F1F1F"/>
          <w:kern w:val="0"/>
          <w:sz w:val="24"/>
          <w:szCs w:val="24"/>
          <w14:ligatures w14:val="none"/>
        </w:rPr>
        <w:t>(Reuters, 2022)</w:t>
      </w:r>
    </w:p>
    <w:p w14:paraId="615E574D" w14:textId="08F99F2D" w:rsidR="00A508EF" w:rsidRPr="00A508EF" w:rsidRDefault="00A508EF"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508EF">
        <w:rPr>
          <w:rFonts w:ascii="Times New Roman" w:eastAsia="Times New Roman" w:hAnsi="Times New Roman" w:cs="Times New Roman"/>
          <w:b/>
          <w:bCs/>
          <w:color w:val="1F1F1F"/>
          <w:kern w:val="0"/>
          <w:sz w:val="24"/>
          <w:szCs w:val="24"/>
          <w14:ligatures w14:val="none"/>
        </w:rPr>
        <w:t>2023:</w:t>
      </w:r>
    </w:p>
    <w:p w14:paraId="34945552" w14:textId="57127A70" w:rsidR="00E427F9" w:rsidRPr="00E427F9" w:rsidRDefault="00E427F9" w:rsidP="00E427F9">
      <w:pPr>
        <w:jc w:val="both"/>
        <w:rPr>
          <w:rFonts w:ascii="Times New Roman" w:eastAsia="Times New Roman" w:hAnsi="Times New Roman" w:cs="Times New Roman"/>
          <w:kern w:val="0"/>
          <w:sz w:val="24"/>
          <w:szCs w:val="24"/>
          <w14:ligatures w14:val="none"/>
        </w:rPr>
      </w:pPr>
      <w:r w:rsidRPr="00E427F9">
        <w:rPr>
          <w:rFonts w:ascii="Times New Roman" w:eastAsia="Times New Roman" w:hAnsi="Times New Roman" w:cs="Times New Roman"/>
          <w:kern w:val="0"/>
          <w:sz w:val="24"/>
          <w:szCs w:val="24"/>
          <w14:ligatures w14:val="none"/>
        </w:rPr>
        <w:t>During the Investor Community Meeting that Walmart had in 2023, the company outlined its growth plan and said that it would want to increase its sales by 4% over the course of the subsequent five years. Additionally, the company showcased its efforts in developing a supply chain that is both automated and efficient for the future generation.</w:t>
      </w:r>
    </w:p>
    <w:p w14:paraId="3999EE26" w14:textId="77777777" w:rsidR="00E427F9" w:rsidRPr="00E427F9" w:rsidRDefault="00E427F9" w:rsidP="00E427F9">
      <w:pPr>
        <w:jc w:val="both"/>
        <w:rPr>
          <w:rFonts w:ascii="Times New Roman" w:eastAsia="Times New Roman" w:hAnsi="Times New Roman" w:cs="Times New Roman"/>
          <w:kern w:val="0"/>
          <w:sz w:val="24"/>
          <w:szCs w:val="24"/>
          <w14:ligatures w14:val="none"/>
        </w:rPr>
      </w:pPr>
      <w:r w:rsidRPr="00E427F9">
        <w:rPr>
          <w:rFonts w:ascii="Times New Roman" w:eastAsia="Times New Roman" w:hAnsi="Times New Roman" w:cs="Times New Roman"/>
          <w:kern w:val="0"/>
          <w:sz w:val="24"/>
          <w:szCs w:val="24"/>
          <w14:ligatures w14:val="none"/>
        </w:rPr>
        <w:t>The recent path that Walmart has taken has been significantly impacted by a number of key events, some of which are included below. Because of the dynamic nature of the retail market, the organization is able to adjust and grow in accordance with industry trends.</w:t>
      </w:r>
    </w:p>
    <w:p w14:paraId="49121DEA" w14:textId="0F64BBC0" w:rsidR="00E427F9" w:rsidRPr="0044676F" w:rsidRDefault="0044676F" w:rsidP="00E427F9">
      <w:pPr>
        <w:rPr>
          <w:rFonts w:ascii="Times New Roman" w:eastAsia="Times New Roman" w:hAnsi="Times New Roman" w:cs="Times New Roman"/>
          <w:b/>
          <w:bCs/>
          <w:color w:val="4472C4" w:themeColor="accent1"/>
          <w:kern w:val="0"/>
          <w:sz w:val="28"/>
          <w:szCs w:val="28"/>
          <w14:ligatures w14:val="none"/>
        </w:rPr>
      </w:pPr>
      <w:r w:rsidRPr="0044676F">
        <w:rPr>
          <w:rFonts w:ascii="Times New Roman" w:eastAsia="Times New Roman" w:hAnsi="Times New Roman" w:cs="Times New Roman"/>
          <w:b/>
          <w:bCs/>
          <w:color w:val="4472C4" w:themeColor="accent1"/>
          <w:kern w:val="0"/>
          <w:sz w:val="28"/>
          <w:szCs w:val="28"/>
          <w14:ligatures w14:val="none"/>
        </w:rPr>
        <w:t>PART B</w:t>
      </w:r>
    </w:p>
    <w:p w14:paraId="052D8272" w14:textId="4B985A11" w:rsidR="00D76AE2" w:rsidRPr="00D76AE2" w:rsidRDefault="0044676F" w:rsidP="00D76AE2">
      <w:pPr>
        <w:pStyle w:val="Heading2"/>
        <w:rPr>
          <w:color w:val="4472C4" w:themeColor="accent1"/>
          <w:sz w:val="28"/>
          <w:szCs w:val="28"/>
        </w:rPr>
      </w:pPr>
      <w:bookmarkStart w:id="8" w:name="_Toc164827464"/>
      <w:r w:rsidRPr="0044676F">
        <w:rPr>
          <w:color w:val="4472C4" w:themeColor="accent1"/>
          <w:sz w:val="28"/>
          <w:szCs w:val="28"/>
        </w:rPr>
        <w:t>Liquidity and Leverage Ratios of Walmart</w:t>
      </w:r>
      <w:bookmarkEnd w:id="8"/>
    </w:p>
    <w:tbl>
      <w:tblPr>
        <w:tblStyle w:val="TableGridLight"/>
        <w:tblW w:w="6940" w:type="dxa"/>
        <w:jc w:val="center"/>
        <w:tblLook w:val="04A0" w:firstRow="1" w:lastRow="0" w:firstColumn="1" w:lastColumn="0" w:noHBand="0" w:noVBand="1"/>
      </w:tblPr>
      <w:tblGrid>
        <w:gridCol w:w="2140"/>
        <w:gridCol w:w="996"/>
        <w:gridCol w:w="996"/>
        <w:gridCol w:w="996"/>
        <w:gridCol w:w="996"/>
        <w:gridCol w:w="996"/>
      </w:tblGrid>
      <w:tr w:rsidR="0027735F" w:rsidRPr="0027735F" w14:paraId="5C4497FC" w14:textId="77777777" w:rsidTr="0027735F">
        <w:trPr>
          <w:trHeight w:val="300"/>
          <w:jc w:val="center"/>
        </w:trPr>
        <w:tc>
          <w:tcPr>
            <w:tcW w:w="2140" w:type="dxa"/>
            <w:noWrap/>
            <w:hideMark/>
          </w:tcPr>
          <w:p w14:paraId="0C594EBF" w14:textId="77777777" w:rsidR="0027735F" w:rsidRPr="0027735F" w:rsidRDefault="0027735F" w:rsidP="0027735F">
            <w:pPr>
              <w:rPr>
                <w:rFonts w:ascii="Times New Roman" w:eastAsia="Times New Roman" w:hAnsi="Times New Roman" w:cs="Times New Roman"/>
                <w:kern w:val="0"/>
                <w:sz w:val="24"/>
                <w:szCs w:val="24"/>
                <w14:ligatures w14:val="none"/>
              </w:rPr>
            </w:pPr>
          </w:p>
        </w:tc>
        <w:tc>
          <w:tcPr>
            <w:tcW w:w="960" w:type="dxa"/>
            <w:noWrap/>
            <w:hideMark/>
          </w:tcPr>
          <w:p w14:paraId="592EB7C6"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2019</w:t>
            </w:r>
          </w:p>
        </w:tc>
        <w:tc>
          <w:tcPr>
            <w:tcW w:w="960" w:type="dxa"/>
            <w:noWrap/>
            <w:hideMark/>
          </w:tcPr>
          <w:p w14:paraId="704CFE38"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2020</w:t>
            </w:r>
          </w:p>
        </w:tc>
        <w:tc>
          <w:tcPr>
            <w:tcW w:w="960" w:type="dxa"/>
            <w:noWrap/>
            <w:hideMark/>
          </w:tcPr>
          <w:p w14:paraId="54C19BA2"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2021</w:t>
            </w:r>
          </w:p>
        </w:tc>
        <w:tc>
          <w:tcPr>
            <w:tcW w:w="960" w:type="dxa"/>
            <w:noWrap/>
            <w:hideMark/>
          </w:tcPr>
          <w:p w14:paraId="227C8845"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2022</w:t>
            </w:r>
          </w:p>
        </w:tc>
        <w:tc>
          <w:tcPr>
            <w:tcW w:w="960" w:type="dxa"/>
            <w:noWrap/>
            <w:hideMark/>
          </w:tcPr>
          <w:p w14:paraId="1E84808E"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2023</w:t>
            </w:r>
          </w:p>
        </w:tc>
      </w:tr>
      <w:tr w:rsidR="0027735F" w:rsidRPr="0027735F" w14:paraId="532AF21C" w14:textId="77777777" w:rsidTr="0027735F">
        <w:trPr>
          <w:trHeight w:val="300"/>
          <w:jc w:val="center"/>
        </w:trPr>
        <w:tc>
          <w:tcPr>
            <w:tcW w:w="2140" w:type="dxa"/>
            <w:noWrap/>
            <w:hideMark/>
          </w:tcPr>
          <w:p w14:paraId="4E877490" w14:textId="77777777" w:rsidR="0027735F" w:rsidRPr="0027735F" w:rsidRDefault="0027735F" w:rsidP="0027735F">
            <w:pPr>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Current Assets</w:t>
            </w:r>
          </w:p>
        </w:tc>
        <w:tc>
          <w:tcPr>
            <w:tcW w:w="960" w:type="dxa"/>
            <w:noWrap/>
            <w:hideMark/>
          </w:tcPr>
          <w:p w14:paraId="3D8FA63C"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61,897</w:t>
            </w:r>
          </w:p>
        </w:tc>
        <w:tc>
          <w:tcPr>
            <w:tcW w:w="960" w:type="dxa"/>
            <w:noWrap/>
            <w:hideMark/>
          </w:tcPr>
          <w:p w14:paraId="4AE9112E"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61,806</w:t>
            </w:r>
          </w:p>
        </w:tc>
        <w:tc>
          <w:tcPr>
            <w:tcW w:w="960" w:type="dxa"/>
            <w:noWrap/>
            <w:hideMark/>
          </w:tcPr>
          <w:p w14:paraId="6A44F331"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90,067</w:t>
            </w:r>
          </w:p>
        </w:tc>
        <w:tc>
          <w:tcPr>
            <w:tcW w:w="960" w:type="dxa"/>
            <w:noWrap/>
            <w:hideMark/>
          </w:tcPr>
          <w:p w14:paraId="723284B3"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81,070</w:t>
            </w:r>
          </w:p>
        </w:tc>
        <w:tc>
          <w:tcPr>
            <w:tcW w:w="960" w:type="dxa"/>
            <w:noWrap/>
            <w:hideMark/>
          </w:tcPr>
          <w:p w14:paraId="1719C86E"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75,655</w:t>
            </w:r>
          </w:p>
        </w:tc>
      </w:tr>
      <w:tr w:rsidR="0027735F" w:rsidRPr="0027735F" w14:paraId="6EBBE237" w14:textId="77777777" w:rsidTr="0027735F">
        <w:trPr>
          <w:trHeight w:val="300"/>
          <w:jc w:val="center"/>
        </w:trPr>
        <w:tc>
          <w:tcPr>
            <w:tcW w:w="2140" w:type="dxa"/>
            <w:noWrap/>
            <w:hideMark/>
          </w:tcPr>
          <w:p w14:paraId="31970752" w14:textId="77777777" w:rsidR="0027735F" w:rsidRPr="0027735F" w:rsidRDefault="0027735F" w:rsidP="0027735F">
            <w:pPr>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current Liabilities</w:t>
            </w:r>
          </w:p>
        </w:tc>
        <w:tc>
          <w:tcPr>
            <w:tcW w:w="960" w:type="dxa"/>
            <w:noWrap/>
            <w:hideMark/>
          </w:tcPr>
          <w:p w14:paraId="0A00A4E4"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77,477</w:t>
            </w:r>
          </w:p>
        </w:tc>
        <w:tc>
          <w:tcPr>
            <w:tcW w:w="960" w:type="dxa"/>
            <w:noWrap/>
            <w:hideMark/>
          </w:tcPr>
          <w:p w14:paraId="55C278F9"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77,790</w:t>
            </w:r>
          </w:p>
        </w:tc>
        <w:tc>
          <w:tcPr>
            <w:tcW w:w="960" w:type="dxa"/>
            <w:noWrap/>
            <w:hideMark/>
          </w:tcPr>
          <w:p w14:paraId="20A7C080"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92,645</w:t>
            </w:r>
          </w:p>
        </w:tc>
        <w:tc>
          <w:tcPr>
            <w:tcW w:w="960" w:type="dxa"/>
            <w:noWrap/>
            <w:hideMark/>
          </w:tcPr>
          <w:p w14:paraId="5E90B262"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87,379</w:t>
            </w:r>
          </w:p>
        </w:tc>
        <w:tc>
          <w:tcPr>
            <w:tcW w:w="960" w:type="dxa"/>
            <w:noWrap/>
            <w:hideMark/>
          </w:tcPr>
          <w:p w14:paraId="7018492B"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92,198</w:t>
            </w:r>
          </w:p>
        </w:tc>
      </w:tr>
      <w:tr w:rsidR="0027735F" w:rsidRPr="0027735F" w14:paraId="4B960AD8" w14:textId="77777777" w:rsidTr="0027735F">
        <w:trPr>
          <w:trHeight w:val="300"/>
          <w:jc w:val="center"/>
        </w:trPr>
        <w:tc>
          <w:tcPr>
            <w:tcW w:w="2140" w:type="dxa"/>
            <w:noWrap/>
            <w:hideMark/>
          </w:tcPr>
          <w:p w14:paraId="38E251E4" w14:textId="77777777" w:rsidR="0027735F" w:rsidRPr="0027735F" w:rsidRDefault="0027735F" w:rsidP="0027735F">
            <w:pPr>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Cash flow</w:t>
            </w:r>
          </w:p>
        </w:tc>
        <w:tc>
          <w:tcPr>
            <w:tcW w:w="960" w:type="dxa"/>
            <w:noWrap/>
            <w:hideMark/>
          </w:tcPr>
          <w:p w14:paraId="5D6C5FAF"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742</w:t>
            </w:r>
          </w:p>
        </w:tc>
        <w:tc>
          <w:tcPr>
            <w:tcW w:w="960" w:type="dxa"/>
            <w:noWrap/>
            <w:hideMark/>
          </w:tcPr>
          <w:p w14:paraId="219F9DD5"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1759</w:t>
            </w:r>
          </w:p>
        </w:tc>
        <w:tc>
          <w:tcPr>
            <w:tcW w:w="960" w:type="dxa"/>
            <w:noWrap/>
            <w:hideMark/>
          </w:tcPr>
          <w:p w14:paraId="0376C561"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8273</w:t>
            </w:r>
          </w:p>
        </w:tc>
        <w:tc>
          <w:tcPr>
            <w:tcW w:w="960" w:type="dxa"/>
            <w:noWrap/>
            <w:hideMark/>
          </w:tcPr>
          <w:p w14:paraId="7E7EDB46"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-2954</w:t>
            </w:r>
          </w:p>
        </w:tc>
        <w:tc>
          <w:tcPr>
            <w:tcW w:w="960" w:type="dxa"/>
            <w:noWrap/>
            <w:hideMark/>
          </w:tcPr>
          <w:p w14:paraId="63AEFFBE"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-5993</w:t>
            </w:r>
          </w:p>
        </w:tc>
      </w:tr>
      <w:tr w:rsidR="0027735F" w:rsidRPr="0027735F" w14:paraId="40C1AE01" w14:textId="77777777" w:rsidTr="0027735F">
        <w:trPr>
          <w:trHeight w:val="300"/>
          <w:jc w:val="center"/>
        </w:trPr>
        <w:tc>
          <w:tcPr>
            <w:tcW w:w="2140" w:type="dxa"/>
            <w:noWrap/>
            <w:hideMark/>
          </w:tcPr>
          <w:p w14:paraId="562ACCBF" w14:textId="77777777" w:rsidR="0027735F" w:rsidRPr="0027735F" w:rsidRDefault="0027735F" w:rsidP="0027735F">
            <w:pPr>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Inventory</w:t>
            </w:r>
          </w:p>
        </w:tc>
        <w:tc>
          <w:tcPr>
            <w:tcW w:w="960" w:type="dxa"/>
            <w:noWrap/>
            <w:hideMark/>
          </w:tcPr>
          <w:p w14:paraId="42FD91C7"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44,269</w:t>
            </w:r>
          </w:p>
        </w:tc>
        <w:tc>
          <w:tcPr>
            <w:tcW w:w="960" w:type="dxa"/>
            <w:noWrap/>
            <w:hideMark/>
          </w:tcPr>
          <w:p w14:paraId="14CE69B2"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44,435</w:t>
            </w:r>
          </w:p>
        </w:tc>
        <w:tc>
          <w:tcPr>
            <w:tcW w:w="960" w:type="dxa"/>
            <w:noWrap/>
            <w:hideMark/>
          </w:tcPr>
          <w:p w14:paraId="4DB98271"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44,949</w:t>
            </w:r>
          </w:p>
        </w:tc>
        <w:tc>
          <w:tcPr>
            <w:tcW w:w="960" w:type="dxa"/>
            <w:noWrap/>
            <w:hideMark/>
          </w:tcPr>
          <w:p w14:paraId="60CE0C67"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56,511</w:t>
            </w:r>
          </w:p>
        </w:tc>
        <w:tc>
          <w:tcPr>
            <w:tcW w:w="960" w:type="dxa"/>
            <w:noWrap/>
            <w:hideMark/>
          </w:tcPr>
          <w:p w14:paraId="5BBEC613"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56,576</w:t>
            </w:r>
          </w:p>
        </w:tc>
      </w:tr>
      <w:tr w:rsidR="0027735F" w:rsidRPr="0027735F" w14:paraId="1D438E62" w14:textId="77777777" w:rsidTr="0027735F">
        <w:trPr>
          <w:trHeight w:val="300"/>
          <w:jc w:val="center"/>
        </w:trPr>
        <w:tc>
          <w:tcPr>
            <w:tcW w:w="2140" w:type="dxa"/>
            <w:noWrap/>
            <w:hideMark/>
          </w:tcPr>
          <w:p w14:paraId="613D33CE" w14:textId="77777777" w:rsidR="0027735F" w:rsidRPr="0027735F" w:rsidRDefault="0027735F" w:rsidP="0027735F">
            <w:pPr>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Total asset</w:t>
            </w:r>
          </w:p>
        </w:tc>
        <w:tc>
          <w:tcPr>
            <w:tcW w:w="960" w:type="dxa"/>
            <w:noWrap/>
            <w:hideMark/>
          </w:tcPr>
          <w:p w14:paraId="03F93EB4"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219295</w:t>
            </w:r>
          </w:p>
        </w:tc>
        <w:tc>
          <w:tcPr>
            <w:tcW w:w="960" w:type="dxa"/>
            <w:noWrap/>
            <w:hideMark/>
          </w:tcPr>
          <w:p w14:paraId="0BE74334"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236495</w:t>
            </w:r>
          </w:p>
        </w:tc>
        <w:tc>
          <w:tcPr>
            <w:tcW w:w="960" w:type="dxa"/>
            <w:noWrap/>
            <w:hideMark/>
          </w:tcPr>
          <w:p w14:paraId="4209E421"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252496</w:t>
            </w:r>
          </w:p>
        </w:tc>
        <w:tc>
          <w:tcPr>
            <w:tcW w:w="960" w:type="dxa"/>
            <w:noWrap/>
            <w:hideMark/>
          </w:tcPr>
          <w:p w14:paraId="10818F59"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244860</w:t>
            </w:r>
          </w:p>
        </w:tc>
        <w:tc>
          <w:tcPr>
            <w:tcW w:w="960" w:type="dxa"/>
            <w:noWrap/>
            <w:hideMark/>
          </w:tcPr>
          <w:p w14:paraId="5564F623"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243197</w:t>
            </w:r>
          </w:p>
        </w:tc>
      </w:tr>
      <w:tr w:rsidR="0027735F" w:rsidRPr="0027735F" w14:paraId="5487869A" w14:textId="77777777" w:rsidTr="0027735F">
        <w:trPr>
          <w:trHeight w:val="300"/>
          <w:jc w:val="center"/>
        </w:trPr>
        <w:tc>
          <w:tcPr>
            <w:tcW w:w="2140" w:type="dxa"/>
            <w:noWrap/>
            <w:hideMark/>
          </w:tcPr>
          <w:p w14:paraId="43BA0E22" w14:textId="77777777" w:rsidR="0027735F" w:rsidRPr="0027735F" w:rsidRDefault="0027735F" w:rsidP="0027735F">
            <w:pPr>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Total Debt</w:t>
            </w:r>
          </w:p>
        </w:tc>
        <w:tc>
          <w:tcPr>
            <w:tcW w:w="960" w:type="dxa"/>
            <w:noWrap/>
            <w:hideMark/>
          </w:tcPr>
          <w:p w14:paraId="53BD0199"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50203</w:t>
            </w:r>
          </w:p>
        </w:tc>
        <w:tc>
          <w:tcPr>
            <w:tcW w:w="960" w:type="dxa"/>
            <w:noWrap/>
            <w:hideMark/>
          </w:tcPr>
          <w:p w14:paraId="14F31CDB"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48021</w:t>
            </w:r>
          </w:p>
        </w:tc>
        <w:tc>
          <w:tcPr>
            <w:tcW w:w="960" w:type="dxa"/>
            <w:noWrap/>
            <w:hideMark/>
          </w:tcPr>
          <w:p w14:paraId="4DA6C1F8"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45041</w:t>
            </w:r>
          </w:p>
        </w:tc>
        <w:tc>
          <w:tcPr>
            <w:tcW w:w="960" w:type="dxa"/>
            <w:noWrap/>
            <w:hideMark/>
          </w:tcPr>
          <w:p w14:paraId="116C1AB8"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39107</w:t>
            </w:r>
          </w:p>
        </w:tc>
        <w:tc>
          <w:tcPr>
            <w:tcW w:w="960" w:type="dxa"/>
            <w:noWrap/>
            <w:hideMark/>
          </w:tcPr>
          <w:p w14:paraId="7B49AD3A"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39492</w:t>
            </w:r>
          </w:p>
        </w:tc>
      </w:tr>
      <w:tr w:rsidR="0027735F" w:rsidRPr="0027735F" w14:paraId="1B2534F7" w14:textId="77777777" w:rsidTr="0027735F">
        <w:trPr>
          <w:trHeight w:val="300"/>
          <w:jc w:val="center"/>
        </w:trPr>
        <w:tc>
          <w:tcPr>
            <w:tcW w:w="2140" w:type="dxa"/>
            <w:noWrap/>
            <w:hideMark/>
          </w:tcPr>
          <w:p w14:paraId="6E439796" w14:textId="77777777" w:rsidR="0027735F" w:rsidRPr="0027735F" w:rsidRDefault="0027735F" w:rsidP="0027735F">
            <w:pPr>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Shareholder's equity</w:t>
            </w:r>
          </w:p>
        </w:tc>
        <w:tc>
          <w:tcPr>
            <w:tcW w:w="960" w:type="dxa"/>
            <w:noWrap/>
            <w:hideMark/>
          </w:tcPr>
          <w:p w14:paraId="321B46EF"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79,634</w:t>
            </w:r>
          </w:p>
        </w:tc>
        <w:tc>
          <w:tcPr>
            <w:tcW w:w="960" w:type="dxa"/>
            <w:noWrap/>
            <w:hideMark/>
          </w:tcPr>
          <w:p w14:paraId="5B7D18F6"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81,552</w:t>
            </w:r>
          </w:p>
        </w:tc>
        <w:tc>
          <w:tcPr>
            <w:tcW w:w="960" w:type="dxa"/>
            <w:noWrap/>
            <w:hideMark/>
          </w:tcPr>
          <w:p w14:paraId="693382E9"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87,531</w:t>
            </w:r>
          </w:p>
        </w:tc>
        <w:tc>
          <w:tcPr>
            <w:tcW w:w="960" w:type="dxa"/>
            <w:noWrap/>
            <w:hideMark/>
          </w:tcPr>
          <w:p w14:paraId="783213E9"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91,891</w:t>
            </w:r>
          </w:p>
        </w:tc>
        <w:tc>
          <w:tcPr>
            <w:tcW w:w="960" w:type="dxa"/>
            <w:noWrap/>
            <w:hideMark/>
          </w:tcPr>
          <w:p w14:paraId="3432C7BC"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83,754</w:t>
            </w:r>
          </w:p>
        </w:tc>
      </w:tr>
      <w:tr w:rsidR="0027735F" w:rsidRPr="0027735F" w14:paraId="0F70CEC4" w14:textId="77777777" w:rsidTr="0027735F">
        <w:trPr>
          <w:trHeight w:val="300"/>
          <w:jc w:val="center"/>
        </w:trPr>
        <w:tc>
          <w:tcPr>
            <w:tcW w:w="2140" w:type="dxa"/>
            <w:noWrap/>
            <w:hideMark/>
          </w:tcPr>
          <w:p w14:paraId="7D6DAE03" w14:textId="77777777" w:rsidR="0027735F" w:rsidRPr="0027735F" w:rsidRDefault="0027735F" w:rsidP="0027735F">
            <w:pPr>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 xml:space="preserve">Revenue </w:t>
            </w:r>
          </w:p>
        </w:tc>
        <w:tc>
          <w:tcPr>
            <w:tcW w:w="960" w:type="dxa"/>
            <w:noWrap/>
            <w:hideMark/>
          </w:tcPr>
          <w:p w14:paraId="73B99176"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514,405</w:t>
            </w:r>
          </w:p>
        </w:tc>
        <w:tc>
          <w:tcPr>
            <w:tcW w:w="960" w:type="dxa"/>
            <w:noWrap/>
            <w:hideMark/>
          </w:tcPr>
          <w:p w14:paraId="310E5D1F"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523,964</w:t>
            </w:r>
          </w:p>
        </w:tc>
        <w:tc>
          <w:tcPr>
            <w:tcW w:w="960" w:type="dxa"/>
            <w:noWrap/>
            <w:hideMark/>
          </w:tcPr>
          <w:p w14:paraId="0F172E7B"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559,151</w:t>
            </w:r>
          </w:p>
        </w:tc>
        <w:tc>
          <w:tcPr>
            <w:tcW w:w="960" w:type="dxa"/>
            <w:noWrap/>
            <w:hideMark/>
          </w:tcPr>
          <w:p w14:paraId="075ECB5A"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572,754</w:t>
            </w:r>
          </w:p>
        </w:tc>
        <w:tc>
          <w:tcPr>
            <w:tcW w:w="960" w:type="dxa"/>
            <w:noWrap/>
            <w:hideMark/>
          </w:tcPr>
          <w:p w14:paraId="5AABE4AE"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611,289</w:t>
            </w:r>
          </w:p>
        </w:tc>
      </w:tr>
      <w:tr w:rsidR="0027735F" w:rsidRPr="0027735F" w14:paraId="2D77A367" w14:textId="77777777" w:rsidTr="0027735F">
        <w:trPr>
          <w:trHeight w:val="300"/>
          <w:jc w:val="center"/>
        </w:trPr>
        <w:tc>
          <w:tcPr>
            <w:tcW w:w="2140" w:type="dxa"/>
            <w:noWrap/>
            <w:hideMark/>
          </w:tcPr>
          <w:p w14:paraId="75B8E9BA" w14:textId="77777777" w:rsidR="0027735F" w:rsidRPr="0027735F" w:rsidRDefault="0027735F" w:rsidP="0027735F">
            <w:pPr>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Net Profit</w:t>
            </w:r>
          </w:p>
        </w:tc>
        <w:tc>
          <w:tcPr>
            <w:tcW w:w="960" w:type="dxa"/>
            <w:noWrap/>
            <w:hideMark/>
          </w:tcPr>
          <w:p w14:paraId="51EB6B12"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129,104</w:t>
            </w:r>
          </w:p>
        </w:tc>
        <w:tc>
          <w:tcPr>
            <w:tcW w:w="960" w:type="dxa"/>
            <w:noWrap/>
            <w:hideMark/>
          </w:tcPr>
          <w:p w14:paraId="4F777DF6"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129,359</w:t>
            </w:r>
          </w:p>
        </w:tc>
        <w:tc>
          <w:tcPr>
            <w:tcW w:w="960" w:type="dxa"/>
            <w:noWrap/>
            <w:hideMark/>
          </w:tcPr>
          <w:p w14:paraId="362819D7"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138,836</w:t>
            </w:r>
          </w:p>
        </w:tc>
        <w:tc>
          <w:tcPr>
            <w:tcW w:w="960" w:type="dxa"/>
            <w:noWrap/>
            <w:hideMark/>
          </w:tcPr>
          <w:p w14:paraId="3B740DEB"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143,754</w:t>
            </w:r>
          </w:p>
        </w:tc>
        <w:tc>
          <w:tcPr>
            <w:tcW w:w="960" w:type="dxa"/>
            <w:noWrap/>
            <w:hideMark/>
          </w:tcPr>
          <w:p w14:paraId="6E46CEC7" w14:textId="77777777" w:rsidR="0027735F" w:rsidRPr="0027735F" w:rsidRDefault="0027735F" w:rsidP="0027735F">
            <w:pPr>
              <w:jc w:val="right"/>
              <w:rPr>
                <w:rFonts w:ascii="Times New Roman" w:eastAsia="Times New Roman" w:hAnsi="Times New Roman" w:cs="Times New Roman"/>
                <w:color w:val="000000"/>
                <w:kern w:val="0"/>
                <w:sz w:val="24"/>
                <w:szCs w:val="24"/>
                <w14:ligatures w14:val="none"/>
              </w:rPr>
            </w:pPr>
            <w:r w:rsidRPr="0027735F">
              <w:rPr>
                <w:rFonts w:ascii="Times New Roman" w:eastAsia="Times New Roman" w:hAnsi="Times New Roman" w:cs="Times New Roman"/>
                <w:color w:val="000000"/>
                <w:kern w:val="0"/>
                <w:sz w:val="24"/>
                <w:szCs w:val="24"/>
                <w14:ligatures w14:val="none"/>
              </w:rPr>
              <w:t>147,568</w:t>
            </w:r>
          </w:p>
        </w:tc>
      </w:tr>
    </w:tbl>
    <w:p w14:paraId="49BD8215" w14:textId="69C2CDAF" w:rsidR="0044676F" w:rsidRDefault="00D76AE2" w:rsidP="00D76AE2">
      <w:pPr>
        <w:pStyle w:val="Caption"/>
        <w:rPr>
          <w:rFonts w:ascii="Times New Roman" w:hAnsi="Times New Roman" w:cs="Times New Roman"/>
          <w:b/>
          <w:bCs/>
          <w:sz w:val="24"/>
          <w:szCs w:val="24"/>
        </w:rPr>
      </w:pPr>
      <w:bookmarkStart w:id="9" w:name="_Toc164827350"/>
      <w:r>
        <w:t xml:space="preserve">Table </w:t>
      </w:r>
      <w:r>
        <w:fldChar w:fldCharType="begin"/>
      </w:r>
      <w:r>
        <w:instrText xml:space="preserve"> SEQ Table \* ARABIC </w:instrText>
      </w:r>
      <w:r>
        <w:fldChar w:fldCharType="separate"/>
      </w:r>
      <w:r w:rsidR="00825966">
        <w:rPr>
          <w:noProof/>
        </w:rPr>
        <w:t>1</w:t>
      </w:r>
      <w:r>
        <w:fldChar w:fldCharType="end"/>
      </w:r>
      <w:r>
        <w:t>: Liquidity and Leverages ratios of Walmart (data)</w:t>
      </w:r>
      <w:bookmarkEnd w:id="9"/>
    </w:p>
    <w:p w14:paraId="2F158D7A" w14:textId="77777777" w:rsidR="00D76AE2" w:rsidRDefault="00D76AE2" w:rsidP="0027735F">
      <w:pPr>
        <w:rPr>
          <w:rFonts w:ascii="Times New Roman" w:hAnsi="Times New Roman" w:cs="Times New Roman"/>
          <w:b/>
          <w:bCs/>
          <w:sz w:val="24"/>
          <w:szCs w:val="24"/>
        </w:rPr>
      </w:pPr>
    </w:p>
    <w:p w14:paraId="474BA8F9" w14:textId="5B82F352" w:rsidR="0027735F" w:rsidRPr="0044676F" w:rsidRDefault="0027735F" w:rsidP="0044676F">
      <w:pPr>
        <w:pStyle w:val="Heading3"/>
        <w:rPr>
          <w:b/>
          <w:bCs/>
          <w:sz w:val="28"/>
          <w:szCs w:val="28"/>
          <w:u w:val="single"/>
        </w:rPr>
      </w:pPr>
      <w:bookmarkStart w:id="10" w:name="_Toc164827465"/>
      <w:r w:rsidRPr="0044676F">
        <w:rPr>
          <w:b/>
          <w:bCs/>
          <w:sz w:val="28"/>
          <w:szCs w:val="28"/>
          <w:u w:val="single"/>
        </w:rPr>
        <w:t>Liquidity Ratio</w:t>
      </w:r>
      <w:bookmarkEnd w:id="10"/>
    </w:p>
    <w:tbl>
      <w:tblPr>
        <w:tblStyle w:val="GridTable1Light"/>
        <w:tblW w:w="6220" w:type="dxa"/>
        <w:jc w:val="center"/>
        <w:tblLook w:val="04A0" w:firstRow="1" w:lastRow="0" w:firstColumn="1" w:lastColumn="0" w:noHBand="0" w:noVBand="1"/>
      </w:tblPr>
      <w:tblGrid>
        <w:gridCol w:w="1795"/>
        <w:gridCol w:w="696"/>
        <w:gridCol w:w="960"/>
        <w:gridCol w:w="960"/>
        <w:gridCol w:w="960"/>
        <w:gridCol w:w="960"/>
      </w:tblGrid>
      <w:tr w:rsidR="00143986" w:rsidRPr="00143986" w14:paraId="69D0C08D" w14:textId="77777777" w:rsidTr="00E427F9">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795" w:type="dxa"/>
            <w:noWrap/>
            <w:hideMark/>
          </w:tcPr>
          <w:p w14:paraId="59992D70" w14:textId="77777777" w:rsidR="00143986" w:rsidRPr="00143986" w:rsidRDefault="00143986" w:rsidP="00143986">
            <w:pPr>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Liquidity ratio</w:t>
            </w:r>
          </w:p>
        </w:tc>
        <w:tc>
          <w:tcPr>
            <w:tcW w:w="585" w:type="dxa"/>
            <w:noWrap/>
            <w:hideMark/>
          </w:tcPr>
          <w:p w14:paraId="6470FD79" w14:textId="77777777" w:rsidR="00143986" w:rsidRPr="00143986" w:rsidRDefault="00143986" w:rsidP="00143986">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2019</w:t>
            </w:r>
          </w:p>
        </w:tc>
        <w:tc>
          <w:tcPr>
            <w:tcW w:w="960" w:type="dxa"/>
            <w:noWrap/>
            <w:hideMark/>
          </w:tcPr>
          <w:p w14:paraId="5DB8F85A" w14:textId="77777777" w:rsidR="00143986" w:rsidRPr="00143986" w:rsidRDefault="00143986" w:rsidP="00143986">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2020</w:t>
            </w:r>
          </w:p>
        </w:tc>
        <w:tc>
          <w:tcPr>
            <w:tcW w:w="960" w:type="dxa"/>
            <w:noWrap/>
            <w:hideMark/>
          </w:tcPr>
          <w:p w14:paraId="1C1C7608" w14:textId="77777777" w:rsidR="00143986" w:rsidRPr="00143986" w:rsidRDefault="00143986" w:rsidP="00143986">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2021</w:t>
            </w:r>
          </w:p>
        </w:tc>
        <w:tc>
          <w:tcPr>
            <w:tcW w:w="960" w:type="dxa"/>
            <w:noWrap/>
            <w:hideMark/>
          </w:tcPr>
          <w:p w14:paraId="0AE8C283" w14:textId="77777777" w:rsidR="00143986" w:rsidRPr="00143986" w:rsidRDefault="00143986" w:rsidP="00143986">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2022</w:t>
            </w:r>
          </w:p>
        </w:tc>
        <w:tc>
          <w:tcPr>
            <w:tcW w:w="960" w:type="dxa"/>
            <w:noWrap/>
            <w:hideMark/>
          </w:tcPr>
          <w:p w14:paraId="1E7AD882" w14:textId="77777777" w:rsidR="00143986" w:rsidRPr="00143986" w:rsidRDefault="00143986" w:rsidP="00143986">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2023</w:t>
            </w:r>
          </w:p>
        </w:tc>
      </w:tr>
      <w:tr w:rsidR="00E427F9" w:rsidRPr="00E427F9" w14:paraId="44EBC0D8" w14:textId="77777777" w:rsidTr="00E427F9">
        <w:trPr>
          <w:trHeight w:val="300"/>
          <w:jc w:val="center"/>
        </w:trPr>
        <w:tc>
          <w:tcPr>
            <w:cnfStyle w:val="001000000000" w:firstRow="0" w:lastRow="0" w:firstColumn="1" w:lastColumn="0" w:oddVBand="0" w:evenVBand="0" w:oddHBand="0" w:evenHBand="0" w:firstRowFirstColumn="0" w:firstRowLastColumn="0" w:lastRowFirstColumn="0" w:lastRowLastColumn="0"/>
            <w:tcW w:w="1795" w:type="dxa"/>
            <w:noWrap/>
            <w:hideMark/>
          </w:tcPr>
          <w:p w14:paraId="0877CC73" w14:textId="77777777" w:rsidR="00143986" w:rsidRPr="00143986" w:rsidRDefault="00143986" w:rsidP="00143986">
            <w:pPr>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Current ratio</w:t>
            </w:r>
          </w:p>
        </w:tc>
        <w:tc>
          <w:tcPr>
            <w:tcW w:w="585" w:type="dxa"/>
            <w:noWrap/>
            <w:hideMark/>
          </w:tcPr>
          <w:p w14:paraId="76EB087A"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0.8</w:t>
            </w:r>
          </w:p>
        </w:tc>
        <w:tc>
          <w:tcPr>
            <w:tcW w:w="960" w:type="dxa"/>
            <w:noWrap/>
            <w:hideMark/>
          </w:tcPr>
          <w:p w14:paraId="31B13312"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0.79</w:t>
            </w:r>
          </w:p>
        </w:tc>
        <w:tc>
          <w:tcPr>
            <w:tcW w:w="960" w:type="dxa"/>
            <w:noWrap/>
            <w:hideMark/>
          </w:tcPr>
          <w:p w14:paraId="76011207"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0.97</w:t>
            </w:r>
          </w:p>
        </w:tc>
        <w:tc>
          <w:tcPr>
            <w:tcW w:w="960" w:type="dxa"/>
            <w:noWrap/>
            <w:hideMark/>
          </w:tcPr>
          <w:p w14:paraId="221D843D"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0.93</w:t>
            </w:r>
          </w:p>
        </w:tc>
        <w:tc>
          <w:tcPr>
            <w:tcW w:w="960" w:type="dxa"/>
            <w:noWrap/>
            <w:hideMark/>
          </w:tcPr>
          <w:p w14:paraId="6166EF00"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0.82</w:t>
            </w:r>
          </w:p>
        </w:tc>
      </w:tr>
      <w:tr w:rsidR="00143986" w:rsidRPr="00143986" w14:paraId="5F750E82" w14:textId="77777777" w:rsidTr="00E427F9">
        <w:trPr>
          <w:trHeight w:val="300"/>
          <w:jc w:val="center"/>
        </w:trPr>
        <w:tc>
          <w:tcPr>
            <w:cnfStyle w:val="001000000000" w:firstRow="0" w:lastRow="0" w:firstColumn="1" w:lastColumn="0" w:oddVBand="0" w:evenVBand="0" w:oddHBand="0" w:evenHBand="0" w:firstRowFirstColumn="0" w:firstRowLastColumn="0" w:lastRowFirstColumn="0" w:lastRowLastColumn="0"/>
            <w:tcW w:w="1795" w:type="dxa"/>
            <w:noWrap/>
            <w:hideMark/>
          </w:tcPr>
          <w:p w14:paraId="23520340" w14:textId="77777777" w:rsidR="00143986" w:rsidRPr="00143986" w:rsidRDefault="00143986" w:rsidP="00143986">
            <w:pPr>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Quick Ratio</w:t>
            </w:r>
          </w:p>
        </w:tc>
        <w:tc>
          <w:tcPr>
            <w:tcW w:w="585" w:type="dxa"/>
            <w:noWrap/>
            <w:hideMark/>
          </w:tcPr>
          <w:p w14:paraId="1C536D7E"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0.23</w:t>
            </w:r>
          </w:p>
        </w:tc>
        <w:tc>
          <w:tcPr>
            <w:tcW w:w="960" w:type="dxa"/>
            <w:noWrap/>
            <w:hideMark/>
          </w:tcPr>
          <w:p w14:paraId="479C39F0"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0.22</w:t>
            </w:r>
          </w:p>
        </w:tc>
        <w:tc>
          <w:tcPr>
            <w:tcW w:w="960" w:type="dxa"/>
            <w:noWrap/>
            <w:hideMark/>
          </w:tcPr>
          <w:p w14:paraId="4F678ABF"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0.49</w:t>
            </w:r>
          </w:p>
        </w:tc>
        <w:tc>
          <w:tcPr>
            <w:tcW w:w="960" w:type="dxa"/>
            <w:noWrap/>
            <w:hideMark/>
          </w:tcPr>
          <w:p w14:paraId="5242A411"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0.29</w:t>
            </w:r>
          </w:p>
        </w:tc>
        <w:tc>
          <w:tcPr>
            <w:tcW w:w="960" w:type="dxa"/>
            <w:noWrap/>
            <w:hideMark/>
          </w:tcPr>
          <w:p w14:paraId="619D027B"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0.21</w:t>
            </w:r>
          </w:p>
        </w:tc>
      </w:tr>
    </w:tbl>
    <w:p w14:paraId="68021E5C" w14:textId="4A3F8A01" w:rsidR="0027735F" w:rsidRDefault="00D76AE2" w:rsidP="00D76AE2">
      <w:pPr>
        <w:pStyle w:val="Caption"/>
        <w:rPr>
          <w:noProof/>
        </w:rPr>
      </w:pPr>
      <w:bookmarkStart w:id="11" w:name="_Toc164827351"/>
      <w:r>
        <w:t xml:space="preserve">Table </w:t>
      </w:r>
      <w:r>
        <w:fldChar w:fldCharType="begin"/>
      </w:r>
      <w:r>
        <w:instrText xml:space="preserve"> SEQ Table \* ARABIC </w:instrText>
      </w:r>
      <w:r>
        <w:fldChar w:fldCharType="separate"/>
      </w:r>
      <w:r w:rsidR="00825966">
        <w:rPr>
          <w:noProof/>
        </w:rPr>
        <w:t>2</w:t>
      </w:r>
      <w:r>
        <w:fldChar w:fldCharType="end"/>
      </w:r>
      <w:r>
        <w:t>: Liquidity ratios of Walmart</w:t>
      </w:r>
      <w:bookmarkEnd w:id="11"/>
    </w:p>
    <w:p w14:paraId="3D22F4E0" w14:textId="47959AA7" w:rsidR="00143986" w:rsidRDefault="00143986" w:rsidP="00143986">
      <w:pPr>
        <w:jc w:val="center"/>
      </w:pPr>
      <w:r>
        <w:rPr>
          <w:noProof/>
        </w:rPr>
        <w:lastRenderedPageBreak/>
        <w:drawing>
          <wp:inline distT="0" distB="0" distL="0" distR="0" wp14:anchorId="515AC22C" wp14:editId="081D3EA6">
            <wp:extent cx="4572000" cy="2743200"/>
            <wp:effectExtent l="0" t="0" r="0" b="0"/>
            <wp:docPr id="429983163" name="Chart 1">
              <a:extLst xmlns:a="http://schemas.openxmlformats.org/drawingml/2006/main">
                <a:ext uri="{FF2B5EF4-FFF2-40B4-BE49-F238E27FC236}">
                  <a16:creationId xmlns:a16="http://schemas.microsoft.com/office/drawing/2014/main" id="{50D7698A-5A46-3419-722B-EA0E00B132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8597EE1" w14:textId="60FA06E1" w:rsidR="00DB7F06" w:rsidRDefault="00DB7F06" w:rsidP="00143986">
      <w:pPr>
        <w:jc w:val="center"/>
        <w:rPr>
          <w:rFonts w:ascii="Times New Roman" w:hAnsi="Times New Roman" w:cs="Times New Roman"/>
          <w:sz w:val="24"/>
          <w:szCs w:val="24"/>
        </w:rPr>
      </w:pPr>
      <w:r>
        <w:rPr>
          <w:rFonts w:ascii="Times New Roman" w:hAnsi="Times New Roman" w:cs="Times New Roman"/>
          <w:sz w:val="24"/>
          <w:szCs w:val="24"/>
        </w:rPr>
        <w:t>Graph 1: Liquidity ratio of Walmart</w:t>
      </w:r>
    </w:p>
    <w:p w14:paraId="3FC12BCF" w14:textId="057EB103" w:rsidR="00DB7F06" w:rsidRPr="00DB7F06" w:rsidRDefault="00DB7F06" w:rsidP="00143986">
      <w:pPr>
        <w:jc w:val="center"/>
        <w:rPr>
          <w:rFonts w:ascii="Times New Roman" w:hAnsi="Times New Roman" w:cs="Times New Roman"/>
          <w:sz w:val="24"/>
          <w:szCs w:val="24"/>
        </w:rPr>
      </w:pPr>
      <w:r w:rsidRPr="00DB7F06">
        <w:rPr>
          <w:rFonts w:ascii="Times New Roman" w:hAnsi="Times New Roman" w:cs="Times New Roman"/>
          <w:sz w:val="24"/>
          <w:szCs w:val="24"/>
        </w:rPr>
        <w:t>Source: Self-generated</w:t>
      </w:r>
    </w:p>
    <w:p w14:paraId="183FA3B5" w14:textId="77777777" w:rsidR="00143986" w:rsidRDefault="00143986" w:rsidP="00143986"/>
    <w:p w14:paraId="1D7199FB" w14:textId="19E03A22" w:rsidR="00E427F9" w:rsidRPr="00E427F9" w:rsidRDefault="00E427F9"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427F9">
        <w:rPr>
          <w:rFonts w:ascii="Times New Roman" w:eastAsia="Times New Roman" w:hAnsi="Times New Roman" w:cs="Times New Roman"/>
          <w:color w:val="1F1F1F"/>
          <w:kern w:val="0"/>
          <w:sz w:val="24"/>
          <w:szCs w:val="24"/>
          <w14:ligatures w14:val="none"/>
        </w:rPr>
        <w:t>Current Ratio: This ratio determines whether or not a corporation is able to utilize its current assets (cash, inventory, and receivables) to pay off its short-term commitments (debts that are due within the next year). An increase in the current ratio is indicative of improved liquidity in the near short term.</w:t>
      </w:r>
    </w:p>
    <w:p w14:paraId="73FCBD1E" w14:textId="059EDE13" w:rsidR="00E427F9" w:rsidRPr="00E427F9" w:rsidRDefault="00E427F9"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427F9">
        <w:rPr>
          <w:rFonts w:ascii="Times New Roman" w:eastAsia="Times New Roman" w:hAnsi="Times New Roman" w:cs="Times New Roman"/>
          <w:color w:val="1F1F1F"/>
          <w:kern w:val="0"/>
          <w:sz w:val="24"/>
          <w:szCs w:val="24"/>
          <w14:ligatures w14:val="none"/>
        </w:rPr>
        <w:t>Quick Ratio: This ratio is related to the current ratio, but it does not include inventory, which may be less liquid, in current assets. It is used to provide a more conservative assessment of short-term liquidity.</w:t>
      </w:r>
    </w:p>
    <w:p w14:paraId="47F97186" w14:textId="60107F9E" w:rsidR="00EC1F9B" w:rsidRPr="0044676F" w:rsidRDefault="00EC1F9B" w:rsidP="0044676F">
      <w:pPr>
        <w:jc w:val="both"/>
        <w:rPr>
          <w:b/>
          <w:bCs/>
          <w:sz w:val="24"/>
          <w:szCs w:val="24"/>
          <w:u w:val="single"/>
        </w:rPr>
      </w:pPr>
      <w:r w:rsidRPr="0044676F">
        <w:rPr>
          <w:b/>
          <w:bCs/>
          <w:sz w:val="24"/>
          <w:szCs w:val="24"/>
          <w:u w:val="single"/>
        </w:rPr>
        <w:t>Analysis of the Graph:</w:t>
      </w:r>
    </w:p>
    <w:p w14:paraId="7A33DB5D" w14:textId="77777777" w:rsidR="00E427F9" w:rsidRPr="00E427F9" w:rsidRDefault="00E427F9" w:rsidP="00E427F9">
      <w:pPr>
        <w:jc w:val="both"/>
        <w:rPr>
          <w:rFonts w:ascii="Times New Roman" w:hAnsi="Times New Roman" w:cs="Times New Roman"/>
          <w:sz w:val="24"/>
          <w:szCs w:val="24"/>
        </w:rPr>
      </w:pPr>
      <w:r w:rsidRPr="00E427F9">
        <w:rPr>
          <w:rFonts w:ascii="Times New Roman" w:hAnsi="Times New Roman" w:cs="Times New Roman"/>
          <w:sz w:val="24"/>
          <w:szCs w:val="24"/>
        </w:rPr>
        <w:t>According to the graph, the current ratio of the corporation seems to have fluctuated more than its quick ratio during the course of the past five years. The quick ratio seems to be trending downward in general, which is a positive development.</w:t>
      </w:r>
    </w:p>
    <w:p w14:paraId="327380DD" w14:textId="342835A6" w:rsidR="00E427F9" w:rsidRPr="00E427F9" w:rsidRDefault="00E427F9" w:rsidP="00E427F9">
      <w:pPr>
        <w:jc w:val="both"/>
        <w:rPr>
          <w:rFonts w:ascii="Times New Roman" w:hAnsi="Times New Roman" w:cs="Times New Roman"/>
          <w:sz w:val="24"/>
          <w:szCs w:val="24"/>
        </w:rPr>
      </w:pPr>
      <w:r w:rsidRPr="00E427F9">
        <w:rPr>
          <w:rFonts w:ascii="Times New Roman" w:hAnsi="Times New Roman" w:cs="Times New Roman"/>
          <w:sz w:val="24"/>
          <w:szCs w:val="24"/>
        </w:rPr>
        <w:t>Over the course of 2019 to 2023, both ratios seem to be decreasing. When this occurs, it may be an indication that the company's short-term solvency, or its ability to pay down short-term debt with current assets, is gradually deteriorating.</w:t>
      </w:r>
    </w:p>
    <w:p w14:paraId="669F339C" w14:textId="0ABFC2D1" w:rsidR="00E427F9" w:rsidRPr="00E427F9" w:rsidRDefault="00E427F9" w:rsidP="00E427F9">
      <w:pPr>
        <w:jc w:val="both"/>
        <w:rPr>
          <w:rFonts w:ascii="Times New Roman" w:hAnsi="Times New Roman" w:cs="Times New Roman"/>
          <w:sz w:val="24"/>
          <w:szCs w:val="24"/>
        </w:rPr>
      </w:pPr>
      <w:r w:rsidRPr="00E427F9">
        <w:rPr>
          <w:rFonts w:ascii="Times New Roman" w:hAnsi="Times New Roman" w:cs="Times New Roman"/>
          <w:sz w:val="24"/>
          <w:szCs w:val="24"/>
        </w:rPr>
        <w:t>During the period of 2020–2021, the quick ratio remains relatively unchanged, however the current ratio shows a little increase in 2021.</w:t>
      </w:r>
    </w:p>
    <w:p w14:paraId="048BCE7A" w14:textId="77777777" w:rsidR="00E427F9" w:rsidRPr="00E427F9" w:rsidRDefault="00E427F9" w:rsidP="00E427F9">
      <w:pPr>
        <w:jc w:val="both"/>
        <w:rPr>
          <w:rFonts w:ascii="Times New Roman" w:hAnsi="Times New Roman" w:cs="Times New Roman"/>
          <w:sz w:val="24"/>
          <w:szCs w:val="24"/>
        </w:rPr>
      </w:pPr>
      <w:r w:rsidRPr="00E427F9">
        <w:rPr>
          <w:rFonts w:ascii="Times New Roman" w:hAnsi="Times New Roman" w:cs="Times New Roman"/>
          <w:sz w:val="24"/>
          <w:szCs w:val="24"/>
        </w:rPr>
        <w:t xml:space="preserve">In the period of 2021–2023, the graph demonstrates that the present ratio has continued to fall throughout the course of the past two years. There is a possibility that the quick ratio might also be reduced to some degree. </w:t>
      </w:r>
    </w:p>
    <w:p w14:paraId="1458F87C" w14:textId="77777777" w:rsidR="00143986" w:rsidRDefault="00143986" w:rsidP="00143986"/>
    <w:p w14:paraId="6F92998E" w14:textId="36F40CE3" w:rsidR="00143986" w:rsidRPr="0044676F" w:rsidRDefault="00143986" w:rsidP="0044676F">
      <w:pPr>
        <w:pStyle w:val="Heading3"/>
        <w:spacing w:line="360" w:lineRule="auto"/>
        <w:rPr>
          <w:b/>
          <w:bCs/>
          <w:color w:val="1F3864" w:themeColor="accent1" w:themeShade="80"/>
          <w:sz w:val="28"/>
          <w:szCs w:val="28"/>
          <w:u w:val="single"/>
        </w:rPr>
      </w:pPr>
      <w:bookmarkStart w:id="12" w:name="_Toc164827466"/>
      <w:r w:rsidRPr="0044676F">
        <w:rPr>
          <w:b/>
          <w:bCs/>
          <w:color w:val="1F3864" w:themeColor="accent1" w:themeShade="80"/>
          <w:sz w:val="28"/>
          <w:szCs w:val="28"/>
          <w:u w:val="single"/>
        </w:rPr>
        <w:t>Leverage Ratio</w:t>
      </w:r>
      <w:bookmarkEnd w:id="12"/>
      <w:r w:rsidRPr="0044676F">
        <w:rPr>
          <w:b/>
          <w:bCs/>
          <w:color w:val="1F3864" w:themeColor="accent1" w:themeShade="80"/>
          <w:sz w:val="28"/>
          <w:szCs w:val="28"/>
          <w:u w:val="single"/>
        </w:rPr>
        <w:t xml:space="preserve"> </w:t>
      </w:r>
    </w:p>
    <w:tbl>
      <w:tblPr>
        <w:tblStyle w:val="GridTable1Light"/>
        <w:tblW w:w="7175" w:type="dxa"/>
        <w:jc w:val="center"/>
        <w:tblLook w:val="04A0" w:firstRow="1" w:lastRow="0" w:firstColumn="1" w:lastColumn="0" w:noHBand="0" w:noVBand="1"/>
      </w:tblPr>
      <w:tblGrid>
        <w:gridCol w:w="2695"/>
        <w:gridCol w:w="696"/>
        <w:gridCol w:w="960"/>
        <w:gridCol w:w="960"/>
        <w:gridCol w:w="960"/>
        <w:gridCol w:w="960"/>
      </w:tblGrid>
      <w:tr w:rsidR="00143986" w:rsidRPr="00143986" w14:paraId="26E3E79C" w14:textId="77777777" w:rsidTr="00E427F9">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95" w:type="dxa"/>
            <w:noWrap/>
            <w:hideMark/>
          </w:tcPr>
          <w:p w14:paraId="2BD797B0" w14:textId="77777777" w:rsidR="00143986" w:rsidRPr="00143986" w:rsidRDefault="00143986" w:rsidP="00143986">
            <w:pPr>
              <w:rPr>
                <w:rFonts w:ascii="Times New Roman" w:eastAsia="Times New Roman" w:hAnsi="Times New Roman" w:cs="Times New Roman"/>
                <w:kern w:val="0"/>
                <w:sz w:val="24"/>
                <w:szCs w:val="24"/>
                <w14:ligatures w14:val="none"/>
              </w:rPr>
            </w:pPr>
          </w:p>
        </w:tc>
        <w:tc>
          <w:tcPr>
            <w:tcW w:w="640" w:type="dxa"/>
            <w:noWrap/>
            <w:hideMark/>
          </w:tcPr>
          <w:p w14:paraId="08E2FADB" w14:textId="77777777" w:rsidR="00143986" w:rsidRPr="00143986" w:rsidRDefault="00143986" w:rsidP="00143986">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2019</w:t>
            </w:r>
          </w:p>
        </w:tc>
        <w:tc>
          <w:tcPr>
            <w:tcW w:w="960" w:type="dxa"/>
            <w:noWrap/>
            <w:hideMark/>
          </w:tcPr>
          <w:p w14:paraId="06BE54B7" w14:textId="77777777" w:rsidR="00143986" w:rsidRPr="00143986" w:rsidRDefault="00143986" w:rsidP="00143986">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2020</w:t>
            </w:r>
          </w:p>
        </w:tc>
        <w:tc>
          <w:tcPr>
            <w:tcW w:w="960" w:type="dxa"/>
            <w:noWrap/>
            <w:hideMark/>
          </w:tcPr>
          <w:p w14:paraId="4EC4A9F3" w14:textId="77777777" w:rsidR="00143986" w:rsidRPr="00143986" w:rsidRDefault="00143986" w:rsidP="00143986">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2021</w:t>
            </w:r>
          </w:p>
        </w:tc>
        <w:tc>
          <w:tcPr>
            <w:tcW w:w="960" w:type="dxa"/>
            <w:noWrap/>
            <w:hideMark/>
          </w:tcPr>
          <w:p w14:paraId="69B8B554" w14:textId="77777777" w:rsidR="00143986" w:rsidRPr="00143986" w:rsidRDefault="00143986" w:rsidP="00143986">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2022</w:t>
            </w:r>
          </w:p>
        </w:tc>
        <w:tc>
          <w:tcPr>
            <w:tcW w:w="960" w:type="dxa"/>
            <w:noWrap/>
            <w:hideMark/>
          </w:tcPr>
          <w:p w14:paraId="6E11407D" w14:textId="77777777" w:rsidR="00143986" w:rsidRPr="00143986" w:rsidRDefault="00143986" w:rsidP="00143986">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2023</w:t>
            </w:r>
          </w:p>
        </w:tc>
      </w:tr>
      <w:tr w:rsidR="00143986" w:rsidRPr="00143986" w14:paraId="162EB252" w14:textId="77777777" w:rsidTr="00E427F9">
        <w:trPr>
          <w:trHeight w:val="300"/>
          <w:jc w:val="center"/>
        </w:trPr>
        <w:tc>
          <w:tcPr>
            <w:cnfStyle w:val="001000000000" w:firstRow="0" w:lastRow="0" w:firstColumn="1" w:lastColumn="0" w:oddVBand="0" w:evenVBand="0" w:oddHBand="0" w:evenHBand="0" w:firstRowFirstColumn="0" w:firstRowLastColumn="0" w:lastRowFirstColumn="0" w:lastRowLastColumn="0"/>
            <w:tcW w:w="2695" w:type="dxa"/>
            <w:noWrap/>
            <w:hideMark/>
          </w:tcPr>
          <w:p w14:paraId="10390A3E" w14:textId="77777777" w:rsidR="00143986" w:rsidRPr="00143986" w:rsidRDefault="00143986" w:rsidP="00143986">
            <w:pPr>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Debt-to-Equity Ratio</w:t>
            </w:r>
          </w:p>
        </w:tc>
        <w:tc>
          <w:tcPr>
            <w:tcW w:w="640" w:type="dxa"/>
            <w:noWrap/>
            <w:hideMark/>
          </w:tcPr>
          <w:p w14:paraId="774A9355"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0.63</w:t>
            </w:r>
          </w:p>
        </w:tc>
        <w:tc>
          <w:tcPr>
            <w:tcW w:w="960" w:type="dxa"/>
            <w:noWrap/>
            <w:hideMark/>
          </w:tcPr>
          <w:p w14:paraId="03032788"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0.59</w:t>
            </w:r>
          </w:p>
        </w:tc>
        <w:tc>
          <w:tcPr>
            <w:tcW w:w="960" w:type="dxa"/>
            <w:noWrap/>
            <w:hideMark/>
          </w:tcPr>
          <w:p w14:paraId="2B10456E"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0.51</w:t>
            </w:r>
          </w:p>
        </w:tc>
        <w:tc>
          <w:tcPr>
            <w:tcW w:w="960" w:type="dxa"/>
            <w:noWrap/>
            <w:hideMark/>
          </w:tcPr>
          <w:p w14:paraId="2A444935"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0.43</w:t>
            </w:r>
          </w:p>
        </w:tc>
        <w:tc>
          <w:tcPr>
            <w:tcW w:w="960" w:type="dxa"/>
            <w:noWrap/>
            <w:hideMark/>
          </w:tcPr>
          <w:p w14:paraId="18B9423C"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0.47</w:t>
            </w:r>
          </w:p>
        </w:tc>
      </w:tr>
      <w:tr w:rsidR="00143986" w:rsidRPr="00143986" w14:paraId="7B6052FE" w14:textId="77777777" w:rsidTr="00E427F9">
        <w:trPr>
          <w:trHeight w:val="300"/>
          <w:jc w:val="center"/>
        </w:trPr>
        <w:tc>
          <w:tcPr>
            <w:cnfStyle w:val="001000000000" w:firstRow="0" w:lastRow="0" w:firstColumn="1" w:lastColumn="0" w:oddVBand="0" w:evenVBand="0" w:oddHBand="0" w:evenHBand="0" w:firstRowFirstColumn="0" w:firstRowLastColumn="0" w:lastRowFirstColumn="0" w:lastRowLastColumn="0"/>
            <w:tcW w:w="2695" w:type="dxa"/>
            <w:noWrap/>
            <w:hideMark/>
          </w:tcPr>
          <w:p w14:paraId="187BA1F3" w14:textId="77777777" w:rsidR="00143986" w:rsidRPr="00143986" w:rsidRDefault="00143986" w:rsidP="00143986">
            <w:pPr>
              <w:rPr>
                <w:rFonts w:ascii="Times New Roman" w:eastAsia="Times New Roman" w:hAnsi="Times New Roman" w:cs="Times New Roman"/>
                <w:b w:val="0"/>
                <w:bCs w:val="0"/>
                <w:color w:val="000000"/>
                <w:kern w:val="0"/>
                <w:sz w:val="24"/>
                <w:szCs w:val="24"/>
                <w14:ligatures w14:val="none"/>
              </w:rPr>
            </w:pPr>
            <w:r w:rsidRPr="00143986">
              <w:rPr>
                <w:rFonts w:ascii="Times New Roman" w:eastAsia="Times New Roman" w:hAnsi="Times New Roman" w:cs="Times New Roman"/>
                <w:b w:val="0"/>
                <w:bCs w:val="0"/>
                <w:color w:val="000000"/>
                <w:kern w:val="0"/>
                <w:sz w:val="24"/>
                <w:szCs w:val="24"/>
                <w14:ligatures w14:val="none"/>
              </w:rPr>
              <w:t>Debt-to-Total Assets Ratio</w:t>
            </w:r>
          </w:p>
        </w:tc>
        <w:tc>
          <w:tcPr>
            <w:tcW w:w="640" w:type="dxa"/>
            <w:noWrap/>
            <w:hideMark/>
          </w:tcPr>
          <w:p w14:paraId="5A00968E"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0.23</w:t>
            </w:r>
          </w:p>
        </w:tc>
        <w:tc>
          <w:tcPr>
            <w:tcW w:w="960" w:type="dxa"/>
            <w:noWrap/>
            <w:hideMark/>
          </w:tcPr>
          <w:p w14:paraId="639CB707"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0.2</w:t>
            </w:r>
          </w:p>
        </w:tc>
        <w:tc>
          <w:tcPr>
            <w:tcW w:w="960" w:type="dxa"/>
            <w:noWrap/>
            <w:hideMark/>
          </w:tcPr>
          <w:p w14:paraId="0E266189"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0.18</w:t>
            </w:r>
          </w:p>
        </w:tc>
        <w:tc>
          <w:tcPr>
            <w:tcW w:w="960" w:type="dxa"/>
            <w:noWrap/>
            <w:hideMark/>
          </w:tcPr>
          <w:p w14:paraId="71787E03"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0.16</w:t>
            </w:r>
          </w:p>
        </w:tc>
        <w:tc>
          <w:tcPr>
            <w:tcW w:w="960" w:type="dxa"/>
            <w:noWrap/>
            <w:hideMark/>
          </w:tcPr>
          <w:p w14:paraId="3687309A" w14:textId="77777777" w:rsidR="00143986" w:rsidRPr="00143986" w:rsidRDefault="00143986" w:rsidP="001439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143986">
              <w:rPr>
                <w:rFonts w:ascii="Times New Roman" w:eastAsia="Times New Roman" w:hAnsi="Times New Roman" w:cs="Times New Roman"/>
                <w:color w:val="000000"/>
                <w:kern w:val="0"/>
                <w:sz w:val="24"/>
                <w:szCs w:val="24"/>
                <w14:ligatures w14:val="none"/>
              </w:rPr>
              <w:t>0.16</w:t>
            </w:r>
          </w:p>
        </w:tc>
      </w:tr>
    </w:tbl>
    <w:p w14:paraId="1DEBA51A" w14:textId="53A6329F" w:rsidR="00143986" w:rsidRPr="00143986" w:rsidRDefault="00D76AE2" w:rsidP="00D76AE2">
      <w:pPr>
        <w:pStyle w:val="Caption"/>
      </w:pPr>
      <w:bookmarkStart w:id="13" w:name="_Toc164827352"/>
      <w:r>
        <w:t xml:space="preserve">Table </w:t>
      </w:r>
      <w:r>
        <w:fldChar w:fldCharType="begin"/>
      </w:r>
      <w:r>
        <w:instrText xml:space="preserve"> SEQ Table \* ARABIC </w:instrText>
      </w:r>
      <w:r>
        <w:fldChar w:fldCharType="separate"/>
      </w:r>
      <w:r w:rsidR="00825966">
        <w:rPr>
          <w:noProof/>
        </w:rPr>
        <w:t>3</w:t>
      </w:r>
      <w:r>
        <w:fldChar w:fldCharType="end"/>
      </w:r>
      <w:r>
        <w:t>: Leverage ratios of Walmart</w:t>
      </w:r>
      <w:bookmarkEnd w:id="13"/>
    </w:p>
    <w:p w14:paraId="3464ACD7" w14:textId="3DAA6CC9" w:rsidR="00143986" w:rsidRDefault="00143986" w:rsidP="00143986">
      <w:pPr>
        <w:jc w:val="center"/>
      </w:pPr>
      <w:r>
        <w:rPr>
          <w:noProof/>
        </w:rPr>
        <w:drawing>
          <wp:inline distT="0" distB="0" distL="0" distR="0" wp14:anchorId="4E1C20B4" wp14:editId="73034F3A">
            <wp:extent cx="4572000" cy="2743200"/>
            <wp:effectExtent l="0" t="0" r="0" b="0"/>
            <wp:docPr id="1892640439" name="Chart 1">
              <a:extLst xmlns:a="http://schemas.openxmlformats.org/drawingml/2006/main">
                <a:ext uri="{FF2B5EF4-FFF2-40B4-BE49-F238E27FC236}">
                  <a16:creationId xmlns:a16="http://schemas.microsoft.com/office/drawing/2014/main" id="{D490DA81-4D86-9962-E05E-B5062F3259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7718C24" w14:textId="020C709E" w:rsidR="00DB7F06" w:rsidRPr="00DB7F06" w:rsidRDefault="00DB7F06" w:rsidP="00DB7F06">
      <w:pPr>
        <w:jc w:val="center"/>
        <w:rPr>
          <w:rFonts w:ascii="Times New Roman" w:hAnsi="Times New Roman" w:cs="Times New Roman"/>
          <w:sz w:val="24"/>
          <w:szCs w:val="24"/>
        </w:rPr>
      </w:pPr>
      <w:r w:rsidRPr="00DB7F06">
        <w:rPr>
          <w:rFonts w:ascii="Times New Roman" w:hAnsi="Times New Roman" w:cs="Times New Roman"/>
          <w:sz w:val="24"/>
          <w:szCs w:val="24"/>
        </w:rPr>
        <w:t xml:space="preserve">Graph </w:t>
      </w:r>
      <w:r>
        <w:rPr>
          <w:rFonts w:ascii="Times New Roman" w:hAnsi="Times New Roman" w:cs="Times New Roman"/>
          <w:sz w:val="24"/>
          <w:szCs w:val="24"/>
        </w:rPr>
        <w:t>2</w:t>
      </w:r>
      <w:r w:rsidRPr="00DB7F06">
        <w:rPr>
          <w:rFonts w:ascii="Times New Roman" w:hAnsi="Times New Roman" w:cs="Times New Roman"/>
          <w:sz w:val="24"/>
          <w:szCs w:val="24"/>
        </w:rPr>
        <w:t xml:space="preserve">: </w:t>
      </w:r>
      <w:r>
        <w:rPr>
          <w:rFonts w:ascii="Times New Roman" w:hAnsi="Times New Roman" w:cs="Times New Roman"/>
          <w:sz w:val="24"/>
          <w:szCs w:val="24"/>
        </w:rPr>
        <w:t>Leverage</w:t>
      </w:r>
      <w:r w:rsidRPr="00DB7F06">
        <w:rPr>
          <w:rFonts w:ascii="Times New Roman" w:hAnsi="Times New Roman" w:cs="Times New Roman"/>
          <w:sz w:val="24"/>
          <w:szCs w:val="24"/>
        </w:rPr>
        <w:t xml:space="preserve"> ratio of Walmart</w:t>
      </w:r>
    </w:p>
    <w:p w14:paraId="5D5374C1" w14:textId="5A1A2A0D" w:rsidR="00EC1F9B" w:rsidRPr="00DB7F06" w:rsidRDefault="00DB7F06" w:rsidP="00DB7F06">
      <w:pPr>
        <w:jc w:val="center"/>
        <w:rPr>
          <w:rFonts w:ascii="Times New Roman" w:hAnsi="Times New Roman" w:cs="Times New Roman"/>
          <w:sz w:val="24"/>
          <w:szCs w:val="24"/>
        </w:rPr>
      </w:pPr>
      <w:r w:rsidRPr="00DB7F06">
        <w:rPr>
          <w:rFonts w:ascii="Times New Roman" w:hAnsi="Times New Roman" w:cs="Times New Roman"/>
          <w:sz w:val="24"/>
          <w:szCs w:val="24"/>
        </w:rPr>
        <w:t>Source: Self-generated</w:t>
      </w:r>
    </w:p>
    <w:p w14:paraId="4DFF9D1F" w14:textId="77777777" w:rsidR="00EC1F9B" w:rsidRPr="00EC1F9B" w:rsidRDefault="00EC1F9B"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C1F9B">
        <w:rPr>
          <w:rFonts w:ascii="Times New Roman" w:eastAsia="Times New Roman" w:hAnsi="Times New Roman" w:cs="Times New Roman"/>
          <w:b/>
          <w:bCs/>
          <w:color w:val="1F1F1F"/>
          <w:kern w:val="0"/>
          <w:sz w:val="24"/>
          <w:szCs w:val="24"/>
          <w14:ligatures w14:val="none"/>
        </w:rPr>
        <w:t>Debt-to-Equity Ratio:</w:t>
      </w:r>
    </w:p>
    <w:p w14:paraId="5E793445" w14:textId="487F04E1" w:rsidR="00E427F9" w:rsidRPr="00E427F9" w:rsidRDefault="00E427F9"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427F9">
        <w:rPr>
          <w:rFonts w:ascii="Times New Roman" w:eastAsia="Times New Roman" w:hAnsi="Times New Roman" w:cs="Times New Roman"/>
          <w:color w:val="1F1F1F"/>
          <w:kern w:val="0"/>
          <w:sz w:val="24"/>
          <w:szCs w:val="24"/>
          <w14:ligatures w14:val="none"/>
        </w:rPr>
        <w:t>The ratio of debt to equity has typically grown over the course of the last five years in comparison to the ratio of debt to total assets. In light of this, it may be deduced that the firm finances a bigger proportion of its operations via the use of debt rather than shareholder stock.</w:t>
      </w:r>
    </w:p>
    <w:p w14:paraId="6C5E60D3" w14:textId="63DDB0F5" w:rsidR="00E427F9" w:rsidRPr="00E427F9" w:rsidRDefault="00E427F9"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427F9">
        <w:rPr>
          <w:rFonts w:ascii="Times New Roman" w:eastAsia="Times New Roman" w:hAnsi="Times New Roman" w:cs="Times New Roman"/>
          <w:color w:val="1F1F1F"/>
          <w:kern w:val="0"/>
          <w:sz w:val="24"/>
          <w:szCs w:val="24"/>
          <w14:ligatures w14:val="none"/>
        </w:rPr>
        <w:t>It seems that the debt-to-equity ratio has climbed somewhat between the years 2019 and 2020, and then it may have dropped between the years 2021 and 2022. 2023 seems to be the year when it begins to rise once again</w:t>
      </w:r>
      <w:r>
        <w:rPr>
          <w:rFonts w:ascii="Times New Roman" w:eastAsia="Times New Roman" w:hAnsi="Times New Roman" w:cs="Times New Roman"/>
          <w:color w:val="1F1F1F"/>
          <w:kern w:val="0"/>
          <w:sz w:val="24"/>
          <w:szCs w:val="24"/>
          <w14:ligatures w14:val="none"/>
        </w:rPr>
        <w:t>.</w:t>
      </w:r>
    </w:p>
    <w:p w14:paraId="1CE85A41" w14:textId="4ADA93A6" w:rsidR="00EC1F9B" w:rsidRPr="00E427F9" w:rsidRDefault="00EC1F9B"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C1F9B">
        <w:rPr>
          <w:rFonts w:ascii="Times New Roman" w:eastAsia="Times New Roman" w:hAnsi="Times New Roman" w:cs="Times New Roman"/>
          <w:b/>
          <w:bCs/>
          <w:color w:val="1F1F1F"/>
          <w:kern w:val="0"/>
          <w:sz w:val="24"/>
          <w:szCs w:val="24"/>
          <w14:ligatures w14:val="none"/>
        </w:rPr>
        <w:t>Debt-to-Total Assets Ratio:</w:t>
      </w:r>
    </w:p>
    <w:p w14:paraId="30075CB0" w14:textId="539A260D" w:rsidR="00E427F9" w:rsidRPr="00E427F9" w:rsidRDefault="00E427F9" w:rsidP="00E427F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427F9">
        <w:rPr>
          <w:rFonts w:ascii="Times New Roman" w:eastAsia="Times New Roman" w:hAnsi="Times New Roman" w:cs="Times New Roman"/>
          <w:color w:val="1F1F1F"/>
          <w:kern w:val="0"/>
          <w:sz w:val="24"/>
          <w:szCs w:val="24"/>
          <w14:ligatures w14:val="none"/>
        </w:rPr>
        <w:t>Over the course of the five years, the ratio of debt to total assets has consistently remained lower than the ratio of debt to equity. This is because total assets consist of both equity and liabilities, such as debt, since total assets contain both types of assets.</w:t>
      </w:r>
    </w:p>
    <w:p w14:paraId="7579DEFE" w14:textId="76D49051" w:rsidR="00EC1F9B" w:rsidRPr="0044676F" w:rsidRDefault="00E427F9" w:rsidP="0044676F">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E427F9">
        <w:rPr>
          <w:rFonts w:ascii="Times New Roman" w:eastAsia="Times New Roman" w:hAnsi="Times New Roman" w:cs="Times New Roman"/>
          <w:color w:val="1F1F1F"/>
          <w:kern w:val="0"/>
          <w:sz w:val="24"/>
          <w:szCs w:val="24"/>
          <w14:ligatures w14:val="none"/>
        </w:rPr>
        <w:lastRenderedPageBreak/>
        <w:t>There is a possibility that the ratio will show a little increase in the years 2019 and 2020, followed by a decrease in the years 2021 and 2022. This is because the ratio seems to be unstable over time. Following that, it seems to increase somewhat in the year 2023.</w:t>
      </w:r>
    </w:p>
    <w:p w14:paraId="65D29866" w14:textId="3018B79A" w:rsidR="00EC1F9B" w:rsidRPr="0044676F" w:rsidRDefault="0044676F" w:rsidP="0044676F">
      <w:pPr>
        <w:pStyle w:val="Heading2"/>
        <w:rPr>
          <w:color w:val="4472C4" w:themeColor="accent1"/>
          <w:sz w:val="32"/>
          <w:szCs w:val="32"/>
        </w:rPr>
      </w:pPr>
      <w:bookmarkStart w:id="14" w:name="_Toc164827467"/>
      <w:r>
        <w:rPr>
          <w:color w:val="4472C4" w:themeColor="accent1"/>
          <w:sz w:val="32"/>
          <w:szCs w:val="32"/>
        </w:rPr>
        <w:t>Liquidity and Financial ratios</w:t>
      </w:r>
      <w:r w:rsidRPr="0044676F">
        <w:rPr>
          <w:color w:val="4472C4" w:themeColor="accent1"/>
          <w:sz w:val="32"/>
          <w:szCs w:val="32"/>
        </w:rPr>
        <w:t xml:space="preserve"> of </w:t>
      </w:r>
      <w:r w:rsidR="00AA111F" w:rsidRPr="0044676F">
        <w:rPr>
          <w:color w:val="4472C4" w:themeColor="accent1"/>
          <w:sz w:val="32"/>
          <w:szCs w:val="32"/>
        </w:rPr>
        <w:t>Target</w:t>
      </w:r>
      <w:bookmarkEnd w:id="14"/>
      <w:r w:rsidR="00AA111F" w:rsidRPr="0044676F">
        <w:rPr>
          <w:color w:val="4472C4" w:themeColor="accent1"/>
          <w:sz w:val="32"/>
          <w:szCs w:val="32"/>
        </w:rPr>
        <w:t xml:space="preserve"> </w:t>
      </w:r>
    </w:p>
    <w:p w14:paraId="76534403" w14:textId="611017DC" w:rsidR="00EC1F9B" w:rsidRPr="00E427F9" w:rsidRDefault="00EC1F9B" w:rsidP="00E427F9">
      <w:pPr>
        <w:jc w:val="both"/>
        <w:rPr>
          <w:rFonts w:ascii="Times New Roman" w:hAnsi="Times New Roman" w:cs="Times New Roman"/>
          <w:sz w:val="24"/>
          <w:szCs w:val="24"/>
        </w:rPr>
      </w:pPr>
      <w:r w:rsidRPr="00E427F9">
        <w:rPr>
          <w:rFonts w:ascii="Times New Roman" w:hAnsi="Times New Roman" w:cs="Times New Roman"/>
          <w:sz w:val="24"/>
          <w:szCs w:val="24"/>
        </w:rPr>
        <w:t>The major competitor of Walmart is Target.</w:t>
      </w:r>
    </w:p>
    <w:tbl>
      <w:tblPr>
        <w:tblStyle w:val="GridTable1Light"/>
        <w:tblW w:w="6840" w:type="dxa"/>
        <w:jc w:val="center"/>
        <w:tblLook w:val="04A0" w:firstRow="1" w:lastRow="0" w:firstColumn="1" w:lastColumn="0" w:noHBand="0" w:noVBand="1"/>
      </w:tblPr>
      <w:tblGrid>
        <w:gridCol w:w="2040"/>
        <w:gridCol w:w="960"/>
        <w:gridCol w:w="960"/>
        <w:gridCol w:w="960"/>
        <w:gridCol w:w="996"/>
        <w:gridCol w:w="996"/>
      </w:tblGrid>
      <w:tr w:rsidR="00A946AD" w:rsidRPr="00A946AD" w14:paraId="549DD140" w14:textId="77777777" w:rsidTr="00A946AD">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040" w:type="dxa"/>
            <w:noWrap/>
            <w:hideMark/>
          </w:tcPr>
          <w:p w14:paraId="3F0A3933" w14:textId="77777777" w:rsidR="00A946AD" w:rsidRPr="00A946AD" w:rsidRDefault="00A946AD" w:rsidP="00A946AD">
            <w:pPr>
              <w:rPr>
                <w:rFonts w:ascii="Times New Roman" w:eastAsia="Times New Roman" w:hAnsi="Times New Roman" w:cs="Times New Roman"/>
                <w:kern w:val="0"/>
                <w:sz w:val="24"/>
                <w:szCs w:val="24"/>
                <w14:ligatures w14:val="none"/>
              </w:rPr>
            </w:pPr>
          </w:p>
        </w:tc>
        <w:tc>
          <w:tcPr>
            <w:tcW w:w="960" w:type="dxa"/>
            <w:noWrap/>
            <w:hideMark/>
          </w:tcPr>
          <w:p w14:paraId="064127FB" w14:textId="77777777" w:rsidR="00A946AD" w:rsidRPr="00A946AD" w:rsidRDefault="00A946AD" w:rsidP="00A946AD">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2019</w:t>
            </w:r>
          </w:p>
        </w:tc>
        <w:tc>
          <w:tcPr>
            <w:tcW w:w="960" w:type="dxa"/>
            <w:noWrap/>
            <w:hideMark/>
          </w:tcPr>
          <w:p w14:paraId="0CA7827B" w14:textId="77777777" w:rsidR="00A946AD" w:rsidRPr="00A946AD" w:rsidRDefault="00A946AD" w:rsidP="00A946AD">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2020</w:t>
            </w:r>
          </w:p>
        </w:tc>
        <w:tc>
          <w:tcPr>
            <w:tcW w:w="960" w:type="dxa"/>
            <w:noWrap/>
            <w:hideMark/>
          </w:tcPr>
          <w:p w14:paraId="1145684D" w14:textId="77777777" w:rsidR="00A946AD" w:rsidRPr="00A946AD" w:rsidRDefault="00A946AD" w:rsidP="00A946AD">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2021</w:t>
            </w:r>
          </w:p>
        </w:tc>
        <w:tc>
          <w:tcPr>
            <w:tcW w:w="960" w:type="dxa"/>
            <w:noWrap/>
            <w:hideMark/>
          </w:tcPr>
          <w:p w14:paraId="2EBF0D9E" w14:textId="77777777" w:rsidR="00A946AD" w:rsidRPr="00A946AD" w:rsidRDefault="00A946AD" w:rsidP="00A946AD">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2022</w:t>
            </w:r>
          </w:p>
        </w:tc>
        <w:tc>
          <w:tcPr>
            <w:tcW w:w="960" w:type="dxa"/>
            <w:noWrap/>
            <w:hideMark/>
          </w:tcPr>
          <w:p w14:paraId="727A305A" w14:textId="77777777" w:rsidR="00A946AD" w:rsidRPr="00A946AD" w:rsidRDefault="00A946AD" w:rsidP="00A946AD">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2023</w:t>
            </w:r>
          </w:p>
        </w:tc>
      </w:tr>
      <w:tr w:rsidR="00A946AD" w:rsidRPr="00A946AD" w14:paraId="1490D5F6" w14:textId="77777777" w:rsidTr="00A946AD">
        <w:trPr>
          <w:trHeight w:val="300"/>
          <w:jc w:val="center"/>
        </w:trPr>
        <w:tc>
          <w:tcPr>
            <w:cnfStyle w:val="001000000000" w:firstRow="0" w:lastRow="0" w:firstColumn="1" w:lastColumn="0" w:oddVBand="0" w:evenVBand="0" w:oddHBand="0" w:evenHBand="0" w:firstRowFirstColumn="0" w:firstRowLastColumn="0" w:lastRowFirstColumn="0" w:lastRowLastColumn="0"/>
            <w:tcW w:w="2040" w:type="dxa"/>
            <w:noWrap/>
            <w:hideMark/>
          </w:tcPr>
          <w:p w14:paraId="45715519" w14:textId="77777777" w:rsidR="00A946AD" w:rsidRPr="00A946AD" w:rsidRDefault="00A946AD" w:rsidP="00A946AD">
            <w:pPr>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Current Assets</w:t>
            </w:r>
          </w:p>
        </w:tc>
        <w:tc>
          <w:tcPr>
            <w:tcW w:w="960" w:type="dxa"/>
            <w:noWrap/>
            <w:hideMark/>
          </w:tcPr>
          <w:p w14:paraId="27DA798C"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12,519</w:t>
            </w:r>
          </w:p>
        </w:tc>
        <w:tc>
          <w:tcPr>
            <w:tcW w:w="960" w:type="dxa"/>
            <w:noWrap/>
            <w:hideMark/>
          </w:tcPr>
          <w:p w14:paraId="0375C50F"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12,902</w:t>
            </w:r>
          </w:p>
        </w:tc>
        <w:tc>
          <w:tcPr>
            <w:tcW w:w="960" w:type="dxa"/>
            <w:noWrap/>
            <w:hideMark/>
          </w:tcPr>
          <w:p w14:paraId="581571B7"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20,756</w:t>
            </w:r>
          </w:p>
        </w:tc>
        <w:tc>
          <w:tcPr>
            <w:tcW w:w="960" w:type="dxa"/>
            <w:noWrap/>
            <w:hideMark/>
          </w:tcPr>
          <w:p w14:paraId="49B86C32"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21,573</w:t>
            </w:r>
          </w:p>
        </w:tc>
        <w:tc>
          <w:tcPr>
            <w:tcW w:w="960" w:type="dxa"/>
            <w:noWrap/>
            <w:hideMark/>
          </w:tcPr>
          <w:p w14:paraId="431B9786"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17,846</w:t>
            </w:r>
          </w:p>
        </w:tc>
      </w:tr>
      <w:tr w:rsidR="00A946AD" w:rsidRPr="00A946AD" w14:paraId="73AAE1A0" w14:textId="77777777" w:rsidTr="00A946AD">
        <w:trPr>
          <w:trHeight w:val="300"/>
          <w:jc w:val="center"/>
        </w:trPr>
        <w:tc>
          <w:tcPr>
            <w:cnfStyle w:val="001000000000" w:firstRow="0" w:lastRow="0" w:firstColumn="1" w:lastColumn="0" w:oddVBand="0" w:evenVBand="0" w:oddHBand="0" w:evenHBand="0" w:firstRowFirstColumn="0" w:firstRowLastColumn="0" w:lastRowFirstColumn="0" w:lastRowLastColumn="0"/>
            <w:tcW w:w="2040" w:type="dxa"/>
            <w:noWrap/>
            <w:hideMark/>
          </w:tcPr>
          <w:p w14:paraId="136CEF86" w14:textId="77777777" w:rsidR="00A946AD" w:rsidRPr="00A946AD" w:rsidRDefault="00A946AD" w:rsidP="00A946AD">
            <w:pPr>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Current Liabilities</w:t>
            </w:r>
          </w:p>
        </w:tc>
        <w:tc>
          <w:tcPr>
            <w:tcW w:w="960" w:type="dxa"/>
            <w:noWrap/>
            <w:hideMark/>
          </w:tcPr>
          <w:p w14:paraId="552DA126"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15,014</w:t>
            </w:r>
          </w:p>
        </w:tc>
        <w:tc>
          <w:tcPr>
            <w:tcW w:w="960" w:type="dxa"/>
            <w:noWrap/>
            <w:hideMark/>
          </w:tcPr>
          <w:p w14:paraId="528C14DB"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14,487</w:t>
            </w:r>
          </w:p>
        </w:tc>
        <w:tc>
          <w:tcPr>
            <w:tcW w:w="960" w:type="dxa"/>
            <w:noWrap/>
            <w:hideMark/>
          </w:tcPr>
          <w:p w14:paraId="6308FE88"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20,125</w:t>
            </w:r>
          </w:p>
        </w:tc>
        <w:tc>
          <w:tcPr>
            <w:tcW w:w="960" w:type="dxa"/>
            <w:noWrap/>
            <w:hideMark/>
          </w:tcPr>
          <w:p w14:paraId="6B19939A"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21,747</w:t>
            </w:r>
          </w:p>
        </w:tc>
        <w:tc>
          <w:tcPr>
            <w:tcW w:w="960" w:type="dxa"/>
            <w:noWrap/>
            <w:hideMark/>
          </w:tcPr>
          <w:p w14:paraId="4F405FE0"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19,500</w:t>
            </w:r>
          </w:p>
        </w:tc>
      </w:tr>
      <w:tr w:rsidR="00A946AD" w:rsidRPr="00A946AD" w14:paraId="561C9304" w14:textId="77777777" w:rsidTr="00A946AD">
        <w:trPr>
          <w:trHeight w:val="300"/>
          <w:jc w:val="center"/>
        </w:trPr>
        <w:tc>
          <w:tcPr>
            <w:cnfStyle w:val="001000000000" w:firstRow="0" w:lastRow="0" w:firstColumn="1" w:lastColumn="0" w:oddVBand="0" w:evenVBand="0" w:oddHBand="0" w:evenHBand="0" w:firstRowFirstColumn="0" w:firstRowLastColumn="0" w:lastRowFirstColumn="0" w:lastRowLastColumn="0"/>
            <w:tcW w:w="2040" w:type="dxa"/>
            <w:noWrap/>
            <w:hideMark/>
          </w:tcPr>
          <w:p w14:paraId="7D9E9B60" w14:textId="77777777" w:rsidR="00A946AD" w:rsidRPr="00A946AD" w:rsidRDefault="00A946AD" w:rsidP="00A946AD">
            <w:pPr>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Cash flow</w:t>
            </w:r>
          </w:p>
        </w:tc>
        <w:tc>
          <w:tcPr>
            <w:tcW w:w="960" w:type="dxa"/>
            <w:noWrap/>
            <w:hideMark/>
          </w:tcPr>
          <w:p w14:paraId="48BBB393"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5,973</w:t>
            </w:r>
          </w:p>
        </w:tc>
        <w:tc>
          <w:tcPr>
            <w:tcW w:w="960" w:type="dxa"/>
            <w:noWrap/>
            <w:hideMark/>
          </w:tcPr>
          <w:p w14:paraId="63E4F86D"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7,117</w:t>
            </w:r>
          </w:p>
        </w:tc>
        <w:tc>
          <w:tcPr>
            <w:tcW w:w="960" w:type="dxa"/>
            <w:noWrap/>
            <w:hideMark/>
          </w:tcPr>
          <w:p w14:paraId="621B4842"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10,525</w:t>
            </w:r>
          </w:p>
        </w:tc>
        <w:tc>
          <w:tcPr>
            <w:tcW w:w="960" w:type="dxa"/>
            <w:noWrap/>
            <w:hideMark/>
          </w:tcPr>
          <w:p w14:paraId="4BB003F0"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8,625</w:t>
            </w:r>
          </w:p>
        </w:tc>
        <w:tc>
          <w:tcPr>
            <w:tcW w:w="960" w:type="dxa"/>
            <w:noWrap/>
            <w:hideMark/>
          </w:tcPr>
          <w:p w14:paraId="3A93E09C"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4,018</w:t>
            </w:r>
          </w:p>
        </w:tc>
      </w:tr>
      <w:tr w:rsidR="00A946AD" w:rsidRPr="00A946AD" w14:paraId="2857BAD8" w14:textId="77777777" w:rsidTr="00A946AD">
        <w:trPr>
          <w:trHeight w:val="300"/>
          <w:jc w:val="center"/>
        </w:trPr>
        <w:tc>
          <w:tcPr>
            <w:cnfStyle w:val="001000000000" w:firstRow="0" w:lastRow="0" w:firstColumn="1" w:lastColumn="0" w:oddVBand="0" w:evenVBand="0" w:oddHBand="0" w:evenHBand="0" w:firstRowFirstColumn="0" w:firstRowLastColumn="0" w:lastRowFirstColumn="0" w:lastRowLastColumn="0"/>
            <w:tcW w:w="2040" w:type="dxa"/>
            <w:noWrap/>
            <w:hideMark/>
          </w:tcPr>
          <w:p w14:paraId="2140F232" w14:textId="77777777" w:rsidR="00A946AD" w:rsidRPr="00A946AD" w:rsidRDefault="00A946AD" w:rsidP="00A946AD">
            <w:pPr>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Inventory</w:t>
            </w:r>
          </w:p>
        </w:tc>
        <w:tc>
          <w:tcPr>
            <w:tcW w:w="960" w:type="dxa"/>
            <w:noWrap/>
            <w:hideMark/>
          </w:tcPr>
          <w:p w14:paraId="539837AA"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9,497</w:t>
            </w:r>
          </w:p>
        </w:tc>
        <w:tc>
          <w:tcPr>
            <w:tcW w:w="960" w:type="dxa"/>
            <w:noWrap/>
            <w:hideMark/>
          </w:tcPr>
          <w:p w14:paraId="119C43E3"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8,992</w:t>
            </w:r>
          </w:p>
        </w:tc>
        <w:tc>
          <w:tcPr>
            <w:tcW w:w="960" w:type="dxa"/>
            <w:noWrap/>
            <w:hideMark/>
          </w:tcPr>
          <w:p w14:paraId="32E507C0"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10,653</w:t>
            </w:r>
          </w:p>
        </w:tc>
        <w:tc>
          <w:tcPr>
            <w:tcW w:w="960" w:type="dxa"/>
            <w:noWrap/>
            <w:hideMark/>
          </w:tcPr>
          <w:p w14:paraId="176711A4"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13,902</w:t>
            </w:r>
          </w:p>
        </w:tc>
        <w:tc>
          <w:tcPr>
            <w:tcW w:w="960" w:type="dxa"/>
            <w:noWrap/>
            <w:hideMark/>
          </w:tcPr>
          <w:p w14:paraId="681C7F97"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13,499</w:t>
            </w:r>
          </w:p>
        </w:tc>
      </w:tr>
      <w:tr w:rsidR="00A946AD" w:rsidRPr="00A946AD" w14:paraId="1C9BCE3F" w14:textId="77777777" w:rsidTr="00A946AD">
        <w:trPr>
          <w:trHeight w:val="300"/>
          <w:jc w:val="center"/>
        </w:trPr>
        <w:tc>
          <w:tcPr>
            <w:cnfStyle w:val="001000000000" w:firstRow="0" w:lastRow="0" w:firstColumn="1" w:lastColumn="0" w:oddVBand="0" w:evenVBand="0" w:oddHBand="0" w:evenHBand="0" w:firstRowFirstColumn="0" w:firstRowLastColumn="0" w:lastRowFirstColumn="0" w:lastRowLastColumn="0"/>
            <w:tcW w:w="2040" w:type="dxa"/>
            <w:noWrap/>
            <w:hideMark/>
          </w:tcPr>
          <w:p w14:paraId="48A7B507" w14:textId="77777777" w:rsidR="00A946AD" w:rsidRPr="00A946AD" w:rsidRDefault="00A946AD" w:rsidP="00A946AD">
            <w:pPr>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Total asset</w:t>
            </w:r>
          </w:p>
        </w:tc>
        <w:tc>
          <w:tcPr>
            <w:tcW w:w="960" w:type="dxa"/>
            <w:noWrap/>
            <w:hideMark/>
          </w:tcPr>
          <w:p w14:paraId="64D8AF19"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41,290</w:t>
            </w:r>
          </w:p>
        </w:tc>
        <w:tc>
          <w:tcPr>
            <w:tcW w:w="960" w:type="dxa"/>
            <w:noWrap/>
            <w:hideMark/>
          </w:tcPr>
          <w:p w14:paraId="67C23EF3"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42,779</w:t>
            </w:r>
          </w:p>
        </w:tc>
        <w:tc>
          <w:tcPr>
            <w:tcW w:w="960" w:type="dxa"/>
            <w:noWrap/>
            <w:hideMark/>
          </w:tcPr>
          <w:p w14:paraId="21F5ED8F"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51,248</w:t>
            </w:r>
          </w:p>
        </w:tc>
        <w:tc>
          <w:tcPr>
            <w:tcW w:w="960" w:type="dxa"/>
            <w:noWrap/>
            <w:hideMark/>
          </w:tcPr>
          <w:p w14:paraId="72A75565"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53,811</w:t>
            </w:r>
          </w:p>
        </w:tc>
        <w:tc>
          <w:tcPr>
            <w:tcW w:w="960" w:type="dxa"/>
            <w:noWrap/>
            <w:hideMark/>
          </w:tcPr>
          <w:p w14:paraId="18840AB7"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53,335</w:t>
            </w:r>
          </w:p>
        </w:tc>
      </w:tr>
      <w:tr w:rsidR="00A946AD" w:rsidRPr="00A946AD" w14:paraId="111C78E5" w14:textId="77777777" w:rsidTr="00A946AD">
        <w:trPr>
          <w:trHeight w:val="300"/>
          <w:jc w:val="center"/>
        </w:trPr>
        <w:tc>
          <w:tcPr>
            <w:cnfStyle w:val="001000000000" w:firstRow="0" w:lastRow="0" w:firstColumn="1" w:lastColumn="0" w:oddVBand="0" w:evenVBand="0" w:oddHBand="0" w:evenHBand="0" w:firstRowFirstColumn="0" w:firstRowLastColumn="0" w:lastRowFirstColumn="0" w:lastRowLastColumn="0"/>
            <w:tcW w:w="2040" w:type="dxa"/>
            <w:noWrap/>
            <w:hideMark/>
          </w:tcPr>
          <w:p w14:paraId="20441078" w14:textId="77777777" w:rsidR="00A946AD" w:rsidRPr="00A946AD" w:rsidRDefault="00A946AD" w:rsidP="00A946AD">
            <w:pPr>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Total Debt</w:t>
            </w:r>
          </w:p>
        </w:tc>
        <w:tc>
          <w:tcPr>
            <w:tcW w:w="960" w:type="dxa"/>
            <w:noWrap/>
            <w:hideMark/>
          </w:tcPr>
          <w:p w14:paraId="6E388D4E"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13</w:t>
            </w:r>
          </w:p>
        </w:tc>
        <w:tc>
          <w:tcPr>
            <w:tcW w:w="960" w:type="dxa"/>
            <w:noWrap/>
            <w:hideMark/>
          </w:tcPr>
          <w:p w14:paraId="0A91CEA4"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14</w:t>
            </w:r>
          </w:p>
        </w:tc>
        <w:tc>
          <w:tcPr>
            <w:tcW w:w="960" w:type="dxa"/>
            <w:noWrap/>
            <w:hideMark/>
          </w:tcPr>
          <w:p w14:paraId="16B1333C"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15</w:t>
            </w:r>
          </w:p>
        </w:tc>
        <w:tc>
          <w:tcPr>
            <w:tcW w:w="960" w:type="dxa"/>
            <w:noWrap/>
            <w:hideMark/>
          </w:tcPr>
          <w:p w14:paraId="27074D7B"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16</w:t>
            </w:r>
          </w:p>
        </w:tc>
        <w:tc>
          <w:tcPr>
            <w:tcW w:w="960" w:type="dxa"/>
            <w:noWrap/>
            <w:hideMark/>
          </w:tcPr>
          <w:p w14:paraId="5E342280"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19</w:t>
            </w:r>
          </w:p>
        </w:tc>
      </w:tr>
      <w:tr w:rsidR="00A946AD" w:rsidRPr="00A946AD" w14:paraId="62D7B999" w14:textId="77777777" w:rsidTr="00A946AD">
        <w:trPr>
          <w:trHeight w:val="300"/>
          <w:jc w:val="center"/>
        </w:trPr>
        <w:tc>
          <w:tcPr>
            <w:cnfStyle w:val="001000000000" w:firstRow="0" w:lastRow="0" w:firstColumn="1" w:lastColumn="0" w:oddVBand="0" w:evenVBand="0" w:oddHBand="0" w:evenHBand="0" w:firstRowFirstColumn="0" w:firstRowLastColumn="0" w:lastRowFirstColumn="0" w:lastRowLastColumn="0"/>
            <w:tcW w:w="2040" w:type="dxa"/>
            <w:noWrap/>
            <w:hideMark/>
          </w:tcPr>
          <w:p w14:paraId="0C56AE5B" w14:textId="77777777" w:rsidR="00A946AD" w:rsidRPr="00A946AD" w:rsidRDefault="00A946AD" w:rsidP="00A946AD">
            <w:pPr>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Shareholder's equity</w:t>
            </w:r>
          </w:p>
        </w:tc>
        <w:tc>
          <w:tcPr>
            <w:tcW w:w="960" w:type="dxa"/>
            <w:noWrap/>
            <w:hideMark/>
          </w:tcPr>
          <w:p w14:paraId="746B7F45"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41,290</w:t>
            </w:r>
          </w:p>
        </w:tc>
        <w:tc>
          <w:tcPr>
            <w:tcW w:w="960" w:type="dxa"/>
            <w:noWrap/>
            <w:hideMark/>
          </w:tcPr>
          <w:p w14:paraId="5AFE6C55"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42,779</w:t>
            </w:r>
          </w:p>
        </w:tc>
        <w:tc>
          <w:tcPr>
            <w:tcW w:w="960" w:type="dxa"/>
            <w:noWrap/>
            <w:hideMark/>
          </w:tcPr>
          <w:p w14:paraId="6D8ED2DE"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51,248</w:t>
            </w:r>
          </w:p>
        </w:tc>
        <w:tc>
          <w:tcPr>
            <w:tcW w:w="960" w:type="dxa"/>
            <w:noWrap/>
            <w:hideMark/>
          </w:tcPr>
          <w:p w14:paraId="1B3C6E42"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53,811</w:t>
            </w:r>
          </w:p>
        </w:tc>
        <w:tc>
          <w:tcPr>
            <w:tcW w:w="960" w:type="dxa"/>
            <w:noWrap/>
            <w:hideMark/>
          </w:tcPr>
          <w:p w14:paraId="785EAB1F"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53,335</w:t>
            </w:r>
          </w:p>
        </w:tc>
      </w:tr>
      <w:tr w:rsidR="00A946AD" w:rsidRPr="00A946AD" w14:paraId="480C92A0" w14:textId="77777777" w:rsidTr="00A946AD">
        <w:trPr>
          <w:trHeight w:val="300"/>
          <w:jc w:val="center"/>
        </w:trPr>
        <w:tc>
          <w:tcPr>
            <w:cnfStyle w:val="001000000000" w:firstRow="0" w:lastRow="0" w:firstColumn="1" w:lastColumn="0" w:oddVBand="0" w:evenVBand="0" w:oddHBand="0" w:evenHBand="0" w:firstRowFirstColumn="0" w:firstRowLastColumn="0" w:lastRowFirstColumn="0" w:lastRowLastColumn="0"/>
            <w:tcW w:w="2040" w:type="dxa"/>
            <w:noWrap/>
            <w:hideMark/>
          </w:tcPr>
          <w:p w14:paraId="08F80DCF" w14:textId="77777777" w:rsidR="00A946AD" w:rsidRPr="00A946AD" w:rsidRDefault="00A946AD" w:rsidP="00A946AD">
            <w:pPr>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 xml:space="preserve">Revenue </w:t>
            </w:r>
          </w:p>
        </w:tc>
        <w:tc>
          <w:tcPr>
            <w:tcW w:w="960" w:type="dxa"/>
            <w:noWrap/>
            <w:hideMark/>
          </w:tcPr>
          <w:p w14:paraId="2F366EE7"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75,356</w:t>
            </w:r>
          </w:p>
        </w:tc>
        <w:tc>
          <w:tcPr>
            <w:tcW w:w="960" w:type="dxa"/>
            <w:noWrap/>
            <w:hideMark/>
          </w:tcPr>
          <w:p w14:paraId="5649704E"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78,112</w:t>
            </w:r>
          </w:p>
        </w:tc>
        <w:tc>
          <w:tcPr>
            <w:tcW w:w="960" w:type="dxa"/>
            <w:noWrap/>
            <w:hideMark/>
          </w:tcPr>
          <w:p w14:paraId="5A6638C0"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93,561</w:t>
            </w:r>
          </w:p>
        </w:tc>
        <w:tc>
          <w:tcPr>
            <w:tcW w:w="960" w:type="dxa"/>
            <w:noWrap/>
            <w:hideMark/>
          </w:tcPr>
          <w:p w14:paraId="1E9C047B"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106,005</w:t>
            </w:r>
          </w:p>
        </w:tc>
        <w:tc>
          <w:tcPr>
            <w:tcW w:w="960" w:type="dxa"/>
            <w:noWrap/>
            <w:hideMark/>
          </w:tcPr>
          <w:p w14:paraId="62649748"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109,120</w:t>
            </w:r>
          </w:p>
        </w:tc>
      </w:tr>
      <w:tr w:rsidR="00A946AD" w:rsidRPr="00A946AD" w14:paraId="4A245F76" w14:textId="77777777" w:rsidTr="00A946AD">
        <w:trPr>
          <w:trHeight w:val="300"/>
          <w:jc w:val="center"/>
        </w:trPr>
        <w:tc>
          <w:tcPr>
            <w:cnfStyle w:val="001000000000" w:firstRow="0" w:lastRow="0" w:firstColumn="1" w:lastColumn="0" w:oddVBand="0" w:evenVBand="0" w:oddHBand="0" w:evenHBand="0" w:firstRowFirstColumn="0" w:firstRowLastColumn="0" w:lastRowFirstColumn="0" w:lastRowLastColumn="0"/>
            <w:tcW w:w="2040" w:type="dxa"/>
            <w:noWrap/>
            <w:hideMark/>
          </w:tcPr>
          <w:p w14:paraId="2561EC6D" w14:textId="77777777" w:rsidR="00A946AD" w:rsidRPr="00A946AD" w:rsidRDefault="00A946AD" w:rsidP="00A946AD">
            <w:pPr>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Net Profit</w:t>
            </w:r>
          </w:p>
        </w:tc>
        <w:tc>
          <w:tcPr>
            <w:tcW w:w="960" w:type="dxa"/>
            <w:noWrap/>
            <w:hideMark/>
          </w:tcPr>
          <w:p w14:paraId="38B7E571"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2,937</w:t>
            </w:r>
          </w:p>
        </w:tc>
        <w:tc>
          <w:tcPr>
            <w:tcW w:w="960" w:type="dxa"/>
            <w:noWrap/>
            <w:hideMark/>
          </w:tcPr>
          <w:p w14:paraId="01EA03B6"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3,281</w:t>
            </w:r>
          </w:p>
        </w:tc>
        <w:tc>
          <w:tcPr>
            <w:tcW w:w="960" w:type="dxa"/>
            <w:noWrap/>
            <w:hideMark/>
          </w:tcPr>
          <w:p w14:paraId="099D0090"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4,368</w:t>
            </w:r>
          </w:p>
        </w:tc>
        <w:tc>
          <w:tcPr>
            <w:tcW w:w="960" w:type="dxa"/>
            <w:noWrap/>
            <w:hideMark/>
          </w:tcPr>
          <w:p w14:paraId="672B4491"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6,946</w:t>
            </w:r>
          </w:p>
        </w:tc>
        <w:tc>
          <w:tcPr>
            <w:tcW w:w="960" w:type="dxa"/>
            <w:noWrap/>
            <w:hideMark/>
          </w:tcPr>
          <w:p w14:paraId="01F25E9D" w14:textId="77777777" w:rsidR="00A946AD" w:rsidRPr="00A946AD" w:rsidRDefault="00A946AD" w:rsidP="00A946AD">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946AD">
              <w:rPr>
                <w:rFonts w:ascii="Times New Roman" w:eastAsia="Times New Roman" w:hAnsi="Times New Roman" w:cs="Times New Roman"/>
                <w:color w:val="000000"/>
                <w:kern w:val="0"/>
                <w:sz w:val="24"/>
                <w:szCs w:val="24"/>
                <w14:ligatures w14:val="none"/>
              </w:rPr>
              <w:t>2,780</w:t>
            </w:r>
          </w:p>
        </w:tc>
      </w:tr>
    </w:tbl>
    <w:p w14:paraId="08215EA0" w14:textId="434D6142" w:rsidR="00EC1F9B" w:rsidRDefault="00D76AE2" w:rsidP="00D76AE2">
      <w:pPr>
        <w:pStyle w:val="Caption"/>
      </w:pPr>
      <w:bookmarkStart w:id="15" w:name="_Toc164827353"/>
      <w:r>
        <w:t xml:space="preserve">Table </w:t>
      </w:r>
      <w:r>
        <w:fldChar w:fldCharType="begin"/>
      </w:r>
      <w:r>
        <w:instrText xml:space="preserve"> SEQ Table \* ARABIC </w:instrText>
      </w:r>
      <w:r>
        <w:fldChar w:fldCharType="separate"/>
      </w:r>
      <w:r w:rsidR="00825966">
        <w:rPr>
          <w:noProof/>
        </w:rPr>
        <w:t>4</w:t>
      </w:r>
      <w:r>
        <w:fldChar w:fldCharType="end"/>
      </w:r>
      <w:r>
        <w:t xml:space="preserve">: </w:t>
      </w:r>
      <w:r w:rsidR="00825966">
        <w:t>Liquidity and Leverage ratios of Target (data)</w:t>
      </w:r>
      <w:bookmarkEnd w:id="15"/>
    </w:p>
    <w:p w14:paraId="58F3F521" w14:textId="5AA2D5F2" w:rsidR="00A946AD" w:rsidRPr="0044676F" w:rsidRDefault="00AA111F" w:rsidP="0044676F">
      <w:pPr>
        <w:pStyle w:val="Heading3"/>
        <w:rPr>
          <w:b/>
          <w:bCs/>
          <w:sz w:val="28"/>
          <w:szCs w:val="28"/>
          <w:u w:val="single"/>
        </w:rPr>
      </w:pPr>
      <w:bookmarkStart w:id="16" w:name="_Toc164827468"/>
      <w:r w:rsidRPr="0044676F">
        <w:rPr>
          <w:b/>
          <w:bCs/>
          <w:sz w:val="28"/>
          <w:szCs w:val="28"/>
          <w:u w:val="single"/>
        </w:rPr>
        <w:t>Liquidity Ratio</w:t>
      </w:r>
      <w:bookmarkEnd w:id="16"/>
      <w:r w:rsidRPr="0044676F">
        <w:rPr>
          <w:b/>
          <w:bCs/>
          <w:sz w:val="28"/>
          <w:szCs w:val="28"/>
          <w:u w:val="single"/>
        </w:rPr>
        <w:t xml:space="preserve"> </w:t>
      </w:r>
    </w:p>
    <w:tbl>
      <w:tblPr>
        <w:tblStyle w:val="GridTable1Light"/>
        <w:tblW w:w="6180" w:type="dxa"/>
        <w:jc w:val="center"/>
        <w:tblLook w:val="04A0" w:firstRow="1" w:lastRow="0" w:firstColumn="1" w:lastColumn="0" w:noHBand="0" w:noVBand="1"/>
      </w:tblPr>
      <w:tblGrid>
        <w:gridCol w:w="1380"/>
        <w:gridCol w:w="960"/>
        <w:gridCol w:w="960"/>
        <w:gridCol w:w="960"/>
        <w:gridCol w:w="960"/>
        <w:gridCol w:w="960"/>
      </w:tblGrid>
      <w:tr w:rsidR="00AA111F" w:rsidRPr="00AA111F" w14:paraId="5FAE7F86" w14:textId="77777777" w:rsidTr="00AA111F">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80" w:type="dxa"/>
            <w:noWrap/>
            <w:hideMark/>
          </w:tcPr>
          <w:p w14:paraId="06983545" w14:textId="77777777" w:rsidR="00AA111F" w:rsidRPr="00AA111F" w:rsidRDefault="00AA111F" w:rsidP="00AA111F">
            <w:pPr>
              <w:rPr>
                <w:rFonts w:ascii="Times New Roman" w:eastAsia="Times New Roman" w:hAnsi="Times New Roman" w:cs="Times New Roman"/>
                <w:kern w:val="0"/>
                <w:sz w:val="24"/>
                <w:szCs w:val="24"/>
                <w14:ligatures w14:val="none"/>
              </w:rPr>
            </w:pPr>
          </w:p>
        </w:tc>
        <w:tc>
          <w:tcPr>
            <w:tcW w:w="960" w:type="dxa"/>
            <w:noWrap/>
            <w:hideMark/>
          </w:tcPr>
          <w:p w14:paraId="18404F97" w14:textId="77777777" w:rsidR="00AA111F" w:rsidRPr="00AA111F" w:rsidRDefault="00AA111F" w:rsidP="00AA111F">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2019</w:t>
            </w:r>
          </w:p>
        </w:tc>
        <w:tc>
          <w:tcPr>
            <w:tcW w:w="960" w:type="dxa"/>
            <w:noWrap/>
            <w:hideMark/>
          </w:tcPr>
          <w:p w14:paraId="763A1E2E" w14:textId="77777777" w:rsidR="00AA111F" w:rsidRPr="00AA111F" w:rsidRDefault="00AA111F" w:rsidP="00AA111F">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2020</w:t>
            </w:r>
          </w:p>
        </w:tc>
        <w:tc>
          <w:tcPr>
            <w:tcW w:w="960" w:type="dxa"/>
            <w:noWrap/>
            <w:hideMark/>
          </w:tcPr>
          <w:p w14:paraId="2EA4D21C" w14:textId="77777777" w:rsidR="00AA111F" w:rsidRPr="00AA111F" w:rsidRDefault="00AA111F" w:rsidP="00AA111F">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2021</w:t>
            </w:r>
          </w:p>
        </w:tc>
        <w:tc>
          <w:tcPr>
            <w:tcW w:w="960" w:type="dxa"/>
            <w:noWrap/>
            <w:hideMark/>
          </w:tcPr>
          <w:p w14:paraId="041D3858" w14:textId="77777777" w:rsidR="00AA111F" w:rsidRPr="00AA111F" w:rsidRDefault="00AA111F" w:rsidP="00AA111F">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2022</w:t>
            </w:r>
          </w:p>
        </w:tc>
        <w:tc>
          <w:tcPr>
            <w:tcW w:w="960" w:type="dxa"/>
            <w:noWrap/>
            <w:hideMark/>
          </w:tcPr>
          <w:p w14:paraId="700735F9" w14:textId="77777777" w:rsidR="00AA111F" w:rsidRPr="00AA111F" w:rsidRDefault="00AA111F" w:rsidP="00AA111F">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2023</w:t>
            </w:r>
          </w:p>
        </w:tc>
      </w:tr>
      <w:tr w:rsidR="00AA111F" w:rsidRPr="00AA111F" w14:paraId="7DF89007" w14:textId="77777777" w:rsidTr="00AA111F">
        <w:trPr>
          <w:trHeight w:val="300"/>
          <w:jc w:val="center"/>
        </w:trPr>
        <w:tc>
          <w:tcPr>
            <w:cnfStyle w:val="001000000000" w:firstRow="0" w:lastRow="0" w:firstColumn="1" w:lastColumn="0" w:oddVBand="0" w:evenVBand="0" w:oddHBand="0" w:evenHBand="0" w:firstRowFirstColumn="0" w:firstRowLastColumn="0" w:lastRowFirstColumn="0" w:lastRowLastColumn="0"/>
            <w:tcW w:w="1380" w:type="dxa"/>
            <w:noWrap/>
            <w:hideMark/>
          </w:tcPr>
          <w:p w14:paraId="445F3170" w14:textId="77777777" w:rsidR="00AA111F" w:rsidRPr="00AA111F" w:rsidRDefault="00AA111F" w:rsidP="00AA111F">
            <w:pPr>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Current ratio</w:t>
            </w:r>
          </w:p>
        </w:tc>
        <w:tc>
          <w:tcPr>
            <w:tcW w:w="960" w:type="dxa"/>
            <w:noWrap/>
            <w:hideMark/>
          </w:tcPr>
          <w:p w14:paraId="12F875E6"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0.83</w:t>
            </w:r>
          </w:p>
        </w:tc>
        <w:tc>
          <w:tcPr>
            <w:tcW w:w="960" w:type="dxa"/>
            <w:noWrap/>
            <w:hideMark/>
          </w:tcPr>
          <w:p w14:paraId="60CFB4B8"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0.89</w:t>
            </w:r>
          </w:p>
        </w:tc>
        <w:tc>
          <w:tcPr>
            <w:tcW w:w="960" w:type="dxa"/>
            <w:noWrap/>
            <w:hideMark/>
          </w:tcPr>
          <w:p w14:paraId="1B54F194"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1.03</w:t>
            </w:r>
          </w:p>
        </w:tc>
        <w:tc>
          <w:tcPr>
            <w:tcW w:w="960" w:type="dxa"/>
            <w:noWrap/>
            <w:hideMark/>
          </w:tcPr>
          <w:p w14:paraId="24C48279"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0.99</w:t>
            </w:r>
          </w:p>
        </w:tc>
        <w:tc>
          <w:tcPr>
            <w:tcW w:w="960" w:type="dxa"/>
            <w:noWrap/>
            <w:hideMark/>
          </w:tcPr>
          <w:p w14:paraId="21CE2F48"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0.91</w:t>
            </w:r>
          </w:p>
        </w:tc>
      </w:tr>
      <w:tr w:rsidR="00AA111F" w:rsidRPr="00AA111F" w14:paraId="5F45271F" w14:textId="77777777" w:rsidTr="00AA111F">
        <w:trPr>
          <w:trHeight w:val="300"/>
          <w:jc w:val="center"/>
        </w:trPr>
        <w:tc>
          <w:tcPr>
            <w:cnfStyle w:val="001000000000" w:firstRow="0" w:lastRow="0" w:firstColumn="1" w:lastColumn="0" w:oddVBand="0" w:evenVBand="0" w:oddHBand="0" w:evenHBand="0" w:firstRowFirstColumn="0" w:firstRowLastColumn="0" w:lastRowFirstColumn="0" w:lastRowLastColumn="0"/>
            <w:tcW w:w="1380" w:type="dxa"/>
            <w:noWrap/>
            <w:hideMark/>
          </w:tcPr>
          <w:p w14:paraId="43BA698F" w14:textId="77777777" w:rsidR="00AA111F" w:rsidRPr="00AA111F" w:rsidRDefault="00AA111F" w:rsidP="00AA111F">
            <w:pPr>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Quick Ratio</w:t>
            </w:r>
          </w:p>
        </w:tc>
        <w:tc>
          <w:tcPr>
            <w:tcW w:w="960" w:type="dxa"/>
            <w:noWrap/>
            <w:hideMark/>
          </w:tcPr>
          <w:p w14:paraId="61706718"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0.21</w:t>
            </w:r>
          </w:p>
        </w:tc>
        <w:tc>
          <w:tcPr>
            <w:tcW w:w="960" w:type="dxa"/>
            <w:noWrap/>
            <w:hideMark/>
          </w:tcPr>
          <w:p w14:paraId="302FDCE2"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0.26</w:t>
            </w:r>
          </w:p>
        </w:tc>
        <w:tc>
          <w:tcPr>
            <w:tcW w:w="960" w:type="dxa"/>
            <w:noWrap/>
            <w:hideMark/>
          </w:tcPr>
          <w:p w14:paraId="3739A9C9"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0.5</w:t>
            </w:r>
          </w:p>
        </w:tc>
        <w:tc>
          <w:tcPr>
            <w:tcW w:w="960" w:type="dxa"/>
            <w:noWrap/>
            <w:hideMark/>
          </w:tcPr>
          <w:p w14:paraId="3A335C23"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0.36</w:t>
            </w:r>
          </w:p>
        </w:tc>
        <w:tc>
          <w:tcPr>
            <w:tcW w:w="960" w:type="dxa"/>
            <w:noWrap/>
            <w:hideMark/>
          </w:tcPr>
          <w:p w14:paraId="5F627591"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0.23</w:t>
            </w:r>
          </w:p>
        </w:tc>
      </w:tr>
    </w:tbl>
    <w:p w14:paraId="1291C1FA" w14:textId="7B9E1FF7" w:rsidR="00AA111F" w:rsidRDefault="00825966" w:rsidP="00825966">
      <w:pPr>
        <w:pStyle w:val="Caption"/>
      </w:pPr>
      <w:bookmarkStart w:id="17" w:name="_Toc164827354"/>
      <w:r>
        <w:t xml:space="preserve">Table </w:t>
      </w:r>
      <w:r>
        <w:fldChar w:fldCharType="begin"/>
      </w:r>
      <w:r>
        <w:instrText xml:space="preserve"> SEQ Table \* ARABIC </w:instrText>
      </w:r>
      <w:r>
        <w:fldChar w:fldCharType="separate"/>
      </w:r>
      <w:r>
        <w:rPr>
          <w:noProof/>
        </w:rPr>
        <w:t>5</w:t>
      </w:r>
      <w:r>
        <w:fldChar w:fldCharType="end"/>
      </w:r>
      <w:r>
        <w:t>: Liquidity ratios of Target</w:t>
      </w:r>
      <w:bookmarkEnd w:id="17"/>
    </w:p>
    <w:p w14:paraId="0122A33F" w14:textId="7E687F2F" w:rsidR="00AA111F" w:rsidRDefault="00AA111F" w:rsidP="00803350">
      <w:pPr>
        <w:jc w:val="center"/>
      </w:pPr>
      <w:r>
        <w:rPr>
          <w:noProof/>
        </w:rPr>
        <w:drawing>
          <wp:inline distT="0" distB="0" distL="0" distR="0" wp14:anchorId="76501946" wp14:editId="54576881">
            <wp:extent cx="4572000" cy="2743200"/>
            <wp:effectExtent l="0" t="0" r="0" b="0"/>
            <wp:docPr id="574348216" name="Chart 1">
              <a:extLst xmlns:a="http://schemas.openxmlformats.org/drawingml/2006/main">
                <a:ext uri="{FF2B5EF4-FFF2-40B4-BE49-F238E27FC236}">
                  <a16:creationId xmlns:a16="http://schemas.microsoft.com/office/drawing/2014/main" id="{4F6312D3-9B24-AA3C-4E35-A66F67DAB5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138ED3A" w14:textId="24B71209" w:rsidR="00DB7F06" w:rsidRPr="00DB7F06" w:rsidRDefault="00DB7F06" w:rsidP="00DB7F06">
      <w:pPr>
        <w:jc w:val="center"/>
        <w:rPr>
          <w:rFonts w:ascii="Times New Roman" w:hAnsi="Times New Roman" w:cs="Times New Roman"/>
          <w:sz w:val="24"/>
          <w:szCs w:val="24"/>
        </w:rPr>
      </w:pPr>
      <w:r w:rsidRPr="00DB7F06">
        <w:rPr>
          <w:rFonts w:ascii="Times New Roman" w:hAnsi="Times New Roman" w:cs="Times New Roman"/>
          <w:sz w:val="24"/>
          <w:szCs w:val="24"/>
        </w:rPr>
        <w:lastRenderedPageBreak/>
        <w:t xml:space="preserve">Graph </w:t>
      </w:r>
      <w:r>
        <w:rPr>
          <w:rFonts w:ascii="Times New Roman" w:hAnsi="Times New Roman" w:cs="Times New Roman"/>
          <w:sz w:val="24"/>
          <w:szCs w:val="24"/>
        </w:rPr>
        <w:t>3</w:t>
      </w:r>
      <w:r w:rsidRPr="00DB7F06">
        <w:rPr>
          <w:rFonts w:ascii="Times New Roman" w:hAnsi="Times New Roman" w:cs="Times New Roman"/>
          <w:sz w:val="24"/>
          <w:szCs w:val="24"/>
        </w:rPr>
        <w:t>: Liquidity ratio of Target</w:t>
      </w:r>
    </w:p>
    <w:p w14:paraId="4ECA7EAC" w14:textId="7455F215" w:rsidR="00AA111F" w:rsidRDefault="00DB7F06" w:rsidP="00DB7F06">
      <w:pPr>
        <w:jc w:val="center"/>
        <w:rPr>
          <w:rFonts w:ascii="Times New Roman" w:hAnsi="Times New Roman" w:cs="Times New Roman"/>
          <w:sz w:val="24"/>
          <w:szCs w:val="24"/>
        </w:rPr>
      </w:pPr>
      <w:r w:rsidRPr="00DB7F06">
        <w:rPr>
          <w:rFonts w:ascii="Times New Roman" w:hAnsi="Times New Roman" w:cs="Times New Roman"/>
          <w:sz w:val="24"/>
          <w:szCs w:val="24"/>
        </w:rPr>
        <w:t>Source: Self-generated</w:t>
      </w:r>
    </w:p>
    <w:p w14:paraId="2A8B5FB8" w14:textId="77777777" w:rsidR="00DB7F06" w:rsidRPr="00DB7F06" w:rsidRDefault="00DB7F06" w:rsidP="00DB7F06">
      <w:pPr>
        <w:jc w:val="center"/>
        <w:rPr>
          <w:rFonts w:ascii="Times New Roman" w:hAnsi="Times New Roman" w:cs="Times New Roman"/>
          <w:sz w:val="24"/>
          <w:szCs w:val="24"/>
        </w:rPr>
      </w:pPr>
    </w:p>
    <w:p w14:paraId="10C831AE" w14:textId="77777777" w:rsidR="00E427F9" w:rsidRPr="00803350" w:rsidRDefault="00E427F9" w:rsidP="00803350">
      <w:pPr>
        <w:jc w:val="both"/>
        <w:rPr>
          <w:rFonts w:ascii="Times New Roman" w:hAnsi="Times New Roman" w:cs="Times New Roman"/>
          <w:sz w:val="24"/>
          <w:szCs w:val="24"/>
        </w:rPr>
      </w:pPr>
      <w:r w:rsidRPr="00803350">
        <w:rPr>
          <w:rFonts w:ascii="Times New Roman" w:hAnsi="Times New Roman" w:cs="Times New Roman"/>
          <w:sz w:val="24"/>
          <w:szCs w:val="24"/>
        </w:rPr>
        <w:t>According to the graph, the current ratio of the corporation seems to have fluctuated more than its quick ratio during the course of the past five years. In spite of the fact that the quick ratio seems to be more stable, both ratios appear to be generally heading downward.</w:t>
      </w:r>
    </w:p>
    <w:p w14:paraId="4535937E" w14:textId="7899452D" w:rsidR="00E427F9" w:rsidRPr="00803350" w:rsidRDefault="00E427F9" w:rsidP="00803350">
      <w:pPr>
        <w:jc w:val="both"/>
        <w:rPr>
          <w:rFonts w:ascii="Times New Roman" w:hAnsi="Times New Roman" w:cs="Times New Roman"/>
          <w:sz w:val="24"/>
          <w:szCs w:val="24"/>
        </w:rPr>
      </w:pPr>
      <w:r w:rsidRPr="00803350">
        <w:rPr>
          <w:rFonts w:ascii="Times New Roman" w:hAnsi="Times New Roman" w:cs="Times New Roman"/>
          <w:sz w:val="24"/>
          <w:szCs w:val="24"/>
        </w:rPr>
        <w:t>2019–2020: Through the whole of this time period, both ratios seem to be decreasing. When this occurs, it may be an indication that the company's short-term solvency, or its ability to pay down short-term debt with current assets, is gradually deteriorating.</w:t>
      </w:r>
    </w:p>
    <w:p w14:paraId="2419414C" w14:textId="408FD7FC" w:rsidR="00E427F9" w:rsidRPr="00803350" w:rsidRDefault="00E427F9" w:rsidP="00803350">
      <w:pPr>
        <w:jc w:val="both"/>
        <w:rPr>
          <w:rFonts w:ascii="Times New Roman" w:hAnsi="Times New Roman" w:cs="Times New Roman"/>
          <w:sz w:val="24"/>
          <w:szCs w:val="24"/>
        </w:rPr>
      </w:pPr>
      <w:r w:rsidRPr="00803350">
        <w:rPr>
          <w:rFonts w:ascii="Times New Roman" w:hAnsi="Times New Roman" w:cs="Times New Roman"/>
          <w:sz w:val="24"/>
          <w:szCs w:val="24"/>
        </w:rPr>
        <w:t>2020–2021: In the year 2021, the quick ratio either experiences a minor decrease or remains unchanged, whilst the current ratio experiences considerable advancement.</w:t>
      </w:r>
    </w:p>
    <w:p w14:paraId="3DAFF511" w14:textId="5154863E" w:rsidR="00E427F9" w:rsidRPr="00803350" w:rsidRDefault="00E427F9" w:rsidP="00803350">
      <w:pPr>
        <w:jc w:val="both"/>
        <w:rPr>
          <w:rFonts w:ascii="Times New Roman" w:hAnsi="Times New Roman" w:cs="Times New Roman"/>
          <w:sz w:val="24"/>
          <w:szCs w:val="24"/>
        </w:rPr>
      </w:pPr>
      <w:r w:rsidRPr="00803350">
        <w:rPr>
          <w:rFonts w:ascii="Times New Roman" w:hAnsi="Times New Roman" w:cs="Times New Roman"/>
          <w:sz w:val="24"/>
          <w:szCs w:val="24"/>
        </w:rPr>
        <w:t>In the period of 2021–2023, the graph demonstrates that the present ratio has continued to fall throughout the course of the past two years. There is a possibility that the quick ratio might also be reduced to some degree.</w:t>
      </w:r>
    </w:p>
    <w:p w14:paraId="70ADB0B7" w14:textId="0258DA98" w:rsidR="00AA111F" w:rsidRPr="0044676F" w:rsidRDefault="00AA111F" w:rsidP="0044676F">
      <w:pPr>
        <w:pStyle w:val="Heading3"/>
        <w:spacing w:line="360" w:lineRule="auto"/>
        <w:rPr>
          <w:b/>
          <w:bCs/>
          <w:sz w:val="28"/>
          <w:szCs w:val="28"/>
          <w:u w:val="single"/>
        </w:rPr>
      </w:pPr>
      <w:bookmarkStart w:id="18" w:name="_Toc164827469"/>
      <w:r w:rsidRPr="0044676F">
        <w:rPr>
          <w:b/>
          <w:bCs/>
          <w:sz w:val="28"/>
          <w:szCs w:val="28"/>
          <w:u w:val="single"/>
        </w:rPr>
        <w:t>Leverage Ratio</w:t>
      </w:r>
      <w:bookmarkEnd w:id="18"/>
      <w:r w:rsidRPr="0044676F">
        <w:rPr>
          <w:b/>
          <w:bCs/>
          <w:sz w:val="28"/>
          <w:szCs w:val="28"/>
          <w:u w:val="single"/>
        </w:rPr>
        <w:t xml:space="preserve"> </w:t>
      </w:r>
    </w:p>
    <w:tbl>
      <w:tblPr>
        <w:tblStyle w:val="GridTable1Light"/>
        <w:tblW w:w="7175" w:type="dxa"/>
        <w:jc w:val="center"/>
        <w:tblLook w:val="04A0" w:firstRow="1" w:lastRow="0" w:firstColumn="1" w:lastColumn="0" w:noHBand="0" w:noVBand="1"/>
      </w:tblPr>
      <w:tblGrid>
        <w:gridCol w:w="2375"/>
        <w:gridCol w:w="960"/>
        <w:gridCol w:w="960"/>
        <w:gridCol w:w="960"/>
        <w:gridCol w:w="960"/>
        <w:gridCol w:w="960"/>
      </w:tblGrid>
      <w:tr w:rsidR="00AA111F" w:rsidRPr="00AA111F" w14:paraId="0AF28AB3" w14:textId="77777777" w:rsidTr="00AA111F">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75" w:type="dxa"/>
            <w:noWrap/>
            <w:hideMark/>
          </w:tcPr>
          <w:p w14:paraId="19BF0429" w14:textId="77777777" w:rsidR="00AA111F" w:rsidRPr="00AA111F" w:rsidRDefault="00AA111F" w:rsidP="00AA111F">
            <w:pPr>
              <w:rPr>
                <w:rFonts w:ascii="Times New Roman" w:eastAsia="Times New Roman" w:hAnsi="Times New Roman" w:cs="Times New Roman"/>
                <w:kern w:val="0"/>
                <w:sz w:val="24"/>
                <w:szCs w:val="24"/>
                <w14:ligatures w14:val="none"/>
              </w:rPr>
            </w:pPr>
          </w:p>
        </w:tc>
        <w:tc>
          <w:tcPr>
            <w:tcW w:w="960" w:type="dxa"/>
            <w:noWrap/>
            <w:hideMark/>
          </w:tcPr>
          <w:p w14:paraId="500F5AE8" w14:textId="77777777" w:rsidR="00AA111F" w:rsidRPr="00AA111F" w:rsidRDefault="00AA111F" w:rsidP="00AA111F">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2019</w:t>
            </w:r>
          </w:p>
        </w:tc>
        <w:tc>
          <w:tcPr>
            <w:tcW w:w="960" w:type="dxa"/>
            <w:noWrap/>
            <w:hideMark/>
          </w:tcPr>
          <w:p w14:paraId="781F5117" w14:textId="77777777" w:rsidR="00AA111F" w:rsidRPr="00AA111F" w:rsidRDefault="00AA111F" w:rsidP="00AA111F">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2020</w:t>
            </w:r>
          </w:p>
        </w:tc>
        <w:tc>
          <w:tcPr>
            <w:tcW w:w="960" w:type="dxa"/>
            <w:noWrap/>
            <w:hideMark/>
          </w:tcPr>
          <w:p w14:paraId="6476E540" w14:textId="77777777" w:rsidR="00AA111F" w:rsidRPr="00AA111F" w:rsidRDefault="00AA111F" w:rsidP="00AA111F">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2021</w:t>
            </w:r>
          </w:p>
        </w:tc>
        <w:tc>
          <w:tcPr>
            <w:tcW w:w="960" w:type="dxa"/>
            <w:noWrap/>
            <w:hideMark/>
          </w:tcPr>
          <w:p w14:paraId="4045B8DE" w14:textId="77777777" w:rsidR="00AA111F" w:rsidRPr="00AA111F" w:rsidRDefault="00AA111F" w:rsidP="00AA111F">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2022</w:t>
            </w:r>
          </w:p>
        </w:tc>
        <w:tc>
          <w:tcPr>
            <w:tcW w:w="960" w:type="dxa"/>
            <w:noWrap/>
            <w:hideMark/>
          </w:tcPr>
          <w:p w14:paraId="4DD1F6B6" w14:textId="77777777" w:rsidR="00AA111F" w:rsidRPr="00AA111F" w:rsidRDefault="00AA111F" w:rsidP="00AA111F">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2023</w:t>
            </w:r>
          </w:p>
        </w:tc>
      </w:tr>
      <w:tr w:rsidR="00AA111F" w:rsidRPr="00AA111F" w14:paraId="197AFCE1" w14:textId="77777777" w:rsidTr="00AA111F">
        <w:trPr>
          <w:trHeight w:val="300"/>
          <w:jc w:val="center"/>
        </w:trPr>
        <w:tc>
          <w:tcPr>
            <w:cnfStyle w:val="001000000000" w:firstRow="0" w:lastRow="0" w:firstColumn="1" w:lastColumn="0" w:oddVBand="0" w:evenVBand="0" w:oddHBand="0" w:evenHBand="0" w:firstRowFirstColumn="0" w:firstRowLastColumn="0" w:lastRowFirstColumn="0" w:lastRowLastColumn="0"/>
            <w:tcW w:w="2375" w:type="dxa"/>
            <w:noWrap/>
            <w:hideMark/>
          </w:tcPr>
          <w:p w14:paraId="15BF9BB1" w14:textId="77777777" w:rsidR="00AA111F" w:rsidRPr="00AA111F" w:rsidRDefault="00AA111F" w:rsidP="00AA111F">
            <w:pPr>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Debt-to-Equity Ratio</w:t>
            </w:r>
          </w:p>
        </w:tc>
        <w:tc>
          <w:tcPr>
            <w:tcW w:w="960" w:type="dxa"/>
            <w:noWrap/>
            <w:hideMark/>
          </w:tcPr>
          <w:p w14:paraId="72C4A4A6"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0.0003</w:t>
            </w:r>
          </w:p>
        </w:tc>
        <w:tc>
          <w:tcPr>
            <w:tcW w:w="960" w:type="dxa"/>
            <w:noWrap/>
            <w:hideMark/>
          </w:tcPr>
          <w:p w14:paraId="7CED5BDA"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0.0003</w:t>
            </w:r>
          </w:p>
        </w:tc>
        <w:tc>
          <w:tcPr>
            <w:tcW w:w="960" w:type="dxa"/>
            <w:noWrap/>
            <w:hideMark/>
          </w:tcPr>
          <w:p w14:paraId="38E9BB99"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0.0003</w:t>
            </w:r>
          </w:p>
        </w:tc>
        <w:tc>
          <w:tcPr>
            <w:tcW w:w="960" w:type="dxa"/>
            <w:noWrap/>
            <w:hideMark/>
          </w:tcPr>
          <w:p w14:paraId="79CEAABB"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0.0003</w:t>
            </w:r>
          </w:p>
        </w:tc>
        <w:tc>
          <w:tcPr>
            <w:tcW w:w="960" w:type="dxa"/>
            <w:noWrap/>
            <w:hideMark/>
          </w:tcPr>
          <w:p w14:paraId="0878B316"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0.0004</w:t>
            </w:r>
          </w:p>
        </w:tc>
      </w:tr>
      <w:tr w:rsidR="00AA111F" w:rsidRPr="00AA111F" w14:paraId="5430472B" w14:textId="77777777" w:rsidTr="00AA111F">
        <w:trPr>
          <w:trHeight w:val="300"/>
          <w:jc w:val="center"/>
        </w:trPr>
        <w:tc>
          <w:tcPr>
            <w:cnfStyle w:val="001000000000" w:firstRow="0" w:lastRow="0" w:firstColumn="1" w:lastColumn="0" w:oddVBand="0" w:evenVBand="0" w:oddHBand="0" w:evenHBand="0" w:firstRowFirstColumn="0" w:firstRowLastColumn="0" w:lastRowFirstColumn="0" w:lastRowLastColumn="0"/>
            <w:tcW w:w="2375" w:type="dxa"/>
            <w:noWrap/>
            <w:hideMark/>
          </w:tcPr>
          <w:p w14:paraId="1E440BD2" w14:textId="77777777" w:rsidR="00AA111F" w:rsidRPr="00AA111F" w:rsidRDefault="00AA111F" w:rsidP="00AA111F">
            <w:pPr>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Debt-to-Total Assets Ratio</w:t>
            </w:r>
          </w:p>
        </w:tc>
        <w:tc>
          <w:tcPr>
            <w:tcW w:w="960" w:type="dxa"/>
            <w:noWrap/>
            <w:hideMark/>
          </w:tcPr>
          <w:p w14:paraId="33864717"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0.0003</w:t>
            </w:r>
          </w:p>
        </w:tc>
        <w:tc>
          <w:tcPr>
            <w:tcW w:w="960" w:type="dxa"/>
            <w:noWrap/>
            <w:hideMark/>
          </w:tcPr>
          <w:p w14:paraId="416201FD"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0.0003</w:t>
            </w:r>
          </w:p>
        </w:tc>
        <w:tc>
          <w:tcPr>
            <w:tcW w:w="960" w:type="dxa"/>
            <w:noWrap/>
            <w:hideMark/>
          </w:tcPr>
          <w:p w14:paraId="67F32F6F"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0.0003</w:t>
            </w:r>
          </w:p>
        </w:tc>
        <w:tc>
          <w:tcPr>
            <w:tcW w:w="960" w:type="dxa"/>
            <w:noWrap/>
            <w:hideMark/>
          </w:tcPr>
          <w:p w14:paraId="776F9E12"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0.0003</w:t>
            </w:r>
          </w:p>
        </w:tc>
        <w:tc>
          <w:tcPr>
            <w:tcW w:w="960" w:type="dxa"/>
            <w:noWrap/>
            <w:hideMark/>
          </w:tcPr>
          <w:p w14:paraId="10101632" w14:textId="77777777" w:rsidR="00AA111F" w:rsidRPr="00AA111F" w:rsidRDefault="00AA111F" w:rsidP="00AA11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AA111F">
              <w:rPr>
                <w:rFonts w:ascii="Times New Roman" w:eastAsia="Times New Roman" w:hAnsi="Times New Roman" w:cs="Times New Roman"/>
                <w:color w:val="000000"/>
                <w:kern w:val="0"/>
                <w:sz w:val="24"/>
                <w:szCs w:val="24"/>
                <w14:ligatures w14:val="none"/>
              </w:rPr>
              <w:t>0.0004</w:t>
            </w:r>
          </w:p>
        </w:tc>
      </w:tr>
    </w:tbl>
    <w:p w14:paraId="530CACA1" w14:textId="42D8E3D2" w:rsidR="00AA111F" w:rsidRDefault="00825966" w:rsidP="00825966">
      <w:pPr>
        <w:pStyle w:val="Caption"/>
      </w:pPr>
      <w:bookmarkStart w:id="19" w:name="_Toc164827355"/>
      <w:r>
        <w:t xml:space="preserve">Table </w:t>
      </w:r>
      <w:r>
        <w:fldChar w:fldCharType="begin"/>
      </w:r>
      <w:r>
        <w:instrText xml:space="preserve"> SEQ Table \* ARABIC </w:instrText>
      </w:r>
      <w:r>
        <w:fldChar w:fldCharType="separate"/>
      </w:r>
      <w:r>
        <w:rPr>
          <w:noProof/>
        </w:rPr>
        <w:t>6</w:t>
      </w:r>
      <w:r>
        <w:fldChar w:fldCharType="end"/>
      </w:r>
      <w:r>
        <w:t>: Leverage ratios of Target</w:t>
      </w:r>
      <w:bookmarkEnd w:id="19"/>
    </w:p>
    <w:p w14:paraId="5E5D428F" w14:textId="54B0AD5F" w:rsidR="00AA111F" w:rsidRDefault="00AA111F" w:rsidP="00AA111F">
      <w:pPr>
        <w:jc w:val="center"/>
      </w:pPr>
      <w:r>
        <w:rPr>
          <w:noProof/>
        </w:rPr>
        <w:drawing>
          <wp:inline distT="0" distB="0" distL="0" distR="0" wp14:anchorId="18F8089B" wp14:editId="63347178">
            <wp:extent cx="4572000" cy="2743200"/>
            <wp:effectExtent l="0" t="0" r="0" b="0"/>
            <wp:docPr id="1820555917" name="Chart 1">
              <a:extLst xmlns:a="http://schemas.openxmlformats.org/drawingml/2006/main">
                <a:ext uri="{FF2B5EF4-FFF2-40B4-BE49-F238E27FC236}">
                  <a16:creationId xmlns:a16="http://schemas.microsoft.com/office/drawing/2014/main" id="{F46E835E-DE04-AB9D-3DA1-0BA4A9F882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E1D512C" w14:textId="23F1D9DD" w:rsidR="00DB7F06" w:rsidRPr="00DB7F06" w:rsidRDefault="00DB7F06" w:rsidP="00DB7F06">
      <w:pPr>
        <w:jc w:val="center"/>
        <w:rPr>
          <w:rFonts w:ascii="Times New Roman" w:hAnsi="Times New Roman" w:cs="Times New Roman"/>
          <w:sz w:val="24"/>
          <w:szCs w:val="24"/>
        </w:rPr>
      </w:pPr>
      <w:r w:rsidRPr="00DB7F06">
        <w:rPr>
          <w:rFonts w:ascii="Times New Roman" w:hAnsi="Times New Roman" w:cs="Times New Roman"/>
          <w:sz w:val="24"/>
          <w:szCs w:val="24"/>
        </w:rPr>
        <w:t>Graph 4: Leverage ratio of Target</w:t>
      </w:r>
    </w:p>
    <w:p w14:paraId="7182B2FE" w14:textId="05BFDF34" w:rsidR="00DB7F06" w:rsidRPr="00DB7F06" w:rsidRDefault="00DB7F06" w:rsidP="00DB7F06">
      <w:pPr>
        <w:jc w:val="center"/>
        <w:rPr>
          <w:rFonts w:ascii="Times New Roman" w:hAnsi="Times New Roman" w:cs="Times New Roman"/>
          <w:sz w:val="24"/>
          <w:szCs w:val="24"/>
        </w:rPr>
      </w:pPr>
      <w:r w:rsidRPr="00DB7F06">
        <w:rPr>
          <w:rFonts w:ascii="Times New Roman" w:hAnsi="Times New Roman" w:cs="Times New Roman"/>
          <w:sz w:val="24"/>
          <w:szCs w:val="24"/>
        </w:rPr>
        <w:t>Source: Self-generated</w:t>
      </w:r>
    </w:p>
    <w:p w14:paraId="2B8BA91C" w14:textId="77777777" w:rsidR="00AA111F" w:rsidRDefault="00AA111F" w:rsidP="00AA111F"/>
    <w:p w14:paraId="512FBBFB" w14:textId="77777777" w:rsidR="00667E04" w:rsidRPr="0044676F" w:rsidRDefault="00667E04" w:rsidP="0044676F">
      <w:pPr>
        <w:pStyle w:val="Heading3"/>
        <w:rPr>
          <w:rFonts w:eastAsia="Times New Roman"/>
          <w:b/>
          <w:bCs/>
          <w:sz w:val="28"/>
          <w:szCs w:val="28"/>
          <w:u w:val="single"/>
        </w:rPr>
      </w:pPr>
      <w:bookmarkStart w:id="20" w:name="_Toc164827470"/>
      <w:r w:rsidRPr="0044676F">
        <w:rPr>
          <w:rFonts w:eastAsia="Times New Roman"/>
          <w:b/>
          <w:bCs/>
          <w:sz w:val="28"/>
          <w:szCs w:val="28"/>
          <w:u w:val="single"/>
        </w:rPr>
        <w:t>Analysis of Debt-to-Equity Ratio:</w:t>
      </w:r>
      <w:bookmarkEnd w:id="20"/>
    </w:p>
    <w:p w14:paraId="55F6BC30" w14:textId="79C25603" w:rsidR="00803350" w:rsidRPr="00803350" w:rsidRDefault="00803350" w:rsidP="00803350">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803350">
        <w:rPr>
          <w:rFonts w:ascii="Times New Roman" w:eastAsia="Times New Roman" w:hAnsi="Times New Roman" w:cs="Times New Roman"/>
          <w:color w:val="1F1F1F"/>
          <w:kern w:val="0"/>
          <w:sz w:val="24"/>
          <w:szCs w:val="24"/>
          <w14:ligatures w14:val="none"/>
        </w:rPr>
        <w:t>Over the course of the last five years, the ratio of debt to equity has consistently increased, eventually exceeding the ratio of debt to total assets when it was first calculated. It would seem from this that the firm derives the majority of its funding for its operations from debt rather than shares purchased by shareholders.</w:t>
      </w:r>
    </w:p>
    <w:p w14:paraId="590813A0" w14:textId="5687D0D3" w:rsidR="00803350" w:rsidRPr="00803350" w:rsidRDefault="00803350" w:rsidP="00803350">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803350">
        <w:rPr>
          <w:rFonts w:ascii="Times New Roman" w:eastAsia="Times New Roman" w:hAnsi="Times New Roman" w:cs="Times New Roman"/>
          <w:color w:val="1F1F1F"/>
          <w:kern w:val="0"/>
          <w:sz w:val="24"/>
          <w:szCs w:val="24"/>
          <w14:ligatures w14:val="none"/>
        </w:rPr>
        <w:t>It seems that the debt-to-equity ratio has climbed somewhat between the years 2019 and 2020, and then it may have dropped between the years 2021 and 2022. 2023 seems to be the year when it begins to rise once again.</w:t>
      </w:r>
    </w:p>
    <w:p w14:paraId="15C0664A" w14:textId="0F457062" w:rsidR="00803350" w:rsidRPr="00803350" w:rsidRDefault="00803350" w:rsidP="00803350">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803350">
        <w:rPr>
          <w:rFonts w:ascii="Times New Roman" w:eastAsia="Times New Roman" w:hAnsi="Times New Roman" w:cs="Times New Roman"/>
          <w:color w:val="1F1F1F"/>
          <w:kern w:val="0"/>
          <w:sz w:val="24"/>
          <w:szCs w:val="24"/>
          <w14:ligatures w14:val="none"/>
        </w:rPr>
        <w:t>A higher debt-to-equity ratio may indicate potential for growth as well as a higher risk profile if the debt is managed correctly. This is the case if the debt is handled wisely.</w:t>
      </w:r>
    </w:p>
    <w:p w14:paraId="7F3CC071" w14:textId="511B0CA1" w:rsidR="00667E04" w:rsidRPr="0044676F" w:rsidRDefault="00667E04" w:rsidP="0044676F">
      <w:pPr>
        <w:pStyle w:val="Heading3"/>
        <w:spacing w:line="360" w:lineRule="auto"/>
        <w:rPr>
          <w:rFonts w:eastAsia="Times New Roman"/>
          <w:b/>
          <w:bCs/>
          <w:sz w:val="28"/>
          <w:szCs w:val="28"/>
          <w:u w:val="single"/>
        </w:rPr>
      </w:pPr>
      <w:bookmarkStart w:id="21" w:name="_Toc164827471"/>
      <w:r w:rsidRPr="0044676F">
        <w:rPr>
          <w:rFonts w:eastAsia="Times New Roman"/>
          <w:b/>
          <w:bCs/>
          <w:sz w:val="28"/>
          <w:szCs w:val="28"/>
          <w:u w:val="single"/>
        </w:rPr>
        <w:t>Analysis of Debt-to-Total Assets Ratio:</w:t>
      </w:r>
      <w:bookmarkEnd w:id="21"/>
    </w:p>
    <w:p w14:paraId="1A0CB0B4" w14:textId="21EF41BF" w:rsidR="00803350" w:rsidRPr="00803350" w:rsidRDefault="00803350" w:rsidP="00803350">
      <w:pPr>
        <w:jc w:val="both"/>
        <w:rPr>
          <w:rFonts w:ascii="Times New Roman" w:hAnsi="Times New Roman" w:cs="Times New Roman"/>
          <w:sz w:val="24"/>
          <w:szCs w:val="24"/>
        </w:rPr>
      </w:pPr>
      <w:r w:rsidRPr="00803350">
        <w:rPr>
          <w:rFonts w:ascii="Times New Roman" w:hAnsi="Times New Roman" w:cs="Times New Roman"/>
          <w:sz w:val="24"/>
          <w:szCs w:val="24"/>
        </w:rPr>
        <w:t>Over the course of the five years, the ratio of debt to total assets has consistently remained lower than the ratio of debt to equity. This is due to the fact that equity and liabilities, of which debt is one kind, are both included in the total assets.</w:t>
      </w:r>
    </w:p>
    <w:p w14:paraId="5BA14FB1" w14:textId="61032CC6" w:rsidR="00AA111F" w:rsidRPr="00803350" w:rsidRDefault="00803350" w:rsidP="00803350">
      <w:pPr>
        <w:jc w:val="both"/>
        <w:rPr>
          <w:rFonts w:ascii="Times New Roman" w:hAnsi="Times New Roman" w:cs="Times New Roman"/>
          <w:sz w:val="24"/>
          <w:szCs w:val="24"/>
        </w:rPr>
      </w:pPr>
      <w:r w:rsidRPr="00803350">
        <w:rPr>
          <w:rFonts w:ascii="Times New Roman" w:hAnsi="Times New Roman" w:cs="Times New Roman"/>
          <w:sz w:val="24"/>
          <w:szCs w:val="24"/>
        </w:rPr>
        <w:t>The ratio seems to be subject to some degree of volatility; it may have seen a little increase in the years 2019 and 2020, followed by a decline in the years 2021 and 2022. Following that, it seems to increase somewhat in the year 2023.</w:t>
      </w:r>
    </w:p>
    <w:p w14:paraId="72734E14" w14:textId="0E767EB2" w:rsidR="001F6E5F" w:rsidRPr="0044676F" w:rsidRDefault="001F6E5F" w:rsidP="0044676F">
      <w:pPr>
        <w:pStyle w:val="Heading2"/>
        <w:rPr>
          <w:color w:val="4472C4" w:themeColor="accent1"/>
          <w:sz w:val="32"/>
          <w:szCs w:val="32"/>
        </w:rPr>
      </w:pPr>
      <w:bookmarkStart w:id="22" w:name="_Toc164827472"/>
      <w:r w:rsidRPr="0044676F">
        <w:rPr>
          <w:color w:val="4472C4" w:themeColor="accent1"/>
          <w:sz w:val="32"/>
          <w:szCs w:val="32"/>
        </w:rPr>
        <w:t>Comparison of Liquidity Ratio of Walmart and Target</w:t>
      </w:r>
      <w:bookmarkEnd w:id="22"/>
    </w:p>
    <w:p w14:paraId="6B7647E8" w14:textId="5C5219C1" w:rsidR="001F6E5F" w:rsidRPr="003A377C" w:rsidRDefault="001F6E5F" w:rsidP="001F6E5F">
      <w:pPr>
        <w:shd w:val="clear" w:color="auto" w:fill="FFFFFF"/>
        <w:spacing w:before="100" w:beforeAutospacing="1" w:after="0" w:line="240" w:lineRule="auto"/>
        <w:rPr>
          <w:rFonts w:ascii="Times New Roman" w:eastAsia="Times New Roman" w:hAnsi="Times New Roman" w:cs="Times New Roman"/>
          <w:color w:val="1F1F1F"/>
          <w:kern w:val="0"/>
          <w:sz w:val="28"/>
          <w:szCs w:val="28"/>
          <w14:ligatures w14:val="none"/>
        </w:rPr>
      </w:pPr>
      <w:r w:rsidRPr="003A377C">
        <w:rPr>
          <w:rStyle w:val="Strong"/>
          <w:rFonts w:ascii="Times New Roman" w:hAnsi="Times New Roman" w:cs="Times New Roman"/>
          <w:color w:val="1F1F1F"/>
          <w:sz w:val="24"/>
          <w:szCs w:val="24"/>
          <w:shd w:val="clear" w:color="auto" w:fill="FFFFFF"/>
        </w:rPr>
        <w:t>Current Ratio:</w:t>
      </w:r>
    </w:p>
    <w:p w14:paraId="6507E38B" w14:textId="77777777" w:rsidR="00803350" w:rsidRPr="00803350" w:rsidRDefault="00803350" w:rsidP="00803350">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803350">
        <w:rPr>
          <w:rFonts w:ascii="Times New Roman" w:eastAsia="Times New Roman" w:hAnsi="Times New Roman" w:cs="Times New Roman"/>
          <w:color w:val="1F1F1F"/>
          <w:kern w:val="0"/>
          <w:sz w:val="24"/>
          <w:szCs w:val="24"/>
          <w14:ligatures w14:val="none"/>
        </w:rPr>
        <w:t>Throughout the course of the last five years, it seems that Walmart's current ratio has been higher than Target's. This is the case in general. When compared to its short-term liabilities, which are obligations that are due within the next year, Walmart's current assets, which include cash, inventory, and receivables, are more than its short-term liabilities. This indicates that Walmart may have a higher short-term solvency.</w:t>
      </w:r>
    </w:p>
    <w:p w14:paraId="7AD7F00E" w14:textId="7E4F92E6" w:rsidR="00803350" w:rsidRPr="00803350" w:rsidRDefault="00803350" w:rsidP="00803350">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803350">
        <w:rPr>
          <w:rFonts w:ascii="Times New Roman" w:eastAsia="Times New Roman" w:hAnsi="Times New Roman" w:cs="Times New Roman"/>
          <w:color w:val="1F1F1F"/>
          <w:kern w:val="0"/>
          <w:sz w:val="24"/>
          <w:szCs w:val="24"/>
          <w14:ligatures w14:val="none"/>
        </w:rPr>
        <w:t>Variations may be seen in the current ratios of both companies throughout the course of time. The ideal and generally accepted definition of a healthy ratio is one that is greater than one.</w:t>
      </w:r>
    </w:p>
    <w:p w14:paraId="5E0E2FA0" w14:textId="77777777" w:rsidR="001F6E5F" w:rsidRPr="001F6E5F" w:rsidRDefault="001F6E5F" w:rsidP="001F6E5F">
      <w:pPr>
        <w:shd w:val="clear" w:color="auto" w:fill="FFFFFF"/>
        <w:spacing w:before="100" w:beforeAutospacing="1" w:after="0" w:line="240" w:lineRule="auto"/>
        <w:rPr>
          <w:rFonts w:ascii="Arial" w:eastAsia="Times New Roman" w:hAnsi="Arial" w:cs="Arial"/>
          <w:color w:val="1F1F1F"/>
          <w:kern w:val="0"/>
          <w:sz w:val="24"/>
          <w:szCs w:val="24"/>
          <w14:ligatures w14:val="none"/>
        </w:rPr>
      </w:pPr>
    </w:p>
    <w:p w14:paraId="26EE98ED" w14:textId="5B8F344F" w:rsidR="001F6E5F" w:rsidRDefault="001F6E5F" w:rsidP="001F6E5F">
      <w:pPr>
        <w:jc w:val="center"/>
      </w:pPr>
      <w:r>
        <w:rPr>
          <w:noProof/>
        </w:rPr>
        <w:lastRenderedPageBreak/>
        <w:drawing>
          <wp:inline distT="0" distB="0" distL="0" distR="0" wp14:anchorId="1FD6A0E7" wp14:editId="1B5A5151">
            <wp:extent cx="4572000" cy="2743200"/>
            <wp:effectExtent l="0" t="0" r="0" b="0"/>
            <wp:docPr id="162283351" name="Chart 1">
              <a:extLst xmlns:a="http://schemas.openxmlformats.org/drawingml/2006/main">
                <a:ext uri="{FF2B5EF4-FFF2-40B4-BE49-F238E27FC236}">
                  <a16:creationId xmlns:a16="http://schemas.microsoft.com/office/drawing/2014/main" id="{8EC2FE9D-3B12-B81B-3F32-39AD8E73C9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B8029A" w14:textId="2C4BBEDF" w:rsidR="00DB7F06" w:rsidRDefault="00DB7F06" w:rsidP="00DB7F06">
      <w:pPr>
        <w:jc w:val="center"/>
        <w:rPr>
          <w:rFonts w:ascii="Times New Roman" w:hAnsi="Times New Roman" w:cs="Times New Roman"/>
          <w:sz w:val="24"/>
          <w:szCs w:val="24"/>
        </w:rPr>
      </w:pPr>
      <w:r w:rsidRPr="00DB7F06">
        <w:rPr>
          <w:rFonts w:ascii="Times New Roman" w:hAnsi="Times New Roman" w:cs="Times New Roman"/>
          <w:sz w:val="24"/>
          <w:szCs w:val="24"/>
        </w:rPr>
        <w:t xml:space="preserve">Graph </w:t>
      </w:r>
      <w:r>
        <w:rPr>
          <w:rFonts w:ascii="Times New Roman" w:hAnsi="Times New Roman" w:cs="Times New Roman"/>
          <w:sz w:val="24"/>
          <w:szCs w:val="24"/>
        </w:rPr>
        <w:t>5</w:t>
      </w:r>
      <w:r w:rsidRPr="00DB7F06">
        <w:rPr>
          <w:rFonts w:ascii="Times New Roman" w:hAnsi="Times New Roman" w:cs="Times New Roman"/>
          <w:sz w:val="24"/>
          <w:szCs w:val="24"/>
        </w:rPr>
        <w:t xml:space="preserve">: Comparison of Liquidity and Leverage Ratios of Walmart &amp; Target </w:t>
      </w:r>
    </w:p>
    <w:p w14:paraId="10738298" w14:textId="70590F97" w:rsidR="001F6E5F" w:rsidRPr="00DB7F06" w:rsidRDefault="00DB7F06" w:rsidP="00DB7F06">
      <w:pPr>
        <w:jc w:val="center"/>
        <w:rPr>
          <w:rFonts w:ascii="Times New Roman" w:hAnsi="Times New Roman" w:cs="Times New Roman"/>
          <w:sz w:val="24"/>
          <w:szCs w:val="24"/>
        </w:rPr>
      </w:pPr>
      <w:r w:rsidRPr="00DB7F06">
        <w:rPr>
          <w:rFonts w:ascii="Times New Roman" w:hAnsi="Times New Roman" w:cs="Times New Roman"/>
          <w:sz w:val="24"/>
          <w:szCs w:val="24"/>
        </w:rPr>
        <w:t>Source: Self-generated</w:t>
      </w:r>
    </w:p>
    <w:p w14:paraId="07DD27A2" w14:textId="11CB6BC8" w:rsidR="001F6E5F" w:rsidRPr="001F6E5F" w:rsidRDefault="003A377C" w:rsidP="003A377C">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3A377C">
        <w:rPr>
          <w:rFonts w:ascii="Times New Roman" w:eastAsia="Times New Roman" w:hAnsi="Times New Roman" w:cs="Times New Roman"/>
          <w:b/>
          <w:bCs/>
          <w:color w:val="1F1F1F"/>
          <w:kern w:val="0"/>
          <w:sz w:val="24"/>
          <w:szCs w:val="24"/>
          <w14:ligatures w14:val="none"/>
        </w:rPr>
        <w:t>Quick Ratio:</w:t>
      </w:r>
    </w:p>
    <w:p w14:paraId="0C0EAA56" w14:textId="77777777" w:rsidR="00803350" w:rsidRPr="00803350" w:rsidRDefault="00803350" w:rsidP="00803350">
      <w:pPr>
        <w:jc w:val="both"/>
        <w:rPr>
          <w:rFonts w:ascii="Times New Roman" w:hAnsi="Times New Roman" w:cs="Times New Roman"/>
          <w:sz w:val="24"/>
          <w:szCs w:val="24"/>
        </w:rPr>
      </w:pPr>
      <w:r w:rsidRPr="00803350">
        <w:rPr>
          <w:rFonts w:ascii="Times New Roman" w:hAnsi="Times New Roman" w:cs="Times New Roman"/>
          <w:sz w:val="24"/>
          <w:szCs w:val="24"/>
        </w:rPr>
        <w:t>The fast ratio of Walmart seems to have been consistently higher than that of Target throughout the course of the last five years, which is comparable to the ratio that is now in effect. In light of the fact that inventory is not included in current assets, the quick ratio is a far more conservative statistic.</w:t>
      </w:r>
    </w:p>
    <w:p w14:paraId="6B89DA0F" w14:textId="21AD0CAC" w:rsidR="001F6E5F" w:rsidRPr="003A377C" w:rsidRDefault="00803350" w:rsidP="003A377C">
      <w:pPr>
        <w:jc w:val="both"/>
        <w:rPr>
          <w:rFonts w:ascii="Times New Roman" w:hAnsi="Times New Roman" w:cs="Times New Roman"/>
          <w:sz w:val="24"/>
          <w:szCs w:val="24"/>
        </w:rPr>
      </w:pPr>
      <w:r w:rsidRPr="00803350">
        <w:rPr>
          <w:rFonts w:ascii="Times New Roman" w:hAnsi="Times New Roman" w:cs="Times New Roman"/>
          <w:sz w:val="24"/>
          <w:szCs w:val="24"/>
        </w:rPr>
        <w:t>As was said before, the quick ratios of both organizations have been shown to be significantly different throughout the course of time. It is feasible to evaluate the quality of these data by utilizing industry standards, despite the fact that a quick ratio that is more than 0.75 is often considered to be beneficial.</w:t>
      </w:r>
    </w:p>
    <w:p w14:paraId="7D0FE731" w14:textId="77777777" w:rsidR="002A59B1" w:rsidRDefault="002A59B1" w:rsidP="001F6E5F"/>
    <w:p w14:paraId="402BFC3B" w14:textId="2757B271" w:rsidR="002A59B1" w:rsidRPr="003A377C" w:rsidRDefault="002A59B1" w:rsidP="003A377C">
      <w:pPr>
        <w:pStyle w:val="Heading2"/>
        <w:rPr>
          <w:color w:val="4472C4" w:themeColor="accent1"/>
          <w:sz w:val="32"/>
          <w:szCs w:val="32"/>
        </w:rPr>
      </w:pPr>
      <w:bookmarkStart w:id="23" w:name="_Toc164827473"/>
      <w:r w:rsidRPr="003A377C">
        <w:rPr>
          <w:color w:val="4472C4" w:themeColor="accent1"/>
          <w:sz w:val="32"/>
          <w:szCs w:val="32"/>
        </w:rPr>
        <w:t>Capital Structure Theory:</w:t>
      </w:r>
      <w:bookmarkEnd w:id="23"/>
    </w:p>
    <w:p w14:paraId="53256083" w14:textId="77777777" w:rsidR="002A59B1" w:rsidRPr="003A377C" w:rsidRDefault="002A59B1" w:rsidP="003A377C">
      <w:pPr>
        <w:pStyle w:val="Heading3"/>
        <w:spacing w:line="360" w:lineRule="auto"/>
        <w:rPr>
          <w:b/>
          <w:bCs/>
          <w:sz w:val="28"/>
          <w:szCs w:val="28"/>
          <w:u w:val="single"/>
        </w:rPr>
      </w:pPr>
      <w:bookmarkStart w:id="24" w:name="_Toc164827474"/>
      <w:r w:rsidRPr="003A377C">
        <w:rPr>
          <w:b/>
          <w:bCs/>
          <w:sz w:val="28"/>
          <w:szCs w:val="28"/>
          <w:u w:val="single"/>
        </w:rPr>
        <w:t>Traditional Capital Structure Theory</w:t>
      </w:r>
      <w:bookmarkEnd w:id="24"/>
      <w:r w:rsidRPr="003A377C">
        <w:rPr>
          <w:b/>
          <w:bCs/>
          <w:sz w:val="28"/>
          <w:szCs w:val="28"/>
          <w:u w:val="single"/>
        </w:rPr>
        <w:t xml:space="preserve">  </w:t>
      </w:r>
    </w:p>
    <w:p w14:paraId="54AA7F97" w14:textId="77777777" w:rsidR="00803350" w:rsidRPr="00803350" w:rsidRDefault="00803350" w:rsidP="00803350">
      <w:pPr>
        <w:jc w:val="both"/>
        <w:rPr>
          <w:rFonts w:ascii="Times New Roman" w:hAnsi="Times New Roman" w:cs="Times New Roman"/>
          <w:sz w:val="24"/>
          <w:szCs w:val="24"/>
        </w:rPr>
      </w:pPr>
      <w:r w:rsidRPr="00803350">
        <w:rPr>
          <w:rFonts w:ascii="Times New Roman" w:hAnsi="Times New Roman" w:cs="Times New Roman"/>
          <w:sz w:val="24"/>
          <w:szCs w:val="24"/>
        </w:rPr>
        <w:t>According to the conventional approach, a firm may achieve its optimum capital structure by selecting the appropriate proportion of debt in its capital structure. According to this theory, a company is considered to have an optimal or sufficient capital structure when its value is at its greatest and its cost of capital, also known as its weighted average cost, is at its lowest. At this point, the corporation is said to have achieved its optimal or adequate capital structure (Demirguneş, 2017). In addition, this theory assumes that if a corporation continues to take on debt from a variety of sources, the value of the company will ultimately reach a plateau, and then it would gradually start to decrease.</w:t>
      </w:r>
    </w:p>
    <w:p w14:paraId="2BEDA749" w14:textId="7B4AA4FE" w:rsidR="00803350" w:rsidRPr="00803350" w:rsidRDefault="00803350" w:rsidP="00803350">
      <w:pPr>
        <w:jc w:val="both"/>
        <w:rPr>
          <w:rFonts w:ascii="Times New Roman" w:hAnsi="Times New Roman" w:cs="Times New Roman"/>
          <w:sz w:val="24"/>
          <w:szCs w:val="24"/>
        </w:rPr>
      </w:pPr>
      <w:r w:rsidRPr="00803350">
        <w:rPr>
          <w:rFonts w:ascii="Times New Roman" w:hAnsi="Times New Roman" w:cs="Times New Roman"/>
          <w:sz w:val="24"/>
          <w:szCs w:val="24"/>
        </w:rPr>
        <w:lastRenderedPageBreak/>
        <w:t>According to Ahmadinia, Afrasiabishani, and Hesami (2012), this theory may be stated in three levels, which are considered to be the most basic level. To begin, the stage I makes it very evident that as the amount of a company's debt increases, the equity cost (Ke) may either slightly increase or remain the same. Additionally, at this moment in time, the cost of total debt (Kd) is equal to the cost of equity (Ke), and the cost of debt (Kd) does not change. Consequently, a growth in the total capital cost (Ko) as a result of increases in the amount of debt stays constant, which results in an increase in the overall value (v) of the company. In the second stage, it is anticipated that the cost of equity (ke) of the company would climb at a faster rate than it did in the prior phase if the amount of debt is increased. Unbelievably, this removes the low equity cost (ke) benefits that are the outcome of an expansion in size that goes beyond a certain point. An important thing to note is that the entire value of the company is at its highest point, and its cost of capital (ko) is at its lowest position at this specific moment in time. As a result, the combination of capital structure that provides the best possible results has been achieved at this moment. When Stage III comes to a close, it is explained that the company's equity costs (ke) will ultimately begin to climb to a point where they will surpass the benefits of low loan costs. This is because the company's debt burden is increasing. As a consequence of this, the weighted average cost of capital (WACC) increases, and the value of the company starts to decrease. Particularly noteworthy is the fact that the value of the company experiences a fall at this moment as a consequence of the rotation between its debt and equity (Rehan, Chhapra, and Sohail, 2021). The figure that follows provides a graphical representation of the three stages that are included in Traditional Theory.</w:t>
      </w:r>
    </w:p>
    <w:p w14:paraId="567742A2" w14:textId="77777777" w:rsidR="00803350" w:rsidRPr="002A59B1" w:rsidRDefault="00803350" w:rsidP="00803350"/>
    <w:p w14:paraId="12632557" w14:textId="25D92B7D" w:rsidR="002A59B1" w:rsidRDefault="002A59B1" w:rsidP="002A59B1">
      <w:pPr>
        <w:jc w:val="center"/>
        <w:rPr>
          <w:sz w:val="24"/>
          <w:szCs w:val="24"/>
        </w:rPr>
      </w:pPr>
      <w:r>
        <w:rPr>
          <w:noProof/>
        </w:rPr>
        <w:drawing>
          <wp:inline distT="0" distB="0" distL="0" distR="0" wp14:anchorId="433B1BB1" wp14:editId="4B9CA74B">
            <wp:extent cx="3676650" cy="2110740"/>
            <wp:effectExtent l="0" t="0" r="0" b="3810"/>
            <wp:docPr id="932278772" name="Picture 3" descr="PDF] Capital Structure Theories: A Comprehensive Review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DF] Capital Structure Theories: A Comprehensive Review | Semantic Scholar"/>
                    <pic:cNvPicPr>
                      <a:picLocks noChangeAspect="1" noChangeArrowheads="1"/>
                    </pic:cNvPicPr>
                  </pic:nvPicPr>
                  <pic:blipFill rotWithShape="1">
                    <a:blip r:embed="rId14">
                      <a:extLst>
                        <a:ext uri="{28A0092B-C50C-407E-A947-70E740481C1C}">
                          <a14:useLocalDpi xmlns:a14="http://schemas.microsoft.com/office/drawing/2010/main" val="0"/>
                        </a:ext>
                      </a:extLst>
                    </a:blip>
                    <a:srcRect t="4318"/>
                    <a:stretch/>
                  </pic:blipFill>
                  <pic:spPr bwMode="auto">
                    <a:xfrm>
                      <a:off x="0" y="0"/>
                      <a:ext cx="3676650" cy="2110740"/>
                    </a:xfrm>
                    <a:prstGeom prst="rect">
                      <a:avLst/>
                    </a:prstGeom>
                    <a:noFill/>
                    <a:ln>
                      <a:noFill/>
                    </a:ln>
                    <a:extLst>
                      <a:ext uri="{53640926-AAD7-44D8-BBD7-CCE9431645EC}">
                        <a14:shadowObscured xmlns:a14="http://schemas.microsoft.com/office/drawing/2010/main"/>
                      </a:ext>
                    </a:extLst>
                  </pic:spPr>
                </pic:pic>
              </a:graphicData>
            </a:graphic>
          </wp:inline>
        </w:drawing>
      </w:r>
    </w:p>
    <w:p w14:paraId="538187AC" w14:textId="1DB19EF7" w:rsidR="00803350" w:rsidRPr="00803350" w:rsidRDefault="00D76AE2" w:rsidP="00D76AE2">
      <w:pPr>
        <w:pStyle w:val="Caption"/>
        <w:jc w:val="center"/>
        <w:rPr>
          <w:rFonts w:ascii="Times New Roman" w:hAnsi="Times New Roman" w:cs="Times New Roman"/>
          <w:sz w:val="24"/>
          <w:szCs w:val="24"/>
        </w:rPr>
      </w:pPr>
      <w:bookmarkStart w:id="25" w:name="_Toc164827053"/>
      <w:r>
        <w:t xml:space="preserve">Figure </w:t>
      </w:r>
      <w:r>
        <w:fldChar w:fldCharType="begin"/>
      </w:r>
      <w:r>
        <w:instrText xml:space="preserve"> SEQ Figure \* ARABIC </w:instrText>
      </w:r>
      <w:r>
        <w:fldChar w:fldCharType="separate"/>
      </w:r>
      <w:r>
        <w:rPr>
          <w:noProof/>
        </w:rPr>
        <w:t>2</w:t>
      </w:r>
      <w:r>
        <w:fldChar w:fldCharType="end"/>
      </w:r>
      <w:r w:rsidR="00DB7F06">
        <w:rPr>
          <w:rFonts w:ascii="Times New Roman" w:hAnsi="Times New Roman" w:cs="Times New Roman"/>
          <w:sz w:val="24"/>
          <w:szCs w:val="24"/>
        </w:rPr>
        <w:t xml:space="preserve">: </w:t>
      </w:r>
      <w:r w:rsidR="00803350" w:rsidRPr="00803350">
        <w:rPr>
          <w:rFonts w:ascii="Times New Roman" w:hAnsi="Times New Roman" w:cs="Times New Roman"/>
          <w:sz w:val="24"/>
          <w:szCs w:val="24"/>
        </w:rPr>
        <w:t>Traditional Capital Structure Theory and its stages</w:t>
      </w:r>
      <w:bookmarkEnd w:id="25"/>
    </w:p>
    <w:p w14:paraId="3A9C2FCB" w14:textId="14E25D3C" w:rsidR="005C33DD" w:rsidRPr="00803350" w:rsidRDefault="005C33DD" w:rsidP="005C33DD">
      <w:pPr>
        <w:jc w:val="center"/>
        <w:rPr>
          <w:rFonts w:ascii="Times New Roman" w:hAnsi="Times New Roman" w:cs="Times New Roman"/>
          <w:sz w:val="24"/>
          <w:szCs w:val="24"/>
        </w:rPr>
      </w:pPr>
      <w:r w:rsidRPr="00803350">
        <w:rPr>
          <w:rFonts w:ascii="Times New Roman" w:hAnsi="Times New Roman" w:cs="Times New Roman"/>
          <w:sz w:val="24"/>
          <w:szCs w:val="24"/>
        </w:rPr>
        <w:t>Source: (Rehan, Chhapra and Sohail, 2021)</w:t>
      </w:r>
    </w:p>
    <w:p w14:paraId="11EA7DDF" w14:textId="77777777" w:rsidR="005C33DD" w:rsidRDefault="005C33DD" w:rsidP="005C33DD">
      <w:pPr>
        <w:rPr>
          <w:sz w:val="24"/>
          <w:szCs w:val="24"/>
        </w:rPr>
      </w:pPr>
    </w:p>
    <w:p w14:paraId="655D8361" w14:textId="13843212" w:rsidR="002828D3" w:rsidRPr="003A377C" w:rsidRDefault="003A377C" w:rsidP="003A377C">
      <w:pPr>
        <w:pStyle w:val="Heading2"/>
        <w:rPr>
          <w:color w:val="4472C4" w:themeColor="accent1"/>
          <w:sz w:val="32"/>
          <w:szCs w:val="32"/>
        </w:rPr>
      </w:pPr>
      <w:bookmarkStart w:id="26" w:name="_Toc164827475"/>
      <w:r w:rsidRPr="003A377C">
        <w:rPr>
          <w:color w:val="4472C4" w:themeColor="accent1"/>
          <w:sz w:val="32"/>
          <w:szCs w:val="32"/>
        </w:rPr>
        <w:t>Walmart and Traditional</w:t>
      </w:r>
      <w:r w:rsidR="005C33DD" w:rsidRPr="003A377C">
        <w:rPr>
          <w:color w:val="4472C4" w:themeColor="accent1"/>
          <w:sz w:val="32"/>
          <w:szCs w:val="32"/>
        </w:rPr>
        <w:t xml:space="preserve"> </w:t>
      </w:r>
      <w:r w:rsidRPr="003A377C">
        <w:rPr>
          <w:color w:val="4472C4" w:themeColor="accent1"/>
          <w:sz w:val="32"/>
          <w:szCs w:val="32"/>
        </w:rPr>
        <w:t>C</w:t>
      </w:r>
      <w:r w:rsidR="005C33DD" w:rsidRPr="003A377C">
        <w:rPr>
          <w:color w:val="4472C4" w:themeColor="accent1"/>
          <w:sz w:val="32"/>
          <w:szCs w:val="32"/>
        </w:rPr>
        <w:t>apital structure theory</w:t>
      </w:r>
      <w:bookmarkEnd w:id="26"/>
    </w:p>
    <w:p w14:paraId="0F4D2DC5" w14:textId="40820FA6" w:rsidR="002828D3" w:rsidRPr="002828D3" w:rsidRDefault="002828D3" w:rsidP="002828D3">
      <w:pPr>
        <w:jc w:val="both"/>
        <w:rPr>
          <w:rFonts w:ascii="Times New Roman" w:eastAsia="Times New Roman" w:hAnsi="Times New Roman" w:cs="Times New Roman"/>
          <w:color w:val="1F1F1F"/>
          <w:kern w:val="0"/>
          <w:sz w:val="24"/>
          <w:szCs w:val="24"/>
          <w14:ligatures w14:val="none"/>
        </w:rPr>
      </w:pPr>
      <w:r w:rsidRPr="002828D3">
        <w:rPr>
          <w:rFonts w:ascii="Times New Roman" w:eastAsia="Times New Roman" w:hAnsi="Times New Roman" w:cs="Times New Roman"/>
          <w:color w:val="1F1F1F"/>
          <w:kern w:val="0"/>
          <w:sz w:val="24"/>
          <w:szCs w:val="24"/>
          <w14:ligatures w14:val="none"/>
        </w:rPr>
        <w:t xml:space="preserve">Conventional capital structure theory focuses on the optimum debt-to-equity ratio that an organization needs to maintain in order to maximize value for its shareholders. This ratio is </w:t>
      </w:r>
      <w:r w:rsidRPr="002828D3">
        <w:rPr>
          <w:rFonts w:ascii="Times New Roman" w:eastAsia="Times New Roman" w:hAnsi="Times New Roman" w:cs="Times New Roman"/>
          <w:color w:val="1F1F1F"/>
          <w:kern w:val="0"/>
          <w:sz w:val="24"/>
          <w:szCs w:val="24"/>
          <w14:ligatures w14:val="none"/>
        </w:rPr>
        <w:lastRenderedPageBreak/>
        <w:t>considered to be the optimal form of capital structure (Brealey and Myers, 2000). When using this technique, it is important to strike a balance between the benefits and drawbacks of debt financing. Taking into consideration the following perspective, the following is an explanation of how the capital structure of Walmart appears:</w:t>
      </w:r>
    </w:p>
    <w:p w14:paraId="287C539C" w14:textId="509C17E3" w:rsidR="005C33DD" w:rsidRPr="005C33DD" w:rsidRDefault="005C33DD" w:rsidP="005C33DD">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5C33DD">
        <w:rPr>
          <w:rFonts w:ascii="Times New Roman" w:eastAsia="Times New Roman" w:hAnsi="Times New Roman" w:cs="Times New Roman"/>
          <w:b/>
          <w:bCs/>
          <w:color w:val="1F1F1F"/>
          <w:kern w:val="0"/>
          <w:sz w:val="24"/>
          <w:szCs w:val="24"/>
          <w14:ligatures w14:val="none"/>
        </w:rPr>
        <w:t>Benefits of Debt Financing:</w:t>
      </w:r>
    </w:p>
    <w:p w14:paraId="5A4CD4DF" w14:textId="75746949" w:rsidR="002828D3" w:rsidRPr="002828D3" w:rsidRDefault="002828D3" w:rsidP="002828D3">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2828D3">
        <w:rPr>
          <w:rFonts w:ascii="Times New Roman" w:eastAsia="Times New Roman" w:hAnsi="Times New Roman" w:cs="Times New Roman"/>
          <w:color w:val="1F1F1F"/>
          <w:kern w:val="0"/>
          <w:sz w:val="24"/>
          <w:szCs w:val="24"/>
          <w14:ligatures w14:val="none"/>
        </w:rPr>
        <w:t>According to Besley and Brigham (2000), debt financing has the potential to boost returns for shareholders if the company uses the money that it has borrowed to offer an equity return that is higher than the interest rate on the loan of the company.</w:t>
      </w:r>
    </w:p>
    <w:p w14:paraId="52D0498D" w14:textId="0D11B56C" w:rsidR="005C33DD" w:rsidRPr="005C33DD" w:rsidRDefault="003A377C" w:rsidP="005C33DD">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5C33DD">
        <w:rPr>
          <w:rFonts w:ascii="Times New Roman" w:eastAsia="Times New Roman" w:hAnsi="Times New Roman" w:cs="Times New Roman"/>
          <w:b/>
          <w:bCs/>
          <w:color w:val="1F1F1F"/>
          <w:kern w:val="0"/>
          <w:sz w:val="24"/>
          <w:szCs w:val="24"/>
          <w14:ligatures w14:val="none"/>
        </w:rPr>
        <w:t>Disadvantages</w:t>
      </w:r>
      <w:r w:rsidR="005C33DD" w:rsidRPr="005C33DD">
        <w:rPr>
          <w:rFonts w:ascii="Times New Roman" w:eastAsia="Times New Roman" w:hAnsi="Times New Roman" w:cs="Times New Roman"/>
          <w:b/>
          <w:bCs/>
          <w:color w:val="1F1F1F"/>
          <w:kern w:val="0"/>
          <w:sz w:val="24"/>
          <w:szCs w:val="24"/>
          <w14:ligatures w14:val="none"/>
        </w:rPr>
        <w:t xml:space="preserve"> of Debt Financing:</w:t>
      </w:r>
    </w:p>
    <w:p w14:paraId="04B43C3F" w14:textId="77777777" w:rsidR="002828D3" w:rsidRPr="002828D3" w:rsidRDefault="002828D3" w:rsidP="002828D3">
      <w:pPr>
        <w:pStyle w:val="ListParagraph"/>
        <w:numPr>
          <w:ilvl w:val="0"/>
          <w:numId w:val="2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2828D3">
        <w:rPr>
          <w:rFonts w:ascii="Times New Roman" w:eastAsia="Times New Roman" w:hAnsi="Times New Roman" w:cs="Times New Roman"/>
          <w:color w:val="1F1F1F"/>
          <w:kern w:val="0"/>
          <w:sz w:val="24"/>
          <w:szCs w:val="24"/>
          <w14:ligatures w14:val="none"/>
        </w:rPr>
        <w:t>Financial risk: Higher levels of debt also enhance the firm's exposure to financial risk since they make it more difficult for the company to repay both the principle and the interest on its debt. It is possible that this may result in a fall in credit rating as well as difficulties in obtaining funds in the future.</w:t>
      </w:r>
    </w:p>
    <w:p w14:paraId="23165869" w14:textId="4CE3DF31" w:rsidR="002828D3" w:rsidRPr="003A377C" w:rsidRDefault="002828D3" w:rsidP="005C33DD">
      <w:pPr>
        <w:pStyle w:val="ListParagraph"/>
        <w:numPr>
          <w:ilvl w:val="0"/>
          <w:numId w:val="2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2828D3">
        <w:rPr>
          <w:rFonts w:ascii="Times New Roman" w:eastAsia="Times New Roman" w:hAnsi="Times New Roman" w:cs="Times New Roman"/>
          <w:color w:val="1F1F1F"/>
          <w:kern w:val="0"/>
          <w:sz w:val="24"/>
          <w:szCs w:val="24"/>
          <w14:ligatures w14:val="none"/>
        </w:rPr>
        <w:t>Tax Shield: According to Brealey and Myers (2000), a company's profitability may grow if it is able to take tax deductions for the interest payments on loans.</w:t>
      </w:r>
    </w:p>
    <w:p w14:paraId="700AEF2E" w14:textId="4C779830" w:rsidR="005C33DD" w:rsidRPr="005C33DD" w:rsidRDefault="005C33DD" w:rsidP="005C33DD">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5C33DD">
        <w:rPr>
          <w:rFonts w:ascii="Times New Roman" w:eastAsia="Times New Roman" w:hAnsi="Times New Roman" w:cs="Times New Roman"/>
          <w:b/>
          <w:bCs/>
          <w:color w:val="1F1F1F"/>
          <w:kern w:val="0"/>
          <w:sz w:val="24"/>
          <w:szCs w:val="24"/>
          <w14:ligatures w14:val="none"/>
        </w:rPr>
        <w:t>Walmart's Capital Structure:</w:t>
      </w:r>
    </w:p>
    <w:p w14:paraId="7D840C76" w14:textId="1A1A4577" w:rsidR="002828D3" w:rsidRPr="002828D3" w:rsidRDefault="002828D3" w:rsidP="002828D3">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2828D3">
        <w:rPr>
          <w:rFonts w:ascii="Times New Roman" w:eastAsia="Times New Roman" w:hAnsi="Times New Roman" w:cs="Times New Roman"/>
          <w:color w:val="1F1F1F"/>
          <w:kern w:val="0"/>
          <w:sz w:val="24"/>
          <w:szCs w:val="24"/>
          <w14:ligatures w14:val="none"/>
        </w:rPr>
        <w:t>A Higher Debt-to-Equity Ratio: Throughout its history, Walmart has continuously maintained a debt-to-equity ratio that is higher than that of many of its retail rivals (Walmart, n.d.).</w:t>
      </w:r>
    </w:p>
    <w:p w14:paraId="3EDD79B0" w14:textId="695BB037" w:rsidR="005C33DD" w:rsidRPr="005C33DD" w:rsidRDefault="005C33DD" w:rsidP="005C33DD">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5C33DD">
        <w:rPr>
          <w:rFonts w:ascii="Times New Roman" w:eastAsia="Times New Roman" w:hAnsi="Times New Roman" w:cs="Times New Roman"/>
          <w:b/>
          <w:bCs/>
          <w:color w:val="1F1F1F"/>
          <w:kern w:val="0"/>
          <w:sz w:val="24"/>
          <w:szCs w:val="24"/>
          <w14:ligatures w14:val="none"/>
        </w:rPr>
        <w:t>Analysis:</w:t>
      </w:r>
    </w:p>
    <w:p w14:paraId="160759FC" w14:textId="77777777" w:rsidR="002828D3" w:rsidRPr="002828D3" w:rsidRDefault="002828D3" w:rsidP="002828D3">
      <w:pPr>
        <w:jc w:val="both"/>
        <w:rPr>
          <w:rFonts w:ascii="Times New Roman" w:hAnsi="Times New Roman" w:cs="Times New Roman"/>
          <w:sz w:val="24"/>
          <w:szCs w:val="24"/>
        </w:rPr>
      </w:pPr>
      <w:r w:rsidRPr="002828D3">
        <w:rPr>
          <w:rFonts w:ascii="Times New Roman" w:hAnsi="Times New Roman" w:cs="Times New Roman"/>
          <w:sz w:val="24"/>
          <w:szCs w:val="24"/>
        </w:rPr>
        <w:t>Walmart may be proactively leveraging debt in order to enhance its financial position and maybe boost shareholder returns if the return on equity is higher than the interest rate on debt. This is one of the potential benefits.</w:t>
      </w:r>
    </w:p>
    <w:p w14:paraId="23ED55C1" w14:textId="56C974EB" w:rsidR="005C33DD" w:rsidRPr="002828D3" w:rsidRDefault="002828D3" w:rsidP="002828D3">
      <w:pPr>
        <w:jc w:val="both"/>
        <w:rPr>
          <w:rFonts w:ascii="Times New Roman" w:hAnsi="Times New Roman" w:cs="Times New Roman"/>
          <w:sz w:val="24"/>
          <w:szCs w:val="24"/>
        </w:rPr>
      </w:pPr>
      <w:r w:rsidRPr="002828D3">
        <w:rPr>
          <w:rFonts w:ascii="Times New Roman" w:hAnsi="Times New Roman" w:cs="Times New Roman"/>
          <w:sz w:val="24"/>
          <w:szCs w:val="24"/>
        </w:rPr>
        <w:t>As a consequence of its higher debt burdens, Walmart may be more susceptible to financial crises or an increase in interest rates. This might be potentially detrimental to the company.</w:t>
      </w:r>
    </w:p>
    <w:p w14:paraId="2B61EC6F" w14:textId="77777777" w:rsidR="002F0568" w:rsidRDefault="002F0568" w:rsidP="005C33DD"/>
    <w:p w14:paraId="4449B530" w14:textId="171D1F6D" w:rsidR="002F0568" w:rsidRPr="003A377C" w:rsidRDefault="002F0568" w:rsidP="003A377C">
      <w:pPr>
        <w:pStyle w:val="Heading2"/>
        <w:rPr>
          <w:color w:val="4472C4" w:themeColor="accent1"/>
          <w:sz w:val="32"/>
          <w:szCs w:val="32"/>
        </w:rPr>
      </w:pPr>
      <w:bookmarkStart w:id="27" w:name="_Toc164827476"/>
      <w:r w:rsidRPr="003A377C">
        <w:rPr>
          <w:color w:val="4472C4" w:themeColor="accent1"/>
          <w:sz w:val="32"/>
          <w:szCs w:val="32"/>
        </w:rPr>
        <w:t>Average annual share return</w:t>
      </w:r>
      <w:bookmarkEnd w:id="27"/>
    </w:p>
    <w:tbl>
      <w:tblPr>
        <w:tblStyle w:val="GridTable1Light"/>
        <w:tblW w:w="3269" w:type="dxa"/>
        <w:jc w:val="center"/>
        <w:tblLook w:val="04A0" w:firstRow="1" w:lastRow="0" w:firstColumn="1" w:lastColumn="0" w:noHBand="0" w:noVBand="1"/>
      </w:tblPr>
      <w:tblGrid>
        <w:gridCol w:w="2266"/>
        <w:gridCol w:w="1003"/>
      </w:tblGrid>
      <w:tr w:rsidR="00265893" w:rsidRPr="00265893" w14:paraId="6AE7962D" w14:textId="77777777" w:rsidTr="00265893">
        <w:trPr>
          <w:cnfStyle w:val="100000000000" w:firstRow="1" w:lastRow="0" w:firstColumn="0" w:lastColumn="0" w:oddVBand="0" w:evenVBand="0" w:oddHBand="0" w:evenHBand="0" w:firstRowFirstColumn="0" w:firstRowLastColumn="0" w:lastRowFirstColumn="0" w:lastRowLastColumn="0"/>
          <w:trHeight w:val="433"/>
          <w:jc w:val="center"/>
        </w:trPr>
        <w:tc>
          <w:tcPr>
            <w:cnfStyle w:val="001000000000" w:firstRow="0" w:lastRow="0" w:firstColumn="1" w:lastColumn="0" w:oddVBand="0" w:evenVBand="0" w:oddHBand="0" w:evenHBand="0" w:firstRowFirstColumn="0" w:firstRowLastColumn="0" w:lastRowFirstColumn="0" w:lastRowLastColumn="0"/>
            <w:tcW w:w="2266" w:type="dxa"/>
            <w:noWrap/>
            <w:hideMark/>
          </w:tcPr>
          <w:p w14:paraId="6BC7AFF3" w14:textId="77777777" w:rsidR="00265893" w:rsidRPr="00265893" w:rsidRDefault="00265893" w:rsidP="00265893">
            <w:pPr>
              <w:rPr>
                <w:rFonts w:ascii="Times New Roman" w:eastAsia="Times New Roman" w:hAnsi="Times New Roman" w:cs="Times New Roman"/>
                <w:color w:val="000000"/>
                <w:kern w:val="0"/>
                <w:sz w:val="24"/>
                <w:szCs w:val="24"/>
                <w14:ligatures w14:val="none"/>
              </w:rPr>
            </w:pPr>
            <w:r w:rsidRPr="00265893">
              <w:rPr>
                <w:rFonts w:ascii="Times New Roman" w:eastAsia="Times New Roman" w:hAnsi="Times New Roman" w:cs="Times New Roman"/>
                <w:color w:val="000000"/>
                <w:kern w:val="0"/>
                <w:sz w:val="24"/>
                <w:szCs w:val="24"/>
                <w14:ligatures w14:val="none"/>
              </w:rPr>
              <w:t>Average return</w:t>
            </w:r>
          </w:p>
        </w:tc>
        <w:tc>
          <w:tcPr>
            <w:tcW w:w="1003" w:type="dxa"/>
            <w:noWrap/>
            <w:hideMark/>
          </w:tcPr>
          <w:p w14:paraId="66B5E38D" w14:textId="77777777" w:rsidR="00265893" w:rsidRPr="00265893" w:rsidRDefault="00265893" w:rsidP="00265893">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265893">
              <w:rPr>
                <w:rFonts w:ascii="Times New Roman" w:eastAsia="Times New Roman" w:hAnsi="Times New Roman" w:cs="Times New Roman"/>
                <w:color w:val="000000"/>
                <w:kern w:val="0"/>
                <w:sz w:val="24"/>
                <w:szCs w:val="24"/>
                <w14:ligatures w14:val="none"/>
              </w:rPr>
              <w:t>1%</w:t>
            </w:r>
          </w:p>
        </w:tc>
      </w:tr>
      <w:tr w:rsidR="00265893" w:rsidRPr="00265893" w14:paraId="36ADF7A6" w14:textId="77777777" w:rsidTr="00265893">
        <w:trPr>
          <w:trHeight w:val="433"/>
          <w:jc w:val="center"/>
        </w:trPr>
        <w:tc>
          <w:tcPr>
            <w:cnfStyle w:val="001000000000" w:firstRow="0" w:lastRow="0" w:firstColumn="1" w:lastColumn="0" w:oddVBand="0" w:evenVBand="0" w:oddHBand="0" w:evenHBand="0" w:firstRowFirstColumn="0" w:firstRowLastColumn="0" w:lastRowFirstColumn="0" w:lastRowLastColumn="0"/>
            <w:tcW w:w="2266" w:type="dxa"/>
            <w:noWrap/>
            <w:hideMark/>
          </w:tcPr>
          <w:p w14:paraId="51792326" w14:textId="77777777" w:rsidR="00265893" w:rsidRPr="00265893" w:rsidRDefault="00265893" w:rsidP="00265893">
            <w:pPr>
              <w:rPr>
                <w:rFonts w:ascii="Times New Roman" w:eastAsia="Times New Roman" w:hAnsi="Times New Roman" w:cs="Times New Roman"/>
                <w:b w:val="0"/>
                <w:bCs w:val="0"/>
                <w:color w:val="000000"/>
                <w:kern w:val="0"/>
                <w:sz w:val="24"/>
                <w:szCs w:val="24"/>
                <w14:ligatures w14:val="none"/>
              </w:rPr>
            </w:pPr>
            <w:r w:rsidRPr="00265893">
              <w:rPr>
                <w:rFonts w:ascii="Times New Roman" w:eastAsia="Times New Roman" w:hAnsi="Times New Roman" w:cs="Times New Roman"/>
                <w:b w:val="0"/>
                <w:bCs w:val="0"/>
                <w:color w:val="000000"/>
                <w:kern w:val="0"/>
                <w:sz w:val="24"/>
                <w:szCs w:val="24"/>
                <w14:ligatures w14:val="none"/>
              </w:rPr>
              <w:t>St. Dev</w:t>
            </w:r>
          </w:p>
        </w:tc>
        <w:tc>
          <w:tcPr>
            <w:tcW w:w="1003" w:type="dxa"/>
            <w:noWrap/>
            <w:hideMark/>
          </w:tcPr>
          <w:p w14:paraId="2F464ABD" w14:textId="77777777" w:rsidR="00265893" w:rsidRPr="00265893" w:rsidRDefault="00265893" w:rsidP="00265893">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265893">
              <w:rPr>
                <w:rFonts w:ascii="Times New Roman" w:eastAsia="Times New Roman" w:hAnsi="Times New Roman" w:cs="Times New Roman"/>
                <w:color w:val="000000"/>
                <w:kern w:val="0"/>
                <w:sz w:val="24"/>
                <w:szCs w:val="24"/>
                <w14:ligatures w14:val="none"/>
              </w:rPr>
              <w:t>5%</w:t>
            </w:r>
          </w:p>
        </w:tc>
      </w:tr>
      <w:tr w:rsidR="00265893" w:rsidRPr="00265893" w14:paraId="687BF641" w14:textId="77777777" w:rsidTr="00265893">
        <w:trPr>
          <w:trHeight w:val="433"/>
          <w:jc w:val="center"/>
        </w:trPr>
        <w:tc>
          <w:tcPr>
            <w:cnfStyle w:val="001000000000" w:firstRow="0" w:lastRow="0" w:firstColumn="1" w:lastColumn="0" w:oddVBand="0" w:evenVBand="0" w:oddHBand="0" w:evenHBand="0" w:firstRowFirstColumn="0" w:firstRowLastColumn="0" w:lastRowFirstColumn="0" w:lastRowLastColumn="0"/>
            <w:tcW w:w="2266" w:type="dxa"/>
            <w:noWrap/>
            <w:hideMark/>
          </w:tcPr>
          <w:p w14:paraId="4B025D9E" w14:textId="77777777" w:rsidR="00265893" w:rsidRPr="00265893" w:rsidRDefault="00265893" w:rsidP="00265893">
            <w:pPr>
              <w:rPr>
                <w:rFonts w:ascii="Times New Roman" w:eastAsia="Times New Roman" w:hAnsi="Times New Roman" w:cs="Times New Roman"/>
                <w:b w:val="0"/>
                <w:bCs w:val="0"/>
                <w:color w:val="000000"/>
                <w:kern w:val="0"/>
                <w:sz w:val="24"/>
                <w:szCs w:val="24"/>
                <w14:ligatures w14:val="none"/>
              </w:rPr>
            </w:pPr>
            <w:r w:rsidRPr="00265893">
              <w:rPr>
                <w:rFonts w:ascii="Times New Roman" w:eastAsia="Times New Roman" w:hAnsi="Times New Roman" w:cs="Times New Roman"/>
                <w:b w:val="0"/>
                <w:bCs w:val="0"/>
                <w:color w:val="000000"/>
                <w:kern w:val="0"/>
                <w:sz w:val="24"/>
                <w:szCs w:val="24"/>
                <w14:ligatures w14:val="none"/>
              </w:rPr>
              <w:t>Variance</w:t>
            </w:r>
          </w:p>
        </w:tc>
        <w:tc>
          <w:tcPr>
            <w:tcW w:w="1003" w:type="dxa"/>
            <w:noWrap/>
            <w:hideMark/>
          </w:tcPr>
          <w:p w14:paraId="34CE46B9" w14:textId="77777777" w:rsidR="00265893" w:rsidRPr="00265893" w:rsidRDefault="00265893" w:rsidP="00265893">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sz w:val="24"/>
                <w:szCs w:val="24"/>
                <w14:ligatures w14:val="none"/>
              </w:rPr>
            </w:pPr>
            <w:r w:rsidRPr="00265893">
              <w:rPr>
                <w:rFonts w:ascii="Times New Roman" w:eastAsia="Times New Roman" w:hAnsi="Times New Roman" w:cs="Times New Roman"/>
                <w:color w:val="000000"/>
                <w:kern w:val="0"/>
                <w:sz w:val="24"/>
                <w:szCs w:val="24"/>
                <w14:ligatures w14:val="none"/>
              </w:rPr>
              <w:t>0%</w:t>
            </w:r>
          </w:p>
        </w:tc>
      </w:tr>
    </w:tbl>
    <w:p w14:paraId="2B6459E6" w14:textId="4D156AA8" w:rsidR="00265893" w:rsidRDefault="00825966" w:rsidP="00825966">
      <w:pPr>
        <w:pStyle w:val="Caption"/>
      </w:pPr>
      <w:bookmarkStart w:id="28" w:name="_Toc164827356"/>
      <w:r>
        <w:t xml:space="preserve">Table </w:t>
      </w:r>
      <w:r>
        <w:fldChar w:fldCharType="begin"/>
      </w:r>
      <w:r>
        <w:instrText xml:space="preserve"> SEQ Table \* ARABIC </w:instrText>
      </w:r>
      <w:r>
        <w:fldChar w:fldCharType="separate"/>
      </w:r>
      <w:r>
        <w:rPr>
          <w:noProof/>
        </w:rPr>
        <w:t>7</w:t>
      </w:r>
      <w:r>
        <w:fldChar w:fldCharType="end"/>
      </w:r>
      <w:r>
        <w:t>: Average annual share return of Walmart</w:t>
      </w:r>
      <w:bookmarkEnd w:id="28"/>
    </w:p>
    <w:p w14:paraId="7532E47B" w14:textId="018FC418" w:rsidR="005345A5" w:rsidRDefault="00E54D04" w:rsidP="00E54D04">
      <w:pPr>
        <w:jc w:val="center"/>
      </w:pPr>
      <w:r>
        <w:rPr>
          <w:noProof/>
        </w:rPr>
        <w:lastRenderedPageBreak/>
        <w:drawing>
          <wp:inline distT="0" distB="0" distL="0" distR="0" wp14:anchorId="036276D5" wp14:editId="73758000">
            <wp:extent cx="4572000" cy="2743200"/>
            <wp:effectExtent l="0" t="0" r="0" b="0"/>
            <wp:docPr id="752774779" name="Chart 1">
              <a:extLst xmlns:a="http://schemas.openxmlformats.org/drawingml/2006/main">
                <a:ext uri="{FF2B5EF4-FFF2-40B4-BE49-F238E27FC236}">
                  <a16:creationId xmlns:a16="http://schemas.microsoft.com/office/drawing/2014/main" id="{1F499BA0-01C0-C145-6507-3F3A3C3D3C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02E48D9" w14:textId="64387458" w:rsidR="00DB7F06" w:rsidRPr="00DB7F06" w:rsidRDefault="00DB7F06" w:rsidP="00E54D04">
      <w:pPr>
        <w:jc w:val="center"/>
        <w:rPr>
          <w:rFonts w:ascii="Times New Roman" w:hAnsi="Times New Roman" w:cs="Times New Roman"/>
          <w:sz w:val="24"/>
          <w:szCs w:val="24"/>
        </w:rPr>
      </w:pPr>
      <w:r w:rsidRPr="00DB7F06">
        <w:rPr>
          <w:rFonts w:ascii="Times New Roman" w:hAnsi="Times New Roman" w:cs="Times New Roman"/>
          <w:sz w:val="24"/>
          <w:szCs w:val="24"/>
        </w:rPr>
        <w:t>Graph 6: Average Annual Return</w:t>
      </w:r>
    </w:p>
    <w:p w14:paraId="3C276A90" w14:textId="79870975" w:rsidR="00DB7F06" w:rsidRPr="00DB7F06" w:rsidRDefault="00DB7F06" w:rsidP="00E54D04">
      <w:pPr>
        <w:jc w:val="center"/>
        <w:rPr>
          <w:rFonts w:ascii="Times New Roman" w:hAnsi="Times New Roman" w:cs="Times New Roman"/>
          <w:sz w:val="24"/>
          <w:szCs w:val="24"/>
        </w:rPr>
      </w:pPr>
      <w:r w:rsidRPr="00DB7F06">
        <w:rPr>
          <w:rFonts w:ascii="Times New Roman" w:hAnsi="Times New Roman" w:cs="Times New Roman"/>
          <w:sz w:val="24"/>
          <w:szCs w:val="24"/>
        </w:rPr>
        <w:t>Source: Self-generated</w:t>
      </w:r>
    </w:p>
    <w:p w14:paraId="5F496B9F" w14:textId="77777777" w:rsidR="00E54D04" w:rsidRDefault="00E54D04" w:rsidP="00E54D04">
      <w:pPr>
        <w:rPr>
          <w:rFonts w:ascii="Arial" w:hAnsi="Arial" w:cs="Arial"/>
          <w:color w:val="1F1F1F"/>
          <w:shd w:val="clear" w:color="auto" w:fill="FFFFFF"/>
        </w:rPr>
      </w:pPr>
    </w:p>
    <w:p w14:paraId="4691A2A2" w14:textId="17834092" w:rsidR="002828D3" w:rsidRPr="002828D3" w:rsidRDefault="002828D3" w:rsidP="002828D3">
      <w:pPr>
        <w:jc w:val="both"/>
        <w:rPr>
          <w:rFonts w:ascii="Times New Roman" w:hAnsi="Times New Roman" w:cs="Times New Roman"/>
          <w:sz w:val="24"/>
          <w:szCs w:val="24"/>
        </w:rPr>
      </w:pPr>
      <w:r w:rsidRPr="002828D3">
        <w:rPr>
          <w:rFonts w:ascii="Times New Roman" w:hAnsi="Times New Roman" w:cs="Times New Roman"/>
          <w:sz w:val="24"/>
          <w:szCs w:val="24"/>
        </w:rPr>
        <w:t>It is possible that the graph will display the annualized rate of return that is typical for a particular investment throughout the course of the five years that span from 2019 to 2023. As a result, the average return for a whole year would be shown by each individual data point.</w:t>
      </w:r>
    </w:p>
    <w:p w14:paraId="5C18F61E" w14:textId="77777777" w:rsidR="002828D3" w:rsidRPr="002828D3" w:rsidRDefault="002828D3" w:rsidP="002828D3">
      <w:pPr>
        <w:jc w:val="both"/>
        <w:rPr>
          <w:rFonts w:ascii="Times New Roman" w:hAnsi="Times New Roman" w:cs="Times New Roman"/>
          <w:sz w:val="24"/>
          <w:szCs w:val="24"/>
        </w:rPr>
      </w:pPr>
      <w:r w:rsidRPr="002828D3">
        <w:rPr>
          <w:rFonts w:ascii="Times New Roman" w:hAnsi="Times New Roman" w:cs="Times New Roman"/>
          <w:sz w:val="24"/>
          <w:szCs w:val="24"/>
        </w:rPr>
        <w:t>In general, the trend seems to be positive, with the average return starting at a low point in 2019 and ending at a higher point in 2024. This indicates that the trend is likely to continue.</w:t>
      </w:r>
    </w:p>
    <w:p w14:paraId="4421B219" w14:textId="77777777" w:rsidR="00E54D04" w:rsidRDefault="00E54D04" w:rsidP="00E54D04"/>
    <w:p w14:paraId="1435E2F1" w14:textId="4FF95D9F" w:rsidR="00E54D04" w:rsidRPr="003A377C" w:rsidRDefault="00E54D04" w:rsidP="00E54D04">
      <w:pPr>
        <w:rPr>
          <w:b/>
          <w:bCs/>
          <w:color w:val="4472C4" w:themeColor="accent1"/>
          <w:sz w:val="32"/>
          <w:szCs w:val="32"/>
        </w:rPr>
      </w:pPr>
      <w:r w:rsidRPr="003A377C">
        <w:rPr>
          <w:b/>
          <w:bCs/>
          <w:color w:val="4472C4" w:themeColor="accent1"/>
          <w:sz w:val="32"/>
          <w:szCs w:val="32"/>
        </w:rPr>
        <w:t>PART C</w:t>
      </w:r>
    </w:p>
    <w:p w14:paraId="332FC5BE" w14:textId="778BA87E" w:rsidR="00E54D04" w:rsidRPr="003A377C" w:rsidRDefault="005929E1" w:rsidP="003A377C">
      <w:pPr>
        <w:pStyle w:val="Heading2"/>
        <w:rPr>
          <w:color w:val="4472C4" w:themeColor="accent1"/>
          <w:sz w:val="28"/>
          <w:szCs w:val="28"/>
        </w:rPr>
      </w:pPr>
      <w:bookmarkStart w:id="29" w:name="_Toc164827477"/>
      <w:r w:rsidRPr="003A377C">
        <w:rPr>
          <w:color w:val="4472C4" w:themeColor="accent1"/>
          <w:sz w:val="28"/>
          <w:szCs w:val="28"/>
        </w:rPr>
        <w:t>Largest investment activity of Walmart</w:t>
      </w:r>
      <w:bookmarkEnd w:id="29"/>
    </w:p>
    <w:p w14:paraId="556789E0" w14:textId="69FED5D9" w:rsidR="002828D3" w:rsidRPr="002828D3" w:rsidRDefault="002828D3" w:rsidP="002828D3">
      <w:pPr>
        <w:jc w:val="both"/>
        <w:rPr>
          <w:rFonts w:ascii="Times New Roman" w:hAnsi="Times New Roman" w:cs="Times New Roman"/>
          <w:sz w:val="24"/>
          <w:szCs w:val="24"/>
        </w:rPr>
      </w:pPr>
      <w:r w:rsidRPr="002828D3">
        <w:rPr>
          <w:rFonts w:ascii="Times New Roman" w:hAnsi="Times New Roman" w:cs="Times New Roman"/>
          <w:sz w:val="24"/>
          <w:szCs w:val="24"/>
        </w:rPr>
        <w:t>Walmart is now working on one of its most recent investment initiatives, which is a supply chain network that is of the next generation (Walmart, 2023).</w:t>
      </w:r>
    </w:p>
    <w:p w14:paraId="3ACD0031" w14:textId="0820C56A" w:rsidR="005929E1" w:rsidRPr="003A377C" w:rsidRDefault="002828D3" w:rsidP="003A377C">
      <w:pPr>
        <w:pStyle w:val="Heading3"/>
        <w:rPr>
          <w:b/>
          <w:bCs/>
          <w:sz w:val="28"/>
          <w:szCs w:val="28"/>
          <w:u w:val="single"/>
        </w:rPr>
      </w:pPr>
      <w:bookmarkStart w:id="30" w:name="_Toc164827478"/>
      <w:r w:rsidRPr="003A377C">
        <w:rPr>
          <w:b/>
          <w:bCs/>
          <w:sz w:val="28"/>
          <w:szCs w:val="28"/>
          <w:u w:val="single"/>
        </w:rPr>
        <w:t>P</w:t>
      </w:r>
      <w:r w:rsidR="005929E1" w:rsidRPr="003A377C">
        <w:rPr>
          <w:b/>
          <w:bCs/>
          <w:sz w:val="28"/>
          <w:szCs w:val="28"/>
          <w:u w:val="single"/>
        </w:rPr>
        <w:t>urpose</w:t>
      </w:r>
      <w:r w:rsidRPr="003A377C">
        <w:rPr>
          <w:b/>
          <w:bCs/>
          <w:sz w:val="28"/>
          <w:szCs w:val="28"/>
          <w:u w:val="single"/>
        </w:rPr>
        <w:t>:</w:t>
      </w:r>
      <w:bookmarkEnd w:id="30"/>
    </w:p>
    <w:p w14:paraId="296B3397" w14:textId="2CA3DD7F" w:rsidR="002828D3" w:rsidRPr="003A377C" w:rsidRDefault="002828D3" w:rsidP="002828D3">
      <w:pPr>
        <w:pStyle w:val="ListParagraph"/>
        <w:numPr>
          <w:ilvl w:val="0"/>
          <w:numId w:val="27"/>
        </w:numPr>
        <w:jc w:val="both"/>
        <w:rPr>
          <w:rFonts w:ascii="Times New Roman" w:hAnsi="Times New Roman" w:cs="Times New Roman"/>
          <w:sz w:val="24"/>
          <w:szCs w:val="24"/>
        </w:rPr>
      </w:pPr>
      <w:r w:rsidRPr="002917C9">
        <w:rPr>
          <w:rFonts w:ascii="Times New Roman" w:hAnsi="Times New Roman" w:cs="Times New Roman"/>
          <w:sz w:val="24"/>
          <w:szCs w:val="24"/>
        </w:rPr>
        <w:t>Strengthen the firm: Because of its personnel and its cutting-edge supply chain network, which includes stores, clubs, and fulfilling facilities, it is unrivalled in its industry.</w:t>
      </w:r>
    </w:p>
    <w:p w14:paraId="10A6ECA5" w14:textId="22CCAF9A" w:rsidR="002828D3" w:rsidRPr="002917C9" w:rsidRDefault="002828D3" w:rsidP="002917C9">
      <w:pPr>
        <w:pStyle w:val="ListParagraph"/>
        <w:numPr>
          <w:ilvl w:val="0"/>
          <w:numId w:val="27"/>
        </w:numPr>
        <w:jc w:val="both"/>
        <w:rPr>
          <w:rFonts w:ascii="Times New Roman" w:hAnsi="Times New Roman" w:cs="Times New Roman"/>
          <w:sz w:val="24"/>
          <w:szCs w:val="24"/>
        </w:rPr>
      </w:pPr>
      <w:r w:rsidRPr="002917C9">
        <w:rPr>
          <w:rFonts w:ascii="Times New Roman" w:hAnsi="Times New Roman" w:cs="Times New Roman"/>
          <w:sz w:val="24"/>
          <w:szCs w:val="24"/>
        </w:rPr>
        <w:t>Drive prospects for future development on a global scale: By using its omnichannel ecosystem and high-value initiatives, the company should encourage the possibility of future worldwide development.</w:t>
      </w:r>
    </w:p>
    <w:p w14:paraId="42A684D7" w14:textId="56293534" w:rsidR="005929E1" w:rsidRPr="003A377C" w:rsidRDefault="002917C9" w:rsidP="003A377C">
      <w:pPr>
        <w:pStyle w:val="Heading3"/>
        <w:rPr>
          <w:b/>
          <w:bCs/>
          <w:u w:val="single"/>
        </w:rPr>
      </w:pPr>
      <w:bookmarkStart w:id="31" w:name="_Toc164827479"/>
      <w:r w:rsidRPr="003A377C">
        <w:rPr>
          <w:b/>
          <w:bCs/>
          <w:sz w:val="28"/>
          <w:szCs w:val="28"/>
          <w:u w:val="single"/>
        </w:rPr>
        <w:lastRenderedPageBreak/>
        <w:t>Aims:</w:t>
      </w:r>
      <w:bookmarkEnd w:id="31"/>
      <w:r w:rsidRPr="003A377C">
        <w:rPr>
          <w:b/>
          <w:bCs/>
          <w:u w:val="single"/>
        </w:rPr>
        <w:t xml:space="preserve"> </w:t>
      </w:r>
    </w:p>
    <w:p w14:paraId="60F64BFD" w14:textId="589A04C6" w:rsidR="002917C9" w:rsidRPr="002917C9" w:rsidRDefault="002917C9" w:rsidP="002917C9">
      <w:pPr>
        <w:pStyle w:val="ListParagraph"/>
        <w:numPr>
          <w:ilvl w:val="0"/>
          <w:numId w:val="28"/>
        </w:numPr>
        <w:jc w:val="both"/>
        <w:rPr>
          <w:rFonts w:ascii="Times New Roman" w:hAnsi="Times New Roman" w:cs="Times New Roman"/>
          <w:sz w:val="24"/>
          <w:szCs w:val="24"/>
        </w:rPr>
      </w:pPr>
      <w:r w:rsidRPr="002917C9">
        <w:rPr>
          <w:rFonts w:ascii="Times New Roman" w:hAnsi="Times New Roman" w:cs="Times New Roman"/>
          <w:sz w:val="24"/>
          <w:szCs w:val="24"/>
        </w:rPr>
        <w:t>Improve the in-store, pickup, and delivery experiences for customers by increasing the amount of inventory that is in stock, as well as the accuracy and flow of inventory.</w:t>
      </w:r>
    </w:p>
    <w:p w14:paraId="6807082A" w14:textId="5D0D0C34" w:rsidR="002917C9" w:rsidRPr="002917C9" w:rsidRDefault="002917C9" w:rsidP="002917C9">
      <w:pPr>
        <w:pStyle w:val="ListParagraph"/>
        <w:numPr>
          <w:ilvl w:val="0"/>
          <w:numId w:val="28"/>
        </w:numPr>
        <w:jc w:val="both"/>
        <w:rPr>
          <w:rFonts w:ascii="Times New Roman" w:hAnsi="Times New Roman" w:cs="Times New Roman"/>
          <w:sz w:val="24"/>
          <w:szCs w:val="24"/>
        </w:rPr>
      </w:pPr>
      <w:r w:rsidRPr="002917C9">
        <w:rPr>
          <w:rFonts w:ascii="Times New Roman" w:hAnsi="Times New Roman" w:cs="Times New Roman"/>
          <w:sz w:val="24"/>
          <w:szCs w:val="24"/>
        </w:rPr>
        <w:t>Automating processes and using cutting-edge technology may help increase production.</w:t>
      </w:r>
    </w:p>
    <w:p w14:paraId="241BE42B" w14:textId="0B7FE093" w:rsidR="002917C9" w:rsidRPr="002917C9" w:rsidRDefault="002917C9" w:rsidP="002917C9">
      <w:pPr>
        <w:pStyle w:val="ListParagraph"/>
        <w:numPr>
          <w:ilvl w:val="0"/>
          <w:numId w:val="28"/>
        </w:numPr>
        <w:jc w:val="both"/>
        <w:rPr>
          <w:rFonts w:ascii="Times New Roman" w:hAnsi="Times New Roman" w:cs="Times New Roman"/>
          <w:sz w:val="24"/>
          <w:szCs w:val="24"/>
        </w:rPr>
      </w:pPr>
      <w:r w:rsidRPr="002917C9">
        <w:rPr>
          <w:rFonts w:ascii="Times New Roman" w:hAnsi="Times New Roman" w:cs="Times New Roman"/>
          <w:sz w:val="24"/>
          <w:szCs w:val="24"/>
        </w:rPr>
        <w:t>A scalable system of supply chain capabilities may be constructed via the use of robotics, software, and data in order to provide a quicker response to the demands of consumers.</w:t>
      </w:r>
    </w:p>
    <w:p w14:paraId="1A1DF427" w14:textId="09BD5401" w:rsidR="005929E1" w:rsidRPr="003A377C" w:rsidRDefault="002917C9" w:rsidP="003A377C">
      <w:pPr>
        <w:pStyle w:val="Heading3"/>
        <w:rPr>
          <w:b/>
          <w:bCs/>
          <w:sz w:val="28"/>
          <w:szCs w:val="28"/>
          <w:u w:val="single"/>
        </w:rPr>
      </w:pPr>
      <w:bookmarkStart w:id="32" w:name="_Toc164827480"/>
      <w:r w:rsidRPr="003A377C">
        <w:rPr>
          <w:b/>
          <w:bCs/>
          <w:sz w:val="28"/>
          <w:szCs w:val="28"/>
          <w:u w:val="single"/>
        </w:rPr>
        <w:t>Expected outcomes:</w:t>
      </w:r>
      <w:bookmarkEnd w:id="32"/>
    </w:p>
    <w:p w14:paraId="7BCF6EBE" w14:textId="0C835D95" w:rsidR="002917C9" w:rsidRPr="002917C9" w:rsidRDefault="002917C9" w:rsidP="002917C9">
      <w:pPr>
        <w:pStyle w:val="ListParagraph"/>
        <w:numPr>
          <w:ilvl w:val="0"/>
          <w:numId w:val="29"/>
        </w:numPr>
        <w:jc w:val="both"/>
        <w:rPr>
          <w:rFonts w:ascii="Times New Roman" w:hAnsi="Times New Roman" w:cs="Times New Roman"/>
          <w:sz w:val="24"/>
          <w:szCs w:val="24"/>
        </w:rPr>
      </w:pPr>
      <w:r w:rsidRPr="002917C9">
        <w:rPr>
          <w:rFonts w:ascii="Times New Roman" w:hAnsi="Times New Roman" w:cs="Times New Roman"/>
          <w:sz w:val="24"/>
          <w:szCs w:val="24"/>
        </w:rPr>
        <w:t>Roles that require less physical exertion are more economically rewarding.</w:t>
      </w:r>
    </w:p>
    <w:p w14:paraId="6195BAD5" w14:textId="67B3E7C5" w:rsidR="002917C9" w:rsidRPr="002917C9" w:rsidRDefault="002917C9" w:rsidP="002917C9">
      <w:pPr>
        <w:pStyle w:val="ListParagraph"/>
        <w:numPr>
          <w:ilvl w:val="0"/>
          <w:numId w:val="29"/>
        </w:numPr>
        <w:jc w:val="both"/>
        <w:rPr>
          <w:rFonts w:ascii="Times New Roman" w:hAnsi="Times New Roman" w:cs="Times New Roman"/>
          <w:sz w:val="24"/>
          <w:szCs w:val="24"/>
        </w:rPr>
      </w:pPr>
      <w:r w:rsidRPr="002917C9">
        <w:rPr>
          <w:rFonts w:ascii="Times New Roman" w:hAnsi="Times New Roman" w:cs="Times New Roman"/>
          <w:sz w:val="24"/>
          <w:szCs w:val="24"/>
        </w:rPr>
        <w:t>Increased throughput per individual: This is a direct effect of automation, which allows for the maintenance or even expansion of the workforce when new roles are created.</w:t>
      </w:r>
    </w:p>
    <w:p w14:paraId="4666768B" w14:textId="50C88446" w:rsidR="001D4C15" w:rsidRDefault="002917C9" w:rsidP="002917C9">
      <w:pPr>
        <w:pStyle w:val="ListParagraph"/>
        <w:numPr>
          <w:ilvl w:val="0"/>
          <w:numId w:val="29"/>
        </w:numPr>
        <w:jc w:val="both"/>
        <w:rPr>
          <w:rFonts w:ascii="Times New Roman" w:hAnsi="Times New Roman" w:cs="Times New Roman"/>
          <w:sz w:val="24"/>
          <w:szCs w:val="24"/>
        </w:rPr>
      </w:pPr>
      <w:r w:rsidRPr="002917C9">
        <w:rPr>
          <w:rFonts w:ascii="Times New Roman" w:hAnsi="Times New Roman" w:cs="Times New Roman"/>
          <w:sz w:val="24"/>
          <w:szCs w:val="24"/>
        </w:rPr>
        <w:t>Improved unit cost averages: at the end of the fiscal year 2026, by about twenty percent (Walmart, 2023).</w:t>
      </w:r>
    </w:p>
    <w:p w14:paraId="5FAC81B7" w14:textId="77777777" w:rsidR="003A377C" w:rsidRPr="002917C9" w:rsidRDefault="003A377C" w:rsidP="003A377C">
      <w:pPr>
        <w:pStyle w:val="ListParagraph"/>
        <w:jc w:val="both"/>
        <w:rPr>
          <w:rFonts w:ascii="Times New Roman" w:hAnsi="Times New Roman" w:cs="Times New Roman"/>
          <w:sz w:val="24"/>
          <w:szCs w:val="24"/>
        </w:rPr>
      </w:pPr>
    </w:p>
    <w:p w14:paraId="11905E6F" w14:textId="3F714A6E" w:rsidR="002917C9" w:rsidRPr="003A377C" w:rsidRDefault="003A377C" w:rsidP="003A377C">
      <w:pPr>
        <w:pStyle w:val="Heading2"/>
        <w:rPr>
          <w:color w:val="4472C4" w:themeColor="accent1"/>
          <w:sz w:val="28"/>
          <w:szCs w:val="28"/>
        </w:rPr>
      </w:pPr>
      <w:bookmarkStart w:id="33" w:name="_Toc164827481"/>
      <w:r w:rsidRPr="003A377C">
        <w:rPr>
          <w:color w:val="4472C4" w:themeColor="accent1"/>
          <w:sz w:val="28"/>
          <w:szCs w:val="28"/>
        </w:rPr>
        <w:t>S</w:t>
      </w:r>
      <w:r w:rsidR="001D4C15" w:rsidRPr="003A377C">
        <w:rPr>
          <w:color w:val="4472C4" w:themeColor="accent1"/>
          <w:sz w:val="28"/>
          <w:szCs w:val="28"/>
        </w:rPr>
        <w:t xml:space="preserve">ize of the </w:t>
      </w:r>
      <w:r w:rsidRPr="003A377C">
        <w:rPr>
          <w:color w:val="4472C4" w:themeColor="accent1"/>
          <w:sz w:val="28"/>
          <w:szCs w:val="28"/>
        </w:rPr>
        <w:t>investment and Financing</w:t>
      </w:r>
      <w:bookmarkEnd w:id="33"/>
    </w:p>
    <w:p w14:paraId="2B82AA24" w14:textId="3EC4DE76" w:rsidR="002917C9" w:rsidRPr="002917C9" w:rsidRDefault="002917C9" w:rsidP="002917C9">
      <w:pPr>
        <w:jc w:val="both"/>
        <w:rPr>
          <w:rFonts w:ascii="Times New Roman" w:hAnsi="Times New Roman" w:cs="Times New Roman"/>
          <w:sz w:val="24"/>
          <w:szCs w:val="24"/>
        </w:rPr>
      </w:pPr>
      <w:r w:rsidRPr="002917C9">
        <w:rPr>
          <w:rFonts w:ascii="Times New Roman" w:hAnsi="Times New Roman" w:cs="Times New Roman"/>
          <w:sz w:val="24"/>
          <w:szCs w:val="24"/>
        </w:rPr>
        <w:t>There is no information available to the general public on the specific amount of money that Walmart has put in its supply chain network of the next generation. The company has not disclosed any specific financial commitment information on this endeavor to the general public.</w:t>
      </w:r>
    </w:p>
    <w:p w14:paraId="45AD02A5" w14:textId="05EAFFA3" w:rsidR="002917C9" w:rsidRPr="002917C9" w:rsidRDefault="002917C9" w:rsidP="002917C9">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2917C9">
        <w:rPr>
          <w:rFonts w:ascii="Times New Roman" w:eastAsia="Times New Roman" w:hAnsi="Times New Roman" w:cs="Times New Roman"/>
          <w:color w:val="1F1F1F"/>
          <w:kern w:val="0"/>
          <w:sz w:val="24"/>
          <w:szCs w:val="24"/>
          <w14:ligatures w14:val="none"/>
        </w:rPr>
        <w:t>In 2022, Walmart said that it intends to construct brand-new distribution hubs that are equipped with cutting-edge technology in both Mexico and Canada (Sodkiewicz, 2022). These facilities are investments in infrastructure that are intended to boost productivity from the workforce.</w:t>
      </w:r>
    </w:p>
    <w:p w14:paraId="66A21563" w14:textId="77777777" w:rsidR="002917C9" w:rsidRDefault="002917C9" w:rsidP="002917C9">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2917C9">
        <w:rPr>
          <w:rFonts w:ascii="Times New Roman" w:eastAsia="Times New Roman" w:hAnsi="Times New Roman" w:cs="Times New Roman"/>
          <w:color w:val="1F1F1F"/>
          <w:kern w:val="0"/>
          <w:sz w:val="24"/>
          <w:szCs w:val="24"/>
          <w14:ligatures w14:val="none"/>
        </w:rPr>
        <w:t>Additionally, Walmart is investing money in the improvement of the technology and automation of its fulfilment facilities. It's possible that artificial intelligence and robotics will be utilized in this to speed up the delivery of items.</w:t>
      </w:r>
    </w:p>
    <w:p w14:paraId="1AE98081" w14:textId="7E92F3DB" w:rsidR="001D4C15" w:rsidRPr="002917C9" w:rsidRDefault="002917C9" w:rsidP="002917C9">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2917C9">
        <w:rPr>
          <w:rFonts w:ascii="Times New Roman" w:hAnsi="Times New Roman" w:cs="Times New Roman"/>
          <w:sz w:val="24"/>
          <w:szCs w:val="24"/>
        </w:rPr>
        <w:t>In spite of the fact that a particular amount is not readily available, these examples demonstrate that Walmart has made significant investments in its next-generation supply chain via a variety of ongoing projects.</w:t>
      </w:r>
    </w:p>
    <w:p w14:paraId="71679473" w14:textId="77777777" w:rsidR="009A7D25" w:rsidRDefault="009A7D25" w:rsidP="001D4C15"/>
    <w:p w14:paraId="4D8A40B7" w14:textId="77777777" w:rsidR="009A7D25" w:rsidRPr="003A377C" w:rsidRDefault="009A7D25" w:rsidP="003A377C">
      <w:pPr>
        <w:pStyle w:val="Heading2"/>
        <w:rPr>
          <w:color w:val="4472C4" w:themeColor="accent1"/>
          <w:sz w:val="32"/>
          <w:szCs w:val="32"/>
        </w:rPr>
      </w:pPr>
      <w:bookmarkStart w:id="34" w:name="_Toc164827482"/>
      <w:r w:rsidRPr="003A377C">
        <w:rPr>
          <w:color w:val="4472C4" w:themeColor="accent1"/>
          <w:sz w:val="32"/>
          <w:szCs w:val="32"/>
        </w:rPr>
        <w:t>Feasibility of Walmart's Next-Generation Supply Chain Investment</w:t>
      </w:r>
      <w:bookmarkEnd w:id="34"/>
    </w:p>
    <w:p w14:paraId="5CE7110E" w14:textId="351AAA78" w:rsidR="002917C9" w:rsidRPr="002917C9" w:rsidRDefault="002917C9" w:rsidP="002917C9">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2917C9">
        <w:rPr>
          <w:rFonts w:ascii="Times New Roman" w:eastAsia="Times New Roman" w:hAnsi="Times New Roman" w:cs="Times New Roman"/>
          <w:color w:val="1F1F1F"/>
          <w:kern w:val="0"/>
          <w:sz w:val="24"/>
          <w:szCs w:val="24"/>
          <w14:ligatures w14:val="none"/>
        </w:rPr>
        <w:t>It has been highlighted by Walmart (2024) that investing in its supply chain network of the future generation is a realistic choice that has the promise of major gains. According to the degree to which it satisfies the requirements that the firm is now facing, the viability may be broken down as follows:</w:t>
      </w:r>
    </w:p>
    <w:p w14:paraId="28A26A2A" w14:textId="3C567C30" w:rsidR="009A7D25" w:rsidRPr="009A7D25" w:rsidRDefault="009A7D25" w:rsidP="009A7D25">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9A7D25">
        <w:rPr>
          <w:rFonts w:ascii="Times New Roman" w:eastAsia="Times New Roman" w:hAnsi="Times New Roman" w:cs="Times New Roman"/>
          <w:b/>
          <w:bCs/>
          <w:color w:val="1F1F1F"/>
          <w:kern w:val="0"/>
          <w:sz w:val="24"/>
          <w:szCs w:val="24"/>
          <w14:ligatures w14:val="none"/>
        </w:rPr>
        <w:t>Alignment with Current Needs:</w:t>
      </w:r>
    </w:p>
    <w:p w14:paraId="3B31ECE3" w14:textId="12FBC8EC" w:rsidR="002917C9" w:rsidRPr="002917C9" w:rsidRDefault="002917C9" w:rsidP="002917C9">
      <w:pPr>
        <w:pStyle w:val="ListParagraph"/>
        <w:numPr>
          <w:ilvl w:val="0"/>
          <w:numId w:val="30"/>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2917C9">
        <w:rPr>
          <w:rFonts w:ascii="Times New Roman" w:eastAsia="Times New Roman" w:hAnsi="Times New Roman" w:cs="Times New Roman"/>
          <w:color w:val="1F1F1F"/>
          <w:kern w:val="0"/>
          <w:sz w:val="24"/>
          <w:szCs w:val="24"/>
          <w14:ligatures w14:val="none"/>
        </w:rPr>
        <w:lastRenderedPageBreak/>
        <w:t>The expansion of e-commerce: Walmart's online sales are growing at a rapid rate, which has resulted in the need for a fulfilment system that is both more efficient and capable of being expanded (Walmart, 2024). One of the primary objectives of the new network is to speed up the process of fulfilling online orders, which is absolutely necessary in order to compete with Amazon and other e-commerce giants.</w:t>
      </w:r>
    </w:p>
    <w:p w14:paraId="7EBA0654" w14:textId="6D2B5703" w:rsidR="002917C9" w:rsidRPr="002917C9" w:rsidRDefault="002917C9" w:rsidP="009A7D25">
      <w:pPr>
        <w:pStyle w:val="ListParagraph"/>
        <w:numPr>
          <w:ilvl w:val="0"/>
          <w:numId w:val="30"/>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2917C9">
        <w:rPr>
          <w:rFonts w:ascii="Times New Roman" w:eastAsia="Times New Roman" w:hAnsi="Times New Roman" w:cs="Times New Roman"/>
          <w:color w:val="1F1F1F"/>
          <w:kern w:val="0"/>
          <w:sz w:val="24"/>
          <w:szCs w:val="24"/>
          <w14:ligatures w14:val="none"/>
        </w:rPr>
        <w:t>Labor Shortages: Automation may assist simplify operations and reduce the demand for physical work in the retail industry, which is undergoing a significant labor crisis (Ferguson and Lucy, 2024). This presents an opportunity for automation to help alleviate the labor deficit.</w:t>
      </w:r>
    </w:p>
    <w:p w14:paraId="49D7B3DE" w14:textId="78F754B7" w:rsidR="002917C9" w:rsidRPr="003A377C" w:rsidRDefault="009A7D25" w:rsidP="002917C9">
      <w:pPr>
        <w:shd w:val="clear" w:color="auto" w:fill="FFFFFF"/>
        <w:spacing w:before="100" w:beforeAutospacing="1" w:after="100" w:afterAutospacing="1" w:line="240" w:lineRule="auto"/>
        <w:rPr>
          <w:rFonts w:ascii="Times New Roman" w:eastAsia="Times New Roman" w:hAnsi="Times New Roman" w:cs="Times New Roman"/>
          <w:kern w:val="0"/>
          <w:sz w:val="24"/>
          <w:szCs w:val="24"/>
          <w14:ligatures w14:val="none"/>
        </w:rPr>
      </w:pPr>
      <w:r w:rsidRPr="009A7D25">
        <w:rPr>
          <w:rFonts w:ascii="Times New Roman" w:eastAsia="Times New Roman" w:hAnsi="Times New Roman" w:cs="Times New Roman"/>
          <w:b/>
          <w:bCs/>
          <w:color w:val="1F1F1F"/>
          <w:kern w:val="0"/>
          <w:sz w:val="24"/>
          <w:szCs w:val="24"/>
          <w14:ligatures w14:val="none"/>
        </w:rPr>
        <w:t xml:space="preserve">Potential </w:t>
      </w:r>
      <w:r w:rsidR="003A377C">
        <w:rPr>
          <w:rFonts w:ascii="Times New Roman" w:eastAsia="Times New Roman" w:hAnsi="Times New Roman" w:cs="Times New Roman"/>
          <w:b/>
          <w:bCs/>
          <w:color w:val="1F1F1F"/>
          <w:kern w:val="0"/>
          <w:sz w:val="24"/>
          <w:szCs w:val="24"/>
          <w14:ligatures w14:val="none"/>
        </w:rPr>
        <w:t>Advantages</w:t>
      </w:r>
      <w:r w:rsidRPr="009A7D25">
        <w:rPr>
          <w:rFonts w:ascii="Times New Roman" w:eastAsia="Times New Roman" w:hAnsi="Times New Roman" w:cs="Times New Roman"/>
          <w:b/>
          <w:bCs/>
          <w:color w:val="1F1F1F"/>
          <w:kern w:val="0"/>
          <w:sz w:val="24"/>
          <w:szCs w:val="24"/>
          <w14:ligatures w14:val="none"/>
        </w:rPr>
        <w:t>:</w:t>
      </w:r>
      <w:r w:rsidR="002917C9" w:rsidRPr="003A377C">
        <w:rPr>
          <w:rFonts w:ascii="Times New Roman" w:eastAsia="Times New Roman" w:hAnsi="Times New Roman" w:cs="Times New Roman"/>
          <w:kern w:val="0"/>
          <w:sz w:val="24"/>
          <w:szCs w:val="24"/>
          <w14:ligatures w14:val="none"/>
        </w:rPr>
        <w:t xml:space="preserve"> </w:t>
      </w:r>
    </w:p>
    <w:p w14:paraId="3340E169" w14:textId="2F4D76EA" w:rsidR="002917C9" w:rsidRPr="002917C9" w:rsidRDefault="002917C9" w:rsidP="002917C9">
      <w:pPr>
        <w:pStyle w:val="ListParagraph"/>
        <w:numPr>
          <w:ilvl w:val="0"/>
          <w:numId w:val="31"/>
        </w:numPr>
        <w:shd w:val="clear" w:color="auto" w:fill="FFFFFF"/>
        <w:spacing w:before="100" w:beforeAutospacing="1" w:after="100" w:afterAutospacing="1" w:line="240" w:lineRule="auto"/>
        <w:jc w:val="both"/>
        <w:rPr>
          <w:rFonts w:ascii="Arial" w:eastAsia="Times New Roman" w:hAnsi="Arial" w:cs="Arial"/>
          <w:color w:val="1F1F1F"/>
          <w:kern w:val="0"/>
          <w:sz w:val="24"/>
          <w:szCs w:val="24"/>
          <w14:ligatures w14:val="none"/>
        </w:rPr>
      </w:pPr>
      <w:r w:rsidRPr="002917C9">
        <w:rPr>
          <w:rFonts w:ascii="Times New Roman" w:eastAsia="Times New Roman" w:hAnsi="Times New Roman" w:cs="Times New Roman"/>
          <w:kern w:val="0"/>
          <w:sz w:val="24"/>
          <w:szCs w:val="24"/>
          <w14:ligatures w14:val="none"/>
        </w:rPr>
        <w:t>Increased Productivity: Automation and improved supply chain architecture may help achieve an increase in product velocity, a reduction in the amount of time needed to fill orders, and a reduction in the amount of money spent on operations.</w:t>
      </w:r>
    </w:p>
    <w:p w14:paraId="56574C5D" w14:textId="76CAFCC3" w:rsidR="002917C9" w:rsidRPr="002917C9" w:rsidRDefault="002917C9" w:rsidP="002917C9">
      <w:pPr>
        <w:pStyle w:val="ListParagraph"/>
        <w:numPr>
          <w:ilvl w:val="0"/>
          <w:numId w:val="31"/>
        </w:numPr>
        <w:spacing w:after="240" w:line="240" w:lineRule="auto"/>
        <w:jc w:val="both"/>
        <w:rPr>
          <w:rFonts w:ascii="Times New Roman" w:eastAsia="Times New Roman" w:hAnsi="Times New Roman" w:cs="Times New Roman"/>
          <w:kern w:val="0"/>
          <w:sz w:val="24"/>
          <w:szCs w:val="24"/>
          <w14:ligatures w14:val="none"/>
        </w:rPr>
      </w:pPr>
      <w:r w:rsidRPr="002917C9">
        <w:rPr>
          <w:rFonts w:ascii="Times New Roman" w:eastAsia="Times New Roman" w:hAnsi="Times New Roman" w:cs="Times New Roman"/>
          <w:kern w:val="0"/>
          <w:sz w:val="24"/>
          <w:szCs w:val="24"/>
          <w14:ligatures w14:val="none"/>
        </w:rPr>
        <w:t>Improved Customer Experience: When delivery times are shortened and costs are lowered as a consequence of increased efficiency, there is a possibility that customer happiness and loyalty will increase.</w:t>
      </w:r>
    </w:p>
    <w:p w14:paraId="580EF52A" w14:textId="4E283163" w:rsidR="00333E60" w:rsidRPr="002917C9" w:rsidRDefault="002917C9" w:rsidP="002917C9">
      <w:pPr>
        <w:pStyle w:val="ListParagraph"/>
        <w:numPr>
          <w:ilvl w:val="0"/>
          <w:numId w:val="31"/>
        </w:numPr>
        <w:spacing w:after="240" w:line="240" w:lineRule="auto"/>
        <w:rPr>
          <w:rFonts w:ascii="Times New Roman" w:eastAsia="Times New Roman" w:hAnsi="Times New Roman" w:cs="Times New Roman"/>
          <w:kern w:val="0"/>
          <w:sz w:val="24"/>
          <w:szCs w:val="24"/>
          <w14:ligatures w14:val="none"/>
        </w:rPr>
      </w:pPr>
      <w:r w:rsidRPr="002917C9">
        <w:rPr>
          <w:rFonts w:ascii="Times New Roman" w:eastAsia="Times New Roman" w:hAnsi="Times New Roman" w:cs="Times New Roman"/>
          <w:kern w:val="0"/>
          <w:sz w:val="24"/>
          <w:szCs w:val="24"/>
          <w14:ligatures w14:val="none"/>
        </w:rPr>
        <w:t>Inventory Optimization: It is possible to enhance inventory management by boosting data analysis and automation, which in turn reduces the chance of stockouts and overstocking (Walmart, 2024). This is referred to as inventory optimization.</w:t>
      </w:r>
      <w:r w:rsidRPr="002917C9">
        <w:rPr>
          <w:rFonts w:ascii="Times New Roman" w:eastAsia="Times New Roman" w:hAnsi="Times New Roman" w:cs="Times New Roman"/>
          <w:kern w:val="0"/>
          <w:sz w:val="24"/>
          <w:szCs w:val="24"/>
          <w14:ligatures w14:val="none"/>
        </w:rPr>
        <w:br/>
      </w:r>
    </w:p>
    <w:p w14:paraId="4F24B7FF" w14:textId="77777777" w:rsidR="00333E60" w:rsidRPr="00333E60" w:rsidRDefault="00333E60" w:rsidP="00333E60">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333E60">
        <w:rPr>
          <w:rFonts w:ascii="Times New Roman" w:eastAsia="Times New Roman" w:hAnsi="Times New Roman" w:cs="Times New Roman"/>
          <w:b/>
          <w:bCs/>
          <w:color w:val="1F1F1F"/>
          <w:kern w:val="0"/>
          <w:sz w:val="24"/>
          <w:szCs w:val="24"/>
          <w14:ligatures w14:val="none"/>
        </w:rPr>
        <w:t>Challenges:</w:t>
      </w:r>
    </w:p>
    <w:p w14:paraId="4290F392" w14:textId="31649482" w:rsidR="002917C9" w:rsidRPr="002917C9" w:rsidRDefault="002917C9" w:rsidP="002917C9">
      <w:pPr>
        <w:pStyle w:val="ListParagraph"/>
        <w:numPr>
          <w:ilvl w:val="0"/>
          <w:numId w:val="32"/>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2917C9">
        <w:rPr>
          <w:rFonts w:ascii="Times New Roman" w:eastAsia="Times New Roman" w:hAnsi="Times New Roman" w:cs="Times New Roman"/>
          <w:color w:val="1F1F1F"/>
          <w:kern w:val="0"/>
          <w:sz w:val="24"/>
          <w:szCs w:val="24"/>
          <w14:ligatures w14:val="none"/>
        </w:rPr>
        <w:t>High Initial Expenses: The implementation of a supply chain that is of the next generation requires significant financial investments in the form of technology, automation, and maybe even new infrastructure. It is possible that initial costs may be considerable (Walmart, 2023a).</w:t>
      </w:r>
    </w:p>
    <w:p w14:paraId="0ED83BA2" w14:textId="19FE0EF8" w:rsidR="002917C9" w:rsidRPr="002917C9" w:rsidRDefault="002917C9" w:rsidP="002917C9">
      <w:pPr>
        <w:pStyle w:val="ListParagraph"/>
        <w:numPr>
          <w:ilvl w:val="0"/>
          <w:numId w:val="32"/>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2917C9">
        <w:rPr>
          <w:rFonts w:ascii="Times New Roman" w:eastAsia="Times New Roman" w:hAnsi="Times New Roman" w:cs="Times New Roman"/>
          <w:color w:val="1F1F1F"/>
          <w:kern w:val="0"/>
          <w:sz w:val="24"/>
          <w:szCs w:val="24"/>
          <w14:ligatures w14:val="none"/>
        </w:rPr>
        <w:t>Complexity of Integration: Considering the complexity of the integration process, it is possible that integrating new technologies and processes with existing systems may need a significant amount of time and effort. There may be challenges involved in ensuring that the network functions without interruption across the board (Walmart, 2023b).</w:t>
      </w:r>
    </w:p>
    <w:p w14:paraId="7D428A09" w14:textId="11E105D1" w:rsidR="00333E60" w:rsidRPr="003A377C" w:rsidRDefault="00333E60" w:rsidP="003A377C">
      <w:pPr>
        <w:pStyle w:val="Heading2"/>
        <w:rPr>
          <w:rFonts w:ascii="Arial" w:hAnsi="Arial" w:cs="Arial"/>
          <w:color w:val="4472C4" w:themeColor="accent1"/>
          <w:sz w:val="32"/>
          <w:szCs w:val="32"/>
        </w:rPr>
      </w:pPr>
      <w:bookmarkStart w:id="35" w:name="_Toc164827483"/>
      <w:r w:rsidRPr="003A377C">
        <w:rPr>
          <w:color w:val="4472C4" w:themeColor="accent1"/>
          <w:sz w:val="32"/>
          <w:szCs w:val="32"/>
        </w:rPr>
        <w:t>Current outcome of the investment</w:t>
      </w:r>
      <w:bookmarkEnd w:id="35"/>
    </w:p>
    <w:p w14:paraId="677292B8" w14:textId="362DDF78" w:rsidR="0044676F" w:rsidRPr="0044676F" w:rsidRDefault="0044676F" w:rsidP="0044676F">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4676F">
        <w:rPr>
          <w:rFonts w:ascii="Times New Roman" w:eastAsia="Times New Roman" w:hAnsi="Times New Roman" w:cs="Times New Roman"/>
          <w:color w:val="1F1F1F"/>
          <w:kern w:val="0"/>
          <w:sz w:val="24"/>
          <w:szCs w:val="24"/>
          <w14:ligatures w14:val="none"/>
        </w:rPr>
        <w:t>Due to the fact that Walmart's investment in the next-generation supply chain is an ongoing process, it is difficult to draw any definitive conclusions about the company's current performance. In spite of this, we are able to analyze its progress by taking into account the most recent reporting as well as announcements:</w:t>
      </w:r>
    </w:p>
    <w:p w14:paraId="4BED5744" w14:textId="197638ED" w:rsidR="00333E60" w:rsidRPr="00333E60" w:rsidRDefault="00333E60" w:rsidP="00333E60">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333E60">
        <w:rPr>
          <w:rFonts w:ascii="Times New Roman" w:eastAsia="Times New Roman" w:hAnsi="Times New Roman" w:cs="Times New Roman"/>
          <w:b/>
          <w:bCs/>
          <w:color w:val="1F1F1F"/>
          <w:kern w:val="0"/>
          <w:sz w:val="24"/>
          <w:szCs w:val="24"/>
          <w14:ligatures w14:val="none"/>
        </w:rPr>
        <w:t>Positive Developments:</w:t>
      </w:r>
    </w:p>
    <w:p w14:paraId="2181A85C" w14:textId="77777777" w:rsidR="0044676F" w:rsidRPr="0044676F" w:rsidRDefault="0044676F" w:rsidP="0044676F">
      <w:pPr>
        <w:pStyle w:val="ListParagraph"/>
        <w:numPr>
          <w:ilvl w:val="0"/>
          <w:numId w:val="33"/>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4676F">
        <w:rPr>
          <w:rFonts w:ascii="Times New Roman" w:eastAsia="Times New Roman" w:hAnsi="Times New Roman" w:cs="Times New Roman"/>
          <w:color w:val="1F1F1F"/>
          <w:kern w:val="0"/>
          <w:sz w:val="24"/>
          <w:szCs w:val="24"/>
          <w14:ligatures w14:val="none"/>
        </w:rPr>
        <w:t xml:space="preserve">In October 2023, Walmart expressed its confidence in the benefits that the next-generation supply chain will provide to the company. This was the first hint of such advancement. During the busiest period of the year for Christmas, they placed a priority on increasing the </w:t>
      </w:r>
      <w:r w:rsidRPr="0044676F">
        <w:rPr>
          <w:rFonts w:ascii="Times New Roman" w:eastAsia="Times New Roman" w:hAnsi="Times New Roman" w:cs="Times New Roman"/>
          <w:color w:val="1F1F1F"/>
          <w:kern w:val="0"/>
          <w:sz w:val="24"/>
          <w:szCs w:val="24"/>
          <w14:ligatures w14:val="none"/>
        </w:rPr>
        <w:lastRenderedPageBreak/>
        <w:t>availability of in-stock items, improving inventory accuracy, and reducing the amount of time it took to complete orders (Guggina, McKeehan, and Musani, 2023).</w:t>
      </w:r>
    </w:p>
    <w:p w14:paraId="48A73E01" w14:textId="7D5EAE48" w:rsidR="0044676F" w:rsidRPr="003A377C" w:rsidRDefault="0044676F" w:rsidP="00333E60">
      <w:pPr>
        <w:pStyle w:val="ListParagraph"/>
        <w:numPr>
          <w:ilvl w:val="0"/>
          <w:numId w:val="33"/>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4676F">
        <w:rPr>
          <w:rFonts w:ascii="Times New Roman" w:eastAsia="Times New Roman" w:hAnsi="Times New Roman" w:cs="Times New Roman"/>
          <w:color w:val="1F1F1F"/>
          <w:kern w:val="0"/>
          <w:sz w:val="24"/>
          <w:szCs w:val="24"/>
          <w14:ligatures w14:val="none"/>
        </w:rPr>
        <w:t>The primary emphasis is placed on automation. A public announcement has been made by Walmart on its plans to automate its fulfilment hubs. This is consistent with the trends in the industry and has the potential to result in increased productivity (Walmart, 2019).</w:t>
      </w:r>
    </w:p>
    <w:p w14:paraId="080AF472" w14:textId="1BA60D71" w:rsidR="003A377C" w:rsidRPr="003A377C" w:rsidRDefault="003A377C" w:rsidP="003A377C">
      <w:pPr>
        <w:shd w:val="clear" w:color="auto" w:fill="FFFFFF"/>
        <w:spacing w:before="100" w:beforeAutospacing="1" w:after="0" w:line="240" w:lineRule="auto"/>
        <w:jc w:val="both"/>
        <w:rPr>
          <w:rFonts w:ascii="Times New Roman" w:hAnsi="Times New Roman" w:cs="Times New Roman"/>
          <w:b/>
          <w:bCs/>
          <w:sz w:val="24"/>
          <w:szCs w:val="24"/>
        </w:rPr>
      </w:pPr>
      <w:r w:rsidRPr="003A377C">
        <w:rPr>
          <w:rFonts w:ascii="Times New Roman" w:hAnsi="Times New Roman" w:cs="Times New Roman"/>
          <w:b/>
          <w:bCs/>
          <w:sz w:val="24"/>
          <w:szCs w:val="24"/>
        </w:rPr>
        <w:t>Uncertainties and Possible Obstacles:</w:t>
      </w:r>
    </w:p>
    <w:p w14:paraId="57B87AD4" w14:textId="1B7F91D9" w:rsidR="0044676F" w:rsidRPr="0044676F" w:rsidRDefault="0044676F" w:rsidP="0044676F">
      <w:pPr>
        <w:pStyle w:val="ListParagraph"/>
        <w:numPr>
          <w:ilvl w:val="0"/>
          <w:numId w:val="34"/>
        </w:numPr>
        <w:shd w:val="clear" w:color="auto" w:fill="FFFFFF"/>
        <w:spacing w:before="100" w:beforeAutospacing="1" w:after="0" w:line="240" w:lineRule="auto"/>
        <w:jc w:val="both"/>
        <w:rPr>
          <w:rFonts w:ascii="Times New Roman" w:hAnsi="Times New Roman" w:cs="Times New Roman"/>
          <w:sz w:val="24"/>
          <w:szCs w:val="24"/>
        </w:rPr>
      </w:pPr>
      <w:r w:rsidRPr="0044676F">
        <w:rPr>
          <w:rFonts w:ascii="Times New Roman" w:hAnsi="Times New Roman" w:cs="Times New Roman"/>
          <w:sz w:val="24"/>
          <w:szCs w:val="24"/>
        </w:rPr>
        <w:t>It is still too early to determine the long-term implications when it comes to operational expenditures, customer satisfaction metrics, and overall profitability. In order to get a definitive measurement of these features, it will require some time.</w:t>
      </w:r>
    </w:p>
    <w:p w14:paraId="5B4D0BAD" w14:textId="20A24650" w:rsidR="0044676F" w:rsidRPr="0044676F" w:rsidRDefault="0044676F" w:rsidP="0044676F">
      <w:pPr>
        <w:pStyle w:val="ListParagraph"/>
        <w:numPr>
          <w:ilvl w:val="0"/>
          <w:numId w:val="34"/>
        </w:numPr>
        <w:shd w:val="clear" w:color="auto" w:fill="FFFFFF"/>
        <w:spacing w:before="100" w:beforeAutospacing="1" w:after="0" w:line="240" w:lineRule="auto"/>
        <w:jc w:val="both"/>
        <w:rPr>
          <w:rFonts w:ascii="Times New Roman" w:hAnsi="Times New Roman" w:cs="Times New Roman"/>
          <w:sz w:val="24"/>
          <w:szCs w:val="24"/>
        </w:rPr>
      </w:pPr>
      <w:r w:rsidRPr="0044676F">
        <w:rPr>
          <w:rFonts w:ascii="Times New Roman" w:hAnsi="Times New Roman" w:cs="Times New Roman"/>
          <w:sz w:val="24"/>
          <w:szCs w:val="24"/>
        </w:rPr>
        <w:t xml:space="preserve">It may be challenging to effectively integrate new technologies and automation with the existing infrastructure (Walmart, 2023b). This is one of the difficulties to integration. </w:t>
      </w:r>
      <w:r w:rsidR="00604817" w:rsidRPr="0044676F">
        <w:rPr>
          <w:rFonts w:ascii="Times New Roman" w:hAnsi="Times New Roman" w:cs="Times New Roman"/>
          <w:sz w:val="24"/>
          <w:szCs w:val="24"/>
        </w:rPr>
        <w:t>It is</w:t>
      </w:r>
      <w:r w:rsidRPr="0044676F">
        <w:rPr>
          <w:rFonts w:ascii="Times New Roman" w:hAnsi="Times New Roman" w:cs="Times New Roman"/>
          <w:sz w:val="24"/>
          <w:szCs w:val="24"/>
        </w:rPr>
        <w:t xml:space="preserve"> possible that unexpected roadblocks may develop in the way of guaranteeing that the network's functioning is seamless.</w:t>
      </w:r>
    </w:p>
    <w:p w14:paraId="7D361EF3" w14:textId="77777777" w:rsidR="00333E60" w:rsidRDefault="00333E60" w:rsidP="0044676F">
      <w:pPr>
        <w:shd w:val="clear" w:color="auto" w:fill="FFFFFF"/>
        <w:spacing w:before="100" w:beforeAutospacing="1" w:after="0" w:line="240" w:lineRule="auto"/>
        <w:jc w:val="both"/>
        <w:rPr>
          <w:rFonts w:ascii="Times New Roman" w:hAnsi="Times New Roman" w:cs="Times New Roman"/>
          <w:sz w:val="24"/>
          <w:szCs w:val="24"/>
        </w:rPr>
      </w:pPr>
    </w:p>
    <w:p w14:paraId="206FA2F2" w14:textId="25FF787B" w:rsidR="005B5038" w:rsidRPr="005B5038" w:rsidRDefault="005B5038" w:rsidP="005B5038">
      <w:pPr>
        <w:pStyle w:val="Heading1"/>
        <w:rPr>
          <w:b/>
          <w:bCs/>
        </w:rPr>
      </w:pPr>
      <w:bookmarkStart w:id="36" w:name="_Toc164827484"/>
      <w:r w:rsidRPr="005B5038">
        <w:rPr>
          <w:b/>
          <w:bCs/>
        </w:rPr>
        <w:t>Conclusions:</w:t>
      </w:r>
      <w:bookmarkEnd w:id="36"/>
    </w:p>
    <w:p w14:paraId="63609EE1" w14:textId="52975A3E" w:rsidR="005B5038" w:rsidRPr="005B5038" w:rsidRDefault="005B5038" w:rsidP="005B5038">
      <w:pPr>
        <w:shd w:val="clear" w:color="auto" w:fill="FFFFFF"/>
        <w:spacing w:before="100" w:beforeAutospacing="1" w:after="0" w:line="240" w:lineRule="auto"/>
        <w:jc w:val="both"/>
        <w:rPr>
          <w:rFonts w:ascii="Times New Roman" w:hAnsi="Times New Roman" w:cs="Times New Roman"/>
          <w:sz w:val="24"/>
          <w:szCs w:val="24"/>
        </w:rPr>
      </w:pPr>
      <w:r w:rsidRPr="005B5038">
        <w:rPr>
          <w:rFonts w:ascii="Times New Roman" w:hAnsi="Times New Roman" w:cs="Times New Roman"/>
          <w:sz w:val="24"/>
          <w:szCs w:val="24"/>
        </w:rPr>
        <w:t>Walmart's climb to prominence in the retail business throughout the world has been characterized by the company's ability to innovate and adapt to changing circumstances. With a major focus on "everyday low prices" and efficient logistics, the company has climbed to the top of the market and established itself as the industry leader. However, new challenges have surfaced in recent times, such as the expansion of online commerce and a lack of available working people.</w:t>
      </w:r>
    </w:p>
    <w:p w14:paraId="67A81115" w14:textId="3D10F564" w:rsidR="005B5038" w:rsidRPr="005B5038" w:rsidRDefault="005B5038" w:rsidP="005B5038">
      <w:pPr>
        <w:shd w:val="clear" w:color="auto" w:fill="FFFFFF"/>
        <w:spacing w:before="100" w:beforeAutospacing="1" w:after="0" w:line="240" w:lineRule="auto"/>
        <w:jc w:val="both"/>
        <w:rPr>
          <w:rFonts w:ascii="Times New Roman" w:hAnsi="Times New Roman" w:cs="Times New Roman"/>
          <w:sz w:val="24"/>
          <w:szCs w:val="24"/>
        </w:rPr>
      </w:pPr>
      <w:r w:rsidRPr="005B5038">
        <w:rPr>
          <w:rFonts w:ascii="Times New Roman" w:hAnsi="Times New Roman" w:cs="Times New Roman"/>
          <w:sz w:val="24"/>
          <w:szCs w:val="24"/>
        </w:rPr>
        <w:t>By making a significant investment in its supply chain network of the next generation, Walmart has shown that it is dedicated to addressing these concerns from a business perspective. This investment has the potential to provide large benefits, including improved methods of inventory management, increased levels of production, and increased levels of customer satisfaction. However, the success of this initiative is contingent on its ability to overcome the significant initial costs and the difficult nature of integrating technology components.</w:t>
      </w:r>
    </w:p>
    <w:p w14:paraId="105BC8E3" w14:textId="7AFC5334" w:rsidR="005B5038" w:rsidRDefault="005B5038" w:rsidP="0044676F">
      <w:pPr>
        <w:shd w:val="clear" w:color="auto" w:fill="FFFFFF"/>
        <w:spacing w:before="100" w:beforeAutospacing="1" w:after="0" w:line="240" w:lineRule="auto"/>
        <w:jc w:val="both"/>
        <w:rPr>
          <w:rFonts w:ascii="Times New Roman" w:hAnsi="Times New Roman" w:cs="Times New Roman"/>
          <w:sz w:val="24"/>
          <w:szCs w:val="24"/>
        </w:rPr>
      </w:pPr>
      <w:r w:rsidRPr="005B5038">
        <w:rPr>
          <w:rFonts w:ascii="Times New Roman" w:hAnsi="Times New Roman" w:cs="Times New Roman"/>
          <w:sz w:val="24"/>
          <w:szCs w:val="24"/>
        </w:rPr>
        <w:t>Taking everything into consideration, the success story of Walmart indicates the company's ability to develop and adapt to a market that is always changing. It will be essential for the company to place a strong focus on both efficiency and innovation as it begins this new chapter in order to ensure that it is able to continue to hold the leading position in the retail business.</w:t>
      </w:r>
    </w:p>
    <w:p w14:paraId="399B75FC" w14:textId="77777777" w:rsidR="00DB7F06" w:rsidRDefault="00DB7F06" w:rsidP="0044676F">
      <w:pPr>
        <w:shd w:val="clear" w:color="auto" w:fill="FFFFFF"/>
        <w:spacing w:before="100" w:beforeAutospacing="1" w:after="0" w:line="240" w:lineRule="auto"/>
        <w:jc w:val="both"/>
        <w:rPr>
          <w:rFonts w:ascii="Times New Roman" w:hAnsi="Times New Roman" w:cs="Times New Roman"/>
          <w:sz w:val="24"/>
          <w:szCs w:val="24"/>
        </w:rPr>
      </w:pPr>
    </w:p>
    <w:p w14:paraId="3E5A6386" w14:textId="77777777" w:rsidR="00DB7F06" w:rsidRDefault="00DB7F06" w:rsidP="0044676F">
      <w:pPr>
        <w:shd w:val="clear" w:color="auto" w:fill="FFFFFF"/>
        <w:spacing w:before="100" w:beforeAutospacing="1" w:after="0" w:line="240" w:lineRule="auto"/>
        <w:jc w:val="both"/>
        <w:rPr>
          <w:rFonts w:ascii="Times New Roman" w:hAnsi="Times New Roman" w:cs="Times New Roman"/>
          <w:sz w:val="24"/>
          <w:szCs w:val="24"/>
        </w:rPr>
      </w:pPr>
    </w:p>
    <w:p w14:paraId="72B2E8A2" w14:textId="15554231" w:rsidR="005B5038" w:rsidRPr="005B5038" w:rsidRDefault="005B5038" w:rsidP="005B5038">
      <w:pPr>
        <w:pStyle w:val="Heading1"/>
        <w:spacing w:line="360" w:lineRule="auto"/>
        <w:rPr>
          <w:b/>
          <w:bCs/>
        </w:rPr>
      </w:pPr>
      <w:bookmarkStart w:id="37" w:name="_Toc164827485"/>
      <w:r w:rsidRPr="005B5038">
        <w:rPr>
          <w:b/>
          <w:bCs/>
        </w:rPr>
        <w:lastRenderedPageBreak/>
        <w:t>References:</w:t>
      </w:r>
      <w:bookmarkEnd w:id="37"/>
      <w:r w:rsidRPr="005B5038">
        <w:rPr>
          <w:b/>
          <w:bCs/>
        </w:rPr>
        <w:t xml:space="preserve"> </w:t>
      </w:r>
    </w:p>
    <w:p w14:paraId="4E21BB70" w14:textId="77777777" w:rsidR="005B5038" w:rsidRDefault="005B5038" w:rsidP="005B5038">
      <w:pPr>
        <w:pStyle w:val="NormalWeb"/>
        <w:spacing w:before="0" w:beforeAutospacing="0" w:after="240" w:afterAutospacing="0" w:line="360" w:lineRule="auto"/>
      </w:pPr>
      <w:r>
        <w:t xml:space="preserve">Ahmadinia, H., Afrasiabishani, J. and Hesami, E. (2012). </w:t>
      </w:r>
      <w:r>
        <w:rPr>
          <w:i/>
          <w:iCs/>
        </w:rPr>
        <w:t>A Comprehensive Review on Capital Structure Theories</w:t>
      </w:r>
      <w:r>
        <w:t>. [online] Available at: https://www.researchgate.net/publication/255725961_A_Comprehensive_Review_on_Capital_Structure_Theories.</w:t>
      </w:r>
    </w:p>
    <w:p w14:paraId="7F209857" w14:textId="77777777" w:rsidR="005B5038" w:rsidRDefault="005B5038" w:rsidP="005B5038">
      <w:pPr>
        <w:pStyle w:val="NormalWeb"/>
        <w:spacing w:before="0" w:beforeAutospacing="0" w:after="240" w:afterAutospacing="0" w:line="360" w:lineRule="auto"/>
      </w:pPr>
      <w:r>
        <w:t xml:space="preserve">Besley, S. and Brigham, E.F. (2000). </w:t>
      </w:r>
      <w:r>
        <w:rPr>
          <w:i/>
          <w:iCs/>
        </w:rPr>
        <w:t>Essentials of managerial finance</w:t>
      </w:r>
      <w:r>
        <w:t>. Fort Worth: Dryden Press.</w:t>
      </w:r>
    </w:p>
    <w:p w14:paraId="20814DF3" w14:textId="77777777" w:rsidR="005B5038" w:rsidRDefault="005B5038" w:rsidP="005B5038">
      <w:pPr>
        <w:pStyle w:val="NormalWeb"/>
        <w:spacing w:before="0" w:beforeAutospacing="0" w:after="240" w:afterAutospacing="0" w:line="360" w:lineRule="auto"/>
      </w:pPr>
      <w:r>
        <w:t xml:space="preserve">Brealey, R.A. and Myers, S.C. (2000). </w:t>
      </w:r>
      <w:r>
        <w:rPr>
          <w:i/>
          <w:iCs/>
        </w:rPr>
        <w:t>Principles of Corporate Finance</w:t>
      </w:r>
      <w:r>
        <w:t>. McGraw-Hill Companies.</w:t>
      </w:r>
    </w:p>
    <w:p w14:paraId="1B981EFF" w14:textId="77777777" w:rsidR="005B5038" w:rsidRDefault="005B5038" w:rsidP="005B5038">
      <w:pPr>
        <w:pStyle w:val="NormalWeb"/>
        <w:spacing w:before="0" w:beforeAutospacing="0" w:after="240" w:afterAutospacing="0" w:line="360" w:lineRule="auto"/>
      </w:pPr>
      <w:r>
        <w:t xml:space="preserve">Demirgüneş, K. (2017). </w:t>
      </w:r>
      <w:r>
        <w:rPr>
          <w:i/>
          <w:iCs/>
        </w:rPr>
        <w:t>Capital Structure Choice and Firm Value: New Empirical Evidence from Asymmetric Causality Test</w:t>
      </w:r>
      <w:r>
        <w:t>. [online] Available at: https://www.researchgate.net/publication/315061090_Capital_Structure_Choice_and_Firm_Value_New_Empirical_Evidence_from_Asymmetric_Causality_Test.</w:t>
      </w:r>
    </w:p>
    <w:p w14:paraId="35E9ED8F" w14:textId="77777777" w:rsidR="005B5038" w:rsidRDefault="005B5038" w:rsidP="005B5038">
      <w:pPr>
        <w:pStyle w:val="NormalWeb"/>
        <w:spacing w:before="0" w:beforeAutospacing="0" w:after="240" w:afterAutospacing="0" w:line="360" w:lineRule="auto"/>
      </w:pPr>
      <w:r>
        <w:t xml:space="preserve">Ferguson, S. and Lucy, I. (2024). </w:t>
      </w:r>
      <w:r>
        <w:rPr>
          <w:i/>
          <w:iCs/>
        </w:rPr>
        <w:t>America Works Data Center</w:t>
      </w:r>
      <w:r>
        <w:t>. [online] www.uschamber.com. Available at: https://www.uschamber.com/workforce/america-works-data-center.</w:t>
      </w:r>
    </w:p>
    <w:p w14:paraId="6A4B6761" w14:textId="77777777" w:rsidR="005B5038" w:rsidRDefault="005B5038" w:rsidP="005B5038">
      <w:pPr>
        <w:pStyle w:val="NormalWeb"/>
        <w:spacing w:before="0" w:beforeAutospacing="0" w:after="240" w:afterAutospacing="0" w:line="360" w:lineRule="auto"/>
      </w:pPr>
      <w:r>
        <w:t xml:space="preserve">Guggina, D., McKeehan, J. and Musani, P. (2023). </w:t>
      </w:r>
      <w:r>
        <w:rPr>
          <w:i/>
          <w:iCs/>
        </w:rPr>
        <w:t>The Season of More: Unwrapping Our Plan for Speed, Accuracy and Availability</w:t>
      </w:r>
      <w:r>
        <w:t>. [online] corporate.walmart.com. Available at: https://corporate.walmart.com/news/2023/10/31/the-season-of-more-unwrapping-our-plan-for-speed-accuracy-and-availability.</w:t>
      </w:r>
    </w:p>
    <w:p w14:paraId="69C9EBAC" w14:textId="77777777" w:rsidR="005B5038" w:rsidRDefault="005B5038" w:rsidP="005B5038">
      <w:pPr>
        <w:pStyle w:val="NormalWeb"/>
        <w:spacing w:before="0" w:beforeAutospacing="0" w:after="240" w:afterAutospacing="0" w:line="360" w:lineRule="auto"/>
      </w:pPr>
      <w:r>
        <w:t xml:space="preserve">Ignatius, A. (2017). </w:t>
      </w:r>
      <w:r>
        <w:rPr>
          <w:i/>
          <w:iCs/>
        </w:rPr>
        <w:t>An inside look at the ups and downs of Walmart’s journey</w:t>
      </w:r>
      <w:r>
        <w:t>. [online] Harvard Business Review. Available at: https://hbr.org/2017/03/we-need-people-to-lean-into-the-future.</w:t>
      </w:r>
    </w:p>
    <w:p w14:paraId="026313DC" w14:textId="77777777" w:rsidR="005B5038" w:rsidRDefault="005B5038" w:rsidP="005B5038">
      <w:pPr>
        <w:pStyle w:val="NormalWeb"/>
        <w:spacing w:before="0" w:beforeAutospacing="0" w:after="240" w:afterAutospacing="0" w:line="360" w:lineRule="auto"/>
      </w:pPr>
      <w:r>
        <w:t xml:space="preserve">Leon, T.P. de (2023). </w:t>
      </w:r>
      <w:r>
        <w:rPr>
          <w:i/>
          <w:iCs/>
        </w:rPr>
        <w:t>Walmart Marketplace BrandVoice: The Rise Of The Marketplace: Winning In An Evolving Retail Landscape</w:t>
      </w:r>
      <w:r>
        <w:t>. [online] Forbes. Available at: https://www.forbes.com/sites/walmart-marketplace/2023/08/24/the-rise-of-the-marketplace-winning-in-an-evolving-retail-landscape/?sh=349f48fd8a4d [Accessed 23 Apr. 2024].</w:t>
      </w:r>
    </w:p>
    <w:p w14:paraId="2DFD8164" w14:textId="77777777" w:rsidR="005B5038" w:rsidRDefault="005B5038" w:rsidP="005B5038">
      <w:pPr>
        <w:pStyle w:val="NormalWeb"/>
        <w:spacing w:before="0" w:beforeAutospacing="0" w:after="240" w:afterAutospacing="0" w:line="360" w:lineRule="auto"/>
      </w:pPr>
      <w:r>
        <w:lastRenderedPageBreak/>
        <w:t xml:space="preserve">Mujtaba, B.G. (2007). (PDF) Wal-Mart In The Global Retail Market: Its Growth And Challenges. </w:t>
      </w:r>
      <w:r>
        <w:rPr>
          <w:i/>
          <w:iCs/>
        </w:rPr>
        <w:t xml:space="preserve">Journal of Business Case Studies </w:t>
      </w:r>
      <w:r>
        <w:t>. [online] Available at: https://www.researchgate.net/publication/228477402_Wal-Mart_In_The_Global_Retail_Market_Its_Growth_And_Challenges.</w:t>
      </w:r>
    </w:p>
    <w:p w14:paraId="7159A215" w14:textId="77777777" w:rsidR="005B5038" w:rsidRDefault="005B5038" w:rsidP="005B5038">
      <w:pPr>
        <w:pStyle w:val="NormalWeb"/>
        <w:spacing w:before="0" w:beforeAutospacing="0" w:after="240" w:afterAutospacing="0" w:line="360" w:lineRule="auto"/>
      </w:pPr>
      <w:r>
        <w:t xml:space="preserve">Nassauer, S. (2023). </w:t>
      </w:r>
      <w:r>
        <w:rPr>
          <w:i/>
          <w:iCs/>
        </w:rPr>
        <w:t>Walmart CEO Plans to Stay in Role at Least Three More Years</w:t>
      </w:r>
      <w:r>
        <w:t>. [online] WSJ. Available at: https://www.wsj.com/articles/walmart-ceo-plans-to-stay-in-role-at-least-three-more-years-86c1cea7.</w:t>
      </w:r>
    </w:p>
    <w:p w14:paraId="16ABFEC9" w14:textId="77777777" w:rsidR="005B5038" w:rsidRDefault="005B5038" w:rsidP="005B5038">
      <w:pPr>
        <w:pStyle w:val="NormalWeb"/>
        <w:spacing w:before="0" w:beforeAutospacing="0" w:after="240" w:afterAutospacing="0" w:line="360" w:lineRule="auto"/>
      </w:pPr>
      <w:r>
        <w:t xml:space="preserve">Palmer, A. (2023). </w:t>
      </w:r>
      <w:r>
        <w:rPr>
          <w:i/>
          <w:iCs/>
        </w:rPr>
        <w:t>Walmart-backed DroneUp is cutting jobs as drone delivery market struggles</w:t>
      </w:r>
      <w:r>
        <w:t>. [online] CNBC. Available at: https://www.cnbc.com/2023/05/16/walmart-backed-drone-delivery-startup-droneup-is-cutting-jobs-.html.</w:t>
      </w:r>
    </w:p>
    <w:p w14:paraId="5F5A21EF" w14:textId="77777777" w:rsidR="005B5038" w:rsidRDefault="005B5038" w:rsidP="005B5038">
      <w:pPr>
        <w:pStyle w:val="NormalWeb"/>
        <w:spacing w:before="0" w:beforeAutospacing="0" w:after="240" w:afterAutospacing="0" w:line="360" w:lineRule="auto"/>
      </w:pPr>
      <w:r>
        <w:t xml:space="preserve">Pereira, D. (2020). </w:t>
      </w:r>
      <w:r>
        <w:rPr>
          <w:i/>
          <w:iCs/>
        </w:rPr>
        <w:t>Walmart Business Model</w:t>
      </w:r>
      <w:r>
        <w:t>. [online] The Business Model Analyst. Available at: https://businessmodelanalyst.com/walmart-business-model/#Walmarts_Business_Model_Strategy.</w:t>
      </w:r>
    </w:p>
    <w:p w14:paraId="1FD4C184" w14:textId="77777777" w:rsidR="005B5038" w:rsidRDefault="005B5038" w:rsidP="005B5038">
      <w:pPr>
        <w:pStyle w:val="NormalWeb"/>
        <w:spacing w:before="0" w:beforeAutospacing="0" w:after="240" w:afterAutospacing="0" w:line="360" w:lineRule="auto"/>
      </w:pPr>
      <w:r>
        <w:t xml:space="preserve">Rehan, R., Chhapra, I.U. and Sohail, A.B. (2021). </w:t>
      </w:r>
      <w:r>
        <w:rPr>
          <w:i/>
          <w:iCs/>
        </w:rPr>
        <w:t>Capital Structure Theories: A Comprehensive Review</w:t>
      </w:r>
      <w:r>
        <w:t>. [online] Available at: https://www.researchgate.net/publication/353325247_Capital_Structure_Theories_A_Comprehensive_Review.</w:t>
      </w:r>
    </w:p>
    <w:p w14:paraId="4010A9D0" w14:textId="77777777" w:rsidR="005B5038" w:rsidRDefault="005B5038" w:rsidP="005B5038">
      <w:pPr>
        <w:pStyle w:val="NormalWeb"/>
        <w:spacing w:before="0" w:beforeAutospacing="0" w:after="240" w:afterAutospacing="0" w:line="360" w:lineRule="auto"/>
      </w:pPr>
      <w:r>
        <w:t xml:space="preserve">Reuters (2022). </w:t>
      </w:r>
      <w:r>
        <w:rPr>
          <w:i/>
          <w:iCs/>
        </w:rPr>
        <w:t>Walmart Inc</w:t>
      </w:r>
      <w:r>
        <w:t>. [online] Reuters.com. Available at: https://www.reuters.com/markets/companies/WMT.N/.</w:t>
      </w:r>
    </w:p>
    <w:p w14:paraId="5A4F67A1" w14:textId="77777777" w:rsidR="005B5038" w:rsidRDefault="005B5038" w:rsidP="005B5038">
      <w:pPr>
        <w:pStyle w:val="NormalWeb"/>
        <w:spacing w:before="0" w:beforeAutospacing="0" w:after="240" w:afterAutospacing="0" w:line="360" w:lineRule="auto"/>
      </w:pPr>
      <w:r>
        <w:t xml:space="preserve">Sodkiewicz, D. (2022). </w:t>
      </w:r>
      <w:r>
        <w:rPr>
          <w:i/>
          <w:iCs/>
        </w:rPr>
        <w:t>Walmart Makes Investments in Supply Chains, Logistics, and Infrastructure in Canada and Mexico</w:t>
      </w:r>
      <w:r>
        <w:t>. [online] GeekSeller. Available at: https://www.geekseller.com/blog/walmart-makes-investments-in-supply-chains-logistics-and-infrastructure-in-canada-and-mexico/ [Accessed 23 Apr. 2024].</w:t>
      </w:r>
    </w:p>
    <w:p w14:paraId="334767E0" w14:textId="77777777" w:rsidR="005B5038" w:rsidRDefault="005B5038" w:rsidP="005B5038">
      <w:pPr>
        <w:pStyle w:val="NormalWeb"/>
        <w:spacing w:before="0" w:beforeAutospacing="0" w:after="240" w:afterAutospacing="0" w:line="360" w:lineRule="auto"/>
      </w:pPr>
      <w:r>
        <w:t xml:space="preserve">Walmart (n.d.). </w:t>
      </w:r>
      <w:r>
        <w:rPr>
          <w:i/>
          <w:iCs/>
        </w:rPr>
        <w:t>Walmart Investor Relations - Investor Relations</w:t>
      </w:r>
      <w:r>
        <w:t>. [online] stock.walmart.com. Available at: https://corporate.walmart.com/investors.</w:t>
      </w:r>
    </w:p>
    <w:p w14:paraId="5568D4CA" w14:textId="77777777" w:rsidR="005B5038" w:rsidRDefault="005B5038" w:rsidP="005B5038">
      <w:pPr>
        <w:pStyle w:val="NormalWeb"/>
        <w:spacing w:before="0" w:beforeAutospacing="0" w:after="240" w:afterAutospacing="0" w:line="360" w:lineRule="auto"/>
      </w:pPr>
      <w:r>
        <w:t xml:space="preserve">Walmart (2017). </w:t>
      </w:r>
      <w:r>
        <w:rPr>
          <w:i/>
          <w:iCs/>
        </w:rPr>
        <w:t>Walmart Marketplace - Walmart.com</w:t>
      </w:r>
      <w:r>
        <w:t>. [online] Walmart Marketplace. Available at: https://marketplace.walmart.com/.</w:t>
      </w:r>
    </w:p>
    <w:p w14:paraId="31B8301C" w14:textId="77777777" w:rsidR="005B5038" w:rsidRDefault="005B5038" w:rsidP="005B5038">
      <w:pPr>
        <w:pStyle w:val="NormalWeb"/>
        <w:spacing w:before="0" w:beforeAutospacing="0" w:after="240" w:afterAutospacing="0" w:line="360" w:lineRule="auto"/>
      </w:pPr>
      <w:r>
        <w:lastRenderedPageBreak/>
        <w:t xml:space="preserve">Walmart (2019). </w:t>
      </w:r>
      <w:r>
        <w:rPr>
          <w:i/>
          <w:iCs/>
        </w:rPr>
        <w:t>Supply Chain and Logistics Jobs | Walmart Careers</w:t>
      </w:r>
      <w:r>
        <w:t>. [online] Walmart.com. Available at: https://careers.walmart.com/corporate/supply-chain-and-logistics.</w:t>
      </w:r>
    </w:p>
    <w:p w14:paraId="021A7D24" w14:textId="77777777" w:rsidR="005B5038" w:rsidRDefault="005B5038" w:rsidP="005B5038">
      <w:pPr>
        <w:pStyle w:val="NormalWeb"/>
        <w:spacing w:before="0" w:beforeAutospacing="0" w:after="240" w:afterAutospacing="0" w:line="360" w:lineRule="auto"/>
      </w:pPr>
      <w:r>
        <w:t xml:space="preserve">Walmart (2023a). </w:t>
      </w:r>
      <w:r>
        <w:rPr>
          <w:i/>
          <w:iCs/>
        </w:rPr>
        <w:t>Product Supply Chain Sustainability</w:t>
      </w:r>
      <w:r>
        <w:t>. [online] Product Supply Chain Sustainability. Available at: https://corporate.walmart.com/purpose/esgreport/environmental/product-supply-chain-sustainability.</w:t>
      </w:r>
    </w:p>
    <w:p w14:paraId="4D3F6ED2" w14:textId="77777777" w:rsidR="005B5038" w:rsidRDefault="005B5038" w:rsidP="005B5038">
      <w:pPr>
        <w:pStyle w:val="NormalWeb"/>
        <w:spacing w:before="0" w:beforeAutospacing="0" w:after="240" w:afterAutospacing="0" w:line="360" w:lineRule="auto"/>
      </w:pPr>
      <w:r>
        <w:t xml:space="preserve">Walmart (2023b). </w:t>
      </w:r>
      <w:r>
        <w:rPr>
          <w:i/>
          <w:iCs/>
        </w:rPr>
        <w:t>Walmart Outlines Growth Strategy, Unveils Next Generation Supply Chain at 2023 Investment Community Meeting</w:t>
      </w:r>
      <w:r>
        <w:t>. [online] corporate.walmart.com. Available at: https://corporate.walmart.com/news/2023/04/04/walmart-outlines-growth-strategy-unveils-next-generation-supply-chain-at-2023-investment-community-meeting.</w:t>
      </w:r>
    </w:p>
    <w:p w14:paraId="158B5698" w14:textId="77777777" w:rsidR="005B5038" w:rsidRDefault="005B5038" w:rsidP="005B5038">
      <w:pPr>
        <w:pStyle w:val="NormalWeb"/>
        <w:spacing w:before="0" w:beforeAutospacing="0" w:after="240" w:afterAutospacing="0" w:line="360" w:lineRule="auto"/>
      </w:pPr>
      <w:r>
        <w:t xml:space="preserve">Walmart (2024). </w:t>
      </w:r>
      <w:r>
        <w:rPr>
          <w:i/>
          <w:iCs/>
        </w:rPr>
        <w:t>Supply Chain Hiring</w:t>
      </w:r>
      <w:r>
        <w:t>. [online] careers.walmart.com. Available at: https://careers.walmart.com/sc-jobs [Accessed 23 Apr. 2024].</w:t>
      </w:r>
    </w:p>
    <w:p w14:paraId="5CE56CDB" w14:textId="77777777" w:rsidR="005B5038" w:rsidRPr="0044676F" w:rsidRDefault="005B5038" w:rsidP="0044676F">
      <w:pPr>
        <w:shd w:val="clear" w:color="auto" w:fill="FFFFFF"/>
        <w:spacing w:before="100" w:beforeAutospacing="1" w:after="0" w:line="240" w:lineRule="auto"/>
        <w:jc w:val="both"/>
        <w:rPr>
          <w:rFonts w:ascii="Times New Roman" w:hAnsi="Times New Roman" w:cs="Times New Roman"/>
          <w:sz w:val="24"/>
          <w:szCs w:val="24"/>
        </w:rPr>
      </w:pPr>
    </w:p>
    <w:sectPr w:rsidR="005B5038" w:rsidRPr="0044676F" w:rsidSect="00CF4B73">
      <w:head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A0DD8" w14:textId="77777777" w:rsidR="00086D8E" w:rsidRDefault="00086D8E" w:rsidP="005B5038">
      <w:pPr>
        <w:spacing w:after="0" w:line="240" w:lineRule="auto"/>
      </w:pPr>
      <w:r>
        <w:separator/>
      </w:r>
    </w:p>
  </w:endnote>
  <w:endnote w:type="continuationSeparator" w:id="0">
    <w:p w14:paraId="47403ECC" w14:textId="77777777" w:rsidR="00086D8E" w:rsidRDefault="00086D8E" w:rsidP="005B5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F9EEA" w14:textId="77777777" w:rsidR="00086D8E" w:rsidRDefault="00086D8E" w:rsidP="005B5038">
      <w:pPr>
        <w:spacing w:after="0" w:line="240" w:lineRule="auto"/>
      </w:pPr>
      <w:r>
        <w:separator/>
      </w:r>
    </w:p>
  </w:footnote>
  <w:footnote w:type="continuationSeparator" w:id="0">
    <w:p w14:paraId="53F06CB6" w14:textId="77777777" w:rsidR="00086D8E" w:rsidRDefault="00086D8E" w:rsidP="005B50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809657"/>
      <w:docPartObj>
        <w:docPartGallery w:val="Page Numbers (Top of Page)"/>
        <w:docPartUnique/>
      </w:docPartObj>
    </w:sdtPr>
    <w:sdtEndPr>
      <w:rPr>
        <w:noProof/>
      </w:rPr>
    </w:sdtEndPr>
    <w:sdtContent>
      <w:p w14:paraId="222D69A3" w14:textId="091656E9" w:rsidR="005B5038" w:rsidRDefault="005B503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75F71B" w14:textId="77777777" w:rsidR="005B5038" w:rsidRDefault="005B50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2909"/>
    <w:multiLevelType w:val="multilevel"/>
    <w:tmpl w:val="071059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054C7"/>
    <w:multiLevelType w:val="hybridMultilevel"/>
    <w:tmpl w:val="5C406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A0428E"/>
    <w:multiLevelType w:val="multilevel"/>
    <w:tmpl w:val="0CD24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C47474"/>
    <w:multiLevelType w:val="multilevel"/>
    <w:tmpl w:val="8F3A1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E43F49"/>
    <w:multiLevelType w:val="multilevel"/>
    <w:tmpl w:val="15862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531C37"/>
    <w:multiLevelType w:val="hybridMultilevel"/>
    <w:tmpl w:val="502AD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E31CCF"/>
    <w:multiLevelType w:val="hybridMultilevel"/>
    <w:tmpl w:val="C3344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9C740E"/>
    <w:multiLevelType w:val="hybridMultilevel"/>
    <w:tmpl w:val="414EB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9E5331"/>
    <w:multiLevelType w:val="multilevel"/>
    <w:tmpl w:val="75CED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E267D8"/>
    <w:multiLevelType w:val="multilevel"/>
    <w:tmpl w:val="28F8F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4D7C4D"/>
    <w:multiLevelType w:val="multilevel"/>
    <w:tmpl w:val="DE0CE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6419E3"/>
    <w:multiLevelType w:val="multilevel"/>
    <w:tmpl w:val="788C2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6F7443"/>
    <w:multiLevelType w:val="multilevel"/>
    <w:tmpl w:val="11041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2666BD"/>
    <w:multiLevelType w:val="hybridMultilevel"/>
    <w:tmpl w:val="74067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4D5A08"/>
    <w:multiLevelType w:val="multilevel"/>
    <w:tmpl w:val="809A1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31403D"/>
    <w:multiLevelType w:val="multilevel"/>
    <w:tmpl w:val="53F8C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D25F67"/>
    <w:multiLevelType w:val="multilevel"/>
    <w:tmpl w:val="8F0AE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E243E6"/>
    <w:multiLevelType w:val="multilevel"/>
    <w:tmpl w:val="034610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D33A3D"/>
    <w:multiLevelType w:val="hybridMultilevel"/>
    <w:tmpl w:val="F9D2A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79B4173"/>
    <w:multiLevelType w:val="multilevel"/>
    <w:tmpl w:val="17B03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4C33D2"/>
    <w:multiLevelType w:val="multilevel"/>
    <w:tmpl w:val="96000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8E4343"/>
    <w:multiLevelType w:val="multilevel"/>
    <w:tmpl w:val="6CBCD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7A6FFD"/>
    <w:multiLevelType w:val="multilevel"/>
    <w:tmpl w:val="06AA2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270172"/>
    <w:multiLevelType w:val="hybridMultilevel"/>
    <w:tmpl w:val="64101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9B47919"/>
    <w:multiLevelType w:val="multilevel"/>
    <w:tmpl w:val="084A6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861DCE"/>
    <w:multiLevelType w:val="multilevel"/>
    <w:tmpl w:val="53B6E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A24C5D"/>
    <w:multiLevelType w:val="multilevel"/>
    <w:tmpl w:val="AD16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982677"/>
    <w:multiLevelType w:val="hybridMultilevel"/>
    <w:tmpl w:val="BE544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86B761B"/>
    <w:multiLevelType w:val="multilevel"/>
    <w:tmpl w:val="81668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CF5E56"/>
    <w:multiLevelType w:val="multilevel"/>
    <w:tmpl w:val="A1D4C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212EC0"/>
    <w:multiLevelType w:val="multilevel"/>
    <w:tmpl w:val="74A0B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FC0B2B"/>
    <w:multiLevelType w:val="multilevel"/>
    <w:tmpl w:val="5BE03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B260B"/>
    <w:multiLevelType w:val="hybridMultilevel"/>
    <w:tmpl w:val="8092D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C882FD0"/>
    <w:multiLevelType w:val="multilevel"/>
    <w:tmpl w:val="E0F22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8843287">
    <w:abstractNumId w:val="31"/>
  </w:num>
  <w:num w:numId="2" w16cid:durableId="381949152">
    <w:abstractNumId w:val="15"/>
  </w:num>
  <w:num w:numId="3" w16cid:durableId="1825314453">
    <w:abstractNumId w:val="29"/>
  </w:num>
  <w:num w:numId="4" w16cid:durableId="131481869">
    <w:abstractNumId w:val="2"/>
  </w:num>
  <w:num w:numId="5" w16cid:durableId="1014696363">
    <w:abstractNumId w:val="20"/>
  </w:num>
  <w:num w:numId="6" w16cid:durableId="1479420123">
    <w:abstractNumId w:val="25"/>
  </w:num>
  <w:num w:numId="7" w16cid:durableId="1467313187">
    <w:abstractNumId w:val="22"/>
  </w:num>
  <w:num w:numId="8" w16cid:durableId="999036998">
    <w:abstractNumId w:val="16"/>
  </w:num>
  <w:num w:numId="9" w16cid:durableId="1770349895">
    <w:abstractNumId w:val="4"/>
  </w:num>
  <w:num w:numId="10" w16cid:durableId="816142324">
    <w:abstractNumId w:val="12"/>
  </w:num>
  <w:num w:numId="11" w16cid:durableId="960765083">
    <w:abstractNumId w:val="21"/>
  </w:num>
  <w:num w:numId="12" w16cid:durableId="183834194">
    <w:abstractNumId w:val="8"/>
  </w:num>
  <w:num w:numId="13" w16cid:durableId="1288587895">
    <w:abstractNumId w:val="33"/>
  </w:num>
  <w:num w:numId="14" w16cid:durableId="1974170785">
    <w:abstractNumId w:val="28"/>
  </w:num>
  <w:num w:numId="15" w16cid:durableId="967971191">
    <w:abstractNumId w:val="0"/>
  </w:num>
  <w:num w:numId="16" w16cid:durableId="308021455">
    <w:abstractNumId w:val="3"/>
  </w:num>
  <w:num w:numId="17" w16cid:durableId="1395590021">
    <w:abstractNumId w:val="9"/>
  </w:num>
  <w:num w:numId="18" w16cid:durableId="1202472214">
    <w:abstractNumId w:val="19"/>
  </w:num>
  <w:num w:numId="19" w16cid:durableId="741485626">
    <w:abstractNumId w:val="11"/>
  </w:num>
  <w:num w:numId="20" w16cid:durableId="204757589">
    <w:abstractNumId w:val="17"/>
  </w:num>
  <w:num w:numId="21" w16cid:durableId="215431417">
    <w:abstractNumId w:val="30"/>
  </w:num>
  <w:num w:numId="22" w16cid:durableId="741761338">
    <w:abstractNumId w:val="26"/>
  </w:num>
  <w:num w:numId="23" w16cid:durableId="1941907424">
    <w:abstractNumId w:val="14"/>
  </w:num>
  <w:num w:numId="24" w16cid:durableId="1538083176">
    <w:abstractNumId w:val="10"/>
  </w:num>
  <w:num w:numId="25" w16cid:durableId="1874078160">
    <w:abstractNumId w:val="24"/>
  </w:num>
  <w:num w:numId="26" w16cid:durableId="1115103137">
    <w:abstractNumId w:val="6"/>
  </w:num>
  <w:num w:numId="27" w16cid:durableId="370426044">
    <w:abstractNumId w:val="7"/>
  </w:num>
  <w:num w:numId="28" w16cid:durableId="1401905049">
    <w:abstractNumId w:val="13"/>
  </w:num>
  <w:num w:numId="29" w16cid:durableId="726875823">
    <w:abstractNumId w:val="32"/>
  </w:num>
  <w:num w:numId="30" w16cid:durableId="2130509999">
    <w:abstractNumId w:val="27"/>
  </w:num>
  <w:num w:numId="31" w16cid:durableId="1562980311">
    <w:abstractNumId w:val="5"/>
  </w:num>
  <w:num w:numId="32" w16cid:durableId="1008408869">
    <w:abstractNumId w:val="23"/>
  </w:num>
  <w:num w:numId="33" w16cid:durableId="132451848">
    <w:abstractNumId w:val="1"/>
  </w:num>
  <w:num w:numId="34" w16cid:durableId="84982998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1E9"/>
    <w:rsid w:val="00086D8E"/>
    <w:rsid w:val="000A1E7F"/>
    <w:rsid w:val="001321E9"/>
    <w:rsid w:val="00143986"/>
    <w:rsid w:val="001D4C15"/>
    <w:rsid w:val="001D5923"/>
    <w:rsid w:val="001F6E5F"/>
    <w:rsid w:val="00265893"/>
    <w:rsid w:val="0027735F"/>
    <w:rsid w:val="002828D3"/>
    <w:rsid w:val="002917C9"/>
    <w:rsid w:val="002A59B1"/>
    <w:rsid w:val="002F0568"/>
    <w:rsid w:val="00333E60"/>
    <w:rsid w:val="003A377C"/>
    <w:rsid w:val="003F3AF2"/>
    <w:rsid w:val="0044676F"/>
    <w:rsid w:val="004B1E64"/>
    <w:rsid w:val="005345A5"/>
    <w:rsid w:val="005929E1"/>
    <w:rsid w:val="005B5038"/>
    <w:rsid w:val="005C33DD"/>
    <w:rsid w:val="005F58DA"/>
    <w:rsid w:val="00604817"/>
    <w:rsid w:val="00667E04"/>
    <w:rsid w:val="007B7569"/>
    <w:rsid w:val="00803350"/>
    <w:rsid w:val="00825966"/>
    <w:rsid w:val="008306E2"/>
    <w:rsid w:val="008A0738"/>
    <w:rsid w:val="009A7D25"/>
    <w:rsid w:val="009E19E3"/>
    <w:rsid w:val="00A508EF"/>
    <w:rsid w:val="00A946AD"/>
    <w:rsid w:val="00AA111F"/>
    <w:rsid w:val="00AF68AC"/>
    <w:rsid w:val="00B12064"/>
    <w:rsid w:val="00C01272"/>
    <w:rsid w:val="00CF4B73"/>
    <w:rsid w:val="00D73C6C"/>
    <w:rsid w:val="00D76AE2"/>
    <w:rsid w:val="00DB7F06"/>
    <w:rsid w:val="00E427F9"/>
    <w:rsid w:val="00E54D04"/>
    <w:rsid w:val="00E6255C"/>
    <w:rsid w:val="00EC1F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4FFCA"/>
  <w15:chartTrackingRefBased/>
  <w15:docId w15:val="{5C645B2B-1901-473D-BCD7-B7E0E19FA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7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A7D25"/>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unhideWhenUsed/>
    <w:qFormat/>
    <w:rsid w:val="004467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1321E9"/>
  </w:style>
  <w:style w:type="paragraph" w:styleId="NormalWeb">
    <w:name w:val="Normal (Web)"/>
    <w:basedOn w:val="Normal"/>
    <w:uiPriority w:val="99"/>
    <w:semiHidden/>
    <w:unhideWhenUsed/>
    <w:rsid w:val="00A508E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A508EF"/>
    <w:rPr>
      <w:b/>
      <w:bCs/>
    </w:rPr>
  </w:style>
  <w:style w:type="character" w:styleId="Emphasis">
    <w:name w:val="Emphasis"/>
    <w:basedOn w:val="DefaultParagraphFont"/>
    <w:uiPriority w:val="20"/>
    <w:qFormat/>
    <w:rsid w:val="00A508EF"/>
    <w:rPr>
      <w:i/>
      <w:iCs/>
    </w:rPr>
  </w:style>
  <w:style w:type="character" w:styleId="Hyperlink">
    <w:name w:val="Hyperlink"/>
    <w:basedOn w:val="DefaultParagraphFont"/>
    <w:uiPriority w:val="99"/>
    <w:unhideWhenUsed/>
    <w:rsid w:val="00A508EF"/>
    <w:rPr>
      <w:color w:val="0000FF"/>
      <w:u w:val="single"/>
    </w:rPr>
  </w:style>
  <w:style w:type="character" w:customStyle="1" w:styleId="citation-0">
    <w:name w:val="citation-0"/>
    <w:basedOn w:val="DefaultParagraphFont"/>
    <w:rsid w:val="00A508EF"/>
  </w:style>
  <w:style w:type="table" w:styleId="TableGridLight">
    <w:name w:val="Grid Table Light"/>
    <w:basedOn w:val="TableNormal"/>
    <w:uiPriority w:val="40"/>
    <w:rsid w:val="0027735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14398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
    <w:name w:val="Grid Table 4"/>
    <w:basedOn w:val="TableNormal"/>
    <w:uiPriority w:val="49"/>
    <w:rsid w:val="0014398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
    <w:name w:val="Grid Table 6 Colorful"/>
    <w:basedOn w:val="TableNormal"/>
    <w:uiPriority w:val="51"/>
    <w:rsid w:val="0014398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5">
    <w:name w:val="Plain Table 5"/>
    <w:basedOn w:val="TableNormal"/>
    <w:uiPriority w:val="45"/>
    <w:rsid w:val="002F056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2Char">
    <w:name w:val="Heading 2 Char"/>
    <w:basedOn w:val="DefaultParagraphFont"/>
    <w:link w:val="Heading2"/>
    <w:uiPriority w:val="9"/>
    <w:rsid w:val="009A7D25"/>
    <w:rPr>
      <w:rFonts w:ascii="Times New Roman" w:eastAsia="Times New Roman" w:hAnsi="Times New Roman" w:cs="Times New Roman"/>
      <w:b/>
      <w:bCs/>
      <w:kern w:val="0"/>
      <w:sz w:val="36"/>
      <w:szCs w:val="36"/>
      <w14:ligatures w14:val="none"/>
    </w:rPr>
  </w:style>
  <w:style w:type="paragraph" w:styleId="ListParagraph">
    <w:name w:val="List Paragraph"/>
    <w:basedOn w:val="Normal"/>
    <w:uiPriority w:val="34"/>
    <w:qFormat/>
    <w:rsid w:val="00803350"/>
    <w:pPr>
      <w:ind w:left="720"/>
      <w:contextualSpacing/>
    </w:pPr>
  </w:style>
  <w:style w:type="character" w:customStyle="1" w:styleId="Heading1Char">
    <w:name w:val="Heading 1 Char"/>
    <w:basedOn w:val="DefaultParagraphFont"/>
    <w:link w:val="Heading1"/>
    <w:uiPriority w:val="9"/>
    <w:rsid w:val="004467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4676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B50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5038"/>
  </w:style>
  <w:style w:type="paragraph" w:styleId="Footer">
    <w:name w:val="footer"/>
    <w:basedOn w:val="Normal"/>
    <w:link w:val="FooterChar"/>
    <w:uiPriority w:val="99"/>
    <w:unhideWhenUsed/>
    <w:rsid w:val="005B50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5038"/>
  </w:style>
  <w:style w:type="paragraph" w:styleId="TOCHeading">
    <w:name w:val="TOC Heading"/>
    <w:basedOn w:val="Heading1"/>
    <w:next w:val="Normal"/>
    <w:uiPriority w:val="39"/>
    <w:unhideWhenUsed/>
    <w:qFormat/>
    <w:rsid w:val="005B5038"/>
    <w:pPr>
      <w:outlineLvl w:val="9"/>
    </w:pPr>
    <w:rPr>
      <w:kern w:val="0"/>
      <w14:ligatures w14:val="none"/>
    </w:rPr>
  </w:style>
  <w:style w:type="paragraph" w:styleId="TOC1">
    <w:name w:val="toc 1"/>
    <w:basedOn w:val="Normal"/>
    <w:next w:val="Normal"/>
    <w:autoRedefine/>
    <w:uiPriority w:val="39"/>
    <w:unhideWhenUsed/>
    <w:rsid w:val="005B5038"/>
    <w:pPr>
      <w:spacing w:after="100"/>
    </w:pPr>
  </w:style>
  <w:style w:type="paragraph" w:styleId="TOC2">
    <w:name w:val="toc 2"/>
    <w:basedOn w:val="Normal"/>
    <w:next w:val="Normal"/>
    <w:autoRedefine/>
    <w:uiPriority w:val="39"/>
    <w:unhideWhenUsed/>
    <w:rsid w:val="005B5038"/>
    <w:pPr>
      <w:spacing w:after="100"/>
      <w:ind w:left="220"/>
    </w:pPr>
  </w:style>
  <w:style w:type="paragraph" w:styleId="TOC3">
    <w:name w:val="toc 3"/>
    <w:basedOn w:val="Normal"/>
    <w:next w:val="Normal"/>
    <w:autoRedefine/>
    <w:uiPriority w:val="39"/>
    <w:unhideWhenUsed/>
    <w:rsid w:val="005B5038"/>
    <w:pPr>
      <w:spacing w:after="100"/>
      <w:ind w:left="440"/>
    </w:pPr>
  </w:style>
  <w:style w:type="paragraph" w:styleId="Caption">
    <w:name w:val="caption"/>
    <w:basedOn w:val="Normal"/>
    <w:next w:val="Normal"/>
    <w:uiPriority w:val="35"/>
    <w:unhideWhenUsed/>
    <w:qFormat/>
    <w:rsid w:val="00D76AE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25966"/>
    <w:pPr>
      <w:spacing w:after="0"/>
    </w:pPr>
  </w:style>
  <w:style w:type="paragraph" w:styleId="NoSpacing">
    <w:name w:val="No Spacing"/>
    <w:link w:val="NoSpacingChar"/>
    <w:uiPriority w:val="1"/>
    <w:qFormat/>
    <w:rsid w:val="00CF4B73"/>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CF4B73"/>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3784">
      <w:bodyDiv w:val="1"/>
      <w:marLeft w:val="0"/>
      <w:marRight w:val="0"/>
      <w:marTop w:val="0"/>
      <w:marBottom w:val="0"/>
      <w:divBdr>
        <w:top w:val="none" w:sz="0" w:space="0" w:color="auto"/>
        <w:left w:val="none" w:sz="0" w:space="0" w:color="auto"/>
        <w:bottom w:val="none" w:sz="0" w:space="0" w:color="auto"/>
        <w:right w:val="none" w:sz="0" w:space="0" w:color="auto"/>
      </w:divBdr>
    </w:div>
    <w:div w:id="43527927">
      <w:bodyDiv w:val="1"/>
      <w:marLeft w:val="0"/>
      <w:marRight w:val="0"/>
      <w:marTop w:val="0"/>
      <w:marBottom w:val="0"/>
      <w:divBdr>
        <w:top w:val="none" w:sz="0" w:space="0" w:color="auto"/>
        <w:left w:val="none" w:sz="0" w:space="0" w:color="auto"/>
        <w:bottom w:val="none" w:sz="0" w:space="0" w:color="auto"/>
        <w:right w:val="none" w:sz="0" w:space="0" w:color="auto"/>
      </w:divBdr>
    </w:div>
    <w:div w:id="52430715">
      <w:bodyDiv w:val="1"/>
      <w:marLeft w:val="0"/>
      <w:marRight w:val="0"/>
      <w:marTop w:val="0"/>
      <w:marBottom w:val="0"/>
      <w:divBdr>
        <w:top w:val="none" w:sz="0" w:space="0" w:color="auto"/>
        <w:left w:val="none" w:sz="0" w:space="0" w:color="auto"/>
        <w:bottom w:val="none" w:sz="0" w:space="0" w:color="auto"/>
        <w:right w:val="none" w:sz="0" w:space="0" w:color="auto"/>
      </w:divBdr>
    </w:div>
    <w:div w:id="60761332">
      <w:bodyDiv w:val="1"/>
      <w:marLeft w:val="0"/>
      <w:marRight w:val="0"/>
      <w:marTop w:val="0"/>
      <w:marBottom w:val="0"/>
      <w:divBdr>
        <w:top w:val="none" w:sz="0" w:space="0" w:color="auto"/>
        <w:left w:val="none" w:sz="0" w:space="0" w:color="auto"/>
        <w:bottom w:val="none" w:sz="0" w:space="0" w:color="auto"/>
        <w:right w:val="none" w:sz="0" w:space="0" w:color="auto"/>
      </w:divBdr>
    </w:div>
    <w:div w:id="70199975">
      <w:bodyDiv w:val="1"/>
      <w:marLeft w:val="0"/>
      <w:marRight w:val="0"/>
      <w:marTop w:val="0"/>
      <w:marBottom w:val="0"/>
      <w:divBdr>
        <w:top w:val="none" w:sz="0" w:space="0" w:color="auto"/>
        <w:left w:val="none" w:sz="0" w:space="0" w:color="auto"/>
        <w:bottom w:val="none" w:sz="0" w:space="0" w:color="auto"/>
        <w:right w:val="none" w:sz="0" w:space="0" w:color="auto"/>
      </w:divBdr>
    </w:div>
    <w:div w:id="77141174">
      <w:bodyDiv w:val="1"/>
      <w:marLeft w:val="0"/>
      <w:marRight w:val="0"/>
      <w:marTop w:val="0"/>
      <w:marBottom w:val="0"/>
      <w:divBdr>
        <w:top w:val="none" w:sz="0" w:space="0" w:color="auto"/>
        <w:left w:val="none" w:sz="0" w:space="0" w:color="auto"/>
        <w:bottom w:val="none" w:sz="0" w:space="0" w:color="auto"/>
        <w:right w:val="none" w:sz="0" w:space="0" w:color="auto"/>
      </w:divBdr>
    </w:div>
    <w:div w:id="78060898">
      <w:bodyDiv w:val="1"/>
      <w:marLeft w:val="0"/>
      <w:marRight w:val="0"/>
      <w:marTop w:val="0"/>
      <w:marBottom w:val="0"/>
      <w:divBdr>
        <w:top w:val="none" w:sz="0" w:space="0" w:color="auto"/>
        <w:left w:val="none" w:sz="0" w:space="0" w:color="auto"/>
        <w:bottom w:val="none" w:sz="0" w:space="0" w:color="auto"/>
        <w:right w:val="none" w:sz="0" w:space="0" w:color="auto"/>
      </w:divBdr>
    </w:div>
    <w:div w:id="82802595">
      <w:bodyDiv w:val="1"/>
      <w:marLeft w:val="0"/>
      <w:marRight w:val="0"/>
      <w:marTop w:val="0"/>
      <w:marBottom w:val="0"/>
      <w:divBdr>
        <w:top w:val="none" w:sz="0" w:space="0" w:color="auto"/>
        <w:left w:val="none" w:sz="0" w:space="0" w:color="auto"/>
        <w:bottom w:val="none" w:sz="0" w:space="0" w:color="auto"/>
        <w:right w:val="none" w:sz="0" w:space="0" w:color="auto"/>
      </w:divBdr>
    </w:div>
    <w:div w:id="100492941">
      <w:bodyDiv w:val="1"/>
      <w:marLeft w:val="0"/>
      <w:marRight w:val="0"/>
      <w:marTop w:val="0"/>
      <w:marBottom w:val="0"/>
      <w:divBdr>
        <w:top w:val="none" w:sz="0" w:space="0" w:color="auto"/>
        <w:left w:val="none" w:sz="0" w:space="0" w:color="auto"/>
        <w:bottom w:val="none" w:sz="0" w:space="0" w:color="auto"/>
        <w:right w:val="none" w:sz="0" w:space="0" w:color="auto"/>
      </w:divBdr>
      <w:divsChild>
        <w:div w:id="1008606447">
          <w:marLeft w:val="0"/>
          <w:marRight w:val="0"/>
          <w:marTop w:val="0"/>
          <w:marBottom w:val="0"/>
          <w:divBdr>
            <w:top w:val="none" w:sz="0" w:space="0" w:color="auto"/>
            <w:left w:val="none" w:sz="0" w:space="0" w:color="auto"/>
            <w:bottom w:val="none" w:sz="0" w:space="0" w:color="auto"/>
            <w:right w:val="none" w:sz="0" w:space="0" w:color="auto"/>
          </w:divBdr>
        </w:div>
      </w:divsChild>
    </w:div>
    <w:div w:id="107898488">
      <w:bodyDiv w:val="1"/>
      <w:marLeft w:val="0"/>
      <w:marRight w:val="0"/>
      <w:marTop w:val="0"/>
      <w:marBottom w:val="0"/>
      <w:divBdr>
        <w:top w:val="none" w:sz="0" w:space="0" w:color="auto"/>
        <w:left w:val="none" w:sz="0" w:space="0" w:color="auto"/>
        <w:bottom w:val="none" w:sz="0" w:space="0" w:color="auto"/>
        <w:right w:val="none" w:sz="0" w:space="0" w:color="auto"/>
      </w:divBdr>
    </w:div>
    <w:div w:id="113720410">
      <w:bodyDiv w:val="1"/>
      <w:marLeft w:val="0"/>
      <w:marRight w:val="0"/>
      <w:marTop w:val="0"/>
      <w:marBottom w:val="0"/>
      <w:divBdr>
        <w:top w:val="none" w:sz="0" w:space="0" w:color="auto"/>
        <w:left w:val="none" w:sz="0" w:space="0" w:color="auto"/>
        <w:bottom w:val="none" w:sz="0" w:space="0" w:color="auto"/>
        <w:right w:val="none" w:sz="0" w:space="0" w:color="auto"/>
      </w:divBdr>
    </w:div>
    <w:div w:id="123158890">
      <w:bodyDiv w:val="1"/>
      <w:marLeft w:val="0"/>
      <w:marRight w:val="0"/>
      <w:marTop w:val="0"/>
      <w:marBottom w:val="0"/>
      <w:divBdr>
        <w:top w:val="none" w:sz="0" w:space="0" w:color="auto"/>
        <w:left w:val="none" w:sz="0" w:space="0" w:color="auto"/>
        <w:bottom w:val="none" w:sz="0" w:space="0" w:color="auto"/>
        <w:right w:val="none" w:sz="0" w:space="0" w:color="auto"/>
      </w:divBdr>
    </w:div>
    <w:div w:id="129518062">
      <w:bodyDiv w:val="1"/>
      <w:marLeft w:val="0"/>
      <w:marRight w:val="0"/>
      <w:marTop w:val="0"/>
      <w:marBottom w:val="0"/>
      <w:divBdr>
        <w:top w:val="none" w:sz="0" w:space="0" w:color="auto"/>
        <w:left w:val="none" w:sz="0" w:space="0" w:color="auto"/>
        <w:bottom w:val="none" w:sz="0" w:space="0" w:color="auto"/>
        <w:right w:val="none" w:sz="0" w:space="0" w:color="auto"/>
      </w:divBdr>
    </w:div>
    <w:div w:id="182867265">
      <w:bodyDiv w:val="1"/>
      <w:marLeft w:val="0"/>
      <w:marRight w:val="0"/>
      <w:marTop w:val="0"/>
      <w:marBottom w:val="0"/>
      <w:divBdr>
        <w:top w:val="none" w:sz="0" w:space="0" w:color="auto"/>
        <w:left w:val="none" w:sz="0" w:space="0" w:color="auto"/>
        <w:bottom w:val="none" w:sz="0" w:space="0" w:color="auto"/>
        <w:right w:val="none" w:sz="0" w:space="0" w:color="auto"/>
      </w:divBdr>
    </w:div>
    <w:div w:id="205341514">
      <w:bodyDiv w:val="1"/>
      <w:marLeft w:val="0"/>
      <w:marRight w:val="0"/>
      <w:marTop w:val="0"/>
      <w:marBottom w:val="0"/>
      <w:divBdr>
        <w:top w:val="none" w:sz="0" w:space="0" w:color="auto"/>
        <w:left w:val="none" w:sz="0" w:space="0" w:color="auto"/>
        <w:bottom w:val="none" w:sz="0" w:space="0" w:color="auto"/>
        <w:right w:val="none" w:sz="0" w:space="0" w:color="auto"/>
      </w:divBdr>
    </w:div>
    <w:div w:id="250815652">
      <w:bodyDiv w:val="1"/>
      <w:marLeft w:val="0"/>
      <w:marRight w:val="0"/>
      <w:marTop w:val="0"/>
      <w:marBottom w:val="0"/>
      <w:divBdr>
        <w:top w:val="none" w:sz="0" w:space="0" w:color="auto"/>
        <w:left w:val="none" w:sz="0" w:space="0" w:color="auto"/>
        <w:bottom w:val="none" w:sz="0" w:space="0" w:color="auto"/>
        <w:right w:val="none" w:sz="0" w:space="0" w:color="auto"/>
      </w:divBdr>
    </w:div>
    <w:div w:id="255942977">
      <w:bodyDiv w:val="1"/>
      <w:marLeft w:val="0"/>
      <w:marRight w:val="0"/>
      <w:marTop w:val="0"/>
      <w:marBottom w:val="0"/>
      <w:divBdr>
        <w:top w:val="none" w:sz="0" w:space="0" w:color="auto"/>
        <w:left w:val="none" w:sz="0" w:space="0" w:color="auto"/>
        <w:bottom w:val="none" w:sz="0" w:space="0" w:color="auto"/>
        <w:right w:val="none" w:sz="0" w:space="0" w:color="auto"/>
      </w:divBdr>
    </w:div>
    <w:div w:id="291717612">
      <w:bodyDiv w:val="1"/>
      <w:marLeft w:val="0"/>
      <w:marRight w:val="0"/>
      <w:marTop w:val="0"/>
      <w:marBottom w:val="0"/>
      <w:divBdr>
        <w:top w:val="none" w:sz="0" w:space="0" w:color="auto"/>
        <w:left w:val="none" w:sz="0" w:space="0" w:color="auto"/>
        <w:bottom w:val="none" w:sz="0" w:space="0" w:color="auto"/>
        <w:right w:val="none" w:sz="0" w:space="0" w:color="auto"/>
      </w:divBdr>
    </w:div>
    <w:div w:id="303706011">
      <w:bodyDiv w:val="1"/>
      <w:marLeft w:val="0"/>
      <w:marRight w:val="0"/>
      <w:marTop w:val="0"/>
      <w:marBottom w:val="0"/>
      <w:divBdr>
        <w:top w:val="none" w:sz="0" w:space="0" w:color="auto"/>
        <w:left w:val="none" w:sz="0" w:space="0" w:color="auto"/>
        <w:bottom w:val="none" w:sz="0" w:space="0" w:color="auto"/>
        <w:right w:val="none" w:sz="0" w:space="0" w:color="auto"/>
      </w:divBdr>
    </w:div>
    <w:div w:id="330566197">
      <w:bodyDiv w:val="1"/>
      <w:marLeft w:val="0"/>
      <w:marRight w:val="0"/>
      <w:marTop w:val="0"/>
      <w:marBottom w:val="0"/>
      <w:divBdr>
        <w:top w:val="none" w:sz="0" w:space="0" w:color="auto"/>
        <w:left w:val="none" w:sz="0" w:space="0" w:color="auto"/>
        <w:bottom w:val="none" w:sz="0" w:space="0" w:color="auto"/>
        <w:right w:val="none" w:sz="0" w:space="0" w:color="auto"/>
      </w:divBdr>
    </w:div>
    <w:div w:id="368066767">
      <w:bodyDiv w:val="1"/>
      <w:marLeft w:val="0"/>
      <w:marRight w:val="0"/>
      <w:marTop w:val="0"/>
      <w:marBottom w:val="0"/>
      <w:divBdr>
        <w:top w:val="none" w:sz="0" w:space="0" w:color="auto"/>
        <w:left w:val="none" w:sz="0" w:space="0" w:color="auto"/>
        <w:bottom w:val="none" w:sz="0" w:space="0" w:color="auto"/>
        <w:right w:val="none" w:sz="0" w:space="0" w:color="auto"/>
      </w:divBdr>
    </w:div>
    <w:div w:id="377436868">
      <w:bodyDiv w:val="1"/>
      <w:marLeft w:val="0"/>
      <w:marRight w:val="0"/>
      <w:marTop w:val="0"/>
      <w:marBottom w:val="0"/>
      <w:divBdr>
        <w:top w:val="none" w:sz="0" w:space="0" w:color="auto"/>
        <w:left w:val="none" w:sz="0" w:space="0" w:color="auto"/>
        <w:bottom w:val="none" w:sz="0" w:space="0" w:color="auto"/>
        <w:right w:val="none" w:sz="0" w:space="0" w:color="auto"/>
      </w:divBdr>
    </w:div>
    <w:div w:id="378433554">
      <w:bodyDiv w:val="1"/>
      <w:marLeft w:val="0"/>
      <w:marRight w:val="0"/>
      <w:marTop w:val="0"/>
      <w:marBottom w:val="0"/>
      <w:divBdr>
        <w:top w:val="none" w:sz="0" w:space="0" w:color="auto"/>
        <w:left w:val="none" w:sz="0" w:space="0" w:color="auto"/>
        <w:bottom w:val="none" w:sz="0" w:space="0" w:color="auto"/>
        <w:right w:val="none" w:sz="0" w:space="0" w:color="auto"/>
      </w:divBdr>
    </w:div>
    <w:div w:id="385758854">
      <w:bodyDiv w:val="1"/>
      <w:marLeft w:val="0"/>
      <w:marRight w:val="0"/>
      <w:marTop w:val="0"/>
      <w:marBottom w:val="0"/>
      <w:divBdr>
        <w:top w:val="none" w:sz="0" w:space="0" w:color="auto"/>
        <w:left w:val="none" w:sz="0" w:space="0" w:color="auto"/>
        <w:bottom w:val="none" w:sz="0" w:space="0" w:color="auto"/>
        <w:right w:val="none" w:sz="0" w:space="0" w:color="auto"/>
      </w:divBdr>
    </w:div>
    <w:div w:id="394813732">
      <w:bodyDiv w:val="1"/>
      <w:marLeft w:val="0"/>
      <w:marRight w:val="0"/>
      <w:marTop w:val="0"/>
      <w:marBottom w:val="0"/>
      <w:divBdr>
        <w:top w:val="none" w:sz="0" w:space="0" w:color="auto"/>
        <w:left w:val="none" w:sz="0" w:space="0" w:color="auto"/>
        <w:bottom w:val="none" w:sz="0" w:space="0" w:color="auto"/>
        <w:right w:val="none" w:sz="0" w:space="0" w:color="auto"/>
      </w:divBdr>
    </w:div>
    <w:div w:id="409473978">
      <w:bodyDiv w:val="1"/>
      <w:marLeft w:val="0"/>
      <w:marRight w:val="0"/>
      <w:marTop w:val="0"/>
      <w:marBottom w:val="0"/>
      <w:divBdr>
        <w:top w:val="none" w:sz="0" w:space="0" w:color="auto"/>
        <w:left w:val="none" w:sz="0" w:space="0" w:color="auto"/>
        <w:bottom w:val="none" w:sz="0" w:space="0" w:color="auto"/>
        <w:right w:val="none" w:sz="0" w:space="0" w:color="auto"/>
      </w:divBdr>
    </w:div>
    <w:div w:id="415327412">
      <w:bodyDiv w:val="1"/>
      <w:marLeft w:val="0"/>
      <w:marRight w:val="0"/>
      <w:marTop w:val="0"/>
      <w:marBottom w:val="0"/>
      <w:divBdr>
        <w:top w:val="none" w:sz="0" w:space="0" w:color="auto"/>
        <w:left w:val="none" w:sz="0" w:space="0" w:color="auto"/>
        <w:bottom w:val="none" w:sz="0" w:space="0" w:color="auto"/>
        <w:right w:val="none" w:sz="0" w:space="0" w:color="auto"/>
      </w:divBdr>
    </w:div>
    <w:div w:id="423258482">
      <w:bodyDiv w:val="1"/>
      <w:marLeft w:val="0"/>
      <w:marRight w:val="0"/>
      <w:marTop w:val="0"/>
      <w:marBottom w:val="0"/>
      <w:divBdr>
        <w:top w:val="none" w:sz="0" w:space="0" w:color="auto"/>
        <w:left w:val="none" w:sz="0" w:space="0" w:color="auto"/>
        <w:bottom w:val="none" w:sz="0" w:space="0" w:color="auto"/>
        <w:right w:val="none" w:sz="0" w:space="0" w:color="auto"/>
      </w:divBdr>
    </w:div>
    <w:div w:id="457577914">
      <w:bodyDiv w:val="1"/>
      <w:marLeft w:val="0"/>
      <w:marRight w:val="0"/>
      <w:marTop w:val="0"/>
      <w:marBottom w:val="0"/>
      <w:divBdr>
        <w:top w:val="none" w:sz="0" w:space="0" w:color="auto"/>
        <w:left w:val="none" w:sz="0" w:space="0" w:color="auto"/>
        <w:bottom w:val="none" w:sz="0" w:space="0" w:color="auto"/>
        <w:right w:val="none" w:sz="0" w:space="0" w:color="auto"/>
      </w:divBdr>
    </w:div>
    <w:div w:id="462697988">
      <w:bodyDiv w:val="1"/>
      <w:marLeft w:val="0"/>
      <w:marRight w:val="0"/>
      <w:marTop w:val="0"/>
      <w:marBottom w:val="0"/>
      <w:divBdr>
        <w:top w:val="none" w:sz="0" w:space="0" w:color="auto"/>
        <w:left w:val="none" w:sz="0" w:space="0" w:color="auto"/>
        <w:bottom w:val="none" w:sz="0" w:space="0" w:color="auto"/>
        <w:right w:val="none" w:sz="0" w:space="0" w:color="auto"/>
      </w:divBdr>
    </w:div>
    <w:div w:id="466973279">
      <w:bodyDiv w:val="1"/>
      <w:marLeft w:val="0"/>
      <w:marRight w:val="0"/>
      <w:marTop w:val="0"/>
      <w:marBottom w:val="0"/>
      <w:divBdr>
        <w:top w:val="none" w:sz="0" w:space="0" w:color="auto"/>
        <w:left w:val="none" w:sz="0" w:space="0" w:color="auto"/>
        <w:bottom w:val="none" w:sz="0" w:space="0" w:color="auto"/>
        <w:right w:val="none" w:sz="0" w:space="0" w:color="auto"/>
      </w:divBdr>
    </w:div>
    <w:div w:id="472798354">
      <w:bodyDiv w:val="1"/>
      <w:marLeft w:val="0"/>
      <w:marRight w:val="0"/>
      <w:marTop w:val="0"/>
      <w:marBottom w:val="0"/>
      <w:divBdr>
        <w:top w:val="none" w:sz="0" w:space="0" w:color="auto"/>
        <w:left w:val="none" w:sz="0" w:space="0" w:color="auto"/>
        <w:bottom w:val="none" w:sz="0" w:space="0" w:color="auto"/>
        <w:right w:val="none" w:sz="0" w:space="0" w:color="auto"/>
      </w:divBdr>
    </w:div>
    <w:div w:id="482430935">
      <w:bodyDiv w:val="1"/>
      <w:marLeft w:val="0"/>
      <w:marRight w:val="0"/>
      <w:marTop w:val="0"/>
      <w:marBottom w:val="0"/>
      <w:divBdr>
        <w:top w:val="none" w:sz="0" w:space="0" w:color="auto"/>
        <w:left w:val="none" w:sz="0" w:space="0" w:color="auto"/>
        <w:bottom w:val="none" w:sz="0" w:space="0" w:color="auto"/>
        <w:right w:val="none" w:sz="0" w:space="0" w:color="auto"/>
      </w:divBdr>
    </w:div>
    <w:div w:id="497575533">
      <w:bodyDiv w:val="1"/>
      <w:marLeft w:val="0"/>
      <w:marRight w:val="0"/>
      <w:marTop w:val="0"/>
      <w:marBottom w:val="0"/>
      <w:divBdr>
        <w:top w:val="none" w:sz="0" w:space="0" w:color="auto"/>
        <w:left w:val="none" w:sz="0" w:space="0" w:color="auto"/>
        <w:bottom w:val="none" w:sz="0" w:space="0" w:color="auto"/>
        <w:right w:val="none" w:sz="0" w:space="0" w:color="auto"/>
      </w:divBdr>
    </w:div>
    <w:div w:id="523638522">
      <w:bodyDiv w:val="1"/>
      <w:marLeft w:val="0"/>
      <w:marRight w:val="0"/>
      <w:marTop w:val="0"/>
      <w:marBottom w:val="0"/>
      <w:divBdr>
        <w:top w:val="none" w:sz="0" w:space="0" w:color="auto"/>
        <w:left w:val="none" w:sz="0" w:space="0" w:color="auto"/>
        <w:bottom w:val="none" w:sz="0" w:space="0" w:color="auto"/>
        <w:right w:val="none" w:sz="0" w:space="0" w:color="auto"/>
      </w:divBdr>
    </w:div>
    <w:div w:id="530192359">
      <w:bodyDiv w:val="1"/>
      <w:marLeft w:val="0"/>
      <w:marRight w:val="0"/>
      <w:marTop w:val="0"/>
      <w:marBottom w:val="0"/>
      <w:divBdr>
        <w:top w:val="none" w:sz="0" w:space="0" w:color="auto"/>
        <w:left w:val="none" w:sz="0" w:space="0" w:color="auto"/>
        <w:bottom w:val="none" w:sz="0" w:space="0" w:color="auto"/>
        <w:right w:val="none" w:sz="0" w:space="0" w:color="auto"/>
      </w:divBdr>
    </w:div>
    <w:div w:id="535235981">
      <w:bodyDiv w:val="1"/>
      <w:marLeft w:val="0"/>
      <w:marRight w:val="0"/>
      <w:marTop w:val="0"/>
      <w:marBottom w:val="0"/>
      <w:divBdr>
        <w:top w:val="none" w:sz="0" w:space="0" w:color="auto"/>
        <w:left w:val="none" w:sz="0" w:space="0" w:color="auto"/>
        <w:bottom w:val="none" w:sz="0" w:space="0" w:color="auto"/>
        <w:right w:val="none" w:sz="0" w:space="0" w:color="auto"/>
      </w:divBdr>
    </w:div>
    <w:div w:id="541214435">
      <w:bodyDiv w:val="1"/>
      <w:marLeft w:val="0"/>
      <w:marRight w:val="0"/>
      <w:marTop w:val="0"/>
      <w:marBottom w:val="0"/>
      <w:divBdr>
        <w:top w:val="none" w:sz="0" w:space="0" w:color="auto"/>
        <w:left w:val="none" w:sz="0" w:space="0" w:color="auto"/>
        <w:bottom w:val="none" w:sz="0" w:space="0" w:color="auto"/>
        <w:right w:val="none" w:sz="0" w:space="0" w:color="auto"/>
      </w:divBdr>
    </w:div>
    <w:div w:id="550579574">
      <w:bodyDiv w:val="1"/>
      <w:marLeft w:val="0"/>
      <w:marRight w:val="0"/>
      <w:marTop w:val="0"/>
      <w:marBottom w:val="0"/>
      <w:divBdr>
        <w:top w:val="none" w:sz="0" w:space="0" w:color="auto"/>
        <w:left w:val="none" w:sz="0" w:space="0" w:color="auto"/>
        <w:bottom w:val="none" w:sz="0" w:space="0" w:color="auto"/>
        <w:right w:val="none" w:sz="0" w:space="0" w:color="auto"/>
      </w:divBdr>
    </w:div>
    <w:div w:id="581304727">
      <w:bodyDiv w:val="1"/>
      <w:marLeft w:val="0"/>
      <w:marRight w:val="0"/>
      <w:marTop w:val="0"/>
      <w:marBottom w:val="0"/>
      <w:divBdr>
        <w:top w:val="none" w:sz="0" w:space="0" w:color="auto"/>
        <w:left w:val="none" w:sz="0" w:space="0" w:color="auto"/>
        <w:bottom w:val="none" w:sz="0" w:space="0" w:color="auto"/>
        <w:right w:val="none" w:sz="0" w:space="0" w:color="auto"/>
      </w:divBdr>
    </w:div>
    <w:div w:id="627393673">
      <w:bodyDiv w:val="1"/>
      <w:marLeft w:val="0"/>
      <w:marRight w:val="0"/>
      <w:marTop w:val="0"/>
      <w:marBottom w:val="0"/>
      <w:divBdr>
        <w:top w:val="none" w:sz="0" w:space="0" w:color="auto"/>
        <w:left w:val="none" w:sz="0" w:space="0" w:color="auto"/>
        <w:bottom w:val="none" w:sz="0" w:space="0" w:color="auto"/>
        <w:right w:val="none" w:sz="0" w:space="0" w:color="auto"/>
      </w:divBdr>
    </w:div>
    <w:div w:id="651716818">
      <w:bodyDiv w:val="1"/>
      <w:marLeft w:val="0"/>
      <w:marRight w:val="0"/>
      <w:marTop w:val="0"/>
      <w:marBottom w:val="0"/>
      <w:divBdr>
        <w:top w:val="none" w:sz="0" w:space="0" w:color="auto"/>
        <w:left w:val="none" w:sz="0" w:space="0" w:color="auto"/>
        <w:bottom w:val="none" w:sz="0" w:space="0" w:color="auto"/>
        <w:right w:val="none" w:sz="0" w:space="0" w:color="auto"/>
      </w:divBdr>
    </w:div>
    <w:div w:id="685255343">
      <w:bodyDiv w:val="1"/>
      <w:marLeft w:val="0"/>
      <w:marRight w:val="0"/>
      <w:marTop w:val="0"/>
      <w:marBottom w:val="0"/>
      <w:divBdr>
        <w:top w:val="none" w:sz="0" w:space="0" w:color="auto"/>
        <w:left w:val="none" w:sz="0" w:space="0" w:color="auto"/>
        <w:bottom w:val="none" w:sz="0" w:space="0" w:color="auto"/>
        <w:right w:val="none" w:sz="0" w:space="0" w:color="auto"/>
      </w:divBdr>
    </w:div>
    <w:div w:id="731276470">
      <w:bodyDiv w:val="1"/>
      <w:marLeft w:val="0"/>
      <w:marRight w:val="0"/>
      <w:marTop w:val="0"/>
      <w:marBottom w:val="0"/>
      <w:divBdr>
        <w:top w:val="none" w:sz="0" w:space="0" w:color="auto"/>
        <w:left w:val="none" w:sz="0" w:space="0" w:color="auto"/>
        <w:bottom w:val="none" w:sz="0" w:space="0" w:color="auto"/>
        <w:right w:val="none" w:sz="0" w:space="0" w:color="auto"/>
      </w:divBdr>
    </w:div>
    <w:div w:id="743916857">
      <w:bodyDiv w:val="1"/>
      <w:marLeft w:val="0"/>
      <w:marRight w:val="0"/>
      <w:marTop w:val="0"/>
      <w:marBottom w:val="0"/>
      <w:divBdr>
        <w:top w:val="none" w:sz="0" w:space="0" w:color="auto"/>
        <w:left w:val="none" w:sz="0" w:space="0" w:color="auto"/>
        <w:bottom w:val="none" w:sz="0" w:space="0" w:color="auto"/>
        <w:right w:val="none" w:sz="0" w:space="0" w:color="auto"/>
      </w:divBdr>
    </w:div>
    <w:div w:id="781611312">
      <w:bodyDiv w:val="1"/>
      <w:marLeft w:val="0"/>
      <w:marRight w:val="0"/>
      <w:marTop w:val="0"/>
      <w:marBottom w:val="0"/>
      <w:divBdr>
        <w:top w:val="none" w:sz="0" w:space="0" w:color="auto"/>
        <w:left w:val="none" w:sz="0" w:space="0" w:color="auto"/>
        <w:bottom w:val="none" w:sz="0" w:space="0" w:color="auto"/>
        <w:right w:val="none" w:sz="0" w:space="0" w:color="auto"/>
      </w:divBdr>
    </w:div>
    <w:div w:id="783114355">
      <w:bodyDiv w:val="1"/>
      <w:marLeft w:val="0"/>
      <w:marRight w:val="0"/>
      <w:marTop w:val="0"/>
      <w:marBottom w:val="0"/>
      <w:divBdr>
        <w:top w:val="none" w:sz="0" w:space="0" w:color="auto"/>
        <w:left w:val="none" w:sz="0" w:space="0" w:color="auto"/>
        <w:bottom w:val="none" w:sz="0" w:space="0" w:color="auto"/>
        <w:right w:val="none" w:sz="0" w:space="0" w:color="auto"/>
      </w:divBdr>
    </w:div>
    <w:div w:id="800421876">
      <w:bodyDiv w:val="1"/>
      <w:marLeft w:val="0"/>
      <w:marRight w:val="0"/>
      <w:marTop w:val="0"/>
      <w:marBottom w:val="0"/>
      <w:divBdr>
        <w:top w:val="none" w:sz="0" w:space="0" w:color="auto"/>
        <w:left w:val="none" w:sz="0" w:space="0" w:color="auto"/>
        <w:bottom w:val="none" w:sz="0" w:space="0" w:color="auto"/>
        <w:right w:val="none" w:sz="0" w:space="0" w:color="auto"/>
      </w:divBdr>
    </w:div>
    <w:div w:id="807744255">
      <w:bodyDiv w:val="1"/>
      <w:marLeft w:val="0"/>
      <w:marRight w:val="0"/>
      <w:marTop w:val="0"/>
      <w:marBottom w:val="0"/>
      <w:divBdr>
        <w:top w:val="none" w:sz="0" w:space="0" w:color="auto"/>
        <w:left w:val="none" w:sz="0" w:space="0" w:color="auto"/>
        <w:bottom w:val="none" w:sz="0" w:space="0" w:color="auto"/>
        <w:right w:val="none" w:sz="0" w:space="0" w:color="auto"/>
      </w:divBdr>
    </w:div>
    <w:div w:id="884374083">
      <w:bodyDiv w:val="1"/>
      <w:marLeft w:val="0"/>
      <w:marRight w:val="0"/>
      <w:marTop w:val="0"/>
      <w:marBottom w:val="0"/>
      <w:divBdr>
        <w:top w:val="none" w:sz="0" w:space="0" w:color="auto"/>
        <w:left w:val="none" w:sz="0" w:space="0" w:color="auto"/>
        <w:bottom w:val="none" w:sz="0" w:space="0" w:color="auto"/>
        <w:right w:val="none" w:sz="0" w:space="0" w:color="auto"/>
      </w:divBdr>
    </w:div>
    <w:div w:id="887569753">
      <w:bodyDiv w:val="1"/>
      <w:marLeft w:val="0"/>
      <w:marRight w:val="0"/>
      <w:marTop w:val="0"/>
      <w:marBottom w:val="0"/>
      <w:divBdr>
        <w:top w:val="none" w:sz="0" w:space="0" w:color="auto"/>
        <w:left w:val="none" w:sz="0" w:space="0" w:color="auto"/>
        <w:bottom w:val="none" w:sz="0" w:space="0" w:color="auto"/>
        <w:right w:val="none" w:sz="0" w:space="0" w:color="auto"/>
      </w:divBdr>
    </w:div>
    <w:div w:id="914318154">
      <w:bodyDiv w:val="1"/>
      <w:marLeft w:val="0"/>
      <w:marRight w:val="0"/>
      <w:marTop w:val="0"/>
      <w:marBottom w:val="0"/>
      <w:divBdr>
        <w:top w:val="none" w:sz="0" w:space="0" w:color="auto"/>
        <w:left w:val="none" w:sz="0" w:space="0" w:color="auto"/>
        <w:bottom w:val="none" w:sz="0" w:space="0" w:color="auto"/>
        <w:right w:val="none" w:sz="0" w:space="0" w:color="auto"/>
      </w:divBdr>
    </w:div>
    <w:div w:id="915356214">
      <w:bodyDiv w:val="1"/>
      <w:marLeft w:val="0"/>
      <w:marRight w:val="0"/>
      <w:marTop w:val="0"/>
      <w:marBottom w:val="0"/>
      <w:divBdr>
        <w:top w:val="none" w:sz="0" w:space="0" w:color="auto"/>
        <w:left w:val="none" w:sz="0" w:space="0" w:color="auto"/>
        <w:bottom w:val="none" w:sz="0" w:space="0" w:color="auto"/>
        <w:right w:val="none" w:sz="0" w:space="0" w:color="auto"/>
      </w:divBdr>
    </w:div>
    <w:div w:id="976297645">
      <w:bodyDiv w:val="1"/>
      <w:marLeft w:val="0"/>
      <w:marRight w:val="0"/>
      <w:marTop w:val="0"/>
      <w:marBottom w:val="0"/>
      <w:divBdr>
        <w:top w:val="none" w:sz="0" w:space="0" w:color="auto"/>
        <w:left w:val="none" w:sz="0" w:space="0" w:color="auto"/>
        <w:bottom w:val="none" w:sz="0" w:space="0" w:color="auto"/>
        <w:right w:val="none" w:sz="0" w:space="0" w:color="auto"/>
      </w:divBdr>
    </w:div>
    <w:div w:id="1006176921">
      <w:bodyDiv w:val="1"/>
      <w:marLeft w:val="0"/>
      <w:marRight w:val="0"/>
      <w:marTop w:val="0"/>
      <w:marBottom w:val="0"/>
      <w:divBdr>
        <w:top w:val="none" w:sz="0" w:space="0" w:color="auto"/>
        <w:left w:val="none" w:sz="0" w:space="0" w:color="auto"/>
        <w:bottom w:val="none" w:sz="0" w:space="0" w:color="auto"/>
        <w:right w:val="none" w:sz="0" w:space="0" w:color="auto"/>
      </w:divBdr>
    </w:div>
    <w:div w:id="1007172133">
      <w:bodyDiv w:val="1"/>
      <w:marLeft w:val="0"/>
      <w:marRight w:val="0"/>
      <w:marTop w:val="0"/>
      <w:marBottom w:val="0"/>
      <w:divBdr>
        <w:top w:val="none" w:sz="0" w:space="0" w:color="auto"/>
        <w:left w:val="none" w:sz="0" w:space="0" w:color="auto"/>
        <w:bottom w:val="none" w:sz="0" w:space="0" w:color="auto"/>
        <w:right w:val="none" w:sz="0" w:space="0" w:color="auto"/>
      </w:divBdr>
    </w:div>
    <w:div w:id="1057170946">
      <w:bodyDiv w:val="1"/>
      <w:marLeft w:val="0"/>
      <w:marRight w:val="0"/>
      <w:marTop w:val="0"/>
      <w:marBottom w:val="0"/>
      <w:divBdr>
        <w:top w:val="none" w:sz="0" w:space="0" w:color="auto"/>
        <w:left w:val="none" w:sz="0" w:space="0" w:color="auto"/>
        <w:bottom w:val="none" w:sz="0" w:space="0" w:color="auto"/>
        <w:right w:val="none" w:sz="0" w:space="0" w:color="auto"/>
      </w:divBdr>
    </w:div>
    <w:div w:id="1065689912">
      <w:bodyDiv w:val="1"/>
      <w:marLeft w:val="0"/>
      <w:marRight w:val="0"/>
      <w:marTop w:val="0"/>
      <w:marBottom w:val="0"/>
      <w:divBdr>
        <w:top w:val="none" w:sz="0" w:space="0" w:color="auto"/>
        <w:left w:val="none" w:sz="0" w:space="0" w:color="auto"/>
        <w:bottom w:val="none" w:sz="0" w:space="0" w:color="auto"/>
        <w:right w:val="none" w:sz="0" w:space="0" w:color="auto"/>
      </w:divBdr>
    </w:div>
    <w:div w:id="1080979757">
      <w:bodyDiv w:val="1"/>
      <w:marLeft w:val="0"/>
      <w:marRight w:val="0"/>
      <w:marTop w:val="0"/>
      <w:marBottom w:val="0"/>
      <w:divBdr>
        <w:top w:val="none" w:sz="0" w:space="0" w:color="auto"/>
        <w:left w:val="none" w:sz="0" w:space="0" w:color="auto"/>
        <w:bottom w:val="none" w:sz="0" w:space="0" w:color="auto"/>
        <w:right w:val="none" w:sz="0" w:space="0" w:color="auto"/>
      </w:divBdr>
    </w:div>
    <w:div w:id="1122116442">
      <w:bodyDiv w:val="1"/>
      <w:marLeft w:val="0"/>
      <w:marRight w:val="0"/>
      <w:marTop w:val="0"/>
      <w:marBottom w:val="0"/>
      <w:divBdr>
        <w:top w:val="none" w:sz="0" w:space="0" w:color="auto"/>
        <w:left w:val="none" w:sz="0" w:space="0" w:color="auto"/>
        <w:bottom w:val="none" w:sz="0" w:space="0" w:color="auto"/>
        <w:right w:val="none" w:sz="0" w:space="0" w:color="auto"/>
      </w:divBdr>
    </w:div>
    <w:div w:id="1127235498">
      <w:bodyDiv w:val="1"/>
      <w:marLeft w:val="0"/>
      <w:marRight w:val="0"/>
      <w:marTop w:val="0"/>
      <w:marBottom w:val="0"/>
      <w:divBdr>
        <w:top w:val="none" w:sz="0" w:space="0" w:color="auto"/>
        <w:left w:val="none" w:sz="0" w:space="0" w:color="auto"/>
        <w:bottom w:val="none" w:sz="0" w:space="0" w:color="auto"/>
        <w:right w:val="none" w:sz="0" w:space="0" w:color="auto"/>
      </w:divBdr>
    </w:div>
    <w:div w:id="1130394071">
      <w:bodyDiv w:val="1"/>
      <w:marLeft w:val="0"/>
      <w:marRight w:val="0"/>
      <w:marTop w:val="0"/>
      <w:marBottom w:val="0"/>
      <w:divBdr>
        <w:top w:val="none" w:sz="0" w:space="0" w:color="auto"/>
        <w:left w:val="none" w:sz="0" w:space="0" w:color="auto"/>
        <w:bottom w:val="none" w:sz="0" w:space="0" w:color="auto"/>
        <w:right w:val="none" w:sz="0" w:space="0" w:color="auto"/>
      </w:divBdr>
    </w:div>
    <w:div w:id="1144663456">
      <w:bodyDiv w:val="1"/>
      <w:marLeft w:val="0"/>
      <w:marRight w:val="0"/>
      <w:marTop w:val="0"/>
      <w:marBottom w:val="0"/>
      <w:divBdr>
        <w:top w:val="none" w:sz="0" w:space="0" w:color="auto"/>
        <w:left w:val="none" w:sz="0" w:space="0" w:color="auto"/>
        <w:bottom w:val="none" w:sz="0" w:space="0" w:color="auto"/>
        <w:right w:val="none" w:sz="0" w:space="0" w:color="auto"/>
      </w:divBdr>
    </w:div>
    <w:div w:id="1145897135">
      <w:bodyDiv w:val="1"/>
      <w:marLeft w:val="0"/>
      <w:marRight w:val="0"/>
      <w:marTop w:val="0"/>
      <w:marBottom w:val="0"/>
      <w:divBdr>
        <w:top w:val="none" w:sz="0" w:space="0" w:color="auto"/>
        <w:left w:val="none" w:sz="0" w:space="0" w:color="auto"/>
        <w:bottom w:val="none" w:sz="0" w:space="0" w:color="auto"/>
        <w:right w:val="none" w:sz="0" w:space="0" w:color="auto"/>
      </w:divBdr>
    </w:div>
    <w:div w:id="1189219256">
      <w:bodyDiv w:val="1"/>
      <w:marLeft w:val="0"/>
      <w:marRight w:val="0"/>
      <w:marTop w:val="0"/>
      <w:marBottom w:val="0"/>
      <w:divBdr>
        <w:top w:val="none" w:sz="0" w:space="0" w:color="auto"/>
        <w:left w:val="none" w:sz="0" w:space="0" w:color="auto"/>
        <w:bottom w:val="none" w:sz="0" w:space="0" w:color="auto"/>
        <w:right w:val="none" w:sz="0" w:space="0" w:color="auto"/>
      </w:divBdr>
    </w:div>
    <w:div w:id="1197767030">
      <w:bodyDiv w:val="1"/>
      <w:marLeft w:val="0"/>
      <w:marRight w:val="0"/>
      <w:marTop w:val="0"/>
      <w:marBottom w:val="0"/>
      <w:divBdr>
        <w:top w:val="none" w:sz="0" w:space="0" w:color="auto"/>
        <w:left w:val="none" w:sz="0" w:space="0" w:color="auto"/>
        <w:bottom w:val="none" w:sz="0" w:space="0" w:color="auto"/>
        <w:right w:val="none" w:sz="0" w:space="0" w:color="auto"/>
      </w:divBdr>
    </w:div>
    <w:div w:id="1210068853">
      <w:bodyDiv w:val="1"/>
      <w:marLeft w:val="0"/>
      <w:marRight w:val="0"/>
      <w:marTop w:val="0"/>
      <w:marBottom w:val="0"/>
      <w:divBdr>
        <w:top w:val="none" w:sz="0" w:space="0" w:color="auto"/>
        <w:left w:val="none" w:sz="0" w:space="0" w:color="auto"/>
        <w:bottom w:val="none" w:sz="0" w:space="0" w:color="auto"/>
        <w:right w:val="none" w:sz="0" w:space="0" w:color="auto"/>
      </w:divBdr>
    </w:div>
    <w:div w:id="1232930125">
      <w:bodyDiv w:val="1"/>
      <w:marLeft w:val="0"/>
      <w:marRight w:val="0"/>
      <w:marTop w:val="0"/>
      <w:marBottom w:val="0"/>
      <w:divBdr>
        <w:top w:val="none" w:sz="0" w:space="0" w:color="auto"/>
        <w:left w:val="none" w:sz="0" w:space="0" w:color="auto"/>
        <w:bottom w:val="none" w:sz="0" w:space="0" w:color="auto"/>
        <w:right w:val="none" w:sz="0" w:space="0" w:color="auto"/>
      </w:divBdr>
    </w:div>
    <w:div w:id="1241525045">
      <w:bodyDiv w:val="1"/>
      <w:marLeft w:val="0"/>
      <w:marRight w:val="0"/>
      <w:marTop w:val="0"/>
      <w:marBottom w:val="0"/>
      <w:divBdr>
        <w:top w:val="none" w:sz="0" w:space="0" w:color="auto"/>
        <w:left w:val="none" w:sz="0" w:space="0" w:color="auto"/>
        <w:bottom w:val="none" w:sz="0" w:space="0" w:color="auto"/>
        <w:right w:val="none" w:sz="0" w:space="0" w:color="auto"/>
      </w:divBdr>
    </w:div>
    <w:div w:id="1252080601">
      <w:bodyDiv w:val="1"/>
      <w:marLeft w:val="0"/>
      <w:marRight w:val="0"/>
      <w:marTop w:val="0"/>
      <w:marBottom w:val="0"/>
      <w:divBdr>
        <w:top w:val="none" w:sz="0" w:space="0" w:color="auto"/>
        <w:left w:val="none" w:sz="0" w:space="0" w:color="auto"/>
        <w:bottom w:val="none" w:sz="0" w:space="0" w:color="auto"/>
        <w:right w:val="none" w:sz="0" w:space="0" w:color="auto"/>
      </w:divBdr>
    </w:div>
    <w:div w:id="1269436210">
      <w:bodyDiv w:val="1"/>
      <w:marLeft w:val="0"/>
      <w:marRight w:val="0"/>
      <w:marTop w:val="0"/>
      <w:marBottom w:val="0"/>
      <w:divBdr>
        <w:top w:val="none" w:sz="0" w:space="0" w:color="auto"/>
        <w:left w:val="none" w:sz="0" w:space="0" w:color="auto"/>
        <w:bottom w:val="none" w:sz="0" w:space="0" w:color="auto"/>
        <w:right w:val="none" w:sz="0" w:space="0" w:color="auto"/>
      </w:divBdr>
    </w:div>
    <w:div w:id="1286622577">
      <w:bodyDiv w:val="1"/>
      <w:marLeft w:val="0"/>
      <w:marRight w:val="0"/>
      <w:marTop w:val="0"/>
      <w:marBottom w:val="0"/>
      <w:divBdr>
        <w:top w:val="none" w:sz="0" w:space="0" w:color="auto"/>
        <w:left w:val="none" w:sz="0" w:space="0" w:color="auto"/>
        <w:bottom w:val="none" w:sz="0" w:space="0" w:color="auto"/>
        <w:right w:val="none" w:sz="0" w:space="0" w:color="auto"/>
      </w:divBdr>
    </w:div>
    <w:div w:id="1349916410">
      <w:bodyDiv w:val="1"/>
      <w:marLeft w:val="0"/>
      <w:marRight w:val="0"/>
      <w:marTop w:val="0"/>
      <w:marBottom w:val="0"/>
      <w:divBdr>
        <w:top w:val="none" w:sz="0" w:space="0" w:color="auto"/>
        <w:left w:val="none" w:sz="0" w:space="0" w:color="auto"/>
        <w:bottom w:val="none" w:sz="0" w:space="0" w:color="auto"/>
        <w:right w:val="none" w:sz="0" w:space="0" w:color="auto"/>
      </w:divBdr>
    </w:div>
    <w:div w:id="1360859661">
      <w:bodyDiv w:val="1"/>
      <w:marLeft w:val="0"/>
      <w:marRight w:val="0"/>
      <w:marTop w:val="0"/>
      <w:marBottom w:val="0"/>
      <w:divBdr>
        <w:top w:val="none" w:sz="0" w:space="0" w:color="auto"/>
        <w:left w:val="none" w:sz="0" w:space="0" w:color="auto"/>
        <w:bottom w:val="none" w:sz="0" w:space="0" w:color="auto"/>
        <w:right w:val="none" w:sz="0" w:space="0" w:color="auto"/>
      </w:divBdr>
    </w:div>
    <w:div w:id="1365135492">
      <w:bodyDiv w:val="1"/>
      <w:marLeft w:val="0"/>
      <w:marRight w:val="0"/>
      <w:marTop w:val="0"/>
      <w:marBottom w:val="0"/>
      <w:divBdr>
        <w:top w:val="none" w:sz="0" w:space="0" w:color="auto"/>
        <w:left w:val="none" w:sz="0" w:space="0" w:color="auto"/>
        <w:bottom w:val="none" w:sz="0" w:space="0" w:color="auto"/>
        <w:right w:val="none" w:sz="0" w:space="0" w:color="auto"/>
      </w:divBdr>
    </w:div>
    <w:div w:id="1365904286">
      <w:bodyDiv w:val="1"/>
      <w:marLeft w:val="0"/>
      <w:marRight w:val="0"/>
      <w:marTop w:val="0"/>
      <w:marBottom w:val="0"/>
      <w:divBdr>
        <w:top w:val="none" w:sz="0" w:space="0" w:color="auto"/>
        <w:left w:val="none" w:sz="0" w:space="0" w:color="auto"/>
        <w:bottom w:val="none" w:sz="0" w:space="0" w:color="auto"/>
        <w:right w:val="none" w:sz="0" w:space="0" w:color="auto"/>
      </w:divBdr>
    </w:div>
    <w:div w:id="1373117404">
      <w:bodyDiv w:val="1"/>
      <w:marLeft w:val="0"/>
      <w:marRight w:val="0"/>
      <w:marTop w:val="0"/>
      <w:marBottom w:val="0"/>
      <w:divBdr>
        <w:top w:val="none" w:sz="0" w:space="0" w:color="auto"/>
        <w:left w:val="none" w:sz="0" w:space="0" w:color="auto"/>
        <w:bottom w:val="none" w:sz="0" w:space="0" w:color="auto"/>
        <w:right w:val="none" w:sz="0" w:space="0" w:color="auto"/>
      </w:divBdr>
    </w:div>
    <w:div w:id="1385760113">
      <w:bodyDiv w:val="1"/>
      <w:marLeft w:val="0"/>
      <w:marRight w:val="0"/>
      <w:marTop w:val="0"/>
      <w:marBottom w:val="0"/>
      <w:divBdr>
        <w:top w:val="none" w:sz="0" w:space="0" w:color="auto"/>
        <w:left w:val="none" w:sz="0" w:space="0" w:color="auto"/>
        <w:bottom w:val="none" w:sz="0" w:space="0" w:color="auto"/>
        <w:right w:val="none" w:sz="0" w:space="0" w:color="auto"/>
      </w:divBdr>
    </w:div>
    <w:div w:id="1405107232">
      <w:bodyDiv w:val="1"/>
      <w:marLeft w:val="0"/>
      <w:marRight w:val="0"/>
      <w:marTop w:val="0"/>
      <w:marBottom w:val="0"/>
      <w:divBdr>
        <w:top w:val="none" w:sz="0" w:space="0" w:color="auto"/>
        <w:left w:val="none" w:sz="0" w:space="0" w:color="auto"/>
        <w:bottom w:val="none" w:sz="0" w:space="0" w:color="auto"/>
        <w:right w:val="none" w:sz="0" w:space="0" w:color="auto"/>
      </w:divBdr>
    </w:div>
    <w:div w:id="1463964239">
      <w:bodyDiv w:val="1"/>
      <w:marLeft w:val="0"/>
      <w:marRight w:val="0"/>
      <w:marTop w:val="0"/>
      <w:marBottom w:val="0"/>
      <w:divBdr>
        <w:top w:val="none" w:sz="0" w:space="0" w:color="auto"/>
        <w:left w:val="none" w:sz="0" w:space="0" w:color="auto"/>
        <w:bottom w:val="none" w:sz="0" w:space="0" w:color="auto"/>
        <w:right w:val="none" w:sz="0" w:space="0" w:color="auto"/>
      </w:divBdr>
    </w:div>
    <w:div w:id="1481071956">
      <w:bodyDiv w:val="1"/>
      <w:marLeft w:val="0"/>
      <w:marRight w:val="0"/>
      <w:marTop w:val="0"/>
      <w:marBottom w:val="0"/>
      <w:divBdr>
        <w:top w:val="none" w:sz="0" w:space="0" w:color="auto"/>
        <w:left w:val="none" w:sz="0" w:space="0" w:color="auto"/>
        <w:bottom w:val="none" w:sz="0" w:space="0" w:color="auto"/>
        <w:right w:val="none" w:sz="0" w:space="0" w:color="auto"/>
      </w:divBdr>
    </w:div>
    <w:div w:id="1510027338">
      <w:bodyDiv w:val="1"/>
      <w:marLeft w:val="0"/>
      <w:marRight w:val="0"/>
      <w:marTop w:val="0"/>
      <w:marBottom w:val="0"/>
      <w:divBdr>
        <w:top w:val="none" w:sz="0" w:space="0" w:color="auto"/>
        <w:left w:val="none" w:sz="0" w:space="0" w:color="auto"/>
        <w:bottom w:val="none" w:sz="0" w:space="0" w:color="auto"/>
        <w:right w:val="none" w:sz="0" w:space="0" w:color="auto"/>
      </w:divBdr>
    </w:div>
    <w:div w:id="1536385024">
      <w:bodyDiv w:val="1"/>
      <w:marLeft w:val="0"/>
      <w:marRight w:val="0"/>
      <w:marTop w:val="0"/>
      <w:marBottom w:val="0"/>
      <w:divBdr>
        <w:top w:val="none" w:sz="0" w:space="0" w:color="auto"/>
        <w:left w:val="none" w:sz="0" w:space="0" w:color="auto"/>
        <w:bottom w:val="none" w:sz="0" w:space="0" w:color="auto"/>
        <w:right w:val="none" w:sz="0" w:space="0" w:color="auto"/>
      </w:divBdr>
    </w:div>
    <w:div w:id="1538395013">
      <w:bodyDiv w:val="1"/>
      <w:marLeft w:val="0"/>
      <w:marRight w:val="0"/>
      <w:marTop w:val="0"/>
      <w:marBottom w:val="0"/>
      <w:divBdr>
        <w:top w:val="none" w:sz="0" w:space="0" w:color="auto"/>
        <w:left w:val="none" w:sz="0" w:space="0" w:color="auto"/>
        <w:bottom w:val="none" w:sz="0" w:space="0" w:color="auto"/>
        <w:right w:val="none" w:sz="0" w:space="0" w:color="auto"/>
      </w:divBdr>
    </w:div>
    <w:div w:id="1538928941">
      <w:bodyDiv w:val="1"/>
      <w:marLeft w:val="0"/>
      <w:marRight w:val="0"/>
      <w:marTop w:val="0"/>
      <w:marBottom w:val="0"/>
      <w:divBdr>
        <w:top w:val="none" w:sz="0" w:space="0" w:color="auto"/>
        <w:left w:val="none" w:sz="0" w:space="0" w:color="auto"/>
        <w:bottom w:val="none" w:sz="0" w:space="0" w:color="auto"/>
        <w:right w:val="none" w:sz="0" w:space="0" w:color="auto"/>
      </w:divBdr>
    </w:div>
    <w:div w:id="1542858398">
      <w:bodyDiv w:val="1"/>
      <w:marLeft w:val="0"/>
      <w:marRight w:val="0"/>
      <w:marTop w:val="0"/>
      <w:marBottom w:val="0"/>
      <w:divBdr>
        <w:top w:val="none" w:sz="0" w:space="0" w:color="auto"/>
        <w:left w:val="none" w:sz="0" w:space="0" w:color="auto"/>
        <w:bottom w:val="none" w:sz="0" w:space="0" w:color="auto"/>
        <w:right w:val="none" w:sz="0" w:space="0" w:color="auto"/>
      </w:divBdr>
    </w:div>
    <w:div w:id="1545215338">
      <w:bodyDiv w:val="1"/>
      <w:marLeft w:val="0"/>
      <w:marRight w:val="0"/>
      <w:marTop w:val="0"/>
      <w:marBottom w:val="0"/>
      <w:divBdr>
        <w:top w:val="none" w:sz="0" w:space="0" w:color="auto"/>
        <w:left w:val="none" w:sz="0" w:space="0" w:color="auto"/>
        <w:bottom w:val="none" w:sz="0" w:space="0" w:color="auto"/>
        <w:right w:val="none" w:sz="0" w:space="0" w:color="auto"/>
      </w:divBdr>
    </w:div>
    <w:div w:id="1550339565">
      <w:bodyDiv w:val="1"/>
      <w:marLeft w:val="0"/>
      <w:marRight w:val="0"/>
      <w:marTop w:val="0"/>
      <w:marBottom w:val="0"/>
      <w:divBdr>
        <w:top w:val="none" w:sz="0" w:space="0" w:color="auto"/>
        <w:left w:val="none" w:sz="0" w:space="0" w:color="auto"/>
        <w:bottom w:val="none" w:sz="0" w:space="0" w:color="auto"/>
        <w:right w:val="none" w:sz="0" w:space="0" w:color="auto"/>
      </w:divBdr>
    </w:div>
    <w:div w:id="1570530228">
      <w:bodyDiv w:val="1"/>
      <w:marLeft w:val="0"/>
      <w:marRight w:val="0"/>
      <w:marTop w:val="0"/>
      <w:marBottom w:val="0"/>
      <w:divBdr>
        <w:top w:val="none" w:sz="0" w:space="0" w:color="auto"/>
        <w:left w:val="none" w:sz="0" w:space="0" w:color="auto"/>
        <w:bottom w:val="none" w:sz="0" w:space="0" w:color="auto"/>
        <w:right w:val="none" w:sz="0" w:space="0" w:color="auto"/>
      </w:divBdr>
    </w:div>
    <w:div w:id="1581475766">
      <w:bodyDiv w:val="1"/>
      <w:marLeft w:val="0"/>
      <w:marRight w:val="0"/>
      <w:marTop w:val="0"/>
      <w:marBottom w:val="0"/>
      <w:divBdr>
        <w:top w:val="none" w:sz="0" w:space="0" w:color="auto"/>
        <w:left w:val="none" w:sz="0" w:space="0" w:color="auto"/>
        <w:bottom w:val="none" w:sz="0" w:space="0" w:color="auto"/>
        <w:right w:val="none" w:sz="0" w:space="0" w:color="auto"/>
      </w:divBdr>
    </w:div>
    <w:div w:id="1585917279">
      <w:bodyDiv w:val="1"/>
      <w:marLeft w:val="0"/>
      <w:marRight w:val="0"/>
      <w:marTop w:val="0"/>
      <w:marBottom w:val="0"/>
      <w:divBdr>
        <w:top w:val="none" w:sz="0" w:space="0" w:color="auto"/>
        <w:left w:val="none" w:sz="0" w:space="0" w:color="auto"/>
        <w:bottom w:val="none" w:sz="0" w:space="0" w:color="auto"/>
        <w:right w:val="none" w:sz="0" w:space="0" w:color="auto"/>
      </w:divBdr>
    </w:div>
    <w:div w:id="1591039085">
      <w:bodyDiv w:val="1"/>
      <w:marLeft w:val="0"/>
      <w:marRight w:val="0"/>
      <w:marTop w:val="0"/>
      <w:marBottom w:val="0"/>
      <w:divBdr>
        <w:top w:val="none" w:sz="0" w:space="0" w:color="auto"/>
        <w:left w:val="none" w:sz="0" w:space="0" w:color="auto"/>
        <w:bottom w:val="none" w:sz="0" w:space="0" w:color="auto"/>
        <w:right w:val="none" w:sz="0" w:space="0" w:color="auto"/>
      </w:divBdr>
    </w:div>
    <w:div w:id="1614052306">
      <w:bodyDiv w:val="1"/>
      <w:marLeft w:val="0"/>
      <w:marRight w:val="0"/>
      <w:marTop w:val="0"/>
      <w:marBottom w:val="0"/>
      <w:divBdr>
        <w:top w:val="none" w:sz="0" w:space="0" w:color="auto"/>
        <w:left w:val="none" w:sz="0" w:space="0" w:color="auto"/>
        <w:bottom w:val="none" w:sz="0" w:space="0" w:color="auto"/>
        <w:right w:val="none" w:sz="0" w:space="0" w:color="auto"/>
      </w:divBdr>
    </w:div>
    <w:div w:id="1631668226">
      <w:bodyDiv w:val="1"/>
      <w:marLeft w:val="0"/>
      <w:marRight w:val="0"/>
      <w:marTop w:val="0"/>
      <w:marBottom w:val="0"/>
      <w:divBdr>
        <w:top w:val="none" w:sz="0" w:space="0" w:color="auto"/>
        <w:left w:val="none" w:sz="0" w:space="0" w:color="auto"/>
        <w:bottom w:val="none" w:sz="0" w:space="0" w:color="auto"/>
        <w:right w:val="none" w:sz="0" w:space="0" w:color="auto"/>
      </w:divBdr>
    </w:div>
    <w:div w:id="1691837096">
      <w:bodyDiv w:val="1"/>
      <w:marLeft w:val="0"/>
      <w:marRight w:val="0"/>
      <w:marTop w:val="0"/>
      <w:marBottom w:val="0"/>
      <w:divBdr>
        <w:top w:val="none" w:sz="0" w:space="0" w:color="auto"/>
        <w:left w:val="none" w:sz="0" w:space="0" w:color="auto"/>
        <w:bottom w:val="none" w:sz="0" w:space="0" w:color="auto"/>
        <w:right w:val="none" w:sz="0" w:space="0" w:color="auto"/>
      </w:divBdr>
    </w:div>
    <w:div w:id="1693263298">
      <w:bodyDiv w:val="1"/>
      <w:marLeft w:val="0"/>
      <w:marRight w:val="0"/>
      <w:marTop w:val="0"/>
      <w:marBottom w:val="0"/>
      <w:divBdr>
        <w:top w:val="none" w:sz="0" w:space="0" w:color="auto"/>
        <w:left w:val="none" w:sz="0" w:space="0" w:color="auto"/>
        <w:bottom w:val="none" w:sz="0" w:space="0" w:color="auto"/>
        <w:right w:val="none" w:sz="0" w:space="0" w:color="auto"/>
      </w:divBdr>
    </w:div>
    <w:div w:id="1697972267">
      <w:bodyDiv w:val="1"/>
      <w:marLeft w:val="0"/>
      <w:marRight w:val="0"/>
      <w:marTop w:val="0"/>
      <w:marBottom w:val="0"/>
      <w:divBdr>
        <w:top w:val="none" w:sz="0" w:space="0" w:color="auto"/>
        <w:left w:val="none" w:sz="0" w:space="0" w:color="auto"/>
        <w:bottom w:val="none" w:sz="0" w:space="0" w:color="auto"/>
        <w:right w:val="none" w:sz="0" w:space="0" w:color="auto"/>
      </w:divBdr>
    </w:div>
    <w:div w:id="1703357755">
      <w:bodyDiv w:val="1"/>
      <w:marLeft w:val="0"/>
      <w:marRight w:val="0"/>
      <w:marTop w:val="0"/>
      <w:marBottom w:val="0"/>
      <w:divBdr>
        <w:top w:val="none" w:sz="0" w:space="0" w:color="auto"/>
        <w:left w:val="none" w:sz="0" w:space="0" w:color="auto"/>
        <w:bottom w:val="none" w:sz="0" w:space="0" w:color="auto"/>
        <w:right w:val="none" w:sz="0" w:space="0" w:color="auto"/>
      </w:divBdr>
    </w:div>
    <w:div w:id="1707289515">
      <w:bodyDiv w:val="1"/>
      <w:marLeft w:val="0"/>
      <w:marRight w:val="0"/>
      <w:marTop w:val="0"/>
      <w:marBottom w:val="0"/>
      <w:divBdr>
        <w:top w:val="none" w:sz="0" w:space="0" w:color="auto"/>
        <w:left w:val="none" w:sz="0" w:space="0" w:color="auto"/>
        <w:bottom w:val="none" w:sz="0" w:space="0" w:color="auto"/>
        <w:right w:val="none" w:sz="0" w:space="0" w:color="auto"/>
      </w:divBdr>
    </w:div>
    <w:div w:id="1711803115">
      <w:bodyDiv w:val="1"/>
      <w:marLeft w:val="0"/>
      <w:marRight w:val="0"/>
      <w:marTop w:val="0"/>
      <w:marBottom w:val="0"/>
      <w:divBdr>
        <w:top w:val="none" w:sz="0" w:space="0" w:color="auto"/>
        <w:left w:val="none" w:sz="0" w:space="0" w:color="auto"/>
        <w:bottom w:val="none" w:sz="0" w:space="0" w:color="auto"/>
        <w:right w:val="none" w:sz="0" w:space="0" w:color="auto"/>
      </w:divBdr>
    </w:div>
    <w:div w:id="1739278826">
      <w:bodyDiv w:val="1"/>
      <w:marLeft w:val="0"/>
      <w:marRight w:val="0"/>
      <w:marTop w:val="0"/>
      <w:marBottom w:val="0"/>
      <w:divBdr>
        <w:top w:val="none" w:sz="0" w:space="0" w:color="auto"/>
        <w:left w:val="none" w:sz="0" w:space="0" w:color="auto"/>
        <w:bottom w:val="none" w:sz="0" w:space="0" w:color="auto"/>
        <w:right w:val="none" w:sz="0" w:space="0" w:color="auto"/>
      </w:divBdr>
    </w:div>
    <w:div w:id="1742823692">
      <w:bodyDiv w:val="1"/>
      <w:marLeft w:val="0"/>
      <w:marRight w:val="0"/>
      <w:marTop w:val="0"/>
      <w:marBottom w:val="0"/>
      <w:divBdr>
        <w:top w:val="none" w:sz="0" w:space="0" w:color="auto"/>
        <w:left w:val="none" w:sz="0" w:space="0" w:color="auto"/>
        <w:bottom w:val="none" w:sz="0" w:space="0" w:color="auto"/>
        <w:right w:val="none" w:sz="0" w:space="0" w:color="auto"/>
      </w:divBdr>
    </w:div>
    <w:div w:id="1758092130">
      <w:bodyDiv w:val="1"/>
      <w:marLeft w:val="0"/>
      <w:marRight w:val="0"/>
      <w:marTop w:val="0"/>
      <w:marBottom w:val="0"/>
      <w:divBdr>
        <w:top w:val="none" w:sz="0" w:space="0" w:color="auto"/>
        <w:left w:val="none" w:sz="0" w:space="0" w:color="auto"/>
        <w:bottom w:val="none" w:sz="0" w:space="0" w:color="auto"/>
        <w:right w:val="none" w:sz="0" w:space="0" w:color="auto"/>
      </w:divBdr>
    </w:div>
    <w:div w:id="1769345535">
      <w:bodyDiv w:val="1"/>
      <w:marLeft w:val="0"/>
      <w:marRight w:val="0"/>
      <w:marTop w:val="0"/>
      <w:marBottom w:val="0"/>
      <w:divBdr>
        <w:top w:val="none" w:sz="0" w:space="0" w:color="auto"/>
        <w:left w:val="none" w:sz="0" w:space="0" w:color="auto"/>
        <w:bottom w:val="none" w:sz="0" w:space="0" w:color="auto"/>
        <w:right w:val="none" w:sz="0" w:space="0" w:color="auto"/>
      </w:divBdr>
    </w:div>
    <w:div w:id="1788499499">
      <w:bodyDiv w:val="1"/>
      <w:marLeft w:val="0"/>
      <w:marRight w:val="0"/>
      <w:marTop w:val="0"/>
      <w:marBottom w:val="0"/>
      <w:divBdr>
        <w:top w:val="none" w:sz="0" w:space="0" w:color="auto"/>
        <w:left w:val="none" w:sz="0" w:space="0" w:color="auto"/>
        <w:bottom w:val="none" w:sz="0" w:space="0" w:color="auto"/>
        <w:right w:val="none" w:sz="0" w:space="0" w:color="auto"/>
      </w:divBdr>
    </w:div>
    <w:div w:id="1812014155">
      <w:bodyDiv w:val="1"/>
      <w:marLeft w:val="0"/>
      <w:marRight w:val="0"/>
      <w:marTop w:val="0"/>
      <w:marBottom w:val="0"/>
      <w:divBdr>
        <w:top w:val="none" w:sz="0" w:space="0" w:color="auto"/>
        <w:left w:val="none" w:sz="0" w:space="0" w:color="auto"/>
        <w:bottom w:val="none" w:sz="0" w:space="0" w:color="auto"/>
        <w:right w:val="none" w:sz="0" w:space="0" w:color="auto"/>
      </w:divBdr>
    </w:div>
    <w:div w:id="1894735328">
      <w:bodyDiv w:val="1"/>
      <w:marLeft w:val="0"/>
      <w:marRight w:val="0"/>
      <w:marTop w:val="0"/>
      <w:marBottom w:val="0"/>
      <w:divBdr>
        <w:top w:val="none" w:sz="0" w:space="0" w:color="auto"/>
        <w:left w:val="none" w:sz="0" w:space="0" w:color="auto"/>
        <w:bottom w:val="none" w:sz="0" w:space="0" w:color="auto"/>
        <w:right w:val="none" w:sz="0" w:space="0" w:color="auto"/>
      </w:divBdr>
    </w:div>
    <w:div w:id="1895847206">
      <w:bodyDiv w:val="1"/>
      <w:marLeft w:val="0"/>
      <w:marRight w:val="0"/>
      <w:marTop w:val="0"/>
      <w:marBottom w:val="0"/>
      <w:divBdr>
        <w:top w:val="none" w:sz="0" w:space="0" w:color="auto"/>
        <w:left w:val="none" w:sz="0" w:space="0" w:color="auto"/>
        <w:bottom w:val="none" w:sz="0" w:space="0" w:color="auto"/>
        <w:right w:val="none" w:sz="0" w:space="0" w:color="auto"/>
      </w:divBdr>
    </w:div>
    <w:div w:id="1912108340">
      <w:bodyDiv w:val="1"/>
      <w:marLeft w:val="0"/>
      <w:marRight w:val="0"/>
      <w:marTop w:val="0"/>
      <w:marBottom w:val="0"/>
      <w:divBdr>
        <w:top w:val="none" w:sz="0" w:space="0" w:color="auto"/>
        <w:left w:val="none" w:sz="0" w:space="0" w:color="auto"/>
        <w:bottom w:val="none" w:sz="0" w:space="0" w:color="auto"/>
        <w:right w:val="none" w:sz="0" w:space="0" w:color="auto"/>
      </w:divBdr>
    </w:div>
    <w:div w:id="1919827151">
      <w:bodyDiv w:val="1"/>
      <w:marLeft w:val="0"/>
      <w:marRight w:val="0"/>
      <w:marTop w:val="0"/>
      <w:marBottom w:val="0"/>
      <w:divBdr>
        <w:top w:val="none" w:sz="0" w:space="0" w:color="auto"/>
        <w:left w:val="none" w:sz="0" w:space="0" w:color="auto"/>
        <w:bottom w:val="none" w:sz="0" w:space="0" w:color="auto"/>
        <w:right w:val="none" w:sz="0" w:space="0" w:color="auto"/>
      </w:divBdr>
    </w:div>
    <w:div w:id="1922988675">
      <w:bodyDiv w:val="1"/>
      <w:marLeft w:val="0"/>
      <w:marRight w:val="0"/>
      <w:marTop w:val="0"/>
      <w:marBottom w:val="0"/>
      <w:divBdr>
        <w:top w:val="none" w:sz="0" w:space="0" w:color="auto"/>
        <w:left w:val="none" w:sz="0" w:space="0" w:color="auto"/>
        <w:bottom w:val="none" w:sz="0" w:space="0" w:color="auto"/>
        <w:right w:val="none" w:sz="0" w:space="0" w:color="auto"/>
      </w:divBdr>
    </w:div>
    <w:div w:id="1954744873">
      <w:bodyDiv w:val="1"/>
      <w:marLeft w:val="0"/>
      <w:marRight w:val="0"/>
      <w:marTop w:val="0"/>
      <w:marBottom w:val="0"/>
      <w:divBdr>
        <w:top w:val="none" w:sz="0" w:space="0" w:color="auto"/>
        <w:left w:val="none" w:sz="0" w:space="0" w:color="auto"/>
        <w:bottom w:val="none" w:sz="0" w:space="0" w:color="auto"/>
        <w:right w:val="none" w:sz="0" w:space="0" w:color="auto"/>
      </w:divBdr>
    </w:div>
    <w:div w:id="1961523744">
      <w:bodyDiv w:val="1"/>
      <w:marLeft w:val="0"/>
      <w:marRight w:val="0"/>
      <w:marTop w:val="0"/>
      <w:marBottom w:val="0"/>
      <w:divBdr>
        <w:top w:val="none" w:sz="0" w:space="0" w:color="auto"/>
        <w:left w:val="none" w:sz="0" w:space="0" w:color="auto"/>
        <w:bottom w:val="none" w:sz="0" w:space="0" w:color="auto"/>
        <w:right w:val="none" w:sz="0" w:space="0" w:color="auto"/>
      </w:divBdr>
    </w:div>
    <w:div w:id="1962148399">
      <w:bodyDiv w:val="1"/>
      <w:marLeft w:val="0"/>
      <w:marRight w:val="0"/>
      <w:marTop w:val="0"/>
      <w:marBottom w:val="0"/>
      <w:divBdr>
        <w:top w:val="none" w:sz="0" w:space="0" w:color="auto"/>
        <w:left w:val="none" w:sz="0" w:space="0" w:color="auto"/>
        <w:bottom w:val="none" w:sz="0" w:space="0" w:color="auto"/>
        <w:right w:val="none" w:sz="0" w:space="0" w:color="auto"/>
      </w:divBdr>
    </w:div>
    <w:div w:id="2047637520">
      <w:bodyDiv w:val="1"/>
      <w:marLeft w:val="0"/>
      <w:marRight w:val="0"/>
      <w:marTop w:val="0"/>
      <w:marBottom w:val="0"/>
      <w:divBdr>
        <w:top w:val="none" w:sz="0" w:space="0" w:color="auto"/>
        <w:left w:val="none" w:sz="0" w:space="0" w:color="auto"/>
        <w:bottom w:val="none" w:sz="0" w:space="0" w:color="auto"/>
        <w:right w:val="none" w:sz="0" w:space="0" w:color="auto"/>
      </w:divBdr>
    </w:div>
    <w:div w:id="2070029008">
      <w:bodyDiv w:val="1"/>
      <w:marLeft w:val="0"/>
      <w:marRight w:val="0"/>
      <w:marTop w:val="0"/>
      <w:marBottom w:val="0"/>
      <w:divBdr>
        <w:top w:val="none" w:sz="0" w:space="0" w:color="auto"/>
        <w:left w:val="none" w:sz="0" w:space="0" w:color="auto"/>
        <w:bottom w:val="none" w:sz="0" w:space="0" w:color="auto"/>
        <w:right w:val="none" w:sz="0" w:space="0" w:color="auto"/>
      </w:divBdr>
    </w:div>
    <w:div w:id="2075273931">
      <w:bodyDiv w:val="1"/>
      <w:marLeft w:val="0"/>
      <w:marRight w:val="0"/>
      <w:marTop w:val="0"/>
      <w:marBottom w:val="0"/>
      <w:divBdr>
        <w:top w:val="none" w:sz="0" w:space="0" w:color="auto"/>
        <w:left w:val="none" w:sz="0" w:space="0" w:color="auto"/>
        <w:bottom w:val="none" w:sz="0" w:space="0" w:color="auto"/>
        <w:right w:val="none" w:sz="0" w:space="0" w:color="auto"/>
      </w:divBdr>
    </w:div>
    <w:div w:id="2076734052">
      <w:bodyDiv w:val="1"/>
      <w:marLeft w:val="0"/>
      <w:marRight w:val="0"/>
      <w:marTop w:val="0"/>
      <w:marBottom w:val="0"/>
      <w:divBdr>
        <w:top w:val="none" w:sz="0" w:space="0" w:color="auto"/>
        <w:left w:val="none" w:sz="0" w:space="0" w:color="auto"/>
        <w:bottom w:val="none" w:sz="0" w:space="0" w:color="auto"/>
        <w:right w:val="none" w:sz="0" w:space="0" w:color="auto"/>
      </w:divBdr>
    </w:div>
    <w:div w:id="2092195714">
      <w:bodyDiv w:val="1"/>
      <w:marLeft w:val="0"/>
      <w:marRight w:val="0"/>
      <w:marTop w:val="0"/>
      <w:marBottom w:val="0"/>
      <w:divBdr>
        <w:top w:val="none" w:sz="0" w:space="0" w:color="auto"/>
        <w:left w:val="none" w:sz="0" w:space="0" w:color="auto"/>
        <w:bottom w:val="none" w:sz="0" w:space="0" w:color="auto"/>
        <w:right w:val="none" w:sz="0" w:space="0" w:color="auto"/>
      </w:divBdr>
    </w:div>
    <w:div w:id="2105874939">
      <w:bodyDiv w:val="1"/>
      <w:marLeft w:val="0"/>
      <w:marRight w:val="0"/>
      <w:marTop w:val="0"/>
      <w:marBottom w:val="0"/>
      <w:divBdr>
        <w:top w:val="none" w:sz="0" w:space="0" w:color="auto"/>
        <w:left w:val="none" w:sz="0" w:space="0" w:color="auto"/>
        <w:bottom w:val="none" w:sz="0" w:space="0" w:color="auto"/>
        <w:right w:val="none" w:sz="0" w:space="0" w:color="auto"/>
      </w:divBdr>
    </w:div>
    <w:div w:id="2116243153">
      <w:bodyDiv w:val="1"/>
      <w:marLeft w:val="0"/>
      <w:marRight w:val="0"/>
      <w:marTop w:val="0"/>
      <w:marBottom w:val="0"/>
      <w:divBdr>
        <w:top w:val="none" w:sz="0" w:space="0" w:color="auto"/>
        <w:left w:val="none" w:sz="0" w:space="0" w:color="auto"/>
        <w:bottom w:val="none" w:sz="0" w:space="0" w:color="auto"/>
        <w:right w:val="none" w:sz="0" w:space="0" w:color="auto"/>
      </w:divBdr>
    </w:div>
    <w:div w:id="2133555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esktop\ANIS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Desktop\ANIS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p\Desktop\ANIS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p\Desktop\ANIS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p\Desktop\ANIS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hp\Desktop\ANISA%20CF%202.csv"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Liquidity Ratio</a:t>
            </a:r>
          </a:p>
        </c:rich>
      </c:tx>
      <c:layout>
        <c:manualLayout>
          <c:xMode val="edge"/>
          <c:yMode val="edge"/>
          <c:x val="0.37615966754155733"/>
          <c:y val="2.7777777777777776E-2"/>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walmart!$K$2</c:f>
              <c:strCache>
                <c:ptCount val="1"/>
                <c:pt idx="0">
                  <c:v>Current ratio</c:v>
                </c:pt>
              </c:strCache>
            </c:strRef>
          </c:tx>
          <c:spPr>
            <a:ln w="22225" cap="rnd">
              <a:solidFill>
                <a:schemeClr val="accent1"/>
              </a:solidFill>
            </a:ln>
            <a:effectLst>
              <a:glow rad="139700">
                <a:schemeClr val="accent1">
                  <a:satMod val="175000"/>
                  <a:alpha val="14000"/>
                </a:schemeClr>
              </a:glow>
            </a:effectLst>
          </c:spPr>
          <c:marker>
            <c:symbol val="none"/>
          </c:marker>
          <c:cat>
            <c:numRef>
              <c:f>walmart!$L$1:$P$1</c:f>
              <c:numCache>
                <c:formatCode>General</c:formatCode>
                <c:ptCount val="5"/>
                <c:pt idx="0">
                  <c:v>2019</c:v>
                </c:pt>
                <c:pt idx="1">
                  <c:v>2020</c:v>
                </c:pt>
                <c:pt idx="2">
                  <c:v>2021</c:v>
                </c:pt>
                <c:pt idx="3">
                  <c:v>2022</c:v>
                </c:pt>
                <c:pt idx="4">
                  <c:v>2023</c:v>
                </c:pt>
              </c:numCache>
            </c:numRef>
          </c:cat>
          <c:val>
            <c:numRef>
              <c:f>walmart!$L$2:$P$2</c:f>
              <c:numCache>
                <c:formatCode>General</c:formatCode>
                <c:ptCount val="5"/>
                <c:pt idx="0">
                  <c:v>0.8</c:v>
                </c:pt>
                <c:pt idx="1">
                  <c:v>0.79</c:v>
                </c:pt>
                <c:pt idx="2">
                  <c:v>0.97</c:v>
                </c:pt>
                <c:pt idx="3">
                  <c:v>0.93</c:v>
                </c:pt>
                <c:pt idx="4">
                  <c:v>0.82</c:v>
                </c:pt>
              </c:numCache>
            </c:numRef>
          </c:val>
          <c:smooth val="0"/>
          <c:extLst>
            <c:ext xmlns:c16="http://schemas.microsoft.com/office/drawing/2014/chart" uri="{C3380CC4-5D6E-409C-BE32-E72D297353CC}">
              <c16:uniqueId val="{00000000-FFEC-490F-8CFA-4648F4A1BC36}"/>
            </c:ext>
          </c:extLst>
        </c:ser>
        <c:ser>
          <c:idx val="1"/>
          <c:order val="1"/>
          <c:tx>
            <c:strRef>
              <c:f>walmart!$K$3</c:f>
              <c:strCache>
                <c:ptCount val="1"/>
                <c:pt idx="0">
                  <c:v>Quick Ratio</c:v>
                </c:pt>
              </c:strCache>
            </c:strRef>
          </c:tx>
          <c:spPr>
            <a:ln w="22225" cap="rnd">
              <a:solidFill>
                <a:schemeClr val="accent2"/>
              </a:solidFill>
            </a:ln>
            <a:effectLst>
              <a:glow rad="139700">
                <a:schemeClr val="accent2">
                  <a:satMod val="175000"/>
                  <a:alpha val="14000"/>
                </a:schemeClr>
              </a:glow>
            </a:effectLst>
          </c:spPr>
          <c:marker>
            <c:symbol val="none"/>
          </c:marker>
          <c:cat>
            <c:numRef>
              <c:f>walmart!$L$1:$P$1</c:f>
              <c:numCache>
                <c:formatCode>General</c:formatCode>
                <c:ptCount val="5"/>
                <c:pt idx="0">
                  <c:v>2019</c:v>
                </c:pt>
                <c:pt idx="1">
                  <c:v>2020</c:v>
                </c:pt>
                <c:pt idx="2">
                  <c:v>2021</c:v>
                </c:pt>
                <c:pt idx="3">
                  <c:v>2022</c:v>
                </c:pt>
                <c:pt idx="4">
                  <c:v>2023</c:v>
                </c:pt>
              </c:numCache>
            </c:numRef>
          </c:cat>
          <c:val>
            <c:numRef>
              <c:f>walmart!$L$3:$P$3</c:f>
              <c:numCache>
                <c:formatCode>General</c:formatCode>
                <c:ptCount val="5"/>
                <c:pt idx="0">
                  <c:v>0.23</c:v>
                </c:pt>
                <c:pt idx="1">
                  <c:v>0.22</c:v>
                </c:pt>
                <c:pt idx="2">
                  <c:v>0.49</c:v>
                </c:pt>
                <c:pt idx="3">
                  <c:v>0.28999999999999998</c:v>
                </c:pt>
                <c:pt idx="4">
                  <c:v>0.21</c:v>
                </c:pt>
              </c:numCache>
            </c:numRef>
          </c:val>
          <c:smooth val="0"/>
          <c:extLst>
            <c:ext xmlns:c16="http://schemas.microsoft.com/office/drawing/2014/chart" uri="{C3380CC4-5D6E-409C-BE32-E72D297353CC}">
              <c16:uniqueId val="{00000001-FFEC-490F-8CFA-4648F4A1BC36}"/>
            </c:ext>
          </c:extLst>
        </c:ser>
        <c:dLbls>
          <c:showLegendKey val="0"/>
          <c:showVal val="0"/>
          <c:showCatName val="0"/>
          <c:showSerName val="0"/>
          <c:showPercent val="0"/>
          <c:showBubbleSize val="0"/>
        </c:dLbls>
        <c:smooth val="0"/>
        <c:axId val="501055264"/>
        <c:axId val="538598192"/>
      </c:lineChart>
      <c:catAx>
        <c:axId val="50105526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38598192"/>
        <c:crosses val="autoZero"/>
        <c:auto val="1"/>
        <c:lblAlgn val="ctr"/>
        <c:lblOffset val="100"/>
        <c:noMultiLvlLbl val="0"/>
      </c:catAx>
      <c:valAx>
        <c:axId val="53859819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10552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Leverage Ratio</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walmart!$K$8</c:f>
              <c:strCache>
                <c:ptCount val="1"/>
                <c:pt idx="0">
                  <c:v>Debt-to-Equity Ratio</c:v>
                </c:pt>
              </c:strCache>
            </c:strRef>
          </c:tx>
          <c:spPr>
            <a:ln w="22225" cap="rnd">
              <a:solidFill>
                <a:schemeClr val="accent1"/>
              </a:solidFill>
            </a:ln>
            <a:effectLst>
              <a:glow rad="139700">
                <a:schemeClr val="accent1">
                  <a:satMod val="175000"/>
                  <a:alpha val="14000"/>
                </a:schemeClr>
              </a:glow>
            </a:effectLst>
          </c:spPr>
          <c:marker>
            <c:symbol val="none"/>
          </c:marker>
          <c:cat>
            <c:numRef>
              <c:f>walmart!$L$7:$P$7</c:f>
              <c:numCache>
                <c:formatCode>General</c:formatCode>
                <c:ptCount val="5"/>
                <c:pt idx="0">
                  <c:v>2019</c:v>
                </c:pt>
                <c:pt idx="1">
                  <c:v>2020</c:v>
                </c:pt>
                <c:pt idx="2">
                  <c:v>2021</c:v>
                </c:pt>
                <c:pt idx="3">
                  <c:v>2022</c:v>
                </c:pt>
                <c:pt idx="4">
                  <c:v>2023</c:v>
                </c:pt>
              </c:numCache>
            </c:numRef>
          </c:cat>
          <c:val>
            <c:numRef>
              <c:f>walmart!$L$8:$P$8</c:f>
              <c:numCache>
                <c:formatCode>General</c:formatCode>
                <c:ptCount val="5"/>
                <c:pt idx="0">
                  <c:v>0.63</c:v>
                </c:pt>
                <c:pt idx="1">
                  <c:v>0.59</c:v>
                </c:pt>
                <c:pt idx="2">
                  <c:v>0.51</c:v>
                </c:pt>
                <c:pt idx="3">
                  <c:v>0.43</c:v>
                </c:pt>
                <c:pt idx="4">
                  <c:v>0.47</c:v>
                </c:pt>
              </c:numCache>
            </c:numRef>
          </c:val>
          <c:smooth val="0"/>
          <c:extLst>
            <c:ext xmlns:c16="http://schemas.microsoft.com/office/drawing/2014/chart" uri="{C3380CC4-5D6E-409C-BE32-E72D297353CC}">
              <c16:uniqueId val="{00000000-31EF-4459-B8ED-EA26DC229FDA}"/>
            </c:ext>
          </c:extLst>
        </c:ser>
        <c:ser>
          <c:idx val="1"/>
          <c:order val="1"/>
          <c:tx>
            <c:strRef>
              <c:f>walmart!$K$9</c:f>
              <c:strCache>
                <c:ptCount val="1"/>
                <c:pt idx="0">
                  <c:v>Debt-to-Total Assets Ratio</c:v>
                </c:pt>
              </c:strCache>
            </c:strRef>
          </c:tx>
          <c:spPr>
            <a:ln w="22225" cap="rnd">
              <a:solidFill>
                <a:schemeClr val="accent2"/>
              </a:solidFill>
            </a:ln>
            <a:effectLst>
              <a:glow rad="139700">
                <a:schemeClr val="accent2">
                  <a:satMod val="175000"/>
                  <a:alpha val="14000"/>
                </a:schemeClr>
              </a:glow>
            </a:effectLst>
          </c:spPr>
          <c:marker>
            <c:symbol val="none"/>
          </c:marker>
          <c:cat>
            <c:numRef>
              <c:f>walmart!$L$7:$P$7</c:f>
              <c:numCache>
                <c:formatCode>General</c:formatCode>
                <c:ptCount val="5"/>
                <c:pt idx="0">
                  <c:v>2019</c:v>
                </c:pt>
                <c:pt idx="1">
                  <c:v>2020</c:v>
                </c:pt>
                <c:pt idx="2">
                  <c:v>2021</c:v>
                </c:pt>
                <c:pt idx="3">
                  <c:v>2022</c:v>
                </c:pt>
                <c:pt idx="4">
                  <c:v>2023</c:v>
                </c:pt>
              </c:numCache>
            </c:numRef>
          </c:cat>
          <c:val>
            <c:numRef>
              <c:f>walmart!$L$9:$P$9</c:f>
              <c:numCache>
                <c:formatCode>General</c:formatCode>
                <c:ptCount val="5"/>
                <c:pt idx="0">
                  <c:v>0.23</c:v>
                </c:pt>
                <c:pt idx="1">
                  <c:v>0.2</c:v>
                </c:pt>
                <c:pt idx="2">
                  <c:v>0.18</c:v>
                </c:pt>
                <c:pt idx="3">
                  <c:v>0.16</c:v>
                </c:pt>
                <c:pt idx="4">
                  <c:v>0.16</c:v>
                </c:pt>
              </c:numCache>
            </c:numRef>
          </c:val>
          <c:smooth val="0"/>
          <c:extLst>
            <c:ext xmlns:c16="http://schemas.microsoft.com/office/drawing/2014/chart" uri="{C3380CC4-5D6E-409C-BE32-E72D297353CC}">
              <c16:uniqueId val="{00000001-31EF-4459-B8ED-EA26DC229FDA}"/>
            </c:ext>
          </c:extLst>
        </c:ser>
        <c:dLbls>
          <c:showLegendKey val="0"/>
          <c:showVal val="0"/>
          <c:showCatName val="0"/>
          <c:showSerName val="0"/>
          <c:showPercent val="0"/>
          <c:showBubbleSize val="0"/>
        </c:dLbls>
        <c:smooth val="0"/>
        <c:axId val="383329024"/>
        <c:axId val="497751832"/>
      </c:lineChart>
      <c:catAx>
        <c:axId val="38332902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7751832"/>
        <c:crosses val="autoZero"/>
        <c:auto val="1"/>
        <c:lblAlgn val="ctr"/>
        <c:lblOffset val="100"/>
        <c:noMultiLvlLbl val="0"/>
      </c:catAx>
      <c:valAx>
        <c:axId val="49775183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833290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Liquidity Ratio</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target!$L$2</c:f>
              <c:strCache>
                <c:ptCount val="1"/>
                <c:pt idx="0">
                  <c:v>Current ratio</c:v>
                </c:pt>
              </c:strCache>
            </c:strRef>
          </c:tx>
          <c:spPr>
            <a:ln w="22225" cap="rnd">
              <a:solidFill>
                <a:schemeClr val="accent1"/>
              </a:solidFill>
            </a:ln>
            <a:effectLst>
              <a:glow rad="139700">
                <a:schemeClr val="accent1">
                  <a:satMod val="175000"/>
                  <a:alpha val="14000"/>
                </a:schemeClr>
              </a:glow>
            </a:effectLst>
          </c:spPr>
          <c:marker>
            <c:symbol val="none"/>
          </c:marker>
          <c:cat>
            <c:numRef>
              <c:f>target!$M$1:$Q$1</c:f>
              <c:numCache>
                <c:formatCode>General</c:formatCode>
                <c:ptCount val="5"/>
                <c:pt idx="0">
                  <c:v>2019</c:v>
                </c:pt>
                <c:pt idx="1">
                  <c:v>2020</c:v>
                </c:pt>
                <c:pt idx="2">
                  <c:v>2021</c:v>
                </c:pt>
                <c:pt idx="3">
                  <c:v>2022</c:v>
                </c:pt>
                <c:pt idx="4">
                  <c:v>2023</c:v>
                </c:pt>
              </c:numCache>
            </c:numRef>
          </c:cat>
          <c:val>
            <c:numRef>
              <c:f>target!$M$2:$Q$2</c:f>
              <c:numCache>
                <c:formatCode>General</c:formatCode>
                <c:ptCount val="5"/>
                <c:pt idx="0">
                  <c:v>0.83</c:v>
                </c:pt>
                <c:pt idx="1">
                  <c:v>0.89</c:v>
                </c:pt>
                <c:pt idx="2">
                  <c:v>1.03</c:v>
                </c:pt>
                <c:pt idx="3">
                  <c:v>0.99</c:v>
                </c:pt>
                <c:pt idx="4">
                  <c:v>0.91</c:v>
                </c:pt>
              </c:numCache>
            </c:numRef>
          </c:val>
          <c:smooth val="0"/>
          <c:extLst>
            <c:ext xmlns:c16="http://schemas.microsoft.com/office/drawing/2014/chart" uri="{C3380CC4-5D6E-409C-BE32-E72D297353CC}">
              <c16:uniqueId val="{00000000-820A-4611-AEAD-E6091932DA89}"/>
            </c:ext>
          </c:extLst>
        </c:ser>
        <c:ser>
          <c:idx val="1"/>
          <c:order val="1"/>
          <c:tx>
            <c:strRef>
              <c:f>target!$L$3</c:f>
              <c:strCache>
                <c:ptCount val="1"/>
                <c:pt idx="0">
                  <c:v>Quick Ratio</c:v>
                </c:pt>
              </c:strCache>
            </c:strRef>
          </c:tx>
          <c:spPr>
            <a:ln w="22225" cap="rnd">
              <a:solidFill>
                <a:schemeClr val="accent2"/>
              </a:solidFill>
            </a:ln>
            <a:effectLst>
              <a:glow rad="139700">
                <a:schemeClr val="accent2">
                  <a:satMod val="175000"/>
                  <a:alpha val="14000"/>
                </a:schemeClr>
              </a:glow>
            </a:effectLst>
          </c:spPr>
          <c:marker>
            <c:symbol val="none"/>
          </c:marker>
          <c:cat>
            <c:numRef>
              <c:f>target!$M$1:$Q$1</c:f>
              <c:numCache>
                <c:formatCode>General</c:formatCode>
                <c:ptCount val="5"/>
                <c:pt idx="0">
                  <c:v>2019</c:v>
                </c:pt>
                <c:pt idx="1">
                  <c:v>2020</c:v>
                </c:pt>
                <c:pt idx="2">
                  <c:v>2021</c:v>
                </c:pt>
                <c:pt idx="3">
                  <c:v>2022</c:v>
                </c:pt>
                <c:pt idx="4">
                  <c:v>2023</c:v>
                </c:pt>
              </c:numCache>
            </c:numRef>
          </c:cat>
          <c:val>
            <c:numRef>
              <c:f>target!$M$3:$Q$3</c:f>
              <c:numCache>
                <c:formatCode>General</c:formatCode>
                <c:ptCount val="5"/>
                <c:pt idx="0">
                  <c:v>0.21</c:v>
                </c:pt>
                <c:pt idx="1">
                  <c:v>0.26</c:v>
                </c:pt>
                <c:pt idx="2">
                  <c:v>0.5</c:v>
                </c:pt>
                <c:pt idx="3">
                  <c:v>0.36</c:v>
                </c:pt>
                <c:pt idx="4">
                  <c:v>0.23</c:v>
                </c:pt>
              </c:numCache>
            </c:numRef>
          </c:val>
          <c:smooth val="0"/>
          <c:extLst>
            <c:ext xmlns:c16="http://schemas.microsoft.com/office/drawing/2014/chart" uri="{C3380CC4-5D6E-409C-BE32-E72D297353CC}">
              <c16:uniqueId val="{00000001-820A-4611-AEAD-E6091932DA89}"/>
            </c:ext>
          </c:extLst>
        </c:ser>
        <c:dLbls>
          <c:showLegendKey val="0"/>
          <c:showVal val="0"/>
          <c:showCatName val="0"/>
          <c:showSerName val="0"/>
          <c:showPercent val="0"/>
          <c:showBubbleSize val="0"/>
        </c:dLbls>
        <c:smooth val="0"/>
        <c:axId val="502553672"/>
        <c:axId val="502554032"/>
      </c:lineChart>
      <c:catAx>
        <c:axId val="50255367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2554032"/>
        <c:crosses val="autoZero"/>
        <c:auto val="1"/>
        <c:lblAlgn val="ctr"/>
        <c:lblOffset val="100"/>
        <c:noMultiLvlLbl val="0"/>
      </c:catAx>
      <c:valAx>
        <c:axId val="50255403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25536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Leverage Raio</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cked"/>
        <c:varyColors val="0"/>
        <c:ser>
          <c:idx val="0"/>
          <c:order val="0"/>
          <c:tx>
            <c:strRef>
              <c:f>target!$L$8</c:f>
              <c:strCache>
                <c:ptCount val="1"/>
                <c:pt idx="0">
                  <c:v>Debt-to-Equity Ratio</c:v>
                </c:pt>
              </c:strCache>
            </c:strRef>
          </c:tx>
          <c:spPr>
            <a:ln w="22225" cap="rnd">
              <a:solidFill>
                <a:schemeClr val="accent1"/>
              </a:solidFill>
            </a:ln>
            <a:effectLst>
              <a:glow rad="139700">
                <a:schemeClr val="accent1">
                  <a:satMod val="175000"/>
                  <a:alpha val="14000"/>
                </a:schemeClr>
              </a:glow>
            </a:effectLst>
          </c:spPr>
          <c:marker>
            <c:symbol val="none"/>
          </c:marker>
          <c:cat>
            <c:numRef>
              <c:f>target!$M$7:$Q$7</c:f>
              <c:numCache>
                <c:formatCode>General</c:formatCode>
                <c:ptCount val="5"/>
                <c:pt idx="0">
                  <c:v>2019</c:v>
                </c:pt>
                <c:pt idx="1">
                  <c:v>2020</c:v>
                </c:pt>
                <c:pt idx="2">
                  <c:v>2021</c:v>
                </c:pt>
                <c:pt idx="3">
                  <c:v>2022</c:v>
                </c:pt>
                <c:pt idx="4">
                  <c:v>2023</c:v>
                </c:pt>
              </c:numCache>
            </c:numRef>
          </c:cat>
          <c:val>
            <c:numRef>
              <c:f>target!$M$8:$Q$8</c:f>
              <c:numCache>
                <c:formatCode>General</c:formatCode>
                <c:ptCount val="5"/>
                <c:pt idx="0">
                  <c:v>2.9999999999999997E-4</c:v>
                </c:pt>
                <c:pt idx="1">
                  <c:v>2.9999999999999997E-4</c:v>
                </c:pt>
                <c:pt idx="2">
                  <c:v>2.9999999999999997E-4</c:v>
                </c:pt>
                <c:pt idx="3">
                  <c:v>2.9999999999999997E-4</c:v>
                </c:pt>
                <c:pt idx="4">
                  <c:v>4.0000000000000002E-4</c:v>
                </c:pt>
              </c:numCache>
            </c:numRef>
          </c:val>
          <c:smooth val="0"/>
          <c:extLst>
            <c:ext xmlns:c16="http://schemas.microsoft.com/office/drawing/2014/chart" uri="{C3380CC4-5D6E-409C-BE32-E72D297353CC}">
              <c16:uniqueId val="{00000000-FFB5-48E8-A539-1F611E2BEAB1}"/>
            </c:ext>
          </c:extLst>
        </c:ser>
        <c:ser>
          <c:idx val="1"/>
          <c:order val="1"/>
          <c:tx>
            <c:strRef>
              <c:f>target!$L$9</c:f>
              <c:strCache>
                <c:ptCount val="1"/>
                <c:pt idx="0">
                  <c:v>Debt-to-Total Assets Ratio</c:v>
                </c:pt>
              </c:strCache>
            </c:strRef>
          </c:tx>
          <c:spPr>
            <a:ln w="22225" cap="rnd">
              <a:solidFill>
                <a:schemeClr val="accent2"/>
              </a:solidFill>
            </a:ln>
            <a:effectLst>
              <a:glow rad="139700">
                <a:schemeClr val="accent2">
                  <a:satMod val="175000"/>
                  <a:alpha val="14000"/>
                </a:schemeClr>
              </a:glow>
            </a:effectLst>
          </c:spPr>
          <c:marker>
            <c:symbol val="none"/>
          </c:marker>
          <c:cat>
            <c:numRef>
              <c:f>target!$M$7:$Q$7</c:f>
              <c:numCache>
                <c:formatCode>General</c:formatCode>
                <c:ptCount val="5"/>
                <c:pt idx="0">
                  <c:v>2019</c:v>
                </c:pt>
                <c:pt idx="1">
                  <c:v>2020</c:v>
                </c:pt>
                <c:pt idx="2">
                  <c:v>2021</c:v>
                </c:pt>
                <c:pt idx="3">
                  <c:v>2022</c:v>
                </c:pt>
                <c:pt idx="4">
                  <c:v>2023</c:v>
                </c:pt>
              </c:numCache>
            </c:numRef>
          </c:cat>
          <c:val>
            <c:numRef>
              <c:f>target!$M$9:$Q$9</c:f>
              <c:numCache>
                <c:formatCode>General</c:formatCode>
                <c:ptCount val="5"/>
                <c:pt idx="0">
                  <c:v>2.9999999999999997E-4</c:v>
                </c:pt>
                <c:pt idx="1">
                  <c:v>2.9999999999999997E-4</c:v>
                </c:pt>
                <c:pt idx="2">
                  <c:v>2.9999999999999997E-4</c:v>
                </c:pt>
                <c:pt idx="3">
                  <c:v>2.9999999999999997E-4</c:v>
                </c:pt>
                <c:pt idx="4">
                  <c:v>4.0000000000000002E-4</c:v>
                </c:pt>
              </c:numCache>
            </c:numRef>
          </c:val>
          <c:smooth val="0"/>
          <c:extLst>
            <c:ext xmlns:c16="http://schemas.microsoft.com/office/drawing/2014/chart" uri="{C3380CC4-5D6E-409C-BE32-E72D297353CC}">
              <c16:uniqueId val="{00000001-FFB5-48E8-A539-1F611E2BEAB1}"/>
            </c:ext>
          </c:extLst>
        </c:ser>
        <c:dLbls>
          <c:showLegendKey val="0"/>
          <c:showVal val="0"/>
          <c:showCatName val="0"/>
          <c:showSerName val="0"/>
          <c:showPercent val="0"/>
          <c:showBubbleSize val="0"/>
        </c:dLbls>
        <c:smooth val="0"/>
        <c:axId val="496644856"/>
        <c:axId val="496644496"/>
      </c:lineChart>
      <c:catAx>
        <c:axId val="49664485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6644496"/>
        <c:crosses val="autoZero"/>
        <c:auto val="1"/>
        <c:lblAlgn val="ctr"/>
        <c:lblOffset val="100"/>
        <c:noMultiLvlLbl val="0"/>
      </c:catAx>
      <c:valAx>
        <c:axId val="49664449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66448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Comparison of Liquidity and Leverage Ratios of Walmart &amp; Target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cked"/>
        <c:varyColors val="0"/>
        <c:ser>
          <c:idx val="0"/>
          <c:order val="0"/>
          <c:tx>
            <c:strRef>
              <c:f>compariosn!$A$2:$B$2</c:f>
              <c:strCache>
                <c:ptCount val="2"/>
                <c:pt idx="0">
                  <c:v>Walmart</c:v>
                </c:pt>
                <c:pt idx="1">
                  <c:v>Current ratio</c:v>
                </c:pt>
              </c:strCache>
            </c:strRef>
          </c:tx>
          <c:spPr>
            <a:ln w="22225" cap="rnd">
              <a:solidFill>
                <a:schemeClr val="accent1"/>
              </a:solidFill>
            </a:ln>
            <a:effectLst>
              <a:glow rad="139700">
                <a:schemeClr val="accent1">
                  <a:satMod val="175000"/>
                  <a:alpha val="14000"/>
                </a:schemeClr>
              </a:glow>
            </a:effectLst>
          </c:spPr>
          <c:marker>
            <c:symbol val="none"/>
          </c:marker>
          <c:cat>
            <c:numRef>
              <c:f>compariosn!$C$1:$G$1</c:f>
              <c:numCache>
                <c:formatCode>General</c:formatCode>
                <c:ptCount val="5"/>
                <c:pt idx="0">
                  <c:v>2019</c:v>
                </c:pt>
                <c:pt idx="1">
                  <c:v>2020</c:v>
                </c:pt>
                <c:pt idx="2">
                  <c:v>2021</c:v>
                </c:pt>
                <c:pt idx="3">
                  <c:v>2022</c:v>
                </c:pt>
                <c:pt idx="4">
                  <c:v>2023</c:v>
                </c:pt>
              </c:numCache>
            </c:numRef>
          </c:cat>
          <c:val>
            <c:numRef>
              <c:f>compariosn!$C$2:$G$2</c:f>
              <c:numCache>
                <c:formatCode>General</c:formatCode>
                <c:ptCount val="5"/>
                <c:pt idx="0">
                  <c:v>0.8</c:v>
                </c:pt>
                <c:pt idx="1">
                  <c:v>0.79</c:v>
                </c:pt>
                <c:pt idx="2">
                  <c:v>0.97</c:v>
                </c:pt>
                <c:pt idx="3">
                  <c:v>0.93</c:v>
                </c:pt>
                <c:pt idx="4">
                  <c:v>0.82</c:v>
                </c:pt>
              </c:numCache>
            </c:numRef>
          </c:val>
          <c:smooth val="0"/>
          <c:extLst>
            <c:ext xmlns:c16="http://schemas.microsoft.com/office/drawing/2014/chart" uri="{C3380CC4-5D6E-409C-BE32-E72D297353CC}">
              <c16:uniqueId val="{00000000-A821-4B09-B60C-E314E09A52B1}"/>
            </c:ext>
          </c:extLst>
        </c:ser>
        <c:ser>
          <c:idx val="1"/>
          <c:order val="1"/>
          <c:tx>
            <c:strRef>
              <c:f>compariosn!$A$3:$B$3</c:f>
              <c:strCache>
                <c:ptCount val="2"/>
                <c:pt idx="0">
                  <c:v>Walmart</c:v>
                </c:pt>
                <c:pt idx="1">
                  <c:v>Quick Ratio</c:v>
                </c:pt>
              </c:strCache>
            </c:strRef>
          </c:tx>
          <c:spPr>
            <a:ln w="22225" cap="rnd">
              <a:solidFill>
                <a:schemeClr val="accent2"/>
              </a:solidFill>
            </a:ln>
            <a:effectLst>
              <a:glow rad="139700">
                <a:schemeClr val="accent2">
                  <a:satMod val="175000"/>
                  <a:alpha val="14000"/>
                </a:schemeClr>
              </a:glow>
            </a:effectLst>
          </c:spPr>
          <c:marker>
            <c:symbol val="none"/>
          </c:marker>
          <c:cat>
            <c:numRef>
              <c:f>compariosn!$C$1:$G$1</c:f>
              <c:numCache>
                <c:formatCode>General</c:formatCode>
                <c:ptCount val="5"/>
                <c:pt idx="0">
                  <c:v>2019</c:v>
                </c:pt>
                <c:pt idx="1">
                  <c:v>2020</c:v>
                </c:pt>
                <c:pt idx="2">
                  <c:v>2021</c:v>
                </c:pt>
                <c:pt idx="3">
                  <c:v>2022</c:v>
                </c:pt>
                <c:pt idx="4">
                  <c:v>2023</c:v>
                </c:pt>
              </c:numCache>
            </c:numRef>
          </c:cat>
          <c:val>
            <c:numRef>
              <c:f>compariosn!$C$3:$G$3</c:f>
              <c:numCache>
                <c:formatCode>General</c:formatCode>
                <c:ptCount val="5"/>
                <c:pt idx="0">
                  <c:v>0.23</c:v>
                </c:pt>
                <c:pt idx="1">
                  <c:v>0.22</c:v>
                </c:pt>
                <c:pt idx="2">
                  <c:v>0.49</c:v>
                </c:pt>
                <c:pt idx="3">
                  <c:v>0.28999999999999998</c:v>
                </c:pt>
                <c:pt idx="4">
                  <c:v>0.21</c:v>
                </c:pt>
              </c:numCache>
            </c:numRef>
          </c:val>
          <c:smooth val="0"/>
          <c:extLst>
            <c:ext xmlns:c16="http://schemas.microsoft.com/office/drawing/2014/chart" uri="{C3380CC4-5D6E-409C-BE32-E72D297353CC}">
              <c16:uniqueId val="{00000001-A821-4B09-B60C-E314E09A52B1}"/>
            </c:ext>
          </c:extLst>
        </c:ser>
        <c:ser>
          <c:idx val="2"/>
          <c:order val="2"/>
          <c:tx>
            <c:strRef>
              <c:f>compariosn!$A$4:$B$4</c:f>
              <c:strCache>
                <c:ptCount val="2"/>
                <c:pt idx="0">
                  <c:v>Target</c:v>
                </c:pt>
                <c:pt idx="1">
                  <c:v>Current ratio</c:v>
                </c:pt>
              </c:strCache>
            </c:strRef>
          </c:tx>
          <c:spPr>
            <a:ln w="22225" cap="rnd">
              <a:solidFill>
                <a:schemeClr val="accent3"/>
              </a:solidFill>
            </a:ln>
            <a:effectLst>
              <a:glow rad="139700">
                <a:schemeClr val="accent3">
                  <a:satMod val="175000"/>
                  <a:alpha val="14000"/>
                </a:schemeClr>
              </a:glow>
            </a:effectLst>
          </c:spPr>
          <c:marker>
            <c:symbol val="none"/>
          </c:marker>
          <c:cat>
            <c:numRef>
              <c:f>compariosn!$C$1:$G$1</c:f>
              <c:numCache>
                <c:formatCode>General</c:formatCode>
                <c:ptCount val="5"/>
                <c:pt idx="0">
                  <c:v>2019</c:v>
                </c:pt>
                <c:pt idx="1">
                  <c:v>2020</c:v>
                </c:pt>
                <c:pt idx="2">
                  <c:v>2021</c:v>
                </c:pt>
                <c:pt idx="3">
                  <c:v>2022</c:v>
                </c:pt>
                <c:pt idx="4">
                  <c:v>2023</c:v>
                </c:pt>
              </c:numCache>
            </c:numRef>
          </c:cat>
          <c:val>
            <c:numRef>
              <c:f>compariosn!$C$4:$G$4</c:f>
              <c:numCache>
                <c:formatCode>General</c:formatCode>
                <c:ptCount val="5"/>
                <c:pt idx="0">
                  <c:v>0.83</c:v>
                </c:pt>
                <c:pt idx="1">
                  <c:v>0.89</c:v>
                </c:pt>
                <c:pt idx="2">
                  <c:v>1.03</c:v>
                </c:pt>
                <c:pt idx="3">
                  <c:v>0.99</c:v>
                </c:pt>
                <c:pt idx="4">
                  <c:v>0.91</c:v>
                </c:pt>
              </c:numCache>
            </c:numRef>
          </c:val>
          <c:smooth val="0"/>
          <c:extLst>
            <c:ext xmlns:c16="http://schemas.microsoft.com/office/drawing/2014/chart" uri="{C3380CC4-5D6E-409C-BE32-E72D297353CC}">
              <c16:uniqueId val="{00000002-A821-4B09-B60C-E314E09A52B1}"/>
            </c:ext>
          </c:extLst>
        </c:ser>
        <c:ser>
          <c:idx val="3"/>
          <c:order val="3"/>
          <c:tx>
            <c:strRef>
              <c:f>compariosn!$A$5:$B$5</c:f>
              <c:strCache>
                <c:ptCount val="2"/>
                <c:pt idx="0">
                  <c:v>Target</c:v>
                </c:pt>
                <c:pt idx="1">
                  <c:v>Quick Ratio</c:v>
                </c:pt>
              </c:strCache>
            </c:strRef>
          </c:tx>
          <c:spPr>
            <a:ln w="22225" cap="rnd">
              <a:solidFill>
                <a:schemeClr val="accent4"/>
              </a:solidFill>
            </a:ln>
            <a:effectLst>
              <a:glow rad="139700">
                <a:schemeClr val="accent4">
                  <a:satMod val="175000"/>
                  <a:alpha val="14000"/>
                </a:schemeClr>
              </a:glow>
            </a:effectLst>
          </c:spPr>
          <c:marker>
            <c:symbol val="none"/>
          </c:marker>
          <c:cat>
            <c:numRef>
              <c:f>compariosn!$C$1:$G$1</c:f>
              <c:numCache>
                <c:formatCode>General</c:formatCode>
                <c:ptCount val="5"/>
                <c:pt idx="0">
                  <c:v>2019</c:v>
                </c:pt>
                <c:pt idx="1">
                  <c:v>2020</c:v>
                </c:pt>
                <c:pt idx="2">
                  <c:v>2021</c:v>
                </c:pt>
                <c:pt idx="3">
                  <c:v>2022</c:v>
                </c:pt>
                <c:pt idx="4">
                  <c:v>2023</c:v>
                </c:pt>
              </c:numCache>
            </c:numRef>
          </c:cat>
          <c:val>
            <c:numRef>
              <c:f>compariosn!$C$5:$G$5</c:f>
              <c:numCache>
                <c:formatCode>General</c:formatCode>
                <c:ptCount val="5"/>
                <c:pt idx="0">
                  <c:v>0.21</c:v>
                </c:pt>
                <c:pt idx="1">
                  <c:v>0.26</c:v>
                </c:pt>
                <c:pt idx="2">
                  <c:v>0.5</c:v>
                </c:pt>
                <c:pt idx="3">
                  <c:v>0.36</c:v>
                </c:pt>
                <c:pt idx="4">
                  <c:v>0.23</c:v>
                </c:pt>
              </c:numCache>
            </c:numRef>
          </c:val>
          <c:smooth val="0"/>
          <c:extLst>
            <c:ext xmlns:c16="http://schemas.microsoft.com/office/drawing/2014/chart" uri="{C3380CC4-5D6E-409C-BE32-E72D297353CC}">
              <c16:uniqueId val="{00000003-A821-4B09-B60C-E314E09A52B1}"/>
            </c:ext>
          </c:extLst>
        </c:ser>
        <c:dLbls>
          <c:showLegendKey val="0"/>
          <c:showVal val="0"/>
          <c:showCatName val="0"/>
          <c:showSerName val="0"/>
          <c:showPercent val="0"/>
          <c:showBubbleSize val="0"/>
        </c:dLbls>
        <c:smooth val="0"/>
        <c:axId val="497746792"/>
        <c:axId val="497747152"/>
      </c:lineChart>
      <c:catAx>
        <c:axId val="49774679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7747152"/>
        <c:crosses val="autoZero"/>
        <c:auto val="1"/>
        <c:lblAlgn val="ctr"/>
        <c:lblOffset val="100"/>
        <c:noMultiLvlLbl val="0"/>
      </c:catAx>
      <c:valAx>
        <c:axId val="49774715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774679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Average</a:t>
            </a:r>
            <a:r>
              <a:rPr lang="en-US" baseline="0"/>
              <a:t> </a:t>
            </a:r>
            <a:r>
              <a:rPr lang="en-US"/>
              <a:t>Annual Return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'ANISA CF 2'!$H$1</c:f>
              <c:strCache>
                <c:ptCount val="1"/>
                <c:pt idx="0">
                  <c:v>Return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numRef>
              <c:f>'ANISA CF 2'!$A$2:$A$61</c:f>
              <c:numCache>
                <c:formatCode>m/d/yyyy</c:formatCode>
                <c:ptCount val="60"/>
                <c:pt idx="0">
                  <c:v>43466</c:v>
                </c:pt>
                <c:pt idx="1">
                  <c:v>43497</c:v>
                </c:pt>
                <c:pt idx="2">
                  <c:v>43525</c:v>
                </c:pt>
                <c:pt idx="3">
                  <c:v>43556</c:v>
                </c:pt>
                <c:pt idx="4">
                  <c:v>43586</c:v>
                </c:pt>
                <c:pt idx="5">
                  <c:v>43617</c:v>
                </c:pt>
                <c:pt idx="6">
                  <c:v>43647</c:v>
                </c:pt>
                <c:pt idx="7">
                  <c:v>43678</c:v>
                </c:pt>
                <c:pt idx="8">
                  <c:v>43709</c:v>
                </c:pt>
                <c:pt idx="9">
                  <c:v>43739</c:v>
                </c:pt>
                <c:pt idx="10">
                  <c:v>43770</c:v>
                </c:pt>
                <c:pt idx="11">
                  <c:v>43800</c:v>
                </c:pt>
                <c:pt idx="12">
                  <c:v>43831</c:v>
                </c:pt>
                <c:pt idx="13">
                  <c:v>43862</c:v>
                </c:pt>
                <c:pt idx="14">
                  <c:v>43891</c:v>
                </c:pt>
                <c:pt idx="15">
                  <c:v>43922</c:v>
                </c:pt>
                <c:pt idx="16">
                  <c:v>43952</c:v>
                </c:pt>
                <c:pt idx="17">
                  <c:v>43983</c:v>
                </c:pt>
                <c:pt idx="18">
                  <c:v>44013</c:v>
                </c:pt>
                <c:pt idx="19">
                  <c:v>44044</c:v>
                </c:pt>
                <c:pt idx="20">
                  <c:v>44075</c:v>
                </c:pt>
                <c:pt idx="21">
                  <c:v>44105</c:v>
                </c:pt>
                <c:pt idx="22">
                  <c:v>44136</c:v>
                </c:pt>
                <c:pt idx="23">
                  <c:v>44166</c:v>
                </c:pt>
                <c:pt idx="24">
                  <c:v>44197</c:v>
                </c:pt>
                <c:pt idx="25">
                  <c:v>44228</c:v>
                </c:pt>
                <c:pt idx="26">
                  <c:v>44256</c:v>
                </c:pt>
                <c:pt idx="27">
                  <c:v>44287</c:v>
                </c:pt>
                <c:pt idx="28">
                  <c:v>44317</c:v>
                </c:pt>
                <c:pt idx="29">
                  <c:v>44348</c:v>
                </c:pt>
                <c:pt idx="30">
                  <c:v>44378</c:v>
                </c:pt>
                <c:pt idx="31">
                  <c:v>44409</c:v>
                </c:pt>
                <c:pt idx="32">
                  <c:v>44440</c:v>
                </c:pt>
                <c:pt idx="33">
                  <c:v>44470</c:v>
                </c:pt>
                <c:pt idx="34">
                  <c:v>44501</c:v>
                </c:pt>
                <c:pt idx="35">
                  <c:v>44531</c:v>
                </c:pt>
                <c:pt idx="36">
                  <c:v>44562</c:v>
                </c:pt>
                <c:pt idx="37">
                  <c:v>44593</c:v>
                </c:pt>
                <c:pt idx="38">
                  <c:v>44621</c:v>
                </c:pt>
                <c:pt idx="39">
                  <c:v>44652</c:v>
                </c:pt>
                <c:pt idx="40">
                  <c:v>44682</c:v>
                </c:pt>
                <c:pt idx="41">
                  <c:v>44713</c:v>
                </c:pt>
                <c:pt idx="42">
                  <c:v>44743</c:v>
                </c:pt>
                <c:pt idx="43">
                  <c:v>44774</c:v>
                </c:pt>
                <c:pt idx="44">
                  <c:v>44805</c:v>
                </c:pt>
                <c:pt idx="45">
                  <c:v>44835</c:v>
                </c:pt>
                <c:pt idx="46">
                  <c:v>44866</c:v>
                </c:pt>
                <c:pt idx="47">
                  <c:v>44896</c:v>
                </c:pt>
                <c:pt idx="48">
                  <c:v>44927</c:v>
                </c:pt>
                <c:pt idx="49">
                  <c:v>44958</c:v>
                </c:pt>
                <c:pt idx="50">
                  <c:v>44986</c:v>
                </c:pt>
                <c:pt idx="51">
                  <c:v>45017</c:v>
                </c:pt>
                <c:pt idx="52">
                  <c:v>45047</c:v>
                </c:pt>
                <c:pt idx="53">
                  <c:v>45078</c:v>
                </c:pt>
                <c:pt idx="54">
                  <c:v>45108</c:v>
                </c:pt>
                <c:pt idx="55">
                  <c:v>45139</c:v>
                </c:pt>
                <c:pt idx="56">
                  <c:v>45170</c:v>
                </c:pt>
                <c:pt idx="57">
                  <c:v>45200</c:v>
                </c:pt>
                <c:pt idx="58">
                  <c:v>45231</c:v>
                </c:pt>
                <c:pt idx="59">
                  <c:v>45261</c:v>
                </c:pt>
              </c:numCache>
            </c:numRef>
          </c:cat>
          <c:val>
            <c:numRef>
              <c:f>'ANISA CF 2'!$H$2:$H$61</c:f>
              <c:numCache>
                <c:formatCode>0%</c:formatCode>
                <c:ptCount val="60"/>
                <c:pt idx="1">
                  <c:v>3.2975192622051619E-2</c:v>
                </c:pt>
                <c:pt idx="2">
                  <c:v>-1.4749019038045819E-2</c:v>
                </c:pt>
                <c:pt idx="3">
                  <c:v>6.0118607931487045E-2</c:v>
                </c:pt>
                <c:pt idx="4">
                  <c:v>-1.3613573241696653E-2</c:v>
                </c:pt>
                <c:pt idx="5">
                  <c:v>9.5001734411902738E-2</c:v>
                </c:pt>
                <c:pt idx="6">
                  <c:v>-9.9602655586517042E-4</c:v>
                </c:pt>
                <c:pt idx="7">
                  <c:v>3.5151479895646709E-2</c:v>
                </c:pt>
                <c:pt idx="8">
                  <c:v>4.3796753230861851E-2</c:v>
                </c:pt>
                <c:pt idx="9">
                  <c:v>-1.1965188754036959E-2</c:v>
                </c:pt>
                <c:pt idx="10">
                  <c:v>1.560628895361682E-2</c:v>
                </c:pt>
                <c:pt idx="11">
                  <c:v>-2.0990030540025684E-3</c:v>
                </c:pt>
                <c:pt idx="12">
                  <c:v>-3.2282645934541554E-2</c:v>
                </c:pt>
                <c:pt idx="13">
                  <c:v>-5.9481162416232025E-2</c:v>
                </c:pt>
                <c:pt idx="14">
                  <c:v>5.5162984543048577E-2</c:v>
                </c:pt>
                <c:pt idx="15">
                  <c:v>7.452803580808709E-2</c:v>
                </c:pt>
                <c:pt idx="16">
                  <c:v>2.06499318586153E-2</c:v>
                </c:pt>
                <c:pt idx="17">
                  <c:v>-3.0252481124393826E-2</c:v>
                </c:pt>
                <c:pt idx="18">
                  <c:v>8.0314019787806945E-2</c:v>
                </c:pt>
                <c:pt idx="19">
                  <c:v>7.3029399777215565E-2</c:v>
                </c:pt>
                <c:pt idx="20">
                  <c:v>1.1776503180455755E-2</c:v>
                </c:pt>
                <c:pt idx="21">
                  <c:v>-8.2907661913627084E-3</c:v>
                </c:pt>
                <c:pt idx="22">
                  <c:v>0.10118931091503058</c:v>
                </c:pt>
                <c:pt idx="23">
                  <c:v>-5.6548311401065754E-2</c:v>
                </c:pt>
                <c:pt idx="24">
                  <c:v>-2.1827736829325262E-2</c:v>
                </c:pt>
                <c:pt idx="25">
                  <c:v>-7.5236736293914475E-2</c:v>
                </c:pt>
                <c:pt idx="26">
                  <c:v>4.5489758823420212E-2</c:v>
                </c:pt>
                <c:pt idx="27">
                  <c:v>3.4337898712239578E-2</c:v>
                </c:pt>
                <c:pt idx="28">
                  <c:v>1.5152687786647023E-2</c:v>
                </c:pt>
                <c:pt idx="29">
                  <c:v>-3.2120194640402611E-3</c:v>
                </c:pt>
                <c:pt idx="30">
                  <c:v>1.084944496040352E-2</c:v>
                </c:pt>
                <c:pt idx="31">
                  <c:v>3.8933919400376604E-2</c:v>
                </c:pt>
                <c:pt idx="32">
                  <c:v>-5.5415968591032039E-2</c:v>
                </c:pt>
                <c:pt idx="33">
                  <c:v>7.2033122304023145E-2</c:v>
                </c:pt>
                <c:pt idx="34">
                  <c:v>-5.8827465525608802E-2</c:v>
                </c:pt>
                <c:pt idx="35">
                  <c:v>2.8870194724224918E-2</c:v>
                </c:pt>
                <c:pt idx="36">
                  <c:v>-2.983676241408606E-2</c:v>
                </c:pt>
                <c:pt idx="37">
                  <c:v>-3.32592033953929E-2</c:v>
                </c:pt>
                <c:pt idx="38">
                  <c:v>0.10180504264342938</c:v>
                </c:pt>
                <c:pt idx="39">
                  <c:v>3.1303507989637103E-2</c:v>
                </c:pt>
                <c:pt idx="40">
                  <c:v>-0.15922607819810786</c:v>
                </c:pt>
                <c:pt idx="41">
                  <c:v>-5.1372529514545295E-2</c:v>
                </c:pt>
                <c:pt idx="42">
                  <c:v>8.6116077189224427E-2</c:v>
                </c:pt>
                <c:pt idx="43">
                  <c:v>3.7863675880904779E-3</c:v>
                </c:pt>
                <c:pt idx="44">
                  <c:v>-1.72397963030817E-2</c:v>
                </c:pt>
                <c:pt idx="45">
                  <c:v>9.7378703596634919E-2</c:v>
                </c:pt>
                <c:pt idx="46">
                  <c:v>7.0891546726007837E-2</c:v>
                </c:pt>
                <c:pt idx="47">
                  <c:v>-6.9741438663883271E-2</c:v>
                </c:pt>
                <c:pt idx="48">
                  <c:v>1.8494683759844976E-2</c:v>
                </c:pt>
                <c:pt idx="49">
                  <c:v>-1.2094331584630802E-2</c:v>
                </c:pt>
                <c:pt idx="50">
                  <c:v>3.7430635508530319E-2</c:v>
                </c:pt>
                <c:pt idx="51">
                  <c:v>2.8068840866277256E-2</c:v>
                </c:pt>
                <c:pt idx="52">
                  <c:v>-2.7157657295038051E-2</c:v>
                </c:pt>
                <c:pt idx="53">
                  <c:v>7.4263504286526505E-2</c:v>
                </c:pt>
                <c:pt idx="54">
                  <c:v>1.7050599617064899E-2</c:v>
                </c:pt>
                <c:pt idx="55">
                  <c:v>1.7202519561616336E-2</c:v>
                </c:pt>
                <c:pt idx="56">
                  <c:v>-1.2984772235987485E-2</c:v>
                </c:pt>
                <c:pt idx="57">
                  <c:v>2.1759558846130345E-2</c:v>
                </c:pt>
                <c:pt idx="58">
                  <c:v>-4.7243237994175291E-2</c:v>
                </c:pt>
                <c:pt idx="59">
                  <c:v>1.2589150296784535E-2</c:v>
                </c:pt>
              </c:numCache>
            </c:numRef>
          </c:val>
          <c:extLst>
            <c:ext xmlns:c16="http://schemas.microsoft.com/office/drawing/2014/chart" uri="{C3380CC4-5D6E-409C-BE32-E72D297353CC}">
              <c16:uniqueId val="{00000000-AA57-4BEF-812C-0FFA52FEEB4F}"/>
            </c:ext>
          </c:extLst>
        </c:ser>
        <c:dLbls>
          <c:showLegendKey val="0"/>
          <c:showVal val="0"/>
          <c:showCatName val="0"/>
          <c:showSerName val="0"/>
          <c:showPercent val="0"/>
          <c:showBubbleSize val="0"/>
        </c:dLbls>
        <c:gapWidth val="150"/>
        <c:shape val="box"/>
        <c:axId val="501052744"/>
        <c:axId val="651115384"/>
        <c:axId val="0"/>
      </c:bar3DChart>
      <c:dateAx>
        <c:axId val="501052744"/>
        <c:scaling>
          <c:orientation val="minMax"/>
        </c:scaling>
        <c:delete val="0"/>
        <c:axPos val="b"/>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51115384"/>
        <c:crosses val="autoZero"/>
        <c:auto val="1"/>
        <c:lblOffset val="100"/>
        <c:baseTimeUnit val="months"/>
      </c:dateAx>
      <c:valAx>
        <c:axId val="651115384"/>
        <c:scaling>
          <c:orientation val="minMax"/>
        </c:scaling>
        <c:delete val="0"/>
        <c:axPos val="l"/>
        <c:majorGridlines>
          <c:spPr>
            <a:ln w="9525" cap="flat" cmpd="sng" algn="ctr">
              <a:solidFill>
                <a:schemeClr val="dk1">
                  <a:lumMod val="50000"/>
                  <a:lumOff val="5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1052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D8332E-63C8-4A66-9A54-846482C40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6216</Words>
  <Characters>35434</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finance</dc:title>
  <dc:subject>24/04/2024</dc:subject>
  <dc:creator>Hani Malik</dc:creator>
  <cp:keywords/>
  <dc:description/>
  <cp:lastModifiedBy>Anisa Salianji</cp:lastModifiedBy>
  <cp:revision>10</cp:revision>
  <dcterms:created xsi:type="dcterms:W3CDTF">2024-04-24T08:59:00Z</dcterms:created>
  <dcterms:modified xsi:type="dcterms:W3CDTF">2024-04-24T09:25:00Z</dcterms:modified>
</cp:coreProperties>
</file>