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6E81E" w14:textId="136918D0" w:rsidR="00F80E9E" w:rsidRPr="00FC1E26" w:rsidRDefault="00080F2C" w:rsidP="00F80E9E">
      <w:pPr>
        <w:rPr>
          <w:b/>
          <w:bCs/>
        </w:rPr>
      </w:pPr>
      <w:r w:rsidRPr="00FC1E26">
        <w:rPr>
          <w:b/>
          <w:bCs/>
        </w:rPr>
        <w:t>------------------------------------------------------------------------------------------------------------------------</w:t>
      </w:r>
    </w:p>
    <w:p w14:paraId="4094AB49" w14:textId="18CCBA61" w:rsidR="00F80E9E" w:rsidRPr="00FC1E26" w:rsidRDefault="00F80E9E" w:rsidP="00080F2C">
      <w:pPr>
        <w:jc w:val="center"/>
        <w:rPr>
          <w:b/>
          <w:bCs/>
          <w:sz w:val="28"/>
          <w:szCs w:val="28"/>
        </w:rPr>
      </w:pPr>
      <w:r w:rsidRPr="00FC1E26">
        <w:rPr>
          <w:b/>
          <w:bCs/>
          <w:sz w:val="28"/>
          <w:szCs w:val="28"/>
        </w:rPr>
        <w:t>From Monologue to Dialogue: Making Every Minute Count</w:t>
      </w:r>
    </w:p>
    <w:p w14:paraId="227BE2FE" w14:textId="77777777" w:rsidR="00F80E9E" w:rsidRPr="00FC1E26" w:rsidRDefault="00F80E9E" w:rsidP="00080F2C">
      <w:pPr>
        <w:jc w:val="center"/>
        <w:rPr>
          <w:b/>
          <w:bCs/>
        </w:rPr>
      </w:pPr>
      <w:r w:rsidRPr="00FC1E26">
        <w:rPr>
          <w:b/>
          <w:bCs/>
        </w:rPr>
        <w:t>“Tell me and I forget. Teach me and I remember. Involve me and I learn.” – Benjamin Franklin</w:t>
      </w:r>
    </w:p>
    <w:p w14:paraId="5E1D78C4" w14:textId="77777777" w:rsidR="00080F2C" w:rsidRPr="00FC1E26" w:rsidRDefault="00080F2C" w:rsidP="00080F2C">
      <w:pPr>
        <w:rPr>
          <w:b/>
          <w:bCs/>
        </w:rPr>
      </w:pPr>
      <w:r w:rsidRPr="00FC1E26">
        <w:rPr>
          <w:b/>
          <w:bCs/>
        </w:rPr>
        <w:t>------------------------------------------------------------------------------------------------------------------------</w:t>
      </w:r>
    </w:p>
    <w:p w14:paraId="406215CD" w14:textId="227C66F6" w:rsidR="00A47C18" w:rsidRPr="00FC1E26" w:rsidRDefault="00B41909" w:rsidP="00A47C18">
      <w:pPr>
        <w:rPr>
          <w:b/>
          <w:bCs/>
          <w:u w:val="single"/>
        </w:rPr>
      </w:pPr>
      <w:r w:rsidRPr="00FC1E26">
        <w:rPr>
          <w:noProof/>
        </w:rPr>
        <w:drawing>
          <wp:anchor distT="0" distB="0" distL="114300" distR="114300" simplePos="0" relativeHeight="251658240" behindDoc="1" locked="0" layoutInCell="1" allowOverlap="1" wp14:anchorId="730D00E8" wp14:editId="07C68BC1">
            <wp:simplePos x="0" y="0"/>
            <wp:positionH relativeFrom="page">
              <wp:posOffset>4139646</wp:posOffset>
            </wp:positionH>
            <wp:positionV relativeFrom="paragraph">
              <wp:posOffset>138781</wp:posOffset>
            </wp:positionV>
            <wp:extent cx="2932390" cy="1955259"/>
            <wp:effectExtent l="0" t="0" r="1905" b="6985"/>
            <wp:wrapTight wrapText="bothSides">
              <wp:wrapPolygon edited="0">
                <wp:start x="0" y="0"/>
                <wp:lineTo x="0" y="21467"/>
                <wp:lineTo x="21474" y="21467"/>
                <wp:lineTo x="21474" y="0"/>
                <wp:lineTo x="0" y="0"/>
              </wp:wrapPolygon>
            </wp:wrapTight>
            <wp:docPr id="799285173" name="Picture 1" descr="A group of people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285173" name="Picture 1" descr="A group of people in a classroom&#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32390" cy="1955259"/>
                    </a:xfrm>
                    <a:prstGeom prst="rect">
                      <a:avLst/>
                    </a:prstGeom>
                    <a:noFill/>
                    <a:ln>
                      <a:noFill/>
                    </a:ln>
                  </pic:spPr>
                </pic:pic>
              </a:graphicData>
            </a:graphic>
            <wp14:sizeRelH relativeFrom="page">
              <wp14:pctWidth>0</wp14:pctWidth>
            </wp14:sizeRelH>
            <wp14:sizeRelV relativeFrom="page">
              <wp14:pctHeight>0</wp14:pctHeight>
            </wp14:sizeRelV>
          </wp:anchor>
        </w:drawing>
      </w:r>
      <w:r w:rsidR="00A47C18" w:rsidRPr="00FC1E26">
        <w:rPr>
          <w:b/>
          <w:bCs/>
          <w:u w:val="single"/>
        </w:rPr>
        <w:t>Setting the Scene: Why Delivery Style Matters</w:t>
      </w:r>
    </w:p>
    <w:p w14:paraId="0DEB2FA5" w14:textId="77777777" w:rsidR="00A47C18" w:rsidRPr="00FC1E26" w:rsidRDefault="00A47C18" w:rsidP="00A47C18">
      <w:r w:rsidRPr="00FC1E26">
        <w:t xml:space="preserve">In criminal justice training, delivery style can make or break learner engagement. It is not only </w:t>
      </w:r>
      <w:r w:rsidRPr="00FC1E26">
        <w:rPr>
          <w:i/>
          <w:iCs/>
        </w:rPr>
        <w:t>what</w:t>
      </w:r>
      <w:r w:rsidRPr="00FC1E26">
        <w:t xml:space="preserve"> is taught but </w:t>
      </w:r>
      <w:r w:rsidRPr="00FC1E26">
        <w:rPr>
          <w:i/>
          <w:iCs/>
        </w:rPr>
        <w:t>how</w:t>
      </w:r>
      <w:r w:rsidRPr="00FC1E26">
        <w:t xml:space="preserve"> it is delivered that determines impact. In this blog, I reflect on a session I delivered on witness interviewing techniques, where I experimented with a more interactive approach. The session included role</w:t>
      </w:r>
      <w:r w:rsidRPr="00FC1E26">
        <w:noBreakHyphen/>
        <w:t>play, group discussion, and condensed theory. My aim was to explore how different delivery methods influenced learner participation and retention, and how I could refine my practice using evidence</w:t>
      </w:r>
      <w:r w:rsidRPr="00FC1E26">
        <w:noBreakHyphen/>
        <w:t>based strategies and learner feedback.</w:t>
      </w:r>
    </w:p>
    <w:p w14:paraId="33734B63" w14:textId="6A6D4EBB" w:rsidR="00A47C18" w:rsidRPr="00FC1E26" w:rsidRDefault="00A47C18" w:rsidP="00A47C18">
      <w:r w:rsidRPr="00FC1E26">
        <w:t xml:space="preserve">Using Gibbs’ Reflective Cycle (1988), I evaluate the session, drawing on adult learning theory and research on active learning. By critically analysing what worked and what could be improved, I demonstrate how thoughtful </w:t>
      </w:r>
      <w:proofErr w:type="gramStart"/>
      <w:r w:rsidRPr="00FC1E26">
        <w:t>design</w:t>
      </w:r>
      <w:proofErr w:type="gramEnd"/>
      <w:r w:rsidRPr="00FC1E26">
        <w:t xml:space="preserve"> and delivery can transform training from a monologue into a dialogue, making every minute count.</w:t>
      </w:r>
    </w:p>
    <w:p w14:paraId="03C84670" w14:textId="77777777" w:rsidR="00836E75" w:rsidRPr="00FC1E26" w:rsidRDefault="00836E75" w:rsidP="00836E75">
      <w:pPr>
        <w:rPr>
          <w:rFonts w:cs="Segoe UI Emoji"/>
          <w:b/>
          <w:bCs/>
        </w:rPr>
      </w:pPr>
    </w:p>
    <w:p w14:paraId="6D1C63E4" w14:textId="5D54C08C" w:rsidR="00836E75" w:rsidRPr="00FC1E26" w:rsidRDefault="00836E75" w:rsidP="00836E75">
      <w:pPr>
        <w:rPr>
          <w:b/>
          <w:bCs/>
          <w:u w:val="single"/>
        </w:rPr>
      </w:pPr>
      <w:r w:rsidRPr="00FC1E26">
        <w:rPr>
          <w:b/>
          <w:bCs/>
          <w:u w:val="single"/>
        </w:rPr>
        <w:t>Inside the Session: What Happened</w:t>
      </w:r>
      <w:r w:rsidR="009931D0" w:rsidRPr="00FC1E26">
        <w:rPr>
          <w:b/>
          <w:bCs/>
          <w:u w:val="single"/>
        </w:rPr>
        <w:t>?</w:t>
      </w:r>
    </w:p>
    <w:p w14:paraId="75311331" w14:textId="77777777" w:rsidR="00836E75" w:rsidRPr="00FC1E26" w:rsidRDefault="00836E75" w:rsidP="00836E75">
      <w:r w:rsidRPr="00FC1E26">
        <w:t>The session was designed for a group of new</w:t>
      </w:r>
      <w:r w:rsidRPr="00FC1E26">
        <w:noBreakHyphen/>
        <w:t>in</w:t>
      </w:r>
      <w:r w:rsidRPr="00FC1E26">
        <w:noBreakHyphen/>
        <w:t>post, direct entry Detectives learning how to conduct witness interviews. I structured the session into three parts: a condensed theory input on legal frameworks, a group discussion on ethical dilemmas and neurodiversity, and a role</w:t>
      </w:r>
      <w:r w:rsidRPr="00FC1E26">
        <w:noBreakHyphen/>
        <w:t>play exercise simulating a witness interview.</w:t>
      </w:r>
    </w:p>
    <w:p w14:paraId="76BA3842" w14:textId="1A4BAADE" w:rsidR="00836E75" w:rsidRPr="00FC1E26" w:rsidRDefault="00836E75" w:rsidP="00836E75">
      <w:r w:rsidRPr="00FC1E26">
        <w:t xml:space="preserve">The theory input provided foundational knowledge, while the group discussion encouraged learners to explore </w:t>
      </w:r>
      <w:r w:rsidR="000800C9" w:rsidRPr="00FC1E26">
        <w:t xml:space="preserve">potential </w:t>
      </w:r>
      <w:r w:rsidRPr="00FC1E26">
        <w:t xml:space="preserve">ethical </w:t>
      </w:r>
      <w:r w:rsidR="000800C9" w:rsidRPr="00FC1E26">
        <w:t>issues</w:t>
      </w:r>
      <w:r w:rsidRPr="00FC1E26">
        <w:t>. The role</w:t>
      </w:r>
      <w:r w:rsidRPr="00FC1E26">
        <w:noBreakHyphen/>
        <w:t>play was intended to bring theory to life by allowing learners to practise interview techniques in a safe environment.</w:t>
      </w:r>
    </w:p>
    <w:p w14:paraId="610D26BF" w14:textId="5B2F3905" w:rsidR="00836E75" w:rsidRPr="00FC1E26" w:rsidRDefault="00836E75" w:rsidP="00836E75">
      <w:r w:rsidRPr="00FC1E26">
        <w:t>I observed that some learners thrived in the role</w:t>
      </w:r>
      <w:r w:rsidRPr="00FC1E26">
        <w:noBreakHyphen/>
        <w:t xml:space="preserve">play, demonstrating confidence and creativity, while others were hesitant. The group discussion was lively, with learners sharing </w:t>
      </w:r>
      <w:r w:rsidR="000800C9" w:rsidRPr="00FC1E26">
        <w:t>varying</w:t>
      </w:r>
      <w:r w:rsidRPr="00FC1E26">
        <w:t xml:space="preserve"> perspectives. However, the condensed theory section, delivered after lunch, saw a noticeable dip in energy and engagement.</w:t>
      </w:r>
    </w:p>
    <w:p w14:paraId="110FE80B" w14:textId="77777777" w:rsidR="00296B94" w:rsidRPr="00FC1E26" w:rsidRDefault="00296B94" w:rsidP="00296B94"/>
    <w:p w14:paraId="4FB48992" w14:textId="77777777" w:rsidR="00296B94" w:rsidRPr="00FC1E26" w:rsidRDefault="00296B94" w:rsidP="00296B94"/>
    <w:p w14:paraId="36718833" w14:textId="77777777" w:rsidR="00296B94" w:rsidRPr="00FC1E26" w:rsidRDefault="00296B94" w:rsidP="00296B94"/>
    <w:p w14:paraId="29BD28F4" w14:textId="0C576D7C" w:rsidR="00296B94" w:rsidRPr="00FC1E26" w:rsidRDefault="00296B94" w:rsidP="00296B94">
      <w:pPr>
        <w:rPr>
          <w:b/>
          <w:bCs/>
          <w:u w:val="single"/>
        </w:rPr>
      </w:pPr>
      <w:r w:rsidRPr="00FC1E26">
        <w:rPr>
          <w:b/>
          <w:bCs/>
          <w:u w:val="single"/>
        </w:rPr>
        <w:lastRenderedPageBreak/>
        <w:t>My Perspective: How I Felt as a Trainer</w:t>
      </w:r>
    </w:p>
    <w:p w14:paraId="58D8EC7C" w14:textId="77777777" w:rsidR="00296B94" w:rsidRPr="00FC1E26" w:rsidRDefault="00296B94" w:rsidP="00296B94">
      <w:r w:rsidRPr="00FC1E26">
        <w:t>I felt confident in the session’s structure but concerned about learner participation in the role</w:t>
      </w:r>
      <w:r w:rsidRPr="00FC1E26">
        <w:noBreakHyphen/>
        <w:t>play. I anticipated a drop in energy during the theory section, given its timing, and therefore deliberately kept it concise.</w:t>
      </w:r>
    </w:p>
    <w:p w14:paraId="14F534B4" w14:textId="3045B27F" w:rsidR="00296B94" w:rsidRPr="00FC1E26" w:rsidRDefault="00296B94" w:rsidP="00296B94">
      <w:r w:rsidRPr="00FC1E26">
        <w:rPr>
          <w:noProof/>
        </w:rPr>
        <w:drawing>
          <wp:anchor distT="0" distB="0" distL="114300" distR="114300" simplePos="0" relativeHeight="251660288" behindDoc="1" locked="0" layoutInCell="1" allowOverlap="1" wp14:anchorId="3D9EAA64" wp14:editId="3C4F8CEA">
            <wp:simplePos x="0" y="0"/>
            <wp:positionH relativeFrom="column">
              <wp:posOffset>-353122</wp:posOffset>
            </wp:positionH>
            <wp:positionV relativeFrom="paragraph">
              <wp:posOffset>5463</wp:posOffset>
            </wp:positionV>
            <wp:extent cx="855980" cy="855980"/>
            <wp:effectExtent l="0" t="0" r="1270" b="1270"/>
            <wp:wrapTight wrapText="bothSides">
              <wp:wrapPolygon edited="0">
                <wp:start x="0" y="0"/>
                <wp:lineTo x="0" y="21151"/>
                <wp:lineTo x="21151" y="21151"/>
                <wp:lineTo x="21151" y="0"/>
                <wp:lineTo x="0" y="0"/>
              </wp:wrapPolygon>
            </wp:wrapTight>
            <wp:docPr id="148359417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5980" cy="855980"/>
                    </a:xfrm>
                    <a:prstGeom prst="rect">
                      <a:avLst/>
                    </a:prstGeom>
                    <a:noFill/>
                  </pic:spPr>
                </pic:pic>
              </a:graphicData>
            </a:graphic>
            <wp14:sizeRelH relativeFrom="margin">
              <wp14:pctWidth>0</wp14:pctWidth>
            </wp14:sizeRelH>
            <wp14:sizeRelV relativeFrom="margin">
              <wp14:pctHeight>0</wp14:pctHeight>
            </wp14:sizeRelV>
          </wp:anchor>
        </w:drawing>
      </w:r>
      <w:r w:rsidRPr="00FC1E26">
        <w:t>I felt pride in the learners who embraced the role</w:t>
      </w:r>
      <w:r w:rsidRPr="00FC1E26">
        <w:noBreakHyphen/>
        <w:t>play, but I was also left reflecting on how to better support those who were more reserved. Was their hesitation due to nerves, fear of making mistakes in front of peers, or a lack of understanding caused by the condensed theory?</w:t>
      </w:r>
    </w:p>
    <w:p w14:paraId="1DF3A733" w14:textId="08BB2BCC" w:rsidR="00296B94" w:rsidRPr="00FC1E26" w:rsidRDefault="00296B94" w:rsidP="00296B94">
      <w:r w:rsidRPr="00FC1E26">
        <w:t xml:space="preserve">This </w:t>
      </w:r>
      <w:r w:rsidR="000800C9" w:rsidRPr="00FC1E26">
        <w:t>strain</w:t>
      </w:r>
      <w:r w:rsidRPr="00FC1E26">
        <w:t xml:space="preserve"> reflects Schön’s (1983) concept of the </w:t>
      </w:r>
      <w:r w:rsidRPr="00FC1E26">
        <w:rPr>
          <w:i/>
          <w:iCs/>
        </w:rPr>
        <w:t xml:space="preserve">reflective </w:t>
      </w:r>
      <w:r w:rsidR="000800C9" w:rsidRPr="00FC1E26">
        <w:rPr>
          <w:i/>
          <w:iCs/>
        </w:rPr>
        <w:t xml:space="preserve">practitioner, </w:t>
      </w:r>
      <w:r w:rsidRPr="00FC1E26">
        <w:t>balancing professional expertise with a willingness to adapt and learn from the teaching process itself.</w:t>
      </w:r>
    </w:p>
    <w:p w14:paraId="181BBE1B" w14:textId="77777777" w:rsidR="009931D0" w:rsidRPr="00FC1E26" w:rsidRDefault="009931D0" w:rsidP="00F80E9E">
      <w:pPr>
        <w:rPr>
          <w:b/>
          <w:bCs/>
          <w:u w:val="single"/>
        </w:rPr>
      </w:pPr>
    </w:p>
    <w:p w14:paraId="3ED0F63B" w14:textId="3DDB2B6D" w:rsidR="009931D0" w:rsidRPr="00FC1E26" w:rsidRDefault="00491ECF" w:rsidP="009931D0">
      <w:pPr>
        <w:rPr>
          <w:b/>
          <w:bCs/>
          <w:u w:val="single"/>
        </w:rPr>
      </w:pPr>
      <w:r w:rsidRPr="00FC1E26">
        <w:rPr>
          <w:b/>
          <w:bCs/>
          <w:noProof/>
        </w:rPr>
        <w:drawing>
          <wp:anchor distT="0" distB="0" distL="114300" distR="114300" simplePos="0" relativeHeight="251663360" behindDoc="1" locked="0" layoutInCell="1" allowOverlap="1" wp14:anchorId="2B2086C6" wp14:editId="594DFA5F">
            <wp:simplePos x="0" y="0"/>
            <wp:positionH relativeFrom="column">
              <wp:posOffset>4251489</wp:posOffset>
            </wp:positionH>
            <wp:positionV relativeFrom="paragraph">
              <wp:posOffset>71016</wp:posOffset>
            </wp:positionV>
            <wp:extent cx="1858010" cy="2129790"/>
            <wp:effectExtent l="0" t="0" r="8890" b="3810"/>
            <wp:wrapTight wrapText="bothSides">
              <wp:wrapPolygon edited="0">
                <wp:start x="0" y="0"/>
                <wp:lineTo x="0" y="21445"/>
                <wp:lineTo x="21482" y="21445"/>
                <wp:lineTo x="21482" y="0"/>
                <wp:lineTo x="0" y="0"/>
              </wp:wrapPolygon>
            </wp:wrapTight>
            <wp:docPr id="108657040" name="Picture 6" descr="A person standing on a wall with a check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7040" name="Picture 6" descr="A person standing on a wall with a check box&#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8010" cy="2129790"/>
                    </a:xfrm>
                    <a:prstGeom prst="rect">
                      <a:avLst/>
                    </a:prstGeom>
                    <a:noFill/>
                  </pic:spPr>
                </pic:pic>
              </a:graphicData>
            </a:graphic>
            <wp14:sizeRelH relativeFrom="margin">
              <wp14:pctWidth>0</wp14:pctWidth>
            </wp14:sizeRelH>
            <wp14:sizeRelV relativeFrom="margin">
              <wp14:pctHeight>0</wp14:pctHeight>
            </wp14:sizeRelV>
          </wp:anchor>
        </w:drawing>
      </w:r>
      <w:r w:rsidR="009931D0" w:rsidRPr="00FC1E26">
        <w:rPr>
          <w:b/>
          <w:bCs/>
          <w:u w:val="single"/>
        </w:rPr>
        <w:t>What Worked and What Didn’t?</w:t>
      </w:r>
    </w:p>
    <w:p w14:paraId="7182F9B1" w14:textId="658BC051" w:rsidR="009931D0" w:rsidRPr="00FC1E26" w:rsidRDefault="009931D0" w:rsidP="009931D0">
      <w:pPr>
        <w:rPr>
          <w:b/>
          <w:bCs/>
        </w:rPr>
      </w:pPr>
      <w:r w:rsidRPr="00FC1E26">
        <w:rPr>
          <w:b/>
          <w:bCs/>
        </w:rPr>
        <w:t>Strengths:</w:t>
      </w:r>
    </w:p>
    <w:p w14:paraId="48B1E759" w14:textId="483BEC0B" w:rsidR="009931D0" w:rsidRPr="00FC1E26" w:rsidRDefault="009931D0" w:rsidP="009931D0">
      <w:pPr>
        <w:numPr>
          <w:ilvl w:val="0"/>
          <w:numId w:val="6"/>
        </w:numPr>
      </w:pPr>
      <w:r w:rsidRPr="00FC1E26">
        <w:t>The group discussion was highly engaging and encouraged critical thinking.</w:t>
      </w:r>
      <w:r w:rsidR="00491ECF" w:rsidRPr="00FC1E26">
        <w:rPr>
          <w:b/>
          <w:bCs/>
          <w:noProof/>
        </w:rPr>
        <w:t xml:space="preserve"> </w:t>
      </w:r>
    </w:p>
    <w:p w14:paraId="6C051879" w14:textId="77777777" w:rsidR="009931D0" w:rsidRPr="00FC1E26" w:rsidRDefault="009931D0" w:rsidP="009931D0">
      <w:pPr>
        <w:numPr>
          <w:ilvl w:val="0"/>
          <w:numId w:val="6"/>
        </w:numPr>
      </w:pPr>
      <w:r w:rsidRPr="00FC1E26">
        <w:t>Role</w:t>
      </w:r>
      <w:r w:rsidRPr="00FC1E26">
        <w:noBreakHyphen/>
        <w:t>play allowed learners to apply theory in a realistic context, aligning with Kolb’s (1984) experiential learning cycle.</w:t>
      </w:r>
    </w:p>
    <w:p w14:paraId="1A88BD51" w14:textId="77777777" w:rsidR="009931D0" w:rsidRPr="00FC1E26" w:rsidRDefault="009931D0" w:rsidP="009931D0">
      <w:pPr>
        <w:numPr>
          <w:ilvl w:val="0"/>
          <w:numId w:val="6"/>
        </w:numPr>
      </w:pPr>
      <w:r w:rsidRPr="00FC1E26">
        <w:t>Learners gave positive feedback on the interactive elements.</w:t>
      </w:r>
    </w:p>
    <w:p w14:paraId="333C459D" w14:textId="77777777" w:rsidR="00491ECF" w:rsidRPr="00FC1E26" w:rsidRDefault="00491ECF" w:rsidP="009931D0"/>
    <w:p w14:paraId="0AD37A83" w14:textId="1F8B049A" w:rsidR="009931D0" w:rsidRPr="00FC1E26" w:rsidRDefault="009931D0" w:rsidP="009931D0">
      <w:pPr>
        <w:rPr>
          <w:b/>
          <w:bCs/>
        </w:rPr>
      </w:pPr>
      <w:r w:rsidRPr="00FC1E26">
        <w:rPr>
          <w:b/>
          <w:bCs/>
        </w:rPr>
        <w:t>Areas for improvement:</w:t>
      </w:r>
    </w:p>
    <w:p w14:paraId="6E0F9BE6" w14:textId="77777777" w:rsidR="009931D0" w:rsidRPr="00FC1E26" w:rsidRDefault="009931D0" w:rsidP="009931D0">
      <w:pPr>
        <w:numPr>
          <w:ilvl w:val="0"/>
          <w:numId w:val="7"/>
        </w:numPr>
      </w:pPr>
      <w:r w:rsidRPr="00FC1E26">
        <w:t xml:space="preserve">The lecture section felt too long and passive, despite being condensed. </w:t>
      </w:r>
      <w:proofErr w:type="spellStart"/>
      <w:r w:rsidRPr="00FC1E26">
        <w:t>Sweller’s</w:t>
      </w:r>
      <w:proofErr w:type="spellEnd"/>
      <w:r w:rsidRPr="00FC1E26">
        <w:t xml:space="preserve"> (1988) cognitive load theory explains how passive delivery can overwhelm working memory.</w:t>
      </w:r>
    </w:p>
    <w:p w14:paraId="67DCBC1D" w14:textId="77777777" w:rsidR="009931D0" w:rsidRPr="00FC1E26" w:rsidRDefault="009931D0" w:rsidP="009931D0">
      <w:pPr>
        <w:numPr>
          <w:ilvl w:val="0"/>
          <w:numId w:val="7"/>
        </w:numPr>
      </w:pPr>
      <w:r w:rsidRPr="00FC1E26">
        <w:t>Some learners were uncomfortable with role</w:t>
      </w:r>
      <w:r w:rsidRPr="00FC1E26">
        <w:noBreakHyphen/>
        <w:t>play and needed more scaffolding.</w:t>
      </w:r>
    </w:p>
    <w:p w14:paraId="1A29A497" w14:textId="77777777" w:rsidR="009931D0" w:rsidRPr="00FC1E26" w:rsidRDefault="009931D0" w:rsidP="009931D0">
      <w:pPr>
        <w:numPr>
          <w:ilvl w:val="0"/>
          <w:numId w:val="7"/>
        </w:numPr>
      </w:pPr>
      <w:r w:rsidRPr="00FC1E26">
        <w:t>I did not provide enough structure for the role</w:t>
      </w:r>
      <w:r w:rsidRPr="00FC1E26">
        <w:noBreakHyphen/>
        <w:t>play, which led to inconsistent outcomes.</w:t>
      </w:r>
    </w:p>
    <w:p w14:paraId="4A9BF897" w14:textId="77777777" w:rsidR="009931D0" w:rsidRPr="00FC1E26" w:rsidRDefault="009931D0" w:rsidP="009931D0">
      <w:r w:rsidRPr="00FC1E26">
        <w:t>Black and Wiliam (1998) emphasise the importance of formative assessment, yet I did not build in checkpoints to gauge understanding before the role</w:t>
      </w:r>
      <w:r w:rsidRPr="00FC1E26">
        <w:noBreakHyphen/>
        <w:t>play. This limited my ability to adapt in real time.</w:t>
      </w:r>
    </w:p>
    <w:p w14:paraId="1AA33004" w14:textId="77777777" w:rsidR="009931D0" w:rsidRPr="00FC1E26" w:rsidRDefault="009931D0" w:rsidP="00F80E9E">
      <w:pPr>
        <w:rPr>
          <w:b/>
          <w:bCs/>
          <w:u w:val="single"/>
        </w:rPr>
      </w:pPr>
    </w:p>
    <w:p w14:paraId="23784D38" w14:textId="77777777" w:rsidR="00AE4139" w:rsidRPr="00FC1E26" w:rsidRDefault="00AE4139" w:rsidP="00AE4139">
      <w:pPr>
        <w:rPr>
          <w:rFonts w:cs="Segoe UI Emoji"/>
          <w:b/>
          <w:bCs/>
          <w:u w:val="single"/>
        </w:rPr>
      </w:pPr>
      <w:r w:rsidRPr="00FC1E26">
        <w:rPr>
          <w:rFonts w:cs="Segoe UI Emoji"/>
          <w:b/>
          <w:bCs/>
          <w:u w:val="single"/>
        </w:rPr>
        <w:t>Digging Deeper: Lessons from Theory and Practice</w:t>
      </w:r>
    </w:p>
    <w:p w14:paraId="593714A4" w14:textId="1399CE4B" w:rsidR="00AE4139" w:rsidRPr="00FC1E26" w:rsidRDefault="00AE4139" w:rsidP="00AE4139">
      <w:pPr>
        <w:rPr>
          <w:rFonts w:cs="Segoe UI Emoji"/>
        </w:rPr>
      </w:pPr>
      <w:r w:rsidRPr="00FC1E26">
        <w:rPr>
          <w:rFonts w:cs="Segoe UI Emoji"/>
        </w:rPr>
        <w:t>This session highlighted the importance of active learning in maintaining engagement. Bonwell and Eison (1991) argue that learners retain more when actively involved, and my observations supported this. The group discussion and role</w:t>
      </w:r>
      <w:r w:rsidRPr="00FC1E26">
        <w:rPr>
          <w:rFonts w:cs="Segoe UI Emoji"/>
        </w:rPr>
        <w:noBreakHyphen/>
        <w:t xml:space="preserve">play aligned with this principle, but the </w:t>
      </w:r>
      <w:r w:rsidR="000800C9" w:rsidRPr="00FC1E26">
        <w:rPr>
          <w:rFonts w:cs="Segoe UI Emoji"/>
        </w:rPr>
        <w:t>theory element</w:t>
      </w:r>
      <w:r w:rsidRPr="00FC1E26">
        <w:rPr>
          <w:rFonts w:cs="Segoe UI Emoji"/>
        </w:rPr>
        <w:t xml:space="preserve"> did not.</w:t>
      </w:r>
    </w:p>
    <w:p w14:paraId="311FB35E" w14:textId="77777777" w:rsidR="00AE4139" w:rsidRPr="00FC1E26" w:rsidRDefault="00AE4139" w:rsidP="00AE4139">
      <w:pPr>
        <w:rPr>
          <w:rFonts w:cs="Segoe UI Emoji"/>
        </w:rPr>
      </w:pPr>
      <w:r w:rsidRPr="00FC1E26">
        <w:rPr>
          <w:rFonts w:cs="Segoe UI Emoji"/>
        </w:rPr>
        <w:lastRenderedPageBreak/>
        <w:t>Scaffolding is also crucial when introducing complex tasks. Vygotsky’s (1978) Zone of Proximal Development suggests learners need structured support to progress. By failing to provide a clear framework for the role</w:t>
      </w:r>
      <w:r w:rsidRPr="00FC1E26">
        <w:rPr>
          <w:rFonts w:cs="Segoe UI Emoji"/>
        </w:rPr>
        <w:noBreakHyphen/>
        <w:t>play, I left some learners uncertain. A demonstration or step</w:t>
      </w:r>
      <w:r w:rsidRPr="00FC1E26">
        <w:rPr>
          <w:rFonts w:cs="Segoe UI Emoji"/>
        </w:rPr>
        <w:noBreakHyphen/>
        <w:t>by</w:t>
      </w:r>
      <w:r w:rsidRPr="00FC1E26">
        <w:rPr>
          <w:rFonts w:cs="Segoe UI Emoji"/>
        </w:rPr>
        <w:noBreakHyphen/>
        <w:t>step guide could have reduced anxiety and improved outcomes.</w:t>
      </w:r>
    </w:p>
    <w:p w14:paraId="2830E42F" w14:textId="311F3637" w:rsidR="00AE4139" w:rsidRPr="00FC1E26" w:rsidRDefault="00AE4139" w:rsidP="00AE4139">
      <w:pPr>
        <w:rPr>
          <w:rFonts w:cs="Segoe UI Emoji"/>
        </w:rPr>
      </w:pPr>
      <w:r w:rsidRPr="00FC1E26">
        <w:rPr>
          <w:rFonts w:cs="Segoe UI Emoji"/>
        </w:rPr>
        <w:t xml:space="preserve">Psychological safety is another key factor. Edmondson (1999) highlights that learners must feel safe to take risks without fear of embarrassment. Some learners’ reluctance suggested that I had not fully </w:t>
      </w:r>
      <w:r w:rsidR="000800C9" w:rsidRPr="00FC1E26">
        <w:rPr>
          <w:rFonts w:cs="Segoe UI Emoji"/>
        </w:rPr>
        <w:t>created</w:t>
      </w:r>
      <w:r w:rsidRPr="00FC1E26">
        <w:rPr>
          <w:rFonts w:cs="Segoe UI Emoji"/>
        </w:rPr>
        <w:t xml:space="preserve"> this environment. Offering opt</w:t>
      </w:r>
      <w:r w:rsidRPr="00FC1E26">
        <w:rPr>
          <w:rFonts w:cs="Segoe UI Emoji"/>
        </w:rPr>
        <w:noBreakHyphen/>
        <w:t>in participation or tiered roles (observer, co</w:t>
      </w:r>
      <w:r w:rsidRPr="00FC1E26">
        <w:rPr>
          <w:rFonts w:cs="Segoe UI Emoji"/>
        </w:rPr>
        <w:noBreakHyphen/>
        <w:t>facilitator, lead interviewer) could have eased learners into the activity.</w:t>
      </w:r>
    </w:p>
    <w:p w14:paraId="76AE9A0A" w14:textId="77777777" w:rsidR="00AE4139" w:rsidRPr="00FC1E26" w:rsidRDefault="00AE4139" w:rsidP="00AE4139">
      <w:pPr>
        <w:rPr>
          <w:rFonts w:cs="Segoe UI Emoji"/>
        </w:rPr>
      </w:pPr>
      <w:r w:rsidRPr="00FC1E26">
        <w:rPr>
          <w:rFonts w:cs="Segoe UI Emoji"/>
        </w:rPr>
        <w:t>Finally, Knowles’ (1980) andragogy emphasises that adults learn best when training is relevant and participatory. By integrating theory into discussion and practice, rather than isolating it, I could have made the session more engaging and memorable.</w:t>
      </w:r>
    </w:p>
    <w:p w14:paraId="269BFC35" w14:textId="77777777" w:rsidR="00EB09BA" w:rsidRPr="00FC1E26" w:rsidRDefault="00EB09BA" w:rsidP="00F80E9E"/>
    <w:p w14:paraId="740C4520" w14:textId="3795FA9A" w:rsidR="00671E4E" w:rsidRPr="00FC1E26" w:rsidRDefault="000956E3" w:rsidP="00671E4E">
      <w:pPr>
        <w:rPr>
          <w:b/>
          <w:bCs/>
          <w:u w:val="single"/>
        </w:rPr>
      </w:pPr>
      <w:r>
        <w:rPr>
          <w:noProof/>
        </w:rPr>
        <w:drawing>
          <wp:anchor distT="0" distB="0" distL="114300" distR="114300" simplePos="0" relativeHeight="251665408" behindDoc="1" locked="0" layoutInCell="1" allowOverlap="1" wp14:anchorId="31665AB8" wp14:editId="65089265">
            <wp:simplePos x="0" y="0"/>
            <wp:positionH relativeFrom="column">
              <wp:posOffset>4732256</wp:posOffset>
            </wp:positionH>
            <wp:positionV relativeFrom="paragraph">
              <wp:posOffset>96448</wp:posOffset>
            </wp:positionV>
            <wp:extent cx="1336675" cy="1273810"/>
            <wp:effectExtent l="0" t="0" r="0" b="2540"/>
            <wp:wrapTight wrapText="bothSides">
              <wp:wrapPolygon edited="0">
                <wp:start x="0" y="0"/>
                <wp:lineTo x="0" y="21320"/>
                <wp:lineTo x="21241" y="21320"/>
                <wp:lineTo x="21241" y="0"/>
                <wp:lineTo x="0" y="0"/>
              </wp:wrapPolygon>
            </wp:wrapTight>
            <wp:docPr id="1603817107" name="Picture 8" descr="A red stamp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817107" name="Picture 8" descr="A red stamp with text&#10;&#10;AI-generated content may be incorrect."/>
                    <pic:cNvPicPr>
                      <a:picLocks noChangeAspect="1" noChangeArrowheads="1"/>
                    </pic:cNvPicPr>
                  </pic:nvPicPr>
                  <pic:blipFill rotWithShape="1">
                    <a:blip r:embed="rId10">
                      <a:extLst>
                        <a:ext uri="{BEBA8EAE-BF5A-486C-A8C5-ECC9F3942E4B}">
                          <a14:imgProps xmlns:a14="http://schemas.microsoft.com/office/drawing/2010/main">
                            <a14:imgLayer r:embed="rId11">
                              <a14:imgEffect>
                                <a14:saturation sat="66000"/>
                              </a14:imgEffect>
                            </a14:imgLayer>
                          </a14:imgProps>
                        </a:ext>
                        <a:ext uri="{28A0092B-C50C-407E-A947-70E740481C1C}">
                          <a14:useLocalDpi xmlns:a14="http://schemas.microsoft.com/office/drawing/2010/main" val="0"/>
                        </a:ext>
                      </a:extLst>
                    </a:blip>
                    <a:srcRect t="-3026" b="8463"/>
                    <a:stretch>
                      <a:fillRect/>
                    </a:stretch>
                  </pic:blipFill>
                  <pic:spPr bwMode="auto">
                    <a:xfrm>
                      <a:off x="0" y="0"/>
                      <a:ext cx="1336675" cy="12738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71E4E" w:rsidRPr="00FC1E26">
        <w:rPr>
          <w:b/>
          <w:bCs/>
          <w:u w:val="single"/>
        </w:rPr>
        <w:t>Looking Back: What I Could Have Done Differently</w:t>
      </w:r>
    </w:p>
    <w:p w14:paraId="15C4DD94" w14:textId="584058A8" w:rsidR="00671E4E" w:rsidRPr="00FC1E26" w:rsidRDefault="00671E4E" w:rsidP="00671E4E">
      <w:r w:rsidRPr="00FC1E26">
        <w:t>In hindsight, I could have:</w:t>
      </w:r>
      <w:r w:rsidR="000956E3" w:rsidRPr="000956E3">
        <w:rPr>
          <w:noProof/>
        </w:rPr>
        <w:t xml:space="preserve"> </w:t>
      </w:r>
    </w:p>
    <w:p w14:paraId="3C754178" w14:textId="77777777" w:rsidR="00671E4E" w:rsidRPr="00FC1E26" w:rsidRDefault="00671E4E" w:rsidP="00671E4E">
      <w:pPr>
        <w:numPr>
          <w:ilvl w:val="0"/>
          <w:numId w:val="8"/>
        </w:numPr>
      </w:pPr>
      <w:r w:rsidRPr="00FC1E26">
        <w:t>Shortened the lecture and integrated theory into discussion and role</w:t>
      </w:r>
      <w:r w:rsidRPr="00FC1E26">
        <w:noBreakHyphen/>
        <w:t>play.</w:t>
      </w:r>
    </w:p>
    <w:p w14:paraId="795D761A" w14:textId="77777777" w:rsidR="00671E4E" w:rsidRPr="00FC1E26" w:rsidRDefault="00671E4E" w:rsidP="00671E4E">
      <w:pPr>
        <w:numPr>
          <w:ilvl w:val="0"/>
          <w:numId w:val="8"/>
        </w:numPr>
      </w:pPr>
      <w:r w:rsidRPr="00FC1E26">
        <w:t>Provided a structured framework for the role</w:t>
      </w:r>
      <w:r w:rsidRPr="00FC1E26">
        <w:noBreakHyphen/>
        <w:t>play, including prompts and feedback criteria.</w:t>
      </w:r>
    </w:p>
    <w:p w14:paraId="1188B7AA" w14:textId="77777777" w:rsidR="00671E4E" w:rsidRPr="00FC1E26" w:rsidRDefault="00671E4E" w:rsidP="00671E4E">
      <w:pPr>
        <w:numPr>
          <w:ilvl w:val="0"/>
          <w:numId w:val="8"/>
        </w:numPr>
      </w:pPr>
      <w:r w:rsidRPr="00FC1E26">
        <w:t>Allowed learners to observe before participating, easing them into the activity.</w:t>
      </w:r>
    </w:p>
    <w:p w14:paraId="44FA9DBE" w14:textId="3F2DB1EE" w:rsidR="00671E4E" w:rsidRPr="00FC1E26" w:rsidRDefault="00671E4E" w:rsidP="00671E4E">
      <w:pPr>
        <w:numPr>
          <w:ilvl w:val="0"/>
          <w:numId w:val="8"/>
        </w:numPr>
      </w:pPr>
      <w:r w:rsidRPr="00FC1E26">
        <w:t>Used interactive tools such Padlet to gather anonymous</w:t>
      </w:r>
      <w:r w:rsidR="006A36BC" w:rsidRPr="00FC1E26">
        <w:t xml:space="preserve"> feedback</w:t>
      </w:r>
      <w:r w:rsidRPr="00FC1E26">
        <w:t xml:space="preserve"> during the lecture.</w:t>
      </w:r>
    </w:p>
    <w:p w14:paraId="5D826993" w14:textId="77777777" w:rsidR="00671E4E" w:rsidRPr="00FC1E26" w:rsidRDefault="00671E4E" w:rsidP="00671E4E">
      <w:r w:rsidRPr="00FC1E26">
        <w:t>These changes would have made the session more inclusive and engaging, supporting learners with different comfort levels and learning styles. They also align with best practice in adult education, where flexibility, scaffolding, and learner</w:t>
      </w:r>
      <w:r w:rsidRPr="00FC1E26">
        <w:noBreakHyphen/>
        <w:t>centred design are essential (Knowles, 1980).</w:t>
      </w:r>
    </w:p>
    <w:p w14:paraId="7FD55D31" w14:textId="77777777" w:rsidR="00671E4E" w:rsidRPr="00FC1E26" w:rsidRDefault="00671E4E" w:rsidP="00F80E9E">
      <w:pPr>
        <w:rPr>
          <w:b/>
          <w:bCs/>
          <w:u w:val="single"/>
        </w:rPr>
      </w:pPr>
    </w:p>
    <w:p w14:paraId="7D543168" w14:textId="77777777" w:rsidR="00BE15CB" w:rsidRPr="00FC1E26" w:rsidRDefault="00BE15CB" w:rsidP="00BE15CB">
      <w:pPr>
        <w:rPr>
          <w:b/>
          <w:bCs/>
          <w:u w:val="single"/>
        </w:rPr>
      </w:pPr>
      <w:r w:rsidRPr="00FC1E26">
        <w:rPr>
          <w:b/>
          <w:bCs/>
          <w:u w:val="single"/>
        </w:rPr>
        <w:t>Looking Ahead: My Action Plan</w:t>
      </w:r>
    </w:p>
    <w:p w14:paraId="21F862E9" w14:textId="77777777" w:rsidR="00BE15CB" w:rsidRPr="00FC1E26" w:rsidRDefault="00BE15CB" w:rsidP="00BE15CB">
      <w:r w:rsidRPr="00FC1E26">
        <w:t>For future sessions, I plan to:</w:t>
      </w:r>
    </w:p>
    <w:p w14:paraId="50F74F7F" w14:textId="098CFE4D" w:rsidR="00BE15CB" w:rsidRPr="00FC1E26" w:rsidRDefault="00BE15CB" w:rsidP="006A36BC">
      <w:pPr>
        <w:numPr>
          <w:ilvl w:val="0"/>
          <w:numId w:val="9"/>
        </w:numPr>
      </w:pPr>
      <w:r w:rsidRPr="00FC1E26">
        <w:t>Adopt a flipped</w:t>
      </w:r>
      <w:r w:rsidR="006A36BC" w:rsidRPr="00FC1E26">
        <w:t xml:space="preserve"> or reversed</w:t>
      </w:r>
      <w:r w:rsidRPr="00FC1E26">
        <w:t xml:space="preserve"> classroom approach, providing theory as pre</w:t>
      </w:r>
      <w:r w:rsidRPr="00FC1E26">
        <w:noBreakHyphen/>
        <w:t>reading or video content.</w:t>
      </w:r>
    </w:p>
    <w:p w14:paraId="3AB1A696" w14:textId="77777777" w:rsidR="00BE15CB" w:rsidRPr="00FC1E26" w:rsidRDefault="00BE15CB" w:rsidP="00BE15CB">
      <w:pPr>
        <w:numPr>
          <w:ilvl w:val="0"/>
          <w:numId w:val="9"/>
        </w:numPr>
      </w:pPr>
      <w:r w:rsidRPr="00FC1E26">
        <w:t>Use tiered participation options in role</w:t>
      </w:r>
      <w:r w:rsidRPr="00FC1E26">
        <w:noBreakHyphen/>
        <w:t>play (observer, co</w:t>
      </w:r>
      <w:r w:rsidRPr="00FC1E26">
        <w:noBreakHyphen/>
        <w:t>facilitator, lead interviewer).</w:t>
      </w:r>
    </w:p>
    <w:p w14:paraId="4C508E1A" w14:textId="77777777" w:rsidR="00BE15CB" w:rsidRPr="00FC1E26" w:rsidRDefault="00BE15CB" w:rsidP="00BE15CB">
      <w:pPr>
        <w:numPr>
          <w:ilvl w:val="0"/>
          <w:numId w:val="9"/>
        </w:numPr>
      </w:pPr>
      <w:r w:rsidRPr="00FC1E26">
        <w:t>Introduce formative assessment checkpoints throughout the session to gauge understanding.</w:t>
      </w:r>
    </w:p>
    <w:p w14:paraId="49684B78" w14:textId="77777777" w:rsidR="00BE15CB" w:rsidRPr="00FC1E26" w:rsidRDefault="00BE15CB" w:rsidP="00BE15CB">
      <w:pPr>
        <w:numPr>
          <w:ilvl w:val="0"/>
          <w:numId w:val="9"/>
        </w:numPr>
      </w:pPr>
      <w:r w:rsidRPr="00FC1E26">
        <w:t>Build in peer feedback opportunities to enhance reflection and learning.</w:t>
      </w:r>
    </w:p>
    <w:p w14:paraId="41241422" w14:textId="77777777" w:rsidR="00BE15CB" w:rsidRPr="00FC1E26" w:rsidRDefault="00BE15CB" w:rsidP="00BE15CB">
      <w:pPr>
        <w:numPr>
          <w:ilvl w:val="0"/>
          <w:numId w:val="9"/>
        </w:numPr>
      </w:pPr>
      <w:r w:rsidRPr="00FC1E26">
        <w:t>Seek learner feedback on delivery preferences and trial different formats.</w:t>
      </w:r>
    </w:p>
    <w:p w14:paraId="20253884" w14:textId="77777777" w:rsidR="00BE15CB" w:rsidRPr="00FC1E26" w:rsidRDefault="00BE15CB" w:rsidP="00BE15CB">
      <w:r w:rsidRPr="00FC1E26">
        <w:lastRenderedPageBreak/>
        <w:t>By embedding these strategies, I aim to create sessions that are not only informative but also empowering and memorable.</w:t>
      </w:r>
    </w:p>
    <w:p w14:paraId="6B5133F7" w14:textId="77777777" w:rsidR="00B50A0B" w:rsidRPr="00FC1E26" w:rsidRDefault="00B50A0B" w:rsidP="00B50A0B">
      <w:pPr>
        <w:rPr>
          <w:b/>
          <w:bCs/>
          <w:u w:val="single"/>
        </w:rPr>
      </w:pPr>
      <w:r w:rsidRPr="00FC1E26">
        <w:rPr>
          <w:b/>
          <w:bCs/>
          <w:u w:val="single"/>
        </w:rPr>
        <w:t>Final Thoughts &amp; Reader Engagement</w:t>
      </w:r>
    </w:p>
    <w:p w14:paraId="254378BA" w14:textId="6A09DA1C" w:rsidR="00B50A0B" w:rsidRPr="00FC1E26" w:rsidRDefault="00B50A0B" w:rsidP="00B50A0B">
      <w:r w:rsidRPr="00FC1E26">
        <w:t>Delivery is more than presentation—it is connection. By shifting from monologue to dialogue, we create space for deeper learning. Involving learners actively, scaffolding their participation, and ensuring psychological safety are key to making every minute count.</w:t>
      </w:r>
    </w:p>
    <w:p w14:paraId="04F9E9AC" w14:textId="170153E2" w:rsidR="00944D0D" w:rsidRPr="00FC1E26" w:rsidRDefault="000956E3" w:rsidP="00B50A0B">
      <w:pPr>
        <w:rPr>
          <w:rFonts w:cs="Segoe UI Emoji"/>
        </w:rPr>
      </w:pPr>
      <w:r w:rsidRPr="00FC1E26">
        <w:rPr>
          <w:rFonts w:cs="Segoe UI Emoji"/>
          <w:noProof/>
        </w:rPr>
        <w:drawing>
          <wp:anchor distT="0" distB="0" distL="114300" distR="114300" simplePos="0" relativeHeight="251661312" behindDoc="0" locked="0" layoutInCell="1" allowOverlap="1" wp14:anchorId="46571416" wp14:editId="5313FC5E">
            <wp:simplePos x="0" y="0"/>
            <wp:positionH relativeFrom="margin">
              <wp:posOffset>-527678</wp:posOffset>
            </wp:positionH>
            <wp:positionV relativeFrom="margin">
              <wp:posOffset>1780920</wp:posOffset>
            </wp:positionV>
            <wp:extent cx="1026795" cy="851535"/>
            <wp:effectExtent l="0" t="0" r="1905" b="5715"/>
            <wp:wrapSquare wrapText="bothSides"/>
            <wp:docPr id="175069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20287" t="19562" r="20291" b="6484"/>
                    <a:stretch>
                      <a:fillRect/>
                    </a:stretch>
                  </pic:blipFill>
                  <pic:spPr bwMode="auto">
                    <a:xfrm>
                      <a:off x="0" y="0"/>
                      <a:ext cx="1026795" cy="8515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C53773" w14:textId="1F408078" w:rsidR="00694A5D" w:rsidRPr="00FC1E26" w:rsidRDefault="00694A5D" w:rsidP="00B50A0B">
      <w:pPr>
        <w:rPr>
          <w:rFonts w:cs="Segoe UI Emoji"/>
        </w:rPr>
      </w:pPr>
    </w:p>
    <w:p w14:paraId="55F806DE" w14:textId="77777777" w:rsidR="00694A5D" w:rsidRPr="00FC1E26" w:rsidRDefault="00B50A0B" w:rsidP="00B50A0B">
      <w:r w:rsidRPr="00FC1E26">
        <w:t>What delivery techniques have helped you engage your learners?</w:t>
      </w:r>
    </w:p>
    <w:p w14:paraId="287B43ED" w14:textId="3A3B862F" w:rsidR="00B50A0B" w:rsidRPr="00FC1E26" w:rsidRDefault="00B50A0B" w:rsidP="000956E3">
      <w:pPr>
        <w:ind w:left="720"/>
      </w:pPr>
      <w:r w:rsidRPr="00FC1E26">
        <w:t>Share your thoughts below or connect with me on LinkedIn to continue the conversation.</w:t>
      </w:r>
    </w:p>
    <w:p w14:paraId="06AA4E13" w14:textId="6C6CFE0A" w:rsidR="00B50A0B" w:rsidRPr="00FC1E26" w:rsidRDefault="00B50A0B" w:rsidP="00F80E9E">
      <w:pPr>
        <w:rPr>
          <w:rFonts w:cs="Segoe UI Emoji"/>
          <w:b/>
          <w:bCs/>
        </w:rPr>
      </w:pPr>
    </w:p>
    <w:p w14:paraId="629C1A12" w14:textId="25E27D76" w:rsidR="00F80E9E" w:rsidRPr="000956E3" w:rsidRDefault="00F80E9E" w:rsidP="00F80E9E">
      <w:pPr>
        <w:rPr>
          <w:b/>
          <w:bCs/>
          <w:u w:val="single"/>
        </w:rPr>
      </w:pPr>
      <w:r w:rsidRPr="000956E3">
        <w:rPr>
          <w:b/>
          <w:bCs/>
          <w:u w:val="single"/>
        </w:rPr>
        <w:t xml:space="preserve">References </w:t>
      </w:r>
    </w:p>
    <w:p w14:paraId="34AE5FAF" w14:textId="1AD0C5AB" w:rsidR="00AA3D2D" w:rsidRPr="00FC1E26" w:rsidRDefault="00AA3D2D" w:rsidP="00AA3D2D">
      <w:r w:rsidRPr="00FC1E26">
        <w:t xml:space="preserve">Black, P. and Wiliam, D. (1998) ‘Assessment and classroom learning’, </w:t>
      </w:r>
      <w:r w:rsidRPr="00FC1E26">
        <w:rPr>
          <w:i/>
          <w:iCs/>
        </w:rPr>
        <w:t>Assessment in Education: Principles, Policy &amp; Practice</w:t>
      </w:r>
      <w:r w:rsidRPr="00FC1E26">
        <w:t>, 5(1), pp.7–74.</w:t>
      </w:r>
    </w:p>
    <w:p w14:paraId="20999152" w14:textId="1383A076" w:rsidR="00AA3D2D" w:rsidRPr="00FC1E26" w:rsidRDefault="00AA3D2D" w:rsidP="00AA3D2D">
      <w:r w:rsidRPr="00FC1E26">
        <w:t xml:space="preserve">Bonwell, C.C. and Eison, J.A. (1991) </w:t>
      </w:r>
      <w:r w:rsidRPr="00FC1E26">
        <w:rPr>
          <w:i/>
          <w:iCs/>
        </w:rPr>
        <w:t>Active Learning: Creating Excitement in the Classroom</w:t>
      </w:r>
      <w:r w:rsidRPr="00FC1E26">
        <w:t>. Washington, DC: George Washington University. Available at: &lt;https://eric.ed.gov/?id=ED336049&gt; (Accessed: 6 November 2025).</w:t>
      </w:r>
    </w:p>
    <w:p w14:paraId="3E68BAF9" w14:textId="784971CE" w:rsidR="00AA3D2D" w:rsidRPr="00FC1E26" w:rsidRDefault="00AA3D2D" w:rsidP="00AA3D2D">
      <w:r w:rsidRPr="00FC1E26">
        <w:t xml:space="preserve">Edmondson, A. (1999) ‘Psychological safety and learning </w:t>
      </w:r>
      <w:proofErr w:type="spellStart"/>
      <w:r w:rsidRPr="00FC1E26">
        <w:t>behavior</w:t>
      </w:r>
      <w:proofErr w:type="spellEnd"/>
      <w:r w:rsidRPr="00FC1E26">
        <w:t xml:space="preserve"> in work teams’, </w:t>
      </w:r>
      <w:r w:rsidRPr="00FC1E26">
        <w:rPr>
          <w:i/>
          <w:iCs/>
        </w:rPr>
        <w:t>Administrative Science Quarterly</w:t>
      </w:r>
      <w:r w:rsidRPr="00FC1E26">
        <w:t>, 44(2), pp.350–383.</w:t>
      </w:r>
    </w:p>
    <w:p w14:paraId="52D9C789" w14:textId="37AE54EE" w:rsidR="00AA3D2D" w:rsidRPr="00FC1E26" w:rsidRDefault="00AA3D2D" w:rsidP="00AA3D2D">
      <w:r w:rsidRPr="00FC1E26">
        <w:t xml:space="preserve">Gibbs, G. (1988) </w:t>
      </w:r>
      <w:r w:rsidRPr="00FC1E26">
        <w:rPr>
          <w:i/>
          <w:iCs/>
        </w:rPr>
        <w:t>Learning by Doing: A Guide to Teaching and Learning Methods</w:t>
      </w:r>
      <w:r w:rsidRPr="00FC1E26">
        <w:t>. Oxford: Oxford Polytechnic.</w:t>
      </w:r>
    </w:p>
    <w:p w14:paraId="07C8ADE3" w14:textId="77777777" w:rsidR="00AA3D2D" w:rsidRPr="00FC1E26" w:rsidRDefault="00AA3D2D" w:rsidP="00AA3D2D">
      <w:r w:rsidRPr="00FC1E26">
        <w:t xml:space="preserve">Knowles, M.S. (1980) </w:t>
      </w:r>
      <w:r w:rsidRPr="00FC1E26">
        <w:rPr>
          <w:i/>
          <w:iCs/>
        </w:rPr>
        <w:t>The Modern Practice of Adult Education: From Pedagogy to Andragogy</w:t>
      </w:r>
      <w:r w:rsidRPr="00FC1E26">
        <w:t xml:space="preserve">. 2nd </w:t>
      </w:r>
      <w:proofErr w:type="spellStart"/>
      <w:r w:rsidRPr="00FC1E26">
        <w:t>edn</w:t>
      </w:r>
      <w:proofErr w:type="spellEnd"/>
      <w:r w:rsidRPr="00FC1E26">
        <w:t>. Cambridge: The Adult Education Company.</w:t>
      </w:r>
    </w:p>
    <w:p w14:paraId="38C38C25" w14:textId="77777777" w:rsidR="00AA3D2D" w:rsidRPr="00FC1E26" w:rsidRDefault="00AA3D2D" w:rsidP="00AA3D2D">
      <w:r w:rsidRPr="00FC1E26">
        <w:t xml:space="preserve">Kolb, D.A. (1984) </w:t>
      </w:r>
      <w:r w:rsidRPr="00FC1E26">
        <w:rPr>
          <w:i/>
          <w:iCs/>
        </w:rPr>
        <w:t>Experiential Learning: Experience as the Source of Learning and Development</w:t>
      </w:r>
      <w:r w:rsidRPr="00FC1E26">
        <w:t>. Englewood Cliffs, NJ: Prentice Hall.</w:t>
      </w:r>
    </w:p>
    <w:p w14:paraId="40E44780" w14:textId="77777777" w:rsidR="00AA3D2D" w:rsidRPr="00FC1E26" w:rsidRDefault="00AA3D2D" w:rsidP="00AA3D2D">
      <w:r w:rsidRPr="00FC1E26">
        <w:t xml:space="preserve">Schön, D.A. (1983) </w:t>
      </w:r>
      <w:r w:rsidRPr="00FC1E26">
        <w:rPr>
          <w:i/>
          <w:iCs/>
        </w:rPr>
        <w:t>The Reflective Practitioner: How Professionals Think in Action</w:t>
      </w:r>
      <w:r w:rsidRPr="00FC1E26">
        <w:t>. New York: Basic Books.</w:t>
      </w:r>
    </w:p>
    <w:p w14:paraId="1097CE19" w14:textId="77777777" w:rsidR="00AA3D2D" w:rsidRPr="00FC1E26" w:rsidRDefault="00AA3D2D" w:rsidP="00AA3D2D">
      <w:proofErr w:type="spellStart"/>
      <w:r w:rsidRPr="00FC1E26">
        <w:t>Sweller</w:t>
      </w:r>
      <w:proofErr w:type="spellEnd"/>
      <w:r w:rsidRPr="00FC1E26">
        <w:t xml:space="preserve">, J. (1988) ‘Cognitive load during problem solving: Effects on learning’, </w:t>
      </w:r>
      <w:r w:rsidRPr="00FC1E26">
        <w:rPr>
          <w:i/>
          <w:iCs/>
        </w:rPr>
        <w:t>Cognitive Science</w:t>
      </w:r>
      <w:r w:rsidRPr="00FC1E26">
        <w:t>, 12(2), pp.257–285.</w:t>
      </w:r>
    </w:p>
    <w:p w14:paraId="2ACA4B55" w14:textId="77777777" w:rsidR="00AA3D2D" w:rsidRPr="00FC1E26" w:rsidRDefault="00AA3D2D" w:rsidP="00AA3D2D">
      <w:r w:rsidRPr="00FC1E26">
        <w:t xml:space="preserve">Vygotsky, L.S. (1978) </w:t>
      </w:r>
      <w:r w:rsidRPr="00FC1E26">
        <w:rPr>
          <w:i/>
          <w:iCs/>
        </w:rPr>
        <w:t>Mind in Society: The Development of Higher Psychological Processes</w:t>
      </w:r>
      <w:r w:rsidRPr="00FC1E26">
        <w:t>. Cambridge, MA: Harvard University Press.</w:t>
      </w:r>
    </w:p>
    <w:p w14:paraId="6AC5981E" w14:textId="77777777" w:rsidR="004021DD" w:rsidRPr="00FC1E26" w:rsidRDefault="004021DD"/>
    <w:sectPr w:rsidR="004021DD" w:rsidRPr="00FC1E26" w:rsidSect="00080F2C">
      <w:head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3E1C9" w14:textId="77777777" w:rsidR="00853E34" w:rsidRDefault="00853E34" w:rsidP="00C37C05">
      <w:pPr>
        <w:spacing w:after="0" w:line="240" w:lineRule="auto"/>
      </w:pPr>
      <w:r>
        <w:separator/>
      </w:r>
    </w:p>
  </w:endnote>
  <w:endnote w:type="continuationSeparator" w:id="0">
    <w:p w14:paraId="1775C5BD" w14:textId="77777777" w:rsidR="00853E34" w:rsidRDefault="00853E34" w:rsidP="00C37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528BD" w14:textId="77777777" w:rsidR="00853E34" w:rsidRDefault="00853E34" w:rsidP="00C37C05">
      <w:pPr>
        <w:spacing w:after="0" w:line="240" w:lineRule="auto"/>
      </w:pPr>
      <w:r>
        <w:separator/>
      </w:r>
    </w:p>
  </w:footnote>
  <w:footnote w:type="continuationSeparator" w:id="0">
    <w:p w14:paraId="2EEB1159" w14:textId="77777777" w:rsidR="00853E34" w:rsidRDefault="00853E34" w:rsidP="00C37C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56CC7" w14:textId="52BCAEAE" w:rsidR="00C37C05" w:rsidRDefault="00C37C05" w:rsidP="00C37C05">
    <w:pPr>
      <w:pStyle w:val="Header"/>
    </w:pPr>
    <w:r>
      <w:t>NEW POST                                                                                                                                          BLOG #002</w:t>
    </w:r>
  </w:p>
  <w:p w14:paraId="6D0AC8E2" w14:textId="77777777" w:rsidR="00C37C05" w:rsidRDefault="00C37C05" w:rsidP="00C37C05">
    <w:pPr>
      <w:pStyle w:val="Header"/>
    </w:pPr>
    <w:r>
      <w:rPr>
        <w:noProof/>
      </w:rPr>
      <w:drawing>
        <wp:inline distT="0" distB="0" distL="0" distR="0" wp14:anchorId="51C987F4" wp14:editId="3B716D3D">
          <wp:extent cx="5730875" cy="699654"/>
          <wp:effectExtent l="0" t="0" r="3175" b="5715"/>
          <wp:docPr id="1" name="Picture 1" descr="Police record Fingerprints in police record. Fingerprint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ice record Fingerprints in police record. Fingerprint Stock Photo"/>
                  <pic:cNvPicPr>
                    <a:picLocks noChangeAspect="1" noChangeArrowheads="1"/>
                  </pic:cNvPicPr>
                </pic:nvPicPr>
                <pic:blipFill rotWithShape="1">
                  <a:blip r:embed="rId1">
                    <a:extLst>
                      <a:ext uri="{28A0092B-C50C-407E-A947-70E740481C1C}">
                        <a14:useLocalDpi xmlns:a14="http://schemas.microsoft.com/office/drawing/2010/main" val="0"/>
                      </a:ext>
                    </a:extLst>
                  </a:blip>
                  <a:srcRect t="28017" b="42194"/>
                  <a:stretch>
                    <a:fillRect/>
                  </a:stretch>
                </pic:blipFill>
                <pic:spPr bwMode="auto">
                  <a:xfrm>
                    <a:off x="0" y="0"/>
                    <a:ext cx="5731510" cy="699732"/>
                  </a:xfrm>
                  <a:prstGeom prst="rect">
                    <a:avLst/>
                  </a:prstGeom>
                  <a:noFill/>
                  <a:ln>
                    <a:noFill/>
                  </a:ln>
                  <a:extLst>
                    <a:ext uri="{53640926-AAD7-44D8-BBD7-CCE9431645EC}">
                      <a14:shadowObscured xmlns:a14="http://schemas.microsoft.com/office/drawing/2010/main"/>
                    </a:ext>
                  </a:extLst>
                </pic:spPr>
              </pic:pic>
            </a:graphicData>
          </a:graphic>
        </wp:inline>
      </w:drawing>
    </w:r>
  </w:p>
  <w:p w14:paraId="68234D18" w14:textId="77777777" w:rsidR="00C37C05" w:rsidRDefault="00C37C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F5833"/>
    <w:multiLevelType w:val="multilevel"/>
    <w:tmpl w:val="BA12F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B96887"/>
    <w:multiLevelType w:val="multilevel"/>
    <w:tmpl w:val="AA38B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F02E12"/>
    <w:multiLevelType w:val="multilevel"/>
    <w:tmpl w:val="36501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E757FE"/>
    <w:multiLevelType w:val="multilevel"/>
    <w:tmpl w:val="E7D42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3E7291"/>
    <w:multiLevelType w:val="multilevel"/>
    <w:tmpl w:val="EDE61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591CB2"/>
    <w:multiLevelType w:val="multilevel"/>
    <w:tmpl w:val="FF0A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446A1D"/>
    <w:multiLevelType w:val="multilevel"/>
    <w:tmpl w:val="2E362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B83627"/>
    <w:multiLevelType w:val="multilevel"/>
    <w:tmpl w:val="6EF07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9C24A8"/>
    <w:multiLevelType w:val="multilevel"/>
    <w:tmpl w:val="CEA04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8437243">
    <w:abstractNumId w:val="1"/>
  </w:num>
  <w:num w:numId="2" w16cid:durableId="1921910914">
    <w:abstractNumId w:val="8"/>
  </w:num>
  <w:num w:numId="3" w16cid:durableId="153183760">
    <w:abstractNumId w:val="2"/>
  </w:num>
  <w:num w:numId="4" w16cid:durableId="467474576">
    <w:abstractNumId w:val="4"/>
  </w:num>
  <w:num w:numId="5" w16cid:durableId="1975796703">
    <w:abstractNumId w:val="0"/>
  </w:num>
  <w:num w:numId="6" w16cid:durableId="2062093007">
    <w:abstractNumId w:val="6"/>
  </w:num>
  <w:num w:numId="7" w16cid:durableId="1231191689">
    <w:abstractNumId w:val="5"/>
  </w:num>
  <w:num w:numId="8" w16cid:durableId="739402978">
    <w:abstractNumId w:val="3"/>
  </w:num>
  <w:num w:numId="9" w16cid:durableId="18365290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E9E"/>
    <w:rsid w:val="00050ADA"/>
    <w:rsid w:val="000800C9"/>
    <w:rsid w:val="00080F2C"/>
    <w:rsid w:val="000956E3"/>
    <w:rsid w:val="000D3D98"/>
    <w:rsid w:val="00296B94"/>
    <w:rsid w:val="002D0184"/>
    <w:rsid w:val="00397ADC"/>
    <w:rsid w:val="004021DD"/>
    <w:rsid w:val="00491ECF"/>
    <w:rsid w:val="004A00D8"/>
    <w:rsid w:val="004E408F"/>
    <w:rsid w:val="00671E4E"/>
    <w:rsid w:val="00694A5D"/>
    <w:rsid w:val="006A36BC"/>
    <w:rsid w:val="007434BF"/>
    <w:rsid w:val="00790127"/>
    <w:rsid w:val="00836E75"/>
    <w:rsid w:val="00853E34"/>
    <w:rsid w:val="008B4E61"/>
    <w:rsid w:val="008F2055"/>
    <w:rsid w:val="009104BC"/>
    <w:rsid w:val="00944D0D"/>
    <w:rsid w:val="009931D0"/>
    <w:rsid w:val="00A47C18"/>
    <w:rsid w:val="00AA3D2D"/>
    <w:rsid w:val="00AE4139"/>
    <w:rsid w:val="00B2076A"/>
    <w:rsid w:val="00B41909"/>
    <w:rsid w:val="00B50A0B"/>
    <w:rsid w:val="00BE15CB"/>
    <w:rsid w:val="00C01565"/>
    <w:rsid w:val="00C06DC1"/>
    <w:rsid w:val="00C37C05"/>
    <w:rsid w:val="00C87D19"/>
    <w:rsid w:val="00E865D8"/>
    <w:rsid w:val="00EB09BA"/>
    <w:rsid w:val="00F461E5"/>
    <w:rsid w:val="00F80E9E"/>
    <w:rsid w:val="00FC1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16BCD"/>
  <w15:chartTrackingRefBased/>
  <w15:docId w15:val="{829E8584-90BB-4424-B579-8D0DA9C4F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0E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0E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0E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0E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0E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0E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0E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0E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0E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0E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0E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0E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0E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0E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0E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0E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0E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0E9E"/>
    <w:rPr>
      <w:rFonts w:eastAsiaTheme="majorEastAsia" w:cstheme="majorBidi"/>
      <w:color w:val="272727" w:themeColor="text1" w:themeTint="D8"/>
    </w:rPr>
  </w:style>
  <w:style w:type="paragraph" w:styleId="Title">
    <w:name w:val="Title"/>
    <w:basedOn w:val="Normal"/>
    <w:next w:val="Normal"/>
    <w:link w:val="TitleChar"/>
    <w:uiPriority w:val="10"/>
    <w:qFormat/>
    <w:rsid w:val="00F80E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E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0E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0E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0E9E"/>
    <w:pPr>
      <w:spacing w:before="160"/>
      <w:jc w:val="center"/>
    </w:pPr>
    <w:rPr>
      <w:i/>
      <w:iCs/>
      <w:color w:val="404040" w:themeColor="text1" w:themeTint="BF"/>
    </w:rPr>
  </w:style>
  <w:style w:type="character" w:customStyle="1" w:styleId="QuoteChar">
    <w:name w:val="Quote Char"/>
    <w:basedOn w:val="DefaultParagraphFont"/>
    <w:link w:val="Quote"/>
    <w:uiPriority w:val="29"/>
    <w:rsid w:val="00F80E9E"/>
    <w:rPr>
      <w:i/>
      <w:iCs/>
      <w:color w:val="404040" w:themeColor="text1" w:themeTint="BF"/>
    </w:rPr>
  </w:style>
  <w:style w:type="paragraph" w:styleId="ListParagraph">
    <w:name w:val="List Paragraph"/>
    <w:basedOn w:val="Normal"/>
    <w:uiPriority w:val="34"/>
    <w:qFormat/>
    <w:rsid w:val="00F80E9E"/>
    <w:pPr>
      <w:ind w:left="720"/>
      <w:contextualSpacing/>
    </w:pPr>
  </w:style>
  <w:style w:type="character" w:styleId="IntenseEmphasis">
    <w:name w:val="Intense Emphasis"/>
    <w:basedOn w:val="DefaultParagraphFont"/>
    <w:uiPriority w:val="21"/>
    <w:qFormat/>
    <w:rsid w:val="00F80E9E"/>
    <w:rPr>
      <w:i/>
      <w:iCs/>
      <w:color w:val="0F4761" w:themeColor="accent1" w:themeShade="BF"/>
    </w:rPr>
  </w:style>
  <w:style w:type="paragraph" w:styleId="IntenseQuote">
    <w:name w:val="Intense Quote"/>
    <w:basedOn w:val="Normal"/>
    <w:next w:val="Normal"/>
    <w:link w:val="IntenseQuoteChar"/>
    <w:uiPriority w:val="30"/>
    <w:qFormat/>
    <w:rsid w:val="00F80E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0E9E"/>
    <w:rPr>
      <w:i/>
      <w:iCs/>
      <w:color w:val="0F4761" w:themeColor="accent1" w:themeShade="BF"/>
    </w:rPr>
  </w:style>
  <w:style w:type="character" w:styleId="IntenseReference">
    <w:name w:val="Intense Reference"/>
    <w:basedOn w:val="DefaultParagraphFont"/>
    <w:uiPriority w:val="32"/>
    <w:qFormat/>
    <w:rsid w:val="00F80E9E"/>
    <w:rPr>
      <w:b/>
      <w:bCs/>
      <w:smallCaps/>
      <w:color w:val="0F4761" w:themeColor="accent1" w:themeShade="BF"/>
      <w:spacing w:val="5"/>
    </w:rPr>
  </w:style>
  <w:style w:type="paragraph" w:styleId="Header">
    <w:name w:val="header"/>
    <w:basedOn w:val="Normal"/>
    <w:link w:val="HeaderChar"/>
    <w:uiPriority w:val="99"/>
    <w:unhideWhenUsed/>
    <w:rsid w:val="00C37C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7C05"/>
  </w:style>
  <w:style w:type="paragraph" w:styleId="Footer">
    <w:name w:val="footer"/>
    <w:basedOn w:val="Normal"/>
    <w:link w:val="FooterChar"/>
    <w:uiPriority w:val="99"/>
    <w:unhideWhenUsed/>
    <w:rsid w:val="00C37C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7C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38631">
      <w:bodyDiv w:val="1"/>
      <w:marLeft w:val="0"/>
      <w:marRight w:val="0"/>
      <w:marTop w:val="0"/>
      <w:marBottom w:val="0"/>
      <w:divBdr>
        <w:top w:val="none" w:sz="0" w:space="0" w:color="auto"/>
        <w:left w:val="none" w:sz="0" w:space="0" w:color="auto"/>
        <w:bottom w:val="none" w:sz="0" w:space="0" w:color="auto"/>
        <w:right w:val="none" w:sz="0" w:space="0" w:color="auto"/>
      </w:divBdr>
    </w:div>
    <w:div w:id="78143673">
      <w:bodyDiv w:val="1"/>
      <w:marLeft w:val="0"/>
      <w:marRight w:val="0"/>
      <w:marTop w:val="0"/>
      <w:marBottom w:val="0"/>
      <w:divBdr>
        <w:top w:val="none" w:sz="0" w:space="0" w:color="auto"/>
        <w:left w:val="none" w:sz="0" w:space="0" w:color="auto"/>
        <w:bottom w:val="none" w:sz="0" w:space="0" w:color="auto"/>
        <w:right w:val="none" w:sz="0" w:space="0" w:color="auto"/>
      </w:divBdr>
    </w:div>
    <w:div w:id="139537607">
      <w:bodyDiv w:val="1"/>
      <w:marLeft w:val="0"/>
      <w:marRight w:val="0"/>
      <w:marTop w:val="0"/>
      <w:marBottom w:val="0"/>
      <w:divBdr>
        <w:top w:val="none" w:sz="0" w:space="0" w:color="auto"/>
        <w:left w:val="none" w:sz="0" w:space="0" w:color="auto"/>
        <w:bottom w:val="none" w:sz="0" w:space="0" w:color="auto"/>
        <w:right w:val="none" w:sz="0" w:space="0" w:color="auto"/>
      </w:divBdr>
    </w:div>
    <w:div w:id="165638950">
      <w:bodyDiv w:val="1"/>
      <w:marLeft w:val="0"/>
      <w:marRight w:val="0"/>
      <w:marTop w:val="0"/>
      <w:marBottom w:val="0"/>
      <w:divBdr>
        <w:top w:val="none" w:sz="0" w:space="0" w:color="auto"/>
        <w:left w:val="none" w:sz="0" w:space="0" w:color="auto"/>
        <w:bottom w:val="none" w:sz="0" w:space="0" w:color="auto"/>
        <w:right w:val="none" w:sz="0" w:space="0" w:color="auto"/>
      </w:divBdr>
    </w:div>
    <w:div w:id="168065294">
      <w:bodyDiv w:val="1"/>
      <w:marLeft w:val="0"/>
      <w:marRight w:val="0"/>
      <w:marTop w:val="0"/>
      <w:marBottom w:val="0"/>
      <w:divBdr>
        <w:top w:val="none" w:sz="0" w:space="0" w:color="auto"/>
        <w:left w:val="none" w:sz="0" w:space="0" w:color="auto"/>
        <w:bottom w:val="none" w:sz="0" w:space="0" w:color="auto"/>
        <w:right w:val="none" w:sz="0" w:space="0" w:color="auto"/>
      </w:divBdr>
    </w:div>
    <w:div w:id="206990042">
      <w:bodyDiv w:val="1"/>
      <w:marLeft w:val="0"/>
      <w:marRight w:val="0"/>
      <w:marTop w:val="0"/>
      <w:marBottom w:val="0"/>
      <w:divBdr>
        <w:top w:val="none" w:sz="0" w:space="0" w:color="auto"/>
        <w:left w:val="none" w:sz="0" w:space="0" w:color="auto"/>
        <w:bottom w:val="none" w:sz="0" w:space="0" w:color="auto"/>
        <w:right w:val="none" w:sz="0" w:space="0" w:color="auto"/>
      </w:divBdr>
    </w:div>
    <w:div w:id="235365375">
      <w:bodyDiv w:val="1"/>
      <w:marLeft w:val="0"/>
      <w:marRight w:val="0"/>
      <w:marTop w:val="0"/>
      <w:marBottom w:val="0"/>
      <w:divBdr>
        <w:top w:val="none" w:sz="0" w:space="0" w:color="auto"/>
        <w:left w:val="none" w:sz="0" w:space="0" w:color="auto"/>
        <w:bottom w:val="none" w:sz="0" w:space="0" w:color="auto"/>
        <w:right w:val="none" w:sz="0" w:space="0" w:color="auto"/>
      </w:divBdr>
    </w:div>
    <w:div w:id="241137606">
      <w:bodyDiv w:val="1"/>
      <w:marLeft w:val="0"/>
      <w:marRight w:val="0"/>
      <w:marTop w:val="0"/>
      <w:marBottom w:val="0"/>
      <w:divBdr>
        <w:top w:val="none" w:sz="0" w:space="0" w:color="auto"/>
        <w:left w:val="none" w:sz="0" w:space="0" w:color="auto"/>
        <w:bottom w:val="none" w:sz="0" w:space="0" w:color="auto"/>
        <w:right w:val="none" w:sz="0" w:space="0" w:color="auto"/>
      </w:divBdr>
    </w:div>
    <w:div w:id="298002887">
      <w:bodyDiv w:val="1"/>
      <w:marLeft w:val="0"/>
      <w:marRight w:val="0"/>
      <w:marTop w:val="0"/>
      <w:marBottom w:val="0"/>
      <w:divBdr>
        <w:top w:val="none" w:sz="0" w:space="0" w:color="auto"/>
        <w:left w:val="none" w:sz="0" w:space="0" w:color="auto"/>
        <w:bottom w:val="none" w:sz="0" w:space="0" w:color="auto"/>
        <w:right w:val="none" w:sz="0" w:space="0" w:color="auto"/>
      </w:divBdr>
    </w:div>
    <w:div w:id="531190528">
      <w:bodyDiv w:val="1"/>
      <w:marLeft w:val="0"/>
      <w:marRight w:val="0"/>
      <w:marTop w:val="0"/>
      <w:marBottom w:val="0"/>
      <w:divBdr>
        <w:top w:val="none" w:sz="0" w:space="0" w:color="auto"/>
        <w:left w:val="none" w:sz="0" w:space="0" w:color="auto"/>
        <w:bottom w:val="none" w:sz="0" w:space="0" w:color="auto"/>
        <w:right w:val="none" w:sz="0" w:space="0" w:color="auto"/>
      </w:divBdr>
    </w:div>
    <w:div w:id="727806775">
      <w:bodyDiv w:val="1"/>
      <w:marLeft w:val="0"/>
      <w:marRight w:val="0"/>
      <w:marTop w:val="0"/>
      <w:marBottom w:val="0"/>
      <w:divBdr>
        <w:top w:val="none" w:sz="0" w:space="0" w:color="auto"/>
        <w:left w:val="none" w:sz="0" w:space="0" w:color="auto"/>
        <w:bottom w:val="none" w:sz="0" w:space="0" w:color="auto"/>
        <w:right w:val="none" w:sz="0" w:space="0" w:color="auto"/>
      </w:divBdr>
    </w:div>
    <w:div w:id="792022021">
      <w:bodyDiv w:val="1"/>
      <w:marLeft w:val="0"/>
      <w:marRight w:val="0"/>
      <w:marTop w:val="0"/>
      <w:marBottom w:val="0"/>
      <w:divBdr>
        <w:top w:val="none" w:sz="0" w:space="0" w:color="auto"/>
        <w:left w:val="none" w:sz="0" w:space="0" w:color="auto"/>
        <w:bottom w:val="none" w:sz="0" w:space="0" w:color="auto"/>
        <w:right w:val="none" w:sz="0" w:space="0" w:color="auto"/>
      </w:divBdr>
    </w:div>
    <w:div w:id="848061635">
      <w:bodyDiv w:val="1"/>
      <w:marLeft w:val="0"/>
      <w:marRight w:val="0"/>
      <w:marTop w:val="0"/>
      <w:marBottom w:val="0"/>
      <w:divBdr>
        <w:top w:val="none" w:sz="0" w:space="0" w:color="auto"/>
        <w:left w:val="none" w:sz="0" w:space="0" w:color="auto"/>
        <w:bottom w:val="none" w:sz="0" w:space="0" w:color="auto"/>
        <w:right w:val="none" w:sz="0" w:space="0" w:color="auto"/>
      </w:divBdr>
    </w:div>
    <w:div w:id="856232502">
      <w:bodyDiv w:val="1"/>
      <w:marLeft w:val="0"/>
      <w:marRight w:val="0"/>
      <w:marTop w:val="0"/>
      <w:marBottom w:val="0"/>
      <w:divBdr>
        <w:top w:val="none" w:sz="0" w:space="0" w:color="auto"/>
        <w:left w:val="none" w:sz="0" w:space="0" w:color="auto"/>
        <w:bottom w:val="none" w:sz="0" w:space="0" w:color="auto"/>
        <w:right w:val="none" w:sz="0" w:space="0" w:color="auto"/>
      </w:divBdr>
    </w:div>
    <w:div w:id="857473716">
      <w:bodyDiv w:val="1"/>
      <w:marLeft w:val="0"/>
      <w:marRight w:val="0"/>
      <w:marTop w:val="0"/>
      <w:marBottom w:val="0"/>
      <w:divBdr>
        <w:top w:val="none" w:sz="0" w:space="0" w:color="auto"/>
        <w:left w:val="none" w:sz="0" w:space="0" w:color="auto"/>
        <w:bottom w:val="none" w:sz="0" w:space="0" w:color="auto"/>
        <w:right w:val="none" w:sz="0" w:space="0" w:color="auto"/>
      </w:divBdr>
    </w:div>
    <w:div w:id="1253126449">
      <w:bodyDiv w:val="1"/>
      <w:marLeft w:val="0"/>
      <w:marRight w:val="0"/>
      <w:marTop w:val="0"/>
      <w:marBottom w:val="0"/>
      <w:divBdr>
        <w:top w:val="none" w:sz="0" w:space="0" w:color="auto"/>
        <w:left w:val="none" w:sz="0" w:space="0" w:color="auto"/>
        <w:bottom w:val="none" w:sz="0" w:space="0" w:color="auto"/>
        <w:right w:val="none" w:sz="0" w:space="0" w:color="auto"/>
      </w:divBdr>
    </w:div>
    <w:div w:id="1373533147">
      <w:bodyDiv w:val="1"/>
      <w:marLeft w:val="0"/>
      <w:marRight w:val="0"/>
      <w:marTop w:val="0"/>
      <w:marBottom w:val="0"/>
      <w:divBdr>
        <w:top w:val="none" w:sz="0" w:space="0" w:color="auto"/>
        <w:left w:val="none" w:sz="0" w:space="0" w:color="auto"/>
        <w:bottom w:val="none" w:sz="0" w:space="0" w:color="auto"/>
        <w:right w:val="none" w:sz="0" w:space="0" w:color="auto"/>
      </w:divBdr>
    </w:div>
    <w:div w:id="1381006251">
      <w:bodyDiv w:val="1"/>
      <w:marLeft w:val="0"/>
      <w:marRight w:val="0"/>
      <w:marTop w:val="0"/>
      <w:marBottom w:val="0"/>
      <w:divBdr>
        <w:top w:val="none" w:sz="0" w:space="0" w:color="auto"/>
        <w:left w:val="none" w:sz="0" w:space="0" w:color="auto"/>
        <w:bottom w:val="none" w:sz="0" w:space="0" w:color="auto"/>
        <w:right w:val="none" w:sz="0" w:space="0" w:color="auto"/>
      </w:divBdr>
    </w:div>
    <w:div w:id="1433548206">
      <w:bodyDiv w:val="1"/>
      <w:marLeft w:val="0"/>
      <w:marRight w:val="0"/>
      <w:marTop w:val="0"/>
      <w:marBottom w:val="0"/>
      <w:divBdr>
        <w:top w:val="none" w:sz="0" w:space="0" w:color="auto"/>
        <w:left w:val="none" w:sz="0" w:space="0" w:color="auto"/>
        <w:bottom w:val="none" w:sz="0" w:space="0" w:color="auto"/>
        <w:right w:val="none" w:sz="0" w:space="0" w:color="auto"/>
      </w:divBdr>
    </w:div>
    <w:div w:id="1708485920">
      <w:bodyDiv w:val="1"/>
      <w:marLeft w:val="0"/>
      <w:marRight w:val="0"/>
      <w:marTop w:val="0"/>
      <w:marBottom w:val="0"/>
      <w:divBdr>
        <w:top w:val="none" w:sz="0" w:space="0" w:color="auto"/>
        <w:left w:val="none" w:sz="0" w:space="0" w:color="auto"/>
        <w:bottom w:val="none" w:sz="0" w:space="0" w:color="auto"/>
        <w:right w:val="none" w:sz="0" w:space="0" w:color="auto"/>
      </w:divBdr>
    </w:div>
    <w:div w:id="1730617640">
      <w:bodyDiv w:val="1"/>
      <w:marLeft w:val="0"/>
      <w:marRight w:val="0"/>
      <w:marTop w:val="0"/>
      <w:marBottom w:val="0"/>
      <w:divBdr>
        <w:top w:val="none" w:sz="0" w:space="0" w:color="auto"/>
        <w:left w:val="none" w:sz="0" w:space="0" w:color="auto"/>
        <w:bottom w:val="none" w:sz="0" w:space="0" w:color="auto"/>
        <w:right w:val="none" w:sz="0" w:space="0" w:color="auto"/>
      </w:divBdr>
    </w:div>
    <w:div w:id="1755321402">
      <w:bodyDiv w:val="1"/>
      <w:marLeft w:val="0"/>
      <w:marRight w:val="0"/>
      <w:marTop w:val="0"/>
      <w:marBottom w:val="0"/>
      <w:divBdr>
        <w:top w:val="none" w:sz="0" w:space="0" w:color="auto"/>
        <w:left w:val="none" w:sz="0" w:space="0" w:color="auto"/>
        <w:bottom w:val="none" w:sz="0" w:space="0" w:color="auto"/>
        <w:right w:val="none" w:sz="0" w:space="0" w:color="auto"/>
      </w:divBdr>
    </w:div>
    <w:div w:id="1817336944">
      <w:bodyDiv w:val="1"/>
      <w:marLeft w:val="0"/>
      <w:marRight w:val="0"/>
      <w:marTop w:val="0"/>
      <w:marBottom w:val="0"/>
      <w:divBdr>
        <w:top w:val="none" w:sz="0" w:space="0" w:color="auto"/>
        <w:left w:val="none" w:sz="0" w:space="0" w:color="auto"/>
        <w:bottom w:val="none" w:sz="0" w:space="0" w:color="auto"/>
        <w:right w:val="none" w:sz="0" w:space="0" w:color="auto"/>
      </w:divBdr>
    </w:div>
    <w:div w:id="1905991302">
      <w:bodyDiv w:val="1"/>
      <w:marLeft w:val="0"/>
      <w:marRight w:val="0"/>
      <w:marTop w:val="0"/>
      <w:marBottom w:val="0"/>
      <w:divBdr>
        <w:top w:val="none" w:sz="0" w:space="0" w:color="auto"/>
        <w:left w:val="none" w:sz="0" w:space="0" w:color="auto"/>
        <w:bottom w:val="none" w:sz="0" w:space="0" w:color="auto"/>
        <w:right w:val="none" w:sz="0" w:space="0" w:color="auto"/>
      </w:divBdr>
    </w:div>
    <w:div w:id="1937058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1.wdp"/><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964</TotalTime>
  <Pages>4</Pages>
  <Words>1138</Words>
  <Characters>7022</Characters>
  <Application>Microsoft Office Word</Application>
  <DocSecurity>0</DocSecurity>
  <Lines>123</Lines>
  <Paragraphs>66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Keogh, Sophie</dc:creator>
  <cp:keywords/>
  <dc:description/>
  <cp:lastModifiedBy>Keogh, Sophie</cp:lastModifiedBy>
  <cp:revision>28</cp:revision>
  <dcterms:created xsi:type="dcterms:W3CDTF">2025-11-05T18:04:00Z</dcterms:created>
  <dcterms:modified xsi:type="dcterms:W3CDTF">2025-11-07T14:43:00Z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2025-11-06T09:35:00Z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2d1cc833-b4ab-4fe6-8b6a-913b938a48da</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