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6D2B9" w14:textId="77777777" w:rsidR="00E65DB8" w:rsidRDefault="00E65DB8"/>
    <w:p w14:paraId="685EDD6B" w14:textId="77777777" w:rsidR="00E65DB8" w:rsidRDefault="00E65DB8" w:rsidP="00E65DB8">
      <w:r>
        <w:t>LCHS4003</w:t>
      </w:r>
    </w:p>
    <w:p w14:paraId="1A614663" w14:textId="77777777" w:rsidR="00E65DB8" w:rsidRDefault="00E65DB8" w:rsidP="00E65DB8">
      <w:r>
        <w:t xml:space="preserve">Component 1 </w:t>
      </w:r>
    </w:p>
    <w:p w14:paraId="20D608C0" w14:textId="77777777" w:rsidR="00E65DB8" w:rsidRDefault="00E65DB8" w:rsidP="00E65DB8">
      <w:r>
        <w:t>Shazia Purveen Hussain</w:t>
      </w:r>
    </w:p>
    <w:p w14:paraId="4E1A7DD9" w14:textId="77777777" w:rsidR="00E65DB8" w:rsidRDefault="00E65DB8" w:rsidP="00E65DB8">
      <w:r>
        <w:t>Student Number: 2530125</w:t>
      </w:r>
    </w:p>
    <w:p w14:paraId="2078D77B" w14:textId="2F7594B6" w:rsidR="00591616" w:rsidRDefault="007C514E">
      <w:r>
        <w:t>Reference List:</w:t>
      </w:r>
    </w:p>
    <w:p w14:paraId="283EFCBA" w14:textId="5CCD2E23" w:rsidR="007C514E" w:rsidRDefault="007C514E">
      <w:r>
        <w:t>Age UK (2024) - Residential care costs, funding and rights. London Age UK</w:t>
      </w:r>
    </w:p>
    <w:p w14:paraId="5571C481" w14:textId="4DAEEEAA" w:rsidR="007C514E" w:rsidRDefault="007C514E">
      <w:r>
        <w:t>Care England (2023) – State of the sector report 2023. London Care England</w:t>
      </w:r>
    </w:p>
    <w:p w14:paraId="396E85F6" w14:textId="6F6227A1" w:rsidR="007C514E" w:rsidRDefault="007C514E">
      <w:r>
        <w:t>Care quality commission (2024) – Guidance. London Care quality commission.</w:t>
      </w:r>
    </w:p>
    <w:p w14:paraId="7CCCC7CD" w14:textId="1FCD1055" w:rsidR="007C514E" w:rsidRDefault="007C514E">
      <w:r>
        <w:t>Department of Health (1990) – NHS and community care act 1990.</w:t>
      </w:r>
    </w:p>
    <w:p w14:paraId="7211F1A2" w14:textId="1DE1F1F0" w:rsidR="007C514E" w:rsidRDefault="007C514E">
      <w:r>
        <w:t>Department of Health and Social Care (2023) – Care and support statutory guidance.</w:t>
      </w:r>
    </w:p>
    <w:p w14:paraId="4DB034E6" w14:textId="0F39AF9F" w:rsidR="007C514E" w:rsidRDefault="007C514E">
      <w:r>
        <w:t>HM Government (2014) – Care act 2014</w:t>
      </w:r>
    </w:p>
    <w:p w14:paraId="0018D9DE" w14:textId="6F913284" w:rsidR="007C514E" w:rsidRDefault="007C514E">
      <w:r>
        <w:t>Nuffield Trust (2024) – Funding pressures in residential care.</w:t>
      </w:r>
    </w:p>
    <w:p w14:paraId="6C453DE6" w14:textId="3A7B6C52" w:rsidR="007C514E" w:rsidRDefault="007C514E">
      <w:r>
        <w:t>Royal college of Nursing (2023) – Social care work force shortages.</w:t>
      </w:r>
    </w:p>
    <w:p w14:paraId="4CA38F15" w14:textId="52A2C97A" w:rsidR="007C514E" w:rsidRDefault="007C514E">
      <w:r>
        <w:t>Skills for Care (2023) – Skills for care.</w:t>
      </w:r>
    </w:p>
    <w:p w14:paraId="311EEBC1" w14:textId="32932943" w:rsidR="007C514E" w:rsidRDefault="007C514E">
      <w:r>
        <w:t>Skills for Care (2024) – Workforce intelligence report 2024.</w:t>
      </w:r>
    </w:p>
    <w:p w14:paraId="73CF0502" w14:textId="5797206A" w:rsidR="00623DD4" w:rsidRDefault="00623DD4">
      <w:pPr>
        <w:rPr>
          <w:u w:val="single"/>
        </w:rPr>
      </w:pPr>
      <w:r w:rsidRPr="00623DD4">
        <w:rPr>
          <w:u w:val="single"/>
        </w:rPr>
        <w:t>Citations</w:t>
      </w:r>
    </w:p>
    <w:p w14:paraId="3E19E0B3" w14:textId="39AC3FD6" w:rsidR="00623DD4" w:rsidRDefault="00623DD4" w:rsidP="00623DD4">
      <w:pPr>
        <w:pStyle w:val="ListParagraph"/>
        <w:numPr>
          <w:ilvl w:val="0"/>
          <w:numId w:val="1"/>
        </w:numPr>
      </w:pPr>
      <w:r w:rsidRPr="00623DD4">
        <w:t>American</w:t>
      </w:r>
      <w:r>
        <w:t xml:space="preserve"> </w:t>
      </w:r>
      <w:r w:rsidR="00F652CA">
        <w:t>pharmacists’</w:t>
      </w:r>
      <w:r>
        <w:t xml:space="preserve"> </w:t>
      </w:r>
      <w:r w:rsidR="009735DC">
        <w:t xml:space="preserve">association (2024) – </w:t>
      </w:r>
      <w:hyperlink r:id="rId5" w:history="1">
        <w:r w:rsidR="009735DC" w:rsidRPr="00F50555">
          <w:rPr>
            <w:rStyle w:val="Hyperlink"/>
          </w:rPr>
          <w:t>www.pharmasicsts.com</w:t>
        </w:r>
      </w:hyperlink>
    </w:p>
    <w:p w14:paraId="3A07F395" w14:textId="3831F5F3" w:rsidR="009735DC" w:rsidRDefault="00573A44" w:rsidP="00623DD4">
      <w:pPr>
        <w:pStyle w:val="ListParagraph"/>
        <w:numPr>
          <w:ilvl w:val="0"/>
          <w:numId w:val="1"/>
        </w:numPr>
      </w:pPr>
      <w:r>
        <w:t xml:space="preserve">World health organisation (2023) – </w:t>
      </w:r>
      <w:hyperlink r:id="rId6" w:history="1">
        <w:r w:rsidR="00C77B2F" w:rsidRPr="00F50555">
          <w:rPr>
            <w:rStyle w:val="Hyperlink"/>
          </w:rPr>
          <w:t>www.who.int</w:t>
        </w:r>
      </w:hyperlink>
    </w:p>
    <w:p w14:paraId="7A449CAF" w14:textId="37EE74F1" w:rsidR="00C77B2F" w:rsidRDefault="00C77B2F" w:rsidP="00623DD4">
      <w:pPr>
        <w:pStyle w:val="ListParagraph"/>
        <w:numPr>
          <w:ilvl w:val="0"/>
          <w:numId w:val="1"/>
        </w:numPr>
      </w:pPr>
      <w:r>
        <w:t xml:space="preserve">Centres for disease control and prevention (2024) – </w:t>
      </w:r>
      <w:hyperlink r:id="rId7" w:history="1">
        <w:r w:rsidR="00F43F93" w:rsidRPr="009A708C">
          <w:rPr>
            <w:rStyle w:val="Hyperlink"/>
          </w:rPr>
          <w:t>www.cdc.gov</w:t>
        </w:r>
      </w:hyperlink>
    </w:p>
    <w:p w14:paraId="5C98F4B4" w14:textId="77777777" w:rsidR="00F43F93" w:rsidRPr="00F43F93" w:rsidRDefault="00F43F93" w:rsidP="00F43F93">
      <w:pPr>
        <w:pStyle w:val="ListParagraph"/>
        <w:numPr>
          <w:ilvl w:val="0"/>
          <w:numId w:val="1"/>
        </w:numPr>
        <w:spacing w:line="360" w:lineRule="auto"/>
        <w:rPr>
          <w:rFonts w:ascii="Arial" w:hAnsi="Arial" w:cs="Arial"/>
        </w:rPr>
      </w:pPr>
      <w:r w:rsidRPr="00F43F93">
        <w:rPr>
          <w:rFonts w:ascii="Arial" w:hAnsi="Arial" w:cs="Arial"/>
        </w:rPr>
        <w:t>Residential Care Homes</w:t>
      </w:r>
    </w:p>
    <w:p w14:paraId="72F08C6E"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 xml:space="preserve">Explain the service: Residential care homes are registered health and social care settings across the UK, that provide accommodation, meals, personal care and 24-hour support for individuals who cannot manage independently at home, but do not require the specialist’s clinical treatment provided in a nursing home (Care quality commission, 2024) </w:t>
      </w:r>
    </w:p>
    <w:p w14:paraId="11485F82"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Residents are predominately older people, those services also support some younger adults with physical disabilities, sensory impairments, or cognitive conditions such as dementia. Care is person centred designed to meet individual needs including help with washing, dressing, medication administration, nutrition, mobility and social activities while aiming to maintain dignity and as much independence as possible (Department of Health and Social care 2023)</w:t>
      </w:r>
    </w:p>
    <w:p w14:paraId="2084C855"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History of the service: The origins of residential care lie in the Poor Law system of the 19</w:t>
      </w:r>
      <w:r w:rsidRPr="00F43F93">
        <w:rPr>
          <w:rFonts w:ascii="Arial" w:hAnsi="Arial" w:cs="Arial"/>
          <w:vertAlign w:val="superscript"/>
        </w:rPr>
        <w:t>th</w:t>
      </w:r>
      <w:r w:rsidRPr="00F43F93">
        <w:rPr>
          <w:rFonts w:ascii="Arial" w:hAnsi="Arial" w:cs="Arial"/>
        </w:rPr>
        <w:t xml:space="preserve"> century, where workhouses provided basic shelter and care for vulnerable groups, often in harsh institutional conditions. Major reform followed the second world war (National assistance act 1948) abolished the poor law and transferred responsibility for care provision to local authorities, establishing the first purpose built residential homes rather than workhouse style accommodation (Ministry of health, 1948). The NHS and community care act 1990 marked a pivotal shift it introduced </w:t>
      </w:r>
      <w:r w:rsidRPr="00F43F93">
        <w:rPr>
          <w:rFonts w:ascii="Arial" w:hAnsi="Arial" w:cs="Arial"/>
        </w:rPr>
        <w:lastRenderedPageBreak/>
        <w:t xml:space="preserve">needs based assessment, separated care purchasing from provision, and greatly expanded the role of independent and voluntary sector providers </w:t>
      </w:r>
      <w:proofErr w:type="spellStart"/>
      <w:r w:rsidRPr="00F43F93">
        <w:rPr>
          <w:rFonts w:ascii="Arial" w:hAnsi="Arial" w:cs="Arial"/>
        </w:rPr>
        <w:t>along side</w:t>
      </w:r>
      <w:proofErr w:type="spellEnd"/>
      <w:r w:rsidRPr="00F43F93">
        <w:rPr>
          <w:rFonts w:ascii="Arial" w:hAnsi="Arial" w:cs="Arial"/>
        </w:rPr>
        <w:t xml:space="preserve"> state run homes (Department of health, 1990) subsequent legislation including the Care Act, 2014 strengthened rights to quality care, safeguarding standards and personalised planning, while the care quality commission became the independent regulator for all care settings in England (HM Government, 2014). </w:t>
      </w:r>
    </w:p>
    <w:p w14:paraId="21063102"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Function of the service: Today residential care homes operate under strict registration and inspection requirements. They are run by local councils, private companies, or charitable organisations, and are funded through a mix of local authority payments, NHS contributions for eligible health care needs and self-funded fees paid by residents or their families (AGE UK, 2024). Each home employees a multi skilled team including care assistance, senior carers, activity coordinator, managers with access to visiting GPs, district nurses, pharmacists, and other health professionals. Services follow national standards set out in the health and social care act 2008 (regulated activities) regulations 2014. Covering safety, suitability of staffing, leadership and resident wellbeing. Care plans are reviewed regularly, and homes provide communal spaces and activities to reduce isolation and support social connection alongside daily personal support (Skills for care, 2023).</w:t>
      </w:r>
    </w:p>
    <w:p w14:paraId="0592E230"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 xml:space="preserve">Challenges faced by the service: First, critical work force shortages and retention difficulties threaten consistent care quality. Skills for care (2024) reports that the adult social care sector in England faces vacancies rates of over 10% - higher in residential care – </w:t>
      </w:r>
      <w:proofErr w:type="spellStart"/>
      <w:r w:rsidRPr="00F43F93">
        <w:rPr>
          <w:rFonts w:ascii="Arial" w:hAnsi="Arial" w:cs="Arial"/>
        </w:rPr>
        <w:t>along side</w:t>
      </w:r>
      <w:proofErr w:type="spellEnd"/>
      <w:r w:rsidRPr="00F43F93">
        <w:rPr>
          <w:rFonts w:ascii="Arial" w:hAnsi="Arial" w:cs="Arial"/>
        </w:rPr>
        <w:t xml:space="preserve"> high annual staff turnover. Low pay compared to NHS roles, physically demanding work, emotional strain, and limited career progression make recruitment difficult, understaffing often leads to rushed care, reduced social interaction time and increased risk of missed needs for safety incidents (Royal College of nursing, 2023) </w:t>
      </w:r>
    </w:p>
    <w:p w14:paraId="6EFBF159"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 xml:space="preserve">Second, funding pressures and rising costs create widespread financial instability. While demand grows as the UK population ages, funding rates paid by local authorities have not increased in line with inflation, energy bills, food costs, and wage requirements (Nuffield trust, 2024). Many smaller independent homes face closure or reduced services, while regional differences in funding mean access to good quality residential care is far less available or affordable in some areas – particularly for people with limited savings or low state support (Care England, 2023). </w:t>
      </w:r>
    </w:p>
    <w:p w14:paraId="5266E016" w14:textId="77777777" w:rsidR="00F43F93" w:rsidRPr="00F43F93" w:rsidRDefault="00F43F93" w:rsidP="00F43F93">
      <w:pPr>
        <w:pStyle w:val="ListParagraph"/>
        <w:numPr>
          <w:ilvl w:val="0"/>
          <w:numId w:val="1"/>
        </w:numPr>
        <w:rPr>
          <w:rFonts w:ascii="Arial" w:hAnsi="Arial" w:cs="Arial"/>
        </w:rPr>
      </w:pPr>
      <w:r w:rsidRPr="00F43F93">
        <w:rPr>
          <w:rFonts w:ascii="Arial" w:hAnsi="Arial" w:cs="Arial"/>
        </w:rPr>
        <w:t>Conclusion: Residential cares homes hold a vital and long-established place within the UK health and social care network, offering safe and supported accommodation and person-centred help for those no longer able to live independently.</w:t>
      </w:r>
    </w:p>
    <w:p w14:paraId="16E8F5C7" w14:textId="498A6779" w:rsidR="00F43F93" w:rsidRPr="00623DD4" w:rsidRDefault="00B166AD" w:rsidP="00F43F93">
      <w:r>
        <w:rPr>
          <w:noProof/>
        </w:rPr>
        <w:lastRenderedPageBreak/>
        <w:drawing>
          <wp:inline distT="0" distB="0" distL="0" distR="0" wp14:anchorId="5DB0722F" wp14:editId="09FB7C7B">
            <wp:extent cx="6400704" cy="11123930"/>
            <wp:effectExtent l="0" t="0" r="635" b="1270"/>
            <wp:docPr id="2083974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10560" cy="11141059"/>
                    </a:xfrm>
                    <a:prstGeom prst="rect">
                      <a:avLst/>
                    </a:prstGeom>
                    <a:noFill/>
                  </pic:spPr>
                </pic:pic>
              </a:graphicData>
            </a:graphic>
          </wp:inline>
        </w:drawing>
      </w:r>
    </w:p>
    <w:sectPr w:rsidR="00F43F93" w:rsidRPr="00623D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81777"/>
    <w:multiLevelType w:val="hybridMultilevel"/>
    <w:tmpl w:val="C23A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091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14E"/>
    <w:rsid w:val="0012481F"/>
    <w:rsid w:val="001A716A"/>
    <w:rsid w:val="00573A44"/>
    <w:rsid w:val="00591616"/>
    <w:rsid w:val="00623DD4"/>
    <w:rsid w:val="007C514E"/>
    <w:rsid w:val="008E1A3B"/>
    <w:rsid w:val="009735DC"/>
    <w:rsid w:val="00B166AD"/>
    <w:rsid w:val="00C77B2F"/>
    <w:rsid w:val="00E65DB8"/>
    <w:rsid w:val="00F43F93"/>
    <w:rsid w:val="00F65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62959"/>
  <w15:chartTrackingRefBased/>
  <w15:docId w15:val="{F2717089-C6B5-4F56-920C-B6CC6D3B5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1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51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51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1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1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1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51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51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1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1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1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1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1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14E"/>
    <w:rPr>
      <w:rFonts w:eastAsiaTheme="majorEastAsia" w:cstheme="majorBidi"/>
      <w:color w:val="272727" w:themeColor="text1" w:themeTint="D8"/>
    </w:rPr>
  </w:style>
  <w:style w:type="paragraph" w:styleId="Title">
    <w:name w:val="Title"/>
    <w:basedOn w:val="Normal"/>
    <w:next w:val="Normal"/>
    <w:link w:val="TitleChar"/>
    <w:uiPriority w:val="10"/>
    <w:qFormat/>
    <w:rsid w:val="007C5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14E"/>
    <w:pPr>
      <w:spacing w:before="160"/>
      <w:jc w:val="center"/>
    </w:pPr>
    <w:rPr>
      <w:i/>
      <w:iCs/>
      <w:color w:val="404040" w:themeColor="text1" w:themeTint="BF"/>
    </w:rPr>
  </w:style>
  <w:style w:type="character" w:customStyle="1" w:styleId="QuoteChar">
    <w:name w:val="Quote Char"/>
    <w:basedOn w:val="DefaultParagraphFont"/>
    <w:link w:val="Quote"/>
    <w:uiPriority w:val="29"/>
    <w:rsid w:val="007C514E"/>
    <w:rPr>
      <w:i/>
      <w:iCs/>
      <w:color w:val="404040" w:themeColor="text1" w:themeTint="BF"/>
    </w:rPr>
  </w:style>
  <w:style w:type="paragraph" w:styleId="ListParagraph">
    <w:name w:val="List Paragraph"/>
    <w:basedOn w:val="Normal"/>
    <w:uiPriority w:val="34"/>
    <w:qFormat/>
    <w:rsid w:val="007C514E"/>
    <w:pPr>
      <w:ind w:left="720"/>
      <w:contextualSpacing/>
    </w:pPr>
  </w:style>
  <w:style w:type="character" w:styleId="IntenseEmphasis">
    <w:name w:val="Intense Emphasis"/>
    <w:basedOn w:val="DefaultParagraphFont"/>
    <w:uiPriority w:val="21"/>
    <w:qFormat/>
    <w:rsid w:val="007C514E"/>
    <w:rPr>
      <w:i/>
      <w:iCs/>
      <w:color w:val="0F4761" w:themeColor="accent1" w:themeShade="BF"/>
    </w:rPr>
  </w:style>
  <w:style w:type="paragraph" w:styleId="IntenseQuote">
    <w:name w:val="Intense Quote"/>
    <w:basedOn w:val="Normal"/>
    <w:next w:val="Normal"/>
    <w:link w:val="IntenseQuoteChar"/>
    <w:uiPriority w:val="30"/>
    <w:qFormat/>
    <w:rsid w:val="007C51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14E"/>
    <w:rPr>
      <w:i/>
      <w:iCs/>
      <w:color w:val="0F4761" w:themeColor="accent1" w:themeShade="BF"/>
    </w:rPr>
  </w:style>
  <w:style w:type="character" w:styleId="IntenseReference">
    <w:name w:val="Intense Reference"/>
    <w:basedOn w:val="DefaultParagraphFont"/>
    <w:uiPriority w:val="32"/>
    <w:qFormat/>
    <w:rsid w:val="007C514E"/>
    <w:rPr>
      <w:b/>
      <w:bCs/>
      <w:smallCaps/>
      <w:color w:val="0F4761" w:themeColor="accent1" w:themeShade="BF"/>
      <w:spacing w:val="5"/>
    </w:rPr>
  </w:style>
  <w:style w:type="character" w:styleId="Hyperlink">
    <w:name w:val="Hyperlink"/>
    <w:basedOn w:val="DefaultParagraphFont"/>
    <w:uiPriority w:val="99"/>
    <w:unhideWhenUsed/>
    <w:rsid w:val="009735DC"/>
    <w:rPr>
      <w:color w:val="467886" w:themeColor="hyperlink"/>
      <w:u w:val="single"/>
    </w:rPr>
  </w:style>
  <w:style w:type="character" w:styleId="UnresolvedMention">
    <w:name w:val="Unresolved Mention"/>
    <w:basedOn w:val="DefaultParagraphFont"/>
    <w:uiPriority w:val="99"/>
    <w:semiHidden/>
    <w:unhideWhenUsed/>
    <w:rsid w:val="00973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cdc.go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ho.int" TargetMode="External"/><Relationship Id="rId5" Type="http://schemas.openxmlformats.org/officeDocument/2006/relationships/hyperlink" Target="http://www.pharmasicst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789</Words>
  <Characters>4502</Characters>
  <Application>Microsoft Office Word</Application>
  <DocSecurity>0</DocSecurity>
  <Lines>37</Lines>
  <Paragraphs>10</Paragraphs>
  <ScaleCrop>false</ScaleCrop>
  <Company/>
  <LinksUpToDate>false</LinksUpToDate>
  <CharactersWithSpaces>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Purveen Hussain (2530125)</dc:creator>
  <cp:keywords/>
  <dc:description/>
  <cp:lastModifiedBy>Shazia Purveen Hussain (2530125)</cp:lastModifiedBy>
  <cp:revision>2</cp:revision>
  <dcterms:created xsi:type="dcterms:W3CDTF">2026-06-22T08:57:00Z</dcterms:created>
  <dcterms:modified xsi:type="dcterms:W3CDTF">2026-06-22T08:57:00Z</dcterms:modified>
</cp:coreProperties>
</file>