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BC90F" w14:textId="77777777" w:rsidR="00E1195B" w:rsidRDefault="00E1195B" w:rsidP="00E1195B">
      <w:r>
        <w:rPr>
          <w:noProof/>
        </w:rPr>
        <w:drawing>
          <wp:inline distT="0" distB="0" distL="0" distR="0" wp14:anchorId="4C230D76" wp14:editId="2D4A252B">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A9D01F8" w14:textId="77777777" w:rsidR="00E1195B" w:rsidRDefault="00E1195B" w:rsidP="00E1195B"/>
    <w:p w14:paraId="14613F71" w14:textId="77777777" w:rsidR="00E1195B" w:rsidRDefault="00E1195B" w:rsidP="00E1195B"/>
    <w:p w14:paraId="71CB9C4D" w14:textId="77777777" w:rsidR="00E1195B" w:rsidRDefault="00E1195B" w:rsidP="00E1195B"/>
    <w:p w14:paraId="2B383667" w14:textId="77777777" w:rsidR="00E1195B" w:rsidRDefault="00E1195B" w:rsidP="00E1195B"/>
    <w:p w14:paraId="268BCDA2" w14:textId="77777777" w:rsidR="00E1195B" w:rsidRDefault="00E1195B" w:rsidP="00E1195B"/>
    <w:p w14:paraId="5C5C8CE0" w14:textId="17782304" w:rsidR="00E1195B" w:rsidRDefault="00E1195B" w:rsidP="00E1195B">
      <w:pPr>
        <w:jc w:val="both"/>
        <w:rPr>
          <w:rFonts w:asciiTheme="minorBidi" w:hAnsiTheme="minorBidi"/>
          <w:sz w:val="28"/>
          <w:szCs w:val="28"/>
        </w:rPr>
      </w:pPr>
      <w:r>
        <w:rPr>
          <w:rFonts w:asciiTheme="minorBidi" w:hAnsiTheme="minorBidi"/>
          <w:sz w:val="28"/>
          <w:szCs w:val="28"/>
        </w:rPr>
        <w:t xml:space="preserve">Name: </w:t>
      </w:r>
      <w:r w:rsidR="0077287A">
        <w:rPr>
          <w:rFonts w:asciiTheme="minorBidi" w:hAnsiTheme="minorBidi"/>
          <w:sz w:val="28"/>
          <w:szCs w:val="28"/>
        </w:rPr>
        <w:t>Khadija Abouelela</w:t>
      </w:r>
    </w:p>
    <w:p w14:paraId="65956316" w14:textId="7B6BFC44" w:rsidR="00E1195B" w:rsidRDefault="00E1195B" w:rsidP="00E1195B">
      <w:pPr>
        <w:jc w:val="both"/>
        <w:rPr>
          <w:rFonts w:asciiTheme="minorBidi" w:hAnsiTheme="minorBidi"/>
          <w:sz w:val="28"/>
          <w:szCs w:val="28"/>
        </w:rPr>
      </w:pPr>
      <w:r>
        <w:rPr>
          <w:rFonts w:asciiTheme="minorBidi" w:hAnsiTheme="minorBidi"/>
          <w:sz w:val="28"/>
          <w:szCs w:val="28"/>
        </w:rPr>
        <w:t xml:space="preserve">Student ID: </w:t>
      </w:r>
      <w:r w:rsidR="0077287A">
        <w:rPr>
          <w:rFonts w:asciiTheme="minorBidi" w:hAnsiTheme="minorBidi"/>
          <w:sz w:val="28"/>
          <w:szCs w:val="28"/>
        </w:rPr>
        <w:t>2521456</w:t>
      </w:r>
    </w:p>
    <w:p w14:paraId="2F072A8B" w14:textId="02E18574" w:rsidR="00E1195B" w:rsidRDefault="00E1195B" w:rsidP="00E1195B">
      <w:pPr>
        <w:jc w:val="both"/>
        <w:rPr>
          <w:rFonts w:asciiTheme="minorBidi" w:hAnsiTheme="minorBidi"/>
          <w:sz w:val="28"/>
          <w:szCs w:val="28"/>
        </w:rPr>
      </w:pPr>
      <w:r>
        <w:rPr>
          <w:rFonts w:asciiTheme="minorBidi" w:hAnsiTheme="minorBidi"/>
          <w:sz w:val="28"/>
          <w:szCs w:val="28"/>
        </w:rPr>
        <w:t xml:space="preserve">Module Code: </w:t>
      </w:r>
      <w:r w:rsidR="0077287A">
        <w:rPr>
          <w:rFonts w:asciiTheme="minorBidi" w:hAnsiTheme="minorBidi"/>
          <w:sz w:val="28"/>
          <w:szCs w:val="28"/>
        </w:rPr>
        <w:t>LCH4007</w:t>
      </w:r>
    </w:p>
    <w:p w14:paraId="40F7F162" w14:textId="3C82BC40" w:rsidR="00E1195B" w:rsidRDefault="00E1195B" w:rsidP="00E1195B">
      <w:pPr>
        <w:jc w:val="both"/>
        <w:rPr>
          <w:rFonts w:asciiTheme="minorBidi" w:hAnsiTheme="minorBidi"/>
          <w:sz w:val="28"/>
          <w:szCs w:val="28"/>
        </w:rPr>
      </w:pPr>
      <w:r>
        <w:rPr>
          <w:rFonts w:asciiTheme="minorBidi" w:hAnsiTheme="minorBidi"/>
          <w:sz w:val="28"/>
          <w:szCs w:val="28"/>
        </w:rPr>
        <w:t xml:space="preserve">Module: </w:t>
      </w:r>
      <w:r w:rsidR="003C2756">
        <w:rPr>
          <w:rFonts w:asciiTheme="minorBidi" w:hAnsiTheme="minorBidi"/>
          <w:sz w:val="28"/>
          <w:szCs w:val="28"/>
        </w:rPr>
        <w:t>Digital skills and research methods</w:t>
      </w:r>
    </w:p>
    <w:p w14:paraId="02F4231C" w14:textId="66E89EBE" w:rsidR="00E1195B" w:rsidRDefault="00E1195B" w:rsidP="00E1195B">
      <w:pPr>
        <w:jc w:val="both"/>
        <w:rPr>
          <w:rFonts w:asciiTheme="minorBidi" w:hAnsiTheme="minorBidi"/>
          <w:sz w:val="28"/>
          <w:szCs w:val="28"/>
        </w:rPr>
      </w:pPr>
      <w:r>
        <w:rPr>
          <w:rFonts w:asciiTheme="minorBidi" w:hAnsiTheme="minorBidi"/>
          <w:sz w:val="28"/>
          <w:szCs w:val="28"/>
        </w:rPr>
        <w:t xml:space="preserve">Lecturer: </w:t>
      </w:r>
      <w:r w:rsidR="0077287A">
        <w:rPr>
          <w:rFonts w:asciiTheme="minorBidi" w:hAnsiTheme="minorBidi"/>
          <w:sz w:val="28"/>
          <w:szCs w:val="28"/>
        </w:rPr>
        <w:t>Paul</w:t>
      </w:r>
      <w:r w:rsidR="003C2756">
        <w:rPr>
          <w:rFonts w:asciiTheme="minorBidi" w:hAnsiTheme="minorBidi"/>
          <w:sz w:val="28"/>
          <w:szCs w:val="28"/>
        </w:rPr>
        <w:t xml:space="preserve"> Clayton</w:t>
      </w:r>
    </w:p>
    <w:p w14:paraId="6AF388DD" w14:textId="77777777" w:rsidR="00E1195B" w:rsidRDefault="00E1195B" w:rsidP="00E1195B">
      <w:pPr>
        <w:jc w:val="both"/>
        <w:rPr>
          <w:rFonts w:asciiTheme="minorBidi" w:hAnsiTheme="minorBidi"/>
          <w:sz w:val="28"/>
          <w:szCs w:val="28"/>
        </w:rPr>
      </w:pPr>
    </w:p>
    <w:p w14:paraId="1BD68020" w14:textId="77777777" w:rsidR="00E1195B" w:rsidRDefault="00E1195B" w:rsidP="00E1195B">
      <w:pPr>
        <w:jc w:val="both"/>
        <w:rPr>
          <w:rFonts w:asciiTheme="minorBidi" w:hAnsiTheme="minorBidi"/>
          <w:sz w:val="28"/>
          <w:szCs w:val="28"/>
        </w:rPr>
      </w:pPr>
    </w:p>
    <w:p w14:paraId="0EFDFD02" w14:textId="77777777" w:rsidR="00E1195B" w:rsidRDefault="00E1195B" w:rsidP="00E1195B">
      <w:pPr>
        <w:jc w:val="both"/>
        <w:rPr>
          <w:rFonts w:asciiTheme="minorBidi" w:hAnsiTheme="minorBidi"/>
          <w:sz w:val="28"/>
          <w:szCs w:val="28"/>
        </w:rPr>
      </w:pPr>
    </w:p>
    <w:p w14:paraId="40DFDDBD" w14:textId="77777777" w:rsidR="00E1195B" w:rsidRDefault="00E1195B" w:rsidP="00E1195B">
      <w:pPr>
        <w:jc w:val="both"/>
        <w:rPr>
          <w:rFonts w:asciiTheme="minorBidi" w:hAnsiTheme="minorBidi"/>
          <w:sz w:val="28"/>
          <w:szCs w:val="28"/>
        </w:rPr>
      </w:pPr>
    </w:p>
    <w:p w14:paraId="674A7559" w14:textId="77777777" w:rsidR="00E1195B" w:rsidRDefault="00E1195B" w:rsidP="00E1195B">
      <w:pPr>
        <w:jc w:val="both"/>
        <w:rPr>
          <w:rFonts w:asciiTheme="minorBidi" w:hAnsiTheme="minorBidi"/>
          <w:sz w:val="28"/>
          <w:szCs w:val="28"/>
        </w:rPr>
      </w:pPr>
    </w:p>
    <w:p w14:paraId="2E84C16F" w14:textId="77777777" w:rsidR="00E1195B" w:rsidRDefault="00E1195B" w:rsidP="00E1195B">
      <w:pPr>
        <w:jc w:val="both"/>
        <w:rPr>
          <w:rFonts w:asciiTheme="minorBidi" w:hAnsiTheme="minorBidi"/>
          <w:sz w:val="28"/>
          <w:szCs w:val="28"/>
        </w:rPr>
      </w:pPr>
    </w:p>
    <w:p w14:paraId="35FD7A98" w14:textId="77777777" w:rsidR="00E1195B" w:rsidRDefault="00E1195B" w:rsidP="00E1195B">
      <w:pPr>
        <w:jc w:val="both"/>
        <w:rPr>
          <w:rFonts w:asciiTheme="minorBidi" w:hAnsiTheme="minorBidi"/>
          <w:sz w:val="28"/>
          <w:szCs w:val="28"/>
        </w:rPr>
      </w:pPr>
    </w:p>
    <w:p w14:paraId="5854E6B2" w14:textId="75F2868F" w:rsidR="00E1195B" w:rsidRDefault="00E1195B" w:rsidP="00E1195B">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w:t>
      </w:r>
      <w:r w:rsidR="003C2756">
        <w:rPr>
          <w:rFonts w:asciiTheme="minorBidi" w:hAnsiTheme="minorBidi"/>
          <w:sz w:val="28"/>
          <w:szCs w:val="28"/>
        </w:rPr>
        <w:t xml:space="preserve"> 2</w:t>
      </w:r>
      <w:r w:rsidR="00066477">
        <w:rPr>
          <w:rFonts w:asciiTheme="minorBidi" w:hAnsiTheme="minorBidi"/>
          <w:sz w:val="28"/>
          <w:szCs w:val="28"/>
        </w:rPr>
        <w:t>3</w:t>
      </w:r>
      <w:r w:rsidR="003C2756">
        <w:rPr>
          <w:rFonts w:asciiTheme="minorBidi" w:hAnsiTheme="minorBidi"/>
          <w:sz w:val="28"/>
          <w:szCs w:val="28"/>
        </w:rPr>
        <w:t>/03/2026</w:t>
      </w:r>
    </w:p>
    <w:p w14:paraId="1995ADC6" w14:textId="77777777" w:rsidR="00E1195B" w:rsidRDefault="00E1195B" w:rsidP="001A7F28">
      <w:pPr>
        <w:spacing w:line="360" w:lineRule="auto"/>
        <w:rPr>
          <w:rFonts w:ascii="Arial" w:hAnsi="Arial" w:cs="Arial"/>
          <w:color w:val="212B32"/>
        </w:rPr>
      </w:pPr>
    </w:p>
    <w:p w14:paraId="70FD9B3D" w14:textId="77777777" w:rsidR="00E1195B" w:rsidRDefault="00E1195B" w:rsidP="001A7F28">
      <w:pPr>
        <w:spacing w:line="360" w:lineRule="auto"/>
        <w:rPr>
          <w:rFonts w:ascii="Arial" w:hAnsi="Arial" w:cs="Arial"/>
          <w:color w:val="212B32"/>
        </w:rPr>
      </w:pPr>
    </w:p>
    <w:p w14:paraId="52874E7B" w14:textId="77777777" w:rsidR="00E1195B" w:rsidRDefault="00E1195B" w:rsidP="001A7F28">
      <w:pPr>
        <w:spacing w:line="360" w:lineRule="auto"/>
        <w:rPr>
          <w:rFonts w:ascii="Arial" w:hAnsi="Arial" w:cs="Arial"/>
          <w:color w:val="212B32"/>
        </w:rPr>
      </w:pPr>
    </w:p>
    <w:p w14:paraId="6ECFAAA0" w14:textId="30900EB2" w:rsidR="0077287A" w:rsidRDefault="0077287A" w:rsidP="001A7F28">
      <w:pPr>
        <w:spacing w:line="360" w:lineRule="auto"/>
        <w:rPr>
          <w:sz w:val="22"/>
          <w:szCs w:val="22"/>
        </w:rPr>
      </w:pPr>
    </w:p>
    <w:sdt>
      <w:sdtPr>
        <w:rPr>
          <w:rFonts w:asciiTheme="minorHAnsi" w:eastAsiaTheme="minorEastAsia" w:hAnsiTheme="minorHAnsi"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eastAsiaTheme="minorHAnsi" w:cs="Segoe UI"/>
          <w:b/>
          <w:bCs/>
          <w:i/>
          <w:iCs/>
          <w:noProof/>
          <w:szCs w:val="20"/>
          <w:lang w:eastAsia="en-US"/>
        </w:rPr>
      </w:sdtEndPr>
      <w:sdtContent>
        <w:p w14:paraId="6ED7A041" w14:textId="77777777" w:rsidR="0077287A" w:rsidRPr="002976D4" w:rsidRDefault="0077287A" w:rsidP="0077287A">
          <w:pPr>
            <w:pStyle w:val="TOCHeading"/>
            <w:rPr>
              <w:color w:val="156082" w:themeColor="accent1"/>
            </w:rPr>
          </w:pPr>
          <w:r w:rsidRPr="002976D4">
            <w:rPr>
              <w:color w:val="156082" w:themeColor="accent1"/>
            </w:rPr>
            <w:t>Table of Contents</w:t>
          </w:r>
        </w:p>
        <w:p w14:paraId="612BD473" w14:textId="77777777" w:rsidR="0077287A" w:rsidRPr="0077287A" w:rsidRDefault="0077287A" w:rsidP="0077287A">
          <w:pPr>
            <w:pStyle w:val="TOC1"/>
            <w:tabs>
              <w:tab w:val="right" w:leader="dot" w:pos="9016"/>
            </w:tabs>
            <w:spacing w:line="276" w:lineRule="auto"/>
            <w:rPr>
              <w:rFonts w:cs="Segoe UI"/>
              <w:noProof/>
              <w:sz w:val="20"/>
              <w:szCs w:val="20"/>
            </w:rPr>
          </w:pPr>
          <w:r w:rsidRPr="0077287A">
            <w:rPr>
              <w:rFonts w:cs="Segoe UI"/>
              <w:sz w:val="20"/>
              <w:szCs w:val="20"/>
            </w:rPr>
            <w:fldChar w:fldCharType="begin"/>
          </w:r>
          <w:r w:rsidRPr="0077287A">
            <w:rPr>
              <w:rFonts w:cs="Segoe UI"/>
              <w:sz w:val="20"/>
              <w:szCs w:val="20"/>
            </w:rPr>
            <w:instrText xml:space="preserve"> TOC \o "1-3" \h \z \u </w:instrText>
          </w:r>
          <w:r w:rsidRPr="0077287A">
            <w:rPr>
              <w:rFonts w:cs="Segoe UI"/>
              <w:sz w:val="20"/>
              <w:szCs w:val="20"/>
            </w:rPr>
            <w:fldChar w:fldCharType="separate"/>
          </w:r>
          <w:hyperlink w:anchor="_Toc212100517" w:history="1">
            <w:r w:rsidRPr="0077287A">
              <w:rPr>
                <w:rStyle w:val="Hyperlink"/>
                <w:rFonts w:cs="Segoe UI"/>
                <w:noProof/>
                <w:sz w:val="20"/>
                <w:szCs w:val="20"/>
                <w:u w:val="none"/>
              </w:rPr>
              <w:t>1: Written Report</w:t>
            </w:r>
            <w:r w:rsidRPr="0077287A">
              <w:rPr>
                <w:rFonts w:cs="Segoe UI"/>
                <w:noProof/>
                <w:webHidden/>
                <w:sz w:val="20"/>
                <w:szCs w:val="20"/>
              </w:rPr>
              <w:tab/>
            </w:r>
            <w:r w:rsidRPr="0077287A">
              <w:rPr>
                <w:rFonts w:cs="Segoe UI"/>
                <w:noProof/>
                <w:webHidden/>
                <w:sz w:val="20"/>
                <w:szCs w:val="20"/>
              </w:rPr>
              <w:fldChar w:fldCharType="begin"/>
            </w:r>
            <w:r w:rsidRPr="0077287A">
              <w:rPr>
                <w:rFonts w:cs="Segoe UI"/>
                <w:noProof/>
                <w:webHidden/>
                <w:sz w:val="20"/>
                <w:szCs w:val="20"/>
              </w:rPr>
              <w:instrText xml:space="preserve"> PAGEREF _Toc212100517 \h </w:instrText>
            </w:r>
            <w:r w:rsidRPr="0077287A">
              <w:rPr>
                <w:rFonts w:cs="Segoe UI"/>
                <w:noProof/>
                <w:webHidden/>
                <w:sz w:val="20"/>
                <w:szCs w:val="20"/>
              </w:rPr>
            </w:r>
            <w:r w:rsidRPr="0077287A">
              <w:rPr>
                <w:rFonts w:cs="Segoe UI"/>
                <w:noProof/>
                <w:webHidden/>
                <w:sz w:val="20"/>
                <w:szCs w:val="20"/>
              </w:rPr>
              <w:fldChar w:fldCharType="separate"/>
            </w:r>
            <w:r w:rsidRPr="0077287A">
              <w:rPr>
                <w:rFonts w:cs="Segoe UI"/>
                <w:noProof/>
                <w:webHidden/>
                <w:sz w:val="20"/>
                <w:szCs w:val="20"/>
              </w:rPr>
              <w:t>3</w:t>
            </w:r>
            <w:r w:rsidRPr="0077287A">
              <w:rPr>
                <w:rFonts w:cs="Segoe UI"/>
                <w:noProof/>
                <w:webHidden/>
                <w:sz w:val="20"/>
                <w:szCs w:val="20"/>
              </w:rPr>
              <w:fldChar w:fldCharType="end"/>
            </w:r>
          </w:hyperlink>
        </w:p>
        <w:p w14:paraId="69821CC3" w14:textId="77777777" w:rsidR="0077287A" w:rsidRPr="0077287A" w:rsidRDefault="0077287A" w:rsidP="003C2756">
          <w:pPr>
            <w:pStyle w:val="TOC2"/>
            <w:rPr>
              <w:noProof/>
            </w:rPr>
          </w:pPr>
          <w:hyperlink w:anchor="_Toc212100518" w:history="1">
            <w:r w:rsidRPr="0077287A">
              <w:rPr>
                <w:rStyle w:val="Hyperlink"/>
                <w:rFonts w:cs="Segoe UI"/>
                <w:i/>
                <w:iCs/>
                <w:noProof/>
                <w:szCs w:val="20"/>
                <w:u w:val="none"/>
              </w:rPr>
              <w:t>1.1 Introduction</w:t>
            </w:r>
            <w:r w:rsidRPr="0077287A">
              <w:rPr>
                <w:noProof/>
                <w:webHidden/>
              </w:rPr>
              <w:tab/>
            </w:r>
            <w:r w:rsidRPr="0077287A">
              <w:rPr>
                <w:noProof/>
                <w:webHidden/>
              </w:rPr>
              <w:fldChar w:fldCharType="begin"/>
            </w:r>
            <w:r w:rsidRPr="0077287A">
              <w:rPr>
                <w:noProof/>
                <w:webHidden/>
              </w:rPr>
              <w:instrText xml:space="preserve"> PAGEREF _Toc212100518 \h </w:instrText>
            </w:r>
            <w:r w:rsidRPr="0077287A">
              <w:rPr>
                <w:noProof/>
                <w:webHidden/>
              </w:rPr>
            </w:r>
            <w:r w:rsidRPr="0077287A">
              <w:rPr>
                <w:noProof/>
                <w:webHidden/>
              </w:rPr>
              <w:fldChar w:fldCharType="separate"/>
            </w:r>
            <w:r w:rsidRPr="0077287A">
              <w:rPr>
                <w:noProof/>
                <w:webHidden/>
              </w:rPr>
              <w:t>3</w:t>
            </w:r>
            <w:r w:rsidRPr="0077287A">
              <w:rPr>
                <w:noProof/>
                <w:webHidden/>
              </w:rPr>
              <w:fldChar w:fldCharType="end"/>
            </w:r>
          </w:hyperlink>
        </w:p>
        <w:p w14:paraId="3F964EA4" w14:textId="1C8DB043" w:rsidR="0077287A" w:rsidRPr="0077287A" w:rsidRDefault="0077287A" w:rsidP="003C2756">
          <w:pPr>
            <w:pStyle w:val="TOC2"/>
            <w:rPr>
              <w:noProof/>
            </w:rPr>
          </w:pPr>
          <w:hyperlink w:anchor="_Toc212100519" w:history="1">
            <w:r w:rsidRPr="0077287A">
              <w:rPr>
                <w:rStyle w:val="Hyperlink"/>
                <w:rFonts w:cs="Segoe UI"/>
                <w:i/>
                <w:iCs/>
                <w:noProof/>
                <w:szCs w:val="20"/>
                <w:u w:val="none"/>
              </w:rPr>
              <w:t>1.2 Overview of PMS and Menopause</w:t>
            </w:r>
            <w:r w:rsidRPr="0077287A">
              <w:rPr>
                <w:noProof/>
                <w:webHidden/>
              </w:rPr>
              <w:tab/>
            </w:r>
            <w:r w:rsidRPr="0077287A">
              <w:rPr>
                <w:noProof/>
                <w:webHidden/>
              </w:rPr>
              <w:fldChar w:fldCharType="begin"/>
            </w:r>
            <w:r w:rsidRPr="0077287A">
              <w:rPr>
                <w:noProof/>
                <w:webHidden/>
              </w:rPr>
              <w:instrText xml:space="preserve"> PAGEREF _Toc212100519 \h </w:instrText>
            </w:r>
            <w:r w:rsidRPr="0077287A">
              <w:rPr>
                <w:noProof/>
                <w:webHidden/>
              </w:rPr>
            </w:r>
            <w:r w:rsidRPr="0077287A">
              <w:rPr>
                <w:noProof/>
                <w:webHidden/>
              </w:rPr>
              <w:fldChar w:fldCharType="separate"/>
            </w:r>
            <w:r w:rsidRPr="0077287A">
              <w:rPr>
                <w:noProof/>
                <w:webHidden/>
              </w:rPr>
              <w:t>3</w:t>
            </w:r>
            <w:r w:rsidRPr="0077287A">
              <w:rPr>
                <w:noProof/>
                <w:webHidden/>
              </w:rPr>
              <w:fldChar w:fldCharType="end"/>
            </w:r>
          </w:hyperlink>
        </w:p>
        <w:p w14:paraId="0453AF57" w14:textId="51315004" w:rsidR="0077287A" w:rsidRPr="0077287A" w:rsidRDefault="0077287A" w:rsidP="003C2756">
          <w:pPr>
            <w:pStyle w:val="TOC2"/>
            <w:rPr>
              <w:noProof/>
            </w:rPr>
          </w:pPr>
          <w:hyperlink w:anchor="_Toc212100520" w:history="1">
            <w:r w:rsidRPr="0077287A">
              <w:rPr>
                <w:rStyle w:val="Hyperlink"/>
                <w:rFonts w:cs="Segoe UI"/>
                <w:i/>
                <w:iCs/>
                <w:noProof/>
                <w:szCs w:val="20"/>
                <w:u w:val="none"/>
              </w:rPr>
              <w:t>1.3 Evaluating information sources</w:t>
            </w:r>
            <w:r w:rsidRPr="0077287A">
              <w:rPr>
                <w:noProof/>
                <w:webHidden/>
              </w:rPr>
              <w:tab/>
              <w:t>4</w:t>
            </w:r>
          </w:hyperlink>
        </w:p>
        <w:p w14:paraId="49184563" w14:textId="51315004" w:rsidR="003C2756" w:rsidRDefault="0077287A" w:rsidP="003C2756">
          <w:pPr>
            <w:pStyle w:val="TOC2"/>
            <w:rPr>
              <w:rFonts w:cs="Segoe UI"/>
              <w:i/>
              <w:iCs/>
              <w:noProof/>
              <w:szCs w:val="20"/>
            </w:rPr>
          </w:pPr>
          <w:hyperlink w:anchor="_Toc212100521" w:history="1">
            <w:r w:rsidRPr="0077287A">
              <w:rPr>
                <w:rStyle w:val="Hyperlink"/>
                <w:rFonts w:cs="Segoe UI"/>
                <w:i/>
                <w:iCs/>
                <w:noProof/>
                <w:szCs w:val="20"/>
                <w:u w:val="none"/>
              </w:rPr>
              <w:t>1.4 Research methodologies</w:t>
            </w:r>
            <w:r w:rsidRPr="0077287A">
              <w:rPr>
                <w:rFonts w:cs="Segoe UI"/>
                <w:i/>
                <w:iCs/>
                <w:noProof/>
                <w:webHidden/>
                <w:szCs w:val="20"/>
              </w:rPr>
              <w:tab/>
              <w:t>6</w:t>
            </w:r>
          </w:hyperlink>
        </w:p>
        <w:p w14:paraId="3CC01EE4" w14:textId="5A71D829" w:rsidR="003C2756" w:rsidRPr="003C2756" w:rsidRDefault="0077287A" w:rsidP="003C2756">
          <w:pPr>
            <w:pStyle w:val="TOC2"/>
            <w:rPr>
              <w:noProof/>
            </w:rPr>
          </w:pPr>
          <w:r w:rsidRPr="0077287A">
            <w:t xml:space="preserve"> 1.5 Data collection.….………………………………………………………………………………………….……</w:t>
          </w:r>
          <w:r w:rsidR="003C2756">
            <w:t>…</w:t>
          </w:r>
          <w:r w:rsidRPr="0077287A">
            <w:t>7 1.6 Conclusion……………………………………………………………………………………………………..…</w:t>
          </w:r>
          <w:r w:rsidR="003C2756">
            <w:t>…..</w:t>
          </w:r>
          <w:r w:rsidRPr="0077287A">
            <w:t>7</w:t>
          </w:r>
          <w:r w:rsidRPr="0077287A">
            <w:rPr>
              <w:noProof/>
            </w:rPr>
            <w:fldChar w:fldCharType="end"/>
          </w:r>
        </w:p>
        <w:p w14:paraId="7DC8AE58" w14:textId="1754FA21" w:rsidR="0077287A" w:rsidRPr="0077287A" w:rsidRDefault="003C2756" w:rsidP="003C2756">
          <w:pPr>
            <w:spacing w:line="276" w:lineRule="auto"/>
            <w:rPr>
              <w:rFonts w:ascii="Segoe UI" w:hAnsi="Segoe UI" w:cs="Segoe UI"/>
              <w:b/>
              <w:bCs/>
              <w:i/>
              <w:iCs/>
              <w:noProof/>
              <w:sz w:val="20"/>
              <w:szCs w:val="20"/>
            </w:rPr>
          </w:pPr>
          <w:r>
            <w:rPr>
              <w:rFonts w:ascii="Segoe UI" w:hAnsi="Segoe UI" w:cs="Segoe UI"/>
              <w:b/>
              <w:bCs/>
              <w:i/>
              <w:iCs/>
              <w:noProof/>
              <w:sz w:val="20"/>
              <w:szCs w:val="20"/>
            </w:rPr>
            <w:t>1.7 Reference list…………………………………………………………………………………………………………8</w:t>
          </w:r>
        </w:p>
      </w:sdtContent>
    </w:sdt>
    <w:p w14:paraId="1AABC5DA" w14:textId="77777777" w:rsidR="0077287A" w:rsidRDefault="0077287A" w:rsidP="001A7F28">
      <w:pPr>
        <w:spacing w:line="360" w:lineRule="auto"/>
        <w:rPr>
          <w:sz w:val="22"/>
          <w:szCs w:val="22"/>
        </w:rPr>
      </w:pPr>
    </w:p>
    <w:p w14:paraId="775F578D" w14:textId="7D1A71FD" w:rsidR="0077287A" w:rsidRDefault="0077287A" w:rsidP="0077287A">
      <w:pPr>
        <w:tabs>
          <w:tab w:val="left" w:pos="1141"/>
        </w:tabs>
        <w:spacing w:line="360" w:lineRule="auto"/>
        <w:rPr>
          <w:sz w:val="22"/>
          <w:szCs w:val="22"/>
        </w:rPr>
      </w:pPr>
      <w:r>
        <w:rPr>
          <w:sz w:val="22"/>
          <w:szCs w:val="22"/>
        </w:rPr>
        <w:tab/>
      </w:r>
    </w:p>
    <w:p w14:paraId="0E3A4ADE" w14:textId="77777777" w:rsidR="0077287A" w:rsidRDefault="0077287A" w:rsidP="001A7F28">
      <w:pPr>
        <w:spacing w:line="360" w:lineRule="auto"/>
        <w:rPr>
          <w:sz w:val="22"/>
          <w:szCs w:val="22"/>
        </w:rPr>
      </w:pPr>
    </w:p>
    <w:p w14:paraId="38036EE9" w14:textId="77777777" w:rsidR="0077287A" w:rsidRDefault="0077287A" w:rsidP="001A7F28">
      <w:pPr>
        <w:spacing w:line="360" w:lineRule="auto"/>
        <w:rPr>
          <w:sz w:val="22"/>
          <w:szCs w:val="22"/>
        </w:rPr>
      </w:pPr>
    </w:p>
    <w:p w14:paraId="25904EB5" w14:textId="77777777" w:rsidR="0077287A" w:rsidRDefault="0077287A" w:rsidP="001A7F28">
      <w:pPr>
        <w:spacing w:line="360" w:lineRule="auto"/>
        <w:rPr>
          <w:sz w:val="22"/>
          <w:szCs w:val="22"/>
        </w:rPr>
      </w:pPr>
    </w:p>
    <w:p w14:paraId="1D327D8E" w14:textId="77777777" w:rsidR="0077287A" w:rsidRDefault="0077287A" w:rsidP="001A7F28">
      <w:pPr>
        <w:spacing w:line="360" w:lineRule="auto"/>
        <w:rPr>
          <w:sz w:val="22"/>
          <w:szCs w:val="22"/>
        </w:rPr>
      </w:pPr>
    </w:p>
    <w:p w14:paraId="78F53BB4" w14:textId="77777777" w:rsidR="0077287A" w:rsidRDefault="0077287A" w:rsidP="001A7F28">
      <w:pPr>
        <w:spacing w:line="360" w:lineRule="auto"/>
        <w:rPr>
          <w:sz w:val="22"/>
          <w:szCs w:val="22"/>
        </w:rPr>
      </w:pPr>
    </w:p>
    <w:p w14:paraId="710CE8B9" w14:textId="77777777" w:rsidR="0077287A" w:rsidRDefault="0077287A" w:rsidP="001A7F28">
      <w:pPr>
        <w:spacing w:line="360" w:lineRule="auto"/>
        <w:rPr>
          <w:sz w:val="22"/>
          <w:szCs w:val="22"/>
        </w:rPr>
      </w:pPr>
    </w:p>
    <w:p w14:paraId="6494843D" w14:textId="77777777" w:rsidR="0077287A" w:rsidRDefault="0077287A" w:rsidP="001A7F28">
      <w:pPr>
        <w:spacing w:line="360" w:lineRule="auto"/>
        <w:rPr>
          <w:sz w:val="22"/>
          <w:szCs w:val="22"/>
        </w:rPr>
      </w:pPr>
    </w:p>
    <w:p w14:paraId="51184CCC" w14:textId="77777777" w:rsidR="0077287A" w:rsidRDefault="0077287A" w:rsidP="001A7F28">
      <w:pPr>
        <w:spacing w:line="360" w:lineRule="auto"/>
        <w:rPr>
          <w:sz w:val="22"/>
          <w:szCs w:val="22"/>
        </w:rPr>
      </w:pPr>
    </w:p>
    <w:p w14:paraId="3FAEFCEB" w14:textId="77777777" w:rsidR="0077287A" w:rsidRDefault="0077287A" w:rsidP="001A7F28">
      <w:pPr>
        <w:spacing w:line="360" w:lineRule="auto"/>
        <w:rPr>
          <w:sz w:val="22"/>
          <w:szCs w:val="22"/>
        </w:rPr>
      </w:pPr>
    </w:p>
    <w:p w14:paraId="52F10D3F" w14:textId="77777777" w:rsidR="0077287A" w:rsidRDefault="0077287A" w:rsidP="001A7F28">
      <w:pPr>
        <w:spacing w:line="360" w:lineRule="auto"/>
        <w:rPr>
          <w:sz w:val="22"/>
          <w:szCs w:val="22"/>
        </w:rPr>
      </w:pPr>
    </w:p>
    <w:p w14:paraId="08F1B591" w14:textId="77777777" w:rsidR="0077287A" w:rsidRDefault="0077287A" w:rsidP="001A7F28">
      <w:pPr>
        <w:spacing w:line="360" w:lineRule="auto"/>
        <w:rPr>
          <w:sz w:val="22"/>
          <w:szCs w:val="22"/>
        </w:rPr>
      </w:pPr>
    </w:p>
    <w:p w14:paraId="169E595A" w14:textId="77777777" w:rsidR="0077287A" w:rsidRDefault="0077287A" w:rsidP="001A7F28">
      <w:pPr>
        <w:spacing w:line="360" w:lineRule="auto"/>
        <w:rPr>
          <w:sz w:val="22"/>
          <w:szCs w:val="22"/>
        </w:rPr>
      </w:pPr>
    </w:p>
    <w:p w14:paraId="684114D6" w14:textId="77777777" w:rsidR="0077287A" w:rsidRDefault="0077287A" w:rsidP="001A7F28">
      <w:pPr>
        <w:spacing w:line="360" w:lineRule="auto"/>
        <w:rPr>
          <w:sz w:val="22"/>
          <w:szCs w:val="22"/>
        </w:rPr>
      </w:pPr>
    </w:p>
    <w:p w14:paraId="79164E95" w14:textId="77777777" w:rsidR="0077287A" w:rsidRDefault="0077287A" w:rsidP="001A7F28">
      <w:pPr>
        <w:spacing w:line="360" w:lineRule="auto"/>
        <w:rPr>
          <w:sz w:val="22"/>
          <w:szCs w:val="22"/>
        </w:rPr>
      </w:pPr>
    </w:p>
    <w:p w14:paraId="6EA35187" w14:textId="77777777" w:rsidR="0077287A" w:rsidRDefault="0077287A" w:rsidP="001A7F28">
      <w:pPr>
        <w:spacing w:line="360" w:lineRule="auto"/>
        <w:rPr>
          <w:sz w:val="22"/>
          <w:szCs w:val="22"/>
        </w:rPr>
      </w:pPr>
    </w:p>
    <w:p w14:paraId="4163138E" w14:textId="77777777" w:rsidR="0077287A" w:rsidRDefault="0077287A" w:rsidP="001A7F28">
      <w:pPr>
        <w:spacing w:line="360" w:lineRule="auto"/>
        <w:rPr>
          <w:sz w:val="22"/>
          <w:szCs w:val="22"/>
        </w:rPr>
      </w:pPr>
    </w:p>
    <w:p w14:paraId="3A0D3EBA" w14:textId="66BFE4F9" w:rsidR="0077287A" w:rsidRPr="00BC4D34" w:rsidRDefault="0077287A" w:rsidP="0077287A">
      <w:pPr>
        <w:spacing w:line="360" w:lineRule="auto"/>
        <w:jc w:val="center"/>
        <w:rPr>
          <w:rFonts w:asciiTheme="minorBidi" w:hAnsiTheme="minorBidi"/>
          <w:b/>
          <w:bCs/>
          <w:sz w:val="28"/>
          <w:szCs w:val="28"/>
        </w:rPr>
      </w:pPr>
      <w:bookmarkStart w:id="0" w:name="OLE_LINK9"/>
      <w:r w:rsidRPr="00BC4D34">
        <w:rPr>
          <w:rFonts w:asciiTheme="minorBidi" w:hAnsiTheme="minorBidi"/>
          <w:b/>
          <w:bCs/>
          <w:sz w:val="28"/>
          <w:szCs w:val="28"/>
        </w:rPr>
        <w:lastRenderedPageBreak/>
        <w:t>“The Impact of Menstrual Health on Women in UK Early Years Childcare Settings”</w:t>
      </w:r>
    </w:p>
    <w:p w14:paraId="6E281188" w14:textId="77777777" w:rsidR="00BC4D34" w:rsidRDefault="00BC4D34" w:rsidP="003C2756">
      <w:pPr>
        <w:spacing w:line="360" w:lineRule="auto"/>
        <w:rPr>
          <w:rFonts w:asciiTheme="minorBidi" w:hAnsiTheme="minorBidi"/>
          <w:b/>
          <w:bCs/>
          <w:color w:val="0E2841" w:themeColor="text2"/>
          <w:sz w:val="22"/>
          <w:szCs w:val="22"/>
        </w:rPr>
      </w:pPr>
    </w:p>
    <w:p w14:paraId="49F95493" w14:textId="4F2233BF" w:rsidR="001A7F28" w:rsidRPr="00C94E5D" w:rsidRDefault="0077287A" w:rsidP="00C94E5D">
      <w:pPr>
        <w:spacing w:line="360" w:lineRule="auto"/>
        <w:rPr>
          <w:rFonts w:asciiTheme="minorBidi" w:hAnsiTheme="minorBidi"/>
          <w:b/>
          <w:bCs/>
          <w:color w:val="0E2841" w:themeColor="text2"/>
          <w:sz w:val="22"/>
          <w:szCs w:val="22"/>
        </w:rPr>
      </w:pPr>
      <w:r w:rsidRPr="00C94E5D">
        <w:rPr>
          <w:rFonts w:asciiTheme="minorBidi" w:hAnsiTheme="minorBidi"/>
          <w:b/>
          <w:bCs/>
          <w:color w:val="0E2841" w:themeColor="text2"/>
          <w:sz w:val="22"/>
          <w:szCs w:val="22"/>
        </w:rPr>
        <w:t xml:space="preserve">1.1 </w:t>
      </w:r>
      <w:r w:rsidR="001A7F28" w:rsidRPr="00C94E5D">
        <w:rPr>
          <w:rFonts w:asciiTheme="minorBidi" w:hAnsiTheme="minorBidi"/>
          <w:b/>
          <w:bCs/>
          <w:color w:val="0E2841" w:themeColor="text2"/>
          <w:sz w:val="22"/>
          <w:szCs w:val="22"/>
        </w:rPr>
        <w:t xml:space="preserve">Introduction: </w:t>
      </w:r>
    </w:p>
    <w:p w14:paraId="305ED41E" w14:textId="2B68BE97" w:rsidR="003C2756" w:rsidRPr="00C94E5D" w:rsidRDefault="003C2756" w:rsidP="00C94E5D">
      <w:pPr>
        <w:pStyle w:val="p1"/>
        <w:spacing w:line="360" w:lineRule="auto"/>
        <w:rPr>
          <w:rFonts w:asciiTheme="minorBidi" w:hAnsiTheme="minorBidi" w:cstheme="minorBidi"/>
          <w:color w:val="262626" w:themeColor="text1" w:themeTint="D9"/>
          <w:sz w:val="22"/>
          <w:szCs w:val="22"/>
        </w:rPr>
      </w:pPr>
      <w:r w:rsidRPr="00C94E5D">
        <w:rPr>
          <w:rStyle w:val="s1"/>
          <w:rFonts w:asciiTheme="minorBidi" w:eastAsiaTheme="majorEastAsia" w:hAnsiTheme="minorBidi" w:cstheme="minorBidi"/>
          <w:color w:val="262626" w:themeColor="text1" w:themeTint="D9"/>
          <w:sz w:val="22"/>
          <w:szCs w:val="22"/>
        </w:rPr>
        <w:t xml:space="preserve">Women make up </w:t>
      </w:r>
      <w:proofErr w:type="gramStart"/>
      <w:r w:rsidRPr="00C94E5D">
        <w:rPr>
          <w:rStyle w:val="s1"/>
          <w:rFonts w:asciiTheme="minorBidi" w:eastAsiaTheme="majorEastAsia" w:hAnsiTheme="minorBidi" w:cstheme="minorBidi"/>
          <w:color w:val="262626" w:themeColor="text1" w:themeTint="D9"/>
          <w:sz w:val="22"/>
          <w:szCs w:val="22"/>
        </w:rPr>
        <w:t>the majority of</w:t>
      </w:r>
      <w:proofErr w:type="gramEnd"/>
      <w:r w:rsidRPr="00C94E5D">
        <w:rPr>
          <w:rStyle w:val="s1"/>
          <w:rFonts w:asciiTheme="minorBidi" w:eastAsiaTheme="majorEastAsia" w:hAnsiTheme="minorBidi" w:cstheme="minorBidi"/>
          <w:color w:val="262626" w:themeColor="text1" w:themeTint="D9"/>
          <w:sz w:val="22"/>
          <w:szCs w:val="22"/>
        </w:rPr>
        <w:t xml:space="preserve"> the workforce in the UK, particularly in early years childcare settings such as nurseries. </w:t>
      </w:r>
      <w:r w:rsidRPr="00C94E5D">
        <w:rPr>
          <w:rFonts w:asciiTheme="minorBidi" w:hAnsiTheme="minorBidi" w:cstheme="minorBidi"/>
          <w:color w:val="262626" w:themeColor="text1" w:themeTint="D9"/>
          <w:sz w:val="22"/>
          <w:szCs w:val="22"/>
        </w:rPr>
        <w:t>In fact,</w:t>
      </w:r>
      <w:r w:rsidRPr="00C94E5D">
        <w:rPr>
          <w:rStyle w:val="apple-converted-space"/>
          <w:rFonts w:asciiTheme="minorBidi" w:eastAsiaTheme="majorEastAsia" w:hAnsiTheme="minorBidi" w:cstheme="minorBidi"/>
          <w:color w:val="262626" w:themeColor="text1" w:themeTint="D9"/>
          <w:sz w:val="22"/>
          <w:szCs w:val="22"/>
        </w:rPr>
        <w:t> </w:t>
      </w:r>
      <w:r w:rsidRPr="00C94E5D">
        <w:rPr>
          <w:rStyle w:val="Strong"/>
          <w:rFonts w:asciiTheme="minorBidi" w:eastAsiaTheme="majorEastAsia" w:hAnsiTheme="minorBidi" w:cstheme="minorBidi"/>
          <w:color w:val="262626" w:themeColor="text1" w:themeTint="D9"/>
          <w:sz w:val="22"/>
          <w:szCs w:val="22"/>
        </w:rPr>
        <w:t>“97% of staff at school-based providers and childminders were female, and 98% at group-based providers”</w:t>
      </w:r>
      <w:r w:rsidRPr="00C94E5D">
        <w:rPr>
          <w:rStyle w:val="apple-converted-space"/>
          <w:rFonts w:asciiTheme="minorBidi" w:eastAsiaTheme="majorEastAsia" w:hAnsiTheme="minorBidi" w:cstheme="minorBidi"/>
          <w:color w:val="262626" w:themeColor="text1" w:themeTint="D9"/>
          <w:sz w:val="22"/>
          <w:szCs w:val="22"/>
        </w:rPr>
        <w:t> </w:t>
      </w:r>
      <w:r w:rsidRPr="00C94E5D">
        <w:rPr>
          <w:rFonts w:asciiTheme="minorBidi" w:hAnsiTheme="minorBidi" w:cstheme="minorBidi"/>
          <w:color w:val="262626" w:themeColor="text1" w:themeTint="D9"/>
          <w:sz w:val="22"/>
          <w:szCs w:val="22"/>
        </w:rPr>
        <w:t>(House of Commons Library, 2025).</w:t>
      </w:r>
      <w:r w:rsidRPr="00C94E5D">
        <w:rPr>
          <w:rStyle w:val="s1"/>
          <w:rFonts w:asciiTheme="minorBidi" w:eastAsiaTheme="majorEastAsia" w:hAnsiTheme="minorBidi" w:cstheme="minorBidi"/>
          <w:color w:val="262626" w:themeColor="text1" w:themeTint="D9"/>
          <w:sz w:val="22"/>
          <w:szCs w:val="22"/>
        </w:rPr>
        <w:t xml:space="preserve"> Despite this, health issues that specifically affect women, including premenstrual syndrome (PMS), endometriosis, and menopause, are often overlooked in workplace discussions. These conditions can cause symptoms such as fatigue, pain, mood changes, and difficulty concentrating, which may affect both staff wellbeing and job performance.</w:t>
      </w:r>
    </w:p>
    <w:p w14:paraId="29653407" w14:textId="78615E5D" w:rsidR="003C2756" w:rsidRPr="00C94E5D" w:rsidRDefault="003C2756"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Menstrual health is an important but often under-discussed aspect of women’s overall health. Hormonal changes can have both physical and emotional effects, which may become more challenging in demanding roles such as childcare. In early years settings, staff are required to maintain high levels of energy, patience, and focus while supporting young children’s development and safety.</w:t>
      </w:r>
    </w:p>
    <w:p w14:paraId="2A89BC72" w14:textId="77777777" w:rsidR="003C2756" w:rsidRPr="00C94E5D" w:rsidRDefault="003C2756"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This report will explore the impact of menstrual health conditions on women working in UK nursery settings. It will discuss the importance of this issue, evaluate relevant information sources, and outline possible research methods to better understand and address the problem.</w:t>
      </w:r>
    </w:p>
    <w:p w14:paraId="492E2B2E" w14:textId="77777777" w:rsidR="0077287A" w:rsidRPr="00C94E5D" w:rsidRDefault="0077287A" w:rsidP="00C94E5D">
      <w:pPr>
        <w:spacing w:after="0" w:line="360" w:lineRule="auto"/>
        <w:rPr>
          <w:rFonts w:asciiTheme="minorBidi" w:eastAsia="Times New Roman" w:hAnsiTheme="minorBidi"/>
          <w:kern w:val="0"/>
          <w:sz w:val="22"/>
          <w:szCs w:val="22"/>
          <w:lang w:eastAsia="en-GB"/>
          <w14:ligatures w14:val="none"/>
        </w:rPr>
      </w:pPr>
    </w:p>
    <w:p w14:paraId="0274B9E3" w14:textId="77777777" w:rsidR="0077287A" w:rsidRPr="00C94E5D" w:rsidRDefault="0077287A" w:rsidP="00C94E5D">
      <w:pPr>
        <w:spacing w:after="0" w:line="360" w:lineRule="auto"/>
        <w:rPr>
          <w:rFonts w:asciiTheme="minorBidi" w:eastAsia="Times New Roman" w:hAnsiTheme="minorBidi"/>
          <w:kern w:val="0"/>
          <w:sz w:val="22"/>
          <w:szCs w:val="22"/>
          <w:lang w:eastAsia="en-GB"/>
          <w14:ligatures w14:val="none"/>
        </w:rPr>
      </w:pPr>
    </w:p>
    <w:p w14:paraId="7AC63E21" w14:textId="336384E0" w:rsidR="0077287A" w:rsidRPr="00C94E5D" w:rsidRDefault="0077287A" w:rsidP="00C94E5D">
      <w:pPr>
        <w:spacing w:after="0" w:line="360" w:lineRule="auto"/>
        <w:rPr>
          <w:rFonts w:asciiTheme="minorBidi" w:eastAsia="Times New Roman" w:hAnsiTheme="minorBidi"/>
          <w:b/>
          <w:bCs/>
          <w:color w:val="0E2841" w:themeColor="text2"/>
          <w:kern w:val="0"/>
          <w:sz w:val="22"/>
          <w:szCs w:val="22"/>
          <w:lang w:eastAsia="en-GB"/>
          <w14:ligatures w14:val="none"/>
        </w:rPr>
      </w:pPr>
      <w:r w:rsidRPr="00C94E5D">
        <w:rPr>
          <w:rFonts w:asciiTheme="minorBidi" w:eastAsia="Times New Roman" w:hAnsiTheme="minorBidi"/>
          <w:b/>
          <w:bCs/>
          <w:color w:val="0E2841" w:themeColor="text2"/>
          <w:kern w:val="0"/>
          <w:sz w:val="22"/>
          <w:szCs w:val="22"/>
          <w:lang w:eastAsia="en-GB"/>
          <w14:ligatures w14:val="none"/>
        </w:rPr>
        <w:t>1.2 Overview of PMS and Menopause</w:t>
      </w:r>
    </w:p>
    <w:p w14:paraId="562C8252" w14:textId="77777777" w:rsidR="0077287A" w:rsidRPr="00C94E5D" w:rsidRDefault="0077287A" w:rsidP="00C94E5D">
      <w:pPr>
        <w:pStyle w:val="p1"/>
        <w:spacing w:line="360" w:lineRule="auto"/>
        <w:rPr>
          <w:rStyle w:val="s1"/>
          <w:rFonts w:asciiTheme="minorBidi" w:eastAsiaTheme="majorEastAsia" w:hAnsiTheme="minorBidi" w:cstheme="minorBidi"/>
          <w:sz w:val="22"/>
          <w:szCs w:val="22"/>
        </w:rPr>
      </w:pPr>
      <w:r w:rsidRPr="00C94E5D">
        <w:rPr>
          <w:rStyle w:val="s1"/>
          <w:rFonts w:asciiTheme="minorBidi" w:eastAsiaTheme="majorEastAsia" w:hAnsiTheme="minorBidi" w:cstheme="minorBidi"/>
          <w:sz w:val="22"/>
          <w:szCs w:val="22"/>
        </w:rPr>
        <w:t>Many women working in health and social care experience symptoms related to PMS and menopause. These conditions can include headaches, fatigue, mood changes, hot flushes, and sleep disturbances. In physically and emotionally demanding jobs such as nursery work, these symptoms can make daily tasks more challenging. Nursery staff are responsible for caring for young children, maintaining safety, and supporting children’s development. This requires high levels of concentration, energy, and emotional engagement.</w:t>
      </w:r>
    </w:p>
    <w:p w14:paraId="05D1BBA4" w14:textId="0B209896" w:rsidR="00BC4D34" w:rsidRPr="00C94E5D" w:rsidRDefault="00BC4D34" w:rsidP="00C94E5D">
      <w:pPr>
        <w:pStyle w:val="p1"/>
        <w:spacing w:line="360" w:lineRule="auto"/>
        <w:rPr>
          <w:rFonts w:asciiTheme="minorBidi" w:eastAsiaTheme="majorEastAsia" w:hAnsiTheme="minorBidi" w:cstheme="minorBidi"/>
          <w:sz w:val="22"/>
          <w:szCs w:val="22"/>
        </w:rPr>
      </w:pPr>
      <w:r w:rsidRPr="00C94E5D">
        <w:rPr>
          <w:rFonts w:asciiTheme="minorBidi" w:hAnsiTheme="minorBidi" w:cstheme="minorBidi"/>
          <w:sz w:val="22"/>
          <w:szCs w:val="22"/>
        </w:rPr>
        <w:lastRenderedPageBreak/>
        <w:t>Since most early years staff in the UK are women, it’s likely that many will experience PMS or menopause symptoms at some point in their careers</w:t>
      </w:r>
      <w:r w:rsidRPr="00C94E5D">
        <w:rPr>
          <w:rStyle w:val="s1"/>
          <w:rFonts w:asciiTheme="minorBidi" w:eastAsiaTheme="majorEastAsia" w:hAnsiTheme="minorBidi" w:cstheme="minorBidi"/>
          <w:sz w:val="22"/>
          <w:szCs w:val="22"/>
        </w:rPr>
        <w:t xml:space="preserve">. </w:t>
      </w:r>
      <w:r w:rsidR="0077287A" w:rsidRPr="00C94E5D">
        <w:rPr>
          <w:rStyle w:val="s1"/>
          <w:rFonts w:asciiTheme="minorBidi" w:eastAsiaTheme="majorEastAsia" w:hAnsiTheme="minorBidi" w:cstheme="minorBidi"/>
          <w:sz w:val="22"/>
          <w:szCs w:val="22"/>
        </w:rPr>
        <w:t xml:space="preserve">If these health issues are not recognised or supported in the workplace, staff wellbeing may be negatively affected. This can lead to </w:t>
      </w:r>
      <w:r w:rsidRPr="00C94E5D">
        <w:rPr>
          <w:rStyle w:val="s1"/>
          <w:rFonts w:asciiTheme="minorBidi" w:eastAsiaTheme="majorEastAsia" w:hAnsiTheme="minorBidi" w:cstheme="minorBidi"/>
          <w:sz w:val="22"/>
          <w:szCs w:val="22"/>
        </w:rPr>
        <w:t>more absences</w:t>
      </w:r>
      <w:r w:rsidR="0077287A" w:rsidRPr="00C94E5D">
        <w:rPr>
          <w:rStyle w:val="s1"/>
          <w:rFonts w:asciiTheme="minorBidi" w:eastAsiaTheme="majorEastAsia" w:hAnsiTheme="minorBidi" w:cstheme="minorBidi"/>
          <w:sz w:val="22"/>
          <w:szCs w:val="22"/>
        </w:rPr>
        <w:t>, stress, and potentially staff leaving the profession.</w:t>
      </w:r>
    </w:p>
    <w:p w14:paraId="3607700C" w14:textId="77777777"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Supporting staff health is important for maintaining quality care for children. When employees feel supported, they are more likely to remain in their roles and perform effectively. Addressing women’s health issues in nursery settings could therefore benefit both employees and the children they care for.</w:t>
      </w:r>
    </w:p>
    <w:p w14:paraId="6640CC6E" w14:textId="1CA748E5"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 xml:space="preserve">I chose this topic because I have seen how women’s health conditions can affect individuals working in childcare settings. My older sister works as an early </w:t>
      </w:r>
      <w:proofErr w:type="gramStart"/>
      <w:r w:rsidRPr="00C94E5D">
        <w:rPr>
          <w:rStyle w:val="s1"/>
          <w:rFonts w:asciiTheme="minorBidi" w:eastAsiaTheme="majorEastAsia" w:hAnsiTheme="minorBidi" w:cstheme="minorBidi"/>
          <w:sz w:val="22"/>
          <w:szCs w:val="22"/>
        </w:rPr>
        <w:t>year</w:t>
      </w:r>
      <w:r w:rsidR="00BC4D34" w:rsidRPr="00C94E5D">
        <w:rPr>
          <w:rStyle w:val="s1"/>
          <w:rFonts w:asciiTheme="minorBidi" w:eastAsiaTheme="majorEastAsia" w:hAnsiTheme="minorBidi" w:cstheme="minorBidi"/>
          <w:sz w:val="22"/>
          <w:szCs w:val="22"/>
        </w:rPr>
        <w:t>s</w:t>
      </w:r>
      <w:proofErr w:type="gramEnd"/>
      <w:r w:rsidRPr="00C94E5D">
        <w:rPr>
          <w:rStyle w:val="s1"/>
          <w:rFonts w:asciiTheme="minorBidi" w:eastAsiaTheme="majorEastAsia" w:hAnsiTheme="minorBidi" w:cstheme="minorBidi"/>
          <w:sz w:val="22"/>
          <w:szCs w:val="22"/>
        </w:rPr>
        <w:t xml:space="preserve"> practitioner and </w:t>
      </w:r>
      <w:r w:rsidR="00C94E5D" w:rsidRPr="00C94E5D">
        <w:rPr>
          <w:rStyle w:val="s1"/>
          <w:rFonts w:asciiTheme="minorBidi" w:eastAsiaTheme="majorEastAsia" w:hAnsiTheme="minorBidi" w:cstheme="minorBidi"/>
          <w:sz w:val="22"/>
          <w:szCs w:val="22"/>
        </w:rPr>
        <w:t>has</w:t>
      </w:r>
      <w:r w:rsidRPr="00C94E5D">
        <w:rPr>
          <w:rStyle w:val="s1"/>
          <w:rFonts w:asciiTheme="minorBidi" w:eastAsiaTheme="majorEastAsia" w:hAnsiTheme="minorBidi" w:cstheme="minorBidi"/>
          <w:sz w:val="22"/>
          <w:szCs w:val="22"/>
        </w:rPr>
        <w:t xml:space="preserve"> endometriosis, which can cause severe pain and fatigue. I have</w:t>
      </w:r>
      <w:r w:rsidR="00C94E5D" w:rsidRPr="00C94E5D">
        <w:rPr>
          <w:rStyle w:val="s1"/>
          <w:rFonts w:asciiTheme="minorBidi" w:eastAsiaTheme="majorEastAsia" w:hAnsiTheme="minorBidi" w:cstheme="minorBidi"/>
          <w:sz w:val="22"/>
          <w:szCs w:val="22"/>
        </w:rPr>
        <w:t xml:space="preserve"> witnessed</w:t>
      </w:r>
      <w:r w:rsidRPr="00C94E5D">
        <w:rPr>
          <w:rStyle w:val="s1"/>
          <w:rFonts w:asciiTheme="minorBidi" w:eastAsiaTheme="majorEastAsia" w:hAnsiTheme="minorBidi" w:cstheme="minorBidi"/>
          <w:sz w:val="22"/>
          <w:szCs w:val="22"/>
        </w:rPr>
        <w:t xml:space="preserve"> how these symptoms sometimes make it difficult for her to manage the physical and emotional </w:t>
      </w:r>
      <w:r w:rsidR="00C94E5D" w:rsidRPr="00C94E5D">
        <w:rPr>
          <w:rStyle w:val="s1"/>
          <w:rFonts w:asciiTheme="minorBidi" w:eastAsiaTheme="majorEastAsia" w:hAnsiTheme="minorBidi" w:cstheme="minorBidi"/>
          <w:sz w:val="22"/>
          <w:szCs w:val="22"/>
        </w:rPr>
        <w:t>responsibilities</w:t>
      </w:r>
      <w:r w:rsidRPr="00C94E5D">
        <w:rPr>
          <w:rStyle w:val="s1"/>
          <w:rFonts w:asciiTheme="minorBidi" w:eastAsiaTheme="majorEastAsia" w:hAnsiTheme="minorBidi" w:cstheme="minorBidi"/>
          <w:sz w:val="22"/>
          <w:szCs w:val="22"/>
        </w:rPr>
        <w:t xml:space="preserve"> of working with young children. This experience made me more aware of how women’s health conditions such as PMS, endometriosis, and menopause may affect employees working in early years environments.</w:t>
      </w:r>
    </w:p>
    <w:p w14:paraId="5EEF90F8" w14:textId="77777777"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This topic also interests me because I am studying health and social care and may work in a similar field in the future. Understanding the challenges faced by staff in childcare settings can help improve workplace wellbeing and support systems for employees.</w:t>
      </w:r>
    </w:p>
    <w:p w14:paraId="36F34B8E" w14:textId="77777777" w:rsidR="0077287A" w:rsidRPr="00C94E5D" w:rsidRDefault="0077287A" w:rsidP="00C94E5D">
      <w:pPr>
        <w:pStyle w:val="p1"/>
        <w:spacing w:line="360" w:lineRule="auto"/>
        <w:rPr>
          <w:rFonts w:asciiTheme="minorBidi" w:hAnsiTheme="minorBidi" w:cstheme="minorBidi"/>
          <w:b/>
          <w:bCs/>
          <w:color w:val="0E2841" w:themeColor="text2"/>
          <w:sz w:val="22"/>
          <w:szCs w:val="22"/>
        </w:rPr>
      </w:pPr>
    </w:p>
    <w:p w14:paraId="2D262677" w14:textId="337F552C" w:rsidR="0077287A" w:rsidRPr="00C94E5D" w:rsidRDefault="0077287A" w:rsidP="00C94E5D">
      <w:pPr>
        <w:pStyle w:val="p1"/>
        <w:spacing w:line="360" w:lineRule="auto"/>
        <w:rPr>
          <w:rFonts w:asciiTheme="minorBidi" w:hAnsiTheme="minorBidi" w:cstheme="minorBidi"/>
          <w:b/>
          <w:bCs/>
          <w:color w:val="0E2841" w:themeColor="text2"/>
          <w:sz w:val="22"/>
          <w:szCs w:val="22"/>
          <w:lang w:eastAsia="zh-CN"/>
        </w:rPr>
      </w:pPr>
      <w:r w:rsidRPr="00C94E5D">
        <w:rPr>
          <w:rFonts w:asciiTheme="minorBidi" w:hAnsiTheme="minorBidi" w:cstheme="minorBidi"/>
          <w:b/>
          <w:bCs/>
          <w:color w:val="0E2841" w:themeColor="text2"/>
          <w:sz w:val="22"/>
          <w:szCs w:val="22"/>
        </w:rPr>
        <w:t xml:space="preserve">1.3 </w:t>
      </w:r>
      <w:r w:rsidRPr="00C94E5D">
        <w:rPr>
          <w:rFonts w:asciiTheme="minorBidi" w:hAnsiTheme="minorBidi" w:cstheme="minorBidi"/>
          <w:b/>
          <w:bCs/>
          <w:color w:val="0E2841" w:themeColor="text2"/>
          <w:sz w:val="22"/>
          <w:szCs w:val="22"/>
          <w:lang w:eastAsia="zh-CN"/>
        </w:rPr>
        <w:t>Evaluating information sources</w:t>
      </w:r>
    </w:p>
    <w:p w14:paraId="32951D62" w14:textId="77777777" w:rsidR="00BC4D34" w:rsidRPr="00C94E5D" w:rsidRDefault="0077287A" w:rsidP="00C94E5D">
      <w:pPr>
        <w:spacing w:before="100" w:beforeAutospacing="1" w:after="100" w:afterAutospacing="1" w:line="360" w:lineRule="auto"/>
        <w:rPr>
          <w:rFonts w:asciiTheme="minorBidi" w:hAnsiTheme="minorBidi"/>
          <w:sz w:val="22"/>
          <w:szCs w:val="22"/>
        </w:rPr>
      </w:pPr>
      <w:r w:rsidRPr="00C94E5D">
        <w:rPr>
          <w:rFonts w:asciiTheme="minorBidi" w:eastAsia="Times New Roman" w:hAnsiTheme="minorBidi"/>
          <w:kern w:val="0"/>
          <w:sz w:val="22"/>
          <w:szCs w:val="22"/>
          <w:lang w:eastAsia="en-GB"/>
          <w14:ligatures w14:val="none"/>
        </w:rPr>
        <w:t xml:space="preserve">To better understand the impact of PMS and menopause on women working in early years childcare settings, it is important to examine existing research and professional guidance related to menstrual health and workplace wellbeing. </w:t>
      </w:r>
      <w:r w:rsidR="00BC4D34" w:rsidRPr="00C94E5D">
        <w:rPr>
          <w:rFonts w:asciiTheme="minorBidi" w:hAnsiTheme="minorBidi"/>
          <w:sz w:val="22"/>
          <w:szCs w:val="22"/>
        </w:rPr>
        <w:t>Here are some sources that offer helpful insights into the mental, emotional, and cognitive effects of hormonal changes and how these might impact employees.</w:t>
      </w:r>
    </w:p>
    <w:p w14:paraId="4049B72C" w14:textId="418BFDD1" w:rsidR="0077287A" w:rsidRPr="00C94E5D" w:rsidRDefault="0077287A" w:rsidP="00C94E5D">
      <w:pPr>
        <w:spacing w:before="100" w:beforeAutospacing="1" w:after="100" w:afterAutospacing="1" w:line="360" w:lineRule="auto"/>
        <w:rPr>
          <w:rFonts w:asciiTheme="minorBidi" w:eastAsia="Times New Roman" w:hAnsiTheme="minorBidi"/>
          <w:color w:val="555555"/>
          <w:kern w:val="36"/>
          <w:sz w:val="22"/>
          <w:szCs w:val="22"/>
          <w:lang w:eastAsia="en-GB"/>
          <w14:ligatures w14:val="none"/>
        </w:rPr>
      </w:pPr>
      <w:r w:rsidRPr="00C94E5D">
        <w:rPr>
          <w:rFonts w:asciiTheme="minorBidi" w:eastAsia="Times New Roman" w:hAnsiTheme="minorBidi"/>
          <w:b/>
          <w:bCs/>
          <w:color w:val="0E2841" w:themeColor="text2"/>
          <w:kern w:val="0"/>
          <w:sz w:val="22"/>
          <w:szCs w:val="22"/>
          <w:lang w:eastAsia="en-GB"/>
          <w14:ligatures w14:val="none"/>
        </w:rPr>
        <w:t>Source 1</w:t>
      </w:r>
      <w:r w:rsidRPr="00C94E5D">
        <w:rPr>
          <w:rFonts w:asciiTheme="minorBidi" w:eastAsia="Times New Roman" w:hAnsiTheme="minorBidi"/>
          <w:color w:val="0E2841" w:themeColor="text2"/>
          <w:kern w:val="0"/>
          <w:sz w:val="22"/>
          <w:szCs w:val="22"/>
          <w:lang w:eastAsia="en-GB"/>
          <w14:ligatures w14:val="none"/>
        </w:rPr>
        <w:t xml:space="preserve"> </w:t>
      </w:r>
      <w:r w:rsidRPr="00C94E5D">
        <w:rPr>
          <w:rFonts w:asciiTheme="minorBidi" w:eastAsia="Times New Roman" w:hAnsiTheme="minorBidi"/>
          <w:kern w:val="0"/>
          <w:sz w:val="22"/>
          <w:szCs w:val="22"/>
          <w:lang w:eastAsia="en-GB"/>
          <w14:ligatures w14:val="none"/>
        </w:rPr>
        <w:t>- Mental Health and the Menstrual Cycle</w:t>
      </w:r>
    </w:p>
    <w:p w14:paraId="062A566C" w14:textId="1EA5D9CE" w:rsidR="00BC4D34" w:rsidRPr="00C94E5D" w:rsidRDefault="0077287A" w:rsidP="00C94E5D">
      <w:pPr>
        <w:spacing w:line="360" w:lineRule="auto"/>
        <w:rPr>
          <w:rFonts w:asciiTheme="minorBidi" w:hAnsiTheme="minorBidi"/>
          <w:sz w:val="22"/>
          <w:szCs w:val="22"/>
        </w:rPr>
      </w:pPr>
      <w:r w:rsidRPr="00C94E5D">
        <w:rPr>
          <w:rStyle w:val="s1"/>
          <w:rFonts w:asciiTheme="minorBidi" w:eastAsiaTheme="majorEastAsia" w:hAnsiTheme="minorBidi"/>
          <w:sz w:val="22"/>
          <w:szCs w:val="22"/>
        </w:rPr>
        <w:t xml:space="preserve">One important </w:t>
      </w:r>
      <w:r w:rsidR="00BC4D34" w:rsidRPr="00C94E5D">
        <w:rPr>
          <w:rStyle w:val="s1"/>
          <w:rFonts w:asciiTheme="minorBidi" w:eastAsiaTheme="majorEastAsia" w:hAnsiTheme="minorBidi"/>
          <w:sz w:val="22"/>
          <w:szCs w:val="22"/>
        </w:rPr>
        <w:t>meta-analysis study</w:t>
      </w:r>
      <w:r w:rsidRPr="00C94E5D">
        <w:rPr>
          <w:rStyle w:val="s1"/>
          <w:rFonts w:asciiTheme="minorBidi" w:eastAsiaTheme="majorEastAsia" w:hAnsiTheme="minorBidi"/>
          <w:sz w:val="22"/>
          <w:szCs w:val="22"/>
        </w:rPr>
        <w:t xml:space="preserve"> by Jang and Elfenbein (2019) explores how the menstrual cycle can </w:t>
      </w:r>
      <w:r w:rsidR="00BC4D34" w:rsidRPr="00C94E5D">
        <w:rPr>
          <w:rStyle w:val="s1"/>
          <w:rFonts w:asciiTheme="minorBidi" w:eastAsiaTheme="majorEastAsia" w:hAnsiTheme="minorBidi"/>
          <w:sz w:val="22"/>
          <w:szCs w:val="22"/>
        </w:rPr>
        <w:t xml:space="preserve">affect </w:t>
      </w:r>
      <w:r w:rsidRPr="00C94E5D">
        <w:rPr>
          <w:rStyle w:val="s1"/>
          <w:rFonts w:asciiTheme="minorBidi" w:eastAsiaTheme="majorEastAsia" w:hAnsiTheme="minorBidi"/>
          <w:sz w:val="22"/>
          <w:szCs w:val="22"/>
        </w:rPr>
        <w:t xml:space="preserve">mental health outcomes. A meta-analysis is </w:t>
      </w:r>
      <w:r w:rsidR="00BC4D34" w:rsidRPr="00C94E5D">
        <w:rPr>
          <w:rStyle w:val="s1"/>
          <w:rFonts w:asciiTheme="minorBidi" w:eastAsiaTheme="majorEastAsia" w:hAnsiTheme="minorBidi"/>
          <w:sz w:val="22"/>
          <w:szCs w:val="22"/>
        </w:rPr>
        <w:t>valuable</w:t>
      </w:r>
      <w:r w:rsidRPr="00C94E5D">
        <w:rPr>
          <w:rStyle w:val="s1"/>
          <w:rFonts w:asciiTheme="minorBidi" w:eastAsiaTheme="majorEastAsia" w:hAnsiTheme="minorBidi"/>
          <w:sz w:val="22"/>
          <w:szCs w:val="22"/>
        </w:rPr>
        <w:t xml:space="preserve"> because it </w:t>
      </w:r>
      <w:r w:rsidR="00BC4D34" w:rsidRPr="00C94E5D">
        <w:rPr>
          <w:rStyle w:val="s1"/>
          <w:rFonts w:asciiTheme="minorBidi" w:eastAsiaTheme="majorEastAsia" w:hAnsiTheme="minorBidi"/>
          <w:sz w:val="22"/>
          <w:szCs w:val="22"/>
        </w:rPr>
        <w:t>reviews</w:t>
      </w:r>
      <w:r w:rsidRPr="00C94E5D">
        <w:rPr>
          <w:rStyle w:val="s1"/>
          <w:rFonts w:asciiTheme="minorBidi" w:eastAsiaTheme="majorEastAsia" w:hAnsiTheme="minorBidi"/>
          <w:sz w:val="22"/>
          <w:szCs w:val="22"/>
        </w:rPr>
        <w:t xml:space="preserve"> the findings of multiple studies </w:t>
      </w:r>
      <w:r w:rsidR="00BC4D34" w:rsidRPr="00C94E5D">
        <w:rPr>
          <w:rStyle w:val="s1"/>
          <w:rFonts w:asciiTheme="minorBidi" w:eastAsiaTheme="majorEastAsia" w:hAnsiTheme="minorBidi"/>
          <w:sz w:val="22"/>
          <w:szCs w:val="22"/>
        </w:rPr>
        <w:t>instead of</w:t>
      </w:r>
      <w:r w:rsidRPr="00C94E5D">
        <w:rPr>
          <w:rStyle w:val="s1"/>
          <w:rFonts w:asciiTheme="minorBidi" w:eastAsiaTheme="majorEastAsia" w:hAnsiTheme="minorBidi"/>
          <w:sz w:val="22"/>
          <w:szCs w:val="22"/>
        </w:rPr>
        <w:t xml:space="preserve"> relying on a single research project. The </w:t>
      </w:r>
      <w:r w:rsidR="00BC4D34" w:rsidRPr="00C94E5D">
        <w:rPr>
          <w:rStyle w:val="s1"/>
          <w:rFonts w:asciiTheme="minorBidi" w:eastAsiaTheme="majorEastAsia" w:hAnsiTheme="minorBidi"/>
          <w:sz w:val="22"/>
          <w:szCs w:val="22"/>
        </w:rPr>
        <w:t>study</w:t>
      </w:r>
      <w:r w:rsidRPr="00C94E5D">
        <w:rPr>
          <w:rStyle w:val="s1"/>
          <w:rFonts w:asciiTheme="minorBidi" w:eastAsiaTheme="majorEastAsia" w:hAnsiTheme="minorBidi"/>
          <w:sz w:val="22"/>
          <w:szCs w:val="22"/>
        </w:rPr>
        <w:t xml:space="preserve"> found that </w:t>
      </w:r>
      <w:r w:rsidR="00BC4D34" w:rsidRPr="00C94E5D">
        <w:rPr>
          <w:rFonts w:asciiTheme="minorBidi" w:hAnsiTheme="minorBidi"/>
          <w:sz w:val="22"/>
          <w:szCs w:val="22"/>
        </w:rPr>
        <w:t xml:space="preserve">hormonal ups and downs can influence how people feel emotionally and mentally, affecting mood and overall wellbeing. </w:t>
      </w:r>
    </w:p>
    <w:p w14:paraId="2B29DB68" w14:textId="7E6C5FD8" w:rsidR="0077287A" w:rsidRPr="00C94E5D" w:rsidRDefault="0077287A" w:rsidP="00C94E5D">
      <w:pPr>
        <w:pStyle w:val="p1"/>
        <w:spacing w:line="360" w:lineRule="auto"/>
        <w:rPr>
          <w:rStyle w:val="s1"/>
          <w:rFonts w:asciiTheme="minorBidi" w:eastAsiaTheme="majorEastAsia" w:hAnsiTheme="minorBidi" w:cstheme="minorBidi"/>
          <w:sz w:val="22"/>
          <w:szCs w:val="22"/>
        </w:rPr>
      </w:pPr>
      <w:r w:rsidRPr="00C94E5D">
        <w:rPr>
          <w:rStyle w:val="s1"/>
          <w:rFonts w:asciiTheme="minorBidi" w:eastAsiaTheme="majorEastAsia" w:hAnsiTheme="minorBidi" w:cstheme="minorBidi"/>
          <w:sz w:val="22"/>
          <w:szCs w:val="22"/>
        </w:rPr>
        <w:lastRenderedPageBreak/>
        <w:t xml:space="preserve">This is relevant to early years childcare settings because practitioners </w:t>
      </w:r>
      <w:r w:rsidR="00BC4D34" w:rsidRPr="00C94E5D">
        <w:rPr>
          <w:rStyle w:val="s1"/>
          <w:rFonts w:asciiTheme="minorBidi" w:eastAsiaTheme="majorEastAsia" w:hAnsiTheme="minorBidi" w:cstheme="minorBidi"/>
          <w:sz w:val="22"/>
          <w:szCs w:val="22"/>
        </w:rPr>
        <w:t xml:space="preserve">need to </w:t>
      </w:r>
      <w:r w:rsidRPr="00C94E5D">
        <w:rPr>
          <w:rStyle w:val="s1"/>
          <w:rFonts w:asciiTheme="minorBidi" w:eastAsiaTheme="majorEastAsia" w:hAnsiTheme="minorBidi" w:cstheme="minorBidi"/>
          <w:sz w:val="22"/>
          <w:szCs w:val="22"/>
        </w:rPr>
        <w:t xml:space="preserve">remain emotionally responsive and patient when interacting with young children. </w:t>
      </w:r>
    </w:p>
    <w:p w14:paraId="7840BE48" w14:textId="39487128"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However, while this study provides useful evidence about mental health outcomes, it does not focus specifically on workplace environments or the experiences of childcare professionals.</w:t>
      </w:r>
    </w:p>
    <w:p w14:paraId="66D0C14C" w14:textId="7D466AA5" w:rsidR="0077287A" w:rsidRPr="00C94E5D" w:rsidRDefault="0077287A" w:rsidP="00C94E5D">
      <w:pPr>
        <w:pStyle w:val="p1"/>
        <w:spacing w:line="360" w:lineRule="auto"/>
        <w:rPr>
          <w:rFonts w:asciiTheme="minorBidi" w:hAnsiTheme="minorBidi" w:cstheme="minorBidi"/>
          <w:sz w:val="22"/>
          <w:szCs w:val="22"/>
        </w:rPr>
      </w:pPr>
      <w:r w:rsidRPr="00C94E5D">
        <w:rPr>
          <w:rFonts w:asciiTheme="minorBidi" w:hAnsiTheme="minorBidi" w:cstheme="minorBidi"/>
          <w:b/>
          <w:bCs/>
          <w:color w:val="0E2841" w:themeColor="text2"/>
          <w:sz w:val="22"/>
          <w:szCs w:val="22"/>
        </w:rPr>
        <w:t xml:space="preserve">Source 2 </w:t>
      </w:r>
      <w:r w:rsidRPr="00C94E5D">
        <w:rPr>
          <w:rFonts w:asciiTheme="minorBidi" w:hAnsiTheme="minorBidi" w:cstheme="minorBidi"/>
          <w:b/>
          <w:bCs/>
          <w:sz w:val="22"/>
          <w:szCs w:val="22"/>
        </w:rPr>
        <w:t xml:space="preserve">– </w:t>
      </w:r>
      <w:r w:rsidRPr="00C94E5D">
        <w:rPr>
          <w:rStyle w:val="s1"/>
          <w:rFonts w:asciiTheme="minorBidi" w:eastAsiaTheme="majorEastAsia" w:hAnsiTheme="minorBidi" w:cstheme="minorBidi"/>
          <w:sz w:val="22"/>
          <w:szCs w:val="22"/>
        </w:rPr>
        <w:t>Cognitive Effects of Hormonal Changes</w:t>
      </w:r>
    </w:p>
    <w:p w14:paraId="39DA54A4" w14:textId="2C92ADBC"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 xml:space="preserve">Another useful article by Sundström-Poromaa and Gingnell (2014), which examines how hormonal changes during the menstrual cycle can influence cognitive functioning and emotional processing. The authors explain that </w:t>
      </w:r>
      <w:r w:rsidR="00BC4D34" w:rsidRPr="00C94E5D">
        <w:rPr>
          <w:rStyle w:val="s1"/>
          <w:rFonts w:asciiTheme="minorBidi" w:eastAsiaTheme="majorEastAsia" w:hAnsiTheme="minorBidi" w:cstheme="minorBidi"/>
          <w:sz w:val="22"/>
          <w:szCs w:val="22"/>
        </w:rPr>
        <w:t>changes</w:t>
      </w:r>
      <w:r w:rsidRPr="00C94E5D">
        <w:rPr>
          <w:rStyle w:val="s1"/>
          <w:rFonts w:asciiTheme="minorBidi" w:eastAsiaTheme="majorEastAsia" w:hAnsiTheme="minorBidi" w:cstheme="minorBidi"/>
          <w:sz w:val="22"/>
          <w:szCs w:val="22"/>
        </w:rPr>
        <w:t xml:space="preserve"> in hormones such as oestrogen and progesterone may influence attention, memory, and emotional responses. These cognitive and emotional changes could potentially affect how individuals manage demanding tasks or stressful situations. In childcare environments, practitioners must constantly monitor children’s behaviour, respond to emotional needs, and ensure safety. Therefore, changes in concentration or emotional processing could </w:t>
      </w:r>
      <w:r w:rsidR="00BC4D34" w:rsidRPr="00C94E5D">
        <w:rPr>
          <w:rStyle w:val="s1"/>
          <w:rFonts w:asciiTheme="minorBidi" w:eastAsiaTheme="majorEastAsia" w:hAnsiTheme="minorBidi" w:cstheme="minorBidi"/>
          <w:sz w:val="22"/>
          <w:szCs w:val="22"/>
        </w:rPr>
        <w:t>affect</w:t>
      </w:r>
      <w:r w:rsidRPr="00C94E5D">
        <w:rPr>
          <w:rStyle w:val="s1"/>
          <w:rFonts w:asciiTheme="minorBidi" w:eastAsiaTheme="majorEastAsia" w:hAnsiTheme="minorBidi" w:cstheme="minorBidi"/>
          <w:sz w:val="22"/>
          <w:szCs w:val="22"/>
        </w:rPr>
        <w:t xml:space="preserve"> their ability to perform their role effectively. This article is </w:t>
      </w:r>
      <w:r w:rsidR="00BC4D34" w:rsidRPr="00C94E5D">
        <w:rPr>
          <w:rStyle w:val="s1"/>
          <w:rFonts w:asciiTheme="minorBidi" w:eastAsiaTheme="majorEastAsia" w:hAnsiTheme="minorBidi" w:cstheme="minorBidi"/>
          <w:sz w:val="22"/>
          <w:szCs w:val="22"/>
        </w:rPr>
        <w:t>important</w:t>
      </w:r>
      <w:r w:rsidRPr="00C94E5D">
        <w:rPr>
          <w:rStyle w:val="s1"/>
          <w:rFonts w:asciiTheme="minorBidi" w:eastAsiaTheme="majorEastAsia" w:hAnsiTheme="minorBidi" w:cstheme="minorBidi"/>
          <w:sz w:val="22"/>
          <w:szCs w:val="22"/>
        </w:rPr>
        <w:t xml:space="preserve"> because it provides scientific evidence explaining how hormonal changes can influence mental functioning. However, like the </w:t>
      </w:r>
      <w:r w:rsidR="00BC4D34" w:rsidRPr="00C94E5D">
        <w:rPr>
          <w:rStyle w:val="s1"/>
          <w:rFonts w:asciiTheme="minorBidi" w:eastAsiaTheme="majorEastAsia" w:hAnsiTheme="minorBidi" w:cstheme="minorBidi"/>
          <w:sz w:val="22"/>
          <w:szCs w:val="22"/>
        </w:rPr>
        <w:t>first</w:t>
      </w:r>
      <w:r w:rsidRPr="00C94E5D">
        <w:rPr>
          <w:rStyle w:val="s1"/>
          <w:rFonts w:asciiTheme="minorBidi" w:eastAsiaTheme="majorEastAsia" w:hAnsiTheme="minorBidi" w:cstheme="minorBidi"/>
          <w:sz w:val="22"/>
          <w:szCs w:val="22"/>
        </w:rPr>
        <w:t xml:space="preserve"> study, the research focuses on biological and psychological </w:t>
      </w:r>
      <w:r w:rsidR="00BC4D34" w:rsidRPr="00C94E5D">
        <w:rPr>
          <w:rStyle w:val="s1"/>
          <w:rFonts w:asciiTheme="minorBidi" w:eastAsiaTheme="majorEastAsia" w:hAnsiTheme="minorBidi" w:cstheme="minorBidi"/>
          <w:sz w:val="22"/>
          <w:szCs w:val="22"/>
        </w:rPr>
        <w:t>processes,</w:t>
      </w:r>
      <w:r w:rsidRPr="00C94E5D">
        <w:rPr>
          <w:rStyle w:val="s1"/>
          <w:rFonts w:asciiTheme="minorBidi" w:eastAsiaTheme="majorEastAsia" w:hAnsiTheme="minorBidi" w:cstheme="minorBidi"/>
          <w:sz w:val="22"/>
          <w:szCs w:val="22"/>
        </w:rPr>
        <w:t xml:space="preserve"> </w:t>
      </w:r>
      <w:r w:rsidR="00BC4D34" w:rsidRPr="00C94E5D">
        <w:rPr>
          <w:rStyle w:val="s1"/>
          <w:rFonts w:asciiTheme="minorBidi" w:eastAsiaTheme="majorEastAsia" w:hAnsiTheme="minorBidi" w:cstheme="minorBidi"/>
          <w:sz w:val="22"/>
          <w:szCs w:val="22"/>
        </w:rPr>
        <w:t>not real-life experiences of childcare staff.</w:t>
      </w:r>
    </w:p>
    <w:p w14:paraId="5343B6B1" w14:textId="77777777" w:rsidR="0077287A" w:rsidRPr="00C94E5D" w:rsidRDefault="0077287A" w:rsidP="00C94E5D">
      <w:pPr>
        <w:pStyle w:val="p1"/>
        <w:spacing w:line="360" w:lineRule="auto"/>
        <w:rPr>
          <w:rFonts w:asciiTheme="minorBidi" w:hAnsiTheme="minorBidi" w:cstheme="minorBidi"/>
          <w:sz w:val="22"/>
          <w:szCs w:val="22"/>
        </w:rPr>
      </w:pPr>
      <w:r w:rsidRPr="00C94E5D">
        <w:rPr>
          <w:rFonts w:asciiTheme="minorBidi" w:hAnsiTheme="minorBidi" w:cstheme="minorBidi"/>
          <w:b/>
          <w:bCs/>
          <w:color w:val="0E2841" w:themeColor="text2"/>
          <w:sz w:val="22"/>
          <w:szCs w:val="22"/>
        </w:rPr>
        <w:t xml:space="preserve">Source 3 </w:t>
      </w:r>
      <w:r w:rsidRPr="00C94E5D">
        <w:rPr>
          <w:rFonts w:asciiTheme="minorBidi" w:hAnsiTheme="minorBidi" w:cstheme="minorBidi"/>
          <w:b/>
          <w:bCs/>
          <w:sz w:val="22"/>
          <w:szCs w:val="22"/>
        </w:rPr>
        <w:t xml:space="preserve">– </w:t>
      </w:r>
      <w:r w:rsidRPr="00C94E5D">
        <w:rPr>
          <w:rStyle w:val="s1"/>
          <w:rFonts w:asciiTheme="minorBidi" w:eastAsiaTheme="majorEastAsia" w:hAnsiTheme="minorBidi" w:cstheme="minorBidi"/>
          <w:sz w:val="22"/>
          <w:szCs w:val="22"/>
        </w:rPr>
        <w:t>Workplace Support for Women’s Health</w:t>
      </w:r>
    </w:p>
    <w:p w14:paraId="03AC1702" w14:textId="21791D09" w:rsidR="0077287A" w:rsidRPr="00C94E5D" w:rsidRDefault="00BC4D34"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On the practical side,</w:t>
      </w:r>
      <w:r w:rsidR="0077287A" w:rsidRPr="00C94E5D">
        <w:rPr>
          <w:rStyle w:val="s1"/>
          <w:rFonts w:asciiTheme="minorBidi" w:eastAsiaTheme="majorEastAsia" w:hAnsiTheme="minorBidi" w:cstheme="minorBidi"/>
          <w:sz w:val="22"/>
          <w:szCs w:val="22"/>
        </w:rPr>
        <w:t xml:space="preserve"> ACAS provides useful information about how menopause and other health conditions can affect employees </w:t>
      </w:r>
      <w:r w:rsidRPr="00C94E5D">
        <w:rPr>
          <w:rStyle w:val="s1"/>
          <w:rFonts w:asciiTheme="minorBidi" w:eastAsiaTheme="majorEastAsia" w:hAnsiTheme="minorBidi" w:cstheme="minorBidi"/>
          <w:sz w:val="22"/>
          <w:szCs w:val="22"/>
        </w:rPr>
        <w:t>at</w:t>
      </w:r>
      <w:r w:rsidR="0077287A" w:rsidRPr="00C94E5D">
        <w:rPr>
          <w:rStyle w:val="s1"/>
          <w:rFonts w:asciiTheme="minorBidi" w:eastAsiaTheme="majorEastAsia" w:hAnsiTheme="minorBidi" w:cstheme="minorBidi"/>
          <w:sz w:val="22"/>
          <w:szCs w:val="22"/>
        </w:rPr>
        <w:t xml:space="preserve"> work. ACAS </w:t>
      </w:r>
      <w:r w:rsidRPr="00C94E5D">
        <w:rPr>
          <w:rStyle w:val="s1"/>
          <w:rFonts w:asciiTheme="minorBidi" w:eastAsiaTheme="majorEastAsia" w:hAnsiTheme="minorBidi" w:cstheme="minorBidi"/>
          <w:sz w:val="22"/>
          <w:szCs w:val="22"/>
        </w:rPr>
        <w:t>points out</w:t>
      </w:r>
      <w:r w:rsidR="0077287A" w:rsidRPr="00C94E5D">
        <w:rPr>
          <w:rStyle w:val="s1"/>
          <w:rFonts w:asciiTheme="minorBidi" w:eastAsiaTheme="majorEastAsia" w:hAnsiTheme="minorBidi" w:cstheme="minorBidi"/>
          <w:sz w:val="22"/>
          <w:szCs w:val="22"/>
        </w:rPr>
        <w:t xml:space="preserve"> that symptoms such as fatigue, anxiety, and difficulty concentrating may </w:t>
      </w:r>
      <w:r w:rsidRPr="00C94E5D">
        <w:rPr>
          <w:rStyle w:val="s1"/>
          <w:rFonts w:asciiTheme="minorBidi" w:eastAsiaTheme="majorEastAsia" w:hAnsiTheme="minorBidi" w:cstheme="minorBidi"/>
          <w:sz w:val="22"/>
          <w:szCs w:val="22"/>
        </w:rPr>
        <w:t>affect</w:t>
      </w:r>
      <w:r w:rsidR="0077287A" w:rsidRPr="00C94E5D">
        <w:rPr>
          <w:rStyle w:val="s1"/>
          <w:rFonts w:asciiTheme="minorBidi" w:eastAsiaTheme="majorEastAsia" w:hAnsiTheme="minorBidi" w:cstheme="minorBidi"/>
          <w:sz w:val="22"/>
          <w:szCs w:val="22"/>
        </w:rPr>
        <w:t xml:space="preserve"> confidence and performance at work. </w:t>
      </w:r>
      <w:r w:rsidRPr="00C94E5D">
        <w:rPr>
          <w:rStyle w:val="s1"/>
          <w:rFonts w:asciiTheme="minorBidi" w:eastAsiaTheme="majorEastAsia" w:hAnsiTheme="minorBidi" w:cstheme="minorBidi"/>
          <w:sz w:val="22"/>
          <w:szCs w:val="22"/>
        </w:rPr>
        <w:t>It also</w:t>
      </w:r>
      <w:r w:rsidR="0077287A" w:rsidRPr="00C94E5D">
        <w:rPr>
          <w:rStyle w:val="s1"/>
          <w:rFonts w:asciiTheme="minorBidi" w:eastAsiaTheme="majorEastAsia" w:hAnsiTheme="minorBidi" w:cstheme="minorBidi"/>
          <w:sz w:val="22"/>
          <w:szCs w:val="22"/>
        </w:rPr>
        <w:t xml:space="preserve"> encourages employers to create supportive working environments </w:t>
      </w:r>
      <w:r w:rsidRPr="00C94E5D">
        <w:rPr>
          <w:rStyle w:val="s1"/>
          <w:rFonts w:asciiTheme="minorBidi" w:eastAsiaTheme="majorEastAsia" w:hAnsiTheme="minorBidi" w:cstheme="minorBidi"/>
          <w:sz w:val="22"/>
          <w:szCs w:val="22"/>
        </w:rPr>
        <w:t>by</w:t>
      </w:r>
      <w:r w:rsidR="0077287A" w:rsidRPr="00C94E5D">
        <w:rPr>
          <w:rStyle w:val="s1"/>
          <w:rFonts w:asciiTheme="minorBidi" w:eastAsiaTheme="majorEastAsia" w:hAnsiTheme="minorBidi" w:cstheme="minorBidi"/>
          <w:sz w:val="22"/>
          <w:szCs w:val="22"/>
        </w:rPr>
        <w:t xml:space="preserve"> open communication and </w:t>
      </w:r>
      <w:r w:rsidRPr="00C94E5D">
        <w:rPr>
          <w:rStyle w:val="s1"/>
          <w:rFonts w:asciiTheme="minorBidi" w:eastAsiaTheme="majorEastAsia" w:hAnsiTheme="minorBidi" w:cstheme="minorBidi"/>
          <w:sz w:val="22"/>
          <w:szCs w:val="22"/>
        </w:rPr>
        <w:t>flexible support in the workplace</w:t>
      </w:r>
      <w:r w:rsidR="0077287A" w:rsidRPr="00C94E5D">
        <w:rPr>
          <w:rStyle w:val="s1"/>
          <w:rFonts w:asciiTheme="minorBidi" w:eastAsiaTheme="majorEastAsia" w:hAnsiTheme="minorBidi" w:cstheme="minorBidi"/>
          <w:sz w:val="22"/>
          <w:szCs w:val="22"/>
        </w:rPr>
        <w:t xml:space="preserve">. This source is useful because it focuses specifically on workplace wellbeing and </w:t>
      </w:r>
      <w:r w:rsidRPr="00C94E5D">
        <w:rPr>
          <w:rStyle w:val="s1"/>
          <w:rFonts w:asciiTheme="minorBidi" w:eastAsiaTheme="majorEastAsia" w:hAnsiTheme="minorBidi" w:cstheme="minorBidi"/>
          <w:sz w:val="22"/>
          <w:szCs w:val="22"/>
        </w:rPr>
        <w:t xml:space="preserve">recommended </w:t>
      </w:r>
      <w:r w:rsidR="0077287A" w:rsidRPr="00C94E5D">
        <w:rPr>
          <w:rStyle w:val="s1"/>
          <w:rFonts w:asciiTheme="minorBidi" w:eastAsiaTheme="majorEastAsia" w:hAnsiTheme="minorBidi" w:cstheme="minorBidi"/>
          <w:sz w:val="22"/>
          <w:szCs w:val="22"/>
        </w:rPr>
        <w:t>support. However, while ACAS provides general workplace guidance, it does not specifically examine early years childcare environments.</w:t>
      </w:r>
    </w:p>
    <w:p w14:paraId="392A3045" w14:textId="613EF87A"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 xml:space="preserve">Overall, these sources provide useful information about </w:t>
      </w:r>
      <w:r w:rsidR="00BC4D34" w:rsidRPr="00C94E5D">
        <w:rPr>
          <w:rFonts w:asciiTheme="minorBidi" w:hAnsiTheme="minorBidi" w:cstheme="minorBidi"/>
          <w:sz w:val="22"/>
          <w:szCs w:val="22"/>
        </w:rPr>
        <w:t>how menstrual health can affect mental and cognitive health and how important workplace support is</w:t>
      </w:r>
      <w:r w:rsidRPr="00C94E5D">
        <w:rPr>
          <w:rStyle w:val="s1"/>
          <w:rFonts w:asciiTheme="minorBidi" w:eastAsiaTheme="majorEastAsia" w:hAnsiTheme="minorBidi" w:cstheme="minorBidi"/>
          <w:sz w:val="22"/>
          <w:szCs w:val="22"/>
        </w:rPr>
        <w:t xml:space="preserve">. However, there </w:t>
      </w:r>
      <w:r w:rsidR="00BC4D34" w:rsidRPr="00C94E5D">
        <w:rPr>
          <w:rStyle w:val="s1"/>
          <w:rFonts w:asciiTheme="minorBidi" w:eastAsiaTheme="majorEastAsia" w:hAnsiTheme="minorBidi" w:cstheme="minorBidi"/>
          <w:sz w:val="22"/>
          <w:szCs w:val="22"/>
        </w:rPr>
        <w:t>is very</w:t>
      </w:r>
      <w:r w:rsidRPr="00C94E5D">
        <w:rPr>
          <w:rStyle w:val="s1"/>
          <w:rFonts w:asciiTheme="minorBidi" w:eastAsiaTheme="majorEastAsia" w:hAnsiTheme="minorBidi" w:cstheme="minorBidi"/>
          <w:sz w:val="22"/>
          <w:szCs w:val="22"/>
        </w:rPr>
        <w:t xml:space="preserve"> limited </w:t>
      </w:r>
      <w:r w:rsidR="00BC4D34" w:rsidRPr="00C94E5D">
        <w:rPr>
          <w:rStyle w:val="s1"/>
          <w:rFonts w:asciiTheme="minorBidi" w:eastAsiaTheme="majorEastAsia" w:hAnsiTheme="minorBidi" w:cstheme="minorBidi"/>
          <w:sz w:val="22"/>
          <w:szCs w:val="22"/>
        </w:rPr>
        <w:t>research</w:t>
      </w:r>
      <w:r w:rsidRPr="00C94E5D">
        <w:rPr>
          <w:rStyle w:val="s1"/>
          <w:rFonts w:asciiTheme="minorBidi" w:eastAsiaTheme="majorEastAsia" w:hAnsiTheme="minorBidi" w:cstheme="minorBidi"/>
          <w:sz w:val="22"/>
          <w:szCs w:val="22"/>
        </w:rPr>
        <w:t xml:space="preserve"> focusing specifically on women working in early years childcare settings. Further research could </w:t>
      </w:r>
      <w:r w:rsidR="00BC4D34" w:rsidRPr="00C94E5D">
        <w:rPr>
          <w:rStyle w:val="s1"/>
          <w:rFonts w:asciiTheme="minorBidi" w:eastAsiaTheme="majorEastAsia" w:hAnsiTheme="minorBidi" w:cstheme="minorBidi"/>
          <w:sz w:val="22"/>
          <w:szCs w:val="22"/>
        </w:rPr>
        <w:t xml:space="preserve">help find </w:t>
      </w:r>
      <w:r w:rsidRPr="00C94E5D">
        <w:rPr>
          <w:rStyle w:val="s1"/>
          <w:rFonts w:asciiTheme="minorBidi" w:eastAsiaTheme="majorEastAsia" w:hAnsiTheme="minorBidi" w:cstheme="minorBidi"/>
          <w:sz w:val="22"/>
          <w:szCs w:val="22"/>
        </w:rPr>
        <w:t>how menstrual health conditions affect nursery practitioners and what types of workplace support may be most effective.</w:t>
      </w:r>
    </w:p>
    <w:p w14:paraId="708791CF" w14:textId="36D23439" w:rsidR="0077287A" w:rsidRPr="00C94E5D" w:rsidRDefault="0077287A" w:rsidP="00C94E5D">
      <w:pPr>
        <w:spacing w:before="100" w:beforeAutospacing="1" w:after="100" w:afterAutospacing="1" w:line="360" w:lineRule="auto"/>
        <w:outlineLvl w:val="2"/>
        <w:rPr>
          <w:rFonts w:asciiTheme="minorBidi" w:eastAsia="Times New Roman" w:hAnsiTheme="minorBidi"/>
          <w:b/>
          <w:bCs/>
          <w:color w:val="0E2841" w:themeColor="text2"/>
          <w:kern w:val="0"/>
          <w:sz w:val="22"/>
          <w:szCs w:val="22"/>
          <w:lang w:eastAsia="en-GB"/>
          <w14:ligatures w14:val="none"/>
        </w:rPr>
      </w:pPr>
      <w:r w:rsidRPr="00C94E5D">
        <w:rPr>
          <w:rFonts w:asciiTheme="minorBidi" w:eastAsia="Times New Roman" w:hAnsiTheme="minorBidi"/>
          <w:b/>
          <w:bCs/>
          <w:color w:val="0E2841" w:themeColor="text2"/>
          <w:kern w:val="0"/>
          <w:sz w:val="22"/>
          <w:szCs w:val="22"/>
          <w:lang w:eastAsia="en-GB"/>
          <w14:ligatures w14:val="none"/>
        </w:rPr>
        <w:lastRenderedPageBreak/>
        <w:t>Research Gap</w:t>
      </w:r>
    </w:p>
    <w:p w14:paraId="216762C8" w14:textId="0C79C3D6" w:rsidR="00BC4D34" w:rsidRPr="00C94E5D" w:rsidRDefault="0077287A" w:rsidP="00C94E5D">
      <w:pPr>
        <w:spacing w:line="360" w:lineRule="auto"/>
        <w:rPr>
          <w:rFonts w:asciiTheme="minorBidi" w:hAnsiTheme="minorBidi"/>
          <w:sz w:val="22"/>
          <w:szCs w:val="22"/>
        </w:rPr>
      </w:pPr>
      <w:r w:rsidRPr="00C94E5D">
        <w:rPr>
          <w:rFonts w:asciiTheme="minorBidi" w:eastAsia="Times New Roman" w:hAnsiTheme="minorBidi"/>
          <w:kern w:val="0"/>
          <w:sz w:val="22"/>
          <w:szCs w:val="22"/>
          <w:lang w:eastAsia="en-GB"/>
          <w14:ligatures w14:val="none"/>
        </w:rPr>
        <w:t xml:space="preserve">Overall, these sources provide useful information about the biological and workplace aspects of menopause and menstrual health. However, </w:t>
      </w:r>
      <w:r w:rsidR="00BC4D34" w:rsidRPr="00C94E5D">
        <w:rPr>
          <w:rFonts w:asciiTheme="minorBidi" w:eastAsia="Times New Roman" w:hAnsiTheme="minorBidi"/>
          <w:kern w:val="0"/>
          <w:sz w:val="22"/>
          <w:szCs w:val="22"/>
          <w:lang w:eastAsia="en-GB"/>
          <w14:ligatures w14:val="none"/>
        </w:rPr>
        <w:t xml:space="preserve">there doesn't seem to be any study that particularly looks at how these problems impact women who work in early childcare facilities. </w:t>
      </w:r>
      <w:proofErr w:type="gramStart"/>
      <w:r w:rsidR="00BC4D34" w:rsidRPr="00C94E5D">
        <w:rPr>
          <w:rFonts w:asciiTheme="minorBidi" w:eastAsia="Times New Roman" w:hAnsiTheme="minorBidi"/>
          <w:kern w:val="0"/>
          <w:sz w:val="22"/>
          <w:szCs w:val="22"/>
          <w:lang w:eastAsia="en-GB"/>
          <w14:ligatures w14:val="none"/>
        </w:rPr>
        <w:t>In order to</w:t>
      </w:r>
      <w:proofErr w:type="gramEnd"/>
      <w:r w:rsidR="00BC4D34" w:rsidRPr="00C94E5D">
        <w:rPr>
          <w:rFonts w:asciiTheme="minorBidi" w:eastAsia="Times New Roman" w:hAnsiTheme="minorBidi"/>
          <w:kern w:val="0"/>
          <w:sz w:val="22"/>
          <w:szCs w:val="22"/>
          <w:lang w:eastAsia="en-GB"/>
          <w14:ligatures w14:val="none"/>
        </w:rPr>
        <w:t xml:space="preserve"> </w:t>
      </w:r>
      <w:r w:rsidR="00BC4D34" w:rsidRPr="00C94E5D">
        <w:rPr>
          <w:rFonts w:asciiTheme="minorBidi" w:eastAsia="Times New Roman" w:hAnsiTheme="minorBidi"/>
          <w:kern w:val="0"/>
          <w:sz w:val="22"/>
          <w:szCs w:val="22"/>
          <w:lang w:eastAsia="en-GB"/>
          <w14:ligatures w14:val="none"/>
        </w:rPr>
        <w:t xml:space="preserve">better assist the health and wellbeing of nursery practitioners, more study </w:t>
      </w:r>
      <w:r w:rsidR="00BC4D34" w:rsidRPr="00C94E5D">
        <w:rPr>
          <w:rFonts w:asciiTheme="minorBidi" w:hAnsiTheme="minorBidi"/>
          <w:sz w:val="22"/>
          <w:szCs w:val="22"/>
        </w:rPr>
        <w:t>could help identify the specific challenges nursery practitioners face and explore ways to better support their wellbeing at work.</w:t>
      </w:r>
    </w:p>
    <w:p w14:paraId="4BCEF189" w14:textId="77777777" w:rsidR="00BC4D34" w:rsidRPr="00C94E5D" w:rsidRDefault="00BC4D34" w:rsidP="00C94E5D">
      <w:pPr>
        <w:spacing w:line="360" w:lineRule="auto"/>
        <w:rPr>
          <w:rFonts w:asciiTheme="minorBidi" w:hAnsiTheme="minorBidi"/>
          <w:sz w:val="22"/>
          <w:szCs w:val="22"/>
        </w:rPr>
      </w:pPr>
    </w:p>
    <w:p w14:paraId="340EA87A" w14:textId="0F4DCD7C" w:rsidR="0077287A" w:rsidRPr="00C94E5D" w:rsidRDefault="0077287A" w:rsidP="00C94E5D">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sidRPr="00C94E5D">
        <w:rPr>
          <w:rFonts w:asciiTheme="minorBidi" w:eastAsia="Times New Roman" w:hAnsiTheme="minorBidi"/>
          <w:b/>
          <w:bCs/>
          <w:color w:val="0E2841" w:themeColor="text2"/>
          <w:kern w:val="0"/>
          <w:sz w:val="22"/>
          <w:szCs w:val="22"/>
          <w:lang w:eastAsia="en-GB"/>
          <w14:ligatures w14:val="none"/>
        </w:rPr>
        <w:t>1.4 Research Methodologies</w:t>
      </w:r>
    </w:p>
    <w:p w14:paraId="261D42D5" w14:textId="44245D35"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Research methodology refers to the different ways researchers use to investigate a topic and collect information. Choosing the right methodology is important because it helps make sure that the research results are accurate and useful for the issue being asked.</w:t>
      </w:r>
    </w:p>
    <w:p w14:paraId="62978C8B" w14:textId="352F9AE2"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 xml:space="preserve">There are three main types of research methodologies: quantitative, qualitative, and mixed methods. Quantitative research focuses on numerical data and statistical analysis. For example, researchers may use surveys to collect responses from </w:t>
      </w:r>
      <w:proofErr w:type="gramStart"/>
      <w:r w:rsidRPr="00C94E5D">
        <w:rPr>
          <w:rStyle w:val="s1"/>
          <w:rFonts w:asciiTheme="minorBidi" w:eastAsiaTheme="majorEastAsia" w:hAnsiTheme="minorBidi"/>
          <w:kern w:val="0"/>
          <w:sz w:val="22"/>
          <w:szCs w:val="22"/>
          <w:lang w:eastAsia="en-GB"/>
          <w14:ligatures w14:val="none"/>
        </w:rPr>
        <w:t>a large number of</w:t>
      </w:r>
      <w:proofErr w:type="gramEnd"/>
      <w:r w:rsidRPr="00C94E5D">
        <w:rPr>
          <w:rStyle w:val="s1"/>
          <w:rFonts w:asciiTheme="minorBidi" w:eastAsiaTheme="majorEastAsia" w:hAnsiTheme="minorBidi"/>
          <w:kern w:val="0"/>
          <w:sz w:val="22"/>
          <w:szCs w:val="22"/>
          <w:lang w:eastAsia="en-GB"/>
          <w14:ligatures w14:val="none"/>
        </w:rPr>
        <w:t xml:space="preserve"> participants and analyse the results using numbers and percentages. This approach is useful for identifying patterns or trends within a population.</w:t>
      </w:r>
    </w:p>
    <w:p w14:paraId="36B66914" w14:textId="55487DC1"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Qualitative</w:t>
      </w:r>
      <w:r w:rsidRPr="00C94E5D">
        <w:rPr>
          <w:rStyle w:val="s1"/>
          <w:rFonts w:asciiTheme="minorBidi" w:eastAsiaTheme="majorEastAsia" w:hAnsiTheme="minorBidi"/>
          <w:kern w:val="0"/>
          <w:sz w:val="22"/>
          <w:szCs w:val="22"/>
          <w:lang w:eastAsia="en-GB"/>
          <w14:ligatures w14:val="none"/>
        </w:rPr>
        <w:t xml:space="preserve"> research focuses on understanding people's thoughts, feelings, and experiences. Interviews, focus groups, and observations are common ways for researchers to get detailed information about how different people feel about a specific </w:t>
      </w:r>
      <w:r w:rsidRPr="00C94E5D">
        <w:rPr>
          <w:rStyle w:val="s1"/>
          <w:rFonts w:asciiTheme="minorBidi" w:eastAsiaTheme="majorEastAsia" w:hAnsiTheme="minorBidi"/>
          <w:kern w:val="0"/>
          <w:sz w:val="22"/>
          <w:szCs w:val="22"/>
          <w:lang w:eastAsia="en-GB"/>
          <w14:ligatures w14:val="none"/>
        </w:rPr>
        <w:t xml:space="preserve">issue. </w:t>
      </w:r>
      <w:r w:rsidRPr="00C94E5D">
        <w:rPr>
          <w:rStyle w:val="s1"/>
          <w:rFonts w:asciiTheme="minorBidi" w:eastAsiaTheme="majorEastAsia" w:hAnsiTheme="minorBidi"/>
          <w:kern w:val="0"/>
          <w:sz w:val="22"/>
          <w:szCs w:val="22"/>
          <w:lang w:eastAsia="en-GB"/>
          <w14:ligatures w14:val="none"/>
        </w:rPr>
        <w:t xml:space="preserve">This kind of study can help people understand their own experiences more </w:t>
      </w:r>
      <w:r w:rsidRPr="00C94E5D">
        <w:rPr>
          <w:rStyle w:val="s1"/>
          <w:rFonts w:asciiTheme="minorBidi" w:eastAsiaTheme="majorEastAsia" w:hAnsiTheme="minorBidi"/>
          <w:kern w:val="0"/>
          <w:sz w:val="22"/>
          <w:szCs w:val="22"/>
          <w:lang w:eastAsia="en-GB"/>
          <w14:ligatures w14:val="none"/>
        </w:rPr>
        <w:t>thoroughly.</w:t>
      </w:r>
    </w:p>
    <w:p w14:paraId="3EE084D9" w14:textId="50224038"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Mixed-method</w:t>
      </w:r>
      <w:r w:rsidRPr="00C94E5D">
        <w:rPr>
          <w:rStyle w:val="s1"/>
          <w:rFonts w:asciiTheme="minorBidi" w:eastAsiaTheme="majorEastAsia" w:hAnsiTheme="minorBidi"/>
          <w:kern w:val="0"/>
          <w:sz w:val="22"/>
          <w:szCs w:val="22"/>
          <w:lang w:eastAsia="en-GB"/>
          <w14:ligatures w14:val="none"/>
        </w:rPr>
        <w:t xml:space="preserve"> research combines both quantitative and qualitative approaches. For example, a researcher might first conduct a poll to collect generalised information and then carry out interviews with participants to learn more about their experiences.</w:t>
      </w:r>
    </w:p>
    <w:p w14:paraId="46554748" w14:textId="64C0B665"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 xml:space="preserve">A qualitative method is probably the best way to go with this topic. To find out how menstrual health issues affect early years practitioners' well-being and work performance, I would use interviews or questionnaires as primary research to </w:t>
      </w:r>
      <w:r w:rsidRPr="00C94E5D">
        <w:rPr>
          <w:rStyle w:val="s1"/>
          <w:rFonts w:asciiTheme="minorBidi" w:eastAsiaTheme="majorEastAsia" w:hAnsiTheme="minorBidi"/>
          <w:kern w:val="0"/>
          <w:sz w:val="22"/>
          <w:szCs w:val="22"/>
          <w:lang w:eastAsia="en-GB"/>
          <w14:ligatures w14:val="none"/>
        </w:rPr>
        <w:t>investigate</w:t>
      </w:r>
      <w:r w:rsidRPr="00C94E5D">
        <w:rPr>
          <w:rStyle w:val="s1"/>
          <w:rFonts w:asciiTheme="minorBidi" w:eastAsiaTheme="majorEastAsia" w:hAnsiTheme="minorBidi"/>
          <w:kern w:val="0"/>
          <w:sz w:val="22"/>
          <w:szCs w:val="22"/>
          <w:lang w:eastAsia="en-GB"/>
          <w14:ligatures w14:val="none"/>
        </w:rPr>
        <w:t xml:space="preserve"> this </w:t>
      </w:r>
      <w:r w:rsidRPr="00C94E5D">
        <w:rPr>
          <w:rStyle w:val="s1"/>
          <w:rFonts w:asciiTheme="minorBidi" w:eastAsiaTheme="majorEastAsia" w:hAnsiTheme="minorBidi"/>
          <w:kern w:val="0"/>
          <w:sz w:val="22"/>
          <w:szCs w:val="22"/>
          <w:lang w:eastAsia="en-GB"/>
          <w14:ligatures w14:val="none"/>
        </w:rPr>
        <w:t xml:space="preserve">issue. </w:t>
      </w:r>
      <w:r w:rsidRPr="00C94E5D">
        <w:rPr>
          <w:rStyle w:val="s1"/>
          <w:rFonts w:asciiTheme="minorBidi" w:eastAsiaTheme="majorEastAsia" w:hAnsiTheme="minorBidi"/>
          <w:kern w:val="0"/>
          <w:sz w:val="22"/>
          <w:szCs w:val="22"/>
          <w:lang w:eastAsia="en-GB"/>
          <w14:ligatures w14:val="none"/>
        </w:rPr>
        <w:t>Participants would be able to talk about their experiences in their own words, which would help researchers learn more about the problems they might face in childcare settings.</w:t>
      </w:r>
    </w:p>
    <w:p w14:paraId="0FA03F50" w14:textId="77777777" w:rsidR="003C2756" w:rsidRPr="00C94E5D" w:rsidRDefault="003C2756" w:rsidP="00C94E5D">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p>
    <w:p w14:paraId="3A49FE2C" w14:textId="00E295FA" w:rsidR="0077287A" w:rsidRPr="00C94E5D" w:rsidRDefault="0077287A" w:rsidP="00C94E5D">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sidRPr="00C94E5D">
        <w:rPr>
          <w:rFonts w:asciiTheme="minorBidi" w:eastAsia="Times New Roman" w:hAnsiTheme="minorBidi"/>
          <w:b/>
          <w:bCs/>
          <w:color w:val="0E2841" w:themeColor="text2"/>
          <w:kern w:val="0"/>
          <w:sz w:val="22"/>
          <w:szCs w:val="22"/>
          <w:lang w:eastAsia="en-GB"/>
          <w14:ligatures w14:val="none"/>
        </w:rPr>
        <w:lastRenderedPageBreak/>
        <w:t>1.5 Data Collection</w:t>
      </w:r>
    </w:p>
    <w:p w14:paraId="06FB0E99" w14:textId="2BB6F6C5"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Data can be collected through primary or secondary methods. Primary data refers to information collected directly by the researcher for a specific study. Examples include interviews, surveys, questionnaires, and observations. Secondary data refers to information that has already been collected and published by other researchers or organisations, such as academic articles, government reports, and health statistics.</w:t>
      </w:r>
    </w:p>
    <w:p w14:paraId="0937B6A8" w14:textId="2525C01B" w:rsidR="0077287A" w:rsidRPr="00C94E5D" w:rsidRDefault="0077287A" w:rsidP="00C94E5D">
      <w:pPr>
        <w:pStyle w:val="p1"/>
        <w:spacing w:line="360" w:lineRule="auto"/>
        <w:rPr>
          <w:rFonts w:asciiTheme="minorBidi" w:hAnsiTheme="minorBidi" w:cstheme="minorBidi"/>
          <w:sz w:val="22"/>
          <w:szCs w:val="22"/>
        </w:rPr>
      </w:pPr>
      <w:r w:rsidRPr="00C94E5D">
        <w:rPr>
          <w:rStyle w:val="s1"/>
          <w:rFonts w:asciiTheme="minorBidi" w:eastAsiaTheme="majorEastAsia" w:hAnsiTheme="minorBidi" w:cstheme="minorBidi"/>
          <w:sz w:val="22"/>
          <w:szCs w:val="22"/>
        </w:rPr>
        <w:t>For this research topic, both primary and secondary data could be useful. Secondary data can provide background information about menstrual health conditions and their psychological or cognitive effects. Academic articles and reports from professional organisations can help researchers understand existing knowledge about the topic.</w:t>
      </w:r>
    </w:p>
    <w:p w14:paraId="7AB916E1" w14:textId="655A1D1A"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 xml:space="preserve">However, if I were to perform </w:t>
      </w:r>
      <w:r w:rsidRPr="00C94E5D">
        <w:rPr>
          <w:rStyle w:val="s1"/>
          <w:rFonts w:asciiTheme="minorBidi" w:eastAsiaTheme="majorEastAsia" w:hAnsiTheme="minorBidi"/>
          <w:kern w:val="0"/>
          <w:sz w:val="22"/>
          <w:szCs w:val="22"/>
          <w:lang w:eastAsia="en-GB"/>
          <w14:ligatures w14:val="none"/>
        </w:rPr>
        <w:t>research</w:t>
      </w:r>
      <w:r w:rsidRPr="00C94E5D">
        <w:rPr>
          <w:rStyle w:val="s1"/>
          <w:rFonts w:asciiTheme="minorBidi" w:eastAsiaTheme="majorEastAsia" w:hAnsiTheme="minorBidi"/>
          <w:kern w:val="0"/>
          <w:sz w:val="22"/>
          <w:szCs w:val="22"/>
          <w:lang w:eastAsia="en-GB"/>
          <w14:ligatures w14:val="none"/>
        </w:rPr>
        <w:t xml:space="preserve"> on this topic, I would most likely use primary data collection. For example, I could send surveys or questionnaires to early years practitioners working in nursery settings. People who fill out the form might be asked if they're experiencing symptoms of menopause, PMS, or endometriosis and if these symptoms affect their ability to work, concentrate, or overall health.</w:t>
      </w:r>
    </w:p>
    <w:p w14:paraId="1DD47B38" w14:textId="4D1B5A1E" w:rsidR="00484FFE" w:rsidRPr="00C94E5D" w:rsidRDefault="00484FFE" w:rsidP="00C94E5D">
      <w:pPr>
        <w:spacing w:before="100" w:beforeAutospacing="1" w:after="100" w:afterAutospacing="1" w:line="360" w:lineRule="auto"/>
        <w:rPr>
          <w:rStyle w:val="s1"/>
          <w:rFonts w:asciiTheme="minorBidi" w:eastAsiaTheme="majorEastAsia" w:hAnsiTheme="minorBidi"/>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 xml:space="preserve">The main advantage of collecting primary data is that it provides first-hand information directly related to the research question. It allows </w:t>
      </w:r>
      <w:r w:rsidRPr="00C94E5D">
        <w:rPr>
          <w:rStyle w:val="s1"/>
          <w:rFonts w:asciiTheme="minorBidi" w:eastAsiaTheme="majorEastAsia" w:hAnsiTheme="minorBidi"/>
          <w:kern w:val="0"/>
          <w:sz w:val="22"/>
          <w:szCs w:val="22"/>
          <w:lang w:eastAsia="en-GB"/>
          <w14:ligatures w14:val="none"/>
        </w:rPr>
        <w:t>researchers to</w:t>
      </w:r>
      <w:r w:rsidRPr="00C94E5D">
        <w:rPr>
          <w:rStyle w:val="s1"/>
          <w:rFonts w:asciiTheme="minorBidi" w:eastAsiaTheme="majorEastAsia" w:hAnsiTheme="minorBidi"/>
          <w:kern w:val="0"/>
          <w:sz w:val="22"/>
          <w:szCs w:val="22"/>
          <w:lang w:eastAsia="en-GB"/>
          <w14:ligatures w14:val="none"/>
        </w:rPr>
        <w:t xml:space="preserve"> gather specific information from people who work in the field being studied. </w:t>
      </w:r>
      <w:r w:rsidRPr="00C94E5D">
        <w:rPr>
          <w:rStyle w:val="s1"/>
          <w:rFonts w:asciiTheme="minorBidi" w:eastAsiaTheme="majorEastAsia" w:hAnsiTheme="minorBidi"/>
          <w:kern w:val="0"/>
          <w:sz w:val="22"/>
          <w:szCs w:val="22"/>
          <w:lang w:eastAsia="en-GB"/>
          <w14:ligatures w14:val="none"/>
        </w:rPr>
        <w:t>Nevertheless,</w:t>
      </w:r>
      <w:r w:rsidRPr="00C94E5D">
        <w:rPr>
          <w:rStyle w:val="s1"/>
          <w:rFonts w:asciiTheme="minorBidi" w:eastAsiaTheme="majorEastAsia" w:hAnsiTheme="minorBidi"/>
          <w:kern w:val="0"/>
          <w:sz w:val="22"/>
          <w:szCs w:val="22"/>
          <w:lang w:eastAsia="en-GB"/>
          <w14:ligatures w14:val="none"/>
        </w:rPr>
        <w:t xml:space="preserve"> collecting primary data may also </w:t>
      </w:r>
      <w:r w:rsidRPr="00C94E5D">
        <w:rPr>
          <w:rStyle w:val="s1"/>
          <w:rFonts w:asciiTheme="minorBidi" w:eastAsiaTheme="majorEastAsia" w:hAnsiTheme="minorBidi"/>
          <w:kern w:val="0"/>
          <w:sz w:val="22"/>
          <w:szCs w:val="22"/>
          <w:lang w:eastAsia="en-GB"/>
          <w14:ligatures w14:val="none"/>
        </w:rPr>
        <w:t>have</w:t>
      </w:r>
      <w:r w:rsidRPr="00C94E5D">
        <w:rPr>
          <w:rStyle w:val="s1"/>
          <w:rFonts w:asciiTheme="minorBidi" w:eastAsiaTheme="majorEastAsia" w:hAnsiTheme="minorBidi"/>
          <w:kern w:val="0"/>
          <w:sz w:val="22"/>
          <w:szCs w:val="22"/>
          <w:lang w:eastAsia="en-GB"/>
          <w14:ligatures w14:val="none"/>
        </w:rPr>
        <w:t xml:space="preserve"> its own challenges. For example, participants might not want to or feel uncomfortable discussing their own health problems, and researchers must ensure that confidentiality and ethical considerations are respected.</w:t>
      </w:r>
    </w:p>
    <w:p w14:paraId="1EF4B039" w14:textId="7715E3E3" w:rsidR="0077287A" w:rsidRPr="00C94E5D" w:rsidRDefault="0077287A" w:rsidP="00C94E5D">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sidRPr="00C94E5D">
        <w:rPr>
          <w:rFonts w:asciiTheme="minorBidi" w:eastAsia="Times New Roman" w:hAnsiTheme="minorBidi"/>
          <w:b/>
          <w:bCs/>
          <w:color w:val="0E2841" w:themeColor="text2"/>
          <w:kern w:val="0"/>
          <w:sz w:val="22"/>
          <w:szCs w:val="22"/>
          <w:lang w:eastAsia="en-GB"/>
          <w14:ligatures w14:val="none"/>
        </w:rPr>
        <w:t>1.6 Conclusion</w:t>
      </w:r>
    </w:p>
    <w:bookmarkEnd w:id="0"/>
    <w:p w14:paraId="7F5675ED" w14:textId="2DAD5794" w:rsidR="0077287A" w:rsidRPr="00C94E5D" w:rsidRDefault="00484FFE" w:rsidP="00C94E5D">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sidRPr="00C94E5D">
        <w:rPr>
          <w:rStyle w:val="s1"/>
          <w:rFonts w:asciiTheme="minorBidi" w:eastAsiaTheme="majorEastAsia" w:hAnsiTheme="minorBidi"/>
          <w:kern w:val="0"/>
          <w:sz w:val="22"/>
          <w:szCs w:val="22"/>
          <w:lang w:eastAsia="en-GB"/>
          <w14:ligatures w14:val="none"/>
        </w:rPr>
        <w:t xml:space="preserve">This report explored how menstrual health problems affect women working in early years childcare settings in the UK. It explained how symptoms like fatigue, mood swings, and trouble focusing can affect an employee's well-being and productivity at work. Hormonal changes can </w:t>
      </w:r>
      <w:r w:rsidR="00066477" w:rsidRPr="00C94E5D">
        <w:rPr>
          <w:rStyle w:val="s1"/>
          <w:rFonts w:asciiTheme="minorBidi" w:eastAsiaTheme="majorEastAsia" w:hAnsiTheme="minorBidi"/>
          <w:kern w:val="0"/>
          <w:sz w:val="22"/>
          <w:szCs w:val="22"/>
          <w:lang w:eastAsia="en-GB"/>
          <w14:ligatures w14:val="none"/>
        </w:rPr>
        <w:t xml:space="preserve">affect </w:t>
      </w:r>
      <w:r w:rsidRPr="00C94E5D">
        <w:rPr>
          <w:rStyle w:val="s1"/>
          <w:rFonts w:asciiTheme="minorBidi" w:eastAsiaTheme="majorEastAsia" w:hAnsiTheme="minorBidi"/>
          <w:kern w:val="0"/>
          <w:sz w:val="22"/>
          <w:szCs w:val="22"/>
          <w:lang w:eastAsia="en-GB"/>
          <w14:ligatures w14:val="none"/>
        </w:rPr>
        <w:t xml:space="preserve">mental health and cognitive functioning, as shown by academic and professional sources. However, there isn't a lot of research that directly looks at childcare settings. The report included information about how to </w:t>
      </w:r>
      <w:r w:rsidR="00066477" w:rsidRPr="00C94E5D">
        <w:rPr>
          <w:rStyle w:val="s1"/>
          <w:rFonts w:asciiTheme="minorBidi" w:eastAsiaTheme="majorEastAsia" w:hAnsiTheme="minorBidi"/>
          <w:kern w:val="0"/>
          <w:sz w:val="22"/>
          <w:szCs w:val="22"/>
          <w:lang w:eastAsia="en-GB"/>
          <w14:ligatures w14:val="none"/>
        </w:rPr>
        <w:t>investigate</w:t>
      </w:r>
      <w:r w:rsidRPr="00C94E5D">
        <w:rPr>
          <w:rStyle w:val="s1"/>
          <w:rFonts w:asciiTheme="minorBidi" w:eastAsiaTheme="majorEastAsia" w:hAnsiTheme="minorBidi"/>
          <w:kern w:val="0"/>
          <w:sz w:val="22"/>
          <w:szCs w:val="22"/>
          <w:lang w:eastAsia="en-GB"/>
          <w14:ligatures w14:val="none"/>
        </w:rPr>
        <w:t xml:space="preserve"> this issue in greater depth using qualitative research and primary data </w:t>
      </w:r>
      <w:r w:rsidRPr="00C94E5D">
        <w:rPr>
          <w:rStyle w:val="s1"/>
          <w:rFonts w:asciiTheme="minorBidi" w:eastAsiaTheme="majorEastAsia" w:hAnsiTheme="minorBidi"/>
          <w:kern w:val="0"/>
          <w:sz w:val="22"/>
          <w:szCs w:val="22"/>
          <w:lang w:eastAsia="en-GB"/>
          <w14:ligatures w14:val="none"/>
        </w:rPr>
        <w:t xml:space="preserve">collection. </w:t>
      </w:r>
      <w:r w:rsidRPr="00C94E5D">
        <w:rPr>
          <w:rStyle w:val="s1"/>
          <w:rFonts w:asciiTheme="minorBidi" w:eastAsiaTheme="majorEastAsia" w:hAnsiTheme="minorBidi"/>
          <w:kern w:val="0"/>
          <w:sz w:val="22"/>
          <w:szCs w:val="22"/>
          <w:lang w:eastAsia="en-GB"/>
          <w14:ligatures w14:val="none"/>
        </w:rPr>
        <w:t>Increasing awareness of women’s health conditions in the workplace may help create more supportive environments for employees in the early years sector.</w:t>
      </w:r>
    </w:p>
    <w:p w14:paraId="632A745C" w14:textId="27F28C34" w:rsidR="0077287A" w:rsidRP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Pr>
          <w:rFonts w:asciiTheme="minorBidi" w:eastAsia="Times New Roman" w:hAnsiTheme="minorBidi"/>
          <w:b/>
          <w:bCs/>
          <w:color w:val="0E2841" w:themeColor="text2"/>
          <w:kern w:val="0"/>
          <w:sz w:val="22"/>
          <w:szCs w:val="22"/>
          <w:lang w:eastAsia="en-GB"/>
          <w14:ligatures w14:val="none"/>
        </w:rPr>
        <w:lastRenderedPageBreak/>
        <w:t>1.7 Reference list</w:t>
      </w:r>
    </w:p>
    <w:p w14:paraId="2750D019" w14:textId="77777777" w:rsidR="003C2756" w:rsidRPr="00066477" w:rsidRDefault="00D53273" w:rsidP="003C2756">
      <w:pPr>
        <w:pStyle w:val="p1"/>
        <w:spacing w:line="360" w:lineRule="auto"/>
        <w:ind w:left="360"/>
        <w:rPr>
          <w:rStyle w:val="s1"/>
          <w:rFonts w:asciiTheme="minorBidi" w:eastAsiaTheme="majorEastAsia" w:hAnsiTheme="minorBidi" w:cstheme="minorBidi"/>
          <w:sz w:val="22"/>
          <w:szCs w:val="22"/>
        </w:rPr>
      </w:pPr>
      <w:r w:rsidRPr="00066477">
        <w:rPr>
          <w:rFonts w:asciiTheme="minorBidi" w:hAnsiTheme="minorBidi" w:cstheme="minorBidi"/>
          <w:sz w:val="22"/>
          <w:szCs w:val="22"/>
        </w:rPr>
        <w:t xml:space="preserve">ACAS </w:t>
      </w:r>
      <w:r w:rsidR="0077287A" w:rsidRPr="00066477">
        <w:rPr>
          <w:rStyle w:val="s1"/>
          <w:rFonts w:asciiTheme="minorBidi" w:eastAsiaTheme="majorEastAsia" w:hAnsiTheme="minorBidi" w:cstheme="minorBidi"/>
          <w:sz w:val="22"/>
          <w:szCs w:val="22"/>
        </w:rPr>
        <w:t xml:space="preserve">(2023) </w:t>
      </w:r>
      <w:r w:rsidR="0077287A" w:rsidRPr="00066477">
        <w:rPr>
          <w:rStyle w:val="s2"/>
          <w:rFonts w:asciiTheme="minorBidi" w:eastAsiaTheme="majorEastAsia" w:hAnsiTheme="minorBidi" w:cstheme="minorBidi"/>
          <w:i/>
          <w:iCs/>
          <w:sz w:val="22"/>
          <w:szCs w:val="22"/>
        </w:rPr>
        <w:t>Menopause at work</w:t>
      </w:r>
      <w:r w:rsidR="0077287A" w:rsidRPr="00066477">
        <w:rPr>
          <w:rStyle w:val="s1"/>
          <w:rFonts w:asciiTheme="minorBidi" w:eastAsiaTheme="majorEastAsia" w:hAnsiTheme="minorBidi" w:cstheme="minorBidi"/>
          <w:sz w:val="22"/>
          <w:szCs w:val="22"/>
        </w:rPr>
        <w:t xml:space="preserve">. Available at: </w:t>
      </w:r>
      <w:hyperlink r:id="rId8" w:history="1">
        <w:r w:rsidR="0077287A" w:rsidRPr="00066477">
          <w:rPr>
            <w:rStyle w:val="Hyperlink"/>
            <w:rFonts w:asciiTheme="minorBidi" w:eastAsiaTheme="majorEastAsia" w:hAnsiTheme="minorBidi" w:cstheme="minorBidi"/>
            <w:sz w:val="22"/>
            <w:szCs w:val="22"/>
          </w:rPr>
          <w:t>https://www.acas.org.uk</w:t>
        </w:r>
      </w:hyperlink>
      <w:r w:rsidR="0077287A" w:rsidRPr="00066477">
        <w:rPr>
          <w:rStyle w:val="s1"/>
          <w:rFonts w:asciiTheme="minorBidi" w:eastAsiaTheme="majorEastAsia" w:hAnsiTheme="minorBidi" w:cstheme="minorBidi"/>
          <w:sz w:val="22"/>
          <w:szCs w:val="22"/>
        </w:rPr>
        <w:t xml:space="preserve"> (Accessed: 13 March 2026).</w:t>
      </w:r>
      <w:r w:rsidR="003C2756" w:rsidRPr="00066477">
        <w:rPr>
          <w:rStyle w:val="s1"/>
          <w:rFonts w:asciiTheme="minorBidi" w:eastAsiaTheme="majorEastAsia" w:hAnsiTheme="minorBidi" w:cstheme="minorBidi"/>
          <w:sz w:val="22"/>
          <w:szCs w:val="22"/>
        </w:rPr>
        <w:t xml:space="preserve"> </w:t>
      </w:r>
    </w:p>
    <w:p w14:paraId="1A6ABC5C" w14:textId="32A48D38" w:rsidR="003C2756" w:rsidRPr="00066477" w:rsidRDefault="003C2756" w:rsidP="003C2756">
      <w:pPr>
        <w:pStyle w:val="p1"/>
        <w:spacing w:line="360" w:lineRule="auto"/>
        <w:ind w:left="360"/>
        <w:rPr>
          <w:rStyle w:val="s1"/>
          <w:rFonts w:asciiTheme="minorBidi" w:eastAsiaTheme="majorEastAsia" w:hAnsiTheme="minorBidi" w:cstheme="minorBidi"/>
          <w:sz w:val="22"/>
          <w:szCs w:val="22"/>
        </w:rPr>
      </w:pPr>
      <w:r w:rsidRPr="00066477">
        <w:rPr>
          <w:rFonts w:asciiTheme="minorBidi" w:hAnsiTheme="minorBidi" w:cstheme="minorBidi"/>
          <w:color w:val="0D0D0D" w:themeColor="text1" w:themeTint="F2"/>
          <w:sz w:val="22"/>
          <w:szCs w:val="22"/>
        </w:rPr>
        <w:t>House of Commons Library (2025)</w:t>
      </w:r>
      <w:r w:rsidRPr="00066477">
        <w:rPr>
          <w:rStyle w:val="apple-converted-space"/>
          <w:rFonts w:asciiTheme="minorBidi" w:eastAsiaTheme="majorEastAsia" w:hAnsiTheme="minorBidi" w:cstheme="minorBidi"/>
          <w:color w:val="0D0D0D" w:themeColor="text1" w:themeTint="F2"/>
          <w:sz w:val="22"/>
          <w:szCs w:val="22"/>
        </w:rPr>
        <w:t> </w:t>
      </w:r>
      <w:r w:rsidRPr="00066477">
        <w:rPr>
          <w:rStyle w:val="Emphasis"/>
          <w:rFonts w:asciiTheme="minorBidi" w:eastAsiaTheme="majorEastAsia" w:hAnsiTheme="minorBidi" w:cstheme="minorBidi"/>
          <w:color w:val="0D0D0D" w:themeColor="text1" w:themeTint="F2"/>
          <w:sz w:val="22"/>
          <w:szCs w:val="22"/>
        </w:rPr>
        <w:t>Childcare workforce in England</w:t>
      </w:r>
      <w:r w:rsidRPr="00066477">
        <w:rPr>
          <w:rFonts w:asciiTheme="minorBidi" w:hAnsiTheme="minorBidi" w:cstheme="minorBidi"/>
          <w:color w:val="0D0D0D" w:themeColor="text1" w:themeTint="F2"/>
          <w:sz w:val="22"/>
          <w:szCs w:val="22"/>
        </w:rPr>
        <w:t>. Available at:</w:t>
      </w:r>
      <w:r w:rsidRPr="00066477">
        <w:rPr>
          <w:rStyle w:val="apple-converted-space"/>
          <w:rFonts w:asciiTheme="minorBidi" w:eastAsiaTheme="majorEastAsia" w:hAnsiTheme="minorBidi" w:cstheme="minorBidi"/>
          <w:color w:val="0D0D0D" w:themeColor="text1" w:themeTint="F2"/>
          <w:sz w:val="22"/>
          <w:szCs w:val="22"/>
        </w:rPr>
        <w:t> </w:t>
      </w:r>
      <w:hyperlink r:id="rId9" w:tgtFrame="_new" w:history="1">
        <w:r w:rsidRPr="00066477">
          <w:rPr>
            <w:rStyle w:val="Hyperlink"/>
            <w:rFonts w:asciiTheme="minorBidi" w:eastAsiaTheme="majorEastAsia" w:hAnsiTheme="minorBidi" w:cstheme="minorBidi"/>
            <w:color w:val="0D0D0D" w:themeColor="text1" w:themeTint="F2"/>
            <w:sz w:val="22"/>
            <w:szCs w:val="22"/>
          </w:rPr>
          <w:t>https://commonslibrary.parliament.uk/research-briefings/cbp-9948/</w:t>
        </w:r>
      </w:hyperlink>
      <w:r w:rsidRPr="00066477">
        <w:rPr>
          <w:rStyle w:val="apple-converted-space"/>
          <w:rFonts w:asciiTheme="minorBidi" w:eastAsiaTheme="majorEastAsia" w:hAnsiTheme="minorBidi" w:cstheme="minorBidi"/>
          <w:color w:val="0D0D0D" w:themeColor="text1" w:themeTint="F2"/>
          <w:sz w:val="22"/>
          <w:szCs w:val="22"/>
        </w:rPr>
        <w:t> </w:t>
      </w:r>
      <w:r w:rsidRPr="00066477">
        <w:rPr>
          <w:rFonts w:asciiTheme="minorBidi" w:hAnsiTheme="minorBidi" w:cstheme="minorBidi"/>
          <w:color w:val="0D0D0D" w:themeColor="text1" w:themeTint="F2"/>
          <w:sz w:val="22"/>
          <w:szCs w:val="22"/>
        </w:rPr>
        <w:t>(Accessed: 22 March 2026).</w:t>
      </w:r>
    </w:p>
    <w:p w14:paraId="0075700C" w14:textId="37CA00DA" w:rsidR="0077287A" w:rsidRPr="00066477" w:rsidRDefault="0077287A" w:rsidP="003C2756">
      <w:pPr>
        <w:pStyle w:val="p1"/>
        <w:spacing w:line="360" w:lineRule="auto"/>
        <w:ind w:left="360"/>
        <w:rPr>
          <w:rFonts w:asciiTheme="minorBidi" w:hAnsiTheme="minorBidi" w:cstheme="minorBidi"/>
          <w:sz w:val="22"/>
          <w:szCs w:val="22"/>
        </w:rPr>
      </w:pPr>
      <w:r w:rsidRPr="00066477">
        <w:rPr>
          <w:rStyle w:val="s1"/>
          <w:rFonts w:asciiTheme="minorBidi" w:eastAsiaTheme="majorEastAsia" w:hAnsiTheme="minorBidi" w:cstheme="minorBidi"/>
          <w:sz w:val="22"/>
          <w:szCs w:val="22"/>
        </w:rPr>
        <w:t xml:space="preserve">Jang, D. and Elfenbein, H. (2019) </w:t>
      </w:r>
      <w:r w:rsidRPr="00066477">
        <w:rPr>
          <w:rStyle w:val="s2"/>
          <w:rFonts w:asciiTheme="minorBidi" w:eastAsiaTheme="majorEastAsia" w:hAnsiTheme="minorBidi" w:cstheme="minorBidi"/>
          <w:sz w:val="22"/>
          <w:szCs w:val="22"/>
        </w:rPr>
        <w:t>Menstrual cycle effects on mental health outcomes: A meta-analysis</w:t>
      </w:r>
      <w:r w:rsidRPr="00066477">
        <w:rPr>
          <w:rStyle w:val="s1"/>
          <w:rFonts w:asciiTheme="minorBidi" w:eastAsiaTheme="majorEastAsia" w:hAnsiTheme="minorBidi" w:cstheme="minorBidi"/>
          <w:sz w:val="22"/>
          <w:szCs w:val="22"/>
        </w:rPr>
        <w:t xml:space="preserve">. </w:t>
      </w:r>
      <w:r w:rsidRPr="00066477">
        <w:rPr>
          <w:rStyle w:val="s1"/>
          <w:rFonts w:asciiTheme="minorBidi" w:eastAsiaTheme="majorEastAsia" w:hAnsiTheme="minorBidi" w:cstheme="minorBidi"/>
          <w:i/>
          <w:iCs/>
          <w:sz w:val="22"/>
          <w:szCs w:val="22"/>
        </w:rPr>
        <w:t>Archives of Suicide Research,</w:t>
      </w:r>
      <w:r w:rsidRPr="00066477">
        <w:rPr>
          <w:rStyle w:val="s1"/>
          <w:rFonts w:asciiTheme="minorBidi" w:eastAsiaTheme="majorEastAsia" w:hAnsiTheme="minorBidi" w:cstheme="minorBidi"/>
          <w:sz w:val="22"/>
          <w:szCs w:val="22"/>
        </w:rPr>
        <w:t xml:space="preserve"> 23(2), pp.312–332.</w:t>
      </w:r>
      <w:r w:rsidR="00D53273" w:rsidRPr="00066477">
        <w:rPr>
          <w:rStyle w:val="s1"/>
          <w:rFonts w:asciiTheme="minorBidi" w:eastAsiaTheme="majorEastAsia" w:hAnsiTheme="minorBidi" w:cstheme="minorBidi"/>
          <w:sz w:val="22"/>
          <w:szCs w:val="22"/>
        </w:rPr>
        <w:t xml:space="preserve"> Available at: </w:t>
      </w:r>
      <w:hyperlink r:id="rId10" w:history="1">
        <w:r w:rsidR="00D53273" w:rsidRPr="00066477">
          <w:rPr>
            <w:rStyle w:val="Hyperlink"/>
            <w:rFonts w:asciiTheme="minorBidi" w:eastAsiaTheme="majorEastAsia" w:hAnsiTheme="minorBidi" w:cstheme="minorBidi"/>
            <w:sz w:val="22"/>
            <w:szCs w:val="22"/>
          </w:rPr>
          <w:t>https://doi.org/10.1080/13811118.2018.1430638</w:t>
        </w:r>
      </w:hyperlink>
      <w:r w:rsidR="00D53273" w:rsidRPr="00066477">
        <w:rPr>
          <w:rStyle w:val="s1"/>
          <w:rFonts w:asciiTheme="minorBidi" w:eastAsiaTheme="majorEastAsia" w:hAnsiTheme="minorBidi" w:cstheme="minorBidi"/>
          <w:sz w:val="22"/>
          <w:szCs w:val="22"/>
        </w:rPr>
        <w:t xml:space="preserve"> (Accessed: 13 March 2026).</w:t>
      </w:r>
    </w:p>
    <w:p w14:paraId="34582F16" w14:textId="77777777" w:rsidR="0077287A" w:rsidRPr="00066477" w:rsidRDefault="0077287A" w:rsidP="003C2756">
      <w:pPr>
        <w:pStyle w:val="p1"/>
        <w:spacing w:line="360" w:lineRule="auto"/>
        <w:ind w:left="360"/>
        <w:rPr>
          <w:rStyle w:val="s1"/>
          <w:rFonts w:asciiTheme="minorBidi" w:hAnsiTheme="minorBidi" w:cstheme="minorBidi"/>
          <w:sz w:val="22"/>
          <w:szCs w:val="22"/>
        </w:rPr>
      </w:pPr>
      <w:bookmarkStart w:id="1" w:name="OLE_LINK8"/>
      <w:r w:rsidRPr="00066477">
        <w:rPr>
          <w:rStyle w:val="s1"/>
          <w:rFonts w:asciiTheme="minorBidi" w:eastAsiaTheme="majorEastAsia" w:hAnsiTheme="minorBidi" w:cstheme="minorBidi"/>
          <w:sz w:val="22"/>
          <w:szCs w:val="22"/>
        </w:rPr>
        <w:t xml:space="preserve">Sundström-Poromaa, I. and Gingnell, M. (2014) </w:t>
      </w:r>
      <w:r w:rsidRPr="00066477">
        <w:rPr>
          <w:rStyle w:val="s2"/>
          <w:rFonts w:asciiTheme="minorBidi" w:eastAsiaTheme="majorEastAsia" w:hAnsiTheme="minorBidi" w:cstheme="minorBidi"/>
          <w:sz w:val="22"/>
          <w:szCs w:val="22"/>
        </w:rPr>
        <w:t>Menstrual cycle influence on cognitive function and emotion processing – from a reproductive perspective</w:t>
      </w:r>
      <w:r w:rsidRPr="00066477">
        <w:rPr>
          <w:rStyle w:val="s1"/>
          <w:rFonts w:asciiTheme="minorBidi" w:eastAsiaTheme="majorEastAsia" w:hAnsiTheme="minorBidi" w:cstheme="minorBidi"/>
          <w:sz w:val="22"/>
          <w:szCs w:val="22"/>
        </w:rPr>
        <w:t xml:space="preserve">. </w:t>
      </w:r>
      <w:r w:rsidRPr="00066477">
        <w:rPr>
          <w:rStyle w:val="s1"/>
          <w:rFonts w:asciiTheme="minorBidi" w:eastAsiaTheme="majorEastAsia" w:hAnsiTheme="minorBidi" w:cstheme="minorBidi"/>
          <w:i/>
          <w:iCs/>
          <w:sz w:val="22"/>
          <w:szCs w:val="22"/>
        </w:rPr>
        <w:t>Frontiers in Neuroscience</w:t>
      </w:r>
      <w:r w:rsidRPr="00066477">
        <w:rPr>
          <w:rStyle w:val="s1"/>
          <w:rFonts w:asciiTheme="minorBidi" w:eastAsiaTheme="majorEastAsia" w:hAnsiTheme="minorBidi" w:cstheme="minorBidi"/>
          <w:sz w:val="22"/>
          <w:szCs w:val="22"/>
        </w:rPr>
        <w:t>, 8, pp.1–12.</w:t>
      </w:r>
    </w:p>
    <w:bookmarkEnd w:id="1"/>
    <w:p w14:paraId="150BAC0C" w14:textId="77777777" w:rsidR="003C2756" w:rsidRPr="003C2756" w:rsidRDefault="003C2756">
      <w:pPr>
        <w:spacing w:line="360" w:lineRule="auto"/>
        <w:rPr>
          <w:rFonts w:asciiTheme="minorBidi" w:hAnsiTheme="minorBidi"/>
          <w:color w:val="0D0D0D" w:themeColor="text1" w:themeTint="F2"/>
          <w:sz w:val="22"/>
          <w:szCs w:val="22"/>
        </w:rPr>
      </w:pPr>
    </w:p>
    <w:sectPr w:rsidR="003C2756" w:rsidRPr="003C275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8E0AA" w14:textId="77777777" w:rsidR="000E5A4D" w:rsidRDefault="000E5A4D" w:rsidP="001A7F28">
      <w:pPr>
        <w:spacing w:after="0" w:line="240" w:lineRule="auto"/>
      </w:pPr>
      <w:r>
        <w:separator/>
      </w:r>
    </w:p>
  </w:endnote>
  <w:endnote w:type="continuationSeparator" w:id="0">
    <w:p w14:paraId="39CC6A10" w14:textId="77777777" w:rsidR="000E5A4D" w:rsidRDefault="000E5A4D" w:rsidP="001A7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0254852"/>
      <w:docPartObj>
        <w:docPartGallery w:val="Page Numbers (Bottom of Page)"/>
        <w:docPartUnique/>
      </w:docPartObj>
    </w:sdtPr>
    <w:sdtContent>
      <w:p w14:paraId="2493DC2B" w14:textId="4F570E9F" w:rsidR="001A7F28" w:rsidRDefault="001A7F28"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A309369" w14:textId="77777777" w:rsidR="001A7F28" w:rsidRDefault="001A7F28" w:rsidP="001A7F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5576494"/>
      <w:docPartObj>
        <w:docPartGallery w:val="Page Numbers (Bottom of Page)"/>
        <w:docPartUnique/>
      </w:docPartObj>
    </w:sdtPr>
    <w:sdtContent>
      <w:p w14:paraId="7253D5D5" w14:textId="0C3643FF" w:rsidR="001A7F28" w:rsidRDefault="001A7F28"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3EB934" w14:textId="77777777" w:rsidR="001A7F28" w:rsidRDefault="001A7F28" w:rsidP="001A7F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FB207" w14:textId="77777777" w:rsidR="000E5A4D" w:rsidRDefault="000E5A4D" w:rsidP="001A7F28">
      <w:pPr>
        <w:spacing w:after="0" w:line="240" w:lineRule="auto"/>
      </w:pPr>
      <w:r>
        <w:separator/>
      </w:r>
    </w:p>
  </w:footnote>
  <w:footnote w:type="continuationSeparator" w:id="0">
    <w:p w14:paraId="21C7624A" w14:textId="77777777" w:rsidR="000E5A4D" w:rsidRDefault="000E5A4D" w:rsidP="001A7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458AF"/>
    <w:multiLevelType w:val="hybridMultilevel"/>
    <w:tmpl w:val="D79A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152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28"/>
    <w:rsid w:val="00066477"/>
    <w:rsid w:val="000E5A4D"/>
    <w:rsid w:val="000F4AE2"/>
    <w:rsid w:val="001A7F28"/>
    <w:rsid w:val="003C2756"/>
    <w:rsid w:val="00484FFE"/>
    <w:rsid w:val="005A0F57"/>
    <w:rsid w:val="005B45E3"/>
    <w:rsid w:val="0077287A"/>
    <w:rsid w:val="00A45546"/>
    <w:rsid w:val="00A8276B"/>
    <w:rsid w:val="00BC4D34"/>
    <w:rsid w:val="00C456B8"/>
    <w:rsid w:val="00C94E5D"/>
    <w:rsid w:val="00D53273"/>
    <w:rsid w:val="00DE4B87"/>
    <w:rsid w:val="00E1195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EB39308"/>
  <w15:chartTrackingRefBased/>
  <w15:docId w15:val="{AA0AF934-2736-4743-BCB8-DF806E77C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F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F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7F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F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F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F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F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F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F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F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F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7F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F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F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F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F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F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F28"/>
    <w:rPr>
      <w:rFonts w:eastAsiaTheme="majorEastAsia" w:cstheme="majorBidi"/>
      <w:color w:val="272727" w:themeColor="text1" w:themeTint="D8"/>
    </w:rPr>
  </w:style>
  <w:style w:type="paragraph" w:styleId="Title">
    <w:name w:val="Title"/>
    <w:basedOn w:val="Normal"/>
    <w:next w:val="Normal"/>
    <w:link w:val="TitleChar"/>
    <w:uiPriority w:val="10"/>
    <w:qFormat/>
    <w:rsid w:val="001A7F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F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F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F28"/>
    <w:pPr>
      <w:spacing w:before="160"/>
      <w:jc w:val="center"/>
    </w:pPr>
    <w:rPr>
      <w:i/>
      <w:iCs/>
      <w:color w:val="404040" w:themeColor="text1" w:themeTint="BF"/>
    </w:rPr>
  </w:style>
  <w:style w:type="character" w:customStyle="1" w:styleId="QuoteChar">
    <w:name w:val="Quote Char"/>
    <w:basedOn w:val="DefaultParagraphFont"/>
    <w:link w:val="Quote"/>
    <w:uiPriority w:val="29"/>
    <w:rsid w:val="001A7F28"/>
    <w:rPr>
      <w:i/>
      <w:iCs/>
      <w:color w:val="404040" w:themeColor="text1" w:themeTint="BF"/>
    </w:rPr>
  </w:style>
  <w:style w:type="paragraph" w:styleId="ListParagraph">
    <w:name w:val="List Paragraph"/>
    <w:basedOn w:val="Normal"/>
    <w:uiPriority w:val="34"/>
    <w:qFormat/>
    <w:rsid w:val="001A7F28"/>
    <w:pPr>
      <w:ind w:left="720"/>
      <w:contextualSpacing/>
    </w:pPr>
  </w:style>
  <w:style w:type="character" w:styleId="IntenseEmphasis">
    <w:name w:val="Intense Emphasis"/>
    <w:basedOn w:val="DefaultParagraphFont"/>
    <w:uiPriority w:val="21"/>
    <w:qFormat/>
    <w:rsid w:val="001A7F28"/>
    <w:rPr>
      <w:i/>
      <w:iCs/>
      <w:color w:val="0F4761" w:themeColor="accent1" w:themeShade="BF"/>
    </w:rPr>
  </w:style>
  <w:style w:type="paragraph" w:styleId="IntenseQuote">
    <w:name w:val="Intense Quote"/>
    <w:basedOn w:val="Normal"/>
    <w:next w:val="Normal"/>
    <w:link w:val="IntenseQuoteChar"/>
    <w:uiPriority w:val="30"/>
    <w:qFormat/>
    <w:rsid w:val="001A7F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F28"/>
    <w:rPr>
      <w:i/>
      <w:iCs/>
      <w:color w:val="0F4761" w:themeColor="accent1" w:themeShade="BF"/>
    </w:rPr>
  </w:style>
  <w:style w:type="character" w:styleId="IntenseReference">
    <w:name w:val="Intense Reference"/>
    <w:basedOn w:val="DefaultParagraphFont"/>
    <w:uiPriority w:val="32"/>
    <w:qFormat/>
    <w:rsid w:val="001A7F28"/>
    <w:rPr>
      <w:b/>
      <w:bCs/>
      <w:smallCaps/>
      <w:color w:val="0F4761" w:themeColor="accent1" w:themeShade="BF"/>
      <w:spacing w:val="5"/>
    </w:rPr>
  </w:style>
  <w:style w:type="paragraph" w:styleId="Footer">
    <w:name w:val="footer"/>
    <w:basedOn w:val="Normal"/>
    <w:link w:val="FooterChar"/>
    <w:uiPriority w:val="99"/>
    <w:unhideWhenUsed/>
    <w:rsid w:val="001A7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F28"/>
  </w:style>
  <w:style w:type="character" w:styleId="PageNumber">
    <w:name w:val="page number"/>
    <w:basedOn w:val="DefaultParagraphFont"/>
    <w:uiPriority w:val="99"/>
    <w:semiHidden/>
    <w:unhideWhenUsed/>
    <w:rsid w:val="001A7F28"/>
  </w:style>
  <w:style w:type="paragraph" w:styleId="TOCHeading">
    <w:name w:val="TOC Heading"/>
    <w:basedOn w:val="Heading1"/>
    <w:next w:val="Normal"/>
    <w:uiPriority w:val="39"/>
    <w:unhideWhenUsed/>
    <w:qFormat/>
    <w:rsid w:val="0077287A"/>
    <w:pPr>
      <w:spacing w:before="480" w:after="0" w:line="276" w:lineRule="auto"/>
      <w:outlineLvl w:val="9"/>
    </w:pPr>
    <w:rPr>
      <w:rFonts w:ascii="Segoe UI" w:hAnsi="Segoe UI"/>
      <w:bCs/>
      <w:kern w:val="0"/>
      <w:sz w:val="28"/>
      <w:szCs w:val="28"/>
      <w:lang w:val="en-US"/>
      <w14:ligatures w14:val="none"/>
    </w:rPr>
  </w:style>
  <w:style w:type="paragraph" w:styleId="TOC1">
    <w:name w:val="toc 1"/>
    <w:basedOn w:val="Normal"/>
    <w:next w:val="Normal"/>
    <w:autoRedefine/>
    <w:uiPriority w:val="39"/>
    <w:unhideWhenUsed/>
    <w:rsid w:val="0077287A"/>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3C2756"/>
    <w:pPr>
      <w:tabs>
        <w:tab w:val="right" w:leader="dot" w:pos="9016"/>
      </w:tabs>
      <w:spacing w:before="120" w:after="0" w:line="276" w:lineRule="auto"/>
    </w:pPr>
    <w:rPr>
      <w:rFonts w:ascii="Segoe UI" w:eastAsiaTheme="minorEastAsia" w:hAnsi="Segoe UI" w:cstheme="minorHAnsi"/>
      <w:b/>
      <w:bCs/>
      <w:sz w:val="20"/>
      <w:szCs w:val="22"/>
      <w:lang w:eastAsia="zh-CN"/>
    </w:rPr>
  </w:style>
  <w:style w:type="character" w:styleId="Hyperlink">
    <w:name w:val="Hyperlink"/>
    <w:basedOn w:val="DefaultParagraphFont"/>
    <w:uiPriority w:val="99"/>
    <w:unhideWhenUsed/>
    <w:rsid w:val="0077287A"/>
    <w:rPr>
      <w:color w:val="467886" w:themeColor="hyperlink"/>
      <w:u w:val="single"/>
    </w:rPr>
  </w:style>
  <w:style w:type="character" w:customStyle="1" w:styleId="apple-converted-space">
    <w:name w:val="apple-converted-space"/>
    <w:basedOn w:val="DefaultParagraphFont"/>
    <w:rsid w:val="0077287A"/>
  </w:style>
  <w:style w:type="character" w:styleId="Strong">
    <w:name w:val="Strong"/>
    <w:basedOn w:val="DefaultParagraphFont"/>
    <w:uiPriority w:val="22"/>
    <w:qFormat/>
    <w:rsid w:val="0077287A"/>
    <w:rPr>
      <w:b/>
      <w:bCs/>
    </w:rPr>
  </w:style>
  <w:style w:type="paragraph" w:customStyle="1" w:styleId="p1">
    <w:name w:val="p1"/>
    <w:basedOn w:val="Normal"/>
    <w:rsid w:val="007728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77287A"/>
  </w:style>
  <w:style w:type="paragraph" w:customStyle="1" w:styleId="p2">
    <w:name w:val="p2"/>
    <w:basedOn w:val="Normal"/>
    <w:rsid w:val="007728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77287A"/>
  </w:style>
  <w:style w:type="character" w:customStyle="1" w:styleId="s2">
    <w:name w:val="s2"/>
    <w:basedOn w:val="DefaultParagraphFont"/>
    <w:rsid w:val="0077287A"/>
  </w:style>
  <w:style w:type="character" w:styleId="FollowedHyperlink">
    <w:name w:val="FollowedHyperlink"/>
    <w:basedOn w:val="DefaultParagraphFont"/>
    <w:uiPriority w:val="99"/>
    <w:semiHidden/>
    <w:unhideWhenUsed/>
    <w:rsid w:val="0077287A"/>
    <w:rPr>
      <w:color w:val="96607D" w:themeColor="followedHyperlink"/>
      <w:u w:val="single"/>
    </w:rPr>
  </w:style>
  <w:style w:type="paragraph" w:styleId="TOC3">
    <w:name w:val="toc 3"/>
    <w:basedOn w:val="Normal"/>
    <w:next w:val="Normal"/>
    <w:autoRedefine/>
    <w:uiPriority w:val="39"/>
    <w:unhideWhenUsed/>
    <w:rsid w:val="0077287A"/>
    <w:pPr>
      <w:spacing w:after="100"/>
      <w:ind w:left="480"/>
    </w:pPr>
  </w:style>
  <w:style w:type="character" w:styleId="UnresolvedMention">
    <w:name w:val="Unresolved Mention"/>
    <w:basedOn w:val="DefaultParagraphFont"/>
    <w:uiPriority w:val="99"/>
    <w:semiHidden/>
    <w:unhideWhenUsed/>
    <w:rsid w:val="00D53273"/>
    <w:rPr>
      <w:color w:val="605E5C"/>
      <w:shd w:val="clear" w:color="auto" w:fill="E1DFDD"/>
    </w:rPr>
  </w:style>
  <w:style w:type="character" w:styleId="Emphasis">
    <w:name w:val="Emphasis"/>
    <w:basedOn w:val="DefaultParagraphFont"/>
    <w:uiPriority w:val="20"/>
    <w:qFormat/>
    <w:rsid w:val="003C27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80/13811118.2018.1430638"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994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2183</Words>
  <Characters>10962</Characters>
  <Application>Microsoft Office Word</Application>
  <DocSecurity>0</DocSecurity>
  <Lines>296</Lines>
  <Paragraphs>81</Paragraphs>
  <ScaleCrop>false</ScaleCrop>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Abouelela (2521456)</dc:creator>
  <cp:keywords/>
  <dc:description/>
  <cp:lastModifiedBy>Khadija Abouelela (2521456)</cp:lastModifiedBy>
  <cp:revision>2</cp:revision>
  <dcterms:created xsi:type="dcterms:W3CDTF">2026-03-24T00:47:00Z</dcterms:created>
  <dcterms:modified xsi:type="dcterms:W3CDTF">2026-03-24T00:47:00Z</dcterms:modified>
</cp:coreProperties>
</file>