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0D579" w14:textId="77777777" w:rsidR="00FD3EAD" w:rsidRPr="006D2D0E" w:rsidRDefault="006D2D0E" w:rsidP="006D2D0E">
      <w:pPr>
        <w:spacing w:line="360" w:lineRule="auto"/>
        <w:rPr>
          <w:rFonts w:ascii="Arial" w:hAnsi="Arial" w:cs="Arial"/>
          <w:sz w:val="24"/>
          <w:szCs w:val="24"/>
        </w:rPr>
      </w:pPr>
      <w:r>
        <w:rPr>
          <w:rFonts w:ascii="Arial" w:hAnsi="Arial" w:cs="Arial"/>
          <w:sz w:val="24"/>
          <w:szCs w:val="24"/>
        </w:rPr>
        <w:t xml:space="preserve">                                                       ESSAY </w:t>
      </w:r>
    </w:p>
    <w:p w14:paraId="405A5335" w14:textId="77777777" w:rsidR="00FD3EAD" w:rsidRPr="006D2D0E" w:rsidRDefault="00FD3EAD" w:rsidP="006D2D0E">
      <w:pPr>
        <w:spacing w:line="360" w:lineRule="auto"/>
        <w:rPr>
          <w:rFonts w:ascii="Arial" w:hAnsi="Arial" w:cs="Arial"/>
          <w:sz w:val="24"/>
          <w:szCs w:val="24"/>
        </w:rPr>
      </w:pPr>
    </w:p>
    <w:p w14:paraId="6436E055" w14:textId="77777777" w:rsidR="00FD3EAD" w:rsidRPr="006D2D0E" w:rsidRDefault="00FD3EAD" w:rsidP="006D2D0E">
      <w:pPr>
        <w:spacing w:line="360" w:lineRule="auto"/>
        <w:rPr>
          <w:rFonts w:ascii="Arial" w:hAnsi="Arial" w:cs="Arial"/>
          <w:sz w:val="24"/>
          <w:szCs w:val="24"/>
        </w:rPr>
      </w:pPr>
    </w:p>
    <w:p w14:paraId="2849130B" w14:textId="77777777" w:rsidR="006D2D0E" w:rsidRPr="006D2D0E" w:rsidRDefault="006D2D0E" w:rsidP="006D2D0E">
      <w:pPr>
        <w:spacing w:line="360" w:lineRule="auto"/>
        <w:rPr>
          <w:rFonts w:ascii="Arial" w:hAnsi="Arial" w:cs="Arial"/>
          <w:sz w:val="24"/>
          <w:szCs w:val="24"/>
        </w:rPr>
      </w:pPr>
      <w:r>
        <w:rPr>
          <w:rFonts w:ascii="Arial" w:hAnsi="Arial" w:cs="Arial"/>
          <w:sz w:val="24"/>
          <w:szCs w:val="24"/>
        </w:rPr>
        <w:t xml:space="preserve">                                       </w:t>
      </w:r>
      <w:r w:rsidRPr="006D2D0E">
        <w:rPr>
          <w:rFonts w:ascii="Arial" w:hAnsi="Arial" w:cs="Arial"/>
          <w:sz w:val="24"/>
          <w:szCs w:val="24"/>
        </w:rPr>
        <w:t>Student name: Cristina Anton</w:t>
      </w:r>
    </w:p>
    <w:p w14:paraId="166C51A2" w14:textId="77777777" w:rsidR="006D2D0E" w:rsidRDefault="006D2D0E" w:rsidP="006D2D0E">
      <w:pPr>
        <w:spacing w:line="360" w:lineRule="auto"/>
        <w:rPr>
          <w:rFonts w:ascii="Arial" w:hAnsi="Arial" w:cs="Arial"/>
          <w:sz w:val="24"/>
          <w:szCs w:val="24"/>
        </w:rPr>
      </w:pPr>
      <w:r w:rsidRPr="006D2D0E">
        <w:rPr>
          <w:rFonts w:ascii="Arial" w:hAnsi="Arial" w:cs="Arial"/>
          <w:sz w:val="24"/>
          <w:szCs w:val="24"/>
        </w:rPr>
        <w:t xml:space="preserve">                                                 Student ID: 2110293</w:t>
      </w:r>
    </w:p>
    <w:p w14:paraId="54847603" w14:textId="77777777" w:rsidR="006D2D0E" w:rsidRPr="006D2D0E" w:rsidRDefault="006D2D0E" w:rsidP="006D2D0E">
      <w:pPr>
        <w:spacing w:line="360" w:lineRule="auto"/>
        <w:rPr>
          <w:rFonts w:ascii="Arial" w:hAnsi="Arial" w:cs="Arial"/>
          <w:sz w:val="24"/>
          <w:szCs w:val="24"/>
        </w:rPr>
      </w:pPr>
      <w:r>
        <w:rPr>
          <w:rFonts w:ascii="Arial" w:hAnsi="Arial" w:cs="Arial"/>
          <w:sz w:val="24"/>
          <w:szCs w:val="24"/>
        </w:rPr>
        <w:t xml:space="preserve">                                        Lecturer: </w:t>
      </w:r>
      <w:r w:rsidRPr="006D2D0E">
        <w:rPr>
          <w:rFonts w:ascii="Arial" w:hAnsi="Arial" w:cs="Arial"/>
          <w:sz w:val="24"/>
          <w:szCs w:val="24"/>
        </w:rPr>
        <w:t xml:space="preserve">Zahra </w:t>
      </w:r>
      <w:proofErr w:type="spellStart"/>
      <w:r w:rsidRPr="006D2D0E">
        <w:rPr>
          <w:rFonts w:ascii="Arial" w:hAnsi="Arial" w:cs="Arial"/>
          <w:sz w:val="24"/>
          <w:szCs w:val="24"/>
        </w:rPr>
        <w:t>Mohammadnazari</w:t>
      </w:r>
      <w:proofErr w:type="spellEnd"/>
    </w:p>
    <w:p w14:paraId="78B039D6" w14:textId="77777777" w:rsidR="006D2D0E" w:rsidRDefault="006D2D0E" w:rsidP="006D2D0E">
      <w:pPr>
        <w:spacing w:line="360" w:lineRule="auto"/>
        <w:rPr>
          <w:rFonts w:ascii="Arial" w:hAnsi="Arial" w:cs="Arial"/>
          <w:sz w:val="24"/>
          <w:szCs w:val="24"/>
        </w:rPr>
      </w:pPr>
      <w:r w:rsidRPr="006D2D0E">
        <w:rPr>
          <w:rFonts w:ascii="Arial" w:hAnsi="Arial" w:cs="Arial"/>
          <w:sz w:val="24"/>
          <w:szCs w:val="24"/>
        </w:rPr>
        <w:t xml:space="preserve"> </w:t>
      </w:r>
      <w:r w:rsidR="00F709D9">
        <w:rPr>
          <w:rFonts w:ascii="Arial" w:hAnsi="Arial" w:cs="Arial"/>
          <w:sz w:val="24"/>
          <w:szCs w:val="24"/>
        </w:rPr>
        <w:t xml:space="preserve">         </w:t>
      </w:r>
      <w:r w:rsidRPr="006D2D0E">
        <w:rPr>
          <w:rFonts w:ascii="Arial" w:hAnsi="Arial" w:cs="Arial"/>
          <w:sz w:val="24"/>
          <w:szCs w:val="24"/>
        </w:rPr>
        <w:t xml:space="preserve"> Module name: </w:t>
      </w:r>
      <w:r>
        <w:rPr>
          <w:rFonts w:ascii="Arial" w:hAnsi="Arial" w:cs="Arial"/>
          <w:sz w:val="24"/>
          <w:szCs w:val="24"/>
        </w:rPr>
        <w:t>D</w:t>
      </w:r>
      <w:r w:rsidRPr="006D2D0E">
        <w:rPr>
          <w:rFonts w:ascii="Arial" w:hAnsi="Arial" w:cs="Arial"/>
          <w:sz w:val="24"/>
          <w:szCs w:val="24"/>
        </w:rPr>
        <w:t xml:space="preserve">eveloping Relationships and Workplace Achievement                                                   </w:t>
      </w:r>
      <w:r>
        <w:rPr>
          <w:rFonts w:ascii="Arial" w:hAnsi="Arial" w:cs="Arial"/>
          <w:sz w:val="24"/>
          <w:szCs w:val="24"/>
        </w:rPr>
        <w:t xml:space="preserve">  </w:t>
      </w:r>
    </w:p>
    <w:p w14:paraId="1BA7C466" w14:textId="77777777" w:rsidR="006D2D0E" w:rsidRPr="006D2D0E" w:rsidRDefault="006D2D0E" w:rsidP="006D2D0E">
      <w:pPr>
        <w:spacing w:line="360" w:lineRule="auto"/>
        <w:rPr>
          <w:rFonts w:ascii="Arial" w:hAnsi="Arial" w:cs="Arial"/>
          <w:sz w:val="24"/>
          <w:szCs w:val="24"/>
        </w:rPr>
      </w:pPr>
      <w:r>
        <w:rPr>
          <w:rFonts w:ascii="Arial" w:hAnsi="Arial" w:cs="Arial"/>
          <w:sz w:val="24"/>
          <w:szCs w:val="24"/>
        </w:rPr>
        <w:t xml:space="preserve">                                                    </w:t>
      </w:r>
      <w:r w:rsidRPr="006D2D0E">
        <w:rPr>
          <w:rFonts w:ascii="Arial" w:hAnsi="Arial" w:cs="Arial"/>
          <w:sz w:val="24"/>
          <w:szCs w:val="24"/>
        </w:rPr>
        <w:t>BMSW5105</w:t>
      </w:r>
    </w:p>
    <w:p w14:paraId="0E264810" w14:textId="77777777" w:rsidR="00FD3EAD" w:rsidRDefault="006D2D0E" w:rsidP="006D2D0E">
      <w:pPr>
        <w:spacing w:line="360" w:lineRule="auto"/>
        <w:rPr>
          <w:rFonts w:ascii="Arial" w:hAnsi="Arial" w:cs="Arial"/>
          <w:sz w:val="24"/>
          <w:szCs w:val="24"/>
        </w:rPr>
      </w:pPr>
      <w:r w:rsidRPr="006D2D0E">
        <w:rPr>
          <w:rFonts w:ascii="Arial" w:hAnsi="Arial" w:cs="Arial"/>
          <w:sz w:val="24"/>
          <w:szCs w:val="24"/>
        </w:rPr>
        <w:t xml:space="preserve">                                             Word count: </w:t>
      </w:r>
      <w:r w:rsidR="00F709D9">
        <w:rPr>
          <w:rFonts w:ascii="Arial" w:hAnsi="Arial" w:cs="Arial"/>
          <w:sz w:val="24"/>
          <w:szCs w:val="24"/>
        </w:rPr>
        <w:t xml:space="preserve">2133 </w:t>
      </w:r>
      <w:r>
        <w:rPr>
          <w:rFonts w:ascii="Arial" w:hAnsi="Arial" w:cs="Arial"/>
          <w:sz w:val="24"/>
          <w:szCs w:val="24"/>
        </w:rPr>
        <w:t xml:space="preserve"> </w:t>
      </w:r>
    </w:p>
    <w:p w14:paraId="6DA73A78" w14:textId="77777777" w:rsidR="006D2D0E" w:rsidRDefault="006D2D0E" w:rsidP="006D2D0E">
      <w:pPr>
        <w:spacing w:line="360" w:lineRule="auto"/>
        <w:rPr>
          <w:rFonts w:ascii="Arial" w:hAnsi="Arial" w:cs="Arial"/>
          <w:sz w:val="24"/>
          <w:szCs w:val="24"/>
        </w:rPr>
      </w:pPr>
    </w:p>
    <w:p w14:paraId="437AF153" w14:textId="77777777" w:rsidR="006D2D0E" w:rsidRDefault="006D2D0E" w:rsidP="006D2D0E">
      <w:pPr>
        <w:spacing w:line="360" w:lineRule="auto"/>
        <w:rPr>
          <w:rFonts w:ascii="Arial" w:hAnsi="Arial" w:cs="Arial"/>
          <w:sz w:val="24"/>
          <w:szCs w:val="24"/>
        </w:rPr>
      </w:pPr>
    </w:p>
    <w:p w14:paraId="5E88CE00" w14:textId="77777777" w:rsidR="006D2D0E" w:rsidRDefault="006D2D0E" w:rsidP="006D2D0E">
      <w:pPr>
        <w:spacing w:line="360" w:lineRule="auto"/>
        <w:rPr>
          <w:rFonts w:ascii="Arial" w:hAnsi="Arial" w:cs="Arial"/>
          <w:sz w:val="24"/>
          <w:szCs w:val="24"/>
        </w:rPr>
      </w:pPr>
    </w:p>
    <w:p w14:paraId="4153AF77" w14:textId="77777777" w:rsidR="006D2D0E" w:rsidRPr="006D2D0E" w:rsidRDefault="006D2D0E" w:rsidP="006D2D0E">
      <w:pPr>
        <w:spacing w:line="360" w:lineRule="auto"/>
        <w:rPr>
          <w:rFonts w:ascii="Arial" w:hAnsi="Arial" w:cs="Arial"/>
          <w:sz w:val="24"/>
          <w:szCs w:val="24"/>
        </w:rPr>
      </w:pPr>
      <w:r>
        <w:rPr>
          <w:rFonts w:ascii="Arial" w:hAnsi="Arial" w:cs="Arial"/>
          <w:sz w:val="24"/>
          <w:szCs w:val="24"/>
        </w:rPr>
        <w:t xml:space="preserve">                                     </w:t>
      </w:r>
      <w:r w:rsidRPr="006D2D0E">
        <w:rPr>
          <w:rFonts w:ascii="Arial" w:hAnsi="Arial" w:cs="Arial"/>
          <w:sz w:val="24"/>
          <w:szCs w:val="24"/>
        </w:rPr>
        <w:t>BA Leadership and Management</w:t>
      </w:r>
      <w:r>
        <w:rPr>
          <w:rFonts w:ascii="Arial" w:hAnsi="Arial" w:cs="Arial"/>
          <w:sz w:val="24"/>
          <w:szCs w:val="24"/>
        </w:rPr>
        <w:t xml:space="preserve"> </w:t>
      </w:r>
    </w:p>
    <w:p w14:paraId="427F3D6D" w14:textId="77777777" w:rsidR="00FD3EAD" w:rsidRPr="006D2D0E" w:rsidRDefault="00FD3EAD" w:rsidP="006D2D0E">
      <w:pPr>
        <w:spacing w:line="360" w:lineRule="auto"/>
        <w:rPr>
          <w:rFonts w:ascii="Arial" w:hAnsi="Arial" w:cs="Arial"/>
          <w:sz w:val="24"/>
          <w:szCs w:val="24"/>
        </w:rPr>
      </w:pPr>
    </w:p>
    <w:p w14:paraId="2664463B" w14:textId="77777777" w:rsidR="00FD3EAD" w:rsidRPr="006D2D0E" w:rsidRDefault="00FD3EAD" w:rsidP="006D2D0E">
      <w:pPr>
        <w:spacing w:line="360" w:lineRule="auto"/>
        <w:rPr>
          <w:rFonts w:ascii="Arial" w:hAnsi="Arial" w:cs="Arial"/>
          <w:sz w:val="24"/>
          <w:szCs w:val="24"/>
        </w:rPr>
      </w:pPr>
    </w:p>
    <w:p w14:paraId="6FE711C8" w14:textId="77777777" w:rsidR="00FD3EAD" w:rsidRPr="006D2D0E" w:rsidRDefault="00FD3EAD" w:rsidP="006D2D0E">
      <w:pPr>
        <w:spacing w:line="360" w:lineRule="auto"/>
        <w:rPr>
          <w:rFonts w:ascii="Arial" w:hAnsi="Arial" w:cs="Arial"/>
          <w:sz w:val="24"/>
          <w:szCs w:val="24"/>
        </w:rPr>
      </w:pPr>
    </w:p>
    <w:p w14:paraId="0EA22962" w14:textId="77777777" w:rsidR="00FD3EAD" w:rsidRPr="006D2D0E" w:rsidRDefault="00FD3EAD" w:rsidP="006D2D0E">
      <w:pPr>
        <w:spacing w:line="360" w:lineRule="auto"/>
        <w:rPr>
          <w:rFonts w:ascii="Arial" w:hAnsi="Arial" w:cs="Arial"/>
          <w:sz w:val="24"/>
          <w:szCs w:val="24"/>
        </w:rPr>
      </w:pPr>
    </w:p>
    <w:p w14:paraId="7E1A54A9" w14:textId="77777777" w:rsidR="00FD3EAD" w:rsidRPr="006D2D0E" w:rsidRDefault="00FD3EAD" w:rsidP="006D2D0E">
      <w:pPr>
        <w:spacing w:line="360" w:lineRule="auto"/>
        <w:rPr>
          <w:rFonts w:ascii="Arial" w:hAnsi="Arial" w:cs="Arial"/>
          <w:sz w:val="24"/>
          <w:szCs w:val="24"/>
        </w:rPr>
      </w:pPr>
    </w:p>
    <w:p w14:paraId="532EE336" w14:textId="77777777" w:rsidR="00FD3EAD" w:rsidRDefault="00FD3EAD" w:rsidP="006D2D0E">
      <w:pPr>
        <w:spacing w:line="360" w:lineRule="auto"/>
        <w:rPr>
          <w:rFonts w:ascii="Arial" w:hAnsi="Arial" w:cs="Arial"/>
          <w:sz w:val="24"/>
          <w:szCs w:val="24"/>
        </w:rPr>
      </w:pPr>
    </w:p>
    <w:p w14:paraId="48CF665C" w14:textId="77777777" w:rsidR="006D2D0E" w:rsidRDefault="006D2D0E" w:rsidP="006D2D0E">
      <w:pPr>
        <w:spacing w:line="360" w:lineRule="auto"/>
        <w:rPr>
          <w:rFonts w:ascii="Arial" w:hAnsi="Arial" w:cs="Arial"/>
          <w:sz w:val="24"/>
          <w:szCs w:val="24"/>
        </w:rPr>
      </w:pPr>
    </w:p>
    <w:p w14:paraId="5796A5CC" w14:textId="77777777" w:rsidR="006D2D0E" w:rsidRDefault="006D2D0E" w:rsidP="006D2D0E">
      <w:pPr>
        <w:spacing w:line="360" w:lineRule="auto"/>
        <w:rPr>
          <w:rFonts w:ascii="Arial" w:hAnsi="Arial" w:cs="Arial"/>
          <w:sz w:val="24"/>
          <w:szCs w:val="24"/>
        </w:rPr>
      </w:pPr>
    </w:p>
    <w:p w14:paraId="49635CCC" w14:textId="77777777" w:rsidR="006D2D0E" w:rsidRDefault="006D2D0E" w:rsidP="006D2D0E">
      <w:pPr>
        <w:spacing w:line="360" w:lineRule="auto"/>
        <w:rPr>
          <w:rFonts w:ascii="Arial" w:hAnsi="Arial" w:cs="Arial"/>
          <w:sz w:val="24"/>
          <w:szCs w:val="24"/>
        </w:rPr>
      </w:pPr>
    </w:p>
    <w:p w14:paraId="03EBE836" w14:textId="77777777" w:rsidR="006D2D0E" w:rsidRDefault="006D2D0E" w:rsidP="006D2D0E">
      <w:pPr>
        <w:spacing w:line="360" w:lineRule="auto"/>
        <w:rPr>
          <w:rFonts w:ascii="Arial" w:hAnsi="Arial" w:cs="Arial"/>
          <w:sz w:val="24"/>
          <w:szCs w:val="24"/>
        </w:rPr>
      </w:pPr>
    </w:p>
    <w:p w14:paraId="0C381AE4" w14:textId="77777777" w:rsidR="00F709D9" w:rsidRDefault="00F709D9" w:rsidP="006D2D0E">
      <w:pPr>
        <w:spacing w:line="360" w:lineRule="auto"/>
        <w:rPr>
          <w:rFonts w:ascii="Arial" w:hAnsi="Arial" w:cs="Arial"/>
          <w:sz w:val="24"/>
          <w:szCs w:val="24"/>
        </w:rPr>
      </w:pPr>
    </w:p>
    <w:p w14:paraId="5F6C43F0" w14:textId="77777777" w:rsidR="00D12D5A" w:rsidRDefault="00D12D5A" w:rsidP="006D2D0E">
      <w:pPr>
        <w:spacing w:line="360" w:lineRule="auto"/>
        <w:rPr>
          <w:rFonts w:ascii="Arial" w:hAnsi="Arial" w:cs="Arial"/>
          <w:sz w:val="24"/>
          <w:szCs w:val="24"/>
        </w:rPr>
      </w:pPr>
    </w:p>
    <w:p w14:paraId="57774758" w14:textId="77777777" w:rsidR="00D12D5A" w:rsidRDefault="00D12D5A" w:rsidP="006D2D0E">
      <w:pPr>
        <w:spacing w:line="360" w:lineRule="auto"/>
        <w:rPr>
          <w:rFonts w:ascii="Arial" w:hAnsi="Arial" w:cs="Arial"/>
          <w:sz w:val="24"/>
          <w:szCs w:val="24"/>
        </w:rPr>
      </w:pPr>
    </w:p>
    <w:p w14:paraId="15F8F029" w14:textId="77777777" w:rsidR="00D12D5A" w:rsidRDefault="00D12D5A" w:rsidP="006D2D0E">
      <w:pPr>
        <w:spacing w:line="360" w:lineRule="auto"/>
        <w:rPr>
          <w:rFonts w:ascii="Arial" w:hAnsi="Arial" w:cs="Arial"/>
          <w:sz w:val="24"/>
          <w:szCs w:val="24"/>
        </w:rPr>
      </w:pPr>
    </w:p>
    <w:p w14:paraId="0A220BAC" w14:textId="77777777" w:rsidR="00D12D5A" w:rsidRDefault="00D12D5A" w:rsidP="006D2D0E">
      <w:pPr>
        <w:spacing w:line="360" w:lineRule="auto"/>
        <w:rPr>
          <w:rFonts w:ascii="Arial" w:hAnsi="Arial" w:cs="Arial"/>
          <w:sz w:val="24"/>
          <w:szCs w:val="24"/>
        </w:rPr>
      </w:pPr>
    </w:p>
    <w:p w14:paraId="5726707E" w14:textId="77777777" w:rsidR="00D12D5A" w:rsidRDefault="00D12D5A" w:rsidP="006D2D0E">
      <w:pPr>
        <w:spacing w:line="360" w:lineRule="auto"/>
        <w:rPr>
          <w:rFonts w:ascii="Arial" w:hAnsi="Arial" w:cs="Arial"/>
          <w:sz w:val="24"/>
          <w:szCs w:val="24"/>
        </w:rPr>
      </w:pPr>
    </w:p>
    <w:p w14:paraId="78B675A6" w14:textId="77777777" w:rsidR="00D12D5A" w:rsidRDefault="00D12D5A" w:rsidP="006D2D0E">
      <w:pPr>
        <w:spacing w:line="360" w:lineRule="auto"/>
        <w:rPr>
          <w:rFonts w:ascii="Arial" w:hAnsi="Arial" w:cs="Arial"/>
          <w:sz w:val="24"/>
          <w:szCs w:val="24"/>
        </w:rPr>
      </w:pPr>
    </w:p>
    <w:p w14:paraId="0ACC6662" w14:textId="77777777" w:rsidR="00D12D5A" w:rsidRDefault="00D12D5A" w:rsidP="006D2D0E">
      <w:pPr>
        <w:spacing w:line="360" w:lineRule="auto"/>
        <w:rPr>
          <w:rFonts w:ascii="Arial" w:hAnsi="Arial" w:cs="Arial"/>
          <w:sz w:val="24"/>
          <w:szCs w:val="24"/>
        </w:rPr>
      </w:pPr>
    </w:p>
    <w:p w14:paraId="5E80617E" w14:textId="77777777" w:rsidR="00F709D9" w:rsidRPr="00D12D5A" w:rsidRDefault="00F709D9" w:rsidP="006D2D0E">
      <w:pPr>
        <w:spacing w:line="360" w:lineRule="auto"/>
        <w:rPr>
          <w:rFonts w:ascii="Arial" w:hAnsi="Arial" w:cs="Arial"/>
          <w:b/>
          <w:bCs/>
          <w:sz w:val="24"/>
          <w:szCs w:val="24"/>
        </w:rPr>
      </w:pPr>
      <w:r>
        <w:rPr>
          <w:rFonts w:ascii="Arial" w:hAnsi="Arial" w:cs="Arial"/>
          <w:sz w:val="24"/>
          <w:szCs w:val="24"/>
        </w:rPr>
        <w:t xml:space="preserve">                                                       </w:t>
      </w:r>
      <w:r w:rsidRPr="00D12D5A">
        <w:rPr>
          <w:rFonts w:ascii="Arial" w:hAnsi="Arial" w:cs="Arial"/>
          <w:b/>
          <w:bCs/>
          <w:sz w:val="24"/>
          <w:szCs w:val="24"/>
        </w:rPr>
        <w:t xml:space="preserve">Abstract </w:t>
      </w:r>
    </w:p>
    <w:p w14:paraId="7E28F8D5" w14:textId="77777777" w:rsidR="00F709D9" w:rsidRDefault="00F709D9" w:rsidP="006D2D0E">
      <w:pPr>
        <w:spacing w:line="360" w:lineRule="auto"/>
        <w:rPr>
          <w:rFonts w:ascii="Arial" w:hAnsi="Arial" w:cs="Arial"/>
          <w:sz w:val="24"/>
          <w:szCs w:val="24"/>
        </w:rPr>
      </w:pPr>
      <w:r w:rsidRPr="00F709D9">
        <w:rPr>
          <w:rFonts w:ascii="Arial" w:hAnsi="Arial" w:cs="Arial"/>
          <w:sz w:val="24"/>
          <w:szCs w:val="24"/>
        </w:rPr>
        <w:t xml:space="preserve">This report analyses the potential merger or acquisition of Total Energies and </w:t>
      </w:r>
      <w:proofErr w:type="spellStart"/>
      <w:r w:rsidRPr="00F709D9">
        <w:rPr>
          <w:rFonts w:ascii="Arial" w:hAnsi="Arial" w:cs="Arial"/>
          <w:sz w:val="24"/>
          <w:szCs w:val="24"/>
        </w:rPr>
        <w:t>Eneos</w:t>
      </w:r>
      <w:proofErr w:type="spellEnd"/>
      <w:r w:rsidRPr="00F709D9">
        <w:rPr>
          <w:rFonts w:ascii="Arial" w:hAnsi="Arial" w:cs="Arial"/>
          <w:sz w:val="24"/>
          <w:szCs w:val="24"/>
        </w:rPr>
        <w:t xml:space="preserve">, two companies based in France and Japan, respectively. The analysis includes a cultural and institutional analysis of the two countries, as well as the role of international human resource management in the pre-merger and post-merger stages. The report also applies the </w:t>
      </w:r>
      <w:proofErr w:type="spellStart"/>
      <w:r w:rsidRPr="00F709D9">
        <w:rPr>
          <w:rFonts w:ascii="Arial" w:hAnsi="Arial" w:cs="Arial"/>
          <w:sz w:val="24"/>
          <w:szCs w:val="24"/>
        </w:rPr>
        <w:t>Haspeslagh</w:t>
      </w:r>
      <w:proofErr w:type="spellEnd"/>
      <w:r w:rsidRPr="00F709D9">
        <w:rPr>
          <w:rFonts w:ascii="Arial" w:hAnsi="Arial" w:cs="Arial"/>
          <w:sz w:val="24"/>
          <w:szCs w:val="24"/>
        </w:rPr>
        <w:t xml:space="preserve"> and Jemison integration typology and Hall's theory of cross-cultural communication to the case of Total Energies and </w:t>
      </w:r>
      <w:proofErr w:type="spellStart"/>
      <w:r w:rsidRPr="00F709D9">
        <w:rPr>
          <w:rFonts w:ascii="Arial" w:hAnsi="Arial" w:cs="Arial"/>
          <w:sz w:val="24"/>
          <w:szCs w:val="24"/>
        </w:rPr>
        <w:t>Eneos</w:t>
      </w:r>
      <w:proofErr w:type="spellEnd"/>
      <w:r w:rsidRPr="00F709D9">
        <w:rPr>
          <w:rFonts w:ascii="Arial" w:hAnsi="Arial" w:cs="Arial"/>
          <w:sz w:val="24"/>
          <w:szCs w:val="24"/>
        </w:rPr>
        <w:t>. Based on the findings, the report recommends that HRM practices should be modified or adapted to fit the different country contexts, and that a thorough pre-integration phase, careful planning, and effective communication are crucial for a successful merger or acquisition.</w:t>
      </w:r>
    </w:p>
    <w:p w14:paraId="04DF1053" w14:textId="77777777" w:rsidR="00F709D9" w:rsidRDefault="00F709D9" w:rsidP="006D2D0E">
      <w:pPr>
        <w:spacing w:line="360" w:lineRule="auto"/>
        <w:rPr>
          <w:rFonts w:ascii="Arial" w:hAnsi="Arial" w:cs="Arial"/>
          <w:sz w:val="24"/>
          <w:szCs w:val="24"/>
        </w:rPr>
      </w:pPr>
    </w:p>
    <w:p w14:paraId="7C81E6E3" w14:textId="77777777" w:rsidR="00D12D5A" w:rsidRDefault="00D12D5A" w:rsidP="006D2D0E">
      <w:pPr>
        <w:spacing w:line="360" w:lineRule="auto"/>
        <w:rPr>
          <w:rFonts w:ascii="Arial" w:hAnsi="Arial" w:cs="Arial"/>
          <w:sz w:val="24"/>
          <w:szCs w:val="24"/>
        </w:rPr>
      </w:pPr>
    </w:p>
    <w:p w14:paraId="1E838F26" w14:textId="77777777" w:rsidR="00D12D5A" w:rsidRDefault="00D12D5A" w:rsidP="006D2D0E">
      <w:pPr>
        <w:spacing w:line="360" w:lineRule="auto"/>
        <w:rPr>
          <w:rFonts w:ascii="Arial" w:hAnsi="Arial" w:cs="Arial"/>
          <w:sz w:val="24"/>
          <w:szCs w:val="24"/>
        </w:rPr>
      </w:pPr>
    </w:p>
    <w:p w14:paraId="381761DF" w14:textId="77777777" w:rsidR="00D12D5A" w:rsidRDefault="00D12D5A" w:rsidP="006D2D0E">
      <w:pPr>
        <w:spacing w:line="360" w:lineRule="auto"/>
        <w:rPr>
          <w:rFonts w:ascii="Arial" w:hAnsi="Arial" w:cs="Arial"/>
          <w:sz w:val="24"/>
          <w:szCs w:val="24"/>
        </w:rPr>
      </w:pPr>
    </w:p>
    <w:p w14:paraId="74128346" w14:textId="77777777" w:rsidR="00D12D5A" w:rsidRDefault="00D12D5A" w:rsidP="006D2D0E">
      <w:pPr>
        <w:spacing w:line="360" w:lineRule="auto"/>
        <w:rPr>
          <w:rFonts w:ascii="Arial" w:hAnsi="Arial" w:cs="Arial"/>
          <w:sz w:val="24"/>
          <w:szCs w:val="24"/>
        </w:rPr>
      </w:pPr>
    </w:p>
    <w:p w14:paraId="0542F76A" w14:textId="77777777" w:rsidR="00D12D5A" w:rsidRDefault="00D12D5A" w:rsidP="006D2D0E">
      <w:pPr>
        <w:spacing w:line="360" w:lineRule="auto"/>
        <w:rPr>
          <w:rFonts w:ascii="Arial" w:hAnsi="Arial" w:cs="Arial"/>
          <w:sz w:val="24"/>
          <w:szCs w:val="24"/>
        </w:rPr>
      </w:pPr>
    </w:p>
    <w:p w14:paraId="751A4F08" w14:textId="77777777" w:rsidR="00D12D5A" w:rsidRDefault="00D12D5A" w:rsidP="006D2D0E">
      <w:pPr>
        <w:spacing w:line="360" w:lineRule="auto"/>
        <w:rPr>
          <w:rFonts w:ascii="Arial" w:hAnsi="Arial" w:cs="Arial"/>
          <w:sz w:val="24"/>
          <w:szCs w:val="24"/>
        </w:rPr>
      </w:pPr>
    </w:p>
    <w:p w14:paraId="0D56E896" w14:textId="77777777" w:rsidR="00D12D5A" w:rsidRPr="006D2D0E" w:rsidRDefault="00D12D5A" w:rsidP="006D2D0E">
      <w:pPr>
        <w:spacing w:line="360" w:lineRule="auto"/>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274336702"/>
        <w:docPartObj>
          <w:docPartGallery w:val="Table of Contents"/>
          <w:docPartUnique/>
        </w:docPartObj>
      </w:sdtPr>
      <w:sdtEndPr>
        <w:rPr>
          <w:b/>
          <w:bCs/>
          <w:noProof/>
        </w:rPr>
      </w:sdtEndPr>
      <w:sdtContent>
        <w:p w14:paraId="5A256D93" w14:textId="77777777" w:rsidR="00FD3EAD" w:rsidRPr="006D2D0E" w:rsidRDefault="00FD3EAD" w:rsidP="006D2D0E">
          <w:pPr>
            <w:pStyle w:val="TOCHeading"/>
            <w:spacing w:line="360" w:lineRule="auto"/>
            <w:rPr>
              <w:rFonts w:ascii="Arial" w:hAnsi="Arial" w:cs="Arial"/>
              <w:sz w:val="24"/>
              <w:szCs w:val="24"/>
            </w:rPr>
          </w:pPr>
          <w:r w:rsidRPr="006D2D0E">
            <w:rPr>
              <w:rFonts w:ascii="Arial" w:hAnsi="Arial" w:cs="Arial"/>
              <w:sz w:val="24"/>
              <w:szCs w:val="24"/>
            </w:rPr>
            <w:t>Contents</w:t>
          </w:r>
        </w:p>
        <w:p w14:paraId="68E98B3F" w14:textId="77777777" w:rsidR="00D12D5A" w:rsidRDefault="00FD3EAD" w:rsidP="00D12D5A">
          <w:pPr>
            <w:pStyle w:val="TOC1"/>
            <w:rPr>
              <w:rFonts w:eastAsiaTheme="minorEastAsia"/>
              <w:noProof/>
              <w:kern w:val="0"/>
              <w:lang w:eastAsia="en-GB"/>
              <w14:ligatures w14:val="none"/>
            </w:rPr>
          </w:pPr>
          <w:r w:rsidRPr="006D2D0E">
            <w:rPr>
              <w:rFonts w:ascii="Arial" w:hAnsi="Arial" w:cs="Arial"/>
            </w:rPr>
            <w:fldChar w:fldCharType="begin"/>
          </w:r>
          <w:r w:rsidRPr="00D12D5A">
            <w:rPr>
              <w:rFonts w:ascii="Arial" w:hAnsi="Arial" w:cs="Arial"/>
            </w:rPr>
            <w:instrText xml:space="preserve"> TOC \o "1-3" \h \z \u </w:instrText>
          </w:r>
          <w:r w:rsidRPr="006D2D0E">
            <w:rPr>
              <w:rFonts w:ascii="Arial" w:hAnsi="Arial" w:cs="Arial"/>
            </w:rPr>
            <w:fldChar w:fldCharType="separate"/>
          </w:r>
          <w:hyperlink w:anchor="_Toc131331830" w:history="1">
            <w:r w:rsidR="00D12D5A" w:rsidRPr="00D12D5A">
              <w:rPr>
                <w:rStyle w:val="Hyperlink"/>
                <w:rFonts w:ascii="Arial" w:hAnsi="Arial" w:cs="Arial"/>
                <w:noProof/>
                <w:sz w:val="24"/>
                <w:szCs w:val="24"/>
              </w:rPr>
              <w:t>Introduction</w:t>
            </w:r>
            <w:r w:rsidR="00D12D5A">
              <w:rPr>
                <w:noProof/>
                <w:webHidden/>
              </w:rPr>
              <w:tab/>
            </w:r>
            <w:r w:rsidR="00D12D5A">
              <w:rPr>
                <w:noProof/>
                <w:webHidden/>
              </w:rPr>
              <w:fldChar w:fldCharType="begin"/>
            </w:r>
            <w:r w:rsidR="00D12D5A">
              <w:rPr>
                <w:noProof/>
                <w:webHidden/>
              </w:rPr>
              <w:instrText xml:space="preserve"> PAGEREF _Toc131331830 \h </w:instrText>
            </w:r>
            <w:r w:rsidR="00D12D5A">
              <w:rPr>
                <w:noProof/>
                <w:webHidden/>
              </w:rPr>
            </w:r>
            <w:r w:rsidR="00D12D5A">
              <w:rPr>
                <w:noProof/>
                <w:webHidden/>
              </w:rPr>
              <w:fldChar w:fldCharType="separate"/>
            </w:r>
            <w:r w:rsidR="00D12D5A">
              <w:rPr>
                <w:noProof/>
                <w:webHidden/>
              </w:rPr>
              <w:t>4</w:t>
            </w:r>
            <w:r w:rsidR="00D12D5A">
              <w:rPr>
                <w:noProof/>
                <w:webHidden/>
              </w:rPr>
              <w:fldChar w:fldCharType="end"/>
            </w:r>
          </w:hyperlink>
        </w:p>
        <w:p w14:paraId="628FF0D6" w14:textId="77777777" w:rsidR="00D12D5A" w:rsidRDefault="00A35A11" w:rsidP="00D12D5A">
          <w:pPr>
            <w:pStyle w:val="TOC1"/>
            <w:rPr>
              <w:rFonts w:eastAsiaTheme="minorEastAsia"/>
              <w:noProof/>
              <w:kern w:val="0"/>
              <w:lang w:eastAsia="en-GB"/>
              <w14:ligatures w14:val="none"/>
            </w:rPr>
          </w:pPr>
          <w:hyperlink w:anchor="_Toc131331831" w:history="1">
            <w:r w:rsidR="00D12D5A" w:rsidRPr="00ED3DE9">
              <w:rPr>
                <w:rStyle w:val="Hyperlink"/>
                <w:rFonts w:ascii="Arial" w:hAnsi="Arial" w:cs="Arial"/>
                <w:noProof/>
              </w:rPr>
              <w:t>Section 1: Part 1 Cultural Analysis of France and Japan</w:t>
            </w:r>
            <w:r w:rsidR="00D12D5A">
              <w:rPr>
                <w:noProof/>
                <w:webHidden/>
              </w:rPr>
              <w:tab/>
            </w:r>
            <w:r w:rsidR="00D12D5A">
              <w:rPr>
                <w:noProof/>
                <w:webHidden/>
              </w:rPr>
              <w:fldChar w:fldCharType="begin"/>
            </w:r>
            <w:r w:rsidR="00D12D5A">
              <w:rPr>
                <w:noProof/>
                <w:webHidden/>
              </w:rPr>
              <w:instrText xml:space="preserve"> PAGEREF _Toc131331831 \h </w:instrText>
            </w:r>
            <w:r w:rsidR="00D12D5A">
              <w:rPr>
                <w:noProof/>
                <w:webHidden/>
              </w:rPr>
            </w:r>
            <w:r w:rsidR="00D12D5A">
              <w:rPr>
                <w:noProof/>
                <w:webHidden/>
              </w:rPr>
              <w:fldChar w:fldCharType="separate"/>
            </w:r>
            <w:r w:rsidR="00D12D5A">
              <w:rPr>
                <w:noProof/>
                <w:webHidden/>
              </w:rPr>
              <w:t>5</w:t>
            </w:r>
            <w:r w:rsidR="00D12D5A">
              <w:rPr>
                <w:noProof/>
                <w:webHidden/>
              </w:rPr>
              <w:fldChar w:fldCharType="end"/>
            </w:r>
          </w:hyperlink>
        </w:p>
        <w:p w14:paraId="471732BC" w14:textId="77777777" w:rsidR="00D12D5A" w:rsidRDefault="00A35A11" w:rsidP="00D12D5A">
          <w:pPr>
            <w:pStyle w:val="TOC1"/>
            <w:rPr>
              <w:rFonts w:eastAsiaTheme="minorEastAsia"/>
              <w:noProof/>
              <w:kern w:val="0"/>
              <w:lang w:eastAsia="en-GB"/>
              <w14:ligatures w14:val="none"/>
            </w:rPr>
          </w:pPr>
          <w:hyperlink w:anchor="_Toc131331832" w:history="1">
            <w:r w:rsidR="00D12D5A" w:rsidRPr="00ED3DE9">
              <w:rPr>
                <w:rStyle w:val="Hyperlink"/>
                <w:rFonts w:ascii="Arial" w:hAnsi="Arial" w:cs="Arial"/>
                <w:noProof/>
              </w:rPr>
              <w:t>Section 1: Part 2 Institutional analysis of France and Japan</w:t>
            </w:r>
            <w:r w:rsidR="00D12D5A">
              <w:rPr>
                <w:noProof/>
                <w:webHidden/>
              </w:rPr>
              <w:tab/>
            </w:r>
            <w:r w:rsidR="00D12D5A">
              <w:rPr>
                <w:noProof/>
                <w:webHidden/>
              </w:rPr>
              <w:fldChar w:fldCharType="begin"/>
            </w:r>
            <w:r w:rsidR="00D12D5A">
              <w:rPr>
                <w:noProof/>
                <w:webHidden/>
              </w:rPr>
              <w:instrText xml:space="preserve"> PAGEREF _Toc131331832 \h </w:instrText>
            </w:r>
            <w:r w:rsidR="00D12D5A">
              <w:rPr>
                <w:noProof/>
                <w:webHidden/>
              </w:rPr>
            </w:r>
            <w:r w:rsidR="00D12D5A">
              <w:rPr>
                <w:noProof/>
                <w:webHidden/>
              </w:rPr>
              <w:fldChar w:fldCharType="separate"/>
            </w:r>
            <w:r w:rsidR="00D12D5A">
              <w:rPr>
                <w:noProof/>
                <w:webHidden/>
              </w:rPr>
              <w:t>6</w:t>
            </w:r>
            <w:r w:rsidR="00D12D5A">
              <w:rPr>
                <w:noProof/>
                <w:webHidden/>
              </w:rPr>
              <w:fldChar w:fldCharType="end"/>
            </w:r>
          </w:hyperlink>
        </w:p>
        <w:p w14:paraId="60022CD6" w14:textId="77777777" w:rsidR="00D12D5A" w:rsidRDefault="00A35A11" w:rsidP="00D12D5A">
          <w:pPr>
            <w:pStyle w:val="TOC1"/>
            <w:rPr>
              <w:rFonts w:eastAsiaTheme="minorEastAsia"/>
              <w:noProof/>
              <w:kern w:val="0"/>
              <w:lang w:eastAsia="en-GB"/>
              <w14:ligatures w14:val="none"/>
            </w:rPr>
          </w:pPr>
          <w:hyperlink w:anchor="_Toc131331833" w:history="1">
            <w:r w:rsidR="00D12D5A" w:rsidRPr="00ED3DE9">
              <w:rPr>
                <w:rStyle w:val="Hyperlink"/>
                <w:rFonts w:ascii="Arial" w:hAnsi="Arial" w:cs="Arial"/>
                <w:noProof/>
              </w:rPr>
              <w:t>Section 2. Part 1: M&amp;A Rationale and Integration Strategy</w:t>
            </w:r>
            <w:r w:rsidR="00D12D5A">
              <w:rPr>
                <w:noProof/>
                <w:webHidden/>
              </w:rPr>
              <w:tab/>
            </w:r>
            <w:r w:rsidR="00D12D5A">
              <w:rPr>
                <w:noProof/>
                <w:webHidden/>
              </w:rPr>
              <w:fldChar w:fldCharType="begin"/>
            </w:r>
            <w:r w:rsidR="00D12D5A">
              <w:rPr>
                <w:noProof/>
                <w:webHidden/>
              </w:rPr>
              <w:instrText xml:space="preserve"> PAGEREF _Toc131331833 \h </w:instrText>
            </w:r>
            <w:r w:rsidR="00D12D5A">
              <w:rPr>
                <w:noProof/>
                <w:webHidden/>
              </w:rPr>
            </w:r>
            <w:r w:rsidR="00D12D5A">
              <w:rPr>
                <w:noProof/>
                <w:webHidden/>
              </w:rPr>
              <w:fldChar w:fldCharType="separate"/>
            </w:r>
            <w:r w:rsidR="00D12D5A">
              <w:rPr>
                <w:noProof/>
                <w:webHidden/>
              </w:rPr>
              <w:t>8</w:t>
            </w:r>
            <w:r w:rsidR="00D12D5A">
              <w:rPr>
                <w:noProof/>
                <w:webHidden/>
              </w:rPr>
              <w:fldChar w:fldCharType="end"/>
            </w:r>
          </w:hyperlink>
        </w:p>
        <w:p w14:paraId="4E7F0614" w14:textId="77777777" w:rsidR="00D12D5A" w:rsidRDefault="00A35A11" w:rsidP="00D12D5A">
          <w:pPr>
            <w:pStyle w:val="TOC1"/>
            <w:rPr>
              <w:rFonts w:eastAsiaTheme="minorEastAsia"/>
              <w:noProof/>
              <w:kern w:val="0"/>
              <w:lang w:eastAsia="en-GB"/>
              <w14:ligatures w14:val="none"/>
            </w:rPr>
          </w:pPr>
          <w:hyperlink w:anchor="_Toc131331834" w:history="1">
            <w:r w:rsidR="00D12D5A" w:rsidRPr="00ED3DE9">
              <w:rPr>
                <w:rStyle w:val="Hyperlink"/>
                <w:rFonts w:ascii="Arial" w:hAnsi="Arial" w:cs="Arial"/>
                <w:noProof/>
              </w:rPr>
              <w:t>Section 2, Part 2 – Role of IHRM in implementing effective M&amp;A</w:t>
            </w:r>
            <w:r w:rsidR="00D12D5A">
              <w:rPr>
                <w:noProof/>
                <w:webHidden/>
              </w:rPr>
              <w:tab/>
            </w:r>
            <w:r w:rsidR="00D12D5A">
              <w:rPr>
                <w:noProof/>
                <w:webHidden/>
              </w:rPr>
              <w:fldChar w:fldCharType="begin"/>
            </w:r>
            <w:r w:rsidR="00D12D5A">
              <w:rPr>
                <w:noProof/>
                <w:webHidden/>
              </w:rPr>
              <w:instrText xml:space="preserve"> PAGEREF _Toc131331834 \h </w:instrText>
            </w:r>
            <w:r w:rsidR="00D12D5A">
              <w:rPr>
                <w:noProof/>
                <w:webHidden/>
              </w:rPr>
            </w:r>
            <w:r w:rsidR="00D12D5A">
              <w:rPr>
                <w:noProof/>
                <w:webHidden/>
              </w:rPr>
              <w:fldChar w:fldCharType="separate"/>
            </w:r>
            <w:r w:rsidR="00D12D5A">
              <w:rPr>
                <w:noProof/>
                <w:webHidden/>
              </w:rPr>
              <w:t>8</w:t>
            </w:r>
            <w:r w:rsidR="00D12D5A">
              <w:rPr>
                <w:noProof/>
                <w:webHidden/>
              </w:rPr>
              <w:fldChar w:fldCharType="end"/>
            </w:r>
          </w:hyperlink>
        </w:p>
        <w:p w14:paraId="7A18FC29" w14:textId="77777777" w:rsidR="00D12D5A" w:rsidRDefault="00A35A11" w:rsidP="00D12D5A">
          <w:pPr>
            <w:pStyle w:val="TOC1"/>
            <w:rPr>
              <w:rFonts w:eastAsiaTheme="minorEastAsia"/>
              <w:noProof/>
              <w:kern w:val="0"/>
              <w:lang w:eastAsia="en-GB"/>
              <w14:ligatures w14:val="none"/>
            </w:rPr>
          </w:pPr>
          <w:hyperlink w:anchor="_Toc131331835" w:history="1">
            <w:r w:rsidR="00D12D5A" w:rsidRPr="00ED3DE9">
              <w:rPr>
                <w:rStyle w:val="Hyperlink"/>
                <w:rFonts w:ascii="Arial" w:hAnsi="Arial" w:cs="Arial"/>
                <w:noProof/>
              </w:rPr>
              <w:t>Conclusion and Recommendation</w:t>
            </w:r>
            <w:r w:rsidR="00D12D5A">
              <w:rPr>
                <w:noProof/>
                <w:webHidden/>
              </w:rPr>
              <w:tab/>
            </w:r>
            <w:r w:rsidR="00D12D5A">
              <w:rPr>
                <w:noProof/>
                <w:webHidden/>
              </w:rPr>
              <w:fldChar w:fldCharType="begin"/>
            </w:r>
            <w:r w:rsidR="00D12D5A">
              <w:rPr>
                <w:noProof/>
                <w:webHidden/>
              </w:rPr>
              <w:instrText xml:space="preserve"> PAGEREF _Toc131331835 \h </w:instrText>
            </w:r>
            <w:r w:rsidR="00D12D5A">
              <w:rPr>
                <w:noProof/>
                <w:webHidden/>
              </w:rPr>
            </w:r>
            <w:r w:rsidR="00D12D5A">
              <w:rPr>
                <w:noProof/>
                <w:webHidden/>
              </w:rPr>
              <w:fldChar w:fldCharType="separate"/>
            </w:r>
            <w:r w:rsidR="00D12D5A">
              <w:rPr>
                <w:noProof/>
                <w:webHidden/>
              </w:rPr>
              <w:t>10</w:t>
            </w:r>
            <w:r w:rsidR="00D12D5A">
              <w:rPr>
                <w:noProof/>
                <w:webHidden/>
              </w:rPr>
              <w:fldChar w:fldCharType="end"/>
            </w:r>
          </w:hyperlink>
        </w:p>
        <w:p w14:paraId="2B8EBB5D" w14:textId="77777777" w:rsidR="00D12D5A" w:rsidRDefault="00A35A11" w:rsidP="00D12D5A">
          <w:pPr>
            <w:pStyle w:val="TOC1"/>
            <w:rPr>
              <w:rFonts w:eastAsiaTheme="minorEastAsia"/>
              <w:noProof/>
              <w:kern w:val="0"/>
              <w:lang w:eastAsia="en-GB"/>
              <w14:ligatures w14:val="none"/>
            </w:rPr>
          </w:pPr>
          <w:hyperlink w:anchor="_Toc131331836" w:history="1">
            <w:r w:rsidR="00D12D5A" w:rsidRPr="00ED3DE9">
              <w:rPr>
                <w:rStyle w:val="Hyperlink"/>
                <w:rFonts w:ascii="Arial" w:hAnsi="Arial" w:cs="Arial"/>
                <w:noProof/>
              </w:rPr>
              <w:t>References</w:t>
            </w:r>
            <w:r w:rsidR="00D12D5A">
              <w:rPr>
                <w:noProof/>
                <w:webHidden/>
              </w:rPr>
              <w:tab/>
            </w:r>
            <w:r w:rsidR="00D12D5A">
              <w:rPr>
                <w:noProof/>
                <w:webHidden/>
              </w:rPr>
              <w:fldChar w:fldCharType="begin"/>
            </w:r>
            <w:r w:rsidR="00D12D5A">
              <w:rPr>
                <w:noProof/>
                <w:webHidden/>
              </w:rPr>
              <w:instrText xml:space="preserve"> PAGEREF _Toc131331836 \h </w:instrText>
            </w:r>
            <w:r w:rsidR="00D12D5A">
              <w:rPr>
                <w:noProof/>
                <w:webHidden/>
              </w:rPr>
            </w:r>
            <w:r w:rsidR="00D12D5A">
              <w:rPr>
                <w:noProof/>
                <w:webHidden/>
              </w:rPr>
              <w:fldChar w:fldCharType="separate"/>
            </w:r>
            <w:r w:rsidR="00D12D5A">
              <w:rPr>
                <w:noProof/>
                <w:webHidden/>
              </w:rPr>
              <w:t>11</w:t>
            </w:r>
            <w:r w:rsidR="00D12D5A">
              <w:rPr>
                <w:noProof/>
                <w:webHidden/>
              </w:rPr>
              <w:fldChar w:fldCharType="end"/>
            </w:r>
          </w:hyperlink>
        </w:p>
        <w:p w14:paraId="1DB6AC0A" w14:textId="77777777" w:rsidR="00FD3EAD" w:rsidRPr="006D2D0E" w:rsidRDefault="00FD3EAD" w:rsidP="006D2D0E">
          <w:pPr>
            <w:spacing w:line="360" w:lineRule="auto"/>
            <w:rPr>
              <w:rFonts w:ascii="Arial" w:hAnsi="Arial" w:cs="Arial"/>
              <w:sz w:val="24"/>
              <w:szCs w:val="24"/>
            </w:rPr>
          </w:pPr>
          <w:r w:rsidRPr="006D2D0E">
            <w:rPr>
              <w:rFonts w:ascii="Arial" w:hAnsi="Arial" w:cs="Arial"/>
              <w:b/>
              <w:bCs/>
              <w:noProof/>
              <w:sz w:val="24"/>
              <w:szCs w:val="24"/>
            </w:rPr>
            <w:fldChar w:fldCharType="end"/>
          </w:r>
        </w:p>
      </w:sdtContent>
    </w:sdt>
    <w:p w14:paraId="03F2B987" w14:textId="77777777" w:rsidR="00FD3EAD" w:rsidRPr="006D2D0E" w:rsidRDefault="00FD3EAD" w:rsidP="006D2D0E">
      <w:pPr>
        <w:spacing w:line="360" w:lineRule="auto"/>
        <w:rPr>
          <w:rFonts w:ascii="Arial" w:hAnsi="Arial" w:cs="Arial"/>
          <w:sz w:val="24"/>
          <w:szCs w:val="24"/>
        </w:rPr>
      </w:pPr>
    </w:p>
    <w:p w14:paraId="11C424DF" w14:textId="77777777" w:rsidR="00FD3EAD" w:rsidRPr="006D2D0E" w:rsidRDefault="00FD3EAD" w:rsidP="006D2D0E">
      <w:pPr>
        <w:spacing w:line="360" w:lineRule="auto"/>
        <w:rPr>
          <w:rFonts w:ascii="Arial" w:hAnsi="Arial" w:cs="Arial"/>
          <w:sz w:val="24"/>
          <w:szCs w:val="24"/>
        </w:rPr>
      </w:pPr>
    </w:p>
    <w:p w14:paraId="2CC734A9" w14:textId="77777777" w:rsidR="00FD3EAD" w:rsidRPr="006D2D0E" w:rsidRDefault="00FD3EAD" w:rsidP="006D2D0E">
      <w:pPr>
        <w:spacing w:line="360" w:lineRule="auto"/>
        <w:rPr>
          <w:rFonts w:ascii="Arial" w:hAnsi="Arial" w:cs="Arial"/>
          <w:sz w:val="24"/>
          <w:szCs w:val="24"/>
        </w:rPr>
      </w:pPr>
    </w:p>
    <w:p w14:paraId="713C1354" w14:textId="77777777" w:rsidR="00FD3EAD" w:rsidRPr="006D2D0E" w:rsidRDefault="00FD3EAD" w:rsidP="006D2D0E">
      <w:pPr>
        <w:spacing w:line="360" w:lineRule="auto"/>
        <w:rPr>
          <w:rFonts w:ascii="Arial" w:hAnsi="Arial" w:cs="Arial"/>
          <w:sz w:val="24"/>
          <w:szCs w:val="24"/>
        </w:rPr>
      </w:pPr>
    </w:p>
    <w:p w14:paraId="28BE78D9" w14:textId="77777777" w:rsidR="00D12D5A" w:rsidRDefault="00A405BC" w:rsidP="006D2D0E">
      <w:pPr>
        <w:pStyle w:val="Heading1"/>
        <w:spacing w:line="360" w:lineRule="auto"/>
        <w:rPr>
          <w:rFonts w:ascii="Arial" w:hAnsi="Arial" w:cs="Arial"/>
          <w:sz w:val="24"/>
          <w:szCs w:val="24"/>
        </w:rPr>
      </w:pPr>
      <w:r w:rsidRPr="006D2D0E">
        <w:rPr>
          <w:rFonts w:ascii="Arial" w:hAnsi="Arial" w:cs="Arial"/>
          <w:sz w:val="24"/>
          <w:szCs w:val="24"/>
        </w:rPr>
        <w:t xml:space="preserve">             </w:t>
      </w:r>
    </w:p>
    <w:p w14:paraId="2E2EF613" w14:textId="77777777" w:rsidR="00D12D5A" w:rsidRDefault="00D12D5A" w:rsidP="006D2D0E">
      <w:pPr>
        <w:pStyle w:val="Heading1"/>
        <w:spacing w:line="360" w:lineRule="auto"/>
        <w:rPr>
          <w:rFonts w:ascii="Arial" w:hAnsi="Arial" w:cs="Arial"/>
          <w:sz w:val="24"/>
          <w:szCs w:val="24"/>
        </w:rPr>
      </w:pPr>
    </w:p>
    <w:p w14:paraId="5AA2F731" w14:textId="77777777" w:rsidR="00D12D5A" w:rsidRDefault="00D12D5A" w:rsidP="006D2D0E">
      <w:pPr>
        <w:pStyle w:val="Heading1"/>
        <w:spacing w:line="360" w:lineRule="auto"/>
        <w:rPr>
          <w:rFonts w:ascii="Arial" w:hAnsi="Arial" w:cs="Arial"/>
          <w:sz w:val="24"/>
          <w:szCs w:val="24"/>
        </w:rPr>
      </w:pPr>
    </w:p>
    <w:p w14:paraId="38F1E6CC" w14:textId="77777777" w:rsidR="00D12D5A" w:rsidRDefault="00D12D5A" w:rsidP="00D12D5A"/>
    <w:p w14:paraId="332FEB57" w14:textId="77777777" w:rsidR="00D12D5A" w:rsidRDefault="00D12D5A" w:rsidP="00D12D5A"/>
    <w:p w14:paraId="50642A2B" w14:textId="77777777" w:rsidR="00D12D5A" w:rsidRDefault="00D12D5A" w:rsidP="00D12D5A"/>
    <w:p w14:paraId="2DB28AFD" w14:textId="77777777" w:rsidR="00D12D5A" w:rsidRDefault="00D12D5A" w:rsidP="00D12D5A"/>
    <w:p w14:paraId="358ADDCF" w14:textId="77777777" w:rsidR="00D12D5A" w:rsidRDefault="00D12D5A" w:rsidP="00D12D5A"/>
    <w:p w14:paraId="2B6C1622" w14:textId="77777777" w:rsidR="00D12D5A" w:rsidRDefault="00D12D5A" w:rsidP="00D12D5A"/>
    <w:p w14:paraId="6C99D836" w14:textId="77777777" w:rsidR="00D12D5A" w:rsidRDefault="00D12D5A" w:rsidP="00D12D5A"/>
    <w:p w14:paraId="650882DB" w14:textId="77777777" w:rsidR="00D12D5A" w:rsidRDefault="00D12D5A" w:rsidP="00D12D5A"/>
    <w:p w14:paraId="1290F37D" w14:textId="77777777" w:rsidR="00D12D5A" w:rsidRDefault="00D12D5A" w:rsidP="006D2D0E">
      <w:pPr>
        <w:pStyle w:val="Heading1"/>
        <w:spacing w:line="360" w:lineRule="auto"/>
        <w:rPr>
          <w:rFonts w:ascii="Arial" w:hAnsi="Arial" w:cs="Arial"/>
          <w:sz w:val="24"/>
          <w:szCs w:val="24"/>
        </w:rPr>
      </w:pPr>
    </w:p>
    <w:p w14:paraId="5DD9B369" w14:textId="77777777" w:rsidR="00D12D5A" w:rsidRPr="00D12D5A" w:rsidRDefault="00D12D5A" w:rsidP="00D12D5A">
      <w:r>
        <w:t xml:space="preserve"> </w:t>
      </w:r>
    </w:p>
    <w:p w14:paraId="03C4BB69" w14:textId="77777777" w:rsidR="00B34D19" w:rsidRPr="006D2D0E" w:rsidRDefault="00A405BC" w:rsidP="006D2D0E">
      <w:pPr>
        <w:pStyle w:val="Heading1"/>
        <w:spacing w:line="360" w:lineRule="auto"/>
        <w:rPr>
          <w:rFonts w:ascii="Arial" w:hAnsi="Arial" w:cs="Arial"/>
          <w:sz w:val="24"/>
          <w:szCs w:val="24"/>
        </w:rPr>
      </w:pPr>
      <w:r w:rsidRPr="006D2D0E">
        <w:rPr>
          <w:rFonts w:ascii="Arial" w:hAnsi="Arial" w:cs="Arial"/>
          <w:sz w:val="24"/>
          <w:szCs w:val="24"/>
        </w:rPr>
        <w:lastRenderedPageBreak/>
        <w:t xml:space="preserve">                                </w:t>
      </w:r>
      <w:r w:rsidR="00D12D5A">
        <w:rPr>
          <w:rFonts w:ascii="Arial" w:hAnsi="Arial" w:cs="Arial"/>
          <w:sz w:val="24"/>
          <w:szCs w:val="24"/>
        </w:rPr>
        <w:t xml:space="preserve">                     </w:t>
      </w:r>
      <w:r w:rsidRPr="006D2D0E">
        <w:rPr>
          <w:rFonts w:ascii="Arial" w:hAnsi="Arial" w:cs="Arial"/>
          <w:sz w:val="24"/>
          <w:szCs w:val="24"/>
        </w:rPr>
        <w:t xml:space="preserve"> </w:t>
      </w:r>
      <w:bookmarkStart w:id="0" w:name="_Toc131331830"/>
      <w:r w:rsidRPr="006D2D0E">
        <w:rPr>
          <w:rFonts w:ascii="Arial" w:hAnsi="Arial" w:cs="Arial"/>
          <w:sz w:val="24"/>
          <w:szCs w:val="24"/>
        </w:rPr>
        <w:t>Introduction</w:t>
      </w:r>
      <w:bookmarkEnd w:id="0"/>
    </w:p>
    <w:p w14:paraId="2D564CB7" w14:textId="77777777" w:rsidR="00B34D19" w:rsidRPr="006D2D0E" w:rsidRDefault="00B34D19" w:rsidP="006D2D0E">
      <w:pPr>
        <w:spacing w:line="360" w:lineRule="auto"/>
        <w:rPr>
          <w:rFonts w:ascii="Arial" w:hAnsi="Arial" w:cs="Arial"/>
          <w:sz w:val="24"/>
          <w:szCs w:val="24"/>
        </w:rPr>
      </w:pPr>
      <w:r w:rsidRPr="006D2D0E">
        <w:rPr>
          <w:rFonts w:ascii="Arial" w:hAnsi="Arial" w:cs="Arial"/>
          <w:sz w:val="24"/>
          <w:szCs w:val="24"/>
        </w:rPr>
        <w:t xml:space="preserve">The oil and gas sector </w:t>
      </w:r>
      <w:r w:rsidR="00A405BC" w:rsidRPr="006D2D0E">
        <w:rPr>
          <w:rFonts w:ascii="Arial" w:hAnsi="Arial" w:cs="Arial"/>
          <w:sz w:val="24"/>
          <w:szCs w:val="24"/>
        </w:rPr>
        <w:t>is</w:t>
      </w:r>
      <w:r w:rsidRPr="006D2D0E">
        <w:rPr>
          <w:rFonts w:ascii="Arial" w:hAnsi="Arial" w:cs="Arial"/>
          <w:sz w:val="24"/>
          <w:szCs w:val="24"/>
        </w:rPr>
        <w:t xml:space="preserve"> a crucial industry that plays a significant role in the global economy. It is responsible for the exploration, extraction, refining, and distribution of oil and gas products, which are used in various sectors such as transportation, manufacturing, and electricity generation.</w:t>
      </w:r>
      <w:r w:rsidR="00A405BC" w:rsidRPr="006D2D0E">
        <w:rPr>
          <w:rFonts w:ascii="Arial" w:hAnsi="Arial" w:cs="Arial"/>
          <w:sz w:val="24"/>
          <w:szCs w:val="24"/>
        </w:rPr>
        <w:t xml:space="preserve"> This industry is heavily regulated and made up of numerous businesses engaged in upstream to downstream activities. Oil exploration and production are considered upstream operations, whilst oil refining and marketing are considered downstream activities. At the end of 2022 generate its highest-ever free cash flows of $1.4 trillion. 93% of O&amp;G executives state they’re positive about the industry in 2023 (</w:t>
      </w:r>
      <w:proofErr w:type="spellStart"/>
      <w:r w:rsidR="00A405BC" w:rsidRPr="006D2D0E">
        <w:rPr>
          <w:rFonts w:ascii="Arial" w:hAnsi="Arial" w:cs="Arial"/>
          <w:sz w:val="24"/>
          <w:szCs w:val="24"/>
        </w:rPr>
        <w:t>Delloite</w:t>
      </w:r>
      <w:proofErr w:type="spellEnd"/>
      <w:r w:rsidR="00A405BC" w:rsidRPr="006D2D0E">
        <w:rPr>
          <w:rFonts w:ascii="Arial" w:hAnsi="Arial" w:cs="Arial"/>
          <w:sz w:val="24"/>
          <w:szCs w:val="24"/>
        </w:rPr>
        <w:t>, 2023)</w:t>
      </w:r>
    </w:p>
    <w:p w14:paraId="62C9CA57" w14:textId="77777777" w:rsidR="00A405BC" w:rsidRPr="006D2D0E" w:rsidRDefault="00A405BC" w:rsidP="006D2D0E">
      <w:pPr>
        <w:spacing w:line="360" w:lineRule="auto"/>
        <w:rPr>
          <w:rFonts w:ascii="Arial" w:hAnsi="Arial" w:cs="Arial"/>
          <w:sz w:val="24"/>
          <w:szCs w:val="24"/>
        </w:rPr>
      </w:pPr>
      <w:r w:rsidRPr="006D2D0E">
        <w:rPr>
          <w:rFonts w:ascii="Arial" w:hAnsi="Arial" w:cs="Arial"/>
          <w:sz w:val="24"/>
          <w:szCs w:val="24"/>
        </w:rPr>
        <w:t>The aim of this essay is to analyse</w:t>
      </w:r>
      <w:r w:rsidR="00B34D19" w:rsidRPr="006D2D0E">
        <w:rPr>
          <w:rFonts w:ascii="Arial" w:hAnsi="Arial" w:cs="Arial"/>
          <w:sz w:val="24"/>
          <w:szCs w:val="24"/>
        </w:rPr>
        <w:t xml:space="preserve"> two major players in the oil and gas industry - </w:t>
      </w:r>
      <w:proofErr w:type="spellStart"/>
      <w:r w:rsidR="00B34D19" w:rsidRPr="006D2D0E">
        <w:rPr>
          <w:rFonts w:ascii="Arial" w:hAnsi="Arial" w:cs="Arial"/>
          <w:sz w:val="24"/>
          <w:szCs w:val="24"/>
        </w:rPr>
        <w:t>TotalEnergies</w:t>
      </w:r>
      <w:proofErr w:type="spellEnd"/>
      <w:r w:rsidR="00B34D19" w:rsidRPr="006D2D0E">
        <w:rPr>
          <w:rFonts w:ascii="Arial" w:hAnsi="Arial" w:cs="Arial"/>
          <w:sz w:val="24"/>
          <w:szCs w:val="24"/>
        </w:rPr>
        <w:t xml:space="preserve"> SE and ENEOS Corporation. </w:t>
      </w:r>
    </w:p>
    <w:p w14:paraId="72645ED8" w14:textId="77777777" w:rsidR="00B34D19" w:rsidRPr="006D2D0E" w:rsidRDefault="00B34D19" w:rsidP="006D2D0E">
      <w:pPr>
        <w:spacing w:line="360" w:lineRule="auto"/>
        <w:rPr>
          <w:rFonts w:ascii="Arial" w:hAnsi="Arial" w:cs="Arial"/>
          <w:sz w:val="24"/>
          <w:szCs w:val="24"/>
        </w:rPr>
      </w:pPr>
      <w:proofErr w:type="spellStart"/>
      <w:r w:rsidRPr="006D2D0E">
        <w:rPr>
          <w:rFonts w:ascii="Arial" w:hAnsi="Arial" w:cs="Arial"/>
          <w:sz w:val="24"/>
          <w:szCs w:val="24"/>
        </w:rPr>
        <w:t>TotalEnergies</w:t>
      </w:r>
      <w:proofErr w:type="spellEnd"/>
      <w:r w:rsidRPr="006D2D0E">
        <w:rPr>
          <w:rFonts w:ascii="Arial" w:hAnsi="Arial" w:cs="Arial"/>
          <w:sz w:val="24"/>
          <w:szCs w:val="24"/>
        </w:rPr>
        <w:t xml:space="preserve"> SE</w:t>
      </w:r>
      <w:r w:rsidR="00662E10" w:rsidRPr="006D2D0E">
        <w:rPr>
          <w:rFonts w:ascii="Arial" w:hAnsi="Arial" w:cs="Arial"/>
          <w:sz w:val="24"/>
          <w:szCs w:val="24"/>
        </w:rPr>
        <w:t xml:space="preserve">, headquarter in Europa, </w:t>
      </w:r>
      <w:r w:rsidRPr="006D2D0E">
        <w:rPr>
          <w:rFonts w:ascii="Arial" w:hAnsi="Arial" w:cs="Arial"/>
          <w:sz w:val="24"/>
          <w:szCs w:val="24"/>
        </w:rPr>
        <w:t xml:space="preserve">is a French multinational energy company that was founded in 1924. It operates in more than 130 countries and </w:t>
      </w:r>
      <w:r w:rsidR="00FE2F55" w:rsidRPr="006D2D0E">
        <w:rPr>
          <w:rFonts w:ascii="Arial" w:hAnsi="Arial" w:cs="Arial"/>
          <w:sz w:val="24"/>
          <w:szCs w:val="24"/>
        </w:rPr>
        <w:t>with</w:t>
      </w:r>
      <w:r w:rsidR="00662E10" w:rsidRPr="006D2D0E">
        <w:rPr>
          <w:rFonts w:ascii="Arial" w:hAnsi="Arial" w:cs="Arial"/>
          <w:sz w:val="24"/>
          <w:szCs w:val="24"/>
        </w:rPr>
        <w:t xml:space="preserve"> a 13% market share, it is among the top oil and gas firms in France (</w:t>
      </w:r>
      <w:proofErr w:type="spellStart"/>
      <w:r w:rsidR="00662E10" w:rsidRPr="006D2D0E">
        <w:rPr>
          <w:rFonts w:ascii="Arial" w:hAnsi="Arial" w:cs="Arial"/>
          <w:sz w:val="24"/>
          <w:szCs w:val="24"/>
        </w:rPr>
        <w:t>TotalEnergies</w:t>
      </w:r>
      <w:proofErr w:type="spellEnd"/>
      <w:r w:rsidR="00662E10" w:rsidRPr="006D2D0E">
        <w:rPr>
          <w:rFonts w:ascii="Arial" w:hAnsi="Arial" w:cs="Arial"/>
          <w:sz w:val="24"/>
          <w:szCs w:val="24"/>
        </w:rPr>
        <w:t xml:space="preserve">, 2023). </w:t>
      </w:r>
      <w:proofErr w:type="spellStart"/>
      <w:r w:rsidRPr="006D2D0E">
        <w:rPr>
          <w:rFonts w:ascii="Arial" w:hAnsi="Arial" w:cs="Arial"/>
          <w:sz w:val="24"/>
          <w:szCs w:val="24"/>
        </w:rPr>
        <w:t>TotalEnergies</w:t>
      </w:r>
      <w:proofErr w:type="spellEnd"/>
      <w:r w:rsidRPr="006D2D0E">
        <w:rPr>
          <w:rFonts w:ascii="Arial" w:hAnsi="Arial" w:cs="Arial"/>
          <w:sz w:val="24"/>
          <w:szCs w:val="24"/>
        </w:rPr>
        <w:t xml:space="preserve"> SE employs over 10</w:t>
      </w:r>
      <w:r w:rsidR="00A405BC" w:rsidRPr="006D2D0E">
        <w:rPr>
          <w:rFonts w:ascii="Arial" w:hAnsi="Arial" w:cs="Arial"/>
          <w:sz w:val="24"/>
          <w:szCs w:val="24"/>
        </w:rPr>
        <w:t>1.000</w:t>
      </w:r>
      <w:r w:rsidRPr="006D2D0E">
        <w:rPr>
          <w:rFonts w:ascii="Arial" w:hAnsi="Arial" w:cs="Arial"/>
          <w:sz w:val="24"/>
          <w:szCs w:val="24"/>
        </w:rPr>
        <w:t xml:space="preserve"> employees and operates in all segments of the oil and gas industry, including upstream, downstream, and renewable energy (</w:t>
      </w:r>
      <w:r w:rsidR="00A405BC" w:rsidRPr="006D2D0E">
        <w:rPr>
          <w:rFonts w:ascii="Arial" w:hAnsi="Arial" w:cs="Arial"/>
          <w:sz w:val="24"/>
          <w:szCs w:val="24"/>
        </w:rPr>
        <w:t>Macrotrends,2023</w:t>
      </w:r>
      <w:r w:rsidRPr="006D2D0E">
        <w:rPr>
          <w:rFonts w:ascii="Arial" w:hAnsi="Arial" w:cs="Arial"/>
          <w:sz w:val="24"/>
          <w:szCs w:val="24"/>
        </w:rPr>
        <w:t>).</w:t>
      </w:r>
      <w:r w:rsidR="00FE2F55" w:rsidRPr="006D2D0E">
        <w:rPr>
          <w:rFonts w:ascii="Arial" w:hAnsi="Arial" w:cs="Arial"/>
          <w:sz w:val="24"/>
          <w:szCs w:val="24"/>
        </w:rPr>
        <w:t xml:space="preserve"> Automobile, aviation, and chemical sectors are just a few of the industries represented in its customer profile (</w:t>
      </w:r>
      <w:proofErr w:type="spellStart"/>
      <w:r w:rsidR="00FE2F55" w:rsidRPr="006D2D0E">
        <w:rPr>
          <w:rFonts w:ascii="Arial" w:hAnsi="Arial" w:cs="Arial"/>
          <w:sz w:val="24"/>
          <w:szCs w:val="24"/>
        </w:rPr>
        <w:t>TotalEnergies</w:t>
      </w:r>
      <w:proofErr w:type="spellEnd"/>
      <w:r w:rsidR="00FE2F55" w:rsidRPr="006D2D0E">
        <w:rPr>
          <w:rFonts w:ascii="Arial" w:hAnsi="Arial" w:cs="Arial"/>
          <w:sz w:val="24"/>
          <w:szCs w:val="24"/>
        </w:rPr>
        <w:t>, 2023).</w:t>
      </w:r>
    </w:p>
    <w:p w14:paraId="0F976C3F" w14:textId="77777777" w:rsidR="00B34D19" w:rsidRPr="006D2D0E" w:rsidRDefault="00B34D19" w:rsidP="006D2D0E">
      <w:pPr>
        <w:spacing w:line="360" w:lineRule="auto"/>
        <w:rPr>
          <w:rFonts w:ascii="Arial" w:hAnsi="Arial" w:cs="Arial"/>
          <w:sz w:val="24"/>
          <w:szCs w:val="24"/>
        </w:rPr>
      </w:pPr>
      <w:r w:rsidRPr="006D2D0E">
        <w:rPr>
          <w:rFonts w:ascii="Arial" w:hAnsi="Arial" w:cs="Arial"/>
          <w:sz w:val="24"/>
          <w:szCs w:val="24"/>
        </w:rPr>
        <w:t xml:space="preserve">On the other hand, ENEOS Corporation is a Japanese integrated energy company that was </w:t>
      </w:r>
      <w:r w:rsidR="00FE2F55" w:rsidRPr="006D2D0E">
        <w:rPr>
          <w:rFonts w:ascii="Arial" w:hAnsi="Arial" w:cs="Arial"/>
          <w:sz w:val="24"/>
          <w:szCs w:val="24"/>
        </w:rPr>
        <w:t>found in 1888 in Tokyo, Asia and is the largest in Japan.</w:t>
      </w:r>
      <w:r w:rsidRPr="006D2D0E">
        <w:rPr>
          <w:rFonts w:ascii="Arial" w:hAnsi="Arial" w:cs="Arial"/>
          <w:sz w:val="24"/>
          <w:szCs w:val="24"/>
        </w:rPr>
        <w:t xml:space="preserve"> </w:t>
      </w:r>
      <w:r w:rsidR="00FE2F55" w:rsidRPr="006D2D0E">
        <w:rPr>
          <w:rFonts w:ascii="Arial" w:hAnsi="Arial" w:cs="Arial"/>
          <w:sz w:val="24"/>
          <w:szCs w:val="24"/>
        </w:rPr>
        <w:t>In 2020 have around 40.75 thousand employees (Statista, 2023) and a market share of roughly 18% in Japan, it is a major producer of oil and gas there (</w:t>
      </w:r>
      <w:proofErr w:type="spellStart"/>
      <w:r w:rsidR="00FE2F55" w:rsidRPr="006D2D0E">
        <w:rPr>
          <w:rFonts w:ascii="Arial" w:hAnsi="Arial" w:cs="Arial"/>
          <w:sz w:val="24"/>
          <w:szCs w:val="24"/>
        </w:rPr>
        <w:t>Eneos</w:t>
      </w:r>
      <w:proofErr w:type="spellEnd"/>
      <w:r w:rsidR="00FE2F55" w:rsidRPr="006D2D0E">
        <w:rPr>
          <w:rFonts w:ascii="Arial" w:hAnsi="Arial" w:cs="Arial"/>
          <w:sz w:val="24"/>
          <w:szCs w:val="24"/>
        </w:rPr>
        <w:t xml:space="preserve">, 2023). The main competitors are JXTG and </w:t>
      </w:r>
      <w:proofErr w:type="spellStart"/>
      <w:r w:rsidR="00FE2F55" w:rsidRPr="006D2D0E">
        <w:rPr>
          <w:rFonts w:ascii="Arial" w:hAnsi="Arial" w:cs="Arial"/>
          <w:sz w:val="24"/>
          <w:szCs w:val="24"/>
        </w:rPr>
        <w:t>Idemitsu</w:t>
      </w:r>
      <w:proofErr w:type="spellEnd"/>
      <w:r w:rsidR="00FE2F55" w:rsidRPr="006D2D0E">
        <w:rPr>
          <w:rFonts w:ascii="Arial" w:hAnsi="Arial" w:cs="Arial"/>
          <w:sz w:val="24"/>
          <w:szCs w:val="24"/>
        </w:rPr>
        <w:t>. O</w:t>
      </w:r>
      <w:r w:rsidRPr="006D2D0E">
        <w:rPr>
          <w:rFonts w:ascii="Arial" w:hAnsi="Arial" w:cs="Arial"/>
          <w:sz w:val="24"/>
          <w:szCs w:val="24"/>
        </w:rPr>
        <w:t>perates in all segments of the oil and gas industry, including upstream, downstream, and petrochemicals</w:t>
      </w:r>
      <w:r w:rsidR="00FE2F55" w:rsidRPr="006D2D0E">
        <w:rPr>
          <w:rFonts w:ascii="Arial" w:hAnsi="Arial" w:cs="Arial"/>
          <w:sz w:val="24"/>
          <w:szCs w:val="24"/>
        </w:rPr>
        <w:t>,</w:t>
      </w:r>
      <w:r w:rsidRPr="006D2D0E">
        <w:rPr>
          <w:rFonts w:ascii="Arial" w:hAnsi="Arial" w:cs="Arial"/>
          <w:sz w:val="24"/>
          <w:szCs w:val="24"/>
        </w:rPr>
        <w:t xml:space="preserve"> </w:t>
      </w:r>
      <w:r w:rsidR="00FE2F55" w:rsidRPr="006D2D0E">
        <w:rPr>
          <w:rFonts w:ascii="Arial" w:hAnsi="Arial" w:cs="Arial"/>
          <w:sz w:val="24"/>
          <w:szCs w:val="24"/>
        </w:rPr>
        <w:t>automobile, construction, chemicals, and electronics are just a few of the industries represented in its customer profile (</w:t>
      </w:r>
      <w:proofErr w:type="spellStart"/>
      <w:r w:rsidR="00FE2F55" w:rsidRPr="006D2D0E">
        <w:rPr>
          <w:rFonts w:ascii="Arial" w:hAnsi="Arial" w:cs="Arial"/>
          <w:sz w:val="24"/>
          <w:szCs w:val="24"/>
        </w:rPr>
        <w:t>Eneos</w:t>
      </w:r>
      <w:proofErr w:type="spellEnd"/>
      <w:r w:rsidR="00FE2F55" w:rsidRPr="006D2D0E">
        <w:rPr>
          <w:rFonts w:ascii="Arial" w:hAnsi="Arial" w:cs="Arial"/>
          <w:sz w:val="24"/>
          <w:szCs w:val="24"/>
        </w:rPr>
        <w:t>, 2023).</w:t>
      </w:r>
    </w:p>
    <w:p w14:paraId="3F207664" w14:textId="77777777" w:rsidR="00B34D19" w:rsidRPr="006D2D0E" w:rsidRDefault="00B34D19" w:rsidP="006D2D0E">
      <w:pPr>
        <w:spacing w:line="360" w:lineRule="auto"/>
        <w:rPr>
          <w:rFonts w:ascii="Arial" w:hAnsi="Arial" w:cs="Arial"/>
          <w:sz w:val="24"/>
          <w:szCs w:val="24"/>
        </w:rPr>
      </w:pPr>
      <w:r w:rsidRPr="006D2D0E">
        <w:rPr>
          <w:rFonts w:ascii="Arial" w:hAnsi="Arial" w:cs="Arial"/>
          <w:sz w:val="24"/>
          <w:szCs w:val="24"/>
        </w:rPr>
        <w:t xml:space="preserve">This study will </w:t>
      </w:r>
      <w:r w:rsidR="00FE2F55" w:rsidRPr="006D2D0E">
        <w:rPr>
          <w:rFonts w:ascii="Arial" w:hAnsi="Arial" w:cs="Arial"/>
          <w:sz w:val="24"/>
          <w:szCs w:val="24"/>
        </w:rPr>
        <w:t>analyse</w:t>
      </w:r>
      <w:r w:rsidRPr="006D2D0E">
        <w:rPr>
          <w:rFonts w:ascii="Arial" w:hAnsi="Arial" w:cs="Arial"/>
          <w:sz w:val="24"/>
          <w:szCs w:val="24"/>
        </w:rPr>
        <w:t xml:space="preserve"> the HR department's role in the merger and acquisition process between </w:t>
      </w:r>
      <w:proofErr w:type="spellStart"/>
      <w:r w:rsidRPr="006D2D0E">
        <w:rPr>
          <w:rFonts w:ascii="Arial" w:hAnsi="Arial" w:cs="Arial"/>
          <w:sz w:val="24"/>
          <w:szCs w:val="24"/>
        </w:rPr>
        <w:t>TotalEnergies</w:t>
      </w:r>
      <w:proofErr w:type="spellEnd"/>
      <w:r w:rsidRPr="006D2D0E">
        <w:rPr>
          <w:rFonts w:ascii="Arial" w:hAnsi="Arial" w:cs="Arial"/>
          <w:sz w:val="24"/>
          <w:szCs w:val="24"/>
        </w:rPr>
        <w:t xml:space="preserve"> SE and ENEOS Corporation, focusing on the institutional and cultural differences between France and Japan and the importance of International Human Resource Management (IHRM) in implementing effective mergers and acquisitions.</w:t>
      </w:r>
    </w:p>
    <w:p w14:paraId="5B6ABB6F" w14:textId="77777777" w:rsidR="00282705" w:rsidRPr="006D2D0E" w:rsidRDefault="00282705" w:rsidP="006D2D0E">
      <w:pPr>
        <w:pStyle w:val="Heading1"/>
        <w:spacing w:line="360" w:lineRule="auto"/>
        <w:rPr>
          <w:rFonts w:ascii="Arial" w:hAnsi="Arial" w:cs="Arial"/>
          <w:sz w:val="24"/>
          <w:szCs w:val="24"/>
        </w:rPr>
      </w:pPr>
      <w:r w:rsidRPr="006D2D0E">
        <w:rPr>
          <w:rFonts w:ascii="Arial" w:hAnsi="Arial" w:cs="Arial"/>
          <w:sz w:val="24"/>
          <w:szCs w:val="24"/>
        </w:rPr>
        <w:lastRenderedPageBreak/>
        <w:t xml:space="preserve">         </w:t>
      </w:r>
      <w:bookmarkStart w:id="1" w:name="_Toc131331831"/>
      <w:r w:rsidRPr="006D2D0E">
        <w:rPr>
          <w:rFonts w:ascii="Arial" w:hAnsi="Arial" w:cs="Arial"/>
          <w:sz w:val="24"/>
          <w:szCs w:val="24"/>
        </w:rPr>
        <w:t xml:space="preserve">Section 1: Part 1 Cultural Analysis of </w:t>
      </w:r>
      <w:r w:rsidR="002A70BD" w:rsidRPr="006D2D0E">
        <w:rPr>
          <w:rFonts w:ascii="Arial" w:hAnsi="Arial" w:cs="Arial"/>
          <w:sz w:val="24"/>
          <w:szCs w:val="24"/>
        </w:rPr>
        <w:t>France and Japan</w:t>
      </w:r>
      <w:bookmarkEnd w:id="1"/>
    </w:p>
    <w:p w14:paraId="28A57AC0" w14:textId="77777777" w:rsidR="00AA3910" w:rsidRPr="00AA3910" w:rsidRDefault="00AA3910" w:rsidP="006D2D0E">
      <w:pPr>
        <w:spacing w:line="360" w:lineRule="auto"/>
        <w:rPr>
          <w:rFonts w:ascii="Arial" w:hAnsi="Arial" w:cs="Arial"/>
          <w:sz w:val="24"/>
          <w:szCs w:val="24"/>
        </w:rPr>
      </w:pPr>
      <w:r w:rsidRPr="00AA3910">
        <w:rPr>
          <w:rFonts w:ascii="Arial" w:hAnsi="Arial" w:cs="Arial"/>
          <w:sz w:val="24"/>
          <w:szCs w:val="24"/>
        </w:rPr>
        <w:t>International mergers and acquisitions (M&amp;As) are a common practice for firms looking to expand into new markets and grow their business (</w:t>
      </w:r>
      <w:proofErr w:type="spellStart"/>
      <w:r w:rsidRPr="00AA3910">
        <w:rPr>
          <w:rFonts w:ascii="Arial" w:hAnsi="Arial" w:cs="Arial"/>
          <w:sz w:val="24"/>
          <w:szCs w:val="24"/>
        </w:rPr>
        <w:t>Antila</w:t>
      </w:r>
      <w:proofErr w:type="spellEnd"/>
      <w:r w:rsidRPr="00AA3910">
        <w:rPr>
          <w:rFonts w:ascii="Arial" w:hAnsi="Arial" w:cs="Arial"/>
          <w:sz w:val="24"/>
          <w:szCs w:val="24"/>
        </w:rPr>
        <w:t xml:space="preserve">, 2005). </w:t>
      </w:r>
      <w:proofErr w:type="gramStart"/>
      <w:r w:rsidRPr="00AA3910">
        <w:rPr>
          <w:rFonts w:ascii="Arial" w:hAnsi="Arial" w:cs="Arial"/>
          <w:sz w:val="24"/>
          <w:szCs w:val="24"/>
        </w:rPr>
        <w:t>In order for</w:t>
      </w:r>
      <w:proofErr w:type="gramEnd"/>
      <w:r w:rsidRPr="00AA3910">
        <w:rPr>
          <w:rFonts w:ascii="Arial" w:hAnsi="Arial" w:cs="Arial"/>
          <w:sz w:val="24"/>
          <w:szCs w:val="24"/>
        </w:rPr>
        <w:t xml:space="preserve"> these mergers and acquisitions (M&amp;As) to be successful, it is essential to have a solid understanding of the various facets of HRM that will be impacted by the combination of the two companies (Rodriquez Sanchez et al., 2018). </w:t>
      </w:r>
    </w:p>
    <w:p w14:paraId="6F62E107" w14:textId="77777777" w:rsidR="00AA3910" w:rsidRPr="006D2D0E" w:rsidRDefault="00AA3910" w:rsidP="006D2D0E">
      <w:pPr>
        <w:spacing w:line="360" w:lineRule="auto"/>
        <w:rPr>
          <w:rFonts w:ascii="Arial" w:hAnsi="Arial" w:cs="Arial"/>
          <w:sz w:val="24"/>
          <w:szCs w:val="24"/>
        </w:rPr>
      </w:pPr>
      <w:r w:rsidRPr="006D2D0E">
        <w:rPr>
          <w:rFonts w:ascii="Arial" w:hAnsi="Arial" w:cs="Arial"/>
          <w:sz w:val="24"/>
          <w:szCs w:val="24"/>
        </w:rPr>
        <w:t>Culture plays a significant role in the success or failure of a merger or acquisition.</w:t>
      </w:r>
    </w:p>
    <w:p w14:paraId="3F5FBC1C" w14:textId="77777777" w:rsidR="00282705" w:rsidRPr="006D2D0E" w:rsidRDefault="00282705" w:rsidP="006D2D0E">
      <w:pPr>
        <w:spacing w:line="360" w:lineRule="auto"/>
        <w:rPr>
          <w:rFonts w:ascii="Arial" w:hAnsi="Arial" w:cs="Arial"/>
          <w:sz w:val="24"/>
          <w:szCs w:val="24"/>
        </w:rPr>
      </w:pPr>
      <w:r w:rsidRPr="006D2D0E">
        <w:rPr>
          <w:rFonts w:ascii="Arial" w:hAnsi="Arial" w:cs="Arial"/>
          <w:sz w:val="24"/>
          <w:szCs w:val="24"/>
        </w:rPr>
        <w:t>Culture can be defined as the shared beliefs, values, customs, behaviours, and artifacts that characterize a group or society (Hofstede, 2001). Culture influences how individuals perceive and interact with their environment, including how they communicate, make decisions, and behave in social situations. As such, understanding the cultural differences and similarities between countries is critical for organizations operating in a global context.</w:t>
      </w:r>
    </w:p>
    <w:p w14:paraId="56C04DAB" w14:textId="77777777" w:rsidR="00335F9C" w:rsidRPr="00335F9C" w:rsidRDefault="00335F9C" w:rsidP="006D2D0E">
      <w:pPr>
        <w:spacing w:line="360" w:lineRule="auto"/>
        <w:rPr>
          <w:rFonts w:ascii="Arial" w:hAnsi="Arial" w:cs="Arial"/>
          <w:sz w:val="24"/>
          <w:szCs w:val="24"/>
        </w:rPr>
      </w:pPr>
      <w:r w:rsidRPr="00335F9C">
        <w:rPr>
          <w:rFonts w:ascii="Arial" w:hAnsi="Arial" w:cs="Arial"/>
          <w:sz w:val="24"/>
          <w:szCs w:val="24"/>
        </w:rPr>
        <w:t xml:space="preserve">The Hofstede model can be used to analyse the cultures of France and Japan. </w:t>
      </w:r>
    </w:p>
    <w:p w14:paraId="2A708E9C" w14:textId="77777777" w:rsidR="00282705" w:rsidRPr="006D2D0E" w:rsidRDefault="00335F9C" w:rsidP="006D2D0E">
      <w:pPr>
        <w:spacing w:line="360" w:lineRule="auto"/>
        <w:rPr>
          <w:rFonts w:ascii="Arial" w:hAnsi="Arial" w:cs="Arial"/>
          <w:sz w:val="24"/>
          <w:szCs w:val="24"/>
        </w:rPr>
      </w:pPr>
      <w:r w:rsidRPr="006D2D0E">
        <w:rPr>
          <w:rFonts w:ascii="Arial" w:hAnsi="Arial" w:cs="Arial"/>
          <w:sz w:val="24"/>
          <w:szCs w:val="24"/>
        </w:rPr>
        <w:t xml:space="preserve">Geert Hofstede, a Dutch psychologist, created this model in the 1970s to assess cultural variance between nations. </w:t>
      </w:r>
      <w:r w:rsidR="00282705" w:rsidRPr="006D2D0E">
        <w:rPr>
          <w:rFonts w:ascii="Arial" w:hAnsi="Arial" w:cs="Arial"/>
          <w:sz w:val="24"/>
          <w:szCs w:val="24"/>
        </w:rPr>
        <w:t>Hofstede's cultural dimensions theory identifies six dimensions of culture (Hofstede, 2001).</w:t>
      </w:r>
    </w:p>
    <w:p w14:paraId="3B1BC952" w14:textId="77777777" w:rsidR="00282705" w:rsidRPr="006D2D0E" w:rsidRDefault="00282705" w:rsidP="006D2D0E">
      <w:pPr>
        <w:spacing w:line="360" w:lineRule="auto"/>
        <w:rPr>
          <w:rFonts w:ascii="Arial" w:hAnsi="Arial" w:cs="Arial"/>
          <w:sz w:val="24"/>
          <w:szCs w:val="24"/>
        </w:rPr>
      </w:pPr>
      <w:r w:rsidRPr="006D2D0E">
        <w:rPr>
          <w:rFonts w:ascii="Arial" w:hAnsi="Arial" w:cs="Arial"/>
          <w:noProof/>
          <w:sz w:val="24"/>
          <w:szCs w:val="24"/>
        </w:rPr>
        <w:drawing>
          <wp:inline distT="0" distB="0" distL="0" distR="0" wp14:anchorId="6D72E750" wp14:editId="6C20C9D7">
            <wp:extent cx="4664075" cy="324358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4075" cy="3243580"/>
                    </a:xfrm>
                    <a:prstGeom prst="rect">
                      <a:avLst/>
                    </a:prstGeom>
                    <a:noFill/>
                  </pic:spPr>
                </pic:pic>
              </a:graphicData>
            </a:graphic>
          </wp:inline>
        </w:drawing>
      </w:r>
    </w:p>
    <w:p w14:paraId="34070FAE" w14:textId="77777777" w:rsidR="00282705" w:rsidRPr="006D2D0E" w:rsidRDefault="00282705" w:rsidP="006D2D0E">
      <w:pPr>
        <w:spacing w:line="360" w:lineRule="auto"/>
        <w:rPr>
          <w:rFonts w:ascii="Arial" w:hAnsi="Arial" w:cs="Arial"/>
          <w:sz w:val="24"/>
          <w:szCs w:val="24"/>
        </w:rPr>
      </w:pPr>
      <w:r w:rsidRPr="006D2D0E">
        <w:rPr>
          <w:rFonts w:ascii="Arial" w:hAnsi="Arial" w:cs="Arial"/>
          <w:sz w:val="24"/>
          <w:szCs w:val="24"/>
        </w:rPr>
        <w:t xml:space="preserve">                             (</w:t>
      </w:r>
      <w:r w:rsidR="00335F9C" w:rsidRPr="006D2D0E">
        <w:rPr>
          <w:rFonts w:ascii="Arial" w:hAnsi="Arial" w:cs="Arial"/>
          <w:sz w:val="24"/>
          <w:szCs w:val="24"/>
        </w:rPr>
        <w:t>Source</w:t>
      </w:r>
      <w:r w:rsidRPr="006D2D0E">
        <w:rPr>
          <w:rFonts w:ascii="Arial" w:hAnsi="Arial" w:cs="Arial"/>
          <w:sz w:val="24"/>
          <w:szCs w:val="24"/>
        </w:rPr>
        <w:t>: Hofstede’s Cultural Differences, 1970)</w:t>
      </w:r>
    </w:p>
    <w:p w14:paraId="0DF1453B" w14:textId="77777777" w:rsidR="00282705" w:rsidRPr="006D2D0E" w:rsidRDefault="00282705" w:rsidP="006D2D0E">
      <w:pPr>
        <w:spacing w:line="360" w:lineRule="auto"/>
        <w:rPr>
          <w:rFonts w:ascii="Arial" w:hAnsi="Arial" w:cs="Arial"/>
          <w:sz w:val="24"/>
          <w:szCs w:val="24"/>
        </w:rPr>
      </w:pPr>
    </w:p>
    <w:p w14:paraId="7BF992B1" w14:textId="77777777" w:rsidR="00335F9C" w:rsidRPr="006D2D0E" w:rsidRDefault="00335F9C" w:rsidP="006D2D0E">
      <w:pPr>
        <w:spacing w:line="360" w:lineRule="auto"/>
        <w:rPr>
          <w:rFonts w:ascii="Arial" w:hAnsi="Arial" w:cs="Arial"/>
          <w:sz w:val="24"/>
          <w:szCs w:val="24"/>
        </w:rPr>
      </w:pPr>
      <w:r w:rsidRPr="006D2D0E">
        <w:rPr>
          <w:rFonts w:ascii="Arial" w:hAnsi="Arial" w:cs="Arial"/>
          <w:sz w:val="24"/>
          <w:szCs w:val="24"/>
        </w:rPr>
        <w:t>France exhibits high levels of individuality, moderate levels of power distance, low levels of masculinity, and high levels of uncertainty avoidance.  Thus, it may be said that French people value independence and self-reliance more than hierarchy and power. Also, they are more inclined to be cautious when making decisions and to take less risks (Hofstede Insights, 2023). Comparatively Japan is characterized by high levels of collectivism, power distance, masculinity, and uncertainty avoidance.</w:t>
      </w:r>
    </w:p>
    <w:p w14:paraId="307D7B3A" w14:textId="77777777" w:rsidR="00282705" w:rsidRPr="006D2D0E" w:rsidRDefault="00282705" w:rsidP="006D2D0E">
      <w:pPr>
        <w:spacing w:line="360" w:lineRule="auto"/>
        <w:rPr>
          <w:rFonts w:ascii="Arial" w:hAnsi="Arial" w:cs="Arial"/>
          <w:sz w:val="24"/>
          <w:szCs w:val="24"/>
        </w:rPr>
      </w:pPr>
      <w:r w:rsidRPr="006D2D0E">
        <w:rPr>
          <w:rFonts w:ascii="Arial" w:hAnsi="Arial" w:cs="Arial"/>
          <w:sz w:val="24"/>
          <w:szCs w:val="24"/>
        </w:rPr>
        <w:t>These differences can have significant implications for organizational behaviour</w:t>
      </w:r>
      <w:r w:rsidR="002A70BD" w:rsidRPr="006D2D0E">
        <w:rPr>
          <w:rFonts w:ascii="Arial" w:hAnsi="Arial" w:cs="Arial"/>
          <w:sz w:val="24"/>
          <w:szCs w:val="24"/>
        </w:rPr>
        <w:t>,</w:t>
      </w:r>
      <w:r w:rsidRPr="006D2D0E">
        <w:rPr>
          <w:rFonts w:ascii="Arial" w:hAnsi="Arial" w:cs="Arial"/>
          <w:sz w:val="24"/>
          <w:szCs w:val="24"/>
        </w:rPr>
        <w:t xml:space="preserve"> </w:t>
      </w:r>
      <w:r w:rsidR="002A70BD" w:rsidRPr="006D2D0E">
        <w:rPr>
          <w:rFonts w:ascii="Arial" w:hAnsi="Arial" w:cs="Arial"/>
          <w:sz w:val="24"/>
          <w:szCs w:val="24"/>
        </w:rPr>
        <w:t>business function and may provide difficulties throughout the M&amp;A process</w:t>
      </w:r>
      <w:r w:rsidRPr="006D2D0E">
        <w:rPr>
          <w:rFonts w:ascii="Arial" w:hAnsi="Arial" w:cs="Arial"/>
          <w:sz w:val="24"/>
          <w:szCs w:val="24"/>
        </w:rPr>
        <w:t>. For example, French employees may prioritize individual achievement and autonomy, while Japanese employees may prioritize group harmony and conformity. French managers may value open communication and egalitarianism, while Japanese managers may emphasize hierarchy and deference to authority.</w:t>
      </w:r>
      <w:r w:rsidR="00335F9C" w:rsidRPr="006D2D0E">
        <w:rPr>
          <w:rFonts w:ascii="Arial" w:hAnsi="Arial" w:cs="Arial"/>
          <w:sz w:val="24"/>
          <w:szCs w:val="24"/>
        </w:rPr>
        <w:t xml:space="preserve"> This indicates also that Japanese people are more likely to take risks and make quick decisions due to their tendency to be more reliant and obsessed with hierarchy and power (Rodriguez &amp;Brown, 2014).</w:t>
      </w:r>
    </w:p>
    <w:p w14:paraId="58ED1B56" w14:textId="77777777" w:rsidR="002A70BD" w:rsidRPr="006D2D0E" w:rsidRDefault="002A5760" w:rsidP="006D2D0E">
      <w:pPr>
        <w:spacing w:line="360" w:lineRule="auto"/>
        <w:rPr>
          <w:rFonts w:ascii="Arial" w:hAnsi="Arial" w:cs="Arial"/>
          <w:sz w:val="24"/>
          <w:szCs w:val="24"/>
        </w:rPr>
      </w:pPr>
      <w:r w:rsidRPr="006D2D0E">
        <w:rPr>
          <w:rFonts w:ascii="Arial" w:hAnsi="Arial" w:cs="Arial"/>
          <w:sz w:val="24"/>
          <w:szCs w:val="24"/>
        </w:rPr>
        <w:t>E</w:t>
      </w:r>
      <w:r w:rsidR="002A70BD" w:rsidRPr="002A70BD">
        <w:rPr>
          <w:rFonts w:ascii="Arial" w:hAnsi="Arial" w:cs="Arial"/>
          <w:sz w:val="24"/>
          <w:szCs w:val="24"/>
        </w:rPr>
        <w:t xml:space="preserve">mployees may be less likely to accept changes mandated by the new firm and may be more resistive to the new integration process due to France's high level of individualism (Hofstede Insights, 2023). </w:t>
      </w:r>
      <w:r w:rsidR="002A70BD" w:rsidRPr="006D2D0E">
        <w:rPr>
          <w:rFonts w:ascii="Arial" w:hAnsi="Arial" w:cs="Arial"/>
          <w:sz w:val="24"/>
          <w:szCs w:val="24"/>
        </w:rPr>
        <w:t xml:space="preserve"> The high level of collectivism in Japan, on the other hand, may make employees more receptive to the new integration process and adjustments the new firm imposes (Hofstede Insights, 2023).</w:t>
      </w:r>
    </w:p>
    <w:p w14:paraId="1B3EA615" w14:textId="77777777" w:rsidR="00335F9C" w:rsidRPr="006D2D0E" w:rsidRDefault="00335F9C" w:rsidP="006D2D0E">
      <w:pPr>
        <w:pStyle w:val="Heading1"/>
        <w:spacing w:line="360" w:lineRule="auto"/>
        <w:rPr>
          <w:rFonts w:ascii="Arial" w:hAnsi="Arial" w:cs="Arial"/>
          <w:sz w:val="24"/>
          <w:szCs w:val="24"/>
        </w:rPr>
      </w:pPr>
      <w:r w:rsidRPr="006D2D0E">
        <w:rPr>
          <w:rFonts w:ascii="Arial" w:hAnsi="Arial" w:cs="Arial"/>
          <w:sz w:val="24"/>
          <w:szCs w:val="24"/>
        </w:rPr>
        <w:t xml:space="preserve">       </w:t>
      </w:r>
      <w:bookmarkStart w:id="2" w:name="_Toc131331832"/>
      <w:r w:rsidRPr="006D2D0E">
        <w:rPr>
          <w:rFonts w:ascii="Arial" w:hAnsi="Arial" w:cs="Arial"/>
          <w:sz w:val="24"/>
          <w:szCs w:val="24"/>
        </w:rPr>
        <w:t xml:space="preserve">Section 1: Part 2 Institutional analysis of </w:t>
      </w:r>
      <w:r w:rsidR="002A70BD" w:rsidRPr="006D2D0E">
        <w:rPr>
          <w:rFonts w:ascii="Arial" w:hAnsi="Arial" w:cs="Arial"/>
          <w:sz w:val="24"/>
          <w:szCs w:val="24"/>
        </w:rPr>
        <w:t>France and Japan</w:t>
      </w:r>
      <w:bookmarkEnd w:id="2"/>
      <w:r w:rsidRPr="006D2D0E">
        <w:rPr>
          <w:rFonts w:ascii="Arial" w:hAnsi="Arial" w:cs="Arial"/>
          <w:sz w:val="24"/>
          <w:szCs w:val="24"/>
        </w:rPr>
        <w:t xml:space="preserve"> </w:t>
      </w:r>
    </w:p>
    <w:p w14:paraId="4D76466D" w14:textId="77777777" w:rsidR="006F08B8" w:rsidRPr="006D2D0E" w:rsidRDefault="006F08B8" w:rsidP="006D2D0E">
      <w:pPr>
        <w:spacing w:line="360" w:lineRule="auto"/>
        <w:rPr>
          <w:rFonts w:ascii="Arial" w:hAnsi="Arial" w:cs="Arial"/>
          <w:sz w:val="24"/>
          <w:szCs w:val="24"/>
        </w:rPr>
      </w:pPr>
      <w:r w:rsidRPr="006D2D0E">
        <w:rPr>
          <w:rFonts w:ascii="Arial" w:hAnsi="Arial" w:cs="Arial"/>
          <w:sz w:val="24"/>
          <w:szCs w:val="24"/>
        </w:rPr>
        <w:t>The institutional approach to international human resource management (IHRM) emphasizes the role of institutional factors, such as political, economic, and social institutions, in shaping HRM practices and outcomes (Scott, 1995). Institutions provide the formal and informal rules, norms, and practices that govern behaviour within a society or organization.</w:t>
      </w:r>
    </w:p>
    <w:p w14:paraId="4D78926C" w14:textId="77777777" w:rsidR="006F08B8" w:rsidRPr="006D2D0E" w:rsidRDefault="006F08B8" w:rsidP="006D2D0E">
      <w:pPr>
        <w:spacing w:line="360" w:lineRule="auto"/>
        <w:rPr>
          <w:rFonts w:ascii="Arial" w:hAnsi="Arial" w:cs="Arial"/>
          <w:sz w:val="24"/>
          <w:szCs w:val="24"/>
        </w:rPr>
      </w:pPr>
      <w:r w:rsidRPr="006D2D0E">
        <w:rPr>
          <w:rFonts w:ascii="Arial" w:hAnsi="Arial" w:cs="Arial"/>
          <w:sz w:val="24"/>
          <w:szCs w:val="24"/>
        </w:rPr>
        <w:t xml:space="preserve">France and Japan have distinct political, economic, and social institutions that can impact IHRM practices. In terms of political institutions, France is a unitary semi-presidential constitutional republic, while Japan is a parliamentary constitutional monarchy (The World Factbook, 2022). These differences in political systems can </w:t>
      </w:r>
      <w:r w:rsidRPr="006D2D0E">
        <w:rPr>
          <w:rFonts w:ascii="Arial" w:hAnsi="Arial" w:cs="Arial"/>
          <w:sz w:val="24"/>
          <w:szCs w:val="24"/>
        </w:rPr>
        <w:lastRenderedPageBreak/>
        <w:t>influence the legal and regulatory frameworks that govern HRM practices, such as employment laws and regulations.</w:t>
      </w:r>
    </w:p>
    <w:p w14:paraId="2596165F" w14:textId="77777777" w:rsidR="006F08B8" w:rsidRPr="006D2D0E" w:rsidRDefault="006F08B8" w:rsidP="006D2D0E">
      <w:pPr>
        <w:spacing w:line="360" w:lineRule="auto"/>
        <w:rPr>
          <w:rFonts w:ascii="Arial" w:hAnsi="Arial" w:cs="Arial"/>
          <w:sz w:val="24"/>
          <w:szCs w:val="24"/>
        </w:rPr>
      </w:pPr>
      <w:r w:rsidRPr="006D2D0E">
        <w:rPr>
          <w:rFonts w:ascii="Arial" w:hAnsi="Arial" w:cs="Arial"/>
          <w:sz w:val="24"/>
          <w:szCs w:val="24"/>
        </w:rPr>
        <w:t>In terms of economic institutions, France is a developed market economy with a strong welfare state, while Japan is also a developed market economy with a focus on exports and manufacturing (The World Factbook, 2022). These differences in economic systems can impact HRM practices in areas such as compensation and benefits, as well as employee training and development.</w:t>
      </w:r>
    </w:p>
    <w:p w14:paraId="09E50BE3" w14:textId="77777777" w:rsidR="006F08B8" w:rsidRPr="006D2D0E" w:rsidRDefault="006F08B8" w:rsidP="006D2D0E">
      <w:pPr>
        <w:spacing w:line="360" w:lineRule="auto"/>
        <w:rPr>
          <w:rFonts w:ascii="Arial" w:hAnsi="Arial" w:cs="Arial"/>
          <w:sz w:val="24"/>
          <w:szCs w:val="24"/>
        </w:rPr>
      </w:pPr>
      <w:r w:rsidRPr="006D2D0E">
        <w:rPr>
          <w:rFonts w:ascii="Arial" w:hAnsi="Arial" w:cs="Arial"/>
          <w:sz w:val="24"/>
          <w:szCs w:val="24"/>
        </w:rPr>
        <w:t>Finally, social institutions such as education and cultural norms can impact HRM practices in both France and Japan. For example, French employees may place a high value on work-life balance, while Japanese employees may prioritize company loyalty and long working hours (Kotter International, 2021). These social norms can impact HRM practices related to employee motivation, engagement, and retention.</w:t>
      </w:r>
    </w:p>
    <w:p w14:paraId="3305C0FB" w14:textId="77777777" w:rsidR="006F08B8" w:rsidRPr="006D2D0E" w:rsidRDefault="006F08B8" w:rsidP="006D2D0E">
      <w:pPr>
        <w:spacing w:line="360" w:lineRule="auto"/>
        <w:rPr>
          <w:rFonts w:ascii="Arial" w:hAnsi="Arial" w:cs="Arial"/>
          <w:sz w:val="24"/>
          <w:szCs w:val="24"/>
        </w:rPr>
      </w:pPr>
      <w:r w:rsidRPr="006D2D0E">
        <w:rPr>
          <w:rFonts w:ascii="Arial" w:hAnsi="Arial" w:cs="Arial"/>
          <w:sz w:val="24"/>
          <w:szCs w:val="24"/>
        </w:rPr>
        <w:t xml:space="preserve">In </w:t>
      </w:r>
      <w:r w:rsidR="007F74D4" w:rsidRPr="006D2D0E">
        <w:rPr>
          <w:rFonts w:ascii="Arial" w:hAnsi="Arial" w:cs="Arial"/>
          <w:sz w:val="24"/>
          <w:szCs w:val="24"/>
        </w:rPr>
        <w:t>analysing</w:t>
      </w:r>
      <w:r w:rsidRPr="006D2D0E">
        <w:rPr>
          <w:rFonts w:ascii="Arial" w:hAnsi="Arial" w:cs="Arial"/>
          <w:sz w:val="24"/>
          <w:szCs w:val="24"/>
        </w:rPr>
        <w:t xml:space="preserve"> the impact of institutional factors on IHRM practices, the theory of isomorphism is relevant. This theory suggests that organizations tend to adopt similar practices and structures as a result of institutional pressures, such as regulatory and normative pressures (DiMaggio and Powell, 1991). This can lead to the convergence of HRM practices across countries, even in the face of cultural and institutional differences.</w:t>
      </w:r>
    </w:p>
    <w:p w14:paraId="7EC93BE4" w14:textId="77777777" w:rsidR="007F74D4" w:rsidRPr="006D2D0E" w:rsidRDefault="007F74D4" w:rsidP="006D2D0E">
      <w:pPr>
        <w:spacing w:line="360" w:lineRule="auto"/>
        <w:rPr>
          <w:rFonts w:ascii="Arial" w:hAnsi="Arial" w:cs="Arial"/>
          <w:sz w:val="24"/>
          <w:szCs w:val="24"/>
        </w:rPr>
      </w:pPr>
      <w:r w:rsidRPr="006D2D0E">
        <w:rPr>
          <w:rFonts w:ascii="Arial" w:hAnsi="Arial" w:cs="Arial"/>
          <w:b/>
          <w:bCs/>
          <w:sz w:val="24"/>
          <w:szCs w:val="24"/>
        </w:rPr>
        <w:t>Neo-institutional theory</w:t>
      </w:r>
      <w:r w:rsidRPr="006D2D0E">
        <w:rPr>
          <w:rFonts w:ascii="Arial" w:hAnsi="Arial" w:cs="Arial"/>
          <w:sz w:val="24"/>
          <w:szCs w:val="24"/>
        </w:rPr>
        <w:t xml:space="preserve"> suggests that organizations are influenced by institutional environments, which shape their </w:t>
      </w:r>
      <w:r w:rsidR="006D2D0E" w:rsidRPr="006D2D0E">
        <w:rPr>
          <w:rFonts w:ascii="Arial" w:hAnsi="Arial" w:cs="Arial"/>
          <w:sz w:val="24"/>
          <w:szCs w:val="24"/>
        </w:rPr>
        <w:t>behaviour</w:t>
      </w:r>
      <w:r w:rsidRPr="006D2D0E">
        <w:rPr>
          <w:rFonts w:ascii="Arial" w:hAnsi="Arial" w:cs="Arial"/>
          <w:sz w:val="24"/>
          <w:szCs w:val="24"/>
        </w:rPr>
        <w:t xml:space="preserve"> and practices (Scott, 1995). In the context of IHRM, this theory can help to explain how the institutional environment in a country may shape HR practices and policies of multinational corporations.</w:t>
      </w:r>
    </w:p>
    <w:p w14:paraId="090B8A73" w14:textId="77777777" w:rsidR="007F74D4" w:rsidRPr="006D2D0E" w:rsidRDefault="007F74D4" w:rsidP="006D2D0E">
      <w:pPr>
        <w:spacing w:line="360" w:lineRule="auto"/>
        <w:rPr>
          <w:rFonts w:ascii="Arial" w:hAnsi="Arial" w:cs="Arial"/>
          <w:sz w:val="24"/>
          <w:szCs w:val="24"/>
        </w:rPr>
      </w:pPr>
      <w:r w:rsidRPr="006D2D0E">
        <w:rPr>
          <w:rFonts w:ascii="Arial" w:hAnsi="Arial" w:cs="Arial"/>
          <w:sz w:val="24"/>
          <w:szCs w:val="24"/>
        </w:rPr>
        <w:t>In the context of the merger and acquisition between TOTALENERGIES SE and ENEOS CORPORATION from France and Japan, the neo-institutional theory can help to explain how the institutional environments of both countries may shape the IHRM practices and policies of the merged entity (Scott, 1995). For example, the institutional environment in France may influence the merged entity to adopt certain HR practices such as collective bargaining, while the institutional environment in Japan may influence the merged entity to prioritize long-term employment relationships.</w:t>
      </w:r>
    </w:p>
    <w:p w14:paraId="1ACB118E" w14:textId="77777777" w:rsidR="00832CF8" w:rsidRPr="006D2D0E" w:rsidRDefault="00832CF8" w:rsidP="006D2D0E">
      <w:pPr>
        <w:pStyle w:val="Heading1"/>
        <w:spacing w:line="360" w:lineRule="auto"/>
        <w:rPr>
          <w:rFonts w:ascii="Arial" w:hAnsi="Arial" w:cs="Arial"/>
          <w:sz w:val="24"/>
          <w:szCs w:val="24"/>
        </w:rPr>
      </w:pPr>
      <w:r w:rsidRPr="006D2D0E">
        <w:rPr>
          <w:rFonts w:ascii="Arial" w:hAnsi="Arial" w:cs="Arial"/>
          <w:sz w:val="24"/>
          <w:szCs w:val="24"/>
        </w:rPr>
        <w:lastRenderedPageBreak/>
        <w:t xml:space="preserve">          </w:t>
      </w:r>
      <w:bookmarkStart w:id="3" w:name="_Toc131331833"/>
      <w:r w:rsidRPr="006D2D0E">
        <w:rPr>
          <w:rFonts w:ascii="Arial" w:hAnsi="Arial" w:cs="Arial"/>
          <w:sz w:val="24"/>
          <w:szCs w:val="24"/>
        </w:rPr>
        <w:t>Section 2</w:t>
      </w:r>
      <w:r w:rsidR="00FD3EAD" w:rsidRPr="006D2D0E">
        <w:rPr>
          <w:rFonts w:ascii="Arial" w:hAnsi="Arial" w:cs="Arial"/>
          <w:sz w:val="24"/>
          <w:szCs w:val="24"/>
        </w:rPr>
        <w:t>. Part 1</w:t>
      </w:r>
      <w:r w:rsidRPr="006D2D0E">
        <w:rPr>
          <w:rFonts w:ascii="Arial" w:hAnsi="Arial" w:cs="Arial"/>
          <w:sz w:val="24"/>
          <w:szCs w:val="24"/>
        </w:rPr>
        <w:t xml:space="preserve">: M&amp;A Rationale and </w:t>
      </w:r>
      <w:r w:rsidR="00AA3910" w:rsidRPr="006D2D0E">
        <w:rPr>
          <w:rFonts w:ascii="Arial" w:hAnsi="Arial" w:cs="Arial"/>
          <w:sz w:val="24"/>
          <w:szCs w:val="24"/>
        </w:rPr>
        <w:t>Integration Strategy</w:t>
      </w:r>
      <w:bookmarkEnd w:id="3"/>
      <w:r w:rsidRPr="006D2D0E">
        <w:rPr>
          <w:rFonts w:ascii="Arial" w:hAnsi="Arial" w:cs="Arial"/>
          <w:sz w:val="24"/>
          <w:szCs w:val="24"/>
        </w:rPr>
        <w:t xml:space="preserve"> </w:t>
      </w:r>
    </w:p>
    <w:p w14:paraId="7B6D3BC4" w14:textId="77777777" w:rsidR="00AA3910" w:rsidRPr="006D2D0E" w:rsidRDefault="002A5760" w:rsidP="006D2D0E">
      <w:pPr>
        <w:spacing w:line="360" w:lineRule="auto"/>
        <w:rPr>
          <w:rFonts w:ascii="Arial" w:hAnsi="Arial" w:cs="Arial"/>
          <w:sz w:val="24"/>
          <w:szCs w:val="24"/>
        </w:rPr>
      </w:pPr>
      <w:r w:rsidRPr="006D2D0E">
        <w:rPr>
          <w:rFonts w:ascii="Arial" w:hAnsi="Arial" w:cs="Arial"/>
          <w:sz w:val="24"/>
          <w:szCs w:val="24"/>
        </w:rPr>
        <w:t>M</w:t>
      </w:r>
      <w:r w:rsidR="007A2076" w:rsidRPr="006D2D0E">
        <w:rPr>
          <w:rFonts w:ascii="Arial" w:hAnsi="Arial" w:cs="Arial"/>
          <w:sz w:val="24"/>
          <w:szCs w:val="24"/>
        </w:rPr>
        <w:t>erger and acquisition between TOTALENERGIES SE and ENEOS CORPORATION</w:t>
      </w:r>
      <w:r w:rsidRPr="006D2D0E">
        <w:rPr>
          <w:rFonts w:ascii="Arial" w:hAnsi="Arial" w:cs="Arial"/>
          <w:sz w:val="24"/>
          <w:szCs w:val="24"/>
        </w:rPr>
        <w:t xml:space="preserve"> can be drove for many reasons. </w:t>
      </w:r>
      <w:r w:rsidR="007A2076" w:rsidRPr="006D2D0E">
        <w:rPr>
          <w:rFonts w:ascii="Arial" w:hAnsi="Arial" w:cs="Arial"/>
          <w:sz w:val="24"/>
          <w:szCs w:val="24"/>
        </w:rPr>
        <w:t>One possible reason is to gain global efficiency by expanding their presence and increasing their market share in multiple countries. Another reason could be to acquire new R&amp;D or knowledge, which could help the merged entity develop new products or technologies. Additionally, talent acquisition may be a key motivation for the merger, as both companies may be looking to access a larger pool of skilled workers.</w:t>
      </w:r>
    </w:p>
    <w:p w14:paraId="289ABD79" w14:textId="77777777" w:rsidR="00FD3EAD" w:rsidRPr="00FD3EAD" w:rsidRDefault="00FD3EAD" w:rsidP="006D2D0E">
      <w:pPr>
        <w:spacing w:line="360" w:lineRule="auto"/>
        <w:rPr>
          <w:rFonts w:ascii="Arial" w:hAnsi="Arial" w:cs="Arial"/>
          <w:sz w:val="24"/>
          <w:szCs w:val="24"/>
        </w:rPr>
      </w:pPr>
      <w:r w:rsidRPr="00FD3EAD">
        <w:rPr>
          <w:rFonts w:ascii="Arial" w:hAnsi="Arial" w:cs="Arial"/>
          <w:sz w:val="24"/>
          <w:szCs w:val="24"/>
        </w:rPr>
        <w:t xml:space="preserve">A merger of equals, in which the two businesses would combine their current activities to form a new firm with a new organizational structure and management team, will be a potential integration typology or strategy for the merger (Gomes et al., 2013). </w:t>
      </w:r>
    </w:p>
    <w:p w14:paraId="53639AC1" w14:textId="77777777" w:rsidR="00FD3EAD" w:rsidRPr="00FD3EAD" w:rsidRDefault="00FD3EAD" w:rsidP="006D2D0E">
      <w:pPr>
        <w:spacing w:line="360" w:lineRule="auto"/>
        <w:rPr>
          <w:rFonts w:ascii="Arial" w:hAnsi="Arial" w:cs="Arial"/>
          <w:sz w:val="24"/>
          <w:szCs w:val="24"/>
        </w:rPr>
      </w:pPr>
      <w:r w:rsidRPr="00FD3EAD">
        <w:rPr>
          <w:rFonts w:ascii="Arial" w:hAnsi="Arial" w:cs="Arial"/>
          <w:sz w:val="24"/>
          <w:szCs w:val="24"/>
        </w:rPr>
        <w:t>This would enable the integration of the various economic and social systems of France and Japan while assisting in ensuring that the cultures and values of both businesses are honoured (Gomes et al., 2013).</w:t>
      </w:r>
    </w:p>
    <w:p w14:paraId="2F34C91D" w14:textId="77777777" w:rsidR="00FD3EAD" w:rsidRPr="006D2D0E" w:rsidRDefault="00FD3EAD" w:rsidP="006D2D0E">
      <w:pPr>
        <w:spacing w:line="360" w:lineRule="auto"/>
        <w:rPr>
          <w:rFonts w:ascii="Arial" w:hAnsi="Arial" w:cs="Arial"/>
          <w:sz w:val="24"/>
          <w:szCs w:val="24"/>
        </w:rPr>
      </w:pPr>
      <w:r w:rsidRPr="006D2D0E">
        <w:rPr>
          <w:rFonts w:ascii="Arial" w:hAnsi="Arial" w:cs="Arial"/>
          <w:sz w:val="24"/>
          <w:szCs w:val="24"/>
        </w:rPr>
        <w:t>France and Japan have to adapt to local language, and rules in order for the companies to reach success.</w:t>
      </w:r>
    </w:p>
    <w:p w14:paraId="17141FB3" w14:textId="77777777" w:rsidR="008F600B" w:rsidRPr="006D2D0E" w:rsidRDefault="008F600B" w:rsidP="006D2D0E">
      <w:pPr>
        <w:spacing w:line="360" w:lineRule="auto"/>
        <w:rPr>
          <w:rFonts w:ascii="Arial" w:hAnsi="Arial" w:cs="Arial"/>
          <w:sz w:val="24"/>
          <w:szCs w:val="24"/>
        </w:rPr>
      </w:pPr>
      <w:r w:rsidRPr="006D2D0E">
        <w:rPr>
          <w:rFonts w:ascii="Arial" w:hAnsi="Arial" w:cs="Arial"/>
          <w:sz w:val="24"/>
          <w:szCs w:val="24"/>
        </w:rPr>
        <w:t>One relevant theory that supports this approach is the resource-based view of the firm (RBV), which suggests that companies can gain a sustained competitive advantage through the development and management of their resources and capabilities (Barney, 1991). By taking a collaborative approach to integration, the merged entity can leverage the resources and capabilities of both companies to create a stronger and more competitive organization.</w:t>
      </w:r>
    </w:p>
    <w:p w14:paraId="7A10D869" w14:textId="77777777" w:rsidR="008F600B" w:rsidRPr="006D2D0E" w:rsidRDefault="00F453DF" w:rsidP="006D2D0E">
      <w:pPr>
        <w:pStyle w:val="Heading1"/>
        <w:spacing w:line="360" w:lineRule="auto"/>
        <w:rPr>
          <w:rFonts w:ascii="Arial" w:hAnsi="Arial" w:cs="Arial"/>
          <w:sz w:val="24"/>
          <w:szCs w:val="24"/>
        </w:rPr>
      </w:pPr>
      <w:r w:rsidRPr="006D2D0E">
        <w:rPr>
          <w:rFonts w:ascii="Arial" w:hAnsi="Arial" w:cs="Arial"/>
          <w:sz w:val="24"/>
          <w:szCs w:val="24"/>
        </w:rPr>
        <w:t xml:space="preserve">     </w:t>
      </w:r>
      <w:bookmarkStart w:id="4" w:name="_Toc131331834"/>
      <w:r w:rsidRPr="006D2D0E">
        <w:rPr>
          <w:rFonts w:ascii="Arial" w:hAnsi="Arial" w:cs="Arial"/>
          <w:sz w:val="24"/>
          <w:szCs w:val="24"/>
        </w:rPr>
        <w:t>Section 2, Part 2 – Role of IHRM in implementing effective M&amp;A</w:t>
      </w:r>
      <w:bookmarkEnd w:id="4"/>
    </w:p>
    <w:p w14:paraId="734B31CC" w14:textId="77777777" w:rsidR="00AA3910" w:rsidRPr="00AA3910" w:rsidRDefault="00AA3910" w:rsidP="006D2D0E">
      <w:pPr>
        <w:spacing w:line="360" w:lineRule="auto"/>
        <w:rPr>
          <w:rFonts w:ascii="Arial" w:hAnsi="Arial" w:cs="Arial"/>
          <w:sz w:val="24"/>
          <w:szCs w:val="24"/>
        </w:rPr>
      </w:pPr>
      <w:r w:rsidRPr="00AA3910">
        <w:rPr>
          <w:rFonts w:ascii="Arial" w:hAnsi="Arial" w:cs="Arial"/>
          <w:sz w:val="24"/>
          <w:szCs w:val="24"/>
        </w:rPr>
        <w:t xml:space="preserve">IHRM is in charge of creating and carrying out the integration plan as well as managing the risks and difficulties relating to people that arise during the merger or acquisition process ( </w:t>
      </w:r>
      <w:proofErr w:type="spellStart"/>
      <w:r w:rsidRPr="00AA3910">
        <w:rPr>
          <w:rFonts w:ascii="Arial" w:hAnsi="Arial" w:cs="Arial"/>
          <w:sz w:val="24"/>
          <w:szCs w:val="24"/>
        </w:rPr>
        <w:t>Birkinshaw</w:t>
      </w:r>
      <w:proofErr w:type="spellEnd"/>
      <w:r w:rsidRPr="00AA3910">
        <w:rPr>
          <w:rFonts w:ascii="Arial" w:hAnsi="Arial" w:cs="Arial"/>
          <w:sz w:val="24"/>
          <w:szCs w:val="24"/>
        </w:rPr>
        <w:t>, 2000)</w:t>
      </w:r>
      <w:r w:rsidRPr="006D2D0E">
        <w:rPr>
          <w:rFonts w:ascii="Arial" w:hAnsi="Arial" w:cs="Arial"/>
          <w:sz w:val="24"/>
          <w:szCs w:val="24"/>
        </w:rPr>
        <w:t>.</w:t>
      </w:r>
    </w:p>
    <w:p w14:paraId="26C2507A" w14:textId="77777777" w:rsidR="00832CF8" w:rsidRPr="006D2D0E" w:rsidRDefault="00AA3910" w:rsidP="006D2D0E">
      <w:pPr>
        <w:spacing w:line="360" w:lineRule="auto"/>
        <w:rPr>
          <w:rFonts w:ascii="Arial" w:hAnsi="Arial" w:cs="Arial"/>
          <w:sz w:val="24"/>
          <w:szCs w:val="24"/>
        </w:rPr>
      </w:pPr>
      <w:r w:rsidRPr="00AA3910">
        <w:rPr>
          <w:rFonts w:ascii="Arial" w:hAnsi="Arial" w:cs="Arial"/>
          <w:sz w:val="24"/>
          <w:szCs w:val="24"/>
        </w:rPr>
        <w:t>This entails recognizing and resolving problems including linguistic hurdles, organizational structures and management styles, disparities in cultural norms and values, labour regulations, and remuneration arrangements (</w:t>
      </w:r>
      <w:proofErr w:type="spellStart"/>
      <w:r w:rsidRPr="00AA3910">
        <w:rPr>
          <w:rFonts w:ascii="Arial" w:hAnsi="Arial" w:cs="Arial"/>
          <w:sz w:val="24"/>
          <w:szCs w:val="24"/>
        </w:rPr>
        <w:t>Birkinshaw</w:t>
      </w:r>
      <w:proofErr w:type="spellEnd"/>
      <w:r w:rsidRPr="00AA3910">
        <w:rPr>
          <w:rFonts w:ascii="Arial" w:hAnsi="Arial" w:cs="Arial"/>
          <w:sz w:val="24"/>
          <w:szCs w:val="24"/>
        </w:rPr>
        <w:t>, 2000)</w:t>
      </w:r>
      <w:r w:rsidR="00DC5ADD" w:rsidRPr="006D2D0E">
        <w:rPr>
          <w:rFonts w:ascii="Arial" w:hAnsi="Arial" w:cs="Arial"/>
          <w:sz w:val="24"/>
          <w:szCs w:val="24"/>
        </w:rPr>
        <w:t xml:space="preserve">. </w:t>
      </w:r>
      <w:r w:rsidRPr="006D2D0E">
        <w:rPr>
          <w:rFonts w:ascii="Arial" w:hAnsi="Arial" w:cs="Arial"/>
          <w:sz w:val="24"/>
          <w:szCs w:val="24"/>
        </w:rPr>
        <w:lastRenderedPageBreak/>
        <w:t>IHRM should be able to recognize potential risks and barriers, plan and implement a successful integration strategy using theories models.</w:t>
      </w:r>
    </w:p>
    <w:p w14:paraId="07962B6B" w14:textId="77777777" w:rsidR="00DC5ADD" w:rsidRPr="006D2D0E" w:rsidRDefault="00DC5ADD" w:rsidP="006D2D0E">
      <w:pPr>
        <w:spacing w:line="360" w:lineRule="auto"/>
        <w:rPr>
          <w:rFonts w:ascii="Arial" w:hAnsi="Arial" w:cs="Arial"/>
          <w:b/>
          <w:bCs/>
          <w:sz w:val="24"/>
          <w:szCs w:val="24"/>
        </w:rPr>
      </w:pPr>
      <w:proofErr w:type="spellStart"/>
      <w:r w:rsidRPr="006D2D0E">
        <w:rPr>
          <w:rFonts w:ascii="Arial" w:hAnsi="Arial" w:cs="Arial"/>
          <w:b/>
          <w:bCs/>
          <w:sz w:val="24"/>
          <w:szCs w:val="24"/>
        </w:rPr>
        <w:t>Haspeslagh</w:t>
      </w:r>
      <w:proofErr w:type="spellEnd"/>
      <w:r w:rsidRPr="006D2D0E">
        <w:rPr>
          <w:rFonts w:ascii="Arial" w:hAnsi="Arial" w:cs="Arial"/>
          <w:b/>
          <w:bCs/>
          <w:sz w:val="24"/>
          <w:szCs w:val="24"/>
        </w:rPr>
        <w:t xml:space="preserve"> and Jemison's integration typology</w:t>
      </w:r>
    </w:p>
    <w:p w14:paraId="270C6C35" w14:textId="77777777" w:rsidR="00DC5ADD" w:rsidRPr="006D2D0E" w:rsidRDefault="00DC5ADD" w:rsidP="006D2D0E">
      <w:pPr>
        <w:spacing w:line="360" w:lineRule="auto"/>
        <w:rPr>
          <w:rFonts w:ascii="Arial" w:hAnsi="Arial" w:cs="Arial"/>
          <w:sz w:val="24"/>
          <w:szCs w:val="24"/>
        </w:rPr>
      </w:pPr>
      <w:r w:rsidRPr="006D2D0E">
        <w:rPr>
          <w:rFonts w:ascii="Arial" w:hAnsi="Arial" w:cs="Arial"/>
          <w:sz w:val="24"/>
          <w:szCs w:val="24"/>
        </w:rPr>
        <w:t xml:space="preserve">To facilitate the integration process for Total Energies and </w:t>
      </w:r>
      <w:proofErr w:type="spellStart"/>
      <w:r w:rsidRPr="006D2D0E">
        <w:rPr>
          <w:rFonts w:ascii="Arial" w:hAnsi="Arial" w:cs="Arial"/>
          <w:sz w:val="24"/>
          <w:szCs w:val="24"/>
        </w:rPr>
        <w:t>Eneos</w:t>
      </w:r>
      <w:proofErr w:type="spellEnd"/>
      <w:r w:rsidRPr="006D2D0E">
        <w:rPr>
          <w:rFonts w:ascii="Arial" w:hAnsi="Arial" w:cs="Arial"/>
          <w:sz w:val="24"/>
          <w:szCs w:val="24"/>
        </w:rPr>
        <w:t xml:space="preserve">, the HR department could use </w:t>
      </w:r>
      <w:proofErr w:type="spellStart"/>
      <w:r w:rsidRPr="006D2D0E">
        <w:rPr>
          <w:rFonts w:ascii="Arial" w:hAnsi="Arial" w:cs="Arial"/>
          <w:sz w:val="24"/>
          <w:szCs w:val="24"/>
        </w:rPr>
        <w:t>Haspeslagh</w:t>
      </w:r>
      <w:proofErr w:type="spellEnd"/>
      <w:r w:rsidRPr="006D2D0E">
        <w:rPr>
          <w:rFonts w:ascii="Arial" w:hAnsi="Arial" w:cs="Arial"/>
          <w:sz w:val="24"/>
          <w:szCs w:val="24"/>
        </w:rPr>
        <w:t xml:space="preserve"> and Jemison's integration typology. This typology proposes four possible integration strategies: </w:t>
      </w:r>
    </w:p>
    <w:p w14:paraId="229FF9E8" w14:textId="77777777" w:rsidR="00DC5ADD" w:rsidRPr="006D2D0E" w:rsidRDefault="00DC5ADD" w:rsidP="006D2D0E">
      <w:pPr>
        <w:pStyle w:val="ListParagraph"/>
        <w:numPr>
          <w:ilvl w:val="0"/>
          <w:numId w:val="1"/>
        </w:numPr>
        <w:spacing w:line="360" w:lineRule="auto"/>
        <w:rPr>
          <w:rFonts w:ascii="Arial" w:hAnsi="Arial" w:cs="Arial"/>
          <w:sz w:val="24"/>
          <w:szCs w:val="24"/>
        </w:rPr>
      </w:pPr>
      <w:r w:rsidRPr="006D2D0E">
        <w:rPr>
          <w:rFonts w:ascii="Arial" w:hAnsi="Arial" w:cs="Arial"/>
          <w:sz w:val="24"/>
          <w:szCs w:val="24"/>
        </w:rPr>
        <w:t xml:space="preserve">Preservation, where the target company retains its identity and operates independently. </w:t>
      </w:r>
    </w:p>
    <w:p w14:paraId="6E430C26" w14:textId="77777777" w:rsidR="00DC5ADD" w:rsidRPr="006D2D0E" w:rsidRDefault="00DC5ADD" w:rsidP="006D2D0E">
      <w:pPr>
        <w:pStyle w:val="ListParagraph"/>
        <w:numPr>
          <w:ilvl w:val="0"/>
          <w:numId w:val="1"/>
        </w:numPr>
        <w:spacing w:line="360" w:lineRule="auto"/>
        <w:rPr>
          <w:rFonts w:ascii="Arial" w:hAnsi="Arial" w:cs="Arial"/>
          <w:sz w:val="24"/>
          <w:szCs w:val="24"/>
        </w:rPr>
      </w:pPr>
      <w:r w:rsidRPr="006D2D0E">
        <w:rPr>
          <w:rFonts w:ascii="Arial" w:hAnsi="Arial" w:cs="Arial"/>
          <w:sz w:val="24"/>
          <w:szCs w:val="24"/>
        </w:rPr>
        <w:t>Symbiosis, where the two companies integrate their strengths and resources while maintaining some degree of autonomy.</w:t>
      </w:r>
    </w:p>
    <w:p w14:paraId="1D3609F7" w14:textId="77777777" w:rsidR="00DC5ADD" w:rsidRPr="006D2D0E" w:rsidRDefault="00DC5ADD" w:rsidP="006D2D0E">
      <w:pPr>
        <w:pStyle w:val="ListParagraph"/>
        <w:numPr>
          <w:ilvl w:val="0"/>
          <w:numId w:val="1"/>
        </w:numPr>
        <w:spacing w:line="360" w:lineRule="auto"/>
        <w:rPr>
          <w:rFonts w:ascii="Arial" w:hAnsi="Arial" w:cs="Arial"/>
          <w:sz w:val="24"/>
          <w:szCs w:val="24"/>
        </w:rPr>
      </w:pPr>
      <w:r w:rsidRPr="006D2D0E">
        <w:rPr>
          <w:rFonts w:ascii="Arial" w:hAnsi="Arial" w:cs="Arial"/>
          <w:sz w:val="24"/>
          <w:szCs w:val="24"/>
        </w:rPr>
        <w:t>Absorption, where the acquiring company completely assimilates the target company; and</w:t>
      </w:r>
    </w:p>
    <w:p w14:paraId="3D28FB75" w14:textId="77777777" w:rsidR="008D6B84" w:rsidRPr="006D2D0E" w:rsidRDefault="00DC5ADD" w:rsidP="006D2D0E">
      <w:pPr>
        <w:pStyle w:val="ListParagraph"/>
        <w:numPr>
          <w:ilvl w:val="0"/>
          <w:numId w:val="1"/>
        </w:numPr>
        <w:spacing w:line="360" w:lineRule="auto"/>
        <w:rPr>
          <w:rFonts w:ascii="Arial" w:hAnsi="Arial" w:cs="Arial"/>
          <w:sz w:val="24"/>
          <w:szCs w:val="24"/>
        </w:rPr>
      </w:pPr>
      <w:r w:rsidRPr="006D2D0E">
        <w:rPr>
          <w:rFonts w:ascii="Arial" w:hAnsi="Arial" w:cs="Arial"/>
          <w:sz w:val="24"/>
          <w:szCs w:val="24"/>
        </w:rPr>
        <w:t>Combination, where the two companies merge to create a new entity (</w:t>
      </w:r>
      <w:proofErr w:type="spellStart"/>
      <w:r w:rsidRPr="006D2D0E">
        <w:rPr>
          <w:rFonts w:ascii="Arial" w:hAnsi="Arial" w:cs="Arial"/>
          <w:sz w:val="24"/>
          <w:szCs w:val="24"/>
        </w:rPr>
        <w:t>Haspeslagh</w:t>
      </w:r>
      <w:proofErr w:type="spellEnd"/>
      <w:r w:rsidRPr="006D2D0E">
        <w:rPr>
          <w:rFonts w:ascii="Arial" w:hAnsi="Arial" w:cs="Arial"/>
          <w:sz w:val="24"/>
          <w:szCs w:val="24"/>
        </w:rPr>
        <w:t xml:space="preserve"> &amp; Jemison, 1991).</w:t>
      </w:r>
    </w:p>
    <w:p w14:paraId="68439038" w14:textId="77777777" w:rsidR="008D6B84" w:rsidRPr="006D2D0E" w:rsidRDefault="008D6B84" w:rsidP="006D2D0E">
      <w:pPr>
        <w:spacing w:line="360" w:lineRule="auto"/>
        <w:rPr>
          <w:rFonts w:ascii="Arial" w:hAnsi="Arial" w:cs="Arial"/>
          <w:b/>
          <w:bCs/>
          <w:color w:val="000000" w:themeColor="text1"/>
          <w:sz w:val="24"/>
          <w:szCs w:val="24"/>
        </w:rPr>
      </w:pPr>
      <w:r w:rsidRPr="006D2D0E">
        <w:rPr>
          <w:rFonts w:ascii="Arial" w:hAnsi="Arial" w:cs="Arial"/>
          <w:b/>
          <w:bCs/>
          <w:color w:val="000000" w:themeColor="text1"/>
          <w:sz w:val="24"/>
          <w:szCs w:val="24"/>
        </w:rPr>
        <w:t>Pre- integration and post-integration</w:t>
      </w:r>
    </w:p>
    <w:p w14:paraId="03009096" w14:textId="77777777" w:rsidR="00F453DF" w:rsidRPr="006D2D0E" w:rsidRDefault="00F453DF" w:rsidP="006D2D0E">
      <w:pPr>
        <w:spacing w:line="360" w:lineRule="auto"/>
        <w:rPr>
          <w:rFonts w:ascii="Arial" w:hAnsi="Arial" w:cs="Arial"/>
          <w:b/>
          <w:bCs/>
          <w:color w:val="000000" w:themeColor="text1"/>
          <w:sz w:val="24"/>
          <w:szCs w:val="24"/>
        </w:rPr>
      </w:pPr>
      <w:r w:rsidRPr="006D2D0E">
        <w:rPr>
          <w:rFonts w:ascii="Arial" w:hAnsi="Arial" w:cs="Arial"/>
          <w:b/>
          <w:bCs/>
          <w:color w:val="000000" w:themeColor="text1"/>
          <w:sz w:val="24"/>
          <w:szCs w:val="24"/>
        </w:rPr>
        <w:t>Pre-Integration</w:t>
      </w:r>
    </w:p>
    <w:p w14:paraId="47B76E9C" w14:textId="77777777" w:rsidR="008D6B84" w:rsidRPr="008D6B84" w:rsidRDefault="00F453DF" w:rsidP="006D2D0E">
      <w:pPr>
        <w:spacing w:line="360" w:lineRule="auto"/>
        <w:rPr>
          <w:rFonts w:ascii="Arial" w:hAnsi="Arial" w:cs="Arial"/>
          <w:b/>
          <w:bCs/>
          <w:color w:val="000000" w:themeColor="text1"/>
          <w:sz w:val="24"/>
          <w:szCs w:val="24"/>
        </w:rPr>
      </w:pPr>
      <w:r w:rsidRPr="006D2D0E">
        <w:rPr>
          <w:rFonts w:ascii="Arial" w:hAnsi="Arial" w:cs="Arial"/>
          <w:color w:val="000000" w:themeColor="text1"/>
          <w:sz w:val="24"/>
          <w:szCs w:val="24"/>
        </w:rPr>
        <w:t xml:space="preserve">During the pre-integration phase, HR should focus on identifying key talent and ensuring that the recruitment and selection process is aligned with the integration strategy. HR should also communicate the strategic rationale for the merger and ensure that employees are well-informed about the changes that will occur. </w:t>
      </w:r>
      <w:r w:rsidR="008D6B84" w:rsidRPr="008D6B84">
        <w:rPr>
          <w:rFonts w:ascii="Arial" w:hAnsi="Arial" w:cs="Arial"/>
          <w:color w:val="000000" w:themeColor="text1"/>
          <w:sz w:val="24"/>
          <w:szCs w:val="24"/>
        </w:rPr>
        <w:t xml:space="preserve">Both countries have similar laws and regulations regarding employee rights, such as employment contracts and collective bargaining. </w:t>
      </w:r>
    </w:p>
    <w:p w14:paraId="631B1F47" w14:textId="77777777" w:rsidR="008D6B84" w:rsidRPr="008D6B84" w:rsidRDefault="008D6B84" w:rsidP="006D2D0E">
      <w:pPr>
        <w:spacing w:line="360" w:lineRule="auto"/>
        <w:rPr>
          <w:rFonts w:ascii="Arial" w:hAnsi="Arial" w:cs="Arial"/>
          <w:color w:val="000000" w:themeColor="text1"/>
          <w:sz w:val="24"/>
          <w:szCs w:val="24"/>
        </w:rPr>
      </w:pPr>
      <w:r w:rsidRPr="008D6B84">
        <w:rPr>
          <w:rFonts w:ascii="Arial" w:hAnsi="Arial" w:cs="Arial"/>
          <w:color w:val="000000" w:themeColor="text1"/>
          <w:sz w:val="24"/>
          <w:szCs w:val="24"/>
        </w:rPr>
        <w:t xml:space="preserve">In France, HR departments are generally more centralized and the focus is often on long-term employment with high job security and pay. In Japan, HR departments are often more decentralized and the focus is often on short-term employment with low job security and pay (Rodriquez Sanchez et al., 2018). </w:t>
      </w:r>
    </w:p>
    <w:p w14:paraId="228BD803" w14:textId="77777777" w:rsidR="008D6B84" w:rsidRPr="008D6B84" w:rsidRDefault="008D6B84" w:rsidP="006D2D0E">
      <w:pPr>
        <w:spacing w:line="360" w:lineRule="auto"/>
        <w:rPr>
          <w:rFonts w:ascii="Arial" w:hAnsi="Arial" w:cs="Arial"/>
          <w:b/>
          <w:bCs/>
          <w:color w:val="000000" w:themeColor="text1"/>
          <w:sz w:val="24"/>
          <w:szCs w:val="24"/>
        </w:rPr>
      </w:pPr>
      <w:r w:rsidRPr="008D6B84">
        <w:rPr>
          <w:rFonts w:ascii="Arial" w:hAnsi="Arial" w:cs="Arial"/>
          <w:b/>
          <w:bCs/>
          <w:color w:val="000000" w:themeColor="text1"/>
          <w:sz w:val="24"/>
          <w:szCs w:val="24"/>
        </w:rPr>
        <w:t>In the post-integration phase- employees acquisition</w:t>
      </w:r>
    </w:p>
    <w:p w14:paraId="69EAB02C" w14:textId="77777777" w:rsidR="008D6B84" w:rsidRPr="008D6B84" w:rsidRDefault="008D6B84" w:rsidP="006D2D0E">
      <w:pPr>
        <w:spacing w:line="360" w:lineRule="auto"/>
        <w:rPr>
          <w:rFonts w:ascii="Arial" w:hAnsi="Arial" w:cs="Arial"/>
          <w:color w:val="000000" w:themeColor="text1"/>
          <w:sz w:val="24"/>
          <w:szCs w:val="24"/>
        </w:rPr>
      </w:pPr>
      <w:r w:rsidRPr="008D6B84">
        <w:rPr>
          <w:rFonts w:ascii="Arial" w:hAnsi="Arial" w:cs="Arial"/>
          <w:color w:val="000000" w:themeColor="text1"/>
          <w:sz w:val="24"/>
          <w:szCs w:val="24"/>
        </w:rPr>
        <w:t xml:space="preserve">In France, employees are usually selected through a written application and are trained through formal education and on-the-job training. </w:t>
      </w:r>
    </w:p>
    <w:p w14:paraId="6B7573F4" w14:textId="77777777" w:rsidR="008D6B84" w:rsidRPr="006D2D0E" w:rsidRDefault="008D6B84" w:rsidP="006D2D0E">
      <w:pPr>
        <w:spacing w:line="360" w:lineRule="auto"/>
        <w:rPr>
          <w:rFonts w:ascii="Arial" w:hAnsi="Arial" w:cs="Arial"/>
          <w:color w:val="000000" w:themeColor="text1"/>
          <w:sz w:val="24"/>
          <w:szCs w:val="24"/>
        </w:rPr>
      </w:pPr>
      <w:r w:rsidRPr="008D6B84">
        <w:rPr>
          <w:rFonts w:ascii="Arial" w:hAnsi="Arial" w:cs="Arial"/>
          <w:color w:val="000000" w:themeColor="text1"/>
          <w:sz w:val="24"/>
          <w:szCs w:val="24"/>
        </w:rPr>
        <w:lastRenderedPageBreak/>
        <w:t>In Japan, employees are usually selected through a more informal process, such as an interview, and are trained through a combination of formal education, on-the-job training, and mentoring by more experienced employees (Rodriquez Sanchez et al., 2018).</w:t>
      </w:r>
    </w:p>
    <w:p w14:paraId="13EE4E08" w14:textId="77777777" w:rsidR="008D6B84" w:rsidRPr="006D2D0E" w:rsidRDefault="008D6B84" w:rsidP="006D2D0E">
      <w:pPr>
        <w:spacing w:line="360" w:lineRule="auto"/>
        <w:rPr>
          <w:rFonts w:ascii="Arial" w:hAnsi="Arial" w:cs="Arial"/>
          <w:b/>
          <w:bCs/>
          <w:color w:val="000000" w:themeColor="text1"/>
          <w:sz w:val="24"/>
          <w:szCs w:val="24"/>
        </w:rPr>
      </w:pPr>
      <w:r w:rsidRPr="006D2D0E">
        <w:rPr>
          <w:rFonts w:ascii="Arial" w:hAnsi="Arial" w:cs="Arial"/>
          <w:b/>
          <w:bCs/>
          <w:color w:val="000000" w:themeColor="text1"/>
          <w:sz w:val="24"/>
          <w:szCs w:val="24"/>
        </w:rPr>
        <w:t>Hall’s theory of cross- cultural communication</w:t>
      </w:r>
    </w:p>
    <w:p w14:paraId="38343C15" w14:textId="77777777" w:rsidR="008D6B84" w:rsidRPr="006D2D0E" w:rsidRDefault="008D6B84" w:rsidP="006D2D0E">
      <w:pPr>
        <w:spacing w:line="360" w:lineRule="auto"/>
        <w:rPr>
          <w:rFonts w:ascii="Arial" w:hAnsi="Arial" w:cs="Arial"/>
          <w:color w:val="000000" w:themeColor="text1"/>
          <w:sz w:val="24"/>
          <w:szCs w:val="24"/>
        </w:rPr>
      </w:pPr>
      <w:r w:rsidRPr="006D2D0E">
        <w:rPr>
          <w:rFonts w:ascii="Arial" w:hAnsi="Arial" w:cs="Arial"/>
          <w:color w:val="000000" w:themeColor="text1"/>
          <w:sz w:val="24"/>
          <w:szCs w:val="24"/>
        </w:rPr>
        <w:t xml:space="preserve">Hall's theory of cross-cultural communication can be applied to the merger between </w:t>
      </w:r>
      <w:proofErr w:type="spellStart"/>
      <w:r w:rsidRPr="006D2D0E">
        <w:rPr>
          <w:rFonts w:ascii="Arial" w:hAnsi="Arial" w:cs="Arial"/>
          <w:color w:val="000000" w:themeColor="text1"/>
          <w:sz w:val="24"/>
          <w:szCs w:val="24"/>
        </w:rPr>
        <w:t>Eneos</w:t>
      </w:r>
      <w:proofErr w:type="spellEnd"/>
      <w:r w:rsidRPr="006D2D0E">
        <w:rPr>
          <w:rFonts w:ascii="Arial" w:hAnsi="Arial" w:cs="Arial"/>
          <w:color w:val="000000" w:themeColor="text1"/>
          <w:sz w:val="24"/>
          <w:szCs w:val="24"/>
        </w:rPr>
        <w:t xml:space="preserve"> and Total Energies to ensure effective communication and collaboration between employees from different cultural backgrounds. According to Hall's theory, cultures can be categorized into high-context and low-context cultures. High-context cultures rely on implicit communication, nonverbal cues, and shared values and experiences, while low-context cultures rely on explicit communication, facts, and figures</w:t>
      </w:r>
      <w:r w:rsidR="00FB3F80" w:rsidRPr="006D2D0E">
        <w:rPr>
          <w:rFonts w:ascii="Arial" w:hAnsi="Arial" w:cs="Arial"/>
          <w:color w:val="000000" w:themeColor="text1"/>
          <w:sz w:val="24"/>
          <w:szCs w:val="24"/>
        </w:rPr>
        <w:t xml:space="preserve"> (Hall,1976)</w:t>
      </w:r>
      <w:r w:rsidRPr="006D2D0E">
        <w:rPr>
          <w:rFonts w:ascii="Arial" w:hAnsi="Arial" w:cs="Arial"/>
          <w:color w:val="000000" w:themeColor="text1"/>
          <w:sz w:val="24"/>
          <w:szCs w:val="24"/>
        </w:rPr>
        <w:t>.</w:t>
      </w:r>
    </w:p>
    <w:p w14:paraId="46F1CDCA" w14:textId="77777777" w:rsidR="008D6B84" w:rsidRPr="006D2D0E" w:rsidRDefault="008D6B84" w:rsidP="006D2D0E">
      <w:pPr>
        <w:spacing w:line="360" w:lineRule="auto"/>
        <w:rPr>
          <w:rFonts w:ascii="Arial" w:hAnsi="Arial" w:cs="Arial"/>
          <w:color w:val="000000" w:themeColor="text1"/>
          <w:sz w:val="24"/>
          <w:szCs w:val="24"/>
        </w:rPr>
      </w:pPr>
      <w:r w:rsidRPr="006D2D0E">
        <w:rPr>
          <w:rFonts w:ascii="Arial" w:hAnsi="Arial" w:cs="Arial"/>
          <w:color w:val="000000" w:themeColor="text1"/>
          <w:sz w:val="24"/>
          <w:szCs w:val="24"/>
        </w:rPr>
        <w:t xml:space="preserve">In the context of the merger between </w:t>
      </w:r>
      <w:proofErr w:type="spellStart"/>
      <w:r w:rsidRPr="006D2D0E">
        <w:rPr>
          <w:rFonts w:ascii="Arial" w:hAnsi="Arial" w:cs="Arial"/>
          <w:color w:val="000000" w:themeColor="text1"/>
          <w:sz w:val="24"/>
          <w:szCs w:val="24"/>
        </w:rPr>
        <w:t>Eneos</w:t>
      </w:r>
      <w:proofErr w:type="spellEnd"/>
      <w:r w:rsidRPr="006D2D0E">
        <w:rPr>
          <w:rFonts w:ascii="Arial" w:hAnsi="Arial" w:cs="Arial"/>
          <w:color w:val="000000" w:themeColor="text1"/>
          <w:sz w:val="24"/>
          <w:szCs w:val="24"/>
        </w:rPr>
        <w:t xml:space="preserve"> and Total Energies, Japan can be considered a high-context culture, where nonverbal cues, implicit communication, and shared values play a significant role in communication. On the other hand, France can be considered a low-context culture, where explicit communication, facts, and figures are more important in communication.</w:t>
      </w:r>
    </w:p>
    <w:p w14:paraId="4570A842" w14:textId="77777777" w:rsidR="00FB3F80" w:rsidRPr="006D2D0E" w:rsidRDefault="00FB3F80" w:rsidP="006D2D0E">
      <w:pPr>
        <w:spacing w:line="360" w:lineRule="auto"/>
        <w:rPr>
          <w:rFonts w:ascii="Arial" w:hAnsi="Arial" w:cs="Arial"/>
          <w:color w:val="000000" w:themeColor="text1"/>
          <w:sz w:val="24"/>
          <w:szCs w:val="24"/>
        </w:rPr>
      </w:pPr>
      <w:r w:rsidRPr="006D2D0E">
        <w:rPr>
          <w:rFonts w:ascii="Arial" w:hAnsi="Arial" w:cs="Arial"/>
          <w:color w:val="000000" w:themeColor="text1"/>
          <w:sz w:val="24"/>
          <w:szCs w:val="24"/>
        </w:rPr>
        <w:t>Therefore, HR managers should consider these cultural differences when planning and implementing communication strategies during the merger process. They should use more implicit and nonverbal communication methods, such as face-to-face meetings and group discussions, when communicating with Japanese employees. For French employees, explicit communication methods, such as written reports and presentations, may be more effective.</w:t>
      </w:r>
    </w:p>
    <w:p w14:paraId="0DF3B8B5" w14:textId="77777777" w:rsidR="00FB3F80" w:rsidRPr="006D2D0E" w:rsidRDefault="00FB3F80" w:rsidP="006D2D0E">
      <w:pPr>
        <w:pStyle w:val="Heading1"/>
        <w:spacing w:line="360" w:lineRule="auto"/>
        <w:rPr>
          <w:rFonts w:ascii="Arial" w:hAnsi="Arial" w:cs="Arial"/>
          <w:sz w:val="24"/>
          <w:szCs w:val="24"/>
        </w:rPr>
      </w:pPr>
      <w:bookmarkStart w:id="5" w:name="_Toc131331835"/>
      <w:r w:rsidRPr="006D2D0E">
        <w:rPr>
          <w:rFonts w:ascii="Arial" w:hAnsi="Arial" w:cs="Arial"/>
          <w:sz w:val="24"/>
          <w:szCs w:val="24"/>
        </w:rPr>
        <w:t>Conclusion and Recommendation</w:t>
      </w:r>
      <w:bookmarkEnd w:id="5"/>
    </w:p>
    <w:p w14:paraId="5A01AB3A" w14:textId="77777777" w:rsidR="00FB3F80" w:rsidRPr="006D2D0E" w:rsidRDefault="002A5760" w:rsidP="006D2D0E">
      <w:pPr>
        <w:spacing w:line="360" w:lineRule="auto"/>
        <w:rPr>
          <w:rFonts w:ascii="Arial" w:hAnsi="Arial" w:cs="Arial"/>
          <w:color w:val="000000" w:themeColor="text1"/>
          <w:sz w:val="24"/>
          <w:szCs w:val="24"/>
        </w:rPr>
      </w:pPr>
      <w:r w:rsidRPr="006D2D0E">
        <w:rPr>
          <w:rFonts w:ascii="Arial" w:hAnsi="Arial" w:cs="Arial"/>
          <w:color w:val="000000" w:themeColor="text1"/>
          <w:sz w:val="24"/>
          <w:szCs w:val="24"/>
        </w:rPr>
        <w:t xml:space="preserve">In conclusion, the success of the merger between Total energies and </w:t>
      </w:r>
      <w:proofErr w:type="spellStart"/>
      <w:r w:rsidRPr="006D2D0E">
        <w:rPr>
          <w:rFonts w:ascii="Arial" w:hAnsi="Arial" w:cs="Arial"/>
          <w:color w:val="000000" w:themeColor="text1"/>
          <w:sz w:val="24"/>
          <w:szCs w:val="24"/>
        </w:rPr>
        <w:t>Eneos</w:t>
      </w:r>
      <w:proofErr w:type="spellEnd"/>
      <w:r w:rsidRPr="006D2D0E">
        <w:rPr>
          <w:rFonts w:ascii="Arial" w:hAnsi="Arial" w:cs="Arial"/>
          <w:color w:val="000000" w:themeColor="text1"/>
          <w:sz w:val="24"/>
          <w:szCs w:val="24"/>
        </w:rPr>
        <w:t xml:space="preserve"> will depend on how well the two companies manage cultural differences and integrate HR policies and practices. By considering the cultural and institutional analysis, applying integration typology, and involving IHRM in the process, Total energies and </w:t>
      </w:r>
      <w:proofErr w:type="spellStart"/>
      <w:r w:rsidRPr="006D2D0E">
        <w:rPr>
          <w:rFonts w:ascii="Arial" w:hAnsi="Arial" w:cs="Arial"/>
          <w:color w:val="000000" w:themeColor="text1"/>
          <w:sz w:val="24"/>
          <w:szCs w:val="24"/>
        </w:rPr>
        <w:t>Eneos</w:t>
      </w:r>
      <w:proofErr w:type="spellEnd"/>
      <w:r w:rsidRPr="006D2D0E">
        <w:rPr>
          <w:rFonts w:ascii="Arial" w:hAnsi="Arial" w:cs="Arial"/>
          <w:color w:val="000000" w:themeColor="text1"/>
          <w:sz w:val="24"/>
          <w:szCs w:val="24"/>
        </w:rPr>
        <w:t xml:space="preserve"> can facilitate a smooth transition and achieve long-term success.</w:t>
      </w:r>
    </w:p>
    <w:p w14:paraId="0D12C81C" w14:textId="77777777" w:rsidR="00FB3F80" w:rsidRPr="006D2D0E" w:rsidRDefault="00FD3EAD" w:rsidP="006D2D0E">
      <w:pPr>
        <w:spacing w:line="360" w:lineRule="auto"/>
        <w:rPr>
          <w:rFonts w:ascii="Arial" w:hAnsi="Arial" w:cs="Arial"/>
          <w:color w:val="000000" w:themeColor="text1"/>
          <w:sz w:val="24"/>
          <w:szCs w:val="24"/>
        </w:rPr>
      </w:pPr>
      <w:r w:rsidRPr="006D2D0E">
        <w:rPr>
          <w:rFonts w:ascii="Arial" w:hAnsi="Arial" w:cs="Arial"/>
          <w:color w:val="000000" w:themeColor="text1"/>
          <w:sz w:val="24"/>
          <w:szCs w:val="24"/>
        </w:rPr>
        <w:t>R</w:t>
      </w:r>
      <w:r w:rsidR="00FB3F80" w:rsidRPr="006D2D0E">
        <w:rPr>
          <w:rFonts w:ascii="Arial" w:hAnsi="Arial" w:cs="Arial"/>
          <w:color w:val="000000" w:themeColor="text1"/>
          <w:sz w:val="24"/>
          <w:szCs w:val="24"/>
        </w:rPr>
        <w:t xml:space="preserve">ecommendation to the IHRM department in Total energies and </w:t>
      </w:r>
      <w:proofErr w:type="spellStart"/>
      <w:r w:rsidR="00FB3F80" w:rsidRPr="006D2D0E">
        <w:rPr>
          <w:rFonts w:ascii="Arial" w:hAnsi="Arial" w:cs="Arial"/>
          <w:color w:val="000000" w:themeColor="text1"/>
          <w:sz w:val="24"/>
          <w:szCs w:val="24"/>
        </w:rPr>
        <w:t>Eneos</w:t>
      </w:r>
      <w:proofErr w:type="spellEnd"/>
      <w:r w:rsidR="00FB3F80" w:rsidRPr="006D2D0E">
        <w:rPr>
          <w:rFonts w:ascii="Arial" w:hAnsi="Arial" w:cs="Arial"/>
          <w:color w:val="000000" w:themeColor="text1"/>
          <w:sz w:val="24"/>
          <w:szCs w:val="24"/>
        </w:rPr>
        <w:t xml:space="preserve"> would be to consider cultural differences during the merger process, apply </w:t>
      </w:r>
      <w:proofErr w:type="spellStart"/>
      <w:r w:rsidR="00FB3F80" w:rsidRPr="006D2D0E">
        <w:rPr>
          <w:rFonts w:ascii="Arial" w:hAnsi="Arial" w:cs="Arial"/>
          <w:color w:val="000000" w:themeColor="text1"/>
          <w:sz w:val="24"/>
          <w:szCs w:val="24"/>
        </w:rPr>
        <w:t>Haspeslagh</w:t>
      </w:r>
      <w:proofErr w:type="spellEnd"/>
      <w:r w:rsidR="00FB3F80" w:rsidRPr="006D2D0E">
        <w:rPr>
          <w:rFonts w:ascii="Arial" w:hAnsi="Arial" w:cs="Arial"/>
          <w:color w:val="000000" w:themeColor="text1"/>
          <w:sz w:val="24"/>
          <w:szCs w:val="24"/>
        </w:rPr>
        <w:t xml:space="preserve"> and </w:t>
      </w:r>
      <w:r w:rsidR="00FB3F80" w:rsidRPr="006D2D0E">
        <w:rPr>
          <w:rFonts w:ascii="Arial" w:hAnsi="Arial" w:cs="Arial"/>
          <w:color w:val="000000" w:themeColor="text1"/>
          <w:sz w:val="24"/>
          <w:szCs w:val="24"/>
        </w:rPr>
        <w:lastRenderedPageBreak/>
        <w:t>Jemison's integration typology, and use effective cross-cultural communication strategies to facilitate effective communication between the two companies. IHRM should also play a crucial role in both the pre-merger and post-merger stages by designing recruitment strategies that align with the cultural and organizational values of both companies and prioritizing cultural integration and alignment of HR policies and practices.</w:t>
      </w:r>
    </w:p>
    <w:p w14:paraId="24938D33" w14:textId="77777777" w:rsidR="008F600B" w:rsidRPr="006D2D0E" w:rsidRDefault="00F709D9" w:rsidP="006D2D0E">
      <w:pPr>
        <w:pStyle w:val="Heading1"/>
        <w:spacing w:line="360" w:lineRule="auto"/>
        <w:rPr>
          <w:rFonts w:ascii="Arial" w:hAnsi="Arial" w:cs="Arial"/>
          <w:sz w:val="24"/>
          <w:szCs w:val="24"/>
        </w:rPr>
      </w:pPr>
      <w:r>
        <w:rPr>
          <w:rFonts w:ascii="Arial" w:hAnsi="Arial" w:cs="Arial"/>
          <w:sz w:val="24"/>
          <w:szCs w:val="24"/>
        </w:rPr>
        <w:t xml:space="preserve">                                                       </w:t>
      </w:r>
      <w:bookmarkStart w:id="6" w:name="_Toc131331836"/>
      <w:r w:rsidR="00FD3EAD" w:rsidRPr="006D2D0E">
        <w:rPr>
          <w:rFonts w:ascii="Arial" w:hAnsi="Arial" w:cs="Arial"/>
          <w:sz w:val="24"/>
          <w:szCs w:val="24"/>
        </w:rPr>
        <w:t>References</w:t>
      </w:r>
      <w:bookmarkEnd w:id="6"/>
    </w:p>
    <w:p w14:paraId="4B9CABC1" w14:textId="77777777" w:rsidR="00FD3EAD" w:rsidRPr="00FD3EAD" w:rsidRDefault="00FD3EAD" w:rsidP="006D2D0E">
      <w:pPr>
        <w:spacing w:line="360" w:lineRule="auto"/>
        <w:rPr>
          <w:rFonts w:ascii="Arial" w:hAnsi="Arial" w:cs="Arial"/>
          <w:color w:val="000000" w:themeColor="text1"/>
          <w:sz w:val="24"/>
          <w:szCs w:val="24"/>
        </w:rPr>
      </w:pPr>
      <w:proofErr w:type="spellStart"/>
      <w:r w:rsidRPr="00FD3EAD">
        <w:rPr>
          <w:rFonts w:ascii="Arial" w:hAnsi="Arial" w:cs="Arial"/>
          <w:color w:val="000000" w:themeColor="text1"/>
          <w:sz w:val="24"/>
          <w:szCs w:val="24"/>
        </w:rPr>
        <w:t>Antila</w:t>
      </w:r>
      <w:proofErr w:type="spellEnd"/>
      <w:r w:rsidRPr="00FD3EAD">
        <w:rPr>
          <w:rFonts w:ascii="Arial" w:hAnsi="Arial" w:cs="Arial"/>
          <w:color w:val="000000" w:themeColor="text1"/>
          <w:sz w:val="24"/>
          <w:szCs w:val="24"/>
        </w:rPr>
        <w:t xml:space="preserve">, E.M. (2005) ‘The Role of the HR Function in International Mergers and Acquisitions’. In Morrow, T., </w:t>
      </w:r>
      <w:proofErr w:type="spellStart"/>
      <w:r w:rsidRPr="00FD3EAD">
        <w:rPr>
          <w:rFonts w:ascii="Arial" w:hAnsi="Arial" w:cs="Arial"/>
          <w:color w:val="000000" w:themeColor="text1"/>
          <w:sz w:val="24"/>
          <w:szCs w:val="24"/>
        </w:rPr>
        <w:t>Loane</w:t>
      </w:r>
      <w:proofErr w:type="spellEnd"/>
      <w:r w:rsidRPr="00FD3EAD">
        <w:rPr>
          <w:rFonts w:ascii="Arial" w:hAnsi="Arial" w:cs="Arial"/>
          <w:color w:val="000000" w:themeColor="text1"/>
          <w:sz w:val="24"/>
          <w:szCs w:val="24"/>
        </w:rPr>
        <w:t>, S., Bell, J. and Wheeler, C. (eds) International Business in an Enlarging Europe. Basingstoke: Palgrave Macmillan.</w:t>
      </w:r>
    </w:p>
    <w:p w14:paraId="47C0CEA0" w14:textId="77777777" w:rsidR="00FD3EAD" w:rsidRDefault="00FD3EAD" w:rsidP="006D2D0E">
      <w:pPr>
        <w:spacing w:line="360" w:lineRule="auto"/>
        <w:rPr>
          <w:rFonts w:ascii="Arial" w:hAnsi="Arial" w:cs="Arial"/>
          <w:color w:val="000000" w:themeColor="text1"/>
          <w:sz w:val="24"/>
          <w:szCs w:val="24"/>
        </w:rPr>
      </w:pPr>
      <w:r w:rsidRPr="006D2D0E">
        <w:rPr>
          <w:rFonts w:ascii="Arial" w:hAnsi="Arial" w:cs="Arial"/>
          <w:color w:val="000000" w:themeColor="text1"/>
          <w:sz w:val="24"/>
          <w:szCs w:val="24"/>
        </w:rPr>
        <w:t>Barney, J. (1991). Firm resources and sustained competitive advantage. Journal of Management, 17(1), 99-120. Available at: https://doi.org/10.1177/014920639101700108 (Accessed on 22 March 2023)</w:t>
      </w:r>
    </w:p>
    <w:p w14:paraId="4AC3B102" w14:textId="77777777" w:rsidR="00F709D9" w:rsidRPr="00FD3EAD" w:rsidRDefault="00F709D9" w:rsidP="006D2D0E">
      <w:pPr>
        <w:spacing w:line="360" w:lineRule="auto"/>
        <w:rPr>
          <w:rFonts w:ascii="Arial" w:hAnsi="Arial" w:cs="Arial"/>
          <w:color w:val="000000" w:themeColor="text1"/>
          <w:sz w:val="24"/>
          <w:szCs w:val="24"/>
        </w:rPr>
      </w:pPr>
      <w:r w:rsidRPr="00F709D9">
        <w:rPr>
          <w:rFonts w:ascii="Arial" w:hAnsi="Arial" w:cs="Arial"/>
          <w:color w:val="000000" w:themeColor="text1"/>
          <w:sz w:val="24"/>
          <w:szCs w:val="24"/>
        </w:rPr>
        <w:t>DiMaggio, P. J., &amp; Powell, W. W. (1991). The new institutionalism in organizational analysis. University of Chicago Press.</w:t>
      </w:r>
    </w:p>
    <w:p w14:paraId="506A6E3F" w14:textId="77777777" w:rsidR="00FD3EAD" w:rsidRPr="00FD3EAD" w:rsidRDefault="00FD3EAD" w:rsidP="006D2D0E">
      <w:pPr>
        <w:spacing w:line="360" w:lineRule="auto"/>
        <w:rPr>
          <w:rFonts w:ascii="Arial" w:hAnsi="Arial" w:cs="Arial"/>
          <w:color w:val="000000" w:themeColor="text1"/>
          <w:sz w:val="24"/>
          <w:szCs w:val="24"/>
        </w:rPr>
      </w:pPr>
      <w:proofErr w:type="spellStart"/>
      <w:r w:rsidRPr="00FD3EAD">
        <w:rPr>
          <w:rFonts w:ascii="Arial" w:hAnsi="Arial" w:cs="Arial"/>
          <w:color w:val="000000" w:themeColor="text1"/>
          <w:sz w:val="24"/>
          <w:szCs w:val="24"/>
        </w:rPr>
        <w:t>Delloite</w:t>
      </w:r>
      <w:proofErr w:type="spellEnd"/>
      <w:r w:rsidRPr="00FD3EAD">
        <w:rPr>
          <w:rFonts w:ascii="Arial" w:hAnsi="Arial" w:cs="Arial"/>
          <w:color w:val="000000" w:themeColor="text1"/>
          <w:sz w:val="24"/>
          <w:szCs w:val="24"/>
        </w:rPr>
        <w:t xml:space="preserve"> (2023). 2023 oil and gas industry outlook. Available at: https://www.deloitte.com/global/en/Industries/energy-chemicals/analysis/gx-oil-and-gas-industry-outlook.html (Accessed on 07 March 2023)</w:t>
      </w:r>
    </w:p>
    <w:p w14:paraId="1E143C88" w14:textId="77777777" w:rsidR="00FD3EAD" w:rsidRPr="00FD3EAD" w:rsidRDefault="00FD3EAD" w:rsidP="006D2D0E">
      <w:pPr>
        <w:spacing w:line="360" w:lineRule="auto"/>
        <w:rPr>
          <w:rFonts w:ascii="Arial" w:hAnsi="Arial" w:cs="Arial"/>
          <w:color w:val="000000" w:themeColor="text1"/>
          <w:sz w:val="24"/>
          <w:szCs w:val="24"/>
        </w:rPr>
      </w:pPr>
      <w:proofErr w:type="spellStart"/>
      <w:r w:rsidRPr="00FD3EAD">
        <w:rPr>
          <w:rFonts w:ascii="Arial" w:hAnsi="Arial" w:cs="Arial"/>
          <w:color w:val="000000" w:themeColor="text1"/>
          <w:sz w:val="24"/>
          <w:szCs w:val="24"/>
        </w:rPr>
        <w:t>Eneos</w:t>
      </w:r>
      <w:proofErr w:type="spellEnd"/>
      <w:r w:rsidRPr="00FD3EAD">
        <w:rPr>
          <w:rFonts w:ascii="Arial" w:hAnsi="Arial" w:cs="Arial"/>
          <w:color w:val="000000" w:themeColor="text1"/>
          <w:sz w:val="24"/>
          <w:szCs w:val="24"/>
        </w:rPr>
        <w:t>, (2013).  About us. Available at: https://eneos.asia/about-us/ (Accessed on 01 March 2023)</w:t>
      </w:r>
    </w:p>
    <w:p w14:paraId="0962F87D" w14:textId="77777777" w:rsidR="00FD3EAD" w:rsidRDefault="00FD3EAD" w:rsidP="006D2D0E">
      <w:pPr>
        <w:spacing w:line="360" w:lineRule="auto"/>
        <w:rPr>
          <w:rFonts w:ascii="Arial" w:hAnsi="Arial" w:cs="Arial"/>
          <w:color w:val="000000" w:themeColor="text1"/>
          <w:sz w:val="24"/>
          <w:szCs w:val="24"/>
        </w:rPr>
      </w:pPr>
      <w:r w:rsidRPr="00FD3EAD">
        <w:rPr>
          <w:rFonts w:ascii="Arial" w:hAnsi="Arial" w:cs="Arial"/>
          <w:color w:val="000000" w:themeColor="text1"/>
          <w:sz w:val="24"/>
          <w:szCs w:val="24"/>
        </w:rPr>
        <w:t>Gomes, E., Sousa, F., Costa, J., &amp; Serra, J. (2013). International mergers and acquisitions: The role of human resource management. International Journal of Human Resource Management, 24(9), 1844-1860.</w:t>
      </w:r>
    </w:p>
    <w:p w14:paraId="34E38709" w14:textId="77777777" w:rsidR="00F709D9" w:rsidRPr="00FD3EAD" w:rsidRDefault="00F709D9" w:rsidP="006D2D0E">
      <w:pPr>
        <w:spacing w:line="360" w:lineRule="auto"/>
        <w:rPr>
          <w:rFonts w:ascii="Arial" w:hAnsi="Arial" w:cs="Arial"/>
          <w:color w:val="000000" w:themeColor="text1"/>
          <w:sz w:val="24"/>
          <w:szCs w:val="24"/>
        </w:rPr>
      </w:pPr>
      <w:r w:rsidRPr="00F709D9">
        <w:rPr>
          <w:rFonts w:ascii="Arial" w:hAnsi="Arial" w:cs="Arial"/>
          <w:color w:val="000000" w:themeColor="text1"/>
          <w:sz w:val="24"/>
          <w:szCs w:val="24"/>
        </w:rPr>
        <w:t xml:space="preserve">Hofstede, G. (2001). Culture's Consequences: Comparing Values, </w:t>
      </w:r>
      <w:proofErr w:type="spellStart"/>
      <w:r w:rsidRPr="00F709D9">
        <w:rPr>
          <w:rFonts w:ascii="Arial" w:hAnsi="Arial" w:cs="Arial"/>
          <w:color w:val="000000" w:themeColor="text1"/>
          <w:sz w:val="24"/>
          <w:szCs w:val="24"/>
        </w:rPr>
        <w:t>Behaviors</w:t>
      </w:r>
      <w:proofErr w:type="spellEnd"/>
      <w:r w:rsidRPr="00F709D9">
        <w:rPr>
          <w:rFonts w:ascii="Arial" w:hAnsi="Arial" w:cs="Arial"/>
          <w:color w:val="000000" w:themeColor="text1"/>
          <w:sz w:val="24"/>
          <w:szCs w:val="24"/>
        </w:rPr>
        <w:t>, Institutions and Organizations across Nations. Sage Publications.</w:t>
      </w:r>
    </w:p>
    <w:p w14:paraId="17C043E1" w14:textId="77777777" w:rsidR="00FD3EAD" w:rsidRDefault="00FD3EAD" w:rsidP="006D2D0E">
      <w:pPr>
        <w:spacing w:line="360" w:lineRule="auto"/>
        <w:rPr>
          <w:rFonts w:ascii="Arial" w:hAnsi="Arial" w:cs="Arial"/>
          <w:color w:val="000000" w:themeColor="text1"/>
          <w:sz w:val="24"/>
          <w:szCs w:val="24"/>
        </w:rPr>
      </w:pPr>
      <w:r w:rsidRPr="00FD3EAD">
        <w:rPr>
          <w:rFonts w:ascii="Arial" w:hAnsi="Arial" w:cs="Arial"/>
          <w:color w:val="000000" w:themeColor="text1"/>
          <w:sz w:val="24"/>
          <w:szCs w:val="24"/>
        </w:rPr>
        <w:t>Hofstede Insights (2023). Country Comparison. Available at: https://www.hofstede-insights.com/country-comparison/france,japan/ (Accessed on 15 March 2023)</w:t>
      </w:r>
    </w:p>
    <w:p w14:paraId="45F8DFE3" w14:textId="77777777" w:rsidR="00F709D9" w:rsidRPr="00FD3EAD" w:rsidRDefault="00F709D9" w:rsidP="006D2D0E">
      <w:pPr>
        <w:spacing w:line="360" w:lineRule="auto"/>
        <w:rPr>
          <w:rFonts w:ascii="Arial" w:hAnsi="Arial" w:cs="Arial"/>
          <w:color w:val="000000" w:themeColor="text1"/>
          <w:sz w:val="24"/>
          <w:szCs w:val="24"/>
        </w:rPr>
      </w:pPr>
      <w:r w:rsidRPr="00F709D9">
        <w:rPr>
          <w:rFonts w:ascii="Arial" w:hAnsi="Arial" w:cs="Arial"/>
          <w:color w:val="000000" w:themeColor="text1"/>
          <w:sz w:val="24"/>
          <w:szCs w:val="24"/>
        </w:rPr>
        <w:t xml:space="preserve">Kotter International. (2021). Employee motivation in France vs. Japan. </w:t>
      </w:r>
      <w:r>
        <w:rPr>
          <w:rFonts w:ascii="Arial" w:hAnsi="Arial" w:cs="Arial"/>
          <w:color w:val="000000" w:themeColor="text1"/>
          <w:sz w:val="24"/>
          <w:szCs w:val="24"/>
        </w:rPr>
        <w:t>Available at:</w:t>
      </w:r>
      <w:r w:rsidRPr="00F709D9">
        <w:rPr>
          <w:rFonts w:ascii="Arial" w:hAnsi="Arial" w:cs="Arial"/>
          <w:color w:val="000000" w:themeColor="text1"/>
          <w:sz w:val="24"/>
          <w:szCs w:val="24"/>
        </w:rPr>
        <w:t xml:space="preserve"> </w:t>
      </w:r>
      <w:hyperlink r:id="rId9" w:history="1">
        <w:r w:rsidRPr="00820B62">
          <w:rPr>
            <w:rStyle w:val="Hyperlink"/>
            <w:rFonts w:ascii="Arial" w:hAnsi="Arial" w:cs="Arial"/>
            <w:sz w:val="24"/>
            <w:szCs w:val="24"/>
          </w:rPr>
          <w:t>https://www.kotterinc.com/insights/employee-motivation-in-france-vs-japan/</w:t>
        </w:r>
      </w:hyperlink>
      <w:r>
        <w:rPr>
          <w:rFonts w:ascii="Arial" w:hAnsi="Arial" w:cs="Arial"/>
          <w:color w:val="000000" w:themeColor="text1"/>
          <w:sz w:val="24"/>
          <w:szCs w:val="24"/>
        </w:rPr>
        <w:t xml:space="preserve"> (Accessed on 20 March 2023)</w:t>
      </w:r>
    </w:p>
    <w:p w14:paraId="77B1D670" w14:textId="77777777" w:rsidR="00FD3EAD" w:rsidRPr="00FD3EAD" w:rsidRDefault="00FD3EAD" w:rsidP="006D2D0E">
      <w:pPr>
        <w:spacing w:line="360" w:lineRule="auto"/>
        <w:rPr>
          <w:rFonts w:ascii="Arial" w:hAnsi="Arial" w:cs="Arial"/>
          <w:color w:val="000000" w:themeColor="text1"/>
          <w:sz w:val="24"/>
          <w:szCs w:val="24"/>
        </w:rPr>
      </w:pPr>
      <w:r w:rsidRPr="00FD3EAD">
        <w:rPr>
          <w:rFonts w:ascii="Arial" w:hAnsi="Arial" w:cs="Arial"/>
          <w:color w:val="000000" w:themeColor="text1"/>
          <w:sz w:val="24"/>
          <w:szCs w:val="24"/>
        </w:rPr>
        <w:lastRenderedPageBreak/>
        <w:t xml:space="preserve">Macrotrends (2023). </w:t>
      </w:r>
      <w:proofErr w:type="spellStart"/>
      <w:r w:rsidRPr="00FD3EAD">
        <w:rPr>
          <w:rFonts w:ascii="Arial" w:hAnsi="Arial" w:cs="Arial"/>
          <w:color w:val="000000" w:themeColor="text1"/>
          <w:sz w:val="24"/>
          <w:szCs w:val="24"/>
        </w:rPr>
        <w:t>TotalEnergies</w:t>
      </w:r>
      <w:proofErr w:type="spellEnd"/>
      <w:r w:rsidRPr="00FD3EAD">
        <w:rPr>
          <w:rFonts w:ascii="Arial" w:hAnsi="Arial" w:cs="Arial"/>
          <w:color w:val="000000" w:themeColor="text1"/>
          <w:sz w:val="24"/>
          <w:szCs w:val="24"/>
        </w:rPr>
        <w:t xml:space="preserve"> SE: Number of Employees 2010-2022 | TTE. Available at: https://www.macrotrends.net/stocks/charts/TTE/totalenergies-se/number-of-employees (Accessed on 07 March 2023)</w:t>
      </w:r>
    </w:p>
    <w:p w14:paraId="21BF04AC" w14:textId="77777777" w:rsidR="00FD3EAD" w:rsidRDefault="00FD3EAD" w:rsidP="006D2D0E">
      <w:pPr>
        <w:spacing w:line="360" w:lineRule="auto"/>
        <w:rPr>
          <w:rFonts w:ascii="Arial" w:hAnsi="Arial" w:cs="Arial"/>
          <w:color w:val="000000" w:themeColor="text1"/>
          <w:sz w:val="24"/>
          <w:szCs w:val="24"/>
        </w:rPr>
      </w:pPr>
      <w:r w:rsidRPr="00FD3EAD">
        <w:rPr>
          <w:rFonts w:ascii="Arial" w:hAnsi="Arial" w:cs="Arial"/>
          <w:color w:val="000000" w:themeColor="text1"/>
          <w:sz w:val="24"/>
          <w:szCs w:val="24"/>
        </w:rPr>
        <w:t>Rodríguez Sanchez, J., &amp; Singh, A. (2018). Human resource management in international mergers and acquisitions. International Journal of Human Resource Management, 29(15), 2419-2435.</w:t>
      </w:r>
    </w:p>
    <w:p w14:paraId="3822EEA3" w14:textId="77777777" w:rsidR="00F709D9" w:rsidRPr="00FD3EAD" w:rsidRDefault="00F709D9" w:rsidP="006D2D0E">
      <w:pPr>
        <w:spacing w:line="360" w:lineRule="auto"/>
        <w:rPr>
          <w:rFonts w:ascii="Arial" w:hAnsi="Arial" w:cs="Arial"/>
          <w:color w:val="000000" w:themeColor="text1"/>
          <w:sz w:val="24"/>
          <w:szCs w:val="24"/>
        </w:rPr>
      </w:pPr>
      <w:r w:rsidRPr="00F709D9">
        <w:rPr>
          <w:rFonts w:ascii="Arial" w:hAnsi="Arial" w:cs="Arial"/>
          <w:color w:val="000000" w:themeColor="text1"/>
          <w:sz w:val="24"/>
          <w:szCs w:val="24"/>
        </w:rPr>
        <w:t>Scott, W. R. (1995). Institutions and organizations. Sage Publications.</w:t>
      </w:r>
    </w:p>
    <w:p w14:paraId="2F29A6E0" w14:textId="77777777" w:rsidR="00FD3EAD" w:rsidRPr="00FD3EAD" w:rsidRDefault="00FD3EAD" w:rsidP="006D2D0E">
      <w:pPr>
        <w:spacing w:line="360" w:lineRule="auto"/>
        <w:rPr>
          <w:rFonts w:ascii="Arial" w:hAnsi="Arial" w:cs="Arial"/>
          <w:color w:val="000000" w:themeColor="text1"/>
          <w:sz w:val="24"/>
          <w:szCs w:val="24"/>
        </w:rPr>
      </w:pPr>
      <w:r w:rsidRPr="00FD3EAD">
        <w:rPr>
          <w:rFonts w:ascii="Arial" w:hAnsi="Arial" w:cs="Arial"/>
          <w:color w:val="000000" w:themeColor="text1"/>
          <w:sz w:val="24"/>
          <w:szCs w:val="24"/>
        </w:rPr>
        <w:t>Scott, W. R. (2001). Institutions and organizations (2nd ed). Thousand Oaks, CA: Sage.</w:t>
      </w:r>
    </w:p>
    <w:p w14:paraId="0034E33C" w14:textId="77777777" w:rsidR="00FD3EAD" w:rsidRDefault="00FD3EAD" w:rsidP="006D2D0E">
      <w:pPr>
        <w:spacing w:line="360" w:lineRule="auto"/>
        <w:rPr>
          <w:rFonts w:ascii="Arial" w:hAnsi="Arial" w:cs="Arial"/>
          <w:color w:val="000000" w:themeColor="text1"/>
          <w:sz w:val="24"/>
          <w:szCs w:val="24"/>
        </w:rPr>
      </w:pPr>
      <w:r w:rsidRPr="00FD3EAD">
        <w:rPr>
          <w:rFonts w:ascii="Arial" w:hAnsi="Arial" w:cs="Arial"/>
          <w:color w:val="000000" w:themeColor="text1"/>
          <w:sz w:val="24"/>
          <w:szCs w:val="24"/>
        </w:rPr>
        <w:t xml:space="preserve">Statista (2023). Number of employees working for ENEOS Holdings, Inc. from fiscal year 2017 to 2020. Available </w:t>
      </w:r>
      <w:r w:rsidRPr="006D2D0E">
        <w:rPr>
          <w:rFonts w:ascii="Arial" w:hAnsi="Arial" w:cs="Arial"/>
          <w:color w:val="000000" w:themeColor="text1"/>
          <w:sz w:val="24"/>
          <w:szCs w:val="24"/>
        </w:rPr>
        <w:t xml:space="preserve">at: </w:t>
      </w:r>
      <w:hyperlink r:id="rId10" w:anchor=":~" w:history="1">
        <w:r w:rsidRPr="006D2D0E">
          <w:rPr>
            <w:rStyle w:val="Hyperlink"/>
            <w:rFonts w:ascii="Arial" w:hAnsi="Arial" w:cs="Arial"/>
            <w:sz w:val="24"/>
            <w:szCs w:val="24"/>
          </w:rPr>
          <w:t>https://www.statista.com/statistics/809334/jxtg-holdings-employee-numbers/#:~</w:t>
        </w:r>
      </w:hyperlink>
      <w:r w:rsidRPr="00FD3EAD">
        <w:rPr>
          <w:rFonts w:ascii="Arial" w:hAnsi="Arial" w:cs="Arial"/>
          <w:color w:val="000000" w:themeColor="text1"/>
          <w:sz w:val="24"/>
          <w:szCs w:val="24"/>
        </w:rPr>
        <w:t>:</w:t>
      </w:r>
      <w:r w:rsidRPr="006D2D0E">
        <w:rPr>
          <w:rFonts w:ascii="Arial" w:hAnsi="Arial" w:cs="Arial"/>
          <w:color w:val="000000" w:themeColor="text1"/>
          <w:sz w:val="24"/>
          <w:szCs w:val="24"/>
        </w:rPr>
        <w:t xml:space="preserve"> </w:t>
      </w:r>
      <w:r w:rsidRPr="00FD3EAD">
        <w:rPr>
          <w:rFonts w:ascii="Arial" w:hAnsi="Arial" w:cs="Arial"/>
          <w:color w:val="000000" w:themeColor="text1"/>
          <w:sz w:val="24"/>
          <w:szCs w:val="24"/>
        </w:rPr>
        <w:t xml:space="preserve"> (Accessed on 06 March 2023)</w:t>
      </w:r>
    </w:p>
    <w:p w14:paraId="07FE20EF" w14:textId="77777777" w:rsidR="00F709D9" w:rsidRPr="00F709D9" w:rsidRDefault="00F709D9" w:rsidP="00F709D9">
      <w:pPr>
        <w:spacing w:line="360" w:lineRule="auto"/>
        <w:rPr>
          <w:rFonts w:ascii="Arial" w:hAnsi="Arial" w:cs="Arial"/>
          <w:color w:val="000000" w:themeColor="text1"/>
          <w:sz w:val="24"/>
          <w:szCs w:val="24"/>
        </w:rPr>
      </w:pPr>
      <w:r w:rsidRPr="00F709D9">
        <w:rPr>
          <w:rFonts w:ascii="Arial" w:hAnsi="Arial" w:cs="Arial"/>
          <w:color w:val="000000" w:themeColor="text1"/>
          <w:sz w:val="24"/>
          <w:szCs w:val="24"/>
        </w:rPr>
        <w:t xml:space="preserve">The World Factbook. (2022). France. </w:t>
      </w:r>
      <w:r>
        <w:rPr>
          <w:rFonts w:ascii="Arial" w:hAnsi="Arial" w:cs="Arial"/>
          <w:color w:val="000000" w:themeColor="text1"/>
          <w:sz w:val="24"/>
          <w:szCs w:val="24"/>
        </w:rPr>
        <w:t xml:space="preserve">Available at: </w:t>
      </w:r>
      <w:hyperlink r:id="rId11" w:history="1">
        <w:r w:rsidRPr="00820B62">
          <w:rPr>
            <w:rStyle w:val="Hyperlink"/>
            <w:rFonts w:ascii="Arial" w:hAnsi="Arial" w:cs="Arial"/>
            <w:sz w:val="24"/>
            <w:szCs w:val="24"/>
          </w:rPr>
          <w:t>https://www.cia.gov/the-world-factbook/countries/france/</w:t>
        </w:r>
      </w:hyperlink>
      <w:r>
        <w:rPr>
          <w:rFonts w:ascii="Arial" w:hAnsi="Arial" w:cs="Arial"/>
          <w:color w:val="000000" w:themeColor="text1"/>
          <w:sz w:val="24"/>
          <w:szCs w:val="24"/>
        </w:rPr>
        <w:t xml:space="preserve"> (Accessed on 21 March 2023)</w:t>
      </w:r>
    </w:p>
    <w:p w14:paraId="3B4223C7" w14:textId="77777777" w:rsidR="00F709D9" w:rsidRPr="00F709D9" w:rsidRDefault="00F709D9" w:rsidP="00F709D9">
      <w:pPr>
        <w:spacing w:line="360" w:lineRule="auto"/>
        <w:rPr>
          <w:rFonts w:ascii="Arial" w:hAnsi="Arial" w:cs="Arial"/>
          <w:color w:val="000000" w:themeColor="text1"/>
          <w:sz w:val="24"/>
          <w:szCs w:val="24"/>
        </w:rPr>
      </w:pPr>
    </w:p>
    <w:p w14:paraId="73635EEC" w14:textId="77777777" w:rsidR="00F709D9" w:rsidRPr="00FD3EAD" w:rsidRDefault="00F709D9" w:rsidP="00F709D9">
      <w:pPr>
        <w:spacing w:line="360" w:lineRule="auto"/>
        <w:rPr>
          <w:rFonts w:ascii="Arial" w:hAnsi="Arial" w:cs="Arial"/>
          <w:color w:val="000000" w:themeColor="text1"/>
          <w:sz w:val="24"/>
          <w:szCs w:val="24"/>
        </w:rPr>
      </w:pPr>
      <w:r w:rsidRPr="00F709D9">
        <w:rPr>
          <w:rFonts w:ascii="Arial" w:hAnsi="Arial" w:cs="Arial"/>
          <w:color w:val="000000" w:themeColor="text1"/>
          <w:sz w:val="24"/>
          <w:szCs w:val="24"/>
        </w:rPr>
        <w:t xml:space="preserve">The World Factbook. (2022). Japan. </w:t>
      </w:r>
      <w:r>
        <w:rPr>
          <w:rFonts w:ascii="Arial" w:hAnsi="Arial" w:cs="Arial"/>
          <w:color w:val="000000" w:themeColor="text1"/>
          <w:sz w:val="24"/>
          <w:szCs w:val="24"/>
        </w:rPr>
        <w:t>Available at:</w:t>
      </w:r>
      <w:r w:rsidRPr="00F709D9">
        <w:rPr>
          <w:rFonts w:ascii="Arial" w:hAnsi="Arial" w:cs="Arial"/>
          <w:color w:val="000000" w:themeColor="text1"/>
          <w:sz w:val="24"/>
          <w:szCs w:val="24"/>
        </w:rPr>
        <w:t xml:space="preserve"> </w:t>
      </w:r>
      <w:hyperlink r:id="rId12" w:history="1">
        <w:r w:rsidRPr="00820B62">
          <w:rPr>
            <w:rStyle w:val="Hyperlink"/>
            <w:rFonts w:ascii="Arial" w:hAnsi="Arial" w:cs="Arial"/>
            <w:sz w:val="24"/>
            <w:szCs w:val="24"/>
          </w:rPr>
          <w:t>https://www.cia.gov/the-world-factbook/countries/japan/</w:t>
        </w:r>
      </w:hyperlink>
      <w:r>
        <w:rPr>
          <w:rFonts w:ascii="Arial" w:hAnsi="Arial" w:cs="Arial"/>
          <w:color w:val="000000" w:themeColor="text1"/>
          <w:sz w:val="24"/>
          <w:szCs w:val="24"/>
        </w:rPr>
        <w:t xml:space="preserve"> (Accessed on 22 March 2023)</w:t>
      </w:r>
    </w:p>
    <w:p w14:paraId="463D8C41" w14:textId="77777777" w:rsidR="00FD3EAD" w:rsidRPr="006D2D0E" w:rsidRDefault="00FD3EAD" w:rsidP="006D2D0E">
      <w:pPr>
        <w:spacing w:line="360" w:lineRule="auto"/>
        <w:rPr>
          <w:rFonts w:ascii="Arial" w:hAnsi="Arial" w:cs="Arial"/>
          <w:color w:val="000000" w:themeColor="text1"/>
          <w:sz w:val="24"/>
          <w:szCs w:val="24"/>
        </w:rPr>
      </w:pPr>
      <w:proofErr w:type="spellStart"/>
      <w:r w:rsidRPr="006D2D0E">
        <w:rPr>
          <w:rFonts w:ascii="Arial" w:hAnsi="Arial" w:cs="Arial"/>
          <w:color w:val="000000" w:themeColor="text1"/>
          <w:sz w:val="24"/>
          <w:szCs w:val="24"/>
        </w:rPr>
        <w:t>TotalEnergies</w:t>
      </w:r>
      <w:proofErr w:type="spellEnd"/>
      <w:r w:rsidRPr="006D2D0E">
        <w:rPr>
          <w:rFonts w:ascii="Arial" w:hAnsi="Arial" w:cs="Arial"/>
          <w:color w:val="000000" w:themeColor="text1"/>
          <w:sz w:val="24"/>
          <w:szCs w:val="24"/>
        </w:rPr>
        <w:t xml:space="preserve"> (2023). </w:t>
      </w:r>
      <w:proofErr w:type="spellStart"/>
      <w:r w:rsidRPr="006D2D0E">
        <w:rPr>
          <w:rFonts w:ascii="Arial" w:hAnsi="Arial" w:cs="Arial"/>
          <w:color w:val="000000" w:themeColor="text1"/>
          <w:sz w:val="24"/>
          <w:szCs w:val="24"/>
        </w:rPr>
        <w:t>TotalEnergies</w:t>
      </w:r>
      <w:proofErr w:type="spellEnd"/>
      <w:r w:rsidRPr="006D2D0E">
        <w:rPr>
          <w:rFonts w:ascii="Arial" w:hAnsi="Arial" w:cs="Arial"/>
          <w:color w:val="000000" w:themeColor="text1"/>
          <w:sz w:val="24"/>
          <w:szCs w:val="24"/>
        </w:rPr>
        <w:t>, a pioneering spirit. Available at: https://totalenergies.com/group/identity/history (Accessed on 28 February 2023)</w:t>
      </w:r>
    </w:p>
    <w:sectPr w:rsidR="00FD3EAD" w:rsidRPr="006D2D0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BF796" w14:textId="77777777" w:rsidR="006D2D0E" w:rsidRDefault="006D2D0E" w:rsidP="006D2D0E">
      <w:pPr>
        <w:spacing w:after="0" w:line="240" w:lineRule="auto"/>
      </w:pPr>
      <w:r>
        <w:separator/>
      </w:r>
    </w:p>
  </w:endnote>
  <w:endnote w:type="continuationSeparator" w:id="0">
    <w:p w14:paraId="0D35654F" w14:textId="77777777" w:rsidR="006D2D0E" w:rsidRDefault="006D2D0E" w:rsidP="006D2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709256"/>
      <w:docPartObj>
        <w:docPartGallery w:val="Page Numbers (Bottom of Page)"/>
        <w:docPartUnique/>
      </w:docPartObj>
    </w:sdtPr>
    <w:sdtEndPr>
      <w:rPr>
        <w:noProof/>
      </w:rPr>
    </w:sdtEndPr>
    <w:sdtContent>
      <w:p w14:paraId="3E0AF29B" w14:textId="77777777" w:rsidR="006D2D0E" w:rsidRDefault="006D2D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09F1B6" w14:textId="77777777" w:rsidR="006D2D0E" w:rsidRDefault="006D2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C3EF5" w14:textId="77777777" w:rsidR="006D2D0E" w:rsidRDefault="006D2D0E" w:rsidP="006D2D0E">
      <w:pPr>
        <w:spacing w:after="0" w:line="240" w:lineRule="auto"/>
      </w:pPr>
      <w:r>
        <w:separator/>
      </w:r>
    </w:p>
  </w:footnote>
  <w:footnote w:type="continuationSeparator" w:id="0">
    <w:p w14:paraId="7B94FC5D" w14:textId="77777777" w:rsidR="006D2D0E" w:rsidRDefault="006D2D0E" w:rsidP="006D2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57A5F"/>
    <w:multiLevelType w:val="hybridMultilevel"/>
    <w:tmpl w:val="C58C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376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D19"/>
    <w:rsid w:val="00277CCA"/>
    <w:rsid w:val="00282705"/>
    <w:rsid w:val="002A5760"/>
    <w:rsid w:val="002A70BD"/>
    <w:rsid w:val="00335F9C"/>
    <w:rsid w:val="00662E10"/>
    <w:rsid w:val="006D2D0E"/>
    <w:rsid w:val="006F08B8"/>
    <w:rsid w:val="007A2076"/>
    <w:rsid w:val="007F74D4"/>
    <w:rsid w:val="00832CF8"/>
    <w:rsid w:val="008D6B84"/>
    <w:rsid w:val="008F600B"/>
    <w:rsid w:val="00A35A11"/>
    <w:rsid w:val="00A405BC"/>
    <w:rsid w:val="00AA3910"/>
    <w:rsid w:val="00B34D19"/>
    <w:rsid w:val="00B90679"/>
    <w:rsid w:val="00BA035B"/>
    <w:rsid w:val="00D12D5A"/>
    <w:rsid w:val="00DC5ADD"/>
    <w:rsid w:val="00F453DF"/>
    <w:rsid w:val="00F709D9"/>
    <w:rsid w:val="00FB3F80"/>
    <w:rsid w:val="00FD3EAD"/>
    <w:rsid w:val="00FE2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6E78"/>
  <w15:chartTrackingRefBased/>
  <w15:docId w15:val="{24BCCC73-6047-4591-8592-28193888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E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ADD"/>
    <w:pPr>
      <w:ind w:left="720"/>
      <w:contextualSpacing/>
    </w:pPr>
  </w:style>
  <w:style w:type="character" w:styleId="Hyperlink">
    <w:name w:val="Hyperlink"/>
    <w:basedOn w:val="DefaultParagraphFont"/>
    <w:uiPriority w:val="99"/>
    <w:unhideWhenUsed/>
    <w:rsid w:val="00FD3EAD"/>
    <w:rPr>
      <w:color w:val="0563C1" w:themeColor="hyperlink"/>
      <w:u w:val="single"/>
    </w:rPr>
  </w:style>
  <w:style w:type="character" w:styleId="UnresolvedMention">
    <w:name w:val="Unresolved Mention"/>
    <w:basedOn w:val="DefaultParagraphFont"/>
    <w:uiPriority w:val="99"/>
    <w:semiHidden/>
    <w:unhideWhenUsed/>
    <w:rsid w:val="00FD3EAD"/>
    <w:rPr>
      <w:color w:val="605E5C"/>
      <w:shd w:val="clear" w:color="auto" w:fill="E1DFDD"/>
    </w:rPr>
  </w:style>
  <w:style w:type="character" w:customStyle="1" w:styleId="Heading1Char">
    <w:name w:val="Heading 1 Char"/>
    <w:basedOn w:val="DefaultParagraphFont"/>
    <w:link w:val="Heading1"/>
    <w:uiPriority w:val="9"/>
    <w:rsid w:val="00FD3E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3EAD"/>
    <w:pPr>
      <w:outlineLvl w:val="9"/>
    </w:pPr>
    <w:rPr>
      <w:kern w:val="0"/>
      <w:lang w:val="en-US"/>
      <w14:ligatures w14:val="none"/>
    </w:rPr>
  </w:style>
  <w:style w:type="paragraph" w:styleId="TOC1">
    <w:name w:val="toc 1"/>
    <w:basedOn w:val="Normal"/>
    <w:next w:val="Normal"/>
    <w:autoRedefine/>
    <w:uiPriority w:val="39"/>
    <w:unhideWhenUsed/>
    <w:rsid w:val="00D12D5A"/>
    <w:pPr>
      <w:tabs>
        <w:tab w:val="right" w:leader="dot" w:pos="9016"/>
      </w:tabs>
      <w:spacing w:after="100" w:line="360" w:lineRule="auto"/>
    </w:pPr>
  </w:style>
  <w:style w:type="paragraph" w:styleId="Header">
    <w:name w:val="header"/>
    <w:basedOn w:val="Normal"/>
    <w:link w:val="HeaderChar"/>
    <w:uiPriority w:val="99"/>
    <w:unhideWhenUsed/>
    <w:rsid w:val="006D2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D0E"/>
  </w:style>
  <w:style w:type="paragraph" w:styleId="Footer">
    <w:name w:val="footer"/>
    <w:basedOn w:val="Normal"/>
    <w:link w:val="FooterChar"/>
    <w:uiPriority w:val="99"/>
    <w:unhideWhenUsed/>
    <w:rsid w:val="006D2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a.gov/the-world-factbook/countries/jap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a.gov/the-world-factbook/countries/fra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atista.com/statistics/809334/jxtg-holdings-employee-numbers/" TargetMode="External"/><Relationship Id="rId4" Type="http://schemas.openxmlformats.org/officeDocument/2006/relationships/settings" Target="settings.xml"/><Relationship Id="rId9" Type="http://schemas.openxmlformats.org/officeDocument/2006/relationships/hyperlink" Target="https://www.kotterinc.com/insights/employee-motivation-in-france-vs-jap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24B3D-1CF8-4209-92DF-D802C7A15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12</Pages>
  <Words>3012</Words>
  <Characters>17174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Crisu</dc:creator>
  <cp:keywords/>
  <dc:description/>
  <cp:lastModifiedBy>Luminita Crisu</cp:lastModifiedBy>
  <cp:revision>5</cp:revision>
  <dcterms:created xsi:type="dcterms:W3CDTF">2023-04-02T07:56:00Z</dcterms:created>
  <dcterms:modified xsi:type="dcterms:W3CDTF">2023-04-02T11:56:00Z</dcterms:modified>
</cp:coreProperties>
</file>