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BA6E5" w14:textId="77777777" w:rsidR="00D64E98" w:rsidRPr="005259C4" w:rsidRDefault="00D64E98" w:rsidP="00D64E98">
      <w:pPr>
        <w:spacing w:line="412" w:lineRule="auto"/>
        <w:jc w:val="center"/>
        <w:rPr>
          <w:sz w:val="28"/>
        </w:rPr>
      </w:pPr>
      <w:r w:rsidRPr="005259C4">
        <w:rPr>
          <w:noProof/>
          <w:sz w:val="20"/>
        </w:rPr>
        <w:drawing>
          <wp:inline distT="0" distB="0" distL="0" distR="0" wp14:anchorId="09942D19" wp14:editId="1492DE25">
            <wp:extent cx="2739980" cy="561975"/>
            <wp:effectExtent l="0" t="0" r="0" b="0"/>
            <wp:docPr id="101367617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255E6B19" w14:textId="77777777" w:rsidR="00D64E98" w:rsidRPr="005259C4" w:rsidRDefault="00D64E98" w:rsidP="00D64E98">
      <w:pPr>
        <w:spacing w:line="412" w:lineRule="auto"/>
        <w:jc w:val="center"/>
        <w:rPr>
          <w:rFonts w:ascii="Arial" w:hAnsi="Arial" w:cs="Arial"/>
          <w:b/>
          <w:bCs/>
          <w:sz w:val="28"/>
        </w:rPr>
      </w:pPr>
      <w:r w:rsidRPr="005259C4">
        <w:rPr>
          <w:rFonts w:ascii="Arial" w:hAnsi="Arial" w:cs="Arial"/>
          <w:b/>
          <w:bCs/>
          <w:sz w:val="38"/>
        </w:rPr>
        <w:t>Master</w:t>
      </w:r>
      <w:r w:rsidRPr="005259C4">
        <w:rPr>
          <w:rFonts w:ascii="Arial" w:hAnsi="Arial" w:cs="Arial"/>
          <w:b/>
          <w:bCs/>
          <w:spacing w:val="-26"/>
          <w:sz w:val="38"/>
        </w:rPr>
        <w:t xml:space="preserve"> </w:t>
      </w:r>
      <w:r w:rsidRPr="005259C4">
        <w:rPr>
          <w:rFonts w:ascii="Arial" w:hAnsi="Arial" w:cs="Arial"/>
          <w:b/>
          <w:bCs/>
          <w:sz w:val="38"/>
        </w:rPr>
        <w:t>of</w:t>
      </w:r>
      <w:r w:rsidRPr="005259C4">
        <w:rPr>
          <w:rFonts w:ascii="Arial" w:hAnsi="Arial" w:cs="Arial"/>
          <w:b/>
          <w:bCs/>
          <w:spacing w:val="-22"/>
          <w:sz w:val="38"/>
        </w:rPr>
        <w:t xml:space="preserve"> </w:t>
      </w:r>
      <w:r w:rsidRPr="005259C4">
        <w:rPr>
          <w:rFonts w:ascii="Arial" w:hAnsi="Arial" w:cs="Arial"/>
          <w:b/>
          <w:bCs/>
          <w:sz w:val="38"/>
        </w:rPr>
        <w:t>Business</w:t>
      </w:r>
      <w:r w:rsidRPr="005259C4">
        <w:rPr>
          <w:rFonts w:ascii="Arial" w:hAnsi="Arial" w:cs="Arial"/>
          <w:b/>
          <w:bCs/>
          <w:spacing w:val="-24"/>
          <w:sz w:val="38"/>
        </w:rPr>
        <w:t xml:space="preserve"> </w:t>
      </w:r>
      <w:r w:rsidRPr="005259C4">
        <w:rPr>
          <w:rFonts w:ascii="Arial" w:hAnsi="Arial" w:cs="Arial"/>
          <w:b/>
          <w:bCs/>
          <w:spacing w:val="-2"/>
          <w:sz w:val="38"/>
        </w:rPr>
        <w:t>Administration</w:t>
      </w:r>
    </w:p>
    <w:p w14:paraId="323F51A2" w14:textId="77777777" w:rsidR="00D64E98" w:rsidRDefault="00D64E98" w:rsidP="00D64E98">
      <w:pPr>
        <w:spacing w:line="412" w:lineRule="auto"/>
        <w:jc w:val="center"/>
        <w:rPr>
          <w:rFonts w:ascii="Arial" w:hAnsi="Arial" w:cs="Arial"/>
          <w:spacing w:val="-4"/>
          <w:sz w:val="32"/>
        </w:rPr>
      </w:pPr>
      <w:r w:rsidRPr="005259C4">
        <w:rPr>
          <w:rFonts w:ascii="Arial" w:hAnsi="Arial" w:cs="Arial"/>
          <w:spacing w:val="-4"/>
          <w:sz w:val="32"/>
        </w:rPr>
        <w:t>International</w:t>
      </w:r>
      <w:r w:rsidRPr="005259C4">
        <w:rPr>
          <w:rFonts w:ascii="Arial" w:hAnsi="Arial" w:cs="Arial"/>
          <w:spacing w:val="-17"/>
          <w:sz w:val="32"/>
        </w:rPr>
        <w:t xml:space="preserve"> </w:t>
      </w:r>
      <w:r w:rsidRPr="005259C4">
        <w:rPr>
          <w:rFonts w:ascii="Arial" w:hAnsi="Arial" w:cs="Arial"/>
          <w:spacing w:val="-4"/>
          <w:sz w:val="32"/>
        </w:rPr>
        <w:t>Business</w:t>
      </w:r>
      <w:r w:rsidRPr="005259C4">
        <w:rPr>
          <w:rFonts w:ascii="Arial" w:hAnsi="Arial" w:cs="Arial"/>
          <w:spacing w:val="-19"/>
          <w:sz w:val="32"/>
        </w:rPr>
        <w:t xml:space="preserve"> </w:t>
      </w:r>
      <w:r w:rsidRPr="005259C4">
        <w:rPr>
          <w:rFonts w:ascii="Arial" w:hAnsi="Arial" w:cs="Arial"/>
          <w:spacing w:val="-4"/>
          <w:sz w:val="32"/>
        </w:rPr>
        <w:t>pathway</w:t>
      </w:r>
    </w:p>
    <w:p w14:paraId="422B8C7E" w14:textId="77777777" w:rsidR="00D64E98" w:rsidRDefault="00D64E98" w:rsidP="00D64E98">
      <w:pPr>
        <w:spacing w:line="412" w:lineRule="auto"/>
        <w:rPr>
          <w:rFonts w:ascii="Arial" w:hAnsi="Arial" w:cs="Arial"/>
          <w:spacing w:val="-4"/>
          <w:sz w:val="32"/>
        </w:rPr>
      </w:pPr>
    </w:p>
    <w:p w14:paraId="1BB9930B" w14:textId="77777777" w:rsidR="00D64E98" w:rsidRPr="004963AD" w:rsidRDefault="00D64E98" w:rsidP="00D64E98">
      <w:pPr>
        <w:spacing w:line="412" w:lineRule="auto"/>
        <w:jc w:val="center"/>
        <w:rPr>
          <w:rFonts w:ascii="Arial" w:hAnsi="Arial" w:cs="Arial"/>
          <w:b/>
          <w:bCs/>
          <w:spacing w:val="-4"/>
          <w:sz w:val="32"/>
        </w:rPr>
      </w:pPr>
      <w:r w:rsidRPr="004963AD">
        <w:rPr>
          <w:rFonts w:ascii="Arial" w:hAnsi="Arial" w:cs="Arial"/>
          <w:b/>
          <w:bCs/>
          <w:spacing w:val="-4"/>
          <w:sz w:val="32"/>
        </w:rPr>
        <w:t>AN INTERNATIONAL MARKET ENTRY STRATEGY FOR KAJIMA CORPORATION USING BARTLETT, GHOSHAL’S AND DUNNING’S ECLECTIC PARADIGM TO ENTER INTO NIGERIA</w:t>
      </w:r>
    </w:p>
    <w:p w14:paraId="394ADB99" w14:textId="77777777" w:rsidR="00D64E98" w:rsidRPr="005259C4" w:rsidRDefault="00D64E98" w:rsidP="00D64E98">
      <w:pPr>
        <w:spacing w:line="412" w:lineRule="auto"/>
        <w:rPr>
          <w:rFonts w:ascii="Arial" w:hAnsi="Arial" w:cs="Arial"/>
          <w:sz w:val="28"/>
        </w:rPr>
      </w:pPr>
    </w:p>
    <w:p w14:paraId="07D744D1" w14:textId="77777777" w:rsidR="00D64E98" w:rsidRPr="005259C4" w:rsidRDefault="00D64E98" w:rsidP="00D64E98">
      <w:pPr>
        <w:spacing w:before="286"/>
        <w:ind w:left="1819"/>
        <w:rPr>
          <w:rFonts w:ascii="Arial" w:hAnsi="Arial" w:cs="Arial"/>
          <w:color w:val="ED0000"/>
          <w:spacing w:val="-6"/>
          <w:sz w:val="28"/>
        </w:rPr>
      </w:pPr>
      <w:r w:rsidRPr="005259C4">
        <w:rPr>
          <w:rFonts w:ascii="Arial" w:hAnsi="Arial" w:cs="Arial"/>
          <w:spacing w:val="-6"/>
          <w:sz w:val="28"/>
        </w:rPr>
        <w:t>Assessment</w:t>
      </w:r>
      <w:r w:rsidRPr="005259C4">
        <w:rPr>
          <w:rFonts w:ascii="Arial" w:hAnsi="Arial" w:cs="Arial"/>
          <w:spacing w:val="-23"/>
          <w:sz w:val="28"/>
        </w:rPr>
        <w:t xml:space="preserve"> </w:t>
      </w:r>
      <w:r w:rsidRPr="005259C4">
        <w:rPr>
          <w:rFonts w:ascii="Arial" w:hAnsi="Arial" w:cs="Arial"/>
          <w:color w:val="ED0000"/>
          <w:spacing w:val="-6"/>
          <w:sz w:val="28"/>
        </w:rPr>
        <w:t>1:</w:t>
      </w:r>
      <w:r w:rsidRPr="005259C4">
        <w:rPr>
          <w:rFonts w:ascii="Arial" w:hAnsi="Arial" w:cs="Arial"/>
          <w:color w:val="ED0000"/>
          <w:spacing w:val="-22"/>
          <w:sz w:val="28"/>
        </w:rPr>
        <w:t xml:space="preserve"> </w:t>
      </w:r>
      <w:r w:rsidRPr="005259C4">
        <w:rPr>
          <w:rFonts w:ascii="Arial" w:hAnsi="Arial" w:cs="Arial"/>
          <w:color w:val="ED0000"/>
          <w:spacing w:val="-6"/>
          <w:sz w:val="28"/>
        </w:rPr>
        <w:t>Individual</w:t>
      </w:r>
      <w:r w:rsidRPr="005259C4">
        <w:rPr>
          <w:rFonts w:ascii="Arial" w:hAnsi="Arial" w:cs="Arial"/>
          <w:color w:val="ED0000"/>
          <w:spacing w:val="-21"/>
          <w:sz w:val="28"/>
        </w:rPr>
        <w:t xml:space="preserve"> </w:t>
      </w:r>
      <w:r w:rsidRPr="005259C4">
        <w:rPr>
          <w:rFonts w:ascii="Arial" w:hAnsi="Arial" w:cs="Arial"/>
          <w:color w:val="ED0000"/>
          <w:spacing w:val="-6"/>
          <w:sz w:val="28"/>
        </w:rPr>
        <w:t>report</w:t>
      </w:r>
      <w:r w:rsidRPr="005259C4">
        <w:rPr>
          <w:rFonts w:ascii="Arial" w:hAnsi="Arial" w:cs="Arial"/>
          <w:spacing w:val="-6"/>
          <w:sz w:val="28"/>
        </w:rPr>
        <w:t>.</w:t>
      </w:r>
      <w:r w:rsidRPr="005259C4">
        <w:rPr>
          <w:rFonts w:ascii="Arial" w:hAnsi="Arial" w:cs="Arial"/>
          <w:spacing w:val="-23"/>
          <w:sz w:val="28"/>
        </w:rPr>
        <w:t xml:space="preserve"> </w:t>
      </w:r>
      <w:r w:rsidRPr="005259C4">
        <w:rPr>
          <w:rFonts w:ascii="Arial" w:hAnsi="Arial" w:cs="Arial"/>
          <w:spacing w:val="-6"/>
          <w:sz w:val="28"/>
        </w:rPr>
        <w:t>Weight:</w:t>
      </w:r>
      <w:r w:rsidRPr="005259C4">
        <w:rPr>
          <w:rFonts w:ascii="Arial" w:hAnsi="Arial" w:cs="Arial"/>
          <w:spacing w:val="-22"/>
          <w:sz w:val="28"/>
        </w:rPr>
        <w:t xml:space="preserve"> </w:t>
      </w:r>
      <w:r>
        <w:rPr>
          <w:rFonts w:ascii="Arial" w:hAnsi="Arial" w:cs="Arial"/>
          <w:color w:val="ED0000"/>
          <w:spacing w:val="-6"/>
          <w:sz w:val="28"/>
        </w:rPr>
        <w:t>10</w:t>
      </w:r>
      <w:r w:rsidRPr="005259C4">
        <w:rPr>
          <w:rFonts w:ascii="Arial" w:hAnsi="Arial" w:cs="Arial"/>
          <w:color w:val="ED0000"/>
          <w:spacing w:val="-6"/>
          <w:sz w:val="28"/>
        </w:rPr>
        <w:t>0%</w:t>
      </w:r>
    </w:p>
    <w:p w14:paraId="6877BD4C" w14:textId="77777777" w:rsidR="00D64E98" w:rsidRPr="00376489" w:rsidRDefault="00D64E98" w:rsidP="00D64E98">
      <w:pPr>
        <w:spacing w:before="286"/>
        <w:rPr>
          <w:rFonts w:ascii="Arial" w:hAnsi="Arial" w:cs="Arial"/>
          <w:b/>
          <w:bCs/>
          <w:spacing w:val="-6"/>
          <w:sz w:val="28"/>
        </w:rPr>
      </w:pPr>
      <w:r w:rsidRPr="00376489">
        <w:rPr>
          <w:rFonts w:ascii="Arial" w:hAnsi="Arial" w:cs="Arial"/>
          <w:b/>
          <w:bCs/>
          <w:spacing w:val="-6"/>
          <w:sz w:val="28"/>
        </w:rPr>
        <w:t>Module Name</w:t>
      </w:r>
      <w:r>
        <w:rPr>
          <w:rFonts w:ascii="Arial" w:hAnsi="Arial" w:cs="Arial"/>
          <w:b/>
          <w:bCs/>
          <w:spacing w:val="-6"/>
          <w:sz w:val="28"/>
        </w:rPr>
        <w:t xml:space="preserve">: </w:t>
      </w:r>
      <w:r>
        <w:rPr>
          <w:rFonts w:ascii="Arial" w:hAnsi="Arial" w:cs="Arial"/>
          <w:sz w:val="28"/>
          <w:szCs w:val="28"/>
        </w:rPr>
        <w:t>International Business Concepts</w:t>
      </w:r>
    </w:p>
    <w:p w14:paraId="54A5EF5D" w14:textId="77777777" w:rsidR="00D64E98" w:rsidRPr="00266804" w:rsidRDefault="00D64E98" w:rsidP="00D64E98">
      <w:pPr>
        <w:spacing w:before="286"/>
        <w:rPr>
          <w:rFonts w:ascii="Arial" w:hAnsi="Arial" w:cs="Arial"/>
          <w:sz w:val="28"/>
          <w:szCs w:val="28"/>
        </w:rPr>
      </w:pPr>
      <w:r w:rsidRPr="005259C4">
        <w:rPr>
          <w:rFonts w:ascii="Arial" w:hAnsi="Arial" w:cs="Arial"/>
          <w:b/>
          <w:bCs/>
          <w:spacing w:val="-6"/>
          <w:sz w:val="28"/>
        </w:rPr>
        <w:t>Module code:</w:t>
      </w:r>
      <w:r>
        <w:rPr>
          <w:rFonts w:ascii="Arial" w:hAnsi="Arial" w:cs="Arial"/>
          <w:b/>
          <w:bCs/>
          <w:spacing w:val="-6"/>
          <w:sz w:val="28"/>
        </w:rPr>
        <w:t xml:space="preserve"> </w:t>
      </w:r>
      <w:r w:rsidRPr="00376489">
        <w:rPr>
          <w:rFonts w:ascii="Arial" w:hAnsi="Arial" w:cs="Arial"/>
          <w:sz w:val="28"/>
          <w:szCs w:val="28"/>
        </w:rPr>
        <w:t>LCMB70</w:t>
      </w:r>
      <w:r>
        <w:rPr>
          <w:rFonts w:ascii="Arial" w:hAnsi="Arial" w:cs="Arial"/>
          <w:sz w:val="28"/>
          <w:szCs w:val="28"/>
        </w:rPr>
        <w:t>34</w:t>
      </w:r>
    </w:p>
    <w:p w14:paraId="7CDCAC0E" w14:textId="77777777" w:rsidR="00D64E98" w:rsidRPr="005259C4" w:rsidRDefault="00D64E98" w:rsidP="00D64E98">
      <w:pPr>
        <w:spacing w:before="286"/>
        <w:rPr>
          <w:rFonts w:ascii="Arial" w:hAnsi="Arial" w:cs="Arial"/>
          <w:b/>
          <w:bCs/>
          <w:spacing w:val="-6"/>
          <w:sz w:val="28"/>
        </w:rPr>
      </w:pPr>
      <w:r w:rsidRPr="005259C4">
        <w:rPr>
          <w:rFonts w:ascii="Arial" w:hAnsi="Arial" w:cs="Arial"/>
          <w:b/>
          <w:bCs/>
          <w:spacing w:val="-6"/>
          <w:sz w:val="28"/>
        </w:rPr>
        <w:t>Lecturer Name:</w:t>
      </w:r>
      <w:r>
        <w:rPr>
          <w:rFonts w:ascii="Arial" w:hAnsi="Arial" w:cs="Arial"/>
          <w:b/>
          <w:bCs/>
          <w:spacing w:val="-6"/>
          <w:sz w:val="28"/>
        </w:rPr>
        <w:t xml:space="preserve"> </w:t>
      </w:r>
      <w:r>
        <w:rPr>
          <w:rFonts w:ascii="Arial" w:hAnsi="Arial" w:cs="Arial"/>
          <w:sz w:val="28"/>
          <w:szCs w:val="28"/>
        </w:rPr>
        <w:t>Jean Wang</w:t>
      </w:r>
    </w:p>
    <w:p w14:paraId="38C19D28" w14:textId="77777777" w:rsidR="00D64E98" w:rsidRDefault="00D64E98" w:rsidP="00D64E98">
      <w:pPr>
        <w:spacing w:before="286"/>
        <w:rPr>
          <w:rFonts w:ascii="Arial" w:hAnsi="Arial" w:cs="Arial"/>
          <w:b/>
          <w:bCs/>
          <w:spacing w:val="-6"/>
          <w:sz w:val="6"/>
          <w:szCs w:val="6"/>
        </w:rPr>
      </w:pPr>
    </w:p>
    <w:p w14:paraId="76B6DBF9" w14:textId="77777777" w:rsidR="00D64E98" w:rsidRPr="005259C4" w:rsidRDefault="00D64E98" w:rsidP="00D64E98">
      <w:pPr>
        <w:spacing w:before="286"/>
        <w:rPr>
          <w:rFonts w:ascii="Arial" w:hAnsi="Arial" w:cs="Arial"/>
          <w:b/>
          <w:bCs/>
          <w:spacing w:val="-6"/>
          <w:sz w:val="28"/>
        </w:rPr>
      </w:pPr>
      <w:r w:rsidRPr="005259C4">
        <w:rPr>
          <w:rFonts w:ascii="Arial" w:hAnsi="Arial" w:cs="Arial"/>
          <w:b/>
          <w:bCs/>
          <w:spacing w:val="-6"/>
          <w:sz w:val="28"/>
        </w:rPr>
        <w:t>Student Name:</w:t>
      </w:r>
      <w:r>
        <w:rPr>
          <w:rFonts w:ascii="Arial" w:hAnsi="Arial" w:cs="Arial"/>
          <w:b/>
          <w:bCs/>
          <w:spacing w:val="-6"/>
          <w:sz w:val="28"/>
        </w:rPr>
        <w:t xml:space="preserve"> </w:t>
      </w:r>
      <w:r>
        <w:rPr>
          <w:rFonts w:ascii="Arial" w:hAnsi="Arial" w:cs="Arial"/>
          <w:sz w:val="28"/>
          <w:szCs w:val="28"/>
        </w:rPr>
        <w:t xml:space="preserve">Talaviya Vivek </w:t>
      </w:r>
    </w:p>
    <w:p w14:paraId="6021D47E" w14:textId="77777777" w:rsidR="00D64E98" w:rsidRPr="005259C4" w:rsidRDefault="00D64E98" w:rsidP="00D64E98">
      <w:pPr>
        <w:spacing w:before="286"/>
        <w:rPr>
          <w:rFonts w:ascii="Arial" w:hAnsi="Arial" w:cs="Arial"/>
          <w:b/>
          <w:bCs/>
          <w:spacing w:val="-6"/>
          <w:sz w:val="28"/>
        </w:rPr>
      </w:pPr>
      <w:r w:rsidRPr="005259C4">
        <w:rPr>
          <w:rFonts w:ascii="Arial" w:hAnsi="Arial" w:cs="Arial"/>
          <w:b/>
          <w:bCs/>
          <w:spacing w:val="-6"/>
          <w:sz w:val="28"/>
        </w:rPr>
        <w:t>Student ID:</w:t>
      </w:r>
      <w:r>
        <w:rPr>
          <w:rFonts w:ascii="Arial" w:hAnsi="Arial" w:cs="Arial"/>
          <w:b/>
          <w:bCs/>
          <w:spacing w:val="-6"/>
          <w:sz w:val="28"/>
        </w:rPr>
        <w:t xml:space="preserve"> </w:t>
      </w:r>
      <w:r>
        <w:rPr>
          <w:rFonts w:ascii="Arial" w:hAnsi="Arial" w:cs="Arial"/>
          <w:sz w:val="28"/>
          <w:szCs w:val="28"/>
        </w:rPr>
        <w:t>2509583</w:t>
      </w:r>
    </w:p>
    <w:p w14:paraId="0CE1DB7D" w14:textId="77777777" w:rsidR="00D64E98" w:rsidRPr="00E36B33" w:rsidRDefault="00D64E98" w:rsidP="00D64E98">
      <w:pPr>
        <w:spacing w:before="286"/>
        <w:rPr>
          <w:rFonts w:ascii="Arial" w:hAnsi="Arial" w:cs="Arial"/>
          <w:b/>
          <w:bCs/>
          <w:spacing w:val="-6"/>
          <w:sz w:val="6"/>
          <w:szCs w:val="6"/>
        </w:rPr>
      </w:pPr>
    </w:p>
    <w:p w14:paraId="4FAE0B99" w14:textId="3EE7AA36" w:rsidR="00D64E98" w:rsidRPr="005259C4" w:rsidRDefault="00D64E98" w:rsidP="00D64E98">
      <w:pPr>
        <w:spacing w:before="286"/>
        <w:rPr>
          <w:rFonts w:ascii="Arial" w:hAnsi="Arial" w:cs="Arial"/>
          <w:b/>
          <w:bCs/>
          <w:spacing w:val="-6"/>
          <w:sz w:val="28"/>
        </w:rPr>
      </w:pPr>
      <w:r w:rsidRPr="005259C4">
        <w:rPr>
          <w:rFonts w:ascii="Arial" w:hAnsi="Arial" w:cs="Arial"/>
          <w:b/>
          <w:bCs/>
          <w:spacing w:val="-6"/>
          <w:sz w:val="28"/>
        </w:rPr>
        <w:t>Word count:</w:t>
      </w:r>
      <w:r>
        <w:rPr>
          <w:rFonts w:ascii="Arial" w:hAnsi="Arial" w:cs="Arial"/>
          <w:b/>
          <w:bCs/>
          <w:spacing w:val="-6"/>
          <w:sz w:val="28"/>
        </w:rPr>
        <w:t xml:space="preserve"> </w:t>
      </w:r>
      <w:r w:rsidR="00D76BB3">
        <w:rPr>
          <w:rFonts w:ascii="Arial" w:hAnsi="Arial" w:cs="Arial"/>
          <w:sz w:val="28"/>
          <w:szCs w:val="28"/>
        </w:rPr>
        <w:t>5455</w:t>
      </w:r>
    </w:p>
    <w:p w14:paraId="62FFC778" w14:textId="77777777" w:rsidR="00D64E98" w:rsidRDefault="00D64E98" w:rsidP="00D64E98">
      <w:pPr>
        <w:spacing w:line="480" w:lineRule="auto"/>
        <w:contextualSpacing/>
        <w:rPr>
          <w:rFonts w:ascii="Arial" w:hAnsi="Arial" w:cs="Arial"/>
          <w:spacing w:val="-6"/>
          <w:sz w:val="28"/>
        </w:rPr>
      </w:pPr>
      <w:r w:rsidRPr="005259C4">
        <w:rPr>
          <w:rFonts w:ascii="Arial" w:hAnsi="Arial" w:cs="Arial"/>
          <w:b/>
          <w:bCs/>
          <w:spacing w:val="-6"/>
          <w:sz w:val="28"/>
        </w:rPr>
        <w:t>Submission</w:t>
      </w:r>
      <w:r>
        <w:rPr>
          <w:rFonts w:ascii="Arial" w:hAnsi="Arial" w:cs="Arial"/>
          <w:b/>
          <w:bCs/>
          <w:spacing w:val="-6"/>
          <w:sz w:val="28"/>
        </w:rPr>
        <w:t xml:space="preserve"> Date: </w:t>
      </w:r>
      <w:r>
        <w:rPr>
          <w:rFonts w:ascii="Arial" w:hAnsi="Arial" w:cs="Arial"/>
          <w:spacing w:val="-6"/>
          <w:sz w:val="28"/>
        </w:rPr>
        <w:t>Friday 14</w:t>
      </w:r>
      <w:r w:rsidRPr="00376489">
        <w:rPr>
          <w:rFonts w:ascii="Arial" w:hAnsi="Arial" w:cs="Arial"/>
          <w:spacing w:val="-6"/>
          <w:sz w:val="28"/>
          <w:vertAlign w:val="superscript"/>
        </w:rPr>
        <w:t>th</w:t>
      </w:r>
      <w:r>
        <w:rPr>
          <w:rFonts w:ascii="Arial" w:hAnsi="Arial" w:cs="Arial"/>
          <w:spacing w:val="-6"/>
          <w:sz w:val="28"/>
        </w:rPr>
        <w:t xml:space="preserve"> August 2026</w:t>
      </w:r>
    </w:p>
    <w:p w14:paraId="47705E80" w14:textId="77777777" w:rsidR="00D64E98" w:rsidRDefault="00D64E98" w:rsidP="00FD3B37">
      <w:pPr>
        <w:spacing w:line="480" w:lineRule="auto"/>
        <w:contextualSpacing/>
        <w:rPr>
          <w:sz w:val="38"/>
        </w:rPr>
      </w:pPr>
    </w:p>
    <w:p w14:paraId="64FB9650" w14:textId="346951B5" w:rsidR="00FD3B37" w:rsidRPr="00A96A39" w:rsidRDefault="00FD3B37" w:rsidP="00FD3B37">
      <w:pPr>
        <w:spacing w:line="480" w:lineRule="auto"/>
        <w:contextualSpacing/>
        <w:rPr>
          <w:rFonts w:ascii="Times New Roman" w:hAnsi="Times New Roman" w:cs="Times New Roman"/>
          <w:b/>
          <w:sz w:val="24"/>
          <w:szCs w:val="24"/>
        </w:rPr>
      </w:pPr>
      <w:r w:rsidRPr="00A96A39">
        <w:rPr>
          <w:rFonts w:ascii="Times New Roman" w:hAnsi="Times New Roman" w:cs="Times New Roman"/>
          <w:b/>
          <w:sz w:val="24"/>
          <w:szCs w:val="24"/>
        </w:rPr>
        <w:lastRenderedPageBreak/>
        <w:t>AI Use Acknowledgement</w:t>
      </w:r>
    </w:p>
    <w:p w14:paraId="22C27978" w14:textId="77777777" w:rsidR="00FD3B37" w:rsidRPr="00A96A39" w:rsidRDefault="00FD3B37" w:rsidP="00FD3B37">
      <w:pPr>
        <w:spacing w:line="480" w:lineRule="auto"/>
        <w:contextualSpacing/>
        <w:rPr>
          <w:rFonts w:ascii="Times New Roman" w:hAnsi="Times New Roman" w:cs="Times New Roman"/>
          <w:b/>
          <w:sz w:val="24"/>
          <w:szCs w:val="24"/>
        </w:rPr>
      </w:pPr>
      <w:r w:rsidRPr="00A96A39">
        <w:rPr>
          <w:rFonts w:ascii="Times New Roman" w:hAnsi="Times New Roman" w:cs="Times New Roman"/>
          <w:b/>
          <w:sz w:val="24"/>
          <w:szCs w:val="24"/>
        </w:rPr>
        <w:t>1. Grammarly</w:t>
      </w:r>
    </w:p>
    <w:p w14:paraId="19BAB47B" w14:textId="77777777" w:rsidR="00FD3B37" w:rsidRPr="00A96A39" w:rsidRDefault="00FD3B37" w:rsidP="00FD3B37">
      <w:pPr>
        <w:pStyle w:val="NormalWeb"/>
        <w:spacing w:before="0" w:beforeAutospacing="0" w:after="0" w:afterAutospacing="0" w:line="480" w:lineRule="auto"/>
        <w:contextualSpacing/>
      </w:pPr>
      <w:r w:rsidRPr="00A96A39">
        <w:t xml:space="preserve">I acknowledge the use of </w:t>
      </w:r>
      <w:r w:rsidRPr="00A96A39">
        <w:rPr>
          <w:rStyle w:val="Strong"/>
          <w:rFonts w:eastAsiaTheme="majorEastAsia"/>
          <w:b w:val="0"/>
        </w:rPr>
        <w:t xml:space="preserve">Grammarly </w:t>
      </w:r>
      <w:r w:rsidRPr="00A96A39">
        <w:rPr>
          <w:rStyle w:val="Strong"/>
          <w:rFonts w:eastAsiaTheme="majorEastAsia"/>
        </w:rPr>
        <w:t>(</w:t>
      </w:r>
      <w:hyperlink r:id="rId9" w:tgtFrame="_new" w:history="1">
        <w:r w:rsidRPr="00A96A39">
          <w:rPr>
            <w:rStyle w:val="Hyperlink"/>
            <w:rFonts w:eastAsiaTheme="majorEastAsia"/>
            <w:b/>
            <w:bCs/>
          </w:rPr>
          <w:t>https://www.grammarly.com/</w:t>
        </w:r>
      </w:hyperlink>
      <w:r w:rsidRPr="00A96A39">
        <w:rPr>
          <w:rStyle w:val="Strong"/>
          <w:rFonts w:eastAsiaTheme="majorEastAsia"/>
        </w:rPr>
        <w:t>)</w:t>
      </w:r>
      <w:r w:rsidRPr="00A96A39">
        <w:t xml:space="preserve"> on </w:t>
      </w:r>
      <w:r w:rsidRPr="00A96A39">
        <w:rPr>
          <w:rStyle w:val="Strong"/>
          <w:rFonts w:eastAsiaTheme="majorEastAsia"/>
          <w:b w:val="0"/>
        </w:rPr>
        <w:t>24th July 2026</w:t>
      </w:r>
      <w:r w:rsidRPr="00A96A39">
        <w:t xml:space="preserve"> to check grammar, spelling, sentence structure, clarity and referencing consistency.</w:t>
      </w:r>
    </w:p>
    <w:p w14:paraId="2AAA9BE4" w14:textId="77777777" w:rsidR="00FD3B37" w:rsidRPr="00A96A39" w:rsidRDefault="00FD3B37" w:rsidP="00FD3B37">
      <w:pPr>
        <w:pStyle w:val="NormalWeb"/>
        <w:spacing w:before="0" w:beforeAutospacing="0" w:after="0" w:afterAutospacing="0" w:line="480" w:lineRule="auto"/>
        <w:contextualSpacing/>
      </w:pPr>
      <w:r w:rsidRPr="00A96A39">
        <w:rPr>
          <w:rStyle w:val="Strong"/>
          <w:rFonts w:eastAsiaTheme="majorEastAsia"/>
        </w:rPr>
        <w:t>I used the following prompts:</w:t>
      </w:r>
    </w:p>
    <w:p w14:paraId="6E2B3F0F" w14:textId="77777777" w:rsidR="00FD3B37" w:rsidRPr="00A96A39" w:rsidRDefault="00FD3B37" w:rsidP="00FD3B37">
      <w:pPr>
        <w:numPr>
          <w:ilvl w:val="0"/>
          <w:numId w:val="2"/>
        </w:numPr>
        <w:spacing w:after="0" w:line="480" w:lineRule="auto"/>
        <w:contextualSpacing/>
        <w:rPr>
          <w:rFonts w:ascii="Times New Roman" w:hAnsi="Times New Roman" w:cs="Times New Roman"/>
          <w:sz w:val="24"/>
          <w:szCs w:val="24"/>
        </w:rPr>
      </w:pPr>
      <w:r w:rsidRPr="00A96A39">
        <w:rPr>
          <w:rFonts w:ascii="Times New Roman" w:hAnsi="Times New Roman" w:cs="Times New Roman"/>
          <w:sz w:val="24"/>
          <w:szCs w:val="24"/>
        </w:rPr>
        <w:t xml:space="preserve">“Check this text for grammar, clarity and readability.” </w:t>
      </w:r>
    </w:p>
    <w:p w14:paraId="0C1F1C5C" w14:textId="77777777" w:rsidR="00FD3B37" w:rsidRPr="00A96A39" w:rsidRDefault="00FD3B37" w:rsidP="00FD3B37">
      <w:pPr>
        <w:pStyle w:val="NormalWeb"/>
        <w:spacing w:before="0" w:beforeAutospacing="0" w:after="0" w:afterAutospacing="0" w:line="480" w:lineRule="auto"/>
        <w:contextualSpacing/>
      </w:pPr>
      <w:r w:rsidRPr="00A96A39">
        <w:t>I confirm that I have not presented any AI-generated text as my own work. I confirm that I have copies of my drafts, notes and other resources used before and after the use of AI tools, which I may be asked to provide as evidence.</w:t>
      </w:r>
    </w:p>
    <w:p w14:paraId="208FBD48" w14:textId="77777777" w:rsidR="00FD3B37" w:rsidRPr="00A96A39" w:rsidRDefault="00FD3B37" w:rsidP="00FD3B37">
      <w:pPr>
        <w:spacing w:line="480" w:lineRule="auto"/>
        <w:contextualSpacing/>
        <w:rPr>
          <w:rFonts w:ascii="Times New Roman" w:hAnsi="Times New Roman" w:cs="Times New Roman"/>
          <w:b/>
          <w:sz w:val="24"/>
          <w:szCs w:val="24"/>
        </w:rPr>
      </w:pPr>
      <w:r w:rsidRPr="00A96A39">
        <w:rPr>
          <w:rFonts w:ascii="Times New Roman" w:hAnsi="Times New Roman" w:cs="Times New Roman"/>
          <w:b/>
          <w:sz w:val="24"/>
          <w:szCs w:val="24"/>
        </w:rPr>
        <w:t>2. QuillBot</w:t>
      </w:r>
    </w:p>
    <w:p w14:paraId="455D2E0D" w14:textId="77777777" w:rsidR="00FD3B37" w:rsidRPr="00A96A39" w:rsidRDefault="00FD3B37" w:rsidP="00FD3B37">
      <w:pPr>
        <w:pStyle w:val="NormalWeb"/>
        <w:spacing w:before="0" w:beforeAutospacing="0" w:after="0" w:afterAutospacing="0" w:line="480" w:lineRule="auto"/>
        <w:contextualSpacing/>
      </w:pPr>
      <w:r w:rsidRPr="00A96A39">
        <w:t xml:space="preserve">I acknowledge the use of </w:t>
      </w:r>
      <w:r w:rsidRPr="00A96A39">
        <w:rPr>
          <w:rStyle w:val="Strong"/>
          <w:rFonts w:eastAsiaTheme="majorEastAsia"/>
          <w:b w:val="0"/>
        </w:rPr>
        <w:t xml:space="preserve">QuillBot </w:t>
      </w:r>
      <w:r w:rsidRPr="00A96A39">
        <w:rPr>
          <w:rStyle w:val="Strong"/>
          <w:rFonts w:eastAsiaTheme="majorEastAsia"/>
        </w:rPr>
        <w:t>(</w:t>
      </w:r>
      <w:hyperlink r:id="rId10" w:tgtFrame="_new" w:history="1">
        <w:r w:rsidRPr="00A96A39">
          <w:rPr>
            <w:rStyle w:val="Hyperlink"/>
            <w:rFonts w:eastAsiaTheme="majorEastAsia"/>
            <w:b/>
            <w:bCs/>
          </w:rPr>
          <w:t>https://quillbot.com/</w:t>
        </w:r>
      </w:hyperlink>
      <w:r w:rsidRPr="00A96A39">
        <w:rPr>
          <w:rStyle w:val="Strong"/>
          <w:rFonts w:eastAsiaTheme="majorEastAsia"/>
        </w:rPr>
        <w:t>)</w:t>
      </w:r>
      <w:r w:rsidRPr="00A96A39">
        <w:t xml:space="preserve"> on </w:t>
      </w:r>
      <w:r w:rsidRPr="00A96A39">
        <w:rPr>
          <w:rStyle w:val="Strong"/>
          <w:rFonts w:eastAsiaTheme="majorEastAsia"/>
          <w:b w:val="0"/>
        </w:rPr>
        <w:t>24th July 2026</w:t>
      </w:r>
      <w:r w:rsidRPr="00A96A39">
        <w:t xml:space="preserve"> to improve the clarity, grammar, sentence structure and academic flow of selected sections of my assignment.</w:t>
      </w:r>
    </w:p>
    <w:p w14:paraId="22BC79B9" w14:textId="77777777" w:rsidR="00FD3B37" w:rsidRPr="00A96A39" w:rsidRDefault="00FD3B37" w:rsidP="00FD3B37">
      <w:pPr>
        <w:pStyle w:val="NormalWeb"/>
        <w:spacing w:before="0" w:beforeAutospacing="0" w:after="0" w:afterAutospacing="0" w:line="480" w:lineRule="auto"/>
        <w:contextualSpacing/>
      </w:pPr>
      <w:r w:rsidRPr="00A96A39">
        <w:rPr>
          <w:rStyle w:val="Strong"/>
          <w:rFonts w:eastAsiaTheme="majorEastAsia"/>
        </w:rPr>
        <w:t>I used the following prompts:</w:t>
      </w:r>
    </w:p>
    <w:p w14:paraId="33966F3F" w14:textId="77777777" w:rsidR="00FD3B37" w:rsidRPr="00A96A39" w:rsidRDefault="00FD3B37" w:rsidP="00FD3B37">
      <w:pPr>
        <w:numPr>
          <w:ilvl w:val="0"/>
          <w:numId w:val="3"/>
        </w:numPr>
        <w:spacing w:after="0" w:line="480" w:lineRule="auto"/>
        <w:contextualSpacing/>
        <w:rPr>
          <w:rFonts w:ascii="Times New Roman" w:hAnsi="Times New Roman" w:cs="Times New Roman"/>
          <w:sz w:val="24"/>
          <w:szCs w:val="24"/>
        </w:rPr>
      </w:pPr>
      <w:r w:rsidRPr="00A96A39">
        <w:rPr>
          <w:rFonts w:ascii="Times New Roman" w:hAnsi="Times New Roman" w:cs="Times New Roman"/>
          <w:sz w:val="24"/>
          <w:szCs w:val="24"/>
        </w:rPr>
        <w:t xml:space="preserve">“Paraphrase this text while retaining the original meaning and academic context.” </w:t>
      </w:r>
    </w:p>
    <w:p w14:paraId="2D3690D7" w14:textId="77777777" w:rsidR="00FD3B37" w:rsidRPr="00A96A39" w:rsidRDefault="00FD3B37" w:rsidP="00FD3B37">
      <w:pPr>
        <w:numPr>
          <w:ilvl w:val="0"/>
          <w:numId w:val="3"/>
        </w:numPr>
        <w:spacing w:after="0" w:line="480" w:lineRule="auto"/>
        <w:contextualSpacing/>
        <w:rPr>
          <w:rFonts w:ascii="Times New Roman" w:hAnsi="Times New Roman" w:cs="Times New Roman"/>
          <w:sz w:val="24"/>
          <w:szCs w:val="24"/>
        </w:rPr>
      </w:pPr>
      <w:r w:rsidRPr="00A96A39">
        <w:rPr>
          <w:rFonts w:ascii="Times New Roman" w:hAnsi="Times New Roman" w:cs="Times New Roman"/>
          <w:sz w:val="24"/>
          <w:szCs w:val="24"/>
        </w:rPr>
        <w:t xml:space="preserve">“Improve the clarity and grammatical structure of this paragraph while maintaining its original meaning.” </w:t>
      </w:r>
    </w:p>
    <w:p w14:paraId="215F507D" w14:textId="77777777" w:rsidR="00FD3B37" w:rsidRPr="00A96A39" w:rsidRDefault="00FD3B37" w:rsidP="00FD3B37">
      <w:pPr>
        <w:pStyle w:val="NormalWeb"/>
        <w:spacing w:before="0" w:beforeAutospacing="0" w:after="0" w:afterAutospacing="0" w:line="480" w:lineRule="auto"/>
        <w:contextualSpacing/>
      </w:pPr>
      <w:r w:rsidRPr="00A96A39">
        <w:t>I confirm that I have not presented any AI-generated text as my own work. I confirm that I have copies of my drafts, notes and other resources used before and after the use of AI tools, which I may be asked to provide as evidence.</w:t>
      </w:r>
    </w:p>
    <w:p w14:paraId="609F90B8" w14:textId="77777777" w:rsidR="00FD3B37" w:rsidRPr="00A96A39" w:rsidRDefault="00FD3B37" w:rsidP="00FD3B37">
      <w:pPr>
        <w:spacing w:line="480" w:lineRule="auto"/>
        <w:contextualSpacing/>
        <w:rPr>
          <w:rFonts w:ascii="Times New Roman" w:hAnsi="Times New Roman" w:cs="Times New Roman"/>
          <w:b/>
          <w:sz w:val="24"/>
          <w:szCs w:val="24"/>
        </w:rPr>
      </w:pPr>
      <w:r w:rsidRPr="00A96A39">
        <w:rPr>
          <w:rFonts w:ascii="Times New Roman" w:hAnsi="Times New Roman" w:cs="Times New Roman"/>
          <w:b/>
          <w:sz w:val="24"/>
          <w:szCs w:val="24"/>
        </w:rPr>
        <w:t>3. Semantic Scholar</w:t>
      </w:r>
    </w:p>
    <w:p w14:paraId="647FBD5B" w14:textId="77777777" w:rsidR="00FD3B37" w:rsidRPr="00A96A39" w:rsidRDefault="00FD3B37" w:rsidP="00FD3B37">
      <w:pPr>
        <w:pStyle w:val="NormalWeb"/>
        <w:spacing w:before="0" w:beforeAutospacing="0" w:after="0" w:afterAutospacing="0" w:line="480" w:lineRule="auto"/>
        <w:contextualSpacing/>
      </w:pPr>
      <w:r w:rsidRPr="00A96A39">
        <w:t xml:space="preserve">I acknowledge the use of </w:t>
      </w:r>
      <w:r w:rsidRPr="00A96A39">
        <w:rPr>
          <w:rStyle w:val="Strong"/>
          <w:rFonts w:eastAsiaTheme="majorEastAsia"/>
          <w:b w:val="0"/>
        </w:rPr>
        <w:t>Semantic Scholar</w:t>
      </w:r>
      <w:r w:rsidRPr="00A96A39">
        <w:rPr>
          <w:rStyle w:val="Strong"/>
          <w:rFonts w:eastAsiaTheme="majorEastAsia"/>
        </w:rPr>
        <w:t xml:space="preserve"> (</w:t>
      </w:r>
      <w:hyperlink r:id="rId11" w:tgtFrame="_new" w:history="1">
        <w:r w:rsidRPr="00A96A39">
          <w:rPr>
            <w:rStyle w:val="Hyperlink"/>
            <w:rFonts w:eastAsiaTheme="majorEastAsia"/>
            <w:b/>
            <w:bCs/>
          </w:rPr>
          <w:t>https://www.semanticscholar.org/</w:t>
        </w:r>
      </w:hyperlink>
      <w:r w:rsidRPr="00A96A39">
        <w:rPr>
          <w:rStyle w:val="Strong"/>
          <w:rFonts w:eastAsiaTheme="majorEastAsia"/>
        </w:rPr>
        <w:t>)</w:t>
      </w:r>
      <w:r w:rsidRPr="00A96A39">
        <w:t xml:space="preserve"> on </w:t>
      </w:r>
      <w:r w:rsidRPr="00A96A39">
        <w:rPr>
          <w:rStyle w:val="Strong"/>
          <w:rFonts w:eastAsiaTheme="majorEastAsia"/>
          <w:b w:val="0"/>
        </w:rPr>
        <w:t>24th July 2026</w:t>
      </w:r>
      <w:r w:rsidRPr="00A96A39">
        <w:rPr>
          <w:b/>
        </w:rPr>
        <w:t xml:space="preserve"> </w:t>
      </w:r>
      <w:r w:rsidRPr="00A96A39">
        <w:t>to locate relevant peer-reviewed academic literature and supporting sources for my assignment.</w:t>
      </w:r>
    </w:p>
    <w:p w14:paraId="13903616" w14:textId="77777777" w:rsidR="00FD3B37" w:rsidRPr="00A96A39" w:rsidRDefault="00FD3B37" w:rsidP="00FD3B37">
      <w:pPr>
        <w:pStyle w:val="NormalWeb"/>
        <w:spacing w:before="0" w:beforeAutospacing="0" w:after="0" w:afterAutospacing="0" w:line="480" w:lineRule="auto"/>
        <w:contextualSpacing/>
      </w:pPr>
      <w:r w:rsidRPr="00A96A39">
        <w:rPr>
          <w:rStyle w:val="Strong"/>
          <w:rFonts w:eastAsiaTheme="majorEastAsia"/>
        </w:rPr>
        <w:lastRenderedPageBreak/>
        <w:t>I used the following prompts:</w:t>
      </w:r>
    </w:p>
    <w:p w14:paraId="1E779E4B" w14:textId="77777777" w:rsidR="00FD3B37" w:rsidRPr="00A96A39" w:rsidRDefault="00FD3B37" w:rsidP="00FD3B37">
      <w:pPr>
        <w:numPr>
          <w:ilvl w:val="0"/>
          <w:numId w:val="4"/>
        </w:numPr>
        <w:spacing w:after="0" w:line="480" w:lineRule="auto"/>
        <w:contextualSpacing/>
        <w:rPr>
          <w:rFonts w:ascii="Times New Roman" w:hAnsi="Times New Roman" w:cs="Times New Roman"/>
          <w:sz w:val="24"/>
          <w:szCs w:val="24"/>
        </w:rPr>
      </w:pPr>
      <w:r w:rsidRPr="00A96A39">
        <w:rPr>
          <w:rFonts w:ascii="Times New Roman" w:hAnsi="Times New Roman" w:cs="Times New Roman"/>
          <w:sz w:val="24"/>
          <w:szCs w:val="24"/>
        </w:rPr>
        <w:t xml:space="preserve">“Find peer-reviewed literature relevant to the key topics discussed in this assignment.” </w:t>
      </w:r>
    </w:p>
    <w:p w14:paraId="6E0074D7" w14:textId="77777777" w:rsidR="00FD3B37" w:rsidRPr="00A96A39" w:rsidRDefault="00FD3B37" w:rsidP="00FD3B37">
      <w:pPr>
        <w:numPr>
          <w:ilvl w:val="0"/>
          <w:numId w:val="4"/>
        </w:numPr>
        <w:spacing w:after="0" w:line="480" w:lineRule="auto"/>
        <w:contextualSpacing/>
        <w:rPr>
          <w:rFonts w:ascii="Times New Roman" w:hAnsi="Times New Roman" w:cs="Times New Roman"/>
          <w:sz w:val="24"/>
          <w:szCs w:val="24"/>
        </w:rPr>
      </w:pPr>
      <w:r w:rsidRPr="00A96A39">
        <w:rPr>
          <w:rFonts w:ascii="Times New Roman" w:hAnsi="Times New Roman" w:cs="Times New Roman"/>
          <w:sz w:val="24"/>
          <w:szCs w:val="24"/>
        </w:rPr>
        <w:t xml:space="preserve">“Find academic sources that support the theoretical frameworks and arguments used in this assignment.” </w:t>
      </w:r>
    </w:p>
    <w:p w14:paraId="7447B613" w14:textId="7567633E" w:rsidR="006235C4" w:rsidRPr="00A96A39" w:rsidRDefault="00FD3B37" w:rsidP="00FD3B37">
      <w:pPr>
        <w:pStyle w:val="NormalWeb"/>
        <w:spacing w:before="0" w:beforeAutospacing="0" w:after="0" w:afterAutospacing="0" w:line="480" w:lineRule="auto"/>
        <w:contextualSpacing/>
      </w:pPr>
      <w:r w:rsidRPr="00A96A39">
        <w:t>I confirm that I have not presented any AI-generated text as my own work. I confirm that I have copies of my drafts, notes and other resources used before and after the use of AI tools, which I may be asked to provide as evidence.</w:t>
      </w:r>
      <w:r w:rsidRPr="00A96A39">
        <w:br w:type="page"/>
      </w:r>
    </w:p>
    <w:sdt>
      <w:sdtPr>
        <w:rPr>
          <w:rFonts w:ascii="Times New Roman" w:hAnsi="Times New Roman" w:cs="Times New Roman"/>
          <w:b/>
          <w:sz w:val="24"/>
          <w:szCs w:val="24"/>
        </w:rPr>
        <w:id w:val="392878"/>
        <w:docPartObj>
          <w:docPartGallery w:val="Table of Contents"/>
          <w:docPartUnique/>
        </w:docPartObj>
      </w:sdtPr>
      <w:sdtEndPr>
        <w:rPr>
          <w:bCs/>
          <w:noProof/>
        </w:rPr>
      </w:sdtEndPr>
      <w:sdtContent>
        <w:p w14:paraId="797257B1" w14:textId="380886E0" w:rsidR="009750D8" w:rsidRPr="00A96A39" w:rsidRDefault="009750D8" w:rsidP="00FD3B37">
          <w:pPr>
            <w:spacing w:after="0" w:line="480" w:lineRule="auto"/>
            <w:contextualSpacing/>
            <w:jc w:val="center"/>
            <w:rPr>
              <w:rFonts w:ascii="Times New Roman" w:hAnsi="Times New Roman" w:cs="Times New Roman"/>
              <w:b/>
              <w:sz w:val="24"/>
              <w:szCs w:val="24"/>
            </w:rPr>
          </w:pPr>
          <w:r w:rsidRPr="00A96A39">
            <w:rPr>
              <w:rFonts w:ascii="Times New Roman" w:hAnsi="Times New Roman" w:cs="Times New Roman"/>
              <w:b/>
              <w:sz w:val="24"/>
              <w:szCs w:val="24"/>
            </w:rPr>
            <w:t>Table of Contents</w:t>
          </w:r>
        </w:p>
        <w:p w14:paraId="794C634D" w14:textId="091C3396" w:rsidR="00FD3B37" w:rsidRPr="00A96A39" w:rsidRDefault="009750D8" w:rsidP="00FD3B37">
          <w:pPr>
            <w:pStyle w:val="TOC1"/>
            <w:spacing w:after="0" w:line="480" w:lineRule="auto"/>
            <w:contextualSpacing/>
            <w:rPr>
              <w:rFonts w:ascii="Times New Roman" w:eastAsiaTheme="minorEastAsia" w:hAnsi="Times New Roman" w:cs="Times New Roman"/>
              <w:kern w:val="0"/>
              <w:lang w:eastAsia="en-US"/>
              <w14:ligatures w14:val="none"/>
            </w:rPr>
          </w:pPr>
          <w:r w:rsidRPr="00A96A39">
            <w:rPr>
              <w:rFonts w:ascii="Times New Roman" w:hAnsi="Times New Roman" w:cs="Times New Roman"/>
              <w:b/>
              <w:bCs/>
            </w:rPr>
            <w:fldChar w:fldCharType="begin"/>
          </w:r>
          <w:r w:rsidRPr="00A96A39">
            <w:rPr>
              <w:rFonts w:ascii="Times New Roman" w:hAnsi="Times New Roman" w:cs="Times New Roman"/>
              <w:b/>
              <w:bCs/>
            </w:rPr>
            <w:instrText xml:space="preserve"> TOC \o "1-3" \h \z \u </w:instrText>
          </w:r>
          <w:r w:rsidRPr="00A96A39">
            <w:rPr>
              <w:rFonts w:ascii="Times New Roman" w:hAnsi="Times New Roman" w:cs="Times New Roman"/>
              <w:b/>
              <w:bCs/>
            </w:rPr>
            <w:fldChar w:fldCharType="separate"/>
          </w:r>
          <w:hyperlink w:anchor="_Toc237267296" w:history="1">
            <w:r w:rsidR="00FD3B37" w:rsidRPr="00A96A39">
              <w:rPr>
                <w:rStyle w:val="Hyperlink"/>
                <w:rFonts w:ascii="Times New Roman" w:hAnsi="Times New Roman" w:cs="Times New Roman"/>
              </w:rPr>
              <w:t>1</w:t>
            </w:r>
            <w:r w:rsidR="00FD3B37" w:rsidRPr="00A96A39">
              <w:rPr>
                <w:rFonts w:ascii="Times New Roman" w:eastAsiaTheme="minorEastAsia" w:hAnsi="Times New Roman" w:cs="Times New Roman"/>
                <w:kern w:val="0"/>
                <w:lang w:eastAsia="en-US"/>
                <w14:ligatures w14:val="none"/>
              </w:rPr>
              <w:tab/>
            </w:r>
            <w:r w:rsidR="00FD3B37" w:rsidRPr="00A96A39">
              <w:rPr>
                <w:rStyle w:val="Hyperlink"/>
                <w:rFonts w:ascii="Times New Roman" w:hAnsi="Times New Roman" w:cs="Times New Roman"/>
              </w:rPr>
              <w:t>Introduction</w:t>
            </w:r>
            <w:r w:rsidR="00FD3B37" w:rsidRPr="00A96A39">
              <w:rPr>
                <w:rFonts w:ascii="Times New Roman" w:hAnsi="Times New Roman" w:cs="Times New Roman"/>
                <w:webHidden/>
              </w:rPr>
              <w:tab/>
            </w:r>
            <w:r w:rsidR="00FD3B37" w:rsidRPr="00A96A39">
              <w:rPr>
                <w:rFonts w:ascii="Times New Roman" w:hAnsi="Times New Roman" w:cs="Times New Roman"/>
                <w:webHidden/>
              </w:rPr>
              <w:fldChar w:fldCharType="begin"/>
            </w:r>
            <w:r w:rsidR="00FD3B37" w:rsidRPr="00A96A39">
              <w:rPr>
                <w:rFonts w:ascii="Times New Roman" w:hAnsi="Times New Roman" w:cs="Times New Roman"/>
                <w:webHidden/>
              </w:rPr>
              <w:instrText xml:space="preserve"> PAGEREF _Toc237267296 \h </w:instrText>
            </w:r>
            <w:r w:rsidR="00FD3B37" w:rsidRPr="00A96A39">
              <w:rPr>
                <w:rFonts w:ascii="Times New Roman" w:hAnsi="Times New Roman" w:cs="Times New Roman"/>
                <w:webHidden/>
              </w:rPr>
            </w:r>
            <w:r w:rsidR="00FD3B37" w:rsidRPr="00A96A39">
              <w:rPr>
                <w:rFonts w:ascii="Times New Roman" w:hAnsi="Times New Roman" w:cs="Times New Roman"/>
                <w:webHidden/>
              </w:rPr>
              <w:fldChar w:fldCharType="separate"/>
            </w:r>
            <w:r w:rsidR="0089782E">
              <w:rPr>
                <w:rFonts w:ascii="Times New Roman" w:hAnsi="Times New Roman" w:cs="Times New Roman"/>
                <w:webHidden/>
              </w:rPr>
              <w:t>5</w:t>
            </w:r>
            <w:r w:rsidR="00FD3B37" w:rsidRPr="00A96A39">
              <w:rPr>
                <w:rFonts w:ascii="Times New Roman" w:hAnsi="Times New Roman" w:cs="Times New Roman"/>
                <w:webHidden/>
              </w:rPr>
              <w:fldChar w:fldCharType="end"/>
            </w:r>
          </w:hyperlink>
        </w:p>
        <w:p w14:paraId="028A8A18" w14:textId="47DB012A" w:rsidR="00FD3B37" w:rsidRPr="00A96A39" w:rsidRDefault="00FD3B37" w:rsidP="00FD3B37">
          <w:pPr>
            <w:pStyle w:val="TOC1"/>
            <w:spacing w:after="0" w:line="480" w:lineRule="auto"/>
            <w:contextualSpacing/>
            <w:rPr>
              <w:rFonts w:ascii="Times New Roman" w:eastAsiaTheme="minorEastAsia" w:hAnsi="Times New Roman" w:cs="Times New Roman"/>
              <w:kern w:val="0"/>
              <w:lang w:eastAsia="en-US"/>
              <w14:ligatures w14:val="none"/>
            </w:rPr>
          </w:pPr>
          <w:hyperlink w:anchor="_Toc237267297" w:history="1">
            <w:r w:rsidRPr="00A96A39">
              <w:rPr>
                <w:rStyle w:val="Hyperlink"/>
                <w:rFonts w:ascii="Times New Roman" w:hAnsi="Times New Roman" w:cs="Times New Roman"/>
              </w:rPr>
              <w:t>2</w:t>
            </w:r>
            <w:r w:rsidRPr="00A96A39">
              <w:rPr>
                <w:rFonts w:ascii="Times New Roman" w:eastAsiaTheme="minorEastAsia" w:hAnsi="Times New Roman" w:cs="Times New Roman"/>
                <w:kern w:val="0"/>
                <w:lang w:eastAsia="en-US"/>
                <w14:ligatures w14:val="none"/>
              </w:rPr>
              <w:tab/>
            </w:r>
            <w:r w:rsidRPr="00A96A39">
              <w:rPr>
                <w:rStyle w:val="Hyperlink"/>
                <w:rFonts w:ascii="Times New Roman" w:hAnsi="Times New Roman" w:cs="Times New Roman"/>
              </w:rPr>
              <w:t>Section 1</w:t>
            </w:r>
            <w:r w:rsidRPr="00A96A39">
              <w:rPr>
                <w:rFonts w:ascii="Times New Roman" w:hAnsi="Times New Roman" w:cs="Times New Roman"/>
                <w:webHidden/>
              </w:rPr>
              <w:tab/>
            </w:r>
            <w:r w:rsidRPr="00A96A39">
              <w:rPr>
                <w:rFonts w:ascii="Times New Roman" w:hAnsi="Times New Roman" w:cs="Times New Roman"/>
                <w:webHidden/>
              </w:rPr>
              <w:fldChar w:fldCharType="begin"/>
            </w:r>
            <w:r w:rsidRPr="00A96A39">
              <w:rPr>
                <w:rFonts w:ascii="Times New Roman" w:hAnsi="Times New Roman" w:cs="Times New Roman"/>
                <w:webHidden/>
              </w:rPr>
              <w:instrText xml:space="preserve"> PAGEREF _Toc237267297 \h </w:instrText>
            </w:r>
            <w:r w:rsidRPr="00A96A39">
              <w:rPr>
                <w:rFonts w:ascii="Times New Roman" w:hAnsi="Times New Roman" w:cs="Times New Roman"/>
                <w:webHidden/>
              </w:rPr>
            </w:r>
            <w:r w:rsidRPr="00A96A39">
              <w:rPr>
                <w:rFonts w:ascii="Times New Roman" w:hAnsi="Times New Roman" w:cs="Times New Roman"/>
                <w:webHidden/>
              </w:rPr>
              <w:fldChar w:fldCharType="separate"/>
            </w:r>
            <w:r w:rsidR="0089782E">
              <w:rPr>
                <w:rFonts w:ascii="Times New Roman" w:hAnsi="Times New Roman" w:cs="Times New Roman"/>
                <w:webHidden/>
              </w:rPr>
              <w:t>5</w:t>
            </w:r>
            <w:r w:rsidRPr="00A96A39">
              <w:rPr>
                <w:rFonts w:ascii="Times New Roman" w:hAnsi="Times New Roman" w:cs="Times New Roman"/>
                <w:webHidden/>
              </w:rPr>
              <w:fldChar w:fldCharType="end"/>
            </w:r>
          </w:hyperlink>
        </w:p>
        <w:p w14:paraId="17E07DC8" w14:textId="5F1F0521"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298" w:history="1">
            <w:r w:rsidRPr="00A96A39">
              <w:rPr>
                <w:rStyle w:val="Hyperlink"/>
                <w:rFonts w:ascii="Times New Roman" w:hAnsi="Times New Roman" w:cs="Times New Roman"/>
                <w:noProof/>
                <w:sz w:val="24"/>
                <w:szCs w:val="24"/>
              </w:rPr>
              <w:t>2.1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rPr>
              <w:t>Background of Kajima Corporation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_Toc237267298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5</w:t>
            </w:r>
            <w:r w:rsidRPr="00A96A39">
              <w:rPr>
                <w:rFonts w:ascii="Times New Roman" w:hAnsi="Times New Roman" w:cs="Times New Roman"/>
                <w:noProof/>
                <w:webHidden/>
                <w:sz w:val="24"/>
                <w:szCs w:val="24"/>
              </w:rPr>
              <w:fldChar w:fldCharType="end"/>
            </w:r>
          </w:hyperlink>
        </w:p>
        <w:p w14:paraId="1A462AF1" w14:textId="20AA1DFE"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299" w:history="1">
            <w:r w:rsidRPr="00A96A39">
              <w:rPr>
                <w:rStyle w:val="Hyperlink"/>
                <w:rFonts w:ascii="Times New Roman" w:hAnsi="Times New Roman" w:cs="Times New Roman"/>
                <w:noProof/>
                <w:sz w:val="24"/>
                <w:szCs w:val="24"/>
              </w:rPr>
              <w:t>2.2</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rPr>
              <w:t>Classification of the organisation and global strategy</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_Toc237267299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6</w:t>
            </w:r>
            <w:r w:rsidRPr="00A96A39">
              <w:rPr>
                <w:rFonts w:ascii="Times New Roman" w:hAnsi="Times New Roman" w:cs="Times New Roman"/>
                <w:noProof/>
                <w:webHidden/>
                <w:sz w:val="24"/>
                <w:szCs w:val="24"/>
              </w:rPr>
              <w:fldChar w:fldCharType="end"/>
            </w:r>
          </w:hyperlink>
        </w:p>
        <w:p w14:paraId="10EA1C65" w14:textId="1421E249"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0" w:history="1">
            <w:r w:rsidRPr="00A96A39">
              <w:rPr>
                <w:rStyle w:val="Hyperlink"/>
                <w:rFonts w:ascii="Times New Roman" w:hAnsi="Times New Roman" w:cs="Times New Roman"/>
                <w:noProof/>
                <w:sz w:val="24"/>
                <w:szCs w:val="24"/>
              </w:rPr>
              <w:t>2.2.1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rPr>
              <w:t>Company Overview</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_Toc237267300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6</w:t>
            </w:r>
            <w:r w:rsidRPr="00A96A39">
              <w:rPr>
                <w:rFonts w:ascii="Times New Roman" w:hAnsi="Times New Roman" w:cs="Times New Roman"/>
                <w:noProof/>
                <w:webHidden/>
                <w:sz w:val="24"/>
                <w:szCs w:val="24"/>
              </w:rPr>
              <w:fldChar w:fldCharType="end"/>
            </w:r>
          </w:hyperlink>
        </w:p>
        <w:p w14:paraId="0050150E" w14:textId="53BE2A22"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1" w:history="1">
            <w:r w:rsidRPr="00A96A39">
              <w:rPr>
                <w:rStyle w:val="Hyperlink"/>
                <w:rFonts w:ascii="Times New Roman" w:hAnsi="Times New Roman" w:cs="Times New Roman"/>
                <w:noProof/>
                <w:sz w:val="24"/>
                <w:szCs w:val="24"/>
              </w:rPr>
              <w:t>2.2.2</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rPr>
              <w:t>Strategic Classification Using Bartlett and Ghoshal's Model</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_Toc237267301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6</w:t>
            </w:r>
            <w:r w:rsidRPr="00A96A39">
              <w:rPr>
                <w:rFonts w:ascii="Times New Roman" w:hAnsi="Times New Roman" w:cs="Times New Roman"/>
                <w:noProof/>
                <w:webHidden/>
                <w:sz w:val="24"/>
                <w:szCs w:val="24"/>
              </w:rPr>
              <w:fldChar w:fldCharType="end"/>
            </w:r>
          </w:hyperlink>
        </w:p>
        <w:p w14:paraId="1B445CB5" w14:textId="4406ADD4"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2" w:history="1">
            <w:r w:rsidRPr="00A96A39">
              <w:rPr>
                <w:rStyle w:val="Hyperlink"/>
                <w:rFonts w:ascii="Times New Roman" w:hAnsi="Times New Roman" w:cs="Times New Roman"/>
                <w:noProof/>
                <w:sz w:val="24"/>
                <w:szCs w:val="24"/>
              </w:rPr>
              <w:t>2.2.3</w:t>
            </w:r>
            <w:r w:rsidRPr="00A96A39">
              <w:rPr>
                <w:rFonts w:ascii="Times New Roman" w:eastAsiaTheme="minorEastAsia" w:hAnsi="Times New Roman" w:cs="Times New Roman"/>
                <w:noProof/>
                <w:kern w:val="0"/>
                <w:sz w:val="24"/>
                <w:szCs w:val="24"/>
                <w:lang w:val="en-US" w:eastAsia="en-US"/>
                <w14:ligatures w14:val="none"/>
              </w:rPr>
              <w:tab/>
            </w:r>
            <w:r w:rsidRPr="00E678AB">
              <w:rPr>
                <w:rStyle w:val="Hyperlink"/>
                <w:rFonts w:ascii="Times New Roman" w:hAnsi="Times New Roman" w:cs="Times New Roman"/>
                <w:noProof/>
                <w:sz w:val="24"/>
                <w:szCs w:val="24"/>
              </w:rPr>
              <w:t>Global Configuration and Competitive Advantage</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_Toc237267302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6</w:t>
            </w:r>
            <w:r w:rsidRPr="00A96A39">
              <w:rPr>
                <w:rFonts w:ascii="Times New Roman" w:hAnsi="Times New Roman" w:cs="Times New Roman"/>
                <w:noProof/>
                <w:webHidden/>
                <w:sz w:val="24"/>
                <w:szCs w:val="24"/>
              </w:rPr>
              <w:fldChar w:fldCharType="end"/>
            </w:r>
          </w:hyperlink>
        </w:p>
        <w:p w14:paraId="28A53C16" w14:textId="23B720DD"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3" w:history="1">
            <w:r w:rsidRPr="00A96A39">
              <w:rPr>
                <w:rStyle w:val="Hyperlink"/>
                <w:rFonts w:ascii="Times New Roman" w:hAnsi="Times New Roman" w:cs="Times New Roman"/>
                <w:noProof/>
                <w:sz w:val="24"/>
                <w:szCs w:val="24"/>
                <w:lang w:val="en-US"/>
              </w:rPr>
              <w:t>2.3</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Macro-Environmental Appraisal and Market Attractiveness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_Toc237267303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7</w:t>
            </w:r>
            <w:r w:rsidRPr="00A96A39">
              <w:rPr>
                <w:rFonts w:ascii="Times New Roman" w:hAnsi="Times New Roman" w:cs="Times New Roman"/>
                <w:noProof/>
                <w:webHidden/>
                <w:sz w:val="24"/>
                <w:szCs w:val="24"/>
              </w:rPr>
              <w:fldChar w:fldCharType="end"/>
            </w:r>
          </w:hyperlink>
        </w:p>
        <w:p w14:paraId="65FEDFEC" w14:textId="74E32319"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4" w:history="1">
            <w:r w:rsidRPr="00A96A39">
              <w:rPr>
                <w:rStyle w:val="Hyperlink"/>
                <w:rFonts w:ascii="Times New Roman" w:hAnsi="Times New Roman" w:cs="Times New Roman"/>
                <w:noProof/>
                <w:sz w:val="24"/>
                <w:szCs w:val="24"/>
                <w:lang w:val="en-US"/>
              </w:rPr>
              <w:t>2.3.1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Host Country Analysis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_Toc237267304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7</w:t>
            </w:r>
            <w:r w:rsidRPr="00A96A39">
              <w:rPr>
                <w:rFonts w:ascii="Times New Roman" w:hAnsi="Times New Roman" w:cs="Times New Roman"/>
                <w:noProof/>
                <w:webHidden/>
                <w:sz w:val="24"/>
                <w:szCs w:val="24"/>
              </w:rPr>
              <w:fldChar w:fldCharType="end"/>
            </w:r>
          </w:hyperlink>
        </w:p>
        <w:p w14:paraId="7DE148F5" w14:textId="1B1DFA04"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5" w:history="1">
            <w:r w:rsidRPr="00A96A39">
              <w:rPr>
                <w:rStyle w:val="Hyperlink"/>
                <w:rFonts w:ascii="Times New Roman" w:hAnsi="Times New Roman" w:cs="Times New Roman"/>
                <w:noProof/>
                <w:sz w:val="24"/>
                <w:szCs w:val="24"/>
                <w:lang w:val="en-US"/>
              </w:rPr>
              <w:t>2.3.2</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Political Environment</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_Toc237267305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9</w:t>
            </w:r>
            <w:r w:rsidRPr="00A96A39">
              <w:rPr>
                <w:rFonts w:ascii="Times New Roman" w:hAnsi="Times New Roman" w:cs="Times New Roman"/>
                <w:noProof/>
                <w:webHidden/>
                <w:sz w:val="24"/>
                <w:szCs w:val="24"/>
              </w:rPr>
              <w:fldChar w:fldCharType="end"/>
            </w:r>
          </w:hyperlink>
        </w:p>
        <w:p w14:paraId="46B8D23E" w14:textId="6E0BF7BD"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6" w:history="1">
            <w:r w:rsidRPr="00A96A39">
              <w:rPr>
                <w:rStyle w:val="Hyperlink"/>
                <w:rFonts w:ascii="Times New Roman" w:hAnsi="Times New Roman" w:cs="Times New Roman"/>
                <w:noProof/>
                <w:sz w:val="24"/>
                <w:szCs w:val="24"/>
                <w:lang w:val="en-US"/>
              </w:rPr>
              <w:t>2.3.3</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Economic Environment</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_Toc237267306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10</w:t>
            </w:r>
            <w:r w:rsidRPr="00A96A39">
              <w:rPr>
                <w:rFonts w:ascii="Times New Roman" w:hAnsi="Times New Roman" w:cs="Times New Roman"/>
                <w:noProof/>
                <w:webHidden/>
                <w:sz w:val="24"/>
                <w:szCs w:val="24"/>
              </w:rPr>
              <w:fldChar w:fldCharType="end"/>
            </w:r>
          </w:hyperlink>
        </w:p>
        <w:p w14:paraId="3B667C73" w14:textId="15E32AE0"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7" w:history="1">
            <w:r w:rsidRPr="00A96A39">
              <w:rPr>
                <w:rStyle w:val="Hyperlink"/>
                <w:rFonts w:ascii="Times New Roman" w:hAnsi="Times New Roman" w:cs="Times New Roman"/>
                <w:noProof/>
                <w:sz w:val="24"/>
                <w:szCs w:val="24"/>
                <w:lang w:val="en-US"/>
              </w:rPr>
              <w:t>2.3.4</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Legal and Regulatory Environment</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_Toc237267307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12</w:t>
            </w:r>
            <w:r w:rsidRPr="00A96A39">
              <w:rPr>
                <w:rFonts w:ascii="Times New Roman" w:hAnsi="Times New Roman" w:cs="Times New Roman"/>
                <w:noProof/>
                <w:webHidden/>
                <w:sz w:val="24"/>
                <w:szCs w:val="24"/>
              </w:rPr>
              <w:fldChar w:fldCharType="end"/>
            </w:r>
          </w:hyperlink>
        </w:p>
        <w:p w14:paraId="65C11F24" w14:textId="6661EBF8"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8" w:history="1">
            <w:r w:rsidRPr="00A96A39">
              <w:rPr>
                <w:rStyle w:val="Hyperlink"/>
                <w:rFonts w:ascii="Times New Roman" w:hAnsi="Times New Roman" w:cs="Times New Roman"/>
                <w:noProof/>
                <w:sz w:val="24"/>
                <w:szCs w:val="24"/>
                <w:lang w:val="en-US"/>
              </w:rPr>
              <w:t>2.3.5</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Cultural Environment Through Hofstede’s Theory</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_Toc237267308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14</w:t>
            </w:r>
            <w:r w:rsidRPr="00A96A39">
              <w:rPr>
                <w:rFonts w:ascii="Times New Roman" w:hAnsi="Times New Roman" w:cs="Times New Roman"/>
                <w:noProof/>
                <w:webHidden/>
                <w:sz w:val="24"/>
                <w:szCs w:val="24"/>
              </w:rPr>
              <w:fldChar w:fldCharType="end"/>
            </w:r>
          </w:hyperlink>
        </w:p>
        <w:p w14:paraId="3CD4A057" w14:textId="2C2B70F2"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09" w:history="1">
            <w:r w:rsidRPr="00A96A39">
              <w:rPr>
                <w:rStyle w:val="Hyperlink"/>
                <w:rFonts w:ascii="Times New Roman" w:hAnsi="Times New Roman" w:cs="Times New Roman"/>
                <w:noProof/>
                <w:sz w:val="24"/>
                <w:szCs w:val="24"/>
                <w:lang w:val="en-US"/>
              </w:rPr>
              <w:t>2.3.6</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Industry Attractiveness  mix with industry</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_Toc237267309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16</w:t>
            </w:r>
            <w:r w:rsidRPr="00A96A39">
              <w:rPr>
                <w:rFonts w:ascii="Times New Roman" w:hAnsi="Times New Roman" w:cs="Times New Roman"/>
                <w:noProof/>
                <w:webHidden/>
                <w:sz w:val="24"/>
                <w:szCs w:val="24"/>
              </w:rPr>
              <w:fldChar w:fldCharType="end"/>
            </w:r>
          </w:hyperlink>
        </w:p>
        <w:p w14:paraId="4417F189" w14:textId="1DF3D60D"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0" w:history="1">
            <w:r w:rsidRPr="00A96A39">
              <w:rPr>
                <w:rStyle w:val="Hyperlink"/>
                <w:rFonts w:ascii="Times New Roman" w:hAnsi="Times New Roman" w:cs="Times New Roman"/>
                <w:noProof/>
                <w:sz w:val="24"/>
                <w:szCs w:val="24"/>
                <w:lang w:val="en-US"/>
              </w:rPr>
              <w:t>2.4</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Market Entry Analysis Using Dunning's OLI Framework</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_Toc237267310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18</w:t>
            </w:r>
            <w:r w:rsidRPr="00A96A39">
              <w:rPr>
                <w:rFonts w:ascii="Times New Roman" w:hAnsi="Times New Roman" w:cs="Times New Roman"/>
                <w:noProof/>
                <w:webHidden/>
                <w:sz w:val="24"/>
                <w:szCs w:val="24"/>
              </w:rPr>
              <w:fldChar w:fldCharType="end"/>
            </w:r>
          </w:hyperlink>
        </w:p>
        <w:p w14:paraId="6599FCFE" w14:textId="599B5E75"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1" w:history="1">
            <w:r w:rsidRPr="00A96A39">
              <w:rPr>
                <w:rStyle w:val="Hyperlink"/>
                <w:rFonts w:ascii="Times New Roman" w:hAnsi="Times New Roman" w:cs="Times New Roman"/>
                <w:noProof/>
                <w:sz w:val="24"/>
                <w:szCs w:val="24"/>
                <w:lang w:val="en-US"/>
              </w:rPr>
              <w:t>2.4.1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Ownership Advantages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_Toc237267311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18</w:t>
            </w:r>
            <w:r w:rsidRPr="00A96A39">
              <w:rPr>
                <w:rFonts w:ascii="Times New Roman" w:hAnsi="Times New Roman" w:cs="Times New Roman"/>
                <w:noProof/>
                <w:webHidden/>
                <w:sz w:val="24"/>
                <w:szCs w:val="24"/>
              </w:rPr>
              <w:fldChar w:fldCharType="end"/>
            </w:r>
          </w:hyperlink>
        </w:p>
        <w:p w14:paraId="5F8B8F83" w14:textId="2BC75C70"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2" w:history="1">
            <w:r w:rsidRPr="00A96A39">
              <w:rPr>
                <w:rStyle w:val="Hyperlink"/>
                <w:rFonts w:ascii="Times New Roman" w:hAnsi="Times New Roman" w:cs="Times New Roman"/>
                <w:noProof/>
                <w:sz w:val="24"/>
                <w:szCs w:val="24"/>
                <w:lang w:val="en-US"/>
              </w:rPr>
              <w:t>2.4.2</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Location Advantages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_Toc237267312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19</w:t>
            </w:r>
            <w:r w:rsidRPr="00A96A39">
              <w:rPr>
                <w:rFonts w:ascii="Times New Roman" w:hAnsi="Times New Roman" w:cs="Times New Roman"/>
                <w:noProof/>
                <w:webHidden/>
                <w:sz w:val="24"/>
                <w:szCs w:val="24"/>
              </w:rPr>
              <w:fldChar w:fldCharType="end"/>
            </w:r>
          </w:hyperlink>
        </w:p>
        <w:p w14:paraId="080D7C5F" w14:textId="44C885DC"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3" w:history="1">
            <w:r w:rsidRPr="00A96A39">
              <w:rPr>
                <w:rStyle w:val="Hyperlink"/>
                <w:rFonts w:ascii="Times New Roman" w:hAnsi="Times New Roman" w:cs="Times New Roman"/>
                <w:noProof/>
                <w:sz w:val="24"/>
                <w:szCs w:val="24"/>
                <w:lang w:val="en-US"/>
              </w:rPr>
              <w:t>2.4.3</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Internalisation Advantages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_Toc237267313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19</w:t>
            </w:r>
            <w:r w:rsidRPr="00A96A39">
              <w:rPr>
                <w:rFonts w:ascii="Times New Roman" w:hAnsi="Times New Roman" w:cs="Times New Roman"/>
                <w:noProof/>
                <w:webHidden/>
                <w:sz w:val="24"/>
                <w:szCs w:val="24"/>
              </w:rPr>
              <w:fldChar w:fldCharType="end"/>
            </w:r>
          </w:hyperlink>
        </w:p>
        <w:p w14:paraId="0868EB95" w14:textId="6CF1463C"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4" w:history="1">
            <w:r w:rsidRPr="00A96A39">
              <w:rPr>
                <w:rStyle w:val="Hyperlink"/>
                <w:rFonts w:ascii="Times New Roman" w:hAnsi="Times New Roman" w:cs="Times New Roman"/>
                <w:noProof/>
                <w:sz w:val="24"/>
                <w:szCs w:val="24"/>
                <w:lang w:val="en-US"/>
              </w:rPr>
              <w:t>2.4.4</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The OLI Framework.</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_Toc237267314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19</w:t>
            </w:r>
            <w:r w:rsidRPr="00A96A39">
              <w:rPr>
                <w:rFonts w:ascii="Times New Roman" w:hAnsi="Times New Roman" w:cs="Times New Roman"/>
                <w:noProof/>
                <w:webHidden/>
                <w:sz w:val="24"/>
                <w:szCs w:val="24"/>
              </w:rPr>
              <w:fldChar w:fldCharType="end"/>
            </w:r>
          </w:hyperlink>
        </w:p>
        <w:p w14:paraId="3C2266E8" w14:textId="2855FA78"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5" w:history="1">
            <w:r w:rsidRPr="00A96A39">
              <w:rPr>
                <w:rStyle w:val="Hyperlink"/>
                <w:rFonts w:ascii="Times New Roman" w:hAnsi="Times New Roman" w:cs="Times New Roman"/>
                <w:noProof/>
                <w:sz w:val="24"/>
                <w:szCs w:val="24"/>
              </w:rPr>
              <w:t>2.4.5</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rPr>
              <w:t>Entry Mode Strategy and Strategic Synthesis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_Toc237267315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20</w:t>
            </w:r>
            <w:r w:rsidRPr="00A96A39">
              <w:rPr>
                <w:rFonts w:ascii="Times New Roman" w:hAnsi="Times New Roman" w:cs="Times New Roman"/>
                <w:noProof/>
                <w:webHidden/>
                <w:sz w:val="24"/>
                <w:szCs w:val="24"/>
              </w:rPr>
              <w:fldChar w:fldCharType="end"/>
            </w:r>
          </w:hyperlink>
        </w:p>
        <w:p w14:paraId="0ED29977" w14:textId="14531516"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6" w:history="1">
            <w:r w:rsidRPr="00A96A39">
              <w:rPr>
                <w:rStyle w:val="Hyperlink"/>
                <w:rFonts w:ascii="Times New Roman" w:hAnsi="Times New Roman" w:cs="Times New Roman"/>
                <w:noProof/>
                <w:sz w:val="24"/>
                <w:szCs w:val="24"/>
                <w:lang w:val="en-US"/>
              </w:rPr>
              <w:t>2.5</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Strategic Recommendations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_Toc237267316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21</w:t>
            </w:r>
            <w:r w:rsidRPr="00A96A39">
              <w:rPr>
                <w:rFonts w:ascii="Times New Roman" w:hAnsi="Times New Roman" w:cs="Times New Roman"/>
                <w:noProof/>
                <w:webHidden/>
                <w:sz w:val="24"/>
                <w:szCs w:val="24"/>
              </w:rPr>
              <w:fldChar w:fldCharType="end"/>
            </w:r>
          </w:hyperlink>
        </w:p>
        <w:p w14:paraId="40563323" w14:textId="47D108CF"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7" w:history="1">
            <w:r w:rsidRPr="00A96A39">
              <w:rPr>
                <w:rStyle w:val="Hyperlink"/>
                <w:rFonts w:ascii="Times New Roman" w:hAnsi="Times New Roman" w:cs="Times New Roman"/>
                <w:noProof/>
                <w:sz w:val="24"/>
                <w:szCs w:val="24"/>
                <w:lang w:val="en-US"/>
              </w:rPr>
              <w:t>2.6</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Conclusion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_Toc237267317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22</w:t>
            </w:r>
            <w:r w:rsidRPr="00A96A39">
              <w:rPr>
                <w:rFonts w:ascii="Times New Roman" w:hAnsi="Times New Roman" w:cs="Times New Roman"/>
                <w:noProof/>
                <w:webHidden/>
                <w:sz w:val="24"/>
                <w:szCs w:val="24"/>
              </w:rPr>
              <w:fldChar w:fldCharType="end"/>
            </w:r>
          </w:hyperlink>
        </w:p>
        <w:p w14:paraId="45F49570" w14:textId="566559B5" w:rsidR="00FD3B37" w:rsidRPr="00A96A39" w:rsidRDefault="00FD3B37" w:rsidP="00FD3B37">
          <w:pPr>
            <w:pStyle w:val="TOC1"/>
            <w:spacing w:after="0" w:line="480" w:lineRule="auto"/>
            <w:contextualSpacing/>
            <w:rPr>
              <w:rFonts w:ascii="Times New Roman" w:eastAsiaTheme="minorEastAsia" w:hAnsi="Times New Roman" w:cs="Times New Roman"/>
              <w:kern w:val="0"/>
              <w:lang w:eastAsia="en-US"/>
              <w14:ligatures w14:val="none"/>
            </w:rPr>
          </w:pPr>
          <w:hyperlink w:anchor="_Toc237267318" w:history="1">
            <w:r w:rsidRPr="00A96A39">
              <w:rPr>
                <w:rStyle w:val="Hyperlink"/>
                <w:rFonts w:ascii="Times New Roman" w:hAnsi="Times New Roman" w:cs="Times New Roman"/>
              </w:rPr>
              <w:t>3</w:t>
            </w:r>
            <w:r w:rsidRPr="00A96A39">
              <w:rPr>
                <w:rFonts w:ascii="Times New Roman" w:eastAsiaTheme="minorEastAsia" w:hAnsi="Times New Roman" w:cs="Times New Roman"/>
                <w:kern w:val="0"/>
                <w:lang w:eastAsia="en-US"/>
                <w14:ligatures w14:val="none"/>
              </w:rPr>
              <w:tab/>
            </w:r>
            <w:r w:rsidRPr="00A96A39">
              <w:rPr>
                <w:rStyle w:val="Hyperlink"/>
                <w:rFonts w:ascii="Times New Roman" w:hAnsi="Times New Roman" w:cs="Times New Roman"/>
              </w:rPr>
              <w:t>Section 2</w:t>
            </w:r>
            <w:r w:rsidRPr="00A96A39">
              <w:rPr>
                <w:rFonts w:ascii="Times New Roman" w:hAnsi="Times New Roman" w:cs="Times New Roman"/>
                <w:webHidden/>
              </w:rPr>
              <w:tab/>
            </w:r>
            <w:r w:rsidRPr="00A96A39">
              <w:rPr>
                <w:rFonts w:ascii="Times New Roman" w:hAnsi="Times New Roman" w:cs="Times New Roman"/>
                <w:webHidden/>
              </w:rPr>
              <w:fldChar w:fldCharType="begin"/>
            </w:r>
            <w:r w:rsidRPr="00A96A39">
              <w:rPr>
                <w:rFonts w:ascii="Times New Roman" w:hAnsi="Times New Roman" w:cs="Times New Roman"/>
                <w:webHidden/>
              </w:rPr>
              <w:instrText xml:space="preserve"> PAGEREF _Toc237267318 \h </w:instrText>
            </w:r>
            <w:r w:rsidRPr="00A96A39">
              <w:rPr>
                <w:rFonts w:ascii="Times New Roman" w:hAnsi="Times New Roman" w:cs="Times New Roman"/>
                <w:webHidden/>
              </w:rPr>
            </w:r>
            <w:r w:rsidRPr="00A96A39">
              <w:rPr>
                <w:rFonts w:ascii="Times New Roman" w:hAnsi="Times New Roman" w:cs="Times New Roman"/>
                <w:webHidden/>
              </w:rPr>
              <w:fldChar w:fldCharType="separate"/>
            </w:r>
            <w:r w:rsidR="0089782E">
              <w:rPr>
                <w:rFonts w:ascii="Times New Roman" w:hAnsi="Times New Roman" w:cs="Times New Roman"/>
                <w:webHidden/>
              </w:rPr>
              <w:t>22</w:t>
            </w:r>
            <w:r w:rsidRPr="00A96A39">
              <w:rPr>
                <w:rFonts w:ascii="Times New Roman" w:hAnsi="Times New Roman" w:cs="Times New Roman"/>
                <w:webHidden/>
              </w:rPr>
              <w:fldChar w:fldCharType="end"/>
            </w:r>
          </w:hyperlink>
        </w:p>
        <w:p w14:paraId="5315CDB7" w14:textId="1035574D" w:rsidR="00FD3B37" w:rsidRPr="00A96A39" w:rsidRDefault="00FD3B37" w:rsidP="00FD3B37">
          <w:pPr>
            <w:pStyle w:val="TOC2"/>
            <w:tabs>
              <w:tab w:val="left" w:pos="88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19" w:history="1">
            <w:r w:rsidRPr="00A96A39">
              <w:rPr>
                <w:rStyle w:val="Hyperlink"/>
                <w:rFonts w:ascii="Times New Roman" w:hAnsi="Times New Roman" w:cs="Times New Roman"/>
                <w:noProof/>
                <w:sz w:val="24"/>
                <w:szCs w:val="24"/>
                <w:lang w:val="en-US"/>
              </w:rPr>
              <w:t>3.1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Reflection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_Toc237267319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22</w:t>
            </w:r>
            <w:r w:rsidRPr="00A96A39">
              <w:rPr>
                <w:rFonts w:ascii="Times New Roman" w:hAnsi="Times New Roman" w:cs="Times New Roman"/>
                <w:noProof/>
                <w:webHidden/>
                <w:sz w:val="24"/>
                <w:szCs w:val="24"/>
              </w:rPr>
              <w:fldChar w:fldCharType="end"/>
            </w:r>
          </w:hyperlink>
        </w:p>
        <w:p w14:paraId="0681D221" w14:textId="5855842B"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0" w:history="1">
            <w:r w:rsidRPr="00A96A39">
              <w:rPr>
                <w:rStyle w:val="Hyperlink"/>
                <w:rFonts w:ascii="Times New Roman" w:hAnsi="Times New Roman" w:cs="Times New Roman"/>
                <w:noProof/>
                <w:sz w:val="24"/>
                <w:szCs w:val="24"/>
                <w:lang w:val="en-US"/>
              </w:rPr>
              <w:t>3.1.1</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Description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_Toc237267320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23</w:t>
            </w:r>
            <w:r w:rsidRPr="00A96A39">
              <w:rPr>
                <w:rFonts w:ascii="Times New Roman" w:hAnsi="Times New Roman" w:cs="Times New Roman"/>
                <w:noProof/>
                <w:webHidden/>
                <w:sz w:val="24"/>
                <w:szCs w:val="24"/>
              </w:rPr>
              <w:fldChar w:fldCharType="end"/>
            </w:r>
          </w:hyperlink>
        </w:p>
        <w:p w14:paraId="3D66FE00" w14:textId="0EEA164F"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1" w:history="1">
            <w:r w:rsidRPr="00A96A39">
              <w:rPr>
                <w:rStyle w:val="Hyperlink"/>
                <w:rFonts w:ascii="Times New Roman" w:hAnsi="Times New Roman" w:cs="Times New Roman"/>
                <w:noProof/>
                <w:sz w:val="24"/>
                <w:szCs w:val="24"/>
                <w:lang w:val="en-US"/>
              </w:rPr>
              <w:t>3.1.2</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Feelings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_Toc237267321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24</w:t>
            </w:r>
            <w:r w:rsidRPr="00A96A39">
              <w:rPr>
                <w:rFonts w:ascii="Times New Roman" w:hAnsi="Times New Roman" w:cs="Times New Roman"/>
                <w:noProof/>
                <w:webHidden/>
                <w:sz w:val="24"/>
                <w:szCs w:val="24"/>
              </w:rPr>
              <w:fldChar w:fldCharType="end"/>
            </w:r>
          </w:hyperlink>
        </w:p>
        <w:p w14:paraId="332B20D0" w14:textId="44D7BDEF"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2" w:history="1">
            <w:r w:rsidRPr="00A96A39">
              <w:rPr>
                <w:rStyle w:val="Hyperlink"/>
                <w:rFonts w:ascii="Times New Roman" w:hAnsi="Times New Roman" w:cs="Times New Roman"/>
                <w:noProof/>
                <w:sz w:val="24"/>
                <w:szCs w:val="24"/>
                <w:lang w:val="en-US"/>
              </w:rPr>
              <w:t>3.1.3</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Evaluation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_Toc237267322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24</w:t>
            </w:r>
            <w:r w:rsidRPr="00A96A39">
              <w:rPr>
                <w:rFonts w:ascii="Times New Roman" w:hAnsi="Times New Roman" w:cs="Times New Roman"/>
                <w:noProof/>
                <w:webHidden/>
                <w:sz w:val="24"/>
                <w:szCs w:val="24"/>
              </w:rPr>
              <w:fldChar w:fldCharType="end"/>
            </w:r>
          </w:hyperlink>
        </w:p>
        <w:p w14:paraId="1896AB19" w14:textId="5BF9B068"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3" w:history="1">
            <w:r w:rsidRPr="00A96A39">
              <w:rPr>
                <w:rStyle w:val="Hyperlink"/>
                <w:rFonts w:ascii="Times New Roman" w:hAnsi="Times New Roman" w:cs="Times New Roman"/>
                <w:noProof/>
                <w:sz w:val="24"/>
                <w:szCs w:val="24"/>
                <w:lang w:val="en-US"/>
              </w:rPr>
              <w:t>3.1.4</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Analysis</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_Toc237267323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24</w:t>
            </w:r>
            <w:r w:rsidRPr="00A96A39">
              <w:rPr>
                <w:rFonts w:ascii="Times New Roman" w:hAnsi="Times New Roman" w:cs="Times New Roman"/>
                <w:noProof/>
                <w:webHidden/>
                <w:sz w:val="24"/>
                <w:szCs w:val="24"/>
              </w:rPr>
              <w:fldChar w:fldCharType="end"/>
            </w:r>
          </w:hyperlink>
        </w:p>
        <w:p w14:paraId="672EA842" w14:textId="32FDB234"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4" w:history="1">
            <w:r w:rsidRPr="00A96A39">
              <w:rPr>
                <w:rStyle w:val="Hyperlink"/>
                <w:rFonts w:ascii="Times New Roman" w:hAnsi="Times New Roman" w:cs="Times New Roman"/>
                <w:noProof/>
                <w:sz w:val="24"/>
                <w:szCs w:val="24"/>
                <w:lang w:val="en-US"/>
              </w:rPr>
              <w:t>3.1.5</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Conclusion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_Toc237267324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25</w:t>
            </w:r>
            <w:r w:rsidRPr="00A96A39">
              <w:rPr>
                <w:rFonts w:ascii="Times New Roman" w:hAnsi="Times New Roman" w:cs="Times New Roman"/>
                <w:noProof/>
                <w:webHidden/>
                <w:sz w:val="24"/>
                <w:szCs w:val="24"/>
              </w:rPr>
              <w:fldChar w:fldCharType="end"/>
            </w:r>
          </w:hyperlink>
        </w:p>
        <w:p w14:paraId="03F9E570" w14:textId="3F5A9120" w:rsidR="00FD3B37" w:rsidRPr="00A96A39" w:rsidRDefault="00FD3B37" w:rsidP="00FD3B37">
          <w:pPr>
            <w:pStyle w:val="TOC3"/>
            <w:tabs>
              <w:tab w:val="left" w:pos="1320"/>
              <w:tab w:val="right" w:leader="dot" w:pos="9350"/>
            </w:tabs>
            <w:spacing w:after="0" w:line="480" w:lineRule="auto"/>
            <w:contextualSpacing/>
            <w:rPr>
              <w:rFonts w:ascii="Times New Roman" w:eastAsiaTheme="minorEastAsia" w:hAnsi="Times New Roman" w:cs="Times New Roman"/>
              <w:noProof/>
              <w:kern w:val="0"/>
              <w:sz w:val="24"/>
              <w:szCs w:val="24"/>
              <w:lang w:val="en-US" w:eastAsia="en-US"/>
              <w14:ligatures w14:val="none"/>
            </w:rPr>
          </w:pPr>
          <w:hyperlink w:anchor="_Toc237267325" w:history="1">
            <w:r w:rsidRPr="00A96A39">
              <w:rPr>
                <w:rStyle w:val="Hyperlink"/>
                <w:rFonts w:ascii="Times New Roman" w:hAnsi="Times New Roman" w:cs="Times New Roman"/>
                <w:noProof/>
                <w:sz w:val="24"/>
                <w:szCs w:val="24"/>
                <w:lang w:val="en-US"/>
              </w:rPr>
              <w:t>3.1.6</w:t>
            </w:r>
            <w:r w:rsidRPr="00A96A39">
              <w:rPr>
                <w:rFonts w:ascii="Times New Roman" w:eastAsiaTheme="minorEastAsia" w:hAnsi="Times New Roman" w:cs="Times New Roman"/>
                <w:noProof/>
                <w:kern w:val="0"/>
                <w:sz w:val="24"/>
                <w:szCs w:val="24"/>
                <w:lang w:val="en-US" w:eastAsia="en-US"/>
                <w14:ligatures w14:val="none"/>
              </w:rPr>
              <w:tab/>
            </w:r>
            <w:r w:rsidRPr="00A96A39">
              <w:rPr>
                <w:rStyle w:val="Hyperlink"/>
                <w:rFonts w:ascii="Times New Roman" w:hAnsi="Times New Roman" w:cs="Times New Roman"/>
                <w:noProof/>
                <w:sz w:val="24"/>
                <w:szCs w:val="24"/>
                <w:lang w:val="en-US"/>
              </w:rPr>
              <w:t>Action Plan</w:t>
            </w:r>
            <w:r w:rsidRPr="00A96A39">
              <w:rPr>
                <w:rFonts w:ascii="Times New Roman" w:hAnsi="Times New Roman" w:cs="Times New Roman"/>
                <w:noProof/>
                <w:webHidden/>
                <w:sz w:val="24"/>
                <w:szCs w:val="24"/>
              </w:rPr>
              <w:tab/>
            </w:r>
            <w:r w:rsidRPr="00A96A39">
              <w:rPr>
                <w:rFonts w:ascii="Times New Roman" w:hAnsi="Times New Roman" w:cs="Times New Roman"/>
                <w:noProof/>
                <w:webHidden/>
                <w:sz w:val="24"/>
                <w:szCs w:val="24"/>
              </w:rPr>
              <w:fldChar w:fldCharType="begin"/>
            </w:r>
            <w:r w:rsidRPr="00A96A39">
              <w:rPr>
                <w:rFonts w:ascii="Times New Roman" w:hAnsi="Times New Roman" w:cs="Times New Roman"/>
                <w:noProof/>
                <w:webHidden/>
                <w:sz w:val="24"/>
                <w:szCs w:val="24"/>
              </w:rPr>
              <w:instrText xml:space="preserve"> PAGEREF _Toc237267325 \h </w:instrText>
            </w:r>
            <w:r w:rsidRPr="00A96A39">
              <w:rPr>
                <w:rFonts w:ascii="Times New Roman" w:hAnsi="Times New Roman" w:cs="Times New Roman"/>
                <w:noProof/>
                <w:webHidden/>
                <w:sz w:val="24"/>
                <w:szCs w:val="24"/>
              </w:rPr>
            </w:r>
            <w:r w:rsidRPr="00A96A39">
              <w:rPr>
                <w:rFonts w:ascii="Times New Roman" w:hAnsi="Times New Roman" w:cs="Times New Roman"/>
                <w:noProof/>
                <w:webHidden/>
                <w:sz w:val="24"/>
                <w:szCs w:val="24"/>
              </w:rPr>
              <w:fldChar w:fldCharType="separate"/>
            </w:r>
            <w:r w:rsidR="0089782E">
              <w:rPr>
                <w:rFonts w:ascii="Times New Roman" w:hAnsi="Times New Roman" w:cs="Times New Roman"/>
                <w:noProof/>
                <w:webHidden/>
                <w:sz w:val="24"/>
                <w:szCs w:val="24"/>
              </w:rPr>
              <w:t>25</w:t>
            </w:r>
            <w:r w:rsidRPr="00A96A39">
              <w:rPr>
                <w:rFonts w:ascii="Times New Roman" w:hAnsi="Times New Roman" w:cs="Times New Roman"/>
                <w:noProof/>
                <w:webHidden/>
                <w:sz w:val="24"/>
                <w:szCs w:val="24"/>
              </w:rPr>
              <w:fldChar w:fldCharType="end"/>
            </w:r>
          </w:hyperlink>
        </w:p>
        <w:p w14:paraId="24E3BE06" w14:textId="7FB48A35" w:rsidR="00FD3B37" w:rsidRPr="00A96A39" w:rsidRDefault="00FD3B37" w:rsidP="00FD3B37">
          <w:pPr>
            <w:pStyle w:val="TOC1"/>
            <w:spacing w:after="0" w:line="480" w:lineRule="auto"/>
            <w:contextualSpacing/>
            <w:rPr>
              <w:rFonts w:ascii="Times New Roman" w:eastAsiaTheme="minorEastAsia" w:hAnsi="Times New Roman" w:cs="Times New Roman"/>
              <w:kern w:val="0"/>
              <w:lang w:eastAsia="en-US"/>
              <w14:ligatures w14:val="none"/>
            </w:rPr>
          </w:pPr>
          <w:hyperlink w:anchor="_Toc237267326" w:history="1">
            <w:r w:rsidRPr="00A96A39">
              <w:rPr>
                <w:rStyle w:val="Hyperlink"/>
                <w:rFonts w:ascii="Times New Roman" w:hAnsi="Times New Roman" w:cs="Times New Roman"/>
              </w:rPr>
              <w:t>4</w:t>
            </w:r>
            <w:r w:rsidRPr="00A96A39">
              <w:rPr>
                <w:rFonts w:ascii="Times New Roman" w:eastAsiaTheme="minorEastAsia" w:hAnsi="Times New Roman" w:cs="Times New Roman"/>
                <w:kern w:val="0"/>
                <w:lang w:eastAsia="en-US"/>
                <w14:ligatures w14:val="none"/>
              </w:rPr>
              <w:tab/>
            </w:r>
            <w:r w:rsidRPr="00A96A39">
              <w:rPr>
                <w:rStyle w:val="Hyperlink"/>
                <w:rFonts w:ascii="Times New Roman" w:hAnsi="Times New Roman" w:cs="Times New Roman"/>
              </w:rPr>
              <w:t>References</w:t>
            </w:r>
            <w:r w:rsidRPr="00A96A39">
              <w:rPr>
                <w:rFonts w:ascii="Times New Roman" w:hAnsi="Times New Roman" w:cs="Times New Roman"/>
                <w:webHidden/>
              </w:rPr>
              <w:tab/>
            </w:r>
            <w:r w:rsidRPr="00A96A39">
              <w:rPr>
                <w:rFonts w:ascii="Times New Roman" w:hAnsi="Times New Roman" w:cs="Times New Roman"/>
                <w:webHidden/>
              </w:rPr>
              <w:fldChar w:fldCharType="begin"/>
            </w:r>
            <w:r w:rsidRPr="00A96A39">
              <w:rPr>
                <w:rFonts w:ascii="Times New Roman" w:hAnsi="Times New Roman" w:cs="Times New Roman"/>
                <w:webHidden/>
              </w:rPr>
              <w:instrText xml:space="preserve"> PAGEREF _Toc237267326 \h </w:instrText>
            </w:r>
            <w:r w:rsidRPr="00A96A39">
              <w:rPr>
                <w:rFonts w:ascii="Times New Roman" w:hAnsi="Times New Roman" w:cs="Times New Roman"/>
                <w:webHidden/>
              </w:rPr>
            </w:r>
            <w:r w:rsidRPr="00A96A39">
              <w:rPr>
                <w:rFonts w:ascii="Times New Roman" w:hAnsi="Times New Roman" w:cs="Times New Roman"/>
                <w:webHidden/>
              </w:rPr>
              <w:fldChar w:fldCharType="separate"/>
            </w:r>
            <w:r w:rsidR="0089782E">
              <w:rPr>
                <w:rFonts w:ascii="Times New Roman" w:hAnsi="Times New Roman" w:cs="Times New Roman"/>
                <w:webHidden/>
              </w:rPr>
              <w:t>26</w:t>
            </w:r>
            <w:r w:rsidRPr="00A96A39">
              <w:rPr>
                <w:rFonts w:ascii="Times New Roman" w:hAnsi="Times New Roman" w:cs="Times New Roman"/>
                <w:webHidden/>
              </w:rPr>
              <w:fldChar w:fldCharType="end"/>
            </w:r>
          </w:hyperlink>
        </w:p>
        <w:p w14:paraId="329B2673" w14:textId="446BDEBA" w:rsidR="009750D8" w:rsidRPr="00A96A39" w:rsidRDefault="009750D8" w:rsidP="00FD3B37">
          <w:pPr>
            <w:spacing w:after="0" w:line="480" w:lineRule="auto"/>
            <w:contextualSpacing/>
            <w:rPr>
              <w:rFonts w:ascii="Times New Roman" w:hAnsi="Times New Roman" w:cs="Times New Roman"/>
              <w:sz w:val="24"/>
              <w:szCs w:val="24"/>
            </w:rPr>
          </w:pPr>
          <w:r w:rsidRPr="00A96A39">
            <w:rPr>
              <w:rFonts w:ascii="Times New Roman" w:hAnsi="Times New Roman" w:cs="Times New Roman"/>
              <w:b/>
              <w:bCs/>
              <w:noProof/>
              <w:sz w:val="24"/>
              <w:szCs w:val="24"/>
            </w:rPr>
            <w:fldChar w:fldCharType="end"/>
          </w:r>
        </w:p>
      </w:sdtContent>
    </w:sdt>
    <w:p w14:paraId="00285582" w14:textId="77777777" w:rsidR="00300330" w:rsidRPr="00A96A39" w:rsidRDefault="00300330" w:rsidP="00F7701B">
      <w:pPr>
        <w:spacing w:line="360" w:lineRule="auto"/>
        <w:jc w:val="center"/>
        <w:rPr>
          <w:rFonts w:ascii="Times New Roman" w:hAnsi="Times New Roman" w:cs="Times New Roman"/>
          <w:sz w:val="28"/>
          <w:szCs w:val="28"/>
        </w:rPr>
      </w:pPr>
    </w:p>
    <w:p w14:paraId="6DC9BCB1" w14:textId="6BE0C9D5" w:rsidR="00300330" w:rsidRPr="00A96A39" w:rsidRDefault="00FD3B37" w:rsidP="00FD3B37">
      <w:pPr>
        <w:rPr>
          <w:rFonts w:ascii="Times New Roman" w:hAnsi="Times New Roman" w:cs="Times New Roman"/>
          <w:sz w:val="28"/>
          <w:szCs w:val="28"/>
        </w:rPr>
      </w:pPr>
      <w:r w:rsidRPr="00A96A39">
        <w:rPr>
          <w:rFonts w:ascii="Times New Roman" w:hAnsi="Times New Roman" w:cs="Times New Roman"/>
          <w:sz w:val="28"/>
          <w:szCs w:val="28"/>
        </w:rPr>
        <w:br w:type="page"/>
      </w:r>
    </w:p>
    <w:p w14:paraId="2B9B6F8E" w14:textId="77777777" w:rsidR="00300330" w:rsidRPr="00A96A39" w:rsidRDefault="00300330" w:rsidP="006B60E6">
      <w:pPr>
        <w:pStyle w:val="Heading1"/>
        <w:rPr>
          <w:rFonts w:cs="Times New Roman"/>
        </w:rPr>
      </w:pPr>
      <w:bookmarkStart w:id="0" w:name="_Toc237267296"/>
      <w:r w:rsidRPr="00A96A39">
        <w:rPr>
          <w:rFonts w:cs="Times New Roman"/>
        </w:rPr>
        <w:lastRenderedPageBreak/>
        <w:t>Introduction</w:t>
      </w:r>
      <w:bookmarkEnd w:id="0"/>
      <w:r w:rsidRPr="00A96A39">
        <w:rPr>
          <w:rFonts w:cs="Times New Roman"/>
        </w:rPr>
        <w:t xml:space="preserve"> </w:t>
      </w:r>
    </w:p>
    <w:p w14:paraId="5CC21D9F" w14:textId="3AE15F66" w:rsidR="009B2C7B" w:rsidRPr="00A96A39" w:rsidRDefault="006B60E6" w:rsidP="009B2C7B">
      <w:pPr>
        <w:spacing w:line="360" w:lineRule="auto"/>
        <w:rPr>
          <w:rFonts w:ascii="Times New Roman" w:hAnsi="Times New Roman" w:cs="Times New Roman"/>
          <w:sz w:val="24"/>
          <w:szCs w:val="24"/>
        </w:rPr>
      </w:pPr>
      <w:r w:rsidRPr="00A96A39">
        <w:rPr>
          <w:rFonts w:ascii="Times New Roman" w:hAnsi="Times New Roman" w:cs="Times New Roman"/>
          <w:sz w:val="24"/>
          <w:szCs w:val="24"/>
        </w:rPr>
        <w:t>With more than a hundred billion dollars in annual investment needs, Africa's infrastructure deficit is one of the most important arenas for global construction companies to expand beyond their saturated domestic markets. Kajima Corporation is a Japanese multinational construction and engineering company founded in 1840 which has established a reputation for complex, technologically advanced infrastructure across Asia, Europe, North America and Oceania, but not in Sub-Saharan Africa. Nigeria, Africa's biggest economy and most populous country, presents an interesting opportunity due to its critical infrastructure needs, growing public-private partnership model, and national development plans. The report is an international business consultant's trainee report, which critically addresses the feasibility of Kajima Corporation to enter the Nigerian market. Drawing on Bartlett and Ghoshal's transnational strategy model and Dunning's Eclectic (OLI) Paradigm, it posits that Nigeria is a strategic market entry opportunity for Kajima, provided it can succeed in mitigating associated risks and forge partnerships in Nigeria</w:t>
      </w:r>
      <w:r w:rsidR="00300330" w:rsidRPr="00A96A39">
        <w:rPr>
          <w:rFonts w:ascii="Times New Roman" w:hAnsi="Times New Roman" w:cs="Times New Roman"/>
          <w:sz w:val="24"/>
          <w:szCs w:val="24"/>
        </w:rPr>
        <w:t>.</w:t>
      </w:r>
    </w:p>
    <w:p w14:paraId="23421FB0" w14:textId="1DF74C55" w:rsidR="00917412" w:rsidRPr="00A96A39" w:rsidRDefault="006E0114" w:rsidP="009B2C7B">
      <w:pPr>
        <w:pStyle w:val="Heading1"/>
        <w:rPr>
          <w:rFonts w:cs="Times New Roman"/>
          <w:sz w:val="28"/>
          <w:szCs w:val="28"/>
        </w:rPr>
      </w:pPr>
      <w:bookmarkStart w:id="1" w:name="_Toc237267297"/>
      <w:r w:rsidRPr="00A96A39">
        <w:rPr>
          <w:rFonts w:cs="Times New Roman"/>
        </w:rPr>
        <w:t xml:space="preserve">Section </w:t>
      </w:r>
      <w:r w:rsidR="00FA1C0F" w:rsidRPr="00A96A39">
        <w:rPr>
          <w:rFonts w:cs="Times New Roman"/>
        </w:rPr>
        <w:t>1</w:t>
      </w:r>
      <w:bookmarkEnd w:id="1"/>
    </w:p>
    <w:p w14:paraId="3AC66793" w14:textId="32EAE0AA" w:rsidR="00917412" w:rsidRPr="00A96A39" w:rsidRDefault="00917412" w:rsidP="00F7701B">
      <w:pPr>
        <w:pStyle w:val="Heading2"/>
        <w:spacing w:line="360" w:lineRule="auto"/>
        <w:rPr>
          <w:rFonts w:cs="Times New Roman"/>
        </w:rPr>
      </w:pPr>
      <w:bookmarkStart w:id="2" w:name="_Toc237267298"/>
      <w:r w:rsidRPr="00A96A39">
        <w:rPr>
          <w:rFonts w:cs="Times New Roman"/>
        </w:rPr>
        <w:t>Background of Kajima Corporation</w:t>
      </w:r>
      <w:bookmarkEnd w:id="2"/>
    </w:p>
    <w:p w14:paraId="441F876B" w14:textId="68D89CD3" w:rsidR="00EE6439" w:rsidRPr="00A96A39" w:rsidRDefault="00917412"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Kajima Corporation is a long-established, large multinational construction and eng</w:t>
      </w:r>
      <w:r w:rsidR="004361E7" w:rsidRPr="00A96A39">
        <w:rPr>
          <w:rFonts w:ascii="Times New Roman" w:hAnsi="Times New Roman" w:cs="Times New Roman"/>
          <w:sz w:val="24"/>
          <w:szCs w:val="24"/>
        </w:rPr>
        <w:t xml:space="preserve">ineering firm, founded in 1840 </w:t>
      </w:r>
      <w:r w:rsidRPr="00A96A39">
        <w:rPr>
          <w:rFonts w:ascii="Times New Roman" w:hAnsi="Times New Roman" w:cs="Times New Roman"/>
          <w:sz w:val="24"/>
          <w:szCs w:val="24"/>
        </w:rPr>
        <w:t>in Tokyo, Japan. The Company works in various industries such as</w:t>
      </w:r>
      <w:r w:rsidR="004361E7" w:rsidRPr="00A96A39">
        <w:rPr>
          <w:rFonts w:ascii="Times New Roman" w:hAnsi="Times New Roman" w:cs="Times New Roman"/>
          <w:sz w:val="24"/>
          <w:szCs w:val="24"/>
        </w:rPr>
        <w:t>,</w:t>
      </w:r>
      <w:r w:rsidRPr="00A96A39">
        <w:rPr>
          <w:rFonts w:ascii="Times New Roman" w:hAnsi="Times New Roman" w:cs="Times New Roman"/>
          <w:sz w:val="24"/>
          <w:szCs w:val="24"/>
        </w:rPr>
        <w:t xml:space="preserve"> building construction, civil engineering, real estate development, infrastructure, environmental engineering, smart city development</w:t>
      </w:r>
      <w:r w:rsidR="00794863" w:rsidRPr="00A96A39">
        <w:rPr>
          <w:rFonts w:ascii="Times New Roman" w:hAnsi="Times New Roman" w:cs="Times New Roman"/>
        </w:rPr>
        <w:t xml:space="preserve"> </w:t>
      </w:r>
      <w:r w:rsidR="00794863" w:rsidRPr="00A96A39">
        <w:rPr>
          <w:rFonts w:ascii="Times New Roman" w:hAnsi="Times New Roman" w:cs="Times New Roman"/>
          <w:sz w:val="24"/>
          <w:szCs w:val="24"/>
        </w:rPr>
        <w:t>(Kajima, 2026)</w:t>
      </w:r>
      <w:r w:rsidRPr="00A96A39">
        <w:rPr>
          <w:rFonts w:ascii="Times New Roman" w:hAnsi="Times New Roman" w:cs="Times New Roman"/>
          <w:sz w:val="24"/>
          <w:szCs w:val="24"/>
        </w:rPr>
        <w:t>. Kajima has successfully extended its business reach overseas through its subsidiaries, joint ventures and project-based operations throughout Asia, Nort</w:t>
      </w:r>
      <w:r w:rsidR="00794863" w:rsidRPr="00A96A39">
        <w:rPr>
          <w:rFonts w:ascii="Times New Roman" w:hAnsi="Times New Roman" w:cs="Times New Roman"/>
          <w:sz w:val="24"/>
          <w:szCs w:val="24"/>
        </w:rPr>
        <w:t>h America, Europe and Oceania (Kajima, 2018). This has r</w:t>
      </w:r>
      <w:r w:rsidRPr="00A96A39">
        <w:rPr>
          <w:rFonts w:ascii="Times New Roman" w:hAnsi="Times New Roman" w:cs="Times New Roman"/>
          <w:sz w:val="24"/>
          <w:szCs w:val="24"/>
        </w:rPr>
        <w:t>e</w:t>
      </w:r>
      <w:r w:rsidR="00794863" w:rsidRPr="00A96A39">
        <w:rPr>
          <w:rFonts w:ascii="Times New Roman" w:hAnsi="Times New Roman" w:cs="Times New Roman"/>
          <w:sz w:val="24"/>
          <w:szCs w:val="24"/>
        </w:rPr>
        <w:t>sulted</w:t>
      </w:r>
      <w:r w:rsidRPr="00A96A39">
        <w:rPr>
          <w:rFonts w:ascii="Times New Roman" w:hAnsi="Times New Roman" w:cs="Times New Roman"/>
          <w:sz w:val="24"/>
          <w:szCs w:val="24"/>
        </w:rPr>
        <w:t xml:space="preserve"> in the completion of large-scale projects, including commercial buildings, transport infrastructure, healthcare facilities and industrial facilities</w:t>
      </w:r>
      <w:r w:rsidR="00794863" w:rsidRPr="00A96A39">
        <w:rPr>
          <w:rFonts w:ascii="Times New Roman" w:hAnsi="Times New Roman" w:cs="Times New Roman"/>
        </w:rPr>
        <w:t xml:space="preserve"> </w:t>
      </w:r>
      <w:r w:rsidR="00794863" w:rsidRPr="00A96A39">
        <w:rPr>
          <w:rFonts w:ascii="Times New Roman" w:hAnsi="Times New Roman" w:cs="Times New Roman"/>
          <w:sz w:val="24"/>
          <w:szCs w:val="24"/>
        </w:rPr>
        <w:t>(Kajima, 2018)</w:t>
      </w:r>
      <w:r w:rsidRPr="00A96A39">
        <w:rPr>
          <w:rFonts w:ascii="Times New Roman" w:hAnsi="Times New Roman" w:cs="Times New Roman"/>
          <w:sz w:val="24"/>
          <w:szCs w:val="24"/>
        </w:rPr>
        <w:t xml:space="preserve">. </w:t>
      </w:r>
      <w:r w:rsidR="004361E7" w:rsidRPr="00A96A39">
        <w:rPr>
          <w:rFonts w:ascii="Times New Roman" w:hAnsi="Times New Roman" w:cs="Times New Roman"/>
          <w:sz w:val="24"/>
          <w:szCs w:val="24"/>
        </w:rPr>
        <w:t>This report</w:t>
      </w:r>
      <w:r w:rsidRPr="00A96A39">
        <w:rPr>
          <w:rFonts w:ascii="Times New Roman" w:hAnsi="Times New Roman" w:cs="Times New Roman"/>
          <w:sz w:val="24"/>
          <w:szCs w:val="24"/>
        </w:rPr>
        <w:t xml:space="preserve"> critically illustrates the possibility of Kajima Corporation to expand into Nigeria based on the theories and frameworks of international business.</w:t>
      </w:r>
      <w:r w:rsidR="004361E7" w:rsidRPr="00A96A39">
        <w:rPr>
          <w:rFonts w:ascii="Times New Roman" w:hAnsi="Times New Roman" w:cs="Times New Roman"/>
          <w:sz w:val="24"/>
          <w:szCs w:val="24"/>
        </w:rPr>
        <w:t xml:space="preserve"> Nigeria has been chosen as the target market due to being one of the largest and fastest growing construction markets in Africa, and Kajima Corporation does not have an important operational footprint in the country.</w:t>
      </w:r>
    </w:p>
    <w:p w14:paraId="57AF5CA8" w14:textId="68256DB5" w:rsidR="006100AA" w:rsidRPr="00A96A39" w:rsidRDefault="006100AA" w:rsidP="00F7701B">
      <w:pPr>
        <w:pStyle w:val="Heading2"/>
        <w:spacing w:line="360" w:lineRule="auto"/>
        <w:rPr>
          <w:rFonts w:cs="Times New Roman"/>
        </w:rPr>
      </w:pPr>
      <w:bookmarkStart w:id="3" w:name="_Toc237267299"/>
      <w:r w:rsidRPr="00A96A39">
        <w:rPr>
          <w:rFonts w:cs="Times New Roman"/>
        </w:rPr>
        <w:lastRenderedPageBreak/>
        <w:t>Classification of the organisation and global strategy</w:t>
      </w:r>
      <w:bookmarkEnd w:id="3"/>
    </w:p>
    <w:p w14:paraId="7D828719" w14:textId="7EEEA34C" w:rsidR="006100AA" w:rsidRPr="00A96A39" w:rsidRDefault="006100AA" w:rsidP="00F7701B">
      <w:pPr>
        <w:pStyle w:val="Heading3"/>
        <w:spacing w:line="360" w:lineRule="auto"/>
        <w:rPr>
          <w:rFonts w:cs="Times New Roman"/>
        </w:rPr>
      </w:pPr>
      <w:bookmarkStart w:id="4" w:name="_Toc237267300"/>
      <w:r w:rsidRPr="00A96A39">
        <w:rPr>
          <w:rFonts w:cs="Times New Roman"/>
        </w:rPr>
        <w:t>Company Overview</w:t>
      </w:r>
      <w:bookmarkEnd w:id="4"/>
    </w:p>
    <w:p w14:paraId="1385C3C5" w14:textId="109B6350" w:rsidR="006100AA" w:rsidRPr="00A96A39" w:rsidRDefault="006100AA"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Kajima Corporation is a Japanese multinational construction and engineering business established in 1840 and main headquarters located in Tokyo, Japan</w:t>
      </w:r>
      <w:r w:rsidR="00794863" w:rsidRPr="00A96A39">
        <w:rPr>
          <w:rFonts w:ascii="Times New Roman" w:hAnsi="Times New Roman" w:cs="Times New Roman"/>
          <w:sz w:val="24"/>
          <w:szCs w:val="24"/>
        </w:rPr>
        <w:t xml:space="preserve"> (Kajima, 2026)</w:t>
      </w:r>
      <w:r w:rsidRPr="00A96A39">
        <w:rPr>
          <w:rFonts w:ascii="Times New Roman" w:hAnsi="Times New Roman" w:cs="Times New Roman"/>
          <w:sz w:val="24"/>
          <w:szCs w:val="24"/>
        </w:rPr>
        <w:t>. It is one of the top contractors in the world, specializing in civil engineering, residential and commercial building, infrastructure, real estate and environmental engineering</w:t>
      </w:r>
      <w:r w:rsidR="00794863" w:rsidRPr="00A96A39">
        <w:rPr>
          <w:rFonts w:ascii="Times New Roman" w:hAnsi="Times New Roman" w:cs="Times New Roman"/>
          <w:sz w:val="24"/>
          <w:szCs w:val="24"/>
        </w:rPr>
        <w:t xml:space="preserve"> (Kajima, 2026)</w:t>
      </w:r>
      <w:r w:rsidRPr="00A96A39">
        <w:rPr>
          <w:rFonts w:ascii="Times New Roman" w:hAnsi="Times New Roman" w:cs="Times New Roman"/>
          <w:sz w:val="24"/>
          <w:szCs w:val="24"/>
        </w:rPr>
        <w:t>. The company has global operations in Asia, Europe, North America and Oceania in the form of subsidiaries, joint ventures and strategic partnerships</w:t>
      </w:r>
      <w:r w:rsidR="00794863" w:rsidRPr="00A96A39">
        <w:rPr>
          <w:rFonts w:ascii="Times New Roman" w:hAnsi="Times New Roman" w:cs="Times New Roman"/>
          <w:sz w:val="24"/>
          <w:szCs w:val="24"/>
        </w:rPr>
        <w:t xml:space="preserve"> (Kajima, 2018)</w:t>
      </w:r>
      <w:r w:rsidRPr="00A96A39">
        <w:rPr>
          <w:rFonts w:ascii="Times New Roman" w:hAnsi="Times New Roman" w:cs="Times New Roman"/>
          <w:sz w:val="24"/>
          <w:szCs w:val="24"/>
        </w:rPr>
        <w:t>. Innovation in digital construction technologies, sustainable building practices and engineering innovation; which are all hallmarks of continuous investment in research and development; are the foundations for K</w:t>
      </w:r>
      <w:r w:rsidR="00781C6B" w:rsidRPr="00A96A39">
        <w:rPr>
          <w:rFonts w:ascii="Times New Roman" w:hAnsi="Times New Roman" w:cs="Times New Roman"/>
          <w:sz w:val="24"/>
          <w:szCs w:val="24"/>
        </w:rPr>
        <w:t>ajima's international expansion</w:t>
      </w:r>
      <w:r w:rsidRPr="00A96A39">
        <w:rPr>
          <w:rFonts w:ascii="Times New Roman" w:hAnsi="Times New Roman" w:cs="Times New Roman"/>
          <w:sz w:val="24"/>
          <w:szCs w:val="24"/>
        </w:rPr>
        <w:t>.</w:t>
      </w:r>
    </w:p>
    <w:p w14:paraId="4FC148B4" w14:textId="062195A9" w:rsidR="006100AA" w:rsidRPr="00A96A39" w:rsidRDefault="006100AA" w:rsidP="00F7701B">
      <w:pPr>
        <w:pStyle w:val="Heading3"/>
        <w:spacing w:line="360" w:lineRule="auto"/>
        <w:rPr>
          <w:rFonts w:cs="Times New Roman"/>
        </w:rPr>
      </w:pPr>
      <w:bookmarkStart w:id="5" w:name="_Toc237267301"/>
      <w:r w:rsidRPr="00A96A39">
        <w:rPr>
          <w:rFonts w:cs="Times New Roman"/>
        </w:rPr>
        <w:t>Strategic Classification Using Bartlett and Ghoshal's Model</w:t>
      </w:r>
      <w:bookmarkEnd w:id="5"/>
    </w:p>
    <w:p w14:paraId="450EF563" w14:textId="31F69411" w:rsidR="006100AA" w:rsidRPr="00A96A39" w:rsidRDefault="002A21EA"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 xml:space="preserve">Kamleshkumar (2024) </w:t>
      </w:r>
      <w:r w:rsidR="006100AA" w:rsidRPr="00A96A39">
        <w:rPr>
          <w:rFonts w:ascii="Times New Roman" w:hAnsi="Times New Roman" w:cs="Times New Roman"/>
          <w:sz w:val="24"/>
          <w:szCs w:val="24"/>
        </w:rPr>
        <w:t>typology describes the multi-nationals in three different categories, on the continuum of global integration and local responsiveness: international, multidomestic, global and transnational. Kajima has the most transnational business strategy, in that it strives to be efficient across the globe while being responsive to local market needs</w:t>
      </w:r>
      <w:r w:rsidRPr="00A96A39">
        <w:rPr>
          <w:rFonts w:ascii="Times New Roman" w:hAnsi="Times New Roman" w:cs="Times New Roman"/>
          <w:sz w:val="24"/>
          <w:szCs w:val="24"/>
        </w:rPr>
        <w:t xml:space="preserve"> (Kajima, 2021)</w:t>
      </w:r>
      <w:r w:rsidR="006100AA" w:rsidRPr="00A96A39">
        <w:rPr>
          <w:rFonts w:ascii="Times New Roman" w:hAnsi="Times New Roman" w:cs="Times New Roman"/>
          <w:sz w:val="24"/>
          <w:szCs w:val="24"/>
        </w:rPr>
        <w:t xml:space="preserve">. </w:t>
      </w:r>
      <w:r w:rsidR="00AD4F4F" w:rsidRPr="00A96A39">
        <w:rPr>
          <w:rFonts w:ascii="Times New Roman" w:hAnsi="Times New Roman" w:cs="Times New Roman"/>
          <w:sz w:val="24"/>
          <w:szCs w:val="24"/>
        </w:rPr>
        <w:t xml:space="preserve">Due to high global integration company </w:t>
      </w:r>
      <w:r w:rsidR="006100AA" w:rsidRPr="00A96A39">
        <w:rPr>
          <w:rFonts w:ascii="Times New Roman" w:hAnsi="Times New Roman" w:cs="Times New Roman"/>
          <w:sz w:val="24"/>
          <w:szCs w:val="24"/>
        </w:rPr>
        <w:t xml:space="preserve">Transfer of standardised engineering know-how, technological capacities and project management in accordance with the operational efficiency and quality to international projects. </w:t>
      </w:r>
      <w:r w:rsidR="00AD4F4F" w:rsidRPr="00A96A39">
        <w:rPr>
          <w:rFonts w:ascii="Times New Roman" w:hAnsi="Times New Roman" w:cs="Times New Roman"/>
          <w:sz w:val="24"/>
          <w:szCs w:val="24"/>
        </w:rPr>
        <w:t xml:space="preserve">Due to high pressure of local responsiveness </w:t>
      </w:r>
      <w:r w:rsidR="006100AA" w:rsidRPr="00A96A39">
        <w:rPr>
          <w:rFonts w:ascii="Times New Roman" w:hAnsi="Times New Roman" w:cs="Times New Roman"/>
          <w:sz w:val="24"/>
          <w:szCs w:val="24"/>
        </w:rPr>
        <w:t>project execution is adapted to the local regulations, environmental conditions, procurement requirements and client expectations and needs, to which it needs to react a lot locally.</w:t>
      </w:r>
    </w:p>
    <w:p w14:paraId="69E8A231" w14:textId="151572AD" w:rsidR="006100AA" w:rsidRPr="00A96A39" w:rsidRDefault="006100AA"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The transnational approach gives Kajima substantial competitive advantages in that they are able to share knowledge with partners globally, and at the same time ensure flexibility to accommodate country specific market requirements</w:t>
      </w:r>
      <w:r w:rsidR="00F7164E" w:rsidRPr="00A96A39">
        <w:rPr>
          <w:rFonts w:ascii="Times New Roman" w:hAnsi="Times New Roman" w:cs="Times New Roman"/>
          <w:sz w:val="24"/>
          <w:szCs w:val="24"/>
        </w:rPr>
        <w:t xml:space="preserve"> (Kajima, 2021)</w:t>
      </w:r>
      <w:r w:rsidRPr="00A96A39">
        <w:rPr>
          <w:rFonts w:ascii="Times New Roman" w:hAnsi="Times New Roman" w:cs="Times New Roman"/>
          <w:sz w:val="24"/>
          <w:szCs w:val="24"/>
        </w:rPr>
        <w:t>. However, the maintenance of this balance results in a complicated organisation, with the need for tight coordination between HQ, the regional subsidiaries and the project teams</w:t>
      </w:r>
      <w:r w:rsidR="00F7164E" w:rsidRPr="00A96A39">
        <w:rPr>
          <w:rFonts w:ascii="Times New Roman" w:hAnsi="Times New Roman" w:cs="Times New Roman"/>
          <w:sz w:val="24"/>
          <w:szCs w:val="24"/>
        </w:rPr>
        <w:t xml:space="preserve"> (Kamleshkumar, 2024)</w:t>
      </w:r>
      <w:r w:rsidRPr="00A96A39">
        <w:rPr>
          <w:rFonts w:ascii="Times New Roman" w:hAnsi="Times New Roman" w:cs="Times New Roman"/>
          <w:sz w:val="24"/>
          <w:szCs w:val="24"/>
        </w:rPr>
        <w:t>.</w:t>
      </w:r>
    </w:p>
    <w:p w14:paraId="4C55062D" w14:textId="6103373B" w:rsidR="0010672B" w:rsidRPr="00A96A39" w:rsidRDefault="006100AA" w:rsidP="0010672B">
      <w:pPr>
        <w:pStyle w:val="Heading3"/>
        <w:spacing w:line="360" w:lineRule="auto"/>
        <w:rPr>
          <w:rFonts w:cs="Times New Roman"/>
        </w:rPr>
      </w:pPr>
      <w:bookmarkStart w:id="6" w:name="_Toc237267302"/>
      <w:r w:rsidRPr="00A96A39">
        <w:rPr>
          <w:rFonts w:cs="Times New Roman"/>
        </w:rPr>
        <w:t>Global Configuration and Competitive Advantage</w:t>
      </w:r>
      <w:bookmarkEnd w:id="6"/>
    </w:p>
    <w:p w14:paraId="11B02267" w14:textId="0008E3FC" w:rsidR="0010672B" w:rsidRPr="00A96A39" w:rsidRDefault="0010672B" w:rsidP="0010672B">
      <w:pPr>
        <w:spacing w:line="360" w:lineRule="auto"/>
        <w:rPr>
          <w:rFonts w:ascii="Times New Roman" w:hAnsi="Times New Roman" w:cs="Times New Roman"/>
          <w:sz w:val="24"/>
          <w:szCs w:val="24"/>
        </w:rPr>
      </w:pPr>
      <w:r w:rsidRPr="00A96A39">
        <w:rPr>
          <w:rFonts w:ascii="Times New Roman" w:hAnsi="Times New Roman" w:cs="Times New Roman"/>
          <w:sz w:val="24"/>
          <w:szCs w:val="24"/>
        </w:rPr>
        <w:t xml:space="preserve">The overseas network of the company is vast, with over 100 subsidiaries in 20 countries and regions, and 50 offices abroad, apart from its domestic network (Kajima, 2026). The company </w:t>
      </w:r>
      <w:r w:rsidRPr="00A96A39">
        <w:rPr>
          <w:rFonts w:ascii="Times New Roman" w:hAnsi="Times New Roman" w:cs="Times New Roman"/>
          <w:sz w:val="24"/>
          <w:szCs w:val="24"/>
        </w:rPr>
        <w:lastRenderedPageBreak/>
        <w:t>provides its services across North America, Europe, Southeast Asia and Oceania, supported by regional headquarters which manage construction and real estate development in their markets, including Kajima U.S.A. Inc., Kajima Europe Ltd and Kajima Asia Pacific Holdings (Kajima, 2026). The footprint has been incrementally developed since the 1960s, starting in the 1980s by expanding into Europe and in the 2010s by expand</w:t>
      </w:r>
      <w:r w:rsidR="00781C6B" w:rsidRPr="00A96A39">
        <w:rPr>
          <w:rFonts w:ascii="Times New Roman" w:hAnsi="Times New Roman" w:cs="Times New Roman"/>
          <w:sz w:val="24"/>
          <w:szCs w:val="24"/>
        </w:rPr>
        <w:t>ing into Oceania (Kajima, 2026)</w:t>
      </w:r>
      <w:r w:rsidRPr="00A96A39">
        <w:rPr>
          <w:rFonts w:ascii="Times New Roman" w:hAnsi="Times New Roman" w:cs="Times New Roman"/>
          <w:sz w:val="24"/>
          <w:szCs w:val="24"/>
        </w:rPr>
        <w:t>.</w:t>
      </w:r>
    </w:p>
    <w:p w14:paraId="34E5A97E" w14:textId="7F3B2960" w:rsidR="00917412" w:rsidRPr="00A96A39" w:rsidRDefault="006100AA"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The diversification of revenue sources to both developed and emerging markets and the reduction of reliance on the Japanese construction business, through Kajima's global business footprint, is a key element of the company's competitive advantage</w:t>
      </w:r>
      <w:r w:rsidR="00806DDC" w:rsidRPr="00A96A39">
        <w:rPr>
          <w:rFonts w:ascii="Times New Roman" w:hAnsi="Times New Roman" w:cs="Times New Roman"/>
          <w:sz w:val="24"/>
          <w:szCs w:val="24"/>
        </w:rPr>
        <w:t xml:space="preserve"> (World Benchmarking Alliance, 2026)</w:t>
      </w:r>
      <w:r w:rsidRPr="00A96A39">
        <w:rPr>
          <w:rFonts w:ascii="Times New Roman" w:hAnsi="Times New Roman" w:cs="Times New Roman"/>
          <w:sz w:val="24"/>
          <w:szCs w:val="24"/>
        </w:rPr>
        <w:t>. The international operations also provide the company with opportunities to expand its client base, as well as to find specialized engineering staff, the latest technologies and strategic partners that make organizational learning more effective</w:t>
      </w:r>
      <w:r w:rsidR="00781C6B" w:rsidRPr="00A96A39">
        <w:rPr>
          <w:rFonts w:ascii="Times New Roman" w:hAnsi="Times New Roman" w:cs="Times New Roman"/>
          <w:sz w:val="24"/>
          <w:szCs w:val="24"/>
        </w:rPr>
        <w:t xml:space="preserve"> </w:t>
      </w:r>
      <w:r w:rsidR="00FE5C7E" w:rsidRPr="00A96A39">
        <w:rPr>
          <w:rFonts w:ascii="Times New Roman" w:hAnsi="Times New Roman" w:cs="Times New Roman"/>
          <w:sz w:val="24"/>
          <w:szCs w:val="24"/>
        </w:rPr>
        <w:t>(Arslan et al., 2023)</w:t>
      </w:r>
      <w:r w:rsidRPr="00A96A39">
        <w:rPr>
          <w:rFonts w:ascii="Times New Roman" w:hAnsi="Times New Roman" w:cs="Times New Roman"/>
          <w:sz w:val="24"/>
          <w:szCs w:val="24"/>
        </w:rPr>
        <w:t>. Large-scale infrastructure projects in various countries provide Kajima with new knowledge and enhance project delivery efficie</w:t>
      </w:r>
      <w:r w:rsidR="00781C6B" w:rsidRPr="00A96A39">
        <w:rPr>
          <w:rFonts w:ascii="Times New Roman" w:hAnsi="Times New Roman" w:cs="Times New Roman"/>
          <w:sz w:val="24"/>
          <w:szCs w:val="24"/>
        </w:rPr>
        <w:t>ncy in its worldwide operations</w:t>
      </w:r>
      <w:r w:rsidR="00BB0F5B" w:rsidRPr="00A96A39">
        <w:rPr>
          <w:rFonts w:ascii="Times New Roman" w:hAnsi="Times New Roman" w:cs="Times New Roman"/>
          <w:sz w:val="24"/>
          <w:szCs w:val="24"/>
        </w:rPr>
        <w:t>.</w:t>
      </w:r>
    </w:p>
    <w:p w14:paraId="067B4B60" w14:textId="6391E410" w:rsidR="00AF7A75" w:rsidRPr="00A96A39" w:rsidRDefault="00AF7A75" w:rsidP="00F7701B">
      <w:pPr>
        <w:pStyle w:val="Heading2"/>
        <w:spacing w:line="360" w:lineRule="auto"/>
        <w:rPr>
          <w:rFonts w:cs="Times New Roman"/>
          <w:lang w:val="en-US"/>
        </w:rPr>
      </w:pPr>
      <w:bookmarkStart w:id="7" w:name="_Toc237267303"/>
      <w:r w:rsidRPr="00A96A39">
        <w:rPr>
          <w:rFonts w:cs="Times New Roman"/>
          <w:lang w:val="en-US"/>
        </w:rPr>
        <w:t>Macro-Environmental Appraisal and Market Attractiveness</w:t>
      </w:r>
      <w:bookmarkEnd w:id="7"/>
    </w:p>
    <w:p w14:paraId="46C2F4EF" w14:textId="7B141759" w:rsidR="00E90F21" w:rsidRPr="00A96A39" w:rsidRDefault="00E90F21" w:rsidP="00F7701B">
      <w:pPr>
        <w:pStyle w:val="Heading3"/>
        <w:spacing w:line="360" w:lineRule="auto"/>
        <w:rPr>
          <w:rFonts w:cs="Times New Roman"/>
          <w:lang w:val="en-US"/>
        </w:rPr>
      </w:pPr>
      <w:bookmarkStart w:id="8" w:name="_Toc237267304"/>
      <w:r w:rsidRPr="00A96A39">
        <w:rPr>
          <w:rFonts w:cs="Times New Roman"/>
          <w:lang w:val="en-US"/>
        </w:rPr>
        <w:t>Host Country Analysis</w:t>
      </w:r>
      <w:bookmarkEnd w:id="8"/>
    </w:p>
    <w:p w14:paraId="430764C9" w14:textId="6EE712E6" w:rsidR="00AF7A75" w:rsidRPr="00E678AB" w:rsidRDefault="00AF7A75" w:rsidP="00F7701B">
      <w:pPr>
        <w:pStyle w:val="Heading4"/>
        <w:spacing w:line="360" w:lineRule="auto"/>
        <w:rPr>
          <w:rFonts w:cs="Times New Roman"/>
          <w:i w:val="0"/>
          <w:iCs w:val="0"/>
          <w:lang w:val="en-US"/>
        </w:rPr>
      </w:pPr>
      <w:r w:rsidRPr="00E678AB">
        <w:rPr>
          <w:rFonts w:cs="Times New Roman"/>
          <w:i w:val="0"/>
          <w:iCs w:val="0"/>
          <w:lang w:val="en-US"/>
        </w:rPr>
        <w:t>Introduction to Nigeria as the Target Market</w:t>
      </w:r>
    </w:p>
    <w:p w14:paraId="0B7843BE" w14:textId="3C5DD024" w:rsidR="00FB6B24"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is a good option to consider for Kajima Corporation because of its strong economy, fast growing population and increased need for infrastructure development. Nigeria is also the most populous country in Africa and continues to grow at a fast rate, putting enormous strain on the country's transport infrastructure, housing, health care systems, energy supplies and commercial developments</w:t>
      </w:r>
      <w:r w:rsidR="00DC4F9F" w:rsidRPr="00A96A39">
        <w:rPr>
          <w:rFonts w:ascii="Times New Roman" w:hAnsi="Times New Roman" w:cs="Times New Roman"/>
        </w:rPr>
        <w:t xml:space="preserve"> </w:t>
      </w:r>
      <w:r w:rsidR="00DC4F9F" w:rsidRPr="00A96A39">
        <w:rPr>
          <w:rFonts w:ascii="Times New Roman" w:hAnsi="Times New Roman" w:cs="Times New Roman"/>
          <w:sz w:val="24"/>
          <w:szCs w:val="24"/>
          <w:lang w:val="en-US"/>
        </w:rPr>
        <w:t>(African Development Bank Group, 2025)</w:t>
      </w:r>
      <w:r w:rsidRPr="00A96A39">
        <w:rPr>
          <w:rFonts w:ascii="Times New Roman" w:hAnsi="Times New Roman" w:cs="Times New Roman"/>
          <w:sz w:val="24"/>
          <w:szCs w:val="24"/>
          <w:lang w:val="en-US"/>
        </w:rPr>
        <w:t>. The Federal Government has focused on the improvement of infrastructure by creating national development plans and a public-private partnership (PPP) program to address the large infrastructure gap that the country faces. The conditions provide significant opportunities for established, global engineering and construction companies that can provide complex, large-scale projects.</w:t>
      </w:r>
    </w:p>
    <w:p w14:paraId="1FCB88D2" w14:textId="7CB7A87A" w:rsidR="00FB6B24" w:rsidRPr="004E692B" w:rsidRDefault="00FB6B24" w:rsidP="00F7701B">
      <w:pPr>
        <w:pStyle w:val="Heading4"/>
        <w:spacing w:line="360" w:lineRule="auto"/>
        <w:rPr>
          <w:rFonts w:cs="Times New Roman"/>
          <w:i w:val="0"/>
          <w:iCs w:val="0"/>
          <w:lang w:val="en-US"/>
        </w:rPr>
      </w:pPr>
      <w:r w:rsidRPr="004E692B">
        <w:rPr>
          <w:rFonts w:cs="Times New Roman"/>
          <w:i w:val="0"/>
          <w:iCs w:val="0"/>
          <w:lang w:val="en-US"/>
        </w:rPr>
        <w:t>Current Construction Industry</w:t>
      </w:r>
      <w:r w:rsidR="00B57D3D" w:rsidRPr="004E692B">
        <w:rPr>
          <w:rFonts w:cs="Times New Roman"/>
          <w:i w:val="0"/>
          <w:iCs w:val="0"/>
          <w:lang w:val="en-US"/>
        </w:rPr>
        <w:t xml:space="preserve"> in Nigeria</w:t>
      </w:r>
    </w:p>
    <w:p w14:paraId="5E4CADFD" w14:textId="59A2AF41" w:rsidR="00FB6B24"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The construction industry is one of the largest in Sub-Saharan Africa and is an important contributor to Nigeria's economic growth and employment. The sector includes all projects for residential, commercial, industrial and civil engineering, backed by both public and private </w:t>
      </w:r>
      <w:r w:rsidRPr="00A96A39">
        <w:rPr>
          <w:rFonts w:ascii="Times New Roman" w:hAnsi="Times New Roman" w:cs="Times New Roman"/>
          <w:sz w:val="24"/>
          <w:szCs w:val="24"/>
          <w:lang w:val="en-US"/>
        </w:rPr>
        <w:lastRenderedPageBreak/>
        <w:t>funding. Roads, railways, airports, housing and energy infrastructure have been focused on by the government to stimulate market growth and foreign investment has increased, which has created opportunities for multinational contractors</w:t>
      </w:r>
      <w:r w:rsidR="00A15618" w:rsidRPr="00A96A39">
        <w:rPr>
          <w:rFonts w:ascii="Times New Roman" w:hAnsi="Times New Roman" w:cs="Times New Roman"/>
        </w:rPr>
        <w:t xml:space="preserve"> </w:t>
      </w:r>
      <w:r w:rsidR="00A15618" w:rsidRPr="00A96A39">
        <w:rPr>
          <w:rFonts w:ascii="Times New Roman" w:hAnsi="Times New Roman" w:cs="Times New Roman"/>
          <w:sz w:val="24"/>
          <w:szCs w:val="24"/>
          <w:lang w:val="en-US"/>
        </w:rPr>
        <w:t>(African Development Bank Group, 2025)</w:t>
      </w:r>
      <w:r w:rsidR="00B87017" w:rsidRPr="00A96A39">
        <w:rPr>
          <w:rFonts w:ascii="Times New Roman" w:hAnsi="Times New Roman" w:cs="Times New Roman"/>
          <w:sz w:val="24"/>
          <w:szCs w:val="24"/>
          <w:lang w:val="en-US"/>
        </w:rPr>
        <w:t>.</w:t>
      </w:r>
      <w:r w:rsidRPr="00A96A39">
        <w:rPr>
          <w:rFonts w:ascii="Times New Roman" w:hAnsi="Times New Roman" w:cs="Times New Roman"/>
          <w:sz w:val="24"/>
          <w:szCs w:val="24"/>
          <w:lang w:val="en-US"/>
        </w:rPr>
        <w:t xml:space="preserve"> These limitations not only pose challenges for projects but also provide opportunities for technologically advanced companies like Kajima to stand out with their efficient project management and innovative construction approaches.</w:t>
      </w:r>
    </w:p>
    <w:p w14:paraId="3EBBAA9C" w14:textId="3F00C2C6" w:rsidR="00FB6B24" w:rsidRPr="00E678AB" w:rsidRDefault="00FB6B24" w:rsidP="00F7701B">
      <w:pPr>
        <w:pStyle w:val="Heading4"/>
        <w:spacing w:line="360" w:lineRule="auto"/>
        <w:rPr>
          <w:rFonts w:cs="Times New Roman"/>
          <w:i w:val="0"/>
          <w:iCs w:val="0"/>
          <w:lang w:val="en-US"/>
        </w:rPr>
      </w:pPr>
      <w:r w:rsidRPr="00E678AB">
        <w:rPr>
          <w:rFonts w:cs="Times New Roman"/>
          <w:i w:val="0"/>
          <w:iCs w:val="0"/>
          <w:lang w:val="en-US"/>
        </w:rPr>
        <w:t>Infrastructure Development Opportunities</w:t>
      </w:r>
    </w:p>
    <w:p w14:paraId="408D0B7F" w14:textId="77777777" w:rsidR="00FB6B24"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major lack of adequate infrastructure in Nigeria is a great opportunity for Kajima Corporation. Priority sectors are transportation infrastructure, housing, renewable power plants, port and airport development, and smart urban development, housing and water infrastructure. The government has increasingly adopted the PPP model and foreign direct investment, thus allowing international contractors with proven technical expertise to do well. Kajima's strengths in sustainable infrastructure, cutting-edge engineering technologies and intricate project delivery systems are well aligned with Nigeria's development needs, giving the company the opportunity to shape the nation's infrastructure, support and sustain the advancement of the sector, and secure a sustainable competitive foothold in the market.</w:t>
      </w:r>
    </w:p>
    <w:p w14:paraId="1548EC30" w14:textId="2BC0E146" w:rsidR="00B87017" w:rsidRDefault="00B87017"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However, as with any project in the infrastructure industry, indexation mechanisms are commonplace in international construction contracts, especially when the project is large and of long duration. This is a reality that is particularly pertinent when it comes to managing risk in volatile markets like Nigeria. Price escalation, commonly referred to as "indexation," is a method of adjusting the contract value based on an agreed-upon index, accounting for a change in the cost of labour, materials, and other project inputs throughout th</w:t>
      </w:r>
      <w:r w:rsidR="00512FDA" w:rsidRPr="00A96A39">
        <w:rPr>
          <w:rFonts w:ascii="Times New Roman" w:hAnsi="Times New Roman" w:cs="Times New Roman"/>
          <w:sz w:val="24"/>
          <w:szCs w:val="24"/>
          <w:lang w:val="en-US"/>
        </w:rPr>
        <w:t>e duration of a project (Ryan et al.</w:t>
      </w:r>
      <w:r w:rsidRPr="00A96A39">
        <w:rPr>
          <w:rFonts w:ascii="Times New Roman" w:hAnsi="Times New Roman" w:cs="Times New Roman"/>
          <w:sz w:val="24"/>
          <w:szCs w:val="24"/>
          <w:lang w:val="en-US"/>
        </w:rPr>
        <w:t>, 2024). Index-based clauses usually result in fewer disputes between the contractor and the client than cost-based clauses, as they have an objective and verifiable b</w:t>
      </w:r>
      <w:r w:rsidR="00512FDA" w:rsidRPr="00A96A39">
        <w:rPr>
          <w:rFonts w:ascii="Times New Roman" w:hAnsi="Times New Roman" w:cs="Times New Roman"/>
          <w:sz w:val="24"/>
          <w:szCs w:val="24"/>
          <w:lang w:val="en-US"/>
        </w:rPr>
        <w:t>asis for adjustment, per Ryan et al.</w:t>
      </w:r>
      <w:r w:rsidRPr="00A96A39">
        <w:rPr>
          <w:rFonts w:ascii="Times New Roman" w:hAnsi="Times New Roman" w:cs="Times New Roman"/>
          <w:sz w:val="24"/>
          <w:szCs w:val="24"/>
          <w:lang w:val="en-US"/>
        </w:rPr>
        <w:t xml:space="preserve"> (2024). </w:t>
      </w:r>
    </w:p>
    <w:p w14:paraId="0529C4DC" w14:textId="77777777" w:rsidR="00B43CFA" w:rsidRPr="00A96A39" w:rsidRDefault="00B43CFA" w:rsidP="00F7701B">
      <w:pPr>
        <w:spacing w:line="360" w:lineRule="auto"/>
        <w:rPr>
          <w:rFonts w:ascii="Times New Roman" w:hAnsi="Times New Roman" w:cs="Times New Roman"/>
          <w:sz w:val="24"/>
          <w:szCs w:val="24"/>
          <w:lang w:val="en-US"/>
        </w:rPr>
      </w:pPr>
    </w:p>
    <w:p w14:paraId="7DFEE565" w14:textId="1B3CEACB" w:rsidR="00FB6B24" w:rsidRPr="00A96A39" w:rsidRDefault="00FB6B24" w:rsidP="00F7701B">
      <w:pPr>
        <w:pStyle w:val="Heading3"/>
        <w:spacing w:line="360" w:lineRule="auto"/>
        <w:rPr>
          <w:rFonts w:cs="Times New Roman"/>
          <w:lang w:val="en-US"/>
        </w:rPr>
      </w:pPr>
      <w:bookmarkStart w:id="9" w:name="_Toc237267305"/>
      <w:r w:rsidRPr="00A96A39">
        <w:rPr>
          <w:rFonts w:cs="Times New Roman"/>
          <w:lang w:val="en-US"/>
        </w:rPr>
        <w:lastRenderedPageBreak/>
        <w:t>Political Environment</w:t>
      </w:r>
      <w:bookmarkEnd w:id="9"/>
    </w:p>
    <w:p w14:paraId="36B340DD" w14:textId="3DD20BF7" w:rsidR="00FB6B24" w:rsidRPr="00E678AB" w:rsidRDefault="00FB6B24" w:rsidP="00F7701B">
      <w:pPr>
        <w:pStyle w:val="Heading4"/>
        <w:spacing w:line="360" w:lineRule="auto"/>
        <w:rPr>
          <w:rFonts w:cs="Times New Roman"/>
          <w:i w:val="0"/>
          <w:iCs w:val="0"/>
          <w:lang w:val="en-US"/>
        </w:rPr>
      </w:pPr>
      <w:r w:rsidRPr="00E678AB">
        <w:rPr>
          <w:rFonts w:cs="Times New Roman"/>
          <w:i w:val="0"/>
          <w:iCs w:val="0"/>
          <w:lang w:val="en-US"/>
        </w:rPr>
        <w:t>Political Stability</w:t>
      </w:r>
    </w:p>
    <w:p w14:paraId="15CC2ACA" w14:textId="4455EEA5" w:rsidR="00FB6B24"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has a stable institutional structure for long-term investments with a relatively uninterrupted civilian government since 1999 under a democratic federalist system. The government has recognised infrastructure as a key priority so far, which has led to opportunities for multi-national construction companies</w:t>
      </w:r>
      <w:r w:rsidR="00A15618" w:rsidRPr="00A96A39">
        <w:rPr>
          <w:rFonts w:ascii="Times New Roman" w:hAnsi="Times New Roman" w:cs="Times New Roman"/>
        </w:rPr>
        <w:t xml:space="preserve"> </w:t>
      </w:r>
      <w:r w:rsidR="00A15618" w:rsidRPr="00A96A39">
        <w:rPr>
          <w:rFonts w:ascii="Times New Roman" w:hAnsi="Times New Roman" w:cs="Times New Roman"/>
          <w:sz w:val="24"/>
          <w:szCs w:val="24"/>
          <w:lang w:val="en-US"/>
        </w:rPr>
        <w:t>(Ojobo and Nimlyat, 2024)</w:t>
      </w:r>
      <w:r w:rsidRPr="00A96A39">
        <w:rPr>
          <w:rFonts w:ascii="Times New Roman" w:hAnsi="Times New Roman" w:cs="Times New Roman"/>
          <w:sz w:val="24"/>
          <w:szCs w:val="24"/>
          <w:lang w:val="en-US"/>
        </w:rPr>
        <w:t>. However, investor confidence is still being undermined by governance issues, policy changes after political changeovers, and by bureaucratic delays and regional security worries</w:t>
      </w:r>
      <w:r w:rsidR="00A15618" w:rsidRPr="00A96A39">
        <w:rPr>
          <w:rFonts w:ascii="Times New Roman" w:hAnsi="Times New Roman" w:cs="Times New Roman"/>
        </w:rPr>
        <w:t xml:space="preserve"> </w:t>
      </w:r>
      <w:r w:rsidR="00A15618" w:rsidRPr="00A96A39">
        <w:rPr>
          <w:rFonts w:ascii="Times New Roman" w:hAnsi="Times New Roman" w:cs="Times New Roman"/>
          <w:sz w:val="24"/>
          <w:szCs w:val="24"/>
          <w:lang w:val="en-US"/>
        </w:rPr>
        <w:t>(Ojobo and Nimlyat, 2024)</w:t>
      </w:r>
      <w:r w:rsidRPr="00A96A39">
        <w:rPr>
          <w:rFonts w:ascii="Times New Roman" w:hAnsi="Times New Roman" w:cs="Times New Roman"/>
          <w:sz w:val="24"/>
          <w:szCs w:val="24"/>
          <w:lang w:val="en-US"/>
        </w:rPr>
        <w:t>. Political stability, which is enough for companies like Kajima Corporation, is not sufficient enough for companies to implement projects continuously and monitor the regulatory and security affairs.</w:t>
      </w:r>
    </w:p>
    <w:p w14:paraId="54924C51" w14:textId="221A3214" w:rsidR="00FB6B24" w:rsidRPr="00E678AB" w:rsidRDefault="00FB6B24" w:rsidP="00F7701B">
      <w:pPr>
        <w:pStyle w:val="Heading4"/>
        <w:spacing w:line="360" w:lineRule="auto"/>
        <w:rPr>
          <w:rFonts w:cs="Times New Roman"/>
          <w:i w:val="0"/>
          <w:iCs w:val="0"/>
          <w:lang w:val="en-US"/>
        </w:rPr>
      </w:pPr>
      <w:r w:rsidRPr="00E678AB">
        <w:rPr>
          <w:rFonts w:cs="Times New Roman"/>
          <w:i w:val="0"/>
          <w:iCs w:val="0"/>
          <w:lang w:val="en-US"/>
        </w:rPr>
        <w:t>Government Infrastructure Policies</w:t>
      </w:r>
    </w:p>
    <w:p w14:paraId="0B869D77" w14:textId="6B955DE4" w:rsidR="00FB6B24"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To speed up the pace of infrastructure development, the Nigerian government has embarked on several programmes, such as the National Development Plan (2021-2025) which focuses on investments in transport, housing, energy, ports and urban infrastructure</w:t>
      </w:r>
      <w:r w:rsidR="00893C3D" w:rsidRPr="00A96A39">
        <w:rPr>
          <w:rFonts w:ascii="Times New Roman" w:hAnsi="Times New Roman" w:cs="Times New Roman"/>
        </w:rPr>
        <w:t xml:space="preserve"> </w:t>
      </w:r>
      <w:r w:rsidR="00893C3D" w:rsidRPr="00A96A39">
        <w:rPr>
          <w:rFonts w:ascii="Times New Roman" w:hAnsi="Times New Roman" w:cs="Times New Roman"/>
          <w:sz w:val="24"/>
          <w:szCs w:val="24"/>
          <w:lang w:val="en-US"/>
        </w:rPr>
        <w:t>(Federal Ministry of Finance, Budget and National Planning, 2021)</w:t>
      </w:r>
      <w:r w:rsidRPr="00A96A39">
        <w:rPr>
          <w:rFonts w:ascii="Times New Roman" w:hAnsi="Times New Roman" w:cs="Times New Roman"/>
          <w:sz w:val="24"/>
          <w:szCs w:val="24"/>
          <w:lang w:val="en-US"/>
        </w:rPr>
        <w:t>. Well-designed policies which promote foreign direct investment (FDI) and technology transfer are available for the use of professional international contractors. The projects are closely aligned to Kajima's experience in providing complex infrastructure projects and sustainable construction solutions.</w:t>
      </w:r>
    </w:p>
    <w:p w14:paraId="46539022" w14:textId="61FFE92D" w:rsidR="00FB6B24" w:rsidRPr="00E678AB" w:rsidRDefault="00FB6B24" w:rsidP="00F7701B">
      <w:pPr>
        <w:pStyle w:val="Heading4"/>
        <w:spacing w:line="360" w:lineRule="auto"/>
        <w:rPr>
          <w:rFonts w:cs="Times New Roman"/>
          <w:i w:val="0"/>
          <w:iCs w:val="0"/>
          <w:lang w:val="en-US"/>
        </w:rPr>
      </w:pPr>
      <w:r w:rsidRPr="00E678AB">
        <w:rPr>
          <w:rFonts w:cs="Times New Roman"/>
          <w:i w:val="0"/>
          <w:iCs w:val="0"/>
          <w:lang w:val="en-US"/>
        </w:rPr>
        <w:t>Public-Private Partnerships (PPPs)</w:t>
      </w:r>
    </w:p>
    <w:p w14:paraId="2867A777" w14:textId="3B8E75C9" w:rsidR="00AF7A75" w:rsidRPr="00A96A39" w:rsidRDefault="00FB6B24"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 the context of limited government budgets, Public-Private Partnerships are emerging as a key funding tool for infrastructure investments. The Nigeria government encourages private sector investment in the roads, railways, airports and power sector via the Infrastructure Concession Regulatory Commission (ICRC)</w:t>
      </w:r>
      <w:r w:rsidR="00170786" w:rsidRPr="00A96A39">
        <w:rPr>
          <w:rFonts w:ascii="Times New Roman" w:hAnsi="Times New Roman" w:cs="Times New Roman"/>
        </w:rPr>
        <w:t xml:space="preserve"> </w:t>
      </w:r>
      <w:r w:rsidR="00170786" w:rsidRPr="00A96A39">
        <w:rPr>
          <w:rFonts w:ascii="Times New Roman" w:hAnsi="Times New Roman" w:cs="Times New Roman"/>
          <w:sz w:val="24"/>
          <w:szCs w:val="24"/>
          <w:lang w:val="en-US"/>
        </w:rPr>
        <w:t>(Itu and  Kenigua, 2021)</w:t>
      </w:r>
      <w:r w:rsidRPr="00A96A39">
        <w:rPr>
          <w:rFonts w:ascii="Times New Roman" w:hAnsi="Times New Roman" w:cs="Times New Roman"/>
          <w:sz w:val="24"/>
          <w:szCs w:val="24"/>
          <w:lang w:val="en-US"/>
        </w:rPr>
        <w:t>. Kajima's strong background in joint ventures on international projects enables effective cooperation in PPP projects, mitigating investment risk and sharing project responsibilities with govern</w:t>
      </w:r>
      <w:r w:rsidR="00170786" w:rsidRPr="00A96A39">
        <w:rPr>
          <w:rFonts w:ascii="Times New Roman" w:hAnsi="Times New Roman" w:cs="Times New Roman"/>
          <w:sz w:val="24"/>
          <w:szCs w:val="24"/>
          <w:lang w:val="en-US"/>
        </w:rPr>
        <w:t>ment bodies and local partners</w:t>
      </w:r>
      <w:r w:rsidRPr="00A96A39">
        <w:rPr>
          <w:rFonts w:ascii="Times New Roman" w:hAnsi="Times New Roman" w:cs="Times New Roman"/>
          <w:sz w:val="24"/>
          <w:szCs w:val="24"/>
          <w:lang w:val="en-US"/>
        </w:rPr>
        <w:t>.</w:t>
      </w:r>
    </w:p>
    <w:p w14:paraId="57FB398A" w14:textId="74E551D5" w:rsidR="00170786" w:rsidRPr="00E678AB" w:rsidRDefault="00170786" w:rsidP="00F7701B">
      <w:pPr>
        <w:pStyle w:val="Caption"/>
        <w:keepNext/>
        <w:spacing w:line="360" w:lineRule="auto"/>
        <w:rPr>
          <w:rFonts w:ascii="Times New Roman" w:hAnsi="Times New Roman" w:cs="Times New Roman"/>
          <w:i w:val="0"/>
          <w:iCs w:val="0"/>
          <w:color w:val="auto"/>
          <w:sz w:val="24"/>
          <w:szCs w:val="24"/>
        </w:rPr>
      </w:pPr>
      <w:r w:rsidRPr="00E678AB">
        <w:rPr>
          <w:rFonts w:ascii="Times New Roman" w:hAnsi="Times New Roman" w:cs="Times New Roman"/>
          <w:i w:val="0"/>
          <w:iCs w:val="0"/>
          <w:color w:val="auto"/>
          <w:sz w:val="24"/>
          <w:szCs w:val="24"/>
        </w:rPr>
        <w:lastRenderedPageBreak/>
        <w:t xml:space="preserve">Table </w:t>
      </w:r>
      <w:r w:rsidRPr="00E678AB">
        <w:rPr>
          <w:rFonts w:ascii="Times New Roman" w:hAnsi="Times New Roman" w:cs="Times New Roman"/>
          <w:i w:val="0"/>
          <w:iCs w:val="0"/>
          <w:color w:val="auto"/>
          <w:sz w:val="24"/>
          <w:szCs w:val="24"/>
        </w:rPr>
        <w:fldChar w:fldCharType="begin"/>
      </w:r>
      <w:r w:rsidRPr="00E678AB">
        <w:rPr>
          <w:rFonts w:ascii="Times New Roman" w:hAnsi="Times New Roman" w:cs="Times New Roman"/>
          <w:i w:val="0"/>
          <w:iCs w:val="0"/>
          <w:color w:val="auto"/>
          <w:sz w:val="24"/>
          <w:szCs w:val="24"/>
        </w:rPr>
        <w:instrText xml:space="preserve"> SEQ Table \* ARABIC </w:instrText>
      </w:r>
      <w:r w:rsidRPr="00E678AB">
        <w:rPr>
          <w:rFonts w:ascii="Times New Roman" w:hAnsi="Times New Roman" w:cs="Times New Roman"/>
          <w:i w:val="0"/>
          <w:iCs w:val="0"/>
          <w:color w:val="auto"/>
          <w:sz w:val="24"/>
          <w:szCs w:val="24"/>
        </w:rPr>
        <w:fldChar w:fldCharType="separate"/>
      </w:r>
      <w:r w:rsidR="00465F5F" w:rsidRPr="00E678AB">
        <w:rPr>
          <w:rFonts w:ascii="Times New Roman" w:hAnsi="Times New Roman" w:cs="Times New Roman"/>
          <w:i w:val="0"/>
          <w:iCs w:val="0"/>
          <w:noProof/>
          <w:color w:val="auto"/>
          <w:sz w:val="24"/>
          <w:szCs w:val="24"/>
        </w:rPr>
        <w:t>1</w:t>
      </w:r>
      <w:r w:rsidRPr="00E678AB">
        <w:rPr>
          <w:rFonts w:ascii="Times New Roman" w:hAnsi="Times New Roman" w:cs="Times New Roman"/>
          <w:i w:val="0"/>
          <w:iCs w:val="0"/>
          <w:color w:val="auto"/>
          <w:sz w:val="24"/>
          <w:szCs w:val="24"/>
        </w:rPr>
        <w:fldChar w:fldCharType="end"/>
      </w:r>
      <w:r w:rsidRPr="00E678AB">
        <w:rPr>
          <w:rFonts w:ascii="Times New Roman" w:hAnsi="Times New Roman" w:cs="Times New Roman"/>
          <w:i w:val="0"/>
          <w:iCs w:val="0"/>
          <w:color w:val="auto"/>
          <w:sz w:val="24"/>
          <w:szCs w:val="24"/>
        </w:rPr>
        <w:t>: summary of Nigeria’s political factors opportunities, risks and strategic implication for Kajima</w:t>
      </w:r>
    </w:p>
    <w:tbl>
      <w:tblPr>
        <w:tblStyle w:val="GridTable5Dark-Accent3"/>
        <w:tblW w:w="0" w:type="auto"/>
        <w:tblLook w:val="04A0" w:firstRow="1" w:lastRow="0" w:firstColumn="1" w:lastColumn="0" w:noHBand="0" w:noVBand="1"/>
      </w:tblPr>
      <w:tblGrid>
        <w:gridCol w:w="1923"/>
        <w:gridCol w:w="2408"/>
        <w:gridCol w:w="2571"/>
        <w:gridCol w:w="2448"/>
      </w:tblGrid>
      <w:tr w:rsidR="00AF7A75" w:rsidRPr="00A96A39" w14:paraId="4B1BEBD4" w14:textId="77777777" w:rsidTr="00FB6B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140F8A" w14:textId="77777777" w:rsidR="00AF7A75" w:rsidRPr="00A96A39" w:rsidRDefault="00AF7A75" w:rsidP="00F7701B">
            <w:pPr>
              <w:spacing w:line="360" w:lineRule="auto"/>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Political Factor</w:t>
            </w:r>
          </w:p>
        </w:tc>
        <w:tc>
          <w:tcPr>
            <w:tcW w:w="0" w:type="auto"/>
            <w:hideMark/>
          </w:tcPr>
          <w:p w14:paraId="7CA4FB91"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Opportunity for Kajima</w:t>
            </w:r>
          </w:p>
        </w:tc>
        <w:tc>
          <w:tcPr>
            <w:tcW w:w="0" w:type="auto"/>
            <w:hideMark/>
          </w:tcPr>
          <w:p w14:paraId="6053F318"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Challenge/Risk</w:t>
            </w:r>
          </w:p>
        </w:tc>
        <w:tc>
          <w:tcPr>
            <w:tcW w:w="0" w:type="auto"/>
            <w:hideMark/>
          </w:tcPr>
          <w:p w14:paraId="0FA1BEA8"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Strategic Implication</w:t>
            </w:r>
          </w:p>
        </w:tc>
      </w:tr>
      <w:tr w:rsidR="00AF7A75" w:rsidRPr="00A96A39" w14:paraId="263078B8" w14:textId="77777777" w:rsidTr="00FB6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32F1B8"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Political stability</w:t>
            </w:r>
          </w:p>
        </w:tc>
        <w:tc>
          <w:tcPr>
            <w:tcW w:w="0" w:type="auto"/>
            <w:hideMark/>
          </w:tcPr>
          <w:p w14:paraId="026FE12F"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Democratic governance supports long-term infrastructure investment.</w:t>
            </w:r>
          </w:p>
        </w:tc>
        <w:tc>
          <w:tcPr>
            <w:tcW w:w="0" w:type="auto"/>
            <w:hideMark/>
          </w:tcPr>
          <w:p w14:paraId="191E8A8A"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Policy changes after elections may affect project continuity.</w:t>
            </w:r>
          </w:p>
        </w:tc>
        <w:tc>
          <w:tcPr>
            <w:tcW w:w="0" w:type="auto"/>
            <w:hideMark/>
          </w:tcPr>
          <w:p w14:paraId="43B58808"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Adopt a flexible long-term investment strategy.</w:t>
            </w:r>
          </w:p>
        </w:tc>
      </w:tr>
      <w:tr w:rsidR="00AF7A75" w:rsidRPr="00A96A39" w14:paraId="23F227DF" w14:textId="77777777" w:rsidTr="00FB6B24">
        <w:tc>
          <w:tcPr>
            <w:cnfStyle w:val="001000000000" w:firstRow="0" w:lastRow="0" w:firstColumn="1" w:lastColumn="0" w:oddVBand="0" w:evenVBand="0" w:oddHBand="0" w:evenHBand="0" w:firstRowFirstColumn="0" w:firstRowLastColumn="0" w:lastRowFirstColumn="0" w:lastRowLastColumn="0"/>
            <w:tcW w:w="0" w:type="auto"/>
            <w:hideMark/>
          </w:tcPr>
          <w:p w14:paraId="2C93EE35"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Government infrastructure policies</w:t>
            </w:r>
          </w:p>
        </w:tc>
        <w:tc>
          <w:tcPr>
            <w:tcW w:w="0" w:type="auto"/>
            <w:hideMark/>
          </w:tcPr>
          <w:p w14:paraId="4226260B"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Strong government commitment to infrastructure creates substantial project opportunities.</w:t>
            </w:r>
          </w:p>
        </w:tc>
        <w:tc>
          <w:tcPr>
            <w:tcW w:w="0" w:type="auto"/>
            <w:hideMark/>
          </w:tcPr>
          <w:p w14:paraId="4C8E5614"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Implementation may be slowed by bureaucratic processes.</w:t>
            </w:r>
          </w:p>
        </w:tc>
        <w:tc>
          <w:tcPr>
            <w:tcW w:w="0" w:type="auto"/>
            <w:hideMark/>
          </w:tcPr>
          <w:p w14:paraId="0B890E31"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Align projects with national development priorities.</w:t>
            </w:r>
          </w:p>
        </w:tc>
      </w:tr>
      <w:tr w:rsidR="00AF7A75" w:rsidRPr="00A96A39" w14:paraId="7D5DE780" w14:textId="77777777" w:rsidTr="00FB6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F06716"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Public-Private Partnerships</w:t>
            </w:r>
          </w:p>
        </w:tc>
        <w:tc>
          <w:tcPr>
            <w:tcW w:w="0" w:type="auto"/>
            <w:hideMark/>
          </w:tcPr>
          <w:p w14:paraId="70AF7EFF"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PPPs reduce capital requirements and facilitate local market access.</w:t>
            </w:r>
          </w:p>
        </w:tc>
        <w:tc>
          <w:tcPr>
            <w:tcW w:w="0" w:type="auto"/>
            <w:hideMark/>
          </w:tcPr>
          <w:p w14:paraId="17A7EBD5"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Dependence on government agencies may delay approvals.</w:t>
            </w:r>
          </w:p>
        </w:tc>
        <w:tc>
          <w:tcPr>
            <w:tcW w:w="0" w:type="auto"/>
            <w:hideMark/>
          </w:tcPr>
          <w:p w14:paraId="200F1323"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Enter through strategic partnerships or joint ventures.</w:t>
            </w:r>
          </w:p>
        </w:tc>
      </w:tr>
      <w:tr w:rsidR="00AF7A75" w:rsidRPr="00A96A39" w14:paraId="70A43EB3" w14:textId="77777777" w:rsidTr="00FB6B24">
        <w:tc>
          <w:tcPr>
            <w:cnfStyle w:val="001000000000" w:firstRow="0" w:lastRow="0" w:firstColumn="1" w:lastColumn="0" w:oddVBand="0" w:evenVBand="0" w:oddHBand="0" w:evenHBand="0" w:firstRowFirstColumn="0" w:firstRowLastColumn="0" w:lastRowFirstColumn="0" w:lastRowLastColumn="0"/>
            <w:tcW w:w="0" w:type="auto"/>
            <w:hideMark/>
          </w:tcPr>
          <w:p w14:paraId="168705C6"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Political risks</w:t>
            </w:r>
          </w:p>
        </w:tc>
        <w:tc>
          <w:tcPr>
            <w:tcW w:w="0" w:type="auto"/>
            <w:hideMark/>
          </w:tcPr>
          <w:p w14:paraId="54F5428A"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High infrastructure demand offers attractive returns despite uncertainty.</w:t>
            </w:r>
          </w:p>
        </w:tc>
        <w:tc>
          <w:tcPr>
            <w:tcW w:w="0" w:type="auto"/>
            <w:hideMark/>
          </w:tcPr>
          <w:p w14:paraId="60067828"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Corruption, security concerns and regulatory inconsistencies increase operational risk.</w:t>
            </w:r>
          </w:p>
        </w:tc>
        <w:tc>
          <w:tcPr>
            <w:tcW w:w="0" w:type="auto"/>
            <w:hideMark/>
          </w:tcPr>
          <w:p w14:paraId="733C7011"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Implement comprehensive risk management and engage experienced local partners.</w:t>
            </w:r>
          </w:p>
        </w:tc>
      </w:tr>
    </w:tbl>
    <w:p w14:paraId="10A8682C" w14:textId="77777777" w:rsidR="006100AA" w:rsidRPr="00A96A39" w:rsidRDefault="006100AA" w:rsidP="00F7701B">
      <w:pPr>
        <w:spacing w:line="360" w:lineRule="auto"/>
        <w:rPr>
          <w:rFonts w:ascii="Times New Roman" w:hAnsi="Times New Roman" w:cs="Times New Roman"/>
          <w:sz w:val="24"/>
          <w:szCs w:val="24"/>
        </w:rPr>
      </w:pPr>
    </w:p>
    <w:p w14:paraId="51850578" w14:textId="2CECC487" w:rsidR="00AF7A75" w:rsidRPr="00A96A39" w:rsidRDefault="00AF7A75" w:rsidP="00F7701B">
      <w:pPr>
        <w:pStyle w:val="Heading3"/>
        <w:spacing w:line="360" w:lineRule="auto"/>
        <w:rPr>
          <w:rFonts w:cs="Times New Roman"/>
          <w:lang w:val="en-US"/>
        </w:rPr>
      </w:pPr>
      <w:bookmarkStart w:id="10" w:name="_Toc237267306"/>
      <w:r w:rsidRPr="00A96A39">
        <w:rPr>
          <w:rFonts w:cs="Times New Roman"/>
          <w:lang w:val="en-US"/>
        </w:rPr>
        <w:t>Economic Environment</w:t>
      </w:r>
      <w:bookmarkEnd w:id="10"/>
    </w:p>
    <w:p w14:paraId="772FBBA2" w14:textId="123C38DA" w:rsidR="00AF7A75" w:rsidRPr="00E678AB" w:rsidRDefault="00AF7A75" w:rsidP="00F7701B">
      <w:pPr>
        <w:pStyle w:val="Heading4"/>
        <w:spacing w:line="360" w:lineRule="auto"/>
        <w:rPr>
          <w:rFonts w:cs="Times New Roman"/>
          <w:i w:val="0"/>
          <w:iCs w:val="0"/>
          <w:lang w:val="en-US"/>
        </w:rPr>
      </w:pPr>
      <w:r w:rsidRPr="00E678AB">
        <w:rPr>
          <w:rFonts w:cs="Times New Roman"/>
          <w:i w:val="0"/>
          <w:iCs w:val="0"/>
          <w:lang w:val="en-US"/>
        </w:rPr>
        <w:t>GDP Growth</w:t>
      </w:r>
    </w:p>
    <w:p w14:paraId="672A1FC8" w14:textId="3584F457" w:rsidR="00004601"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is Africa's biggest economy, with a diverse base of oil and gas, agriculture, telecommunications and financial services. The steady recovery of GDP growth since the economic shocks have been achieved through government reforms, a performance improvement of non-oil sectors and infrastructure investment</w:t>
      </w:r>
      <w:r w:rsidR="00170786" w:rsidRPr="00A96A39">
        <w:rPr>
          <w:rFonts w:ascii="Times New Roman" w:hAnsi="Times New Roman" w:cs="Times New Roman"/>
        </w:rPr>
        <w:t xml:space="preserve"> </w:t>
      </w:r>
      <w:r w:rsidR="00170786" w:rsidRPr="00A96A39">
        <w:rPr>
          <w:rFonts w:ascii="Times New Roman" w:hAnsi="Times New Roman" w:cs="Times New Roman"/>
          <w:sz w:val="24"/>
          <w:szCs w:val="24"/>
          <w:lang w:val="en-US"/>
        </w:rPr>
        <w:t>(Okegbemi, 2024)</w:t>
      </w:r>
      <w:r w:rsidRPr="00A96A39">
        <w:rPr>
          <w:rFonts w:ascii="Times New Roman" w:hAnsi="Times New Roman" w:cs="Times New Roman"/>
          <w:sz w:val="24"/>
          <w:szCs w:val="24"/>
          <w:lang w:val="en-US"/>
        </w:rPr>
        <w:t xml:space="preserve">. Long-term opportunities will </w:t>
      </w:r>
      <w:r w:rsidRPr="00A96A39">
        <w:rPr>
          <w:rFonts w:ascii="Times New Roman" w:hAnsi="Times New Roman" w:cs="Times New Roman"/>
          <w:sz w:val="24"/>
          <w:szCs w:val="24"/>
          <w:lang w:val="en-US"/>
        </w:rPr>
        <w:lastRenderedPageBreak/>
        <w:t>be provided for multinational companies like Kajima by continued growth and urbanisation, which will drive the need for residential, commercial and transport infrastructure.</w:t>
      </w:r>
    </w:p>
    <w:p w14:paraId="5612284D" w14:textId="2B5DB373" w:rsidR="00004601" w:rsidRPr="00E678AB" w:rsidRDefault="00004601" w:rsidP="00F7701B">
      <w:pPr>
        <w:pStyle w:val="Heading4"/>
        <w:spacing w:line="360" w:lineRule="auto"/>
        <w:rPr>
          <w:rFonts w:cs="Times New Roman"/>
          <w:i w:val="0"/>
          <w:iCs w:val="0"/>
          <w:lang w:val="en-US"/>
        </w:rPr>
      </w:pPr>
      <w:r w:rsidRPr="00E678AB">
        <w:rPr>
          <w:rFonts w:cs="Times New Roman"/>
          <w:i w:val="0"/>
          <w:iCs w:val="0"/>
          <w:lang w:val="en-US"/>
        </w:rPr>
        <w:t>Inflation and Exchange Rate</w:t>
      </w:r>
    </w:p>
    <w:p w14:paraId="11A0FA5A" w14:textId="19C308F5" w:rsidR="00004601" w:rsidRPr="00A96A39" w:rsidRDefault="004253B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Some of the biggest macroeconomic risks for foreign investors in Nigeria's construction industry are high inflation and exchange rate volatility. The financial sustainability of long-duration infrastructure contracts can be severely impacted by rising costs of imported materials, equipment and machinery, volatile exchange rates and high borrowing rates (Bala et al., 2025). The currency depreciation risk is two-fold for foreign companies like Kajima: it makes imported construction materials more expensive in local currency and local profits less in foreign currency, thus affecting both sides of a project, both cost and revenue (Bala et al., 2025). These pressures are exacerbated where contracts are in local currency but the percentag</w:t>
      </w:r>
      <w:r w:rsidR="00781C6B" w:rsidRPr="00A96A39">
        <w:rPr>
          <w:rFonts w:ascii="Times New Roman" w:hAnsi="Times New Roman" w:cs="Times New Roman"/>
          <w:sz w:val="24"/>
          <w:szCs w:val="24"/>
          <w:lang w:val="en-US"/>
        </w:rPr>
        <w:t>e of inputs comes from overseas</w:t>
      </w:r>
      <w:r w:rsidRPr="00A96A39">
        <w:rPr>
          <w:rFonts w:ascii="Times New Roman" w:hAnsi="Times New Roman" w:cs="Times New Roman"/>
          <w:sz w:val="24"/>
          <w:szCs w:val="24"/>
          <w:lang w:val="en-US"/>
        </w:rPr>
        <w:t>.</w:t>
      </w:r>
    </w:p>
    <w:p w14:paraId="67B10325" w14:textId="44BA1BB8" w:rsidR="00004601" w:rsidRPr="00E678AB" w:rsidRDefault="00004601" w:rsidP="00F7701B">
      <w:pPr>
        <w:pStyle w:val="Heading4"/>
        <w:spacing w:line="360" w:lineRule="auto"/>
        <w:rPr>
          <w:rFonts w:cs="Times New Roman"/>
          <w:i w:val="0"/>
          <w:iCs w:val="0"/>
          <w:lang w:val="en-US"/>
        </w:rPr>
      </w:pPr>
      <w:r w:rsidRPr="00E678AB">
        <w:rPr>
          <w:rFonts w:cs="Times New Roman"/>
          <w:i w:val="0"/>
          <w:iCs w:val="0"/>
          <w:lang w:val="en-US"/>
        </w:rPr>
        <w:t>Foreign Direct Investment</w:t>
      </w:r>
    </w:p>
    <w:p w14:paraId="0CD281FA" w14:textId="2F904328" w:rsidR="00004601"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retains attraction of foreign direct investment, mainly in infrastructure, manufacturing, energy and telecommunication. The recent efforts by the government to strengthen the investment climate through the regulatory framework and incentives have led to increased private sector participation</w:t>
      </w:r>
      <w:r w:rsidR="001607B1" w:rsidRPr="00A96A39">
        <w:rPr>
          <w:rFonts w:ascii="Times New Roman" w:hAnsi="Times New Roman" w:cs="Times New Roman"/>
        </w:rPr>
        <w:t xml:space="preserve"> </w:t>
      </w:r>
      <w:r w:rsidR="001607B1" w:rsidRPr="00A96A39">
        <w:rPr>
          <w:rFonts w:ascii="Times New Roman" w:hAnsi="Times New Roman" w:cs="Times New Roman"/>
          <w:sz w:val="24"/>
          <w:szCs w:val="24"/>
          <w:lang w:val="en-US"/>
        </w:rPr>
        <w:t>(ikechi et al., 2017)</w:t>
      </w:r>
      <w:r w:rsidRPr="00A96A39">
        <w:rPr>
          <w:rFonts w:ascii="Times New Roman" w:hAnsi="Times New Roman" w:cs="Times New Roman"/>
          <w:sz w:val="24"/>
          <w:szCs w:val="24"/>
          <w:lang w:val="en-US"/>
        </w:rPr>
        <w:t>. While the inflow of FDI is volatile, international investors are still aware of Nigeria's future market potential, thanks to its attractive consumer market and infrastructure requirements.</w:t>
      </w:r>
    </w:p>
    <w:p w14:paraId="02D11E01" w14:textId="32C62CA0" w:rsidR="00004601" w:rsidRPr="00E678AB" w:rsidRDefault="00004601" w:rsidP="00F7701B">
      <w:pPr>
        <w:pStyle w:val="Heading4"/>
        <w:spacing w:line="360" w:lineRule="auto"/>
        <w:rPr>
          <w:rFonts w:cs="Times New Roman"/>
          <w:i w:val="0"/>
          <w:iCs w:val="0"/>
          <w:lang w:val="en-US"/>
        </w:rPr>
      </w:pPr>
      <w:r w:rsidRPr="00E678AB">
        <w:rPr>
          <w:rFonts w:cs="Times New Roman"/>
          <w:i w:val="0"/>
          <w:iCs w:val="0"/>
          <w:lang w:val="en-US"/>
        </w:rPr>
        <w:t>Construction Market Growth</w:t>
      </w:r>
    </w:p>
    <w:p w14:paraId="1D10592D" w14:textId="2B78B919" w:rsidR="00AF7A75"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building industry is expected to grow due to the rise in public infrastructure investment and private real estate development and PPP projects. Growth opportunities are good in the markets for highways, railways, bridges, airports and inexpensive housing. Kajima's proven ability to provide technologically sophisticated infrastructure projects puts it in a favorable position to capitalize on the growing opportunities in these markets in spite of the macroeconomic pressures at hand.</w:t>
      </w:r>
    </w:p>
    <w:p w14:paraId="6B4B3E63" w14:textId="77349070" w:rsidR="001607B1" w:rsidRPr="00E678AB" w:rsidRDefault="001607B1" w:rsidP="00F7701B">
      <w:pPr>
        <w:pStyle w:val="Caption"/>
        <w:keepNext/>
        <w:spacing w:line="360" w:lineRule="auto"/>
        <w:rPr>
          <w:rFonts w:ascii="Times New Roman" w:hAnsi="Times New Roman" w:cs="Times New Roman"/>
          <w:i w:val="0"/>
          <w:iCs w:val="0"/>
          <w:color w:val="auto"/>
          <w:sz w:val="24"/>
          <w:szCs w:val="24"/>
        </w:rPr>
      </w:pPr>
      <w:r w:rsidRPr="00E678AB">
        <w:rPr>
          <w:rFonts w:ascii="Times New Roman" w:hAnsi="Times New Roman" w:cs="Times New Roman"/>
          <w:i w:val="0"/>
          <w:iCs w:val="0"/>
          <w:color w:val="auto"/>
          <w:sz w:val="24"/>
          <w:szCs w:val="24"/>
        </w:rPr>
        <w:lastRenderedPageBreak/>
        <w:t xml:space="preserve">Table </w:t>
      </w:r>
      <w:r w:rsidRPr="00E678AB">
        <w:rPr>
          <w:rFonts w:ascii="Times New Roman" w:hAnsi="Times New Roman" w:cs="Times New Roman"/>
          <w:i w:val="0"/>
          <w:iCs w:val="0"/>
          <w:color w:val="auto"/>
          <w:sz w:val="24"/>
          <w:szCs w:val="24"/>
        </w:rPr>
        <w:fldChar w:fldCharType="begin"/>
      </w:r>
      <w:r w:rsidRPr="00E678AB">
        <w:rPr>
          <w:rFonts w:ascii="Times New Roman" w:hAnsi="Times New Roman" w:cs="Times New Roman"/>
          <w:i w:val="0"/>
          <w:iCs w:val="0"/>
          <w:color w:val="auto"/>
          <w:sz w:val="24"/>
          <w:szCs w:val="24"/>
        </w:rPr>
        <w:instrText xml:space="preserve"> SEQ Table \* ARABIC </w:instrText>
      </w:r>
      <w:r w:rsidRPr="00E678AB">
        <w:rPr>
          <w:rFonts w:ascii="Times New Roman" w:hAnsi="Times New Roman" w:cs="Times New Roman"/>
          <w:i w:val="0"/>
          <w:iCs w:val="0"/>
          <w:color w:val="auto"/>
          <w:sz w:val="24"/>
          <w:szCs w:val="24"/>
        </w:rPr>
        <w:fldChar w:fldCharType="separate"/>
      </w:r>
      <w:r w:rsidR="00465F5F" w:rsidRPr="00E678AB">
        <w:rPr>
          <w:rFonts w:ascii="Times New Roman" w:hAnsi="Times New Roman" w:cs="Times New Roman"/>
          <w:i w:val="0"/>
          <w:iCs w:val="0"/>
          <w:noProof/>
          <w:color w:val="auto"/>
          <w:sz w:val="24"/>
          <w:szCs w:val="24"/>
        </w:rPr>
        <w:t>2</w:t>
      </w:r>
      <w:r w:rsidRPr="00E678AB">
        <w:rPr>
          <w:rFonts w:ascii="Times New Roman" w:hAnsi="Times New Roman" w:cs="Times New Roman"/>
          <w:i w:val="0"/>
          <w:iCs w:val="0"/>
          <w:color w:val="auto"/>
          <w:sz w:val="24"/>
          <w:szCs w:val="24"/>
        </w:rPr>
        <w:fldChar w:fldCharType="end"/>
      </w:r>
      <w:r w:rsidRPr="00E678AB">
        <w:rPr>
          <w:rFonts w:ascii="Times New Roman" w:hAnsi="Times New Roman" w:cs="Times New Roman"/>
          <w:i w:val="0"/>
          <w:iCs w:val="0"/>
          <w:color w:val="auto"/>
          <w:sz w:val="24"/>
          <w:szCs w:val="24"/>
        </w:rPr>
        <w:t>: Economic Analysis</w:t>
      </w:r>
    </w:p>
    <w:tbl>
      <w:tblPr>
        <w:tblStyle w:val="PlainTable1"/>
        <w:tblW w:w="0" w:type="auto"/>
        <w:tblLook w:val="04A0" w:firstRow="1" w:lastRow="0" w:firstColumn="1" w:lastColumn="0" w:noHBand="0" w:noVBand="1"/>
      </w:tblPr>
      <w:tblGrid>
        <w:gridCol w:w="1817"/>
        <w:gridCol w:w="2469"/>
        <w:gridCol w:w="2652"/>
        <w:gridCol w:w="2412"/>
      </w:tblGrid>
      <w:tr w:rsidR="00AF7A75" w:rsidRPr="00A96A39" w14:paraId="74DD1F22" w14:textId="77777777" w:rsidTr="00FB6B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E5CC47" w14:textId="77777777" w:rsidR="00AF7A75" w:rsidRPr="00A96A39" w:rsidRDefault="00AF7A75" w:rsidP="00F7701B">
            <w:pPr>
              <w:spacing w:line="360" w:lineRule="auto"/>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Economic Factor</w:t>
            </w:r>
          </w:p>
        </w:tc>
        <w:tc>
          <w:tcPr>
            <w:tcW w:w="0" w:type="auto"/>
            <w:hideMark/>
          </w:tcPr>
          <w:p w14:paraId="64DA833A"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Opportunity for Kajima</w:t>
            </w:r>
          </w:p>
        </w:tc>
        <w:tc>
          <w:tcPr>
            <w:tcW w:w="0" w:type="auto"/>
            <w:hideMark/>
          </w:tcPr>
          <w:p w14:paraId="2DE93431"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Challenge/Risk</w:t>
            </w:r>
          </w:p>
        </w:tc>
        <w:tc>
          <w:tcPr>
            <w:tcW w:w="0" w:type="auto"/>
            <w:hideMark/>
          </w:tcPr>
          <w:p w14:paraId="668419C2"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Strategic Implication</w:t>
            </w:r>
          </w:p>
        </w:tc>
      </w:tr>
      <w:tr w:rsidR="00AF7A75" w:rsidRPr="00A96A39" w14:paraId="5FF7ADC1" w14:textId="77777777" w:rsidTr="00FB6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005EA0"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GDP growth</w:t>
            </w:r>
          </w:p>
        </w:tc>
        <w:tc>
          <w:tcPr>
            <w:tcW w:w="0" w:type="auto"/>
            <w:hideMark/>
          </w:tcPr>
          <w:p w14:paraId="433B02F5"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Expanding economy increases infrastructure demand.</w:t>
            </w:r>
          </w:p>
        </w:tc>
        <w:tc>
          <w:tcPr>
            <w:tcW w:w="0" w:type="auto"/>
            <w:hideMark/>
          </w:tcPr>
          <w:p w14:paraId="49ED3AE2"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Growth remains vulnerable to external economic shocks.</w:t>
            </w:r>
          </w:p>
        </w:tc>
        <w:tc>
          <w:tcPr>
            <w:tcW w:w="0" w:type="auto"/>
            <w:hideMark/>
          </w:tcPr>
          <w:p w14:paraId="2CF8CDB0"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Prioritise long-term infrastructure projects.</w:t>
            </w:r>
          </w:p>
        </w:tc>
      </w:tr>
      <w:tr w:rsidR="00AF7A75" w:rsidRPr="00A96A39" w14:paraId="3477F860" w14:textId="77777777" w:rsidTr="00FB6B24">
        <w:tc>
          <w:tcPr>
            <w:cnfStyle w:val="001000000000" w:firstRow="0" w:lastRow="0" w:firstColumn="1" w:lastColumn="0" w:oddVBand="0" w:evenVBand="0" w:oddHBand="0" w:evenHBand="0" w:firstRowFirstColumn="0" w:firstRowLastColumn="0" w:lastRowFirstColumn="0" w:lastRowLastColumn="0"/>
            <w:tcW w:w="0" w:type="auto"/>
            <w:hideMark/>
          </w:tcPr>
          <w:p w14:paraId="3BD1B6A1"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Inflation and exchange rate</w:t>
            </w:r>
          </w:p>
        </w:tc>
        <w:tc>
          <w:tcPr>
            <w:tcW w:w="0" w:type="auto"/>
            <w:hideMark/>
          </w:tcPr>
          <w:p w14:paraId="77581F71"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Large domestic market supports future demand.</w:t>
            </w:r>
          </w:p>
        </w:tc>
        <w:tc>
          <w:tcPr>
            <w:tcW w:w="0" w:type="auto"/>
            <w:hideMark/>
          </w:tcPr>
          <w:p w14:paraId="0ABB33E8"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High inflation and currency volatility increase project costs.</w:t>
            </w:r>
          </w:p>
        </w:tc>
        <w:tc>
          <w:tcPr>
            <w:tcW w:w="0" w:type="auto"/>
            <w:hideMark/>
          </w:tcPr>
          <w:p w14:paraId="4AC2F684"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Apply currency hedging and local procurement strategies.</w:t>
            </w:r>
          </w:p>
        </w:tc>
      </w:tr>
      <w:tr w:rsidR="00AF7A75" w:rsidRPr="00A96A39" w14:paraId="5447CBFB" w14:textId="77777777" w:rsidTr="00FB6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804D38"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Foreign Direct Investment</w:t>
            </w:r>
          </w:p>
        </w:tc>
        <w:tc>
          <w:tcPr>
            <w:tcW w:w="0" w:type="auto"/>
            <w:hideMark/>
          </w:tcPr>
          <w:p w14:paraId="4A1F4F16"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Government incentives encourage foreign participation.</w:t>
            </w:r>
          </w:p>
        </w:tc>
        <w:tc>
          <w:tcPr>
            <w:tcW w:w="0" w:type="auto"/>
            <w:hideMark/>
          </w:tcPr>
          <w:p w14:paraId="2E29CEA4"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FDI inflows fluctuate with macroeconomic conditions.</w:t>
            </w:r>
          </w:p>
        </w:tc>
        <w:tc>
          <w:tcPr>
            <w:tcW w:w="0" w:type="auto"/>
            <w:hideMark/>
          </w:tcPr>
          <w:p w14:paraId="14E946A4"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Build partnerships to strengthen investor confidence.</w:t>
            </w:r>
          </w:p>
        </w:tc>
      </w:tr>
      <w:tr w:rsidR="00AF7A75" w:rsidRPr="00A96A39" w14:paraId="3474D456" w14:textId="77777777" w:rsidTr="00FB6B24">
        <w:tc>
          <w:tcPr>
            <w:cnfStyle w:val="001000000000" w:firstRow="0" w:lastRow="0" w:firstColumn="1" w:lastColumn="0" w:oddVBand="0" w:evenVBand="0" w:oddHBand="0" w:evenHBand="0" w:firstRowFirstColumn="0" w:firstRowLastColumn="0" w:lastRowFirstColumn="0" w:lastRowLastColumn="0"/>
            <w:tcW w:w="0" w:type="auto"/>
            <w:hideMark/>
          </w:tcPr>
          <w:p w14:paraId="6169442F"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Construction market growth</w:t>
            </w:r>
          </w:p>
        </w:tc>
        <w:tc>
          <w:tcPr>
            <w:tcW w:w="0" w:type="auto"/>
            <w:hideMark/>
          </w:tcPr>
          <w:p w14:paraId="1E699D69"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Rising infrastructure investment creates significant business opportunities.</w:t>
            </w:r>
          </w:p>
        </w:tc>
        <w:tc>
          <w:tcPr>
            <w:tcW w:w="0" w:type="auto"/>
            <w:hideMark/>
          </w:tcPr>
          <w:p w14:paraId="54C892EB"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Intense competition and financing constraints may affect project delivery.</w:t>
            </w:r>
          </w:p>
        </w:tc>
        <w:tc>
          <w:tcPr>
            <w:tcW w:w="0" w:type="auto"/>
            <w:hideMark/>
          </w:tcPr>
          <w:p w14:paraId="2DB9300B"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Focus on high-value infrastructure and sustainable construction projects.</w:t>
            </w:r>
          </w:p>
        </w:tc>
      </w:tr>
    </w:tbl>
    <w:p w14:paraId="0102C5E1" w14:textId="2A425F74" w:rsidR="00AF7A75" w:rsidRPr="00A96A39" w:rsidRDefault="00AF7A75" w:rsidP="00F7701B">
      <w:pPr>
        <w:spacing w:line="360" w:lineRule="auto"/>
        <w:rPr>
          <w:rFonts w:ascii="Times New Roman" w:hAnsi="Times New Roman" w:cs="Times New Roman"/>
          <w:sz w:val="24"/>
          <w:szCs w:val="24"/>
          <w:lang w:val="en-US"/>
        </w:rPr>
      </w:pPr>
    </w:p>
    <w:p w14:paraId="626E0C06" w14:textId="6EB4D453" w:rsidR="00AF7A75" w:rsidRPr="00A96A39" w:rsidRDefault="00AF7A75" w:rsidP="00F7701B">
      <w:pPr>
        <w:pStyle w:val="Heading3"/>
        <w:spacing w:line="360" w:lineRule="auto"/>
        <w:rPr>
          <w:rFonts w:cs="Times New Roman"/>
          <w:lang w:val="en-US"/>
        </w:rPr>
      </w:pPr>
      <w:bookmarkStart w:id="11" w:name="_Toc237267307"/>
      <w:r w:rsidRPr="00A96A39">
        <w:rPr>
          <w:rFonts w:cs="Times New Roman"/>
          <w:lang w:val="en-US"/>
        </w:rPr>
        <w:t>Legal and Regulatory Environment</w:t>
      </w:r>
      <w:bookmarkEnd w:id="11"/>
    </w:p>
    <w:p w14:paraId="32D0205E" w14:textId="1CA375CE" w:rsidR="00AF7A75" w:rsidRPr="00E678AB" w:rsidRDefault="00AF7A75" w:rsidP="00F7701B">
      <w:pPr>
        <w:pStyle w:val="Heading4"/>
        <w:spacing w:line="360" w:lineRule="auto"/>
        <w:rPr>
          <w:rFonts w:cs="Times New Roman"/>
          <w:i w:val="0"/>
          <w:iCs w:val="0"/>
          <w:lang w:val="en-US"/>
        </w:rPr>
      </w:pPr>
      <w:r w:rsidRPr="00E678AB">
        <w:rPr>
          <w:rFonts w:cs="Times New Roman"/>
          <w:i w:val="0"/>
          <w:iCs w:val="0"/>
          <w:lang w:val="en-US"/>
        </w:rPr>
        <w:t>Construction Regulations</w:t>
      </w:r>
    </w:p>
    <w:p w14:paraId="05487A71" w14:textId="3770F56A" w:rsidR="00004601"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construction industry in Nigeria is regulated by several laws, building codes and regulations that are in place to ensure the quality of projects, the safety of the public and protection of the environment</w:t>
      </w:r>
      <w:r w:rsidR="00AB0064" w:rsidRPr="00A96A39">
        <w:rPr>
          <w:rFonts w:ascii="Times New Roman" w:hAnsi="Times New Roman" w:cs="Times New Roman"/>
          <w:sz w:val="24"/>
          <w:szCs w:val="24"/>
          <w:lang w:val="en-US"/>
        </w:rPr>
        <w:t xml:space="preserve"> (Fadason et al., 2017)</w:t>
      </w:r>
      <w:r w:rsidRPr="00A96A39">
        <w:rPr>
          <w:rFonts w:ascii="Times New Roman" w:hAnsi="Times New Roman" w:cs="Times New Roman"/>
          <w:sz w:val="24"/>
          <w:szCs w:val="24"/>
          <w:lang w:val="en-US"/>
        </w:rPr>
        <w:t>. Foreign contractors need to meet licensing requirements, environmental impact assessments, labour regulations and health and safety standards before starting projects. Compliance is key to reduce legal issues and delays to the project.</w:t>
      </w:r>
    </w:p>
    <w:p w14:paraId="488DF99F" w14:textId="7E463F9F" w:rsidR="00004601" w:rsidRPr="00E678AB" w:rsidRDefault="00004601" w:rsidP="00F7701B">
      <w:pPr>
        <w:pStyle w:val="Heading4"/>
        <w:spacing w:line="360" w:lineRule="auto"/>
        <w:rPr>
          <w:rFonts w:cs="Times New Roman"/>
          <w:i w:val="0"/>
          <w:iCs w:val="0"/>
          <w:lang w:val="en-US"/>
        </w:rPr>
      </w:pPr>
      <w:r w:rsidRPr="00E678AB">
        <w:rPr>
          <w:rFonts w:cs="Times New Roman"/>
          <w:i w:val="0"/>
          <w:iCs w:val="0"/>
          <w:lang w:val="en-US"/>
        </w:rPr>
        <w:t>Foreign Investment Policies</w:t>
      </w:r>
    </w:p>
    <w:p w14:paraId="09AE27ED" w14:textId="151B8420" w:rsidR="00004601"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Nigerian Investment Promotion Commission (NIPC) is promoting foreign investment through 100 per cent foreign ownership of most industries and legal protection for investors</w:t>
      </w:r>
      <w:r w:rsidR="00AB0064" w:rsidRPr="00A96A39">
        <w:rPr>
          <w:rFonts w:ascii="Times New Roman" w:hAnsi="Times New Roman" w:cs="Times New Roman"/>
        </w:rPr>
        <w:t xml:space="preserve"> </w:t>
      </w:r>
      <w:r w:rsidR="00AB0064" w:rsidRPr="00A96A39">
        <w:rPr>
          <w:rFonts w:ascii="Times New Roman" w:hAnsi="Times New Roman" w:cs="Times New Roman"/>
          <w:sz w:val="24"/>
          <w:szCs w:val="24"/>
          <w:lang w:val="en-US"/>
        </w:rPr>
        <w:t>(johnmartin, 2026)</w:t>
      </w:r>
      <w:r w:rsidRPr="00A96A39">
        <w:rPr>
          <w:rFonts w:ascii="Times New Roman" w:hAnsi="Times New Roman" w:cs="Times New Roman"/>
          <w:sz w:val="24"/>
          <w:szCs w:val="24"/>
          <w:lang w:val="en-US"/>
        </w:rPr>
        <w:t xml:space="preserve">. Technology transfer policies and policies that promote local content help </w:t>
      </w:r>
      <w:r w:rsidRPr="00A96A39">
        <w:rPr>
          <w:rFonts w:ascii="Times New Roman" w:hAnsi="Times New Roman" w:cs="Times New Roman"/>
          <w:sz w:val="24"/>
          <w:szCs w:val="24"/>
          <w:lang w:val="en-US"/>
        </w:rPr>
        <w:lastRenderedPageBreak/>
        <w:t>favour multinational construction companies, and they promote collaboration with domestic construction companies.</w:t>
      </w:r>
    </w:p>
    <w:p w14:paraId="793E566F" w14:textId="38B47701" w:rsidR="00004601" w:rsidRPr="00E678AB" w:rsidRDefault="00004601" w:rsidP="00F7701B">
      <w:pPr>
        <w:pStyle w:val="Heading4"/>
        <w:spacing w:line="360" w:lineRule="auto"/>
        <w:rPr>
          <w:rFonts w:cs="Times New Roman"/>
          <w:i w:val="0"/>
          <w:iCs w:val="0"/>
          <w:lang w:val="en-US"/>
        </w:rPr>
      </w:pPr>
      <w:r w:rsidRPr="00E678AB">
        <w:rPr>
          <w:rFonts w:cs="Times New Roman"/>
          <w:i w:val="0"/>
          <w:iCs w:val="0"/>
          <w:lang w:val="en-US"/>
        </w:rPr>
        <w:t>Procurement Laws</w:t>
      </w:r>
    </w:p>
    <w:p w14:paraId="1E1C09FE" w14:textId="22A0304A" w:rsidR="00AF7A75" w:rsidRPr="00A96A39" w:rsidRDefault="0000460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Public Procurement Act provides for transparency, competition and accountability in public procurement projects. Procurement reforms have now enhanced the governance, but the delays in the evaluation of tenders, approval of contracts and administrative processes can impact the delivery of projects</w:t>
      </w:r>
      <w:r w:rsidR="00AB0064" w:rsidRPr="00A96A39">
        <w:rPr>
          <w:rFonts w:ascii="Times New Roman" w:hAnsi="Times New Roman" w:cs="Times New Roman"/>
        </w:rPr>
        <w:t xml:space="preserve"> </w:t>
      </w:r>
      <w:r w:rsidR="00AB0064" w:rsidRPr="00A96A39">
        <w:rPr>
          <w:rFonts w:ascii="Times New Roman" w:hAnsi="Times New Roman" w:cs="Times New Roman"/>
          <w:sz w:val="24"/>
          <w:szCs w:val="24"/>
          <w:lang w:val="en-US"/>
        </w:rPr>
        <w:t>(Bala, 2021)</w:t>
      </w:r>
      <w:r w:rsidRPr="00A96A39">
        <w:rPr>
          <w:rFonts w:ascii="Times New Roman" w:hAnsi="Times New Roman" w:cs="Times New Roman"/>
          <w:sz w:val="24"/>
          <w:szCs w:val="24"/>
          <w:lang w:val="en-US"/>
        </w:rPr>
        <w:t>. Kajima would thus require an in-depth knowledge of the public procurement process and good stakeholder management.</w:t>
      </w:r>
    </w:p>
    <w:p w14:paraId="185BEBB6" w14:textId="62E02FB5" w:rsidR="00AB0064" w:rsidRPr="00A96A39" w:rsidRDefault="00AB0064" w:rsidP="00F7701B">
      <w:pPr>
        <w:pStyle w:val="Caption"/>
        <w:keepNext/>
        <w:spacing w:line="360" w:lineRule="auto"/>
        <w:rPr>
          <w:rFonts w:ascii="Times New Roman" w:hAnsi="Times New Roman" w:cs="Times New Roman"/>
          <w:i w:val="0"/>
          <w:iCs w:val="0"/>
          <w:color w:val="auto"/>
          <w:sz w:val="24"/>
          <w:szCs w:val="24"/>
        </w:rPr>
      </w:pPr>
      <w:r w:rsidRPr="00A96A39">
        <w:rPr>
          <w:rFonts w:ascii="Times New Roman" w:hAnsi="Times New Roman" w:cs="Times New Roman"/>
          <w:i w:val="0"/>
          <w:iCs w:val="0"/>
          <w:color w:val="auto"/>
          <w:sz w:val="24"/>
          <w:szCs w:val="24"/>
        </w:rPr>
        <w:t xml:space="preserve">Table </w:t>
      </w:r>
      <w:r w:rsidRPr="00A96A39">
        <w:rPr>
          <w:rFonts w:ascii="Times New Roman" w:hAnsi="Times New Roman" w:cs="Times New Roman"/>
          <w:i w:val="0"/>
          <w:iCs w:val="0"/>
          <w:color w:val="auto"/>
          <w:sz w:val="24"/>
          <w:szCs w:val="24"/>
        </w:rPr>
        <w:fldChar w:fldCharType="begin"/>
      </w:r>
      <w:r w:rsidRPr="00A96A39">
        <w:rPr>
          <w:rFonts w:ascii="Times New Roman" w:hAnsi="Times New Roman" w:cs="Times New Roman"/>
          <w:i w:val="0"/>
          <w:iCs w:val="0"/>
          <w:color w:val="auto"/>
          <w:sz w:val="24"/>
          <w:szCs w:val="24"/>
        </w:rPr>
        <w:instrText xml:space="preserve"> SEQ Table \* ARABIC </w:instrText>
      </w:r>
      <w:r w:rsidRPr="00A96A39">
        <w:rPr>
          <w:rFonts w:ascii="Times New Roman" w:hAnsi="Times New Roman" w:cs="Times New Roman"/>
          <w:i w:val="0"/>
          <w:iCs w:val="0"/>
          <w:color w:val="auto"/>
          <w:sz w:val="24"/>
          <w:szCs w:val="24"/>
        </w:rPr>
        <w:fldChar w:fldCharType="separate"/>
      </w:r>
      <w:r w:rsidR="00465F5F" w:rsidRPr="00A96A39">
        <w:rPr>
          <w:rFonts w:ascii="Times New Roman" w:hAnsi="Times New Roman" w:cs="Times New Roman"/>
          <w:i w:val="0"/>
          <w:iCs w:val="0"/>
          <w:noProof/>
          <w:color w:val="auto"/>
          <w:sz w:val="24"/>
          <w:szCs w:val="24"/>
        </w:rPr>
        <w:t>3</w:t>
      </w:r>
      <w:r w:rsidRPr="00A96A39">
        <w:rPr>
          <w:rFonts w:ascii="Times New Roman" w:hAnsi="Times New Roman" w:cs="Times New Roman"/>
          <w:i w:val="0"/>
          <w:iCs w:val="0"/>
          <w:color w:val="auto"/>
          <w:sz w:val="24"/>
          <w:szCs w:val="24"/>
        </w:rPr>
        <w:fldChar w:fldCharType="end"/>
      </w:r>
      <w:r w:rsidRPr="00A96A39">
        <w:rPr>
          <w:rFonts w:ascii="Times New Roman" w:hAnsi="Times New Roman" w:cs="Times New Roman"/>
          <w:i w:val="0"/>
          <w:iCs w:val="0"/>
          <w:color w:val="auto"/>
          <w:sz w:val="24"/>
          <w:szCs w:val="24"/>
        </w:rPr>
        <w:t>: Legal and Regulatory Analysis</w:t>
      </w:r>
    </w:p>
    <w:tbl>
      <w:tblPr>
        <w:tblStyle w:val="GridTable4-Accent3"/>
        <w:tblW w:w="0" w:type="auto"/>
        <w:tblLook w:val="04A0" w:firstRow="1" w:lastRow="0" w:firstColumn="1" w:lastColumn="0" w:noHBand="0" w:noVBand="1"/>
      </w:tblPr>
      <w:tblGrid>
        <w:gridCol w:w="1803"/>
        <w:gridCol w:w="2463"/>
        <w:gridCol w:w="2684"/>
        <w:gridCol w:w="2400"/>
      </w:tblGrid>
      <w:tr w:rsidR="00AF7A75" w:rsidRPr="00A96A39" w14:paraId="717C833E" w14:textId="77777777" w:rsidTr="00E90F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AA85A2" w14:textId="77777777" w:rsidR="00AF7A75" w:rsidRPr="00A96A39" w:rsidRDefault="00AF7A75" w:rsidP="00F7701B">
            <w:pPr>
              <w:spacing w:line="360" w:lineRule="auto"/>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Legal Factor</w:t>
            </w:r>
          </w:p>
        </w:tc>
        <w:tc>
          <w:tcPr>
            <w:tcW w:w="0" w:type="auto"/>
            <w:hideMark/>
          </w:tcPr>
          <w:p w14:paraId="32D550E0"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Opportunity for Kajima</w:t>
            </w:r>
          </w:p>
        </w:tc>
        <w:tc>
          <w:tcPr>
            <w:tcW w:w="0" w:type="auto"/>
            <w:hideMark/>
          </w:tcPr>
          <w:p w14:paraId="3C8C5D9E"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Challenge/Risk</w:t>
            </w:r>
          </w:p>
        </w:tc>
        <w:tc>
          <w:tcPr>
            <w:tcW w:w="0" w:type="auto"/>
            <w:hideMark/>
          </w:tcPr>
          <w:p w14:paraId="6FF051BC"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Strategic Implication</w:t>
            </w:r>
          </w:p>
        </w:tc>
      </w:tr>
      <w:tr w:rsidR="00AF7A75" w:rsidRPr="00A96A39" w14:paraId="555A704E"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C3DBBB"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Construction regulations</w:t>
            </w:r>
          </w:p>
        </w:tc>
        <w:tc>
          <w:tcPr>
            <w:tcW w:w="0" w:type="auto"/>
            <w:hideMark/>
          </w:tcPr>
          <w:p w14:paraId="04D178AB"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Clear regulatory standards improve project quality and safety.</w:t>
            </w:r>
          </w:p>
        </w:tc>
        <w:tc>
          <w:tcPr>
            <w:tcW w:w="0" w:type="auto"/>
            <w:hideMark/>
          </w:tcPr>
          <w:p w14:paraId="730EE287"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Complex compliance procedures may delay project commencement.</w:t>
            </w:r>
          </w:p>
        </w:tc>
        <w:tc>
          <w:tcPr>
            <w:tcW w:w="0" w:type="auto"/>
            <w:hideMark/>
          </w:tcPr>
          <w:p w14:paraId="1D154DE8"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Establish a dedicated regulatory compliance team.</w:t>
            </w:r>
          </w:p>
        </w:tc>
      </w:tr>
      <w:tr w:rsidR="00AF7A75" w:rsidRPr="00A96A39" w14:paraId="0060FEEA"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099354EE"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Foreign investment policies</w:t>
            </w:r>
          </w:p>
        </w:tc>
        <w:tc>
          <w:tcPr>
            <w:tcW w:w="0" w:type="auto"/>
            <w:hideMark/>
          </w:tcPr>
          <w:p w14:paraId="742DD3D9"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Liberal investment policies facilitate market entry.</w:t>
            </w:r>
          </w:p>
        </w:tc>
        <w:tc>
          <w:tcPr>
            <w:tcW w:w="0" w:type="auto"/>
            <w:hideMark/>
          </w:tcPr>
          <w:p w14:paraId="1D251E2D"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Local content requirements may increase operational costs.</w:t>
            </w:r>
          </w:p>
        </w:tc>
        <w:tc>
          <w:tcPr>
            <w:tcW w:w="0" w:type="auto"/>
            <w:hideMark/>
          </w:tcPr>
          <w:p w14:paraId="34035F04"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Partner with qualified Nigerian firms to satisfy regulatory expectations.</w:t>
            </w:r>
          </w:p>
        </w:tc>
      </w:tr>
      <w:tr w:rsidR="00AF7A75" w:rsidRPr="00A96A39" w14:paraId="18BB658F"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1FFE0C"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Procurement laws</w:t>
            </w:r>
          </w:p>
        </w:tc>
        <w:tc>
          <w:tcPr>
            <w:tcW w:w="0" w:type="auto"/>
            <w:hideMark/>
          </w:tcPr>
          <w:p w14:paraId="7A61DE2F"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Transparent procurement expands access to public infrastructure projects.</w:t>
            </w:r>
          </w:p>
        </w:tc>
        <w:tc>
          <w:tcPr>
            <w:tcW w:w="0" w:type="auto"/>
            <w:hideMark/>
          </w:tcPr>
          <w:p w14:paraId="1795B8C6"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Administrative delays may slow contract awards.</w:t>
            </w:r>
          </w:p>
        </w:tc>
        <w:tc>
          <w:tcPr>
            <w:tcW w:w="0" w:type="auto"/>
            <w:hideMark/>
          </w:tcPr>
          <w:p w14:paraId="65DE359B"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Strengthen government relations and tender management capabilities.</w:t>
            </w:r>
          </w:p>
        </w:tc>
      </w:tr>
      <w:tr w:rsidR="00AF7A75" w:rsidRPr="00A96A39" w14:paraId="4AA0EDD8"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6833E827"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Taxation</w:t>
            </w:r>
          </w:p>
        </w:tc>
        <w:tc>
          <w:tcPr>
            <w:tcW w:w="0" w:type="auto"/>
            <w:hideMark/>
          </w:tcPr>
          <w:p w14:paraId="2A5E0BC4"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Investment incentives can improve project returns.</w:t>
            </w:r>
          </w:p>
        </w:tc>
        <w:tc>
          <w:tcPr>
            <w:tcW w:w="0" w:type="auto"/>
            <w:hideMark/>
          </w:tcPr>
          <w:p w14:paraId="74F631BF"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Multiple taxes and compliance obligations increase administrative costs.</w:t>
            </w:r>
          </w:p>
        </w:tc>
        <w:tc>
          <w:tcPr>
            <w:tcW w:w="0" w:type="auto"/>
            <w:hideMark/>
          </w:tcPr>
          <w:p w14:paraId="23DF5A89"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Develop an efficient tax planning and compliance strategy.</w:t>
            </w:r>
          </w:p>
        </w:tc>
      </w:tr>
    </w:tbl>
    <w:p w14:paraId="52076C79" w14:textId="40250BD2" w:rsidR="00AF7A75" w:rsidRPr="00A96A39" w:rsidRDefault="00AF7A75" w:rsidP="00F7701B">
      <w:pPr>
        <w:spacing w:line="360" w:lineRule="auto"/>
        <w:rPr>
          <w:rFonts w:ascii="Times New Roman" w:hAnsi="Times New Roman" w:cs="Times New Roman"/>
          <w:sz w:val="24"/>
          <w:szCs w:val="24"/>
        </w:rPr>
      </w:pPr>
      <w:r w:rsidRPr="00A96A39">
        <w:rPr>
          <w:rFonts w:ascii="Times New Roman" w:hAnsi="Times New Roman" w:cs="Times New Roman"/>
          <w:sz w:val="24"/>
          <w:szCs w:val="24"/>
        </w:rPr>
        <w:t xml:space="preserve"> </w:t>
      </w:r>
    </w:p>
    <w:p w14:paraId="64566C92" w14:textId="5D7DD4CD" w:rsidR="00AF7A75" w:rsidRPr="00A96A39" w:rsidRDefault="00AF7A75" w:rsidP="00F7701B">
      <w:pPr>
        <w:pStyle w:val="Heading3"/>
        <w:spacing w:line="360" w:lineRule="auto"/>
        <w:rPr>
          <w:rFonts w:cs="Times New Roman"/>
          <w:lang w:val="en-US"/>
        </w:rPr>
      </w:pPr>
      <w:bookmarkStart w:id="12" w:name="_Toc237267308"/>
      <w:r w:rsidRPr="00A96A39">
        <w:rPr>
          <w:rFonts w:cs="Times New Roman"/>
          <w:lang w:val="en-US"/>
        </w:rPr>
        <w:lastRenderedPageBreak/>
        <w:t>Cultural Environment</w:t>
      </w:r>
      <w:r w:rsidR="00D84F61" w:rsidRPr="00A96A39">
        <w:rPr>
          <w:rFonts w:cs="Times New Roman"/>
          <w:lang w:val="en-US"/>
        </w:rPr>
        <w:t xml:space="preserve"> Through Hofstede’s Theory</w:t>
      </w:r>
      <w:bookmarkEnd w:id="12"/>
    </w:p>
    <w:p w14:paraId="178B277E" w14:textId="77777777" w:rsidR="00D84F61" w:rsidRPr="00A96A39" w:rsidRDefault="00D84F61" w:rsidP="00F7701B">
      <w:pPr>
        <w:keepNext/>
        <w:spacing w:line="360" w:lineRule="auto"/>
        <w:jc w:val="center"/>
        <w:rPr>
          <w:rFonts w:ascii="Times New Roman" w:hAnsi="Times New Roman" w:cs="Times New Roman"/>
        </w:rPr>
      </w:pPr>
      <w:r w:rsidRPr="00A96A39">
        <w:rPr>
          <w:rFonts w:ascii="Times New Roman" w:hAnsi="Times New Roman" w:cs="Times New Roman"/>
          <w:noProof/>
          <w:lang w:val="en-US" w:eastAsia="en-US"/>
        </w:rPr>
        <w:drawing>
          <wp:inline distT="0" distB="0" distL="0" distR="0" wp14:anchorId="76784765" wp14:editId="7F57E6C6">
            <wp:extent cx="4324350" cy="4276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24350" cy="4276725"/>
                    </a:xfrm>
                    <a:prstGeom prst="rect">
                      <a:avLst/>
                    </a:prstGeom>
                  </pic:spPr>
                </pic:pic>
              </a:graphicData>
            </a:graphic>
          </wp:inline>
        </w:drawing>
      </w:r>
    </w:p>
    <w:p w14:paraId="0B9DBEAB" w14:textId="59D3EAFA" w:rsidR="00D84F61" w:rsidRPr="00A96A39" w:rsidRDefault="00D84F61" w:rsidP="00F7701B">
      <w:pPr>
        <w:pStyle w:val="Caption"/>
        <w:spacing w:line="360" w:lineRule="auto"/>
        <w:jc w:val="center"/>
        <w:rPr>
          <w:rFonts w:ascii="Times New Roman" w:hAnsi="Times New Roman" w:cs="Times New Roman"/>
          <w:color w:val="auto"/>
          <w:sz w:val="24"/>
          <w:szCs w:val="24"/>
          <w:lang w:val="en-US"/>
        </w:rPr>
      </w:pPr>
      <w:r w:rsidRPr="00A96A39">
        <w:rPr>
          <w:rFonts w:ascii="Times New Roman" w:hAnsi="Times New Roman" w:cs="Times New Roman"/>
          <w:color w:val="auto"/>
          <w:sz w:val="24"/>
          <w:szCs w:val="24"/>
        </w:rPr>
        <w:t xml:space="preserve">Figure </w:t>
      </w:r>
      <w:r w:rsidRPr="00A96A39">
        <w:rPr>
          <w:rFonts w:ascii="Times New Roman" w:hAnsi="Times New Roman" w:cs="Times New Roman"/>
          <w:color w:val="auto"/>
          <w:sz w:val="24"/>
          <w:szCs w:val="24"/>
        </w:rPr>
        <w:fldChar w:fldCharType="begin"/>
      </w:r>
      <w:r w:rsidRPr="00A96A39">
        <w:rPr>
          <w:rFonts w:ascii="Times New Roman" w:hAnsi="Times New Roman" w:cs="Times New Roman"/>
          <w:color w:val="auto"/>
          <w:sz w:val="24"/>
          <w:szCs w:val="24"/>
        </w:rPr>
        <w:instrText xml:space="preserve"> SEQ Figure \* ARABIC </w:instrText>
      </w:r>
      <w:r w:rsidRPr="00A96A39">
        <w:rPr>
          <w:rFonts w:ascii="Times New Roman" w:hAnsi="Times New Roman" w:cs="Times New Roman"/>
          <w:color w:val="auto"/>
          <w:sz w:val="24"/>
          <w:szCs w:val="24"/>
        </w:rPr>
        <w:fldChar w:fldCharType="separate"/>
      </w:r>
      <w:r w:rsidR="00A4665A" w:rsidRPr="00A96A39">
        <w:rPr>
          <w:rFonts w:ascii="Times New Roman" w:hAnsi="Times New Roman" w:cs="Times New Roman"/>
          <w:noProof/>
          <w:color w:val="auto"/>
          <w:sz w:val="24"/>
          <w:szCs w:val="24"/>
        </w:rPr>
        <w:t>1</w:t>
      </w:r>
      <w:r w:rsidRPr="00A96A39">
        <w:rPr>
          <w:rFonts w:ascii="Times New Roman" w:hAnsi="Times New Roman" w:cs="Times New Roman"/>
          <w:color w:val="auto"/>
          <w:sz w:val="24"/>
          <w:szCs w:val="24"/>
        </w:rPr>
        <w:fldChar w:fldCharType="end"/>
      </w:r>
      <w:r w:rsidRPr="00A96A39">
        <w:rPr>
          <w:rFonts w:ascii="Times New Roman" w:hAnsi="Times New Roman" w:cs="Times New Roman"/>
          <w:color w:val="auto"/>
          <w:sz w:val="24"/>
          <w:szCs w:val="24"/>
        </w:rPr>
        <w:t>: Hofstede’s cultural dimensions</w:t>
      </w:r>
    </w:p>
    <w:p w14:paraId="7370C449" w14:textId="10BCE51F"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Nigeria's cultural environment is characterised by relatively high power distance, collectivist social values and moderate uncertainty avoidance. Decision making in organisations is greatly influenced by respect for authority, hierarchy and interpersonal rela</w:t>
      </w:r>
      <w:r w:rsidR="006F16A9" w:rsidRPr="00A96A39">
        <w:rPr>
          <w:rFonts w:ascii="Times New Roman" w:hAnsi="Times New Roman" w:cs="Times New Roman"/>
          <w:sz w:val="24"/>
          <w:szCs w:val="24"/>
          <w:lang w:val="en-US"/>
        </w:rPr>
        <w:t>tionships</w:t>
      </w:r>
      <w:r w:rsidR="00FD18E1" w:rsidRPr="00A96A39">
        <w:rPr>
          <w:rFonts w:ascii="Times New Roman" w:hAnsi="Times New Roman" w:cs="Times New Roman"/>
          <w:sz w:val="24"/>
          <w:szCs w:val="24"/>
          <w:lang w:val="en-US"/>
        </w:rPr>
        <w:t xml:space="preserve"> (Otiwa et a</w:t>
      </w:r>
      <w:r w:rsidR="001E5578" w:rsidRPr="00A96A39">
        <w:rPr>
          <w:rFonts w:ascii="Times New Roman" w:hAnsi="Times New Roman" w:cs="Times New Roman"/>
          <w:sz w:val="24"/>
          <w:szCs w:val="24"/>
          <w:lang w:val="en-US"/>
        </w:rPr>
        <w:t>L</w:t>
      </w:r>
      <w:r w:rsidR="00FD18E1" w:rsidRPr="00A96A39">
        <w:rPr>
          <w:rFonts w:ascii="Times New Roman" w:hAnsi="Times New Roman" w:cs="Times New Roman"/>
          <w:sz w:val="24"/>
          <w:szCs w:val="24"/>
          <w:lang w:val="en-US"/>
        </w:rPr>
        <w:t>., 2021)</w:t>
      </w:r>
      <w:r w:rsidR="006F16A9" w:rsidRPr="00A96A39">
        <w:rPr>
          <w:rFonts w:ascii="Times New Roman" w:hAnsi="Times New Roman" w:cs="Times New Roman"/>
          <w:sz w:val="24"/>
          <w:szCs w:val="24"/>
          <w:lang w:val="en-US"/>
        </w:rPr>
        <w:t>. Business culture in moreover, the country</w:t>
      </w:r>
      <w:r w:rsidRPr="00A96A39">
        <w:rPr>
          <w:rFonts w:ascii="Times New Roman" w:hAnsi="Times New Roman" w:cs="Times New Roman"/>
          <w:sz w:val="24"/>
          <w:szCs w:val="24"/>
          <w:lang w:val="en-US"/>
        </w:rPr>
        <w:t xml:space="preserve"> is characterised by flexibility and quick decision making, compared to the Japanese who are more consensus-driven, long term planning and precision driven</w:t>
      </w:r>
      <w:r w:rsidR="00FD18E1" w:rsidRPr="00A96A39">
        <w:rPr>
          <w:rFonts w:ascii="Times New Roman" w:hAnsi="Times New Roman" w:cs="Times New Roman"/>
          <w:sz w:val="24"/>
          <w:szCs w:val="24"/>
          <w:lang w:val="en-US"/>
        </w:rPr>
        <w:t xml:space="preserve"> </w:t>
      </w:r>
      <w:r w:rsidR="001E5578" w:rsidRPr="00A96A39">
        <w:rPr>
          <w:rFonts w:ascii="Times New Roman" w:hAnsi="Times New Roman" w:cs="Times New Roman"/>
          <w:sz w:val="24"/>
          <w:szCs w:val="24"/>
          <w:lang w:val="en-US"/>
        </w:rPr>
        <w:t>(Charles, 2022)</w:t>
      </w:r>
      <w:r w:rsidRPr="00A96A39">
        <w:rPr>
          <w:rFonts w:ascii="Times New Roman" w:hAnsi="Times New Roman" w:cs="Times New Roman"/>
          <w:sz w:val="24"/>
          <w:szCs w:val="24"/>
          <w:lang w:val="en-US"/>
        </w:rPr>
        <w:t>.</w:t>
      </w:r>
    </w:p>
    <w:p w14:paraId="48271BA8" w14:textId="01731AFA"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t>Business Culture</w:t>
      </w:r>
    </w:p>
    <w:p w14:paraId="1F5CCEAE" w14:textId="78A5C1DA"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Trust, relationship building and effective networking with government institutions, local businesses and communities are critical factors for business success in Nigeria. Relationship management is important in the successful execution of the project and face-to-face communication and long-term partnerships are highly valued</w:t>
      </w:r>
      <w:r w:rsidR="001E5578" w:rsidRPr="00A96A39">
        <w:rPr>
          <w:rFonts w:ascii="Times New Roman" w:hAnsi="Times New Roman" w:cs="Times New Roman"/>
          <w:sz w:val="24"/>
          <w:szCs w:val="24"/>
          <w:lang w:val="en-US"/>
        </w:rPr>
        <w:t xml:space="preserve"> (Charles, 2022)</w:t>
      </w:r>
      <w:r w:rsidRPr="00A96A39">
        <w:rPr>
          <w:rFonts w:ascii="Times New Roman" w:hAnsi="Times New Roman" w:cs="Times New Roman"/>
          <w:sz w:val="24"/>
          <w:szCs w:val="24"/>
          <w:lang w:val="en-US"/>
        </w:rPr>
        <w:t xml:space="preserve">. Kajima's </w:t>
      </w:r>
      <w:r w:rsidRPr="00A96A39">
        <w:rPr>
          <w:rFonts w:ascii="Times New Roman" w:hAnsi="Times New Roman" w:cs="Times New Roman"/>
          <w:sz w:val="24"/>
          <w:szCs w:val="24"/>
          <w:lang w:val="en-US"/>
        </w:rPr>
        <w:lastRenderedPageBreak/>
        <w:t>background in joint international projects equips them with a strong foundation to build sustainable business partnerships in the Nigerian market.</w:t>
      </w:r>
    </w:p>
    <w:p w14:paraId="4671AA19" w14:textId="52BEEC11"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t>Labour Relations</w:t>
      </w:r>
    </w:p>
    <w:p w14:paraId="11976677" w14:textId="7B95D224" w:rsidR="00E90F21" w:rsidRPr="00A96A39" w:rsidRDefault="00D54B9B"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Nigeria's</w:t>
      </w:r>
      <w:r w:rsidR="004E692B">
        <w:rPr>
          <w:rFonts w:ascii="Times New Roman" w:hAnsi="Times New Roman" w:cs="Times New Roman"/>
          <w:sz w:val="24"/>
          <w:szCs w:val="24"/>
          <w:lang w:val="en-US"/>
        </w:rPr>
        <w:t xml:space="preserve"> </w:t>
      </w:r>
      <w:r w:rsidRPr="00A96A39">
        <w:rPr>
          <w:rFonts w:ascii="Times New Roman" w:hAnsi="Times New Roman" w:cs="Times New Roman"/>
          <w:sz w:val="24"/>
          <w:szCs w:val="24"/>
          <w:lang w:val="en-US"/>
        </w:rPr>
        <w:t>youth population is a great opportunity for foreign construction companies in the country, who have access to a large pool of trained and semi-trained manpower that are willing to undertake large-scale infrastructure projects. This is countered by a general lack of engineering and technical expertise and the inability to find staff to perform complex and technologically challenging projects like those that Kajima is known for. Labour problems such as strikes for pay and working conditions, as well as erratic productivity and compliance with labour regulations, add to operational uncertainty and may impact project schedules (Charles, 2022). The challenges are worsened by the difference in the quality of the workforce between the stat</w:t>
      </w:r>
      <w:r w:rsidR="00781C6B" w:rsidRPr="00A96A39">
        <w:rPr>
          <w:rFonts w:ascii="Times New Roman" w:hAnsi="Times New Roman" w:cs="Times New Roman"/>
          <w:sz w:val="24"/>
          <w:szCs w:val="24"/>
          <w:lang w:val="en-US"/>
        </w:rPr>
        <w:t>es of the federation in Nigeria</w:t>
      </w:r>
      <w:r w:rsidRPr="00A96A39">
        <w:rPr>
          <w:rFonts w:ascii="Times New Roman" w:hAnsi="Times New Roman" w:cs="Times New Roman"/>
          <w:sz w:val="24"/>
          <w:szCs w:val="24"/>
          <w:lang w:val="en-US"/>
        </w:rPr>
        <w:t>.</w:t>
      </w:r>
    </w:p>
    <w:p w14:paraId="78428D7D" w14:textId="6996A182"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t>Stakeholder Management</w:t>
      </w:r>
    </w:p>
    <w:p w14:paraId="0CB025A8" w14:textId="1D55F45F" w:rsidR="00AF7A75"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Construction projects have various stakeholders among them being the government, local communities, contractors, suppliers and regulators etc. Stakeholder engagement is key to getting project approvals, minimizing conflicts and building a positive corporate image. The focus on CSR and sustainable development in the company can enhance stakeholder engagement and project adoption.</w:t>
      </w:r>
    </w:p>
    <w:p w14:paraId="43C69746" w14:textId="616C9326" w:rsidR="00465F5F" w:rsidRPr="00E678AB" w:rsidRDefault="00465F5F" w:rsidP="00F7701B">
      <w:pPr>
        <w:pStyle w:val="Caption"/>
        <w:keepNext/>
        <w:spacing w:line="360" w:lineRule="auto"/>
        <w:rPr>
          <w:rFonts w:ascii="Times New Roman" w:hAnsi="Times New Roman" w:cs="Times New Roman"/>
          <w:i w:val="0"/>
          <w:iCs w:val="0"/>
          <w:color w:val="auto"/>
          <w:sz w:val="24"/>
          <w:szCs w:val="24"/>
        </w:rPr>
      </w:pPr>
      <w:r w:rsidRPr="00E678AB">
        <w:rPr>
          <w:rFonts w:ascii="Times New Roman" w:hAnsi="Times New Roman" w:cs="Times New Roman"/>
          <w:i w:val="0"/>
          <w:iCs w:val="0"/>
          <w:color w:val="auto"/>
          <w:sz w:val="24"/>
          <w:szCs w:val="24"/>
        </w:rPr>
        <w:t xml:space="preserve">Table </w:t>
      </w:r>
      <w:r w:rsidRPr="00E678AB">
        <w:rPr>
          <w:rFonts w:ascii="Times New Roman" w:hAnsi="Times New Roman" w:cs="Times New Roman"/>
          <w:i w:val="0"/>
          <w:iCs w:val="0"/>
          <w:color w:val="auto"/>
          <w:sz w:val="24"/>
          <w:szCs w:val="24"/>
        </w:rPr>
        <w:fldChar w:fldCharType="begin"/>
      </w:r>
      <w:r w:rsidRPr="00E678AB">
        <w:rPr>
          <w:rFonts w:ascii="Times New Roman" w:hAnsi="Times New Roman" w:cs="Times New Roman"/>
          <w:i w:val="0"/>
          <w:iCs w:val="0"/>
          <w:color w:val="auto"/>
          <w:sz w:val="24"/>
          <w:szCs w:val="24"/>
        </w:rPr>
        <w:instrText xml:space="preserve"> SEQ Table \* ARABIC </w:instrText>
      </w:r>
      <w:r w:rsidRPr="00E678AB">
        <w:rPr>
          <w:rFonts w:ascii="Times New Roman" w:hAnsi="Times New Roman" w:cs="Times New Roman"/>
          <w:i w:val="0"/>
          <w:iCs w:val="0"/>
          <w:color w:val="auto"/>
          <w:sz w:val="24"/>
          <w:szCs w:val="24"/>
        </w:rPr>
        <w:fldChar w:fldCharType="separate"/>
      </w:r>
      <w:r w:rsidRPr="00E678AB">
        <w:rPr>
          <w:rFonts w:ascii="Times New Roman" w:hAnsi="Times New Roman" w:cs="Times New Roman"/>
          <w:i w:val="0"/>
          <w:iCs w:val="0"/>
          <w:noProof/>
          <w:color w:val="auto"/>
          <w:sz w:val="24"/>
          <w:szCs w:val="24"/>
        </w:rPr>
        <w:t>4</w:t>
      </w:r>
      <w:r w:rsidRPr="00E678AB">
        <w:rPr>
          <w:rFonts w:ascii="Times New Roman" w:hAnsi="Times New Roman" w:cs="Times New Roman"/>
          <w:i w:val="0"/>
          <w:iCs w:val="0"/>
          <w:color w:val="auto"/>
          <w:sz w:val="24"/>
          <w:szCs w:val="24"/>
        </w:rPr>
        <w:fldChar w:fldCharType="end"/>
      </w:r>
      <w:r w:rsidRPr="00E678AB">
        <w:rPr>
          <w:rFonts w:ascii="Times New Roman" w:hAnsi="Times New Roman" w:cs="Times New Roman"/>
          <w:i w:val="0"/>
          <w:iCs w:val="0"/>
          <w:color w:val="auto"/>
          <w:sz w:val="24"/>
          <w:szCs w:val="24"/>
        </w:rPr>
        <w:t xml:space="preserve">: </w:t>
      </w:r>
      <w:r w:rsidRPr="00E678AB">
        <w:rPr>
          <w:rFonts w:ascii="Times New Roman" w:hAnsi="Times New Roman" w:cs="Times New Roman"/>
          <w:bCs/>
          <w:i w:val="0"/>
          <w:iCs w:val="0"/>
          <w:color w:val="auto"/>
          <w:sz w:val="24"/>
          <w:szCs w:val="24"/>
          <w:lang w:val="en-US"/>
        </w:rPr>
        <w:t>Cultural Analysis</w:t>
      </w:r>
    </w:p>
    <w:tbl>
      <w:tblPr>
        <w:tblStyle w:val="GridTable4-Accent3"/>
        <w:tblW w:w="0" w:type="auto"/>
        <w:tblLook w:val="04A0" w:firstRow="1" w:lastRow="0" w:firstColumn="1" w:lastColumn="0" w:noHBand="0" w:noVBand="1"/>
      </w:tblPr>
      <w:tblGrid>
        <w:gridCol w:w="1702"/>
        <w:gridCol w:w="2207"/>
        <w:gridCol w:w="2848"/>
        <w:gridCol w:w="2593"/>
      </w:tblGrid>
      <w:tr w:rsidR="00AF7A75" w:rsidRPr="00A96A39" w14:paraId="42257A14" w14:textId="77777777" w:rsidTr="00E90F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1643D" w14:textId="77777777" w:rsidR="00AF7A75" w:rsidRPr="00A96A39" w:rsidRDefault="00AF7A75" w:rsidP="00F7701B">
            <w:pPr>
              <w:spacing w:line="360" w:lineRule="auto"/>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Cultural Factor</w:t>
            </w:r>
          </w:p>
        </w:tc>
        <w:tc>
          <w:tcPr>
            <w:tcW w:w="0" w:type="auto"/>
            <w:hideMark/>
          </w:tcPr>
          <w:p w14:paraId="368F5991"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Opportunity for Kajima</w:t>
            </w:r>
          </w:p>
        </w:tc>
        <w:tc>
          <w:tcPr>
            <w:tcW w:w="0" w:type="auto"/>
            <w:hideMark/>
          </w:tcPr>
          <w:p w14:paraId="346BEE9C"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Challenge/Risk</w:t>
            </w:r>
          </w:p>
        </w:tc>
        <w:tc>
          <w:tcPr>
            <w:tcW w:w="0" w:type="auto"/>
            <w:hideMark/>
          </w:tcPr>
          <w:p w14:paraId="2BADB5D5"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Strategic Implication</w:t>
            </w:r>
          </w:p>
        </w:tc>
      </w:tr>
      <w:tr w:rsidR="00AF7A75" w:rsidRPr="00A96A39" w14:paraId="4A09BFBF"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C938F8"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National culture</w:t>
            </w:r>
          </w:p>
        </w:tc>
        <w:tc>
          <w:tcPr>
            <w:tcW w:w="0" w:type="auto"/>
            <w:hideMark/>
          </w:tcPr>
          <w:p w14:paraId="6C9B448E"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Cultural diversity encourages innovation and local adaptation.</w:t>
            </w:r>
          </w:p>
        </w:tc>
        <w:tc>
          <w:tcPr>
            <w:tcW w:w="0" w:type="auto"/>
            <w:hideMark/>
          </w:tcPr>
          <w:p w14:paraId="1BA1D9D9"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Differences between Japanese and Nigerian management styles may create communication challenges.</w:t>
            </w:r>
          </w:p>
        </w:tc>
        <w:tc>
          <w:tcPr>
            <w:tcW w:w="0" w:type="auto"/>
            <w:hideMark/>
          </w:tcPr>
          <w:p w14:paraId="2B2F20CA"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Develop cross-cultural management and leadership training.</w:t>
            </w:r>
          </w:p>
        </w:tc>
      </w:tr>
      <w:tr w:rsidR="00AF7A75" w:rsidRPr="00A96A39" w14:paraId="7D5C8CFD"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730DDE79"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Business culture</w:t>
            </w:r>
          </w:p>
        </w:tc>
        <w:tc>
          <w:tcPr>
            <w:tcW w:w="0" w:type="auto"/>
            <w:hideMark/>
          </w:tcPr>
          <w:p w14:paraId="761CAADC"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Relationship-based business practices </w:t>
            </w:r>
            <w:r w:rsidRPr="00A96A39">
              <w:rPr>
                <w:rFonts w:ascii="Times New Roman" w:hAnsi="Times New Roman" w:cs="Times New Roman"/>
                <w:sz w:val="24"/>
                <w:szCs w:val="24"/>
                <w:lang w:val="en-US"/>
              </w:rPr>
              <w:lastRenderedPageBreak/>
              <w:t>support long-term partnerships.</w:t>
            </w:r>
          </w:p>
        </w:tc>
        <w:tc>
          <w:tcPr>
            <w:tcW w:w="0" w:type="auto"/>
            <w:hideMark/>
          </w:tcPr>
          <w:p w14:paraId="44D3B122"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lastRenderedPageBreak/>
              <w:t>Building trust requires significant time and local engagement.</w:t>
            </w:r>
          </w:p>
        </w:tc>
        <w:tc>
          <w:tcPr>
            <w:tcW w:w="0" w:type="auto"/>
            <w:hideMark/>
          </w:tcPr>
          <w:p w14:paraId="083F3EE5"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Invest in local networks and stakeholder relationships.</w:t>
            </w:r>
          </w:p>
        </w:tc>
      </w:tr>
      <w:tr w:rsidR="00AF7A75" w:rsidRPr="00A96A39" w14:paraId="54C6539D"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99AFC8"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Labour relations</w:t>
            </w:r>
          </w:p>
        </w:tc>
        <w:tc>
          <w:tcPr>
            <w:tcW w:w="0" w:type="auto"/>
            <w:hideMark/>
          </w:tcPr>
          <w:p w14:paraId="3CF97ED2"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Large workforce provides access to construction labour.</w:t>
            </w:r>
          </w:p>
        </w:tc>
        <w:tc>
          <w:tcPr>
            <w:tcW w:w="0" w:type="auto"/>
            <w:hideMark/>
          </w:tcPr>
          <w:p w14:paraId="4A831F19"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Skills shortages and labour disputes may affect productivity.</w:t>
            </w:r>
          </w:p>
        </w:tc>
        <w:tc>
          <w:tcPr>
            <w:tcW w:w="0" w:type="auto"/>
            <w:hideMark/>
          </w:tcPr>
          <w:p w14:paraId="234CCFA3"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Implement workforce development and technical training programmes.</w:t>
            </w:r>
          </w:p>
        </w:tc>
      </w:tr>
      <w:tr w:rsidR="00AF7A75" w:rsidRPr="00A96A39" w14:paraId="095528F7"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57829F1A"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Stakeholder management</w:t>
            </w:r>
          </w:p>
        </w:tc>
        <w:tc>
          <w:tcPr>
            <w:tcW w:w="0" w:type="auto"/>
            <w:hideMark/>
          </w:tcPr>
          <w:p w14:paraId="491E85F5"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Strong community engagement enhances project acceptance.</w:t>
            </w:r>
          </w:p>
        </w:tc>
        <w:tc>
          <w:tcPr>
            <w:tcW w:w="0" w:type="auto"/>
            <w:hideMark/>
          </w:tcPr>
          <w:p w14:paraId="3305D5DB"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Poor stakeholder management may delay projects and increase conflicts.</w:t>
            </w:r>
          </w:p>
        </w:tc>
        <w:tc>
          <w:tcPr>
            <w:tcW w:w="0" w:type="auto"/>
            <w:hideMark/>
          </w:tcPr>
          <w:p w14:paraId="01EA01D6"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Establish continuous stakeholder consultation throughout project implementation.</w:t>
            </w:r>
          </w:p>
        </w:tc>
      </w:tr>
    </w:tbl>
    <w:p w14:paraId="687913FE" w14:textId="1FBA6A47" w:rsidR="00AF7A75" w:rsidRPr="00A96A39" w:rsidRDefault="00AF7A75" w:rsidP="00F7701B">
      <w:pPr>
        <w:pStyle w:val="Heading3"/>
        <w:spacing w:line="360" w:lineRule="auto"/>
        <w:rPr>
          <w:rFonts w:cs="Times New Roman"/>
          <w:lang w:val="en-US"/>
        </w:rPr>
      </w:pPr>
      <w:bookmarkStart w:id="13" w:name="_Toc237267309"/>
      <w:r w:rsidRPr="00A96A39">
        <w:rPr>
          <w:rFonts w:cs="Times New Roman"/>
          <w:lang w:val="en-US"/>
        </w:rPr>
        <w:t xml:space="preserve">Industry </w:t>
      </w:r>
      <w:r w:rsidR="00781C6B" w:rsidRPr="00A96A39">
        <w:rPr>
          <w:rFonts w:cs="Times New Roman"/>
          <w:lang w:val="en-US"/>
        </w:rPr>
        <w:t>Attractiveness mix</w:t>
      </w:r>
      <w:r w:rsidR="00EB644C" w:rsidRPr="00A96A39">
        <w:rPr>
          <w:rFonts w:cs="Times New Roman"/>
          <w:lang w:val="en-US"/>
        </w:rPr>
        <w:t xml:space="preserve"> with industry</w:t>
      </w:r>
      <w:bookmarkEnd w:id="13"/>
      <w:r w:rsidR="00EB644C" w:rsidRPr="00A96A39">
        <w:rPr>
          <w:rFonts w:cs="Times New Roman"/>
          <w:lang w:val="en-US"/>
        </w:rPr>
        <w:t xml:space="preserve"> </w:t>
      </w:r>
    </w:p>
    <w:p w14:paraId="0800F545" w14:textId="49CC567A" w:rsidR="00AF7A75" w:rsidRPr="00E678AB" w:rsidRDefault="00AF7A75" w:rsidP="00F7701B">
      <w:pPr>
        <w:pStyle w:val="Heading4"/>
        <w:spacing w:line="360" w:lineRule="auto"/>
        <w:rPr>
          <w:rFonts w:cs="Times New Roman"/>
          <w:i w:val="0"/>
          <w:iCs w:val="0"/>
          <w:lang w:val="en-US"/>
        </w:rPr>
      </w:pPr>
      <w:r w:rsidRPr="00E678AB">
        <w:rPr>
          <w:rFonts w:cs="Times New Roman"/>
          <w:i w:val="0"/>
          <w:iCs w:val="0"/>
          <w:lang w:val="en-US"/>
        </w:rPr>
        <w:t>Infrastructure Demand</w:t>
      </w:r>
    </w:p>
    <w:p w14:paraId="3B2351AD" w14:textId="6308B911"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has one of the greatest infrastructure gaps in the world which necessitates the continuous demand for transport, affordable housing, power generation, ports, airports and water supply systems. The high growth rate of urban populations and urbanisation is putting strain on the existing infrastructure, and long-term investment is c</w:t>
      </w:r>
      <w:r w:rsidR="00781C6B" w:rsidRPr="00A96A39">
        <w:rPr>
          <w:rFonts w:ascii="Times New Roman" w:hAnsi="Times New Roman" w:cs="Times New Roman"/>
          <w:sz w:val="24"/>
          <w:szCs w:val="24"/>
          <w:lang w:val="en-US"/>
        </w:rPr>
        <w:t>ritical to economic development</w:t>
      </w:r>
      <w:r w:rsidRPr="00A96A39">
        <w:rPr>
          <w:rFonts w:ascii="Times New Roman" w:hAnsi="Times New Roman" w:cs="Times New Roman"/>
          <w:sz w:val="24"/>
          <w:szCs w:val="24"/>
          <w:lang w:val="en-US"/>
        </w:rPr>
        <w:t>.</w:t>
      </w:r>
    </w:p>
    <w:p w14:paraId="55013808" w14:textId="3E2C62F3"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t>Market Growth</w:t>
      </w:r>
    </w:p>
    <w:p w14:paraId="2ACF711C" w14:textId="45C35E98"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Government capital expenditure, urban development programmes and growing private sector investment are expected to keep the Nigerian construction industry on a positive growth</w:t>
      </w:r>
      <w:r w:rsidR="00927406" w:rsidRPr="00A96A39">
        <w:rPr>
          <w:rFonts w:ascii="Times New Roman" w:hAnsi="Times New Roman" w:cs="Times New Roman"/>
        </w:rPr>
        <w:t xml:space="preserve"> </w:t>
      </w:r>
      <w:r w:rsidR="00927406" w:rsidRPr="00A96A39">
        <w:rPr>
          <w:rFonts w:ascii="Times New Roman" w:hAnsi="Times New Roman" w:cs="Times New Roman"/>
          <w:sz w:val="24"/>
          <w:szCs w:val="24"/>
          <w:lang w:val="en-US"/>
        </w:rPr>
        <w:t>(Okeke et al., 2025)</w:t>
      </w:r>
      <w:r w:rsidRPr="00A96A39">
        <w:rPr>
          <w:rFonts w:ascii="Times New Roman" w:hAnsi="Times New Roman" w:cs="Times New Roman"/>
          <w:sz w:val="24"/>
          <w:szCs w:val="24"/>
          <w:lang w:val="en-US"/>
        </w:rPr>
        <w:t>. Smart city, smart industrial infrastructure and renewable energy infrastructure are additional market drivers</w:t>
      </w:r>
      <w:r w:rsidR="00927406" w:rsidRPr="00A96A39">
        <w:rPr>
          <w:rFonts w:ascii="Times New Roman" w:hAnsi="Times New Roman" w:cs="Times New Roman"/>
        </w:rPr>
        <w:t xml:space="preserve"> </w:t>
      </w:r>
      <w:r w:rsidR="00927406" w:rsidRPr="00A96A39">
        <w:rPr>
          <w:rFonts w:ascii="Times New Roman" w:hAnsi="Times New Roman" w:cs="Times New Roman"/>
          <w:sz w:val="24"/>
          <w:szCs w:val="24"/>
          <w:lang w:val="en-US"/>
        </w:rPr>
        <w:t>(Okeke et al., 2025)</w:t>
      </w:r>
      <w:r w:rsidRPr="00A96A39">
        <w:rPr>
          <w:rFonts w:ascii="Times New Roman" w:hAnsi="Times New Roman" w:cs="Times New Roman"/>
          <w:sz w:val="24"/>
          <w:szCs w:val="24"/>
          <w:lang w:val="en-US"/>
        </w:rPr>
        <w:t>. Known as "multi-national contractors," these experienced firms stand to benefit from long-term project opportunities thanks to continued investment.</w:t>
      </w:r>
    </w:p>
    <w:p w14:paraId="73330FB8" w14:textId="41C1AD91"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t>Competition</w:t>
      </w:r>
    </w:p>
    <w:p w14:paraId="08EEE9CD" w14:textId="77777777"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competition is fierce, and China, European and Middle Eastern international firms are bidding against domestic contractors. These competitors have local experience and relationships but Kajima can distinguish itself when it comes to their engineering skills, sustainable building methods, digital solutions and project management capabilities.</w:t>
      </w:r>
    </w:p>
    <w:p w14:paraId="508C1CF0" w14:textId="390E40C6" w:rsidR="00E90F21" w:rsidRPr="00E678AB" w:rsidRDefault="00E90F21" w:rsidP="00F7701B">
      <w:pPr>
        <w:pStyle w:val="Heading4"/>
        <w:spacing w:line="360" w:lineRule="auto"/>
        <w:rPr>
          <w:rFonts w:cs="Times New Roman"/>
          <w:i w:val="0"/>
          <w:iCs w:val="0"/>
          <w:lang w:val="en-US"/>
        </w:rPr>
      </w:pPr>
      <w:r w:rsidRPr="00E678AB">
        <w:rPr>
          <w:rFonts w:cs="Times New Roman"/>
          <w:i w:val="0"/>
          <w:iCs w:val="0"/>
          <w:lang w:val="en-US"/>
        </w:rPr>
        <w:lastRenderedPageBreak/>
        <w:t>Investment Opportunities</w:t>
      </w:r>
    </w:p>
    <w:p w14:paraId="600BD1D3" w14:textId="4ACE229D" w:rsidR="00AF7A75"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Public-Private Partnerships (P3s) and foreign investment incentives, along with national infrastructure programmes, are becoming more popular, providing good opportunities for Kajima</w:t>
      </w:r>
      <w:r w:rsidR="00927406" w:rsidRPr="00A96A39">
        <w:rPr>
          <w:rFonts w:ascii="Times New Roman" w:hAnsi="Times New Roman" w:cs="Times New Roman"/>
        </w:rPr>
        <w:t xml:space="preserve"> </w:t>
      </w:r>
      <w:r w:rsidR="00927406" w:rsidRPr="00A96A39">
        <w:rPr>
          <w:rFonts w:ascii="Times New Roman" w:hAnsi="Times New Roman" w:cs="Times New Roman"/>
          <w:sz w:val="24"/>
          <w:szCs w:val="24"/>
          <w:lang w:val="en-US"/>
        </w:rPr>
        <w:t xml:space="preserve">(Itu </w:t>
      </w:r>
      <w:r w:rsidR="00D836DE" w:rsidRPr="00A96A39">
        <w:rPr>
          <w:rFonts w:ascii="Times New Roman" w:hAnsi="Times New Roman" w:cs="Times New Roman"/>
          <w:sz w:val="24"/>
          <w:szCs w:val="24"/>
          <w:lang w:val="en-US"/>
        </w:rPr>
        <w:t>and Kenigua</w:t>
      </w:r>
      <w:r w:rsidR="00927406" w:rsidRPr="00A96A39">
        <w:rPr>
          <w:rFonts w:ascii="Times New Roman" w:hAnsi="Times New Roman" w:cs="Times New Roman"/>
          <w:sz w:val="24"/>
          <w:szCs w:val="24"/>
          <w:lang w:val="en-US"/>
        </w:rPr>
        <w:t>, 2021)</w:t>
      </w:r>
      <w:r w:rsidRPr="00A96A39">
        <w:rPr>
          <w:rFonts w:ascii="Times New Roman" w:hAnsi="Times New Roman" w:cs="Times New Roman"/>
          <w:sz w:val="24"/>
          <w:szCs w:val="24"/>
          <w:lang w:val="en-US"/>
        </w:rPr>
        <w:t xml:space="preserve">. The company's knowledge of complex infrastructure projects is ideal for Nigeria's development needs, especially in terms of transportation, commercial construction </w:t>
      </w:r>
      <w:r w:rsidR="00B135A7" w:rsidRPr="00A96A39">
        <w:rPr>
          <w:rFonts w:ascii="Times New Roman" w:hAnsi="Times New Roman" w:cs="Times New Roman"/>
          <w:sz w:val="24"/>
          <w:szCs w:val="24"/>
          <w:lang w:val="en-US"/>
        </w:rPr>
        <w:t>and sustainable infrastructure</w:t>
      </w:r>
      <w:r w:rsidR="00AF7A75" w:rsidRPr="00A96A39">
        <w:rPr>
          <w:rFonts w:ascii="Times New Roman" w:hAnsi="Times New Roman" w:cs="Times New Roman"/>
          <w:sz w:val="24"/>
          <w:szCs w:val="24"/>
          <w:lang w:val="en-US"/>
        </w:rPr>
        <w:t>.</w:t>
      </w:r>
    </w:p>
    <w:p w14:paraId="1F105EC2" w14:textId="7EB343B3" w:rsidR="00465F5F" w:rsidRPr="00E678AB" w:rsidRDefault="00465F5F" w:rsidP="00F7701B">
      <w:pPr>
        <w:pStyle w:val="Caption"/>
        <w:keepNext/>
        <w:spacing w:line="360" w:lineRule="auto"/>
        <w:rPr>
          <w:rFonts w:ascii="Times New Roman" w:hAnsi="Times New Roman" w:cs="Times New Roman"/>
          <w:i w:val="0"/>
          <w:iCs w:val="0"/>
          <w:color w:val="auto"/>
          <w:sz w:val="24"/>
          <w:szCs w:val="24"/>
        </w:rPr>
      </w:pPr>
      <w:r w:rsidRPr="00E678AB">
        <w:rPr>
          <w:rFonts w:ascii="Times New Roman" w:hAnsi="Times New Roman" w:cs="Times New Roman"/>
          <w:i w:val="0"/>
          <w:iCs w:val="0"/>
          <w:color w:val="auto"/>
          <w:sz w:val="24"/>
          <w:szCs w:val="24"/>
        </w:rPr>
        <w:t xml:space="preserve">Table </w:t>
      </w:r>
      <w:r w:rsidRPr="00E678AB">
        <w:rPr>
          <w:rFonts w:ascii="Times New Roman" w:hAnsi="Times New Roman" w:cs="Times New Roman"/>
          <w:i w:val="0"/>
          <w:iCs w:val="0"/>
          <w:color w:val="auto"/>
          <w:sz w:val="24"/>
          <w:szCs w:val="24"/>
        </w:rPr>
        <w:fldChar w:fldCharType="begin"/>
      </w:r>
      <w:r w:rsidRPr="00E678AB">
        <w:rPr>
          <w:rFonts w:ascii="Times New Roman" w:hAnsi="Times New Roman" w:cs="Times New Roman"/>
          <w:i w:val="0"/>
          <w:iCs w:val="0"/>
          <w:color w:val="auto"/>
          <w:sz w:val="24"/>
          <w:szCs w:val="24"/>
        </w:rPr>
        <w:instrText xml:space="preserve"> SEQ Table \* ARABIC </w:instrText>
      </w:r>
      <w:r w:rsidRPr="00E678AB">
        <w:rPr>
          <w:rFonts w:ascii="Times New Roman" w:hAnsi="Times New Roman" w:cs="Times New Roman"/>
          <w:i w:val="0"/>
          <w:iCs w:val="0"/>
          <w:color w:val="auto"/>
          <w:sz w:val="24"/>
          <w:szCs w:val="24"/>
        </w:rPr>
        <w:fldChar w:fldCharType="separate"/>
      </w:r>
      <w:r w:rsidRPr="00E678AB">
        <w:rPr>
          <w:rFonts w:ascii="Times New Roman" w:hAnsi="Times New Roman" w:cs="Times New Roman"/>
          <w:i w:val="0"/>
          <w:iCs w:val="0"/>
          <w:noProof/>
          <w:color w:val="auto"/>
          <w:sz w:val="24"/>
          <w:szCs w:val="24"/>
        </w:rPr>
        <w:t>5</w:t>
      </w:r>
      <w:r w:rsidRPr="00E678AB">
        <w:rPr>
          <w:rFonts w:ascii="Times New Roman" w:hAnsi="Times New Roman" w:cs="Times New Roman"/>
          <w:i w:val="0"/>
          <w:iCs w:val="0"/>
          <w:color w:val="auto"/>
          <w:sz w:val="24"/>
          <w:szCs w:val="24"/>
        </w:rPr>
        <w:fldChar w:fldCharType="end"/>
      </w:r>
      <w:r w:rsidRPr="00E678AB">
        <w:rPr>
          <w:rFonts w:ascii="Times New Roman" w:hAnsi="Times New Roman" w:cs="Times New Roman"/>
          <w:i w:val="0"/>
          <w:iCs w:val="0"/>
          <w:color w:val="auto"/>
          <w:sz w:val="24"/>
          <w:szCs w:val="24"/>
        </w:rPr>
        <w:t xml:space="preserve">: </w:t>
      </w:r>
      <w:r w:rsidRPr="00E678AB">
        <w:rPr>
          <w:rFonts w:ascii="Times New Roman" w:hAnsi="Times New Roman" w:cs="Times New Roman"/>
          <w:bCs/>
          <w:i w:val="0"/>
          <w:iCs w:val="0"/>
          <w:color w:val="auto"/>
          <w:sz w:val="24"/>
          <w:szCs w:val="24"/>
          <w:lang w:val="en-US"/>
        </w:rPr>
        <w:t>Industry Attractiveness Analysis</w:t>
      </w:r>
    </w:p>
    <w:tbl>
      <w:tblPr>
        <w:tblStyle w:val="GridTable4-Accent3"/>
        <w:tblW w:w="0" w:type="auto"/>
        <w:tblLook w:val="04A0" w:firstRow="1" w:lastRow="0" w:firstColumn="1" w:lastColumn="0" w:noHBand="0" w:noVBand="1"/>
      </w:tblPr>
      <w:tblGrid>
        <w:gridCol w:w="1865"/>
        <w:gridCol w:w="2714"/>
        <w:gridCol w:w="2458"/>
        <w:gridCol w:w="2313"/>
      </w:tblGrid>
      <w:tr w:rsidR="00AF7A75" w:rsidRPr="00A96A39" w14:paraId="31662755" w14:textId="77777777" w:rsidTr="00E90F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D8483" w14:textId="77777777" w:rsidR="00AF7A75" w:rsidRPr="00A96A39" w:rsidRDefault="00AF7A75" w:rsidP="00F7701B">
            <w:pPr>
              <w:spacing w:line="360" w:lineRule="auto"/>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Industry Factor</w:t>
            </w:r>
          </w:p>
        </w:tc>
        <w:tc>
          <w:tcPr>
            <w:tcW w:w="0" w:type="auto"/>
            <w:hideMark/>
          </w:tcPr>
          <w:p w14:paraId="2A516EE8"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Attractiveness</w:t>
            </w:r>
          </w:p>
        </w:tc>
        <w:tc>
          <w:tcPr>
            <w:tcW w:w="0" w:type="auto"/>
            <w:hideMark/>
          </w:tcPr>
          <w:p w14:paraId="1118818B"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Key Challenge</w:t>
            </w:r>
          </w:p>
        </w:tc>
        <w:tc>
          <w:tcPr>
            <w:tcW w:w="0" w:type="auto"/>
            <w:hideMark/>
          </w:tcPr>
          <w:p w14:paraId="742E5B01" w14:textId="77777777" w:rsidR="00AF7A75" w:rsidRPr="00A96A39" w:rsidRDefault="00AF7A75" w:rsidP="00F7701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A96A39">
              <w:rPr>
                <w:rFonts w:ascii="Times New Roman" w:hAnsi="Times New Roman" w:cs="Times New Roman"/>
                <w:sz w:val="24"/>
                <w:szCs w:val="24"/>
                <w:lang w:val="en-US"/>
              </w:rPr>
              <w:t>Strategic Implication</w:t>
            </w:r>
          </w:p>
        </w:tc>
      </w:tr>
      <w:tr w:rsidR="00AF7A75" w:rsidRPr="00A96A39" w14:paraId="2C9B3764"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FFA5FF"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Infrastructure demand</w:t>
            </w:r>
          </w:p>
        </w:tc>
        <w:tc>
          <w:tcPr>
            <w:tcW w:w="0" w:type="auto"/>
            <w:hideMark/>
          </w:tcPr>
          <w:p w14:paraId="088FF15F"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Very high demand across transport, housing and energy sectors.</w:t>
            </w:r>
          </w:p>
        </w:tc>
        <w:tc>
          <w:tcPr>
            <w:tcW w:w="0" w:type="auto"/>
            <w:hideMark/>
          </w:tcPr>
          <w:p w14:paraId="152B72CD"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Large financing requirements for major projects.</w:t>
            </w:r>
          </w:p>
        </w:tc>
        <w:tc>
          <w:tcPr>
            <w:tcW w:w="0" w:type="auto"/>
            <w:hideMark/>
          </w:tcPr>
          <w:p w14:paraId="3EDFD92C"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Target high-priority national infrastructure projects.</w:t>
            </w:r>
          </w:p>
        </w:tc>
      </w:tr>
      <w:tr w:rsidR="00AF7A75" w:rsidRPr="00A96A39" w14:paraId="253FA39F"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59A8B8F7"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Market growth</w:t>
            </w:r>
          </w:p>
        </w:tc>
        <w:tc>
          <w:tcPr>
            <w:tcW w:w="0" w:type="auto"/>
            <w:hideMark/>
          </w:tcPr>
          <w:p w14:paraId="38CCBA11"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Strong long-term expansion supported by urbanisation and government investment.</w:t>
            </w:r>
          </w:p>
        </w:tc>
        <w:tc>
          <w:tcPr>
            <w:tcW w:w="0" w:type="auto"/>
            <w:hideMark/>
          </w:tcPr>
          <w:p w14:paraId="210AEBF4"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Economic fluctuations may affect public spending.</w:t>
            </w:r>
          </w:p>
        </w:tc>
        <w:tc>
          <w:tcPr>
            <w:tcW w:w="0" w:type="auto"/>
            <w:hideMark/>
          </w:tcPr>
          <w:p w14:paraId="3B0AB7F2"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Focus on sectors with sustained government commitment.</w:t>
            </w:r>
          </w:p>
        </w:tc>
      </w:tr>
      <w:tr w:rsidR="00AF7A75" w:rsidRPr="00A96A39" w14:paraId="6384011D"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74C309"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Competition</w:t>
            </w:r>
          </w:p>
        </w:tc>
        <w:tc>
          <w:tcPr>
            <w:tcW w:w="0" w:type="auto"/>
            <w:hideMark/>
          </w:tcPr>
          <w:p w14:paraId="3B6AF38E"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Opportunities remain despite established global competitors.</w:t>
            </w:r>
          </w:p>
        </w:tc>
        <w:tc>
          <w:tcPr>
            <w:tcW w:w="0" w:type="auto"/>
            <w:hideMark/>
          </w:tcPr>
          <w:p w14:paraId="110E6CC6"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Strong competition from Chinese and local construction firms.</w:t>
            </w:r>
          </w:p>
        </w:tc>
        <w:tc>
          <w:tcPr>
            <w:tcW w:w="0" w:type="auto"/>
            <w:hideMark/>
          </w:tcPr>
          <w:p w14:paraId="716FA7C4"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Differentiate through technology, quality and sustainability.</w:t>
            </w:r>
          </w:p>
        </w:tc>
      </w:tr>
      <w:tr w:rsidR="00AF7A75" w:rsidRPr="00A96A39" w14:paraId="66066641" w14:textId="77777777" w:rsidTr="00E90F21">
        <w:tc>
          <w:tcPr>
            <w:cnfStyle w:val="001000000000" w:firstRow="0" w:lastRow="0" w:firstColumn="1" w:lastColumn="0" w:oddVBand="0" w:evenVBand="0" w:oddHBand="0" w:evenHBand="0" w:firstRowFirstColumn="0" w:firstRowLastColumn="0" w:lastRowFirstColumn="0" w:lastRowLastColumn="0"/>
            <w:tcW w:w="0" w:type="auto"/>
            <w:hideMark/>
          </w:tcPr>
          <w:p w14:paraId="5A2B9990"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Investment opportunities</w:t>
            </w:r>
          </w:p>
        </w:tc>
        <w:tc>
          <w:tcPr>
            <w:tcW w:w="0" w:type="auto"/>
            <w:hideMark/>
          </w:tcPr>
          <w:p w14:paraId="55AF15F5"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PPPs and FDI reforms improve market accessibility.</w:t>
            </w:r>
          </w:p>
        </w:tc>
        <w:tc>
          <w:tcPr>
            <w:tcW w:w="0" w:type="auto"/>
            <w:hideMark/>
          </w:tcPr>
          <w:p w14:paraId="38EA4061"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Regulatory approval processes may be lengthy.</w:t>
            </w:r>
          </w:p>
        </w:tc>
        <w:tc>
          <w:tcPr>
            <w:tcW w:w="0" w:type="auto"/>
            <w:hideMark/>
          </w:tcPr>
          <w:p w14:paraId="0DB4A40E" w14:textId="77777777" w:rsidR="00AF7A75" w:rsidRPr="00A96A39" w:rsidRDefault="00AF7A75" w:rsidP="00F7701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Pursue strategic alliances with reputable local partners.</w:t>
            </w:r>
          </w:p>
        </w:tc>
      </w:tr>
      <w:tr w:rsidR="00AF7A75" w:rsidRPr="00A96A39" w14:paraId="3068F735" w14:textId="77777777" w:rsidTr="00E90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8DBC28" w14:textId="77777777" w:rsidR="00AF7A75" w:rsidRPr="00A96A39" w:rsidRDefault="00AF7A75"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Major risks</w:t>
            </w:r>
          </w:p>
        </w:tc>
        <w:tc>
          <w:tcPr>
            <w:tcW w:w="0" w:type="auto"/>
            <w:hideMark/>
          </w:tcPr>
          <w:p w14:paraId="3E781DA1"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High potential returns compensate for elevated market risks.</w:t>
            </w:r>
          </w:p>
        </w:tc>
        <w:tc>
          <w:tcPr>
            <w:tcW w:w="0" w:type="auto"/>
            <w:hideMark/>
          </w:tcPr>
          <w:p w14:paraId="21156DD3"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Political, financial and operational uncertainties increase investment exposure.</w:t>
            </w:r>
          </w:p>
        </w:tc>
        <w:tc>
          <w:tcPr>
            <w:tcW w:w="0" w:type="auto"/>
            <w:hideMark/>
          </w:tcPr>
          <w:p w14:paraId="4E23044E" w14:textId="77777777" w:rsidR="00AF7A75" w:rsidRPr="00A96A39" w:rsidRDefault="00AF7A75" w:rsidP="00F7701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A96A39">
              <w:rPr>
                <w:rFonts w:ascii="Times New Roman" w:hAnsi="Times New Roman" w:cs="Times New Roman"/>
                <w:sz w:val="24"/>
                <w:szCs w:val="24"/>
                <w:lang w:val="en-US"/>
              </w:rPr>
              <w:t>Adopt phased market entry with robust risk mitigation measures.</w:t>
            </w:r>
          </w:p>
        </w:tc>
      </w:tr>
    </w:tbl>
    <w:p w14:paraId="1C02DE7F" w14:textId="47DCE4DC" w:rsidR="006B1EBE" w:rsidRPr="00A96A39" w:rsidRDefault="006B1EBE" w:rsidP="00F7701B">
      <w:pPr>
        <w:pStyle w:val="Heading2"/>
        <w:spacing w:line="360" w:lineRule="auto"/>
        <w:rPr>
          <w:rFonts w:cs="Times New Roman"/>
          <w:lang w:val="en-US"/>
        </w:rPr>
      </w:pPr>
      <w:bookmarkStart w:id="14" w:name="_Toc237267310"/>
      <w:r w:rsidRPr="00A96A39">
        <w:rPr>
          <w:rFonts w:cs="Times New Roman"/>
          <w:lang w:val="en-US"/>
        </w:rPr>
        <w:lastRenderedPageBreak/>
        <w:t>Market Entry Analysis Using Dunning's OLI Framework</w:t>
      </w:r>
      <w:bookmarkEnd w:id="14"/>
    </w:p>
    <w:p w14:paraId="3F95C84E" w14:textId="5FDE5E4B"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basis for evaluating the possibility of Kajima Corporation's entry into Nigeria successfully with its competitive advantages is based on Dunning's Eclectic Paradigm (OLI)</w:t>
      </w:r>
      <w:r w:rsidR="00A310DF" w:rsidRPr="00A96A39">
        <w:rPr>
          <w:rFonts w:ascii="Times New Roman" w:hAnsi="Times New Roman" w:cs="Times New Roman"/>
          <w:sz w:val="24"/>
          <w:szCs w:val="24"/>
          <w:lang w:val="en-US"/>
        </w:rPr>
        <w:t xml:space="preserve"> (Fig. 2)</w:t>
      </w:r>
      <w:r w:rsidRPr="00A96A39">
        <w:rPr>
          <w:rFonts w:ascii="Times New Roman" w:hAnsi="Times New Roman" w:cs="Times New Roman"/>
          <w:sz w:val="24"/>
          <w:szCs w:val="24"/>
          <w:lang w:val="en-US"/>
        </w:rPr>
        <w:t>. It analyses the firm's ownership-specific resources, the desirability of the host country, and the advantages of the internal organisation process as compared to that of the external market process.</w:t>
      </w:r>
    </w:p>
    <w:p w14:paraId="661A6ABD" w14:textId="77777777" w:rsidR="00A310DF" w:rsidRPr="00A96A39" w:rsidRDefault="00B04BA7" w:rsidP="00F7701B">
      <w:pPr>
        <w:keepNext/>
        <w:spacing w:line="360" w:lineRule="auto"/>
        <w:rPr>
          <w:rFonts w:ascii="Times New Roman" w:hAnsi="Times New Roman" w:cs="Times New Roman"/>
        </w:rPr>
      </w:pPr>
      <w:r w:rsidRPr="00A96A39">
        <w:rPr>
          <w:rFonts w:ascii="Times New Roman" w:hAnsi="Times New Roman" w:cs="Times New Roman"/>
          <w:noProof/>
          <w:lang w:val="en-US" w:eastAsia="en-US"/>
        </w:rPr>
        <w:drawing>
          <wp:inline distT="0" distB="0" distL="0" distR="0" wp14:anchorId="1B3A5E8D" wp14:editId="22A3328D">
            <wp:extent cx="5534025" cy="3190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34025" cy="3190875"/>
                    </a:xfrm>
                    <a:prstGeom prst="rect">
                      <a:avLst/>
                    </a:prstGeom>
                  </pic:spPr>
                </pic:pic>
              </a:graphicData>
            </a:graphic>
          </wp:inline>
        </w:drawing>
      </w:r>
    </w:p>
    <w:p w14:paraId="2C9D4B75" w14:textId="2B2C3F57" w:rsidR="00B04BA7" w:rsidRPr="00A96A39" w:rsidRDefault="00A310DF" w:rsidP="00F7701B">
      <w:pPr>
        <w:pStyle w:val="Caption"/>
        <w:spacing w:line="360" w:lineRule="auto"/>
        <w:rPr>
          <w:rFonts w:ascii="Times New Roman" w:hAnsi="Times New Roman" w:cs="Times New Roman"/>
          <w:color w:val="auto"/>
          <w:sz w:val="24"/>
          <w:szCs w:val="24"/>
          <w:lang w:val="en-US"/>
        </w:rPr>
      </w:pPr>
      <w:r w:rsidRPr="00A96A39">
        <w:rPr>
          <w:rFonts w:ascii="Times New Roman" w:hAnsi="Times New Roman" w:cs="Times New Roman"/>
          <w:color w:val="auto"/>
          <w:sz w:val="24"/>
          <w:szCs w:val="24"/>
        </w:rPr>
        <w:t xml:space="preserve">Figure </w:t>
      </w:r>
      <w:r w:rsidRPr="00A96A39">
        <w:rPr>
          <w:rFonts w:ascii="Times New Roman" w:hAnsi="Times New Roman" w:cs="Times New Roman"/>
          <w:color w:val="auto"/>
          <w:sz w:val="24"/>
          <w:szCs w:val="24"/>
        </w:rPr>
        <w:fldChar w:fldCharType="begin"/>
      </w:r>
      <w:r w:rsidRPr="00A96A39">
        <w:rPr>
          <w:rFonts w:ascii="Times New Roman" w:hAnsi="Times New Roman" w:cs="Times New Roman"/>
          <w:color w:val="auto"/>
          <w:sz w:val="24"/>
          <w:szCs w:val="24"/>
        </w:rPr>
        <w:instrText xml:space="preserve"> SEQ Figure \* ARABIC </w:instrText>
      </w:r>
      <w:r w:rsidRPr="00A96A39">
        <w:rPr>
          <w:rFonts w:ascii="Times New Roman" w:hAnsi="Times New Roman" w:cs="Times New Roman"/>
          <w:color w:val="auto"/>
          <w:sz w:val="24"/>
          <w:szCs w:val="24"/>
        </w:rPr>
        <w:fldChar w:fldCharType="separate"/>
      </w:r>
      <w:r w:rsidR="00A4665A" w:rsidRPr="00A96A39">
        <w:rPr>
          <w:rFonts w:ascii="Times New Roman" w:hAnsi="Times New Roman" w:cs="Times New Roman"/>
          <w:noProof/>
          <w:color w:val="auto"/>
          <w:sz w:val="24"/>
          <w:szCs w:val="24"/>
        </w:rPr>
        <w:t>2</w:t>
      </w:r>
      <w:r w:rsidRPr="00A96A39">
        <w:rPr>
          <w:rFonts w:ascii="Times New Roman" w:hAnsi="Times New Roman" w:cs="Times New Roman"/>
          <w:color w:val="auto"/>
          <w:sz w:val="24"/>
          <w:szCs w:val="24"/>
        </w:rPr>
        <w:fldChar w:fldCharType="end"/>
      </w:r>
      <w:r w:rsidRPr="00A96A39">
        <w:rPr>
          <w:rFonts w:ascii="Times New Roman" w:hAnsi="Times New Roman" w:cs="Times New Roman"/>
          <w:color w:val="auto"/>
          <w:sz w:val="24"/>
          <w:szCs w:val="24"/>
        </w:rPr>
        <w:t xml:space="preserve">: </w:t>
      </w:r>
      <w:r w:rsidRPr="00A96A39">
        <w:rPr>
          <w:rFonts w:ascii="Times New Roman" w:hAnsi="Times New Roman" w:cs="Times New Roman"/>
          <w:color w:val="auto"/>
          <w:sz w:val="24"/>
          <w:szCs w:val="24"/>
          <w:lang w:val="en-US"/>
        </w:rPr>
        <w:t>Dunning's Eclectic Paradigm (OLI)</w:t>
      </w:r>
    </w:p>
    <w:p w14:paraId="70322A28" w14:textId="08D7FEAA" w:rsidR="00E90F21" w:rsidRPr="00A96A39" w:rsidRDefault="00E90F21" w:rsidP="00F7701B">
      <w:pPr>
        <w:pStyle w:val="Heading3"/>
        <w:spacing w:line="360" w:lineRule="auto"/>
        <w:rPr>
          <w:rFonts w:cs="Times New Roman"/>
          <w:lang w:val="en-US"/>
        </w:rPr>
      </w:pPr>
      <w:bookmarkStart w:id="15" w:name="_Toc237267311"/>
      <w:r w:rsidRPr="00A96A39">
        <w:rPr>
          <w:rFonts w:cs="Times New Roman"/>
          <w:lang w:val="en-US"/>
        </w:rPr>
        <w:t>Ownership Advantages</w:t>
      </w:r>
      <w:bookmarkEnd w:id="15"/>
    </w:p>
    <w:p w14:paraId="4F8827DB" w14:textId="40FD6D0F"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Kajima has several advantages which are favorable for international expansion, based on its ownership. Firstly, the company's cutting-edge construction technologies such as Building Information Modelling (BIM), digital engineering and sustainable construction practices allow it to deliver quality infrastructure projects efficiently</w:t>
      </w:r>
      <w:r w:rsidR="00801F53" w:rsidRPr="00A96A39">
        <w:rPr>
          <w:rFonts w:ascii="Times New Roman" w:hAnsi="Times New Roman" w:cs="Times New Roman"/>
          <w:sz w:val="24"/>
          <w:szCs w:val="24"/>
          <w:lang w:val="en-US"/>
        </w:rPr>
        <w:t xml:space="preserve"> (Kajima, 2026)</w:t>
      </w:r>
      <w:r w:rsidRPr="00A96A39">
        <w:rPr>
          <w:rFonts w:ascii="Times New Roman" w:hAnsi="Times New Roman" w:cs="Times New Roman"/>
          <w:sz w:val="24"/>
          <w:szCs w:val="24"/>
          <w:lang w:val="en-US"/>
        </w:rPr>
        <w:t>. Second, more than two centuries of engineering expertise to deliver a unique specialty in managing complex transport, commercial and civil engineering projects in a variety of markets internationally</w:t>
      </w:r>
      <w:r w:rsidR="00801F53" w:rsidRPr="00A96A39">
        <w:rPr>
          <w:rFonts w:ascii="Times New Roman" w:hAnsi="Times New Roman" w:cs="Times New Roman"/>
          <w:sz w:val="24"/>
          <w:szCs w:val="24"/>
          <w:lang w:val="en-US"/>
        </w:rPr>
        <w:t xml:space="preserve"> (Kajima, 2018)</w:t>
      </w:r>
      <w:r w:rsidRPr="00A96A39">
        <w:rPr>
          <w:rFonts w:ascii="Times New Roman" w:hAnsi="Times New Roman" w:cs="Times New Roman"/>
          <w:sz w:val="24"/>
          <w:szCs w:val="24"/>
          <w:lang w:val="en-US"/>
        </w:rPr>
        <w:t>. Third, Kajima is well-known around the world for quality, innovation and reliability, which gives it a higher credibility when bidding on government and private sector projects</w:t>
      </w:r>
      <w:r w:rsidR="00801F53" w:rsidRPr="00A96A39">
        <w:rPr>
          <w:rFonts w:ascii="Times New Roman" w:hAnsi="Times New Roman" w:cs="Times New Roman"/>
          <w:sz w:val="24"/>
          <w:szCs w:val="24"/>
          <w:lang w:val="en-US"/>
        </w:rPr>
        <w:t xml:space="preserve"> (Kajima, 2026)</w:t>
      </w:r>
      <w:r w:rsidRPr="00A96A39">
        <w:rPr>
          <w:rFonts w:ascii="Times New Roman" w:hAnsi="Times New Roman" w:cs="Times New Roman"/>
          <w:sz w:val="24"/>
          <w:szCs w:val="24"/>
          <w:lang w:val="en-US"/>
        </w:rPr>
        <w:t>.</w:t>
      </w:r>
    </w:p>
    <w:p w14:paraId="356DE8FB" w14:textId="61518271" w:rsidR="00E90F21" w:rsidRPr="00A96A39" w:rsidRDefault="00E90F21" w:rsidP="00F7701B">
      <w:pPr>
        <w:pStyle w:val="Heading3"/>
        <w:spacing w:line="360" w:lineRule="auto"/>
        <w:rPr>
          <w:rFonts w:cs="Times New Roman"/>
          <w:lang w:val="en-US"/>
        </w:rPr>
      </w:pPr>
      <w:bookmarkStart w:id="16" w:name="_Toc237267312"/>
      <w:r w:rsidRPr="00A96A39">
        <w:rPr>
          <w:rFonts w:cs="Times New Roman"/>
          <w:lang w:val="en-US"/>
        </w:rPr>
        <w:lastRenderedPageBreak/>
        <w:t>Location Advantages</w:t>
      </w:r>
      <w:bookmarkEnd w:id="16"/>
    </w:p>
    <w:p w14:paraId="548FB8A7" w14:textId="0D23F77B" w:rsidR="00E90F21"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Nigeria provides interesting location-specific benefits that are matched by Kajima's competences. Highway, railway, port, airport, housing, energy infrastructure requirements are continuous and significant due to the infrastructure gap in the country</w:t>
      </w:r>
      <w:r w:rsidR="00A65DA2" w:rsidRPr="00A96A39">
        <w:rPr>
          <w:rFonts w:ascii="Times New Roman" w:hAnsi="Times New Roman" w:cs="Times New Roman"/>
          <w:sz w:val="24"/>
          <w:szCs w:val="24"/>
          <w:lang w:val="en-US"/>
        </w:rPr>
        <w:t xml:space="preserve"> (Okegbemi, 2024)</w:t>
      </w:r>
      <w:r w:rsidRPr="00A96A39">
        <w:rPr>
          <w:rFonts w:ascii="Times New Roman" w:hAnsi="Times New Roman" w:cs="Times New Roman"/>
          <w:sz w:val="24"/>
          <w:szCs w:val="24"/>
          <w:lang w:val="en-US"/>
        </w:rPr>
        <w:t>. The demand for modern infrastructure and commercial development is still on the rise, driven by the high rates of population growth and urbanisation</w:t>
      </w:r>
      <w:r w:rsidR="00A65DA2" w:rsidRPr="00A96A39">
        <w:rPr>
          <w:rFonts w:ascii="Times New Roman" w:hAnsi="Times New Roman" w:cs="Times New Roman"/>
          <w:sz w:val="24"/>
          <w:szCs w:val="24"/>
          <w:lang w:val="en-US"/>
        </w:rPr>
        <w:t xml:space="preserve"> (Okegbemi, 2024)</w:t>
      </w:r>
      <w:r w:rsidR="00781C6B" w:rsidRPr="00A96A39">
        <w:rPr>
          <w:rFonts w:ascii="Times New Roman" w:hAnsi="Times New Roman" w:cs="Times New Roman"/>
          <w:sz w:val="24"/>
          <w:szCs w:val="24"/>
          <w:lang w:val="en-US"/>
        </w:rPr>
        <w:t>.</w:t>
      </w:r>
    </w:p>
    <w:p w14:paraId="28ABC5D9" w14:textId="3A68366D" w:rsidR="00E90F21" w:rsidRPr="00A96A39" w:rsidRDefault="00E90F21" w:rsidP="00F7701B">
      <w:pPr>
        <w:pStyle w:val="Heading3"/>
        <w:spacing w:line="360" w:lineRule="auto"/>
        <w:rPr>
          <w:rFonts w:cs="Times New Roman"/>
          <w:lang w:val="en-US"/>
        </w:rPr>
      </w:pPr>
      <w:bookmarkStart w:id="17" w:name="_Toc237267313"/>
      <w:r w:rsidRPr="00A96A39">
        <w:rPr>
          <w:rFonts w:cs="Times New Roman"/>
          <w:lang w:val="en-US"/>
        </w:rPr>
        <w:t>Internalisation Advantages</w:t>
      </w:r>
      <w:r w:rsidR="00CD54C1" w:rsidRPr="00A96A39">
        <w:rPr>
          <w:rFonts w:cs="Times New Roman"/>
          <w:lang w:val="en-US"/>
        </w:rPr>
        <w:t xml:space="preserve"> (check gov. polices to incl.)</w:t>
      </w:r>
      <w:bookmarkEnd w:id="17"/>
    </w:p>
    <w:p w14:paraId="20776B6F" w14:textId="118E8839" w:rsidR="009E59E6" w:rsidRPr="00A96A39" w:rsidRDefault="009E59E6" w:rsidP="009E59E6">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Upon internalisation, Kajima would be able to ensure the strictest quality control during project implementation and keep the construction technologies confidential. Direct control additionally safeguards engineering understanding, project administration systems, and unique building and construction methods from imitation by rivals (Sandhu et al., 2024). Moreover, the integrated supply chain management, resource co-ordination and standardised project execution enhance cost efficiency in the internal operations (Arslan et al., 2023). By using effective project management in the organisation, Kajima can reduce delays and enhance the efficiency of operations, which is crucial for maintaining a consistent level of services in large-scale infrastructure projects. (Sandhu et al., 2024)</w:t>
      </w:r>
    </w:p>
    <w:p w14:paraId="60D1CDE0" w14:textId="0956D57D" w:rsidR="00E90F21" w:rsidRPr="00A96A39" w:rsidRDefault="009E59E6" w:rsidP="00EB3FEC">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In Nigeria, however, the ability of Kajima to be able to fully internalise the knowledge and technology is limited. All foreign technology transfer agreements have to be formally registered with NOTAP under the National Office for Technology Acquisition and Promotion (NOTAP) Act. The agency has been closely monitoring multinational companies that are accused of withholding proprietary technical processes instead of disclosing them locally </w:t>
      </w:r>
      <w:r w:rsidR="00EB3FEC" w:rsidRPr="00A96A39">
        <w:rPr>
          <w:rFonts w:ascii="Times New Roman" w:hAnsi="Times New Roman" w:cs="Times New Roman"/>
          <w:sz w:val="24"/>
          <w:szCs w:val="24"/>
          <w:lang w:val="en-US"/>
        </w:rPr>
        <w:t>(Aina, 2025)</w:t>
      </w:r>
      <w:r w:rsidRPr="00A96A39">
        <w:rPr>
          <w:rFonts w:ascii="Times New Roman" w:hAnsi="Times New Roman" w:cs="Times New Roman"/>
          <w:sz w:val="24"/>
          <w:szCs w:val="24"/>
          <w:lang w:val="en-US"/>
        </w:rPr>
        <w:t xml:space="preserve">. Concurrently, Nigeria's local content policies, which have been expanded to the construction and infrastructure sectors by the Nigerian Oil and Gas Industry Content Development Act, stipulate that foreign contractors fairly use Nigerian labour, materials and knowledge transfer in </w:t>
      </w:r>
      <w:r w:rsidR="000B7BE1" w:rsidRPr="00A96A39">
        <w:rPr>
          <w:rFonts w:ascii="Times New Roman" w:hAnsi="Times New Roman" w:cs="Times New Roman"/>
          <w:sz w:val="24"/>
          <w:szCs w:val="24"/>
          <w:lang w:val="en-US"/>
        </w:rPr>
        <w:t>their projects (PENadmin, 2025)</w:t>
      </w:r>
      <w:r w:rsidR="00026F13" w:rsidRPr="00A96A39">
        <w:rPr>
          <w:rFonts w:ascii="Times New Roman" w:hAnsi="Times New Roman" w:cs="Times New Roman"/>
          <w:sz w:val="24"/>
          <w:szCs w:val="24"/>
          <w:lang w:val="en-US"/>
        </w:rPr>
        <w:t>.</w:t>
      </w:r>
    </w:p>
    <w:p w14:paraId="6BD4057B" w14:textId="78754AC9" w:rsidR="00E90F21" w:rsidRPr="00A96A39" w:rsidRDefault="00E90F21" w:rsidP="00F7701B">
      <w:pPr>
        <w:pStyle w:val="Heading3"/>
        <w:spacing w:line="360" w:lineRule="auto"/>
        <w:rPr>
          <w:rFonts w:cs="Times New Roman"/>
          <w:lang w:val="en-US"/>
        </w:rPr>
      </w:pPr>
      <w:bookmarkStart w:id="18" w:name="_Toc237267314"/>
      <w:r w:rsidRPr="00A96A39">
        <w:rPr>
          <w:rFonts w:cs="Times New Roman"/>
          <w:lang w:val="en-US"/>
        </w:rPr>
        <w:t>The OLI Framework.</w:t>
      </w:r>
      <w:bookmarkEnd w:id="18"/>
    </w:p>
    <w:p w14:paraId="0B6BC032" w14:textId="06785B2C" w:rsidR="006B1EBE" w:rsidRPr="00A96A39" w:rsidRDefault="00E90F21"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According to the OLI paradigm, Kajima has significant ownership advantages, while Nigeria has great location specific advantages as a result of infrastructure demand and government investment. Internalisation would also allow the company to maintain the technology know-how, </w:t>
      </w:r>
      <w:r w:rsidRPr="00A96A39">
        <w:rPr>
          <w:rFonts w:ascii="Times New Roman" w:hAnsi="Times New Roman" w:cs="Times New Roman"/>
          <w:sz w:val="24"/>
          <w:szCs w:val="24"/>
          <w:lang w:val="en-US"/>
        </w:rPr>
        <w:lastRenderedPageBreak/>
        <w:t>quality control and strategic control</w:t>
      </w:r>
      <w:r w:rsidR="00492774" w:rsidRPr="00A96A39">
        <w:rPr>
          <w:rFonts w:ascii="Times New Roman" w:hAnsi="Times New Roman" w:cs="Times New Roman"/>
        </w:rPr>
        <w:t xml:space="preserve"> </w:t>
      </w:r>
      <w:r w:rsidR="00492774" w:rsidRPr="00A96A39">
        <w:rPr>
          <w:rFonts w:ascii="Times New Roman" w:hAnsi="Times New Roman" w:cs="Times New Roman"/>
          <w:sz w:val="24"/>
          <w:szCs w:val="24"/>
          <w:lang w:val="en-US"/>
        </w:rPr>
        <w:t>(Fornés and Altamira, 2023)</w:t>
      </w:r>
      <w:r w:rsidRPr="00A96A39">
        <w:rPr>
          <w:rFonts w:ascii="Times New Roman" w:hAnsi="Times New Roman" w:cs="Times New Roman"/>
          <w:sz w:val="24"/>
          <w:szCs w:val="24"/>
          <w:lang w:val="en-US"/>
        </w:rPr>
        <w:t>. The framework, however, focuses to a limited degree on institutional issues that could impact investment results, such as political instability, regulatory uncertainty, corruption and cultural differences</w:t>
      </w:r>
      <w:r w:rsidR="00492774" w:rsidRPr="00A96A39">
        <w:rPr>
          <w:rFonts w:ascii="Times New Roman" w:hAnsi="Times New Roman" w:cs="Times New Roman"/>
          <w:sz w:val="24"/>
          <w:szCs w:val="24"/>
          <w:lang w:val="en-US"/>
        </w:rPr>
        <w:t xml:space="preserve"> (Salem et al., 2026)</w:t>
      </w:r>
      <w:r w:rsidR="00781C6B" w:rsidRPr="00A96A39">
        <w:rPr>
          <w:rFonts w:ascii="Times New Roman" w:hAnsi="Times New Roman" w:cs="Times New Roman"/>
          <w:sz w:val="24"/>
          <w:szCs w:val="24"/>
          <w:lang w:val="en-US"/>
        </w:rPr>
        <w:t>.</w:t>
      </w:r>
    </w:p>
    <w:p w14:paraId="2DF6D610" w14:textId="22EF9CE9" w:rsidR="00D27525" w:rsidRPr="00A96A39" w:rsidRDefault="00D27525" w:rsidP="00F7701B">
      <w:pPr>
        <w:pStyle w:val="Heading3"/>
        <w:spacing w:line="360" w:lineRule="auto"/>
        <w:rPr>
          <w:rFonts w:cs="Times New Roman"/>
        </w:rPr>
      </w:pPr>
      <w:bookmarkStart w:id="19" w:name="_Toc237267315"/>
      <w:r w:rsidRPr="00A96A39">
        <w:rPr>
          <w:rFonts w:cs="Times New Roman"/>
        </w:rPr>
        <w:t>Entry Mode Strategy and Strategic Synthesis</w:t>
      </w:r>
      <w:bookmarkEnd w:id="19"/>
    </w:p>
    <w:p w14:paraId="717EFF86" w14:textId="5D634C37" w:rsidR="00D27525" w:rsidRPr="00E678AB" w:rsidRDefault="00D27525" w:rsidP="00F7701B">
      <w:pPr>
        <w:pStyle w:val="Heading4"/>
        <w:spacing w:line="360" w:lineRule="auto"/>
        <w:rPr>
          <w:rFonts w:cs="Times New Roman"/>
          <w:i w:val="0"/>
          <w:iCs w:val="0"/>
          <w:lang w:val="en-US"/>
        </w:rPr>
      </w:pPr>
      <w:r w:rsidRPr="00E678AB">
        <w:rPr>
          <w:rFonts w:cs="Times New Roman"/>
          <w:i w:val="0"/>
          <w:iCs w:val="0"/>
          <w:lang w:val="en-US"/>
        </w:rPr>
        <w:t>Historical International Expansion Pattern</w:t>
      </w:r>
    </w:p>
    <w:p w14:paraId="688C6FEE"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Kajima Corporation has always been active in overseas markets by engaging in joint venture business, but not by making full-fledged acquisitions or establishing overseas subsidiaries. The company's expansion overseas has been largely through joint ventures, strategic alliances, project-specific partnerships, and local subsidiaries incorporated to take advantage of project opportunities. This incremental growth aligns with the nature of the construction sector with its emphasis on knowledge about local regulations, labour markets, procurement systems and stakeholder relationships for success. Through the collaboration with domestic companies, Kajima has been able to handle the uncertainty of the market and to gain access to local expertise and flexibility in operating.</w:t>
      </w:r>
    </w:p>
    <w:p w14:paraId="72E0DE9F" w14:textId="102957FC"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formation of joint ventures has been significant in Kajima's growth in Asia and other overseas markets as it enables the firm to leverage know-how and technology with local market expertise. Collaborations for projects are also useful for Kajima in reducing capital investment costs for involvement in major infrastructure projects funded by government or private sector. This is a historical trend which shows that, when Kajima enters new institutional settings, it prefers a more c</w:t>
      </w:r>
      <w:r w:rsidR="003B4AA4" w:rsidRPr="00A96A39">
        <w:rPr>
          <w:rFonts w:ascii="Times New Roman" w:hAnsi="Times New Roman" w:cs="Times New Roman"/>
          <w:sz w:val="24"/>
          <w:szCs w:val="24"/>
          <w:lang w:val="en-US"/>
        </w:rPr>
        <w:t>ooperative way of market entry</w:t>
      </w:r>
      <w:r w:rsidRPr="00A96A39">
        <w:rPr>
          <w:rFonts w:ascii="Times New Roman" w:hAnsi="Times New Roman" w:cs="Times New Roman"/>
          <w:sz w:val="24"/>
          <w:szCs w:val="24"/>
          <w:lang w:val="en-US"/>
        </w:rPr>
        <w:t>.</w:t>
      </w:r>
    </w:p>
    <w:p w14:paraId="5D2947DD" w14:textId="0CBE7782" w:rsidR="00F14DAA" w:rsidRPr="00E678AB" w:rsidRDefault="00F14DAA" w:rsidP="00F7701B">
      <w:pPr>
        <w:pStyle w:val="Heading4"/>
        <w:spacing w:line="360" w:lineRule="auto"/>
        <w:rPr>
          <w:rFonts w:cs="Times New Roman"/>
          <w:i w:val="0"/>
          <w:iCs w:val="0"/>
          <w:lang w:val="en-US"/>
        </w:rPr>
      </w:pPr>
      <w:r w:rsidRPr="00E678AB">
        <w:rPr>
          <w:rFonts w:cs="Times New Roman"/>
          <w:i w:val="0"/>
          <w:iCs w:val="0"/>
          <w:lang w:val="en-US"/>
        </w:rPr>
        <w:t>Assessment</w:t>
      </w:r>
      <w:r w:rsidR="00CD54C1" w:rsidRPr="00E678AB">
        <w:rPr>
          <w:rFonts w:cs="Times New Roman"/>
          <w:i w:val="0"/>
          <w:iCs w:val="0"/>
          <w:lang w:val="en-US"/>
        </w:rPr>
        <w:t xml:space="preserve"> and recommendations</w:t>
      </w:r>
      <w:r w:rsidRPr="00E678AB">
        <w:rPr>
          <w:rFonts w:cs="Times New Roman"/>
          <w:i w:val="0"/>
          <w:iCs w:val="0"/>
          <w:lang w:val="en-US"/>
        </w:rPr>
        <w:t xml:space="preserve"> Entry Ways</w:t>
      </w:r>
      <w:r w:rsidR="00CD54C1" w:rsidRPr="00E678AB">
        <w:rPr>
          <w:rFonts w:cs="Times New Roman"/>
          <w:i w:val="0"/>
          <w:iCs w:val="0"/>
          <w:lang w:val="en-US"/>
        </w:rPr>
        <w:t xml:space="preserve"> in Nigeria</w:t>
      </w:r>
    </w:p>
    <w:p w14:paraId="307E58E8" w14:textId="7B2FD6FB"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There are several ways in which Kajima can enter the Nigerian market, and each will have varying degrees of control, investment and risk.</w:t>
      </w:r>
      <w:r w:rsidR="00FA0F5D" w:rsidRPr="00A96A39">
        <w:rPr>
          <w:rFonts w:ascii="Times New Roman" w:hAnsi="Times New Roman" w:cs="Times New Roman"/>
          <w:sz w:val="24"/>
          <w:szCs w:val="24"/>
          <w:lang w:val="en-US"/>
        </w:rPr>
        <w:t xml:space="preserve"> First, a</w:t>
      </w:r>
      <w:r w:rsidRPr="00A96A39">
        <w:rPr>
          <w:rFonts w:ascii="Times New Roman" w:hAnsi="Times New Roman" w:cs="Times New Roman"/>
          <w:sz w:val="24"/>
          <w:szCs w:val="24"/>
          <w:lang w:val="en-US"/>
        </w:rPr>
        <w:t xml:space="preserve"> fully managed subsidiary would give Kajima full control and ownership and enable them to maintain the quality standards and proprietary technologies</w:t>
      </w:r>
      <w:r w:rsidR="00FA0F5D" w:rsidRPr="00A96A39">
        <w:rPr>
          <w:rFonts w:ascii="Times New Roman" w:hAnsi="Times New Roman" w:cs="Times New Roman"/>
        </w:rPr>
        <w:t xml:space="preserve"> </w:t>
      </w:r>
      <w:r w:rsidR="00FA0F5D" w:rsidRPr="00A96A39">
        <w:rPr>
          <w:rFonts w:ascii="Times New Roman" w:hAnsi="Times New Roman" w:cs="Times New Roman"/>
          <w:sz w:val="24"/>
          <w:szCs w:val="24"/>
          <w:lang w:val="en-US"/>
        </w:rPr>
        <w:t>(Rumapea and Gerarldo, 2024)</w:t>
      </w:r>
      <w:r w:rsidRPr="00A96A39">
        <w:rPr>
          <w:rFonts w:ascii="Times New Roman" w:hAnsi="Times New Roman" w:cs="Times New Roman"/>
          <w:sz w:val="24"/>
          <w:szCs w:val="24"/>
          <w:lang w:val="en-US"/>
        </w:rPr>
        <w:t>. This would involve a huge investment of capital and involve the company with a lot of risks – political, financial, and operational – in a relatively new form of business.</w:t>
      </w:r>
      <w:r w:rsidR="00FA0F5D" w:rsidRPr="00A96A39">
        <w:rPr>
          <w:rFonts w:ascii="Times New Roman" w:hAnsi="Times New Roman" w:cs="Times New Roman"/>
          <w:sz w:val="24"/>
          <w:szCs w:val="24"/>
          <w:lang w:val="en-US"/>
        </w:rPr>
        <w:t xml:space="preserve"> Second, a</w:t>
      </w:r>
      <w:r w:rsidRPr="00A96A39">
        <w:rPr>
          <w:rFonts w:ascii="Times New Roman" w:hAnsi="Times New Roman" w:cs="Times New Roman"/>
          <w:sz w:val="24"/>
          <w:szCs w:val="24"/>
          <w:lang w:val="en-US"/>
        </w:rPr>
        <w:t>n acquisition may lead to immediate market access via an existing Nige</w:t>
      </w:r>
      <w:r w:rsidR="00805F86" w:rsidRPr="00A96A39">
        <w:rPr>
          <w:rFonts w:ascii="Times New Roman" w:hAnsi="Times New Roman" w:cs="Times New Roman"/>
          <w:sz w:val="24"/>
          <w:szCs w:val="24"/>
          <w:lang w:val="en-US"/>
        </w:rPr>
        <w:t>rian construction company. According to Reinhardt (2025)</w:t>
      </w:r>
      <w:r w:rsidRPr="00A96A39">
        <w:rPr>
          <w:rFonts w:ascii="Times New Roman" w:hAnsi="Times New Roman" w:cs="Times New Roman"/>
          <w:sz w:val="24"/>
          <w:szCs w:val="24"/>
          <w:lang w:val="en-US"/>
        </w:rPr>
        <w:t xml:space="preserve"> acquisitions can provide a quick way to enter the market and access existing resources, </w:t>
      </w:r>
      <w:r w:rsidR="00805F86" w:rsidRPr="00A96A39">
        <w:rPr>
          <w:rFonts w:ascii="Times New Roman" w:hAnsi="Times New Roman" w:cs="Times New Roman"/>
          <w:sz w:val="24"/>
          <w:szCs w:val="24"/>
          <w:lang w:val="en-US"/>
        </w:rPr>
        <w:t xml:space="preserve">but </w:t>
      </w:r>
      <w:r w:rsidRPr="00A96A39">
        <w:rPr>
          <w:rFonts w:ascii="Times New Roman" w:hAnsi="Times New Roman" w:cs="Times New Roman"/>
          <w:sz w:val="24"/>
          <w:szCs w:val="24"/>
          <w:lang w:val="en-US"/>
        </w:rPr>
        <w:t xml:space="preserve">finding the right </w:t>
      </w:r>
      <w:r w:rsidRPr="00A96A39">
        <w:rPr>
          <w:rFonts w:ascii="Times New Roman" w:hAnsi="Times New Roman" w:cs="Times New Roman"/>
          <w:sz w:val="24"/>
          <w:szCs w:val="24"/>
          <w:lang w:val="en-US"/>
        </w:rPr>
        <w:lastRenderedPageBreak/>
        <w:t>acquisition target can be challenging and there may be integration issues and cultural differences that impact operating efficiencies.</w:t>
      </w:r>
    </w:p>
    <w:p w14:paraId="0F1F7363" w14:textId="23E7EC8E" w:rsidR="003F0538" w:rsidRPr="00A96A39" w:rsidRDefault="00FA0F5D"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Thirdly, a</w:t>
      </w:r>
      <w:r w:rsidR="003F0538" w:rsidRPr="00A96A39">
        <w:rPr>
          <w:rFonts w:ascii="Times New Roman" w:hAnsi="Times New Roman" w:cs="Times New Roman"/>
          <w:sz w:val="24"/>
          <w:szCs w:val="24"/>
          <w:lang w:val="en-US"/>
        </w:rPr>
        <w:t>strategic alliance is one that provides flexibility through cooperation, avoiding equity sharing, whereby Kajima can exchange know-hows and resources, and reduce investment expenses. But, by having limited control over strategic decisions, and possible conflicts in the partnership, project performance can be affected</w:t>
      </w:r>
      <w:r w:rsidRPr="00A96A39">
        <w:rPr>
          <w:rFonts w:ascii="Times New Roman" w:hAnsi="Times New Roman" w:cs="Times New Roman"/>
        </w:rPr>
        <w:t xml:space="preserve"> </w:t>
      </w:r>
      <w:r w:rsidRPr="00A96A39">
        <w:rPr>
          <w:rFonts w:ascii="Times New Roman" w:hAnsi="Times New Roman" w:cs="Times New Roman"/>
          <w:sz w:val="24"/>
          <w:szCs w:val="24"/>
          <w:lang w:val="en-US"/>
        </w:rPr>
        <w:t>(Rumapea and Gerarldo, 2024)</w:t>
      </w:r>
      <w:r w:rsidR="003F0538" w:rsidRPr="00A96A39">
        <w:rPr>
          <w:rFonts w:ascii="Times New Roman" w:hAnsi="Times New Roman" w:cs="Times New Roman"/>
          <w:sz w:val="24"/>
          <w:szCs w:val="24"/>
          <w:lang w:val="en-US"/>
        </w:rPr>
        <w:t>.</w:t>
      </w:r>
      <w:r w:rsidRPr="00A96A39">
        <w:rPr>
          <w:rFonts w:ascii="Times New Roman" w:hAnsi="Times New Roman" w:cs="Times New Roman"/>
          <w:sz w:val="24"/>
          <w:szCs w:val="24"/>
          <w:lang w:val="en-US"/>
        </w:rPr>
        <w:t xml:space="preserve"> </w:t>
      </w:r>
      <w:r w:rsidR="003F0538" w:rsidRPr="00A96A39">
        <w:rPr>
          <w:rFonts w:ascii="Times New Roman" w:hAnsi="Times New Roman" w:cs="Times New Roman"/>
          <w:sz w:val="24"/>
          <w:szCs w:val="24"/>
          <w:lang w:val="en-US"/>
        </w:rPr>
        <w:t>Another possibility is a contract for Engineering, Procurement and Con</w:t>
      </w:r>
      <w:r w:rsidR="00805F86" w:rsidRPr="00A96A39">
        <w:rPr>
          <w:rFonts w:ascii="Times New Roman" w:hAnsi="Times New Roman" w:cs="Times New Roman"/>
          <w:sz w:val="24"/>
          <w:szCs w:val="24"/>
          <w:lang w:val="en-US"/>
        </w:rPr>
        <w:t>struction (EPC). The plan calls</w:t>
      </w:r>
      <w:r w:rsidR="003F0538" w:rsidRPr="00A96A39">
        <w:rPr>
          <w:rFonts w:ascii="Times New Roman" w:hAnsi="Times New Roman" w:cs="Times New Roman"/>
          <w:sz w:val="24"/>
          <w:szCs w:val="24"/>
          <w:lang w:val="en-US"/>
        </w:rPr>
        <w:t xml:space="preserve"> for the delivery of specific projects, but not for Kajima to set up a permanent presence</w:t>
      </w:r>
      <w:r w:rsidR="00805F86" w:rsidRPr="00A96A39">
        <w:rPr>
          <w:rFonts w:ascii="Times New Roman" w:hAnsi="Times New Roman" w:cs="Times New Roman"/>
        </w:rPr>
        <w:t xml:space="preserve"> </w:t>
      </w:r>
      <w:r w:rsidR="00805F86" w:rsidRPr="00A96A39">
        <w:rPr>
          <w:rFonts w:ascii="Times New Roman" w:hAnsi="Times New Roman" w:cs="Times New Roman"/>
          <w:sz w:val="24"/>
          <w:szCs w:val="24"/>
          <w:lang w:val="en-US"/>
        </w:rPr>
        <w:t>(Reinhardt, 2025)</w:t>
      </w:r>
      <w:r w:rsidR="003F0538" w:rsidRPr="00A96A39">
        <w:rPr>
          <w:rFonts w:ascii="Times New Roman" w:hAnsi="Times New Roman" w:cs="Times New Roman"/>
          <w:sz w:val="24"/>
          <w:szCs w:val="24"/>
          <w:lang w:val="en-US"/>
        </w:rPr>
        <w:t>. While EPC contracts reduce investments risk and give immediate returns, they offer few chances of relationship building and long-term market development.</w:t>
      </w:r>
    </w:p>
    <w:p w14:paraId="449A450D"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value of a joint venture is the union of local expertise, shared investment and risk sharing. Kajima would bring with it international project management experience and advanced engineering knowledge, and would share its expertise in supply chains, government connections and labour markets with an established Nigerian construction firm.</w:t>
      </w:r>
    </w:p>
    <w:p w14:paraId="27D071BD" w14:textId="14C13742"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 the political risk sense, dealing with a known local company would help to better grasp the local government regulations, licensing process and public procurement systems as well as minimise policy risk exposure. The financial risk is shared between the partners and the joint venture arrangement reduces the amount of investment that Kajima has to make when entering the market</w:t>
      </w:r>
      <w:r w:rsidR="00C505FC" w:rsidRPr="00A96A39">
        <w:rPr>
          <w:rFonts w:ascii="Times New Roman" w:hAnsi="Times New Roman" w:cs="Times New Roman"/>
        </w:rPr>
        <w:t xml:space="preserve"> </w:t>
      </w:r>
      <w:r w:rsidR="00C505FC" w:rsidRPr="00A96A39">
        <w:rPr>
          <w:rFonts w:ascii="Times New Roman" w:hAnsi="Times New Roman" w:cs="Times New Roman"/>
          <w:sz w:val="24"/>
          <w:szCs w:val="24"/>
          <w:lang w:val="en-US"/>
        </w:rPr>
        <w:t>(Reinhardt, 2025)</w:t>
      </w:r>
      <w:r w:rsidRPr="00A96A39">
        <w:rPr>
          <w:rFonts w:ascii="Times New Roman" w:hAnsi="Times New Roman" w:cs="Times New Roman"/>
          <w:sz w:val="24"/>
          <w:szCs w:val="24"/>
          <w:lang w:val="en-US"/>
        </w:rPr>
        <w:t>. Operational risk – local partners bring local knowledge of labour markets, supply chains and stakeholder expectations to enhance project implementation and decrease implementation delays.</w:t>
      </w:r>
    </w:p>
    <w:p w14:paraId="05EFEC03"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A long-term strategic view, a joint venture helps to develop the market sustainably by transferring knowledge, building up local connections and improving Kajima's corporate image. The company's operations could be scaled up over time by establishing further partnerships or by making fully owned investments in the market, as market experience and institutional knowledge are acquired and market conditions become more favourable.</w:t>
      </w:r>
    </w:p>
    <w:p w14:paraId="3E7D9C1F" w14:textId="28BFC5D2" w:rsidR="003F0538" w:rsidRPr="00A96A39" w:rsidRDefault="003F0538" w:rsidP="00F7701B">
      <w:pPr>
        <w:pStyle w:val="Heading2"/>
        <w:spacing w:line="360" w:lineRule="auto"/>
        <w:rPr>
          <w:rFonts w:cs="Times New Roman"/>
          <w:lang w:val="en-US"/>
        </w:rPr>
      </w:pPr>
      <w:bookmarkStart w:id="20" w:name="_Toc237267316"/>
      <w:r w:rsidRPr="00A96A39">
        <w:rPr>
          <w:rFonts w:cs="Times New Roman"/>
          <w:lang w:val="en-US"/>
        </w:rPr>
        <w:t>Strategic Recommendations</w:t>
      </w:r>
      <w:bookmarkEnd w:id="20"/>
    </w:p>
    <w:p w14:paraId="73DB2807"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There are several strategic actions to maximise the chances of market success.</w:t>
      </w:r>
    </w:p>
    <w:p w14:paraId="399B7B6C"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lastRenderedPageBreak/>
        <w:t>Firstly, Kajima needs to form a partnership with a well-known Nigerian construction firm with a proven track record in implementing public infrastructure projects and ensuring compliance with regulations. It would help give markets greater credibility and make it easier to access government contracts.</w:t>
      </w:r>
    </w:p>
    <w:p w14:paraId="1CDAA0D9" w14:textId="7777777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Second, it is recommended that the company should first look at the transport infrastructure, commercial buildings and urban development projects, which are backed by the government and Public-Private Partnerships. These sectors are very similar to the engineering lines of business that Kajima is specialized in and have very good future growth potential.</w:t>
      </w:r>
    </w:p>
    <w:p w14:paraId="235DE0B0" w14:textId="3E9B48F7" w:rsidR="003F0538"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Third, Kajima should invest in the development of its workforces by offering them technical training, engineering education and knowledge transfer programmes for their local staff. This would boost productivity, contribute to local content requirements and enhance the relationsh</w:t>
      </w:r>
      <w:r w:rsidR="00781C6B" w:rsidRPr="00A96A39">
        <w:rPr>
          <w:rFonts w:ascii="Times New Roman" w:hAnsi="Times New Roman" w:cs="Times New Roman"/>
          <w:sz w:val="24"/>
          <w:szCs w:val="24"/>
          <w:lang w:val="en-US"/>
        </w:rPr>
        <w:t>ip with government stakeholders</w:t>
      </w:r>
      <w:r w:rsidRPr="00A96A39">
        <w:rPr>
          <w:rFonts w:ascii="Times New Roman" w:hAnsi="Times New Roman" w:cs="Times New Roman"/>
          <w:sz w:val="24"/>
          <w:szCs w:val="24"/>
          <w:lang w:val="en-US"/>
        </w:rPr>
        <w:t>.</w:t>
      </w:r>
    </w:p>
    <w:p w14:paraId="63818D1D" w14:textId="771B4D98" w:rsidR="003F0538" w:rsidRPr="00A96A39" w:rsidRDefault="003F0538" w:rsidP="00F7701B">
      <w:pPr>
        <w:pStyle w:val="Heading2"/>
        <w:spacing w:line="360" w:lineRule="auto"/>
        <w:rPr>
          <w:rFonts w:cs="Times New Roman"/>
          <w:lang w:val="en-US"/>
        </w:rPr>
      </w:pPr>
      <w:bookmarkStart w:id="21" w:name="_Toc237267317"/>
      <w:r w:rsidRPr="00A96A39">
        <w:rPr>
          <w:rFonts w:cs="Times New Roman"/>
          <w:lang w:val="en-US"/>
        </w:rPr>
        <w:t>Conclusion</w:t>
      </w:r>
      <w:bookmarkEnd w:id="21"/>
    </w:p>
    <w:p w14:paraId="5B30C096" w14:textId="7C0F6ED1" w:rsidR="00D27525" w:rsidRPr="00A96A39" w:rsidRDefault="003F0538"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 the past, the company has depended on joint domestic expansion strategies to contribute to its global expansion, which justifies the strategic importance of such modes of expansion. Considering Nigeria's political, economic and institutional environment, a joint venture provides the optimal balance between opportunity and risk. This approach allows Kajima to tap into technological expertise, local knowledge, financial resources and regulatory experience and understanding, as well as stakeholder relationships. Together with the ability to manage risk, providing sustainable construction solutions, and building capacity in the long term, Kajima would be poised to capture a competitive and sustainable position in Nigeria's growing infrastructure market.</w:t>
      </w:r>
    </w:p>
    <w:p w14:paraId="4FCAE096" w14:textId="5C9CAE62" w:rsidR="000637C9" w:rsidRPr="00A96A39" w:rsidRDefault="000637C9" w:rsidP="00F7701B">
      <w:pPr>
        <w:pStyle w:val="Heading1"/>
        <w:spacing w:line="360" w:lineRule="auto"/>
        <w:rPr>
          <w:rFonts w:cs="Times New Roman"/>
          <w:lang w:val="en-US"/>
        </w:rPr>
      </w:pPr>
      <w:bookmarkStart w:id="22" w:name="_Toc237267318"/>
      <w:r w:rsidRPr="00A96A39">
        <w:rPr>
          <w:rFonts w:cs="Times New Roman"/>
          <w:lang w:val="en-US"/>
        </w:rPr>
        <w:t>Section 2</w:t>
      </w:r>
      <w:bookmarkEnd w:id="22"/>
    </w:p>
    <w:p w14:paraId="50888A6D" w14:textId="1F6E051B" w:rsidR="0023423E" w:rsidRPr="00A96A39" w:rsidRDefault="0023423E" w:rsidP="00F7701B">
      <w:pPr>
        <w:pStyle w:val="Heading2"/>
        <w:spacing w:line="360" w:lineRule="auto"/>
        <w:rPr>
          <w:rFonts w:cs="Times New Roman"/>
          <w:lang w:val="en-US"/>
        </w:rPr>
      </w:pPr>
      <w:bookmarkStart w:id="23" w:name="_Toc237267319"/>
      <w:r w:rsidRPr="00A96A39">
        <w:rPr>
          <w:rFonts w:cs="Times New Roman"/>
          <w:lang w:val="en-US"/>
        </w:rPr>
        <w:t>Reflection</w:t>
      </w:r>
      <w:bookmarkEnd w:id="23"/>
      <w:r w:rsidRPr="00A96A39">
        <w:rPr>
          <w:rFonts w:cs="Times New Roman"/>
          <w:lang w:val="en-US"/>
        </w:rPr>
        <w:t xml:space="preserve"> </w:t>
      </w:r>
    </w:p>
    <w:p w14:paraId="59583FE4" w14:textId="77777777" w:rsidR="0023423E"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This reflection utilizes Gibbs' Reflective Cycle to critically discuss the process I followed in researching, analysing and writing a market entry strategy report for the proposed market entry of Kajima Corporation into Nigeria. The six stages of the cycle (description, feelings, evaluation, analysis, conclusion and action plan) offer a scaffolded approach to going beyond a narrative of </w:t>
      </w:r>
      <w:r w:rsidRPr="00A96A39">
        <w:rPr>
          <w:rFonts w:ascii="Times New Roman" w:hAnsi="Times New Roman" w:cs="Times New Roman"/>
          <w:sz w:val="24"/>
          <w:szCs w:val="24"/>
          <w:lang w:val="en-US"/>
        </w:rPr>
        <w:lastRenderedPageBreak/>
        <w:t>what happened to a true assessment of how I learned and what I will do next if I want to improve.</w:t>
      </w:r>
    </w:p>
    <w:p w14:paraId="69033A3F" w14:textId="77777777" w:rsidR="00A4665A" w:rsidRPr="00A96A39" w:rsidRDefault="00A4665A" w:rsidP="00F7701B">
      <w:pPr>
        <w:keepNext/>
        <w:spacing w:line="360" w:lineRule="auto"/>
        <w:rPr>
          <w:rFonts w:ascii="Times New Roman" w:hAnsi="Times New Roman" w:cs="Times New Roman"/>
        </w:rPr>
      </w:pPr>
      <w:r w:rsidRPr="00A96A39">
        <w:rPr>
          <w:rFonts w:ascii="Times New Roman" w:hAnsi="Times New Roman" w:cs="Times New Roman"/>
          <w:noProof/>
          <w:lang w:val="en-US" w:eastAsia="en-US"/>
        </w:rPr>
        <w:drawing>
          <wp:inline distT="0" distB="0" distL="0" distR="0" wp14:anchorId="06C1C03C" wp14:editId="2975DEC0">
            <wp:extent cx="4267200" cy="4267200"/>
            <wp:effectExtent l="0" t="0" r="0" b="0"/>
            <wp:docPr id="3" name="Picture 3"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Anubha Dubey  posted on the topic | LinkedI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67200" cy="4267200"/>
                    </a:xfrm>
                    <a:prstGeom prst="rect">
                      <a:avLst/>
                    </a:prstGeom>
                    <a:noFill/>
                    <a:ln>
                      <a:noFill/>
                    </a:ln>
                  </pic:spPr>
                </pic:pic>
              </a:graphicData>
            </a:graphic>
          </wp:inline>
        </w:drawing>
      </w:r>
    </w:p>
    <w:p w14:paraId="58A6D969" w14:textId="1CC42D5E" w:rsidR="00A4665A" w:rsidRPr="00A96A39" w:rsidRDefault="00A4665A" w:rsidP="00F7701B">
      <w:pPr>
        <w:pStyle w:val="Caption"/>
        <w:spacing w:line="360" w:lineRule="auto"/>
        <w:rPr>
          <w:rFonts w:ascii="Times New Roman" w:hAnsi="Times New Roman" w:cs="Times New Roman"/>
          <w:color w:val="auto"/>
          <w:sz w:val="24"/>
          <w:szCs w:val="24"/>
          <w:lang w:val="en-US"/>
        </w:rPr>
      </w:pPr>
      <w:r w:rsidRPr="00A96A39">
        <w:rPr>
          <w:rFonts w:ascii="Times New Roman" w:hAnsi="Times New Roman" w:cs="Times New Roman"/>
          <w:color w:val="auto"/>
          <w:sz w:val="24"/>
          <w:szCs w:val="24"/>
        </w:rPr>
        <w:t xml:space="preserve">Figure </w:t>
      </w:r>
      <w:r w:rsidRPr="00A96A39">
        <w:rPr>
          <w:rFonts w:ascii="Times New Roman" w:hAnsi="Times New Roman" w:cs="Times New Roman"/>
          <w:color w:val="auto"/>
          <w:sz w:val="24"/>
          <w:szCs w:val="24"/>
        </w:rPr>
        <w:fldChar w:fldCharType="begin"/>
      </w:r>
      <w:r w:rsidRPr="00A96A39">
        <w:rPr>
          <w:rFonts w:ascii="Times New Roman" w:hAnsi="Times New Roman" w:cs="Times New Roman"/>
          <w:color w:val="auto"/>
          <w:sz w:val="24"/>
          <w:szCs w:val="24"/>
        </w:rPr>
        <w:instrText xml:space="preserve"> SEQ Figure \* ARABIC </w:instrText>
      </w:r>
      <w:r w:rsidRPr="00A96A39">
        <w:rPr>
          <w:rFonts w:ascii="Times New Roman" w:hAnsi="Times New Roman" w:cs="Times New Roman"/>
          <w:color w:val="auto"/>
          <w:sz w:val="24"/>
          <w:szCs w:val="24"/>
        </w:rPr>
        <w:fldChar w:fldCharType="separate"/>
      </w:r>
      <w:r w:rsidRPr="00A96A39">
        <w:rPr>
          <w:rFonts w:ascii="Times New Roman" w:hAnsi="Times New Roman" w:cs="Times New Roman"/>
          <w:noProof/>
          <w:color w:val="auto"/>
          <w:sz w:val="24"/>
          <w:szCs w:val="24"/>
        </w:rPr>
        <w:t>3</w:t>
      </w:r>
      <w:r w:rsidRPr="00A96A39">
        <w:rPr>
          <w:rFonts w:ascii="Times New Roman" w:hAnsi="Times New Roman" w:cs="Times New Roman"/>
          <w:color w:val="auto"/>
          <w:sz w:val="24"/>
          <w:szCs w:val="24"/>
        </w:rPr>
        <w:fldChar w:fldCharType="end"/>
      </w:r>
      <w:r w:rsidRPr="00A96A39">
        <w:rPr>
          <w:rFonts w:ascii="Times New Roman" w:hAnsi="Times New Roman" w:cs="Times New Roman"/>
          <w:color w:val="auto"/>
          <w:sz w:val="24"/>
          <w:szCs w:val="24"/>
        </w:rPr>
        <w:t>: Gibbs reflective cycle</w:t>
      </w:r>
    </w:p>
    <w:p w14:paraId="2997E173" w14:textId="77777777" w:rsidR="0023423E" w:rsidRPr="00A96A39" w:rsidRDefault="0023423E" w:rsidP="00F7701B">
      <w:pPr>
        <w:pStyle w:val="Heading3"/>
        <w:spacing w:line="360" w:lineRule="auto"/>
        <w:rPr>
          <w:rFonts w:cs="Times New Roman"/>
          <w:lang w:val="en-US"/>
        </w:rPr>
      </w:pPr>
      <w:bookmarkStart w:id="24" w:name="_Toc237267320"/>
      <w:r w:rsidRPr="00A96A39">
        <w:rPr>
          <w:rFonts w:cs="Times New Roman"/>
          <w:lang w:val="en-US"/>
        </w:rPr>
        <w:t>Description</w:t>
      </w:r>
      <w:bookmarkEnd w:id="24"/>
    </w:p>
    <w:p w14:paraId="42B0C787" w14:textId="48D8D0CA" w:rsidR="0023423E"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The assignment involved a theory-based analysis of the strategy that Kajima should use to enter the Nigerian construction industry and a suggested approach to entry. I classified Kajima using the typology of Bartlett and Ghoshal, I did a macro environmental appraisal of Nigeria by studying the political, economic, legal and cultural environment, </w:t>
      </w:r>
      <w:r w:rsidR="00A4665A" w:rsidRPr="00A96A39">
        <w:rPr>
          <w:rFonts w:ascii="Times New Roman" w:hAnsi="Times New Roman" w:cs="Times New Roman"/>
          <w:sz w:val="24"/>
          <w:szCs w:val="24"/>
          <w:lang w:val="en-US"/>
        </w:rPr>
        <w:t>and then</w:t>
      </w:r>
      <w:r w:rsidRPr="00A96A39">
        <w:rPr>
          <w:rFonts w:ascii="Times New Roman" w:hAnsi="Times New Roman" w:cs="Times New Roman"/>
          <w:sz w:val="24"/>
          <w:szCs w:val="24"/>
          <w:lang w:val="en-US"/>
        </w:rPr>
        <w:t xml:space="preserve"> I analysed the ownership advantage, location advantage and internalisation advantage using the eclectic (OLI) paradigm before recommending joint venture. This involved considerable secondary research, which included company reports, government publications, publications from the NIPC, industry databases and peer-reviewed articles on FDI in Sub-Saharan Africa.</w:t>
      </w:r>
    </w:p>
    <w:p w14:paraId="12E35C37" w14:textId="77777777" w:rsidR="0023423E" w:rsidRPr="00A96A39" w:rsidRDefault="0023423E" w:rsidP="00F7701B">
      <w:pPr>
        <w:pStyle w:val="Heading3"/>
        <w:spacing w:line="360" w:lineRule="auto"/>
        <w:rPr>
          <w:rFonts w:cs="Times New Roman"/>
          <w:lang w:val="en-US"/>
        </w:rPr>
      </w:pPr>
      <w:bookmarkStart w:id="25" w:name="_Toc237267321"/>
      <w:r w:rsidRPr="00A96A39">
        <w:rPr>
          <w:rFonts w:cs="Times New Roman"/>
          <w:lang w:val="en-US"/>
        </w:rPr>
        <w:lastRenderedPageBreak/>
        <w:t>Feelings</w:t>
      </w:r>
      <w:bookmarkEnd w:id="25"/>
    </w:p>
    <w:p w14:paraId="3755591C" w14:textId="77777777" w:rsidR="0023423E"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My initial hesitation with the project was that I was trying to apply frameworks I learned in lectures to a real, unknown market, as opposed to a textbook scenario. I was aware that part of my previous academic education had focussed on description rather than critical evaluation, and this was an uncomfortable transition to put myself in a more argumentative mode at first. This is not unusual when it comes to demonstrating that learning and adapting to new academic practices is a learning process on its own, aside from the content one is learning (Ezezika and Johnston, 2022). My confidence increased as the patterns became clearer in the data and, by the analysis stage, I felt like I was in the process of learning and was not too anxious.</w:t>
      </w:r>
    </w:p>
    <w:p w14:paraId="60486AAD" w14:textId="77777777" w:rsidR="0023423E" w:rsidRPr="00A96A39" w:rsidRDefault="0023423E" w:rsidP="00F7701B">
      <w:pPr>
        <w:pStyle w:val="Heading3"/>
        <w:spacing w:line="360" w:lineRule="auto"/>
        <w:rPr>
          <w:rFonts w:cs="Times New Roman"/>
          <w:lang w:val="en-US"/>
        </w:rPr>
      </w:pPr>
      <w:bookmarkStart w:id="26" w:name="_Toc237267322"/>
      <w:r w:rsidRPr="00A96A39">
        <w:rPr>
          <w:rFonts w:cs="Times New Roman"/>
          <w:lang w:val="en-US"/>
        </w:rPr>
        <w:t>Evaluation</w:t>
      </w:r>
      <w:bookmarkEnd w:id="26"/>
    </w:p>
    <w:p w14:paraId="55315114" w14:textId="76B19248" w:rsidR="0023423E"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The elements that worked well have been building the report around a clear theoretical scaffold: Bartlett and Ghoshal for classification, PESTLE type analysis for the macro-environment, Hofstede for culture and Dunning's OLI for entry decision. This helped me to focus on the research and prevented me from gathering data without purpose. Finally, cross-referencing sources, for example, comparing NIPC policy documents with independent industry comment provided further confidence in my conclusions for political and regulatory risk. One thing that did not go as planned was time management – I underestimated the amount of time it would take me to find credible and up-to-date data on Nigeria's construction market, and at first</w:t>
      </w:r>
      <w:r w:rsidR="004E692B">
        <w:rPr>
          <w:rFonts w:ascii="Times New Roman" w:hAnsi="Times New Roman" w:cs="Times New Roman"/>
          <w:sz w:val="24"/>
          <w:szCs w:val="24"/>
          <w:lang w:val="en-US"/>
        </w:rPr>
        <w:t xml:space="preserve"> </w:t>
      </w:r>
      <w:r w:rsidRPr="00A96A39">
        <w:rPr>
          <w:rFonts w:ascii="Times New Roman" w:hAnsi="Times New Roman" w:cs="Times New Roman"/>
          <w:sz w:val="24"/>
          <w:szCs w:val="24"/>
          <w:lang w:val="en-US"/>
        </w:rPr>
        <w:t>I attempted to use data that was too old or too general to support any specific recomm</w:t>
      </w:r>
      <w:r w:rsidR="00781C6B" w:rsidRPr="00A96A39">
        <w:rPr>
          <w:rFonts w:ascii="Times New Roman" w:hAnsi="Times New Roman" w:cs="Times New Roman"/>
          <w:sz w:val="24"/>
          <w:szCs w:val="24"/>
          <w:lang w:val="en-US"/>
        </w:rPr>
        <w:t>endation</w:t>
      </w:r>
      <w:r w:rsidRPr="00A96A39">
        <w:rPr>
          <w:rFonts w:ascii="Times New Roman" w:hAnsi="Times New Roman" w:cs="Times New Roman"/>
          <w:sz w:val="24"/>
          <w:szCs w:val="24"/>
          <w:lang w:val="en-US"/>
        </w:rPr>
        <w:t>.</w:t>
      </w:r>
    </w:p>
    <w:p w14:paraId="60004B20" w14:textId="77777777" w:rsidR="0023423E" w:rsidRPr="00A96A39" w:rsidRDefault="0023423E" w:rsidP="00F7701B">
      <w:pPr>
        <w:pStyle w:val="Heading3"/>
        <w:spacing w:line="360" w:lineRule="auto"/>
        <w:rPr>
          <w:rFonts w:cs="Times New Roman"/>
          <w:lang w:val="en-US"/>
        </w:rPr>
      </w:pPr>
      <w:bookmarkStart w:id="27" w:name="_Toc237267323"/>
      <w:r w:rsidRPr="00A96A39">
        <w:rPr>
          <w:rFonts w:cs="Times New Roman"/>
          <w:lang w:val="en-US"/>
        </w:rPr>
        <w:t>Analysis</w:t>
      </w:r>
      <w:bookmarkEnd w:id="27"/>
    </w:p>
    <w:p w14:paraId="064EE2D2" w14:textId="78D53F0B" w:rsidR="0023423E"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 xml:space="preserve">There are several reasons for this process going the way it did. First, though widely used, Dunning's OLI framework is more of a conceptual </w:t>
      </w:r>
      <w:r w:rsidR="00700B89" w:rsidRPr="00A96A39">
        <w:rPr>
          <w:rFonts w:ascii="Times New Roman" w:hAnsi="Times New Roman" w:cs="Times New Roman"/>
          <w:sz w:val="24"/>
          <w:szCs w:val="24"/>
          <w:lang w:val="en-US"/>
        </w:rPr>
        <w:t>framework than a checklist. R</w:t>
      </w:r>
      <w:r w:rsidRPr="00A96A39">
        <w:rPr>
          <w:rFonts w:ascii="Times New Roman" w:hAnsi="Times New Roman" w:cs="Times New Roman"/>
          <w:sz w:val="24"/>
          <w:szCs w:val="24"/>
          <w:lang w:val="en-US"/>
        </w:rPr>
        <w:t>ecent literature proves that it works as an "envelope" that can be applied to the sector and country under consideration, rather than applied mechanically (Yu Ren, 2024). By recognising this, I was able to look specifically for evidence of FDI in the Nigeria or construction sector and not just for FDI in general, making the ownership, location and internalisation analysis</w:t>
      </w:r>
      <w:r w:rsidR="00700B89" w:rsidRPr="00A96A39">
        <w:rPr>
          <w:rFonts w:ascii="Times New Roman" w:hAnsi="Times New Roman" w:cs="Times New Roman"/>
          <w:sz w:val="24"/>
          <w:szCs w:val="24"/>
          <w:lang w:val="en-US"/>
        </w:rPr>
        <w:t xml:space="preserve"> more specific. Second, the</w:t>
      </w:r>
      <w:r w:rsidRPr="00A96A39">
        <w:rPr>
          <w:rFonts w:ascii="Times New Roman" w:hAnsi="Times New Roman" w:cs="Times New Roman"/>
          <w:sz w:val="24"/>
          <w:szCs w:val="24"/>
          <w:lang w:val="en-US"/>
        </w:rPr>
        <w:t xml:space="preserve"> </w:t>
      </w:r>
      <w:r w:rsidR="00700B89" w:rsidRPr="00A96A39">
        <w:rPr>
          <w:rFonts w:ascii="Times New Roman" w:hAnsi="Times New Roman" w:cs="Times New Roman"/>
          <w:sz w:val="24"/>
          <w:szCs w:val="24"/>
          <w:lang w:val="en-US"/>
        </w:rPr>
        <w:t>lack of familiarity with credible and not credible</w:t>
      </w:r>
      <w:r w:rsidRPr="00A96A39">
        <w:rPr>
          <w:rFonts w:ascii="Times New Roman" w:hAnsi="Times New Roman" w:cs="Times New Roman"/>
          <w:sz w:val="24"/>
          <w:szCs w:val="24"/>
          <w:lang w:val="en-US"/>
        </w:rPr>
        <w:t xml:space="preserve"> sources of information from African markets mirrored a lack of confidence in which African-market business databases and government portals are to be trusted in a European academi</w:t>
      </w:r>
      <w:r w:rsidR="00781C6B" w:rsidRPr="00A96A39">
        <w:rPr>
          <w:rFonts w:ascii="Times New Roman" w:hAnsi="Times New Roman" w:cs="Times New Roman"/>
          <w:sz w:val="24"/>
          <w:szCs w:val="24"/>
          <w:lang w:val="en-US"/>
        </w:rPr>
        <w:t>c context</w:t>
      </w:r>
      <w:r w:rsidRPr="00A96A39">
        <w:rPr>
          <w:rFonts w:ascii="Times New Roman" w:hAnsi="Times New Roman" w:cs="Times New Roman"/>
          <w:sz w:val="24"/>
          <w:szCs w:val="24"/>
          <w:lang w:val="en-US"/>
        </w:rPr>
        <w:t xml:space="preserve">. Third, the literature on acculturation pointed out that stress due to the adjustment to the new academic environment may </w:t>
      </w:r>
      <w:r w:rsidRPr="00A96A39">
        <w:rPr>
          <w:rFonts w:ascii="Times New Roman" w:hAnsi="Times New Roman" w:cs="Times New Roman"/>
          <w:sz w:val="24"/>
          <w:szCs w:val="24"/>
          <w:lang w:val="en-US"/>
        </w:rPr>
        <w:lastRenderedPageBreak/>
        <w:t>have a negative impact on the effectiveness of study, especially in a period when a student's command of the language is still l</w:t>
      </w:r>
      <w:r w:rsidR="00700B89" w:rsidRPr="00A96A39">
        <w:rPr>
          <w:rFonts w:ascii="Times New Roman" w:hAnsi="Times New Roman" w:cs="Times New Roman"/>
          <w:sz w:val="24"/>
          <w:szCs w:val="24"/>
          <w:lang w:val="en-US"/>
        </w:rPr>
        <w:t>imited (Lashari et al., 2022). K</w:t>
      </w:r>
      <w:r w:rsidRPr="00A96A39">
        <w:rPr>
          <w:rFonts w:ascii="Times New Roman" w:hAnsi="Times New Roman" w:cs="Times New Roman"/>
          <w:sz w:val="24"/>
          <w:szCs w:val="24"/>
          <w:lang w:val="en-US"/>
        </w:rPr>
        <w:t>nowing this made me schedule research time earlier than I thought I would work at the pace o</w:t>
      </w:r>
      <w:r w:rsidR="00781C6B" w:rsidRPr="00A96A39">
        <w:rPr>
          <w:rFonts w:ascii="Times New Roman" w:hAnsi="Times New Roman" w:cs="Times New Roman"/>
          <w:sz w:val="24"/>
          <w:szCs w:val="24"/>
          <w:lang w:val="en-US"/>
        </w:rPr>
        <w:t>f the familiar academic system.</w:t>
      </w:r>
    </w:p>
    <w:p w14:paraId="1B603DC0" w14:textId="77777777" w:rsidR="0023423E" w:rsidRPr="00A96A39" w:rsidRDefault="0023423E" w:rsidP="00F7701B">
      <w:pPr>
        <w:pStyle w:val="Heading3"/>
        <w:spacing w:line="360" w:lineRule="auto"/>
        <w:rPr>
          <w:rFonts w:cs="Times New Roman"/>
          <w:lang w:val="en-US"/>
        </w:rPr>
      </w:pPr>
      <w:bookmarkStart w:id="28" w:name="_Toc237267324"/>
      <w:r w:rsidRPr="00A96A39">
        <w:rPr>
          <w:rFonts w:cs="Times New Roman"/>
          <w:lang w:val="en-US"/>
        </w:rPr>
        <w:t>Conclusion</w:t>
      </w:r>
      <w:bookmarkEnd w:id="28"/>
    </w:p>
    <w:p w14:paraId="562DAFB6" w14:textId="518E92BC" w:rsidR="0023423E" w:rsidRPr="00E678AB"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Overall, the process demonstrated that the theory-driven approach to research planning is much more effective than the open-ended approach</w:t>
      </w:r>
      <w:r w:rsidR="000D6532" w:rsidRPr="00A96A39">
        <w:rPr>
          <w:rFonts w:ascii="Times New Roman" w:hAnsi="Times New Roman" w:cs="Times New Roman"/>
          <w:sz w:val="24"/>
          <w:szCs w:val="24"/>
          <w:lang w:val="en-US"/>
        </w:rPr>
        <w:t xml:space="preserve"> to searching. Besides, I realised that </w:t>
      </w:r>
      <w:r w:rsidRPr="00A96A39">
        <w:rPr>
          <w:rFonts w:ascii="Times New Roman" w:hAnsi="Times New Roman" w:cs="Times New Roman"/>
          <w:sz w:val="24"/>
          <w:szCs w:val="24"/>
          <w:lang w:val="en-US"/>
        </w:rPr>
        <w:t xml:space="preserve">evaluating source credibility is not a one-time filter but rather an on-going task. I </w:t>
      </w:r>
      <w:r w:rsidR="000D6532" w:rsidRPr="00A96A39">
        <w:rPr>
          <w:rFonts w:ascii="Times New Roman" w:hAnsi="Times New Roman" w:cs="Times New Roman"/>
          <w:sz w:val="24"/>
          <w:szCs w:val="24"/>
          <w:lang w:val="en-US"/>
        </w:rPr>
        <w:t xml:space="preserve">also </w:t>
      </w:r>
      <w:r w:rsidRPr="00A96A39">
        <w:rPr>
          <w:rFonts w:ascii="Times New Roman" w:hAnsi="Times New Roman" w:cs="Times New Roman"/>
          <w:sz w:val="24"/>
          <w:szCs w:val="24"/>
          <w:lang w:val="en-US"/>
        </w:rPr>
        <w:t>learnt that there are indeed variables in my working process, like my own adjustment as an international student to the academic environment, especially in the conventions of critical writing and research pace,</w:t>
      </w:r>
      <w:r w:rsidR="00781C6B" w:rsidRPr="00A96A39">
        <w:rPr>
          <w:rFonts w:ascii="Times New Roman" w:hAnsi="Times New Roman" w:cs="Times New Roman"/>
          <w:sz w:val="24"/>
          <w:szCs w:val="24"/>
          <w:lang w:val="en-US"/>
        </w:rPr>
        <w:t xml:space="preserve"> which are not background noise</w:t>
      </w:r>
      <w:r w:rsidRPr="00A96A39">
        <w:rPr>
          <w:rFonts w:ascii="Times New Roman" w:hAnsi="Times New Roman" w:cs="Times New Roman"/>
          <w:sz w:val="24"/>
          <w:szCs w:val="24"/>
          <w:lang w:val="en-US"/>
        </w:rPr>
        <w:t>.</w:t>
      </w:r>
      <w:r w:rsidR="000D6532" w:rsidRPr="00A96A39">
        <w:rPr>
          <w:rFonts w:ascii="Times New Roman" w:hAnsi="Times New Roman" w:cs="Times New Roman"/>
          <w:sz w:val="23"/>
          <w:szCs w:val="23"/>
        </w:rPr>
        <w:t xml:space="preserve"> </w:t>
      </w:r>
      <w:r w:rsidR="000D6532" w:rsidRPr="00E678AB">
        <w:rPr>
          <w:rFonts w:ascii="Times New Roman" w:hAnsi="Times New Roman" w:cs="Times New Roman"/>
          <w:sz w:val="24"/>
          <w:szCs w:val="24"/>
        </w:rPr>
        <w:t>Course discussions and case examples were especially helpful in illustrating how these models are applied to real multinational decisions as opposed to their static definitions</w:t>
      </w:r>
      <w:r w:rsidRPr="00E678AB">
        <w:rPr>
          <w:rFonts w:ascii="Times New Roman" w:hAnsi="Times New Roman" w:cs="Times New Roman"/>
          <w:sz w:val="24"/>
          <w:szCs w:val="24"/>
          <w:lang w:val="en-US"/>
        </w:rPr>
        <w:t>.</w:t>
      </w:r>
    </w:p>
    <w:p w14:paraId="31BAC577" w14:textId="77777777" w:rsidR="0023423E" w:rsidRPr="00A96A39" w:rsidRDefault="0023423E" w:rsidP="00F7701B">
      <w:pPr>
        <w:pStyle w:val="Heading3"/>
        <w:spacing w:line="360" w:lineRule="auto"/>
        <w:rPr>
          <w:rFonts w:cs="Times New Roman"/>
          <w:lang w:val="en-US"/>
        </w:rPr>
      </w:pPr>
      <w:bookmarkStart w:id="29" w:name="_Toc237267325"/>
      <w:r w:rsidRPr="00A96A39">
        <w:rPr>
          <w:rFonts w:cs="Times New Roman"/>
          <w:lang w:val="en-US"/>
        </w:rPr>
        <w:t>Action Plan</w:t>
      </w:r>
      <w:bookmarkEnd w:id="29"/>
    </w:p>
    <w:p w14:paraId="2495B9FB" w14:textId="0ADD7BD2" w:rsidR="00781C6B" w:rsidRPr="00A96A39" w:rsidRDefault="0023423E" w:rsidP="00F7701B">
      <w:pPr>
        <w:spacing w:line="360" w:lineRule="auto"/>
        <w:rPr>
          <w:rFonts w:ascii="Times New Roman" w:hAnsi="Times New Roman" w:cs="Times New Roman"/>
          <w:sz w:val="24"/>
          <w:szCs w:val="24"/>
          <w:lang w:val="en-US"/>
        </w:rPr>
      </w:pPr>
      <w:r w:rsidRPr="00A96A39">
        <w:rPr>
          <w:rFonts w:ascii="Times New Roman" w:hAnsi="Times New Roman" w:cs="Times New Roman"/>
          <w:sz w:val="24"/>
          <w:szCs w:val="24"/>
          <w:lang w:val="en-US"/>
        </w:rPr>
        <w:t>In the future, I will initiate my secondary research earlier and make a source log to start with and document the credibility rationale</w:t>
      </w:r>
      <w:r w:rsidR="002F03E6" w:rsidRPr="00A96A39">
        <w:rPr>
          <w:rFonts w:ascii="Times New Roman" w:hAnsi="Times New Roman" w:cs="Times New Roman"/>
          <w:sz w:val="24"/>
          <w:szCs w:val="24"/>
          <w:lang w:val="en-US"/>
        </w:rPr>
        <w:t xml:space="preserve"> for each source early on. This</w:t>
      </w:r>
      <w:r w:rsidRPr="00A96A39">
        <w:rPr>
          <w:rFonts w:ascii="Times New Roman" w:hAnsi="Times New Roman" w:cs="Times New Roman"/>
          <w:sz w:val="24"/>
          <w:szCs w:val="24"/>
          <w:lang w:val="en-US"/>
        </w:rPr>
        <w:t xml:space="preserve"> will help me avoid going to the source substitution stage that I went through this time. </w:t>
      </w:r>
      <w:r w:rsidR="002F03E6" w:rsidRPr="00A96A39">
        <w:rPr>
          <w:rFonts w:ascii="Times New Roman" w:hAnsi="Times New Roman" w:cs="Times New Roman"/>
          <w:sz w:val="24"/>
          <w:szCs w:val="24"/>
          <w:lang w:val="en-US"/>
        </w:rPr>
        <w:t xml:space="preserve">I will also practice making evaluative arguments for descriptive notes as I read, instead of synthesizing in the final. Considering the language and adjustment pressures found in international student literature, I will try to use more of the academic writing support and peer discussion groups I have to hand earlier in the </w:t>
      </w:r>
      <w:r w:rsidR="00781C6B" w:rsidRPr="00A96A39">
        <w:rPr>
          <w:rFonts w:ascii="Times New Roman" w:hAnsi="Times New Roman" w:cs="Times New Roman"/>
          <w:sz w:val="24"/>
          <w:szCs w:val="24"/>
          <w:lang w:val="en-US"/>
        </w:rPr>
        <w:t>semester, instead of at the end</w:t>
      </w:r>
      <w:r w:rsidR="002F03E6" w:rsidRPr="00A96A39">
        <w:rPr>
          <w:rFonts w:ascii="Times New Roman" w:hAnsi="Times New Roman" w:cs="Times New Roman"/>
          <w:sz w:val="24"/>
          <w:szCs w:val="24"/>
          <w:lang w:val="en-US"/>
        </w:rPr>
        <w:t>.</w:t>
      </w:r>
    </w:p>
    <w:p w14:paraId="4F765D13" w14:textId="66D4F0B6" w:rsidR="007A08E1" w:rsidRPr="00A96A39" w:rsidRDefault="00781C6B" w:rsidP="00781C6B">
      <w:pPr>
        <w:rPr>
          <w:rFonts w:ascii="Times New Roman" w:hAnsi="Times New Roman" w:cs="Times New Roman"/>
          <w:sz w:val="24"/>
          <w:szCs w:val="24"/>
          <w:lang w:val="en-US"/>
        </w:rPr>
      </w:pPr>
      <w:r w:rsidRPr="00A96A39">
        <w:rPr>
          <w:rFonts w:ascii="Times New Roman" w:hAnsi="Times New Roman" w:cs="Times New Roman"/>
          <w:sz w:val="24"/>
          <w:szCs w:val="24"/>
          <w:lang w:val="en-US"/>
        </w:rPr>
        <w:br w:type="page"/>
      </w:r>
    </w:p>
    <w:p w14:paraId="5104A82A" w14:textId="45E2B610" w:rsidR="007A08E1" w:rsidRPr="00A96A39" w:rsidRDefault="007A08E1" w:rsidP="00F7701B">
      <w:pPr>
        <w:pStyle w:val="Heading1"/>
        <w:spacing w:line="360" w:lineRule="auto"/>
        <w:rPr>
          <w:rFonts w:cs="Times New Roman"/>
          <w:lang w:val="en-US"/>
        </w:rPr>
      </w:pPr>
      <w:bookmarkStart w:id="30" w:name="_Toc237267326"/>
      <w:r w:rsidRPr="00A96A39">
        <w:rPr>
          <w:rFonts w:cs="Times New Roman"/>
          <w:lang w:val="en-US"/>
        </w:rPr>
        <w:lastRenderedPageBreak/>
        <w:t>References</w:t>
      </w:r>
      <w:bookmarkEnd w:id="30"/>
      <w:r w:rsidRPr="00A96A39">
        <w:rPr>
          <w:rFonts w:cs="Times New Roman"/>
          <w:lang w:val="en-US"/>
        </w:rPr>
        <w:t xml:space="preserve"> </w:t>
      </w:r>
    </w:p>
    <w:p w14:paraId="548883F1" w14:textId="77777777" w:rsidR="007A08E1" w:rsidRPr="00A96A39" w:rsidRDefault="007A08E1" w:rsidP="00F7701B">
      <w:pPr>
        <w:pStyle w:val="NormalWeb"/>
        <w:spacing w:before="0" w:beforeAutospacing="0" w:after="240" w:afterAutospacing="0" w:line="360" w:lineRule="auto"/>
      </w:pPr>
      <w:r w:rsidRPr="00A96A39">
        <w:t xml:space="preserve">African Development Bank Group (2025). </w:t>
      </w:r>
      <w:r w:rsidRPr="00A96A39">
        <w:rPr>
          <w:i/>
          <w:iCs/>
        </w:rPr>
        <w:t>Nigeria’s development transformation offers lessons at continental scale</w:t>
      </w:r>
      <w:r w:rsidRPr="00A96A39">
        <w:t xml:space="preserve">. [online] </w:t>
      </w:r>
      <w:r w:rsidRPr="00A96A39">
        <w:rPr>
          <w:i/>
          <w:iCs/>
        </w:rPr>
        <w:t>African Development Bank Group</w:t>
      </w:r>
      <w:r w:rsidRPr="00A96A39">
        <w:t>. Available at: https://www.afdb.org/en/news-and-events/nigerias-development-transformation-offers-lessons-continental-scale-85909 [Accessed 25 July 2026].</w:t>
      </w:r>
    </w:p>
    <w:p w14:paraId="597D80C3" w14:textId="52C9254E" w:rsidR="00AD73C7" w:rsidRPr="00A96A39" w:rsidRDefault="00AD73C7" w:rsidP="00F7701B">
      <w:pPr>
        <w:pStyle w:val="NormalWeb"/>
        <w:spacing w:before="0" w:beforeAutospacing="0" w:after="240" w:afterAutospacing="0" w:line="360" w:lineRule="auto"/>
      </w:pPr>
      <w:r w:rsidRPr="00A96A39">
        <w:t>Aina, D. (2025). NOTAP moves to curb hidden tech transfers, achieves 70% compliance. [Online] Punch Newspapers. Available at: https://punchng.com/notap-moves-to-curb-hidden-tech-transfers-achieves-70-compliance/ [Accessed 7 Aug. 2026].</w:t>
      </w:r>
    </w:p>
    <w:p w14:paraId="143AA911" w14:textId="77777777" w:rsidR="007A08E1" w:rsidRPr="00A96A39" w:rsidRDefault="007A08E1" w:rsidP="00F7701B">
      <w:pPr>
        <w:pStyle w:val="NormalWeb"/>
        <w:spacing w:before="0" w:beforeAutospacing="0" w:after="240" w:afterAutospacing="0" w:line="360" w:lineRule="auto"/>
      </w:pPr>
      <w:r w:rsidRPr="00A96A39">
        <w:t xml:space="preserve">Arslan, V., Ulubeyli, S. and Dogan, E. (2023). Diversification strategy of Construction companies: Types and modes. </w:t>
      </w:r>
      <w:r w:rsidRPr="00A96A39">
        <w:rPr>
          <w:i/>
          <w:iCs/>
        </w:rPr>
        <w:t>2Nd atlas international conference on research in Applied sciences</w:t>
      </w:r>
      <w:r w:rsidRPr="00A96A39">
        <w:t>, [online] 12(2). Available at: https://www.researchgate.net/publication/369479720_Diversification_Strategy_of_Construction_Companies_Types_and_Modes [Accessed 25 July 2026].</w:t>
      </w:r>
    </w:p>
    <w:p w14:paraId="2974B5F6" w14:textId="77777777" w:rsidR="007A08E1" w:rsidRPr="00A96A39" w:rsidRDefault="007A08E1" w:rsidP="00F7701B">
      <w:pPr>
        <w:pStyle w:val="NormalWeb"/>
        <w:spacing w:before="0" w:beforeAutospacing="0" w:after="240" w:afterAutospacing="0" w:line="360" w:lineRule="auto"/>
      </w:pPr>
      <w:r w:rsidRPr="00A96A39">
        <w:t xml:space="preserve">Bala, A., Ibrahim, A.B. and Yaro, I.A. (2025). Foreign exchange volatility and inflation rate in Nigeria. </w:t>
      </w:r>
      <w:r w:rsidRPr="00A96A39">
        <w:rPr>
          <w:i/>
          <w:iCs/>
        </w:rPr>
        <w:t>World journal of Advanced research and reviews</w:t>
      </w:r>
      <w:r w:rsidRPr="00A96A39">
        <w:t>, [online] 28(3), pp.1389–1393. doi:10.30574/wjarr.2025.28.3.4202.</w:t>
      </w:r>
    </w:p>
    <w:p w14:paraId="7D756E76" w14:textId="77777777" w:rsidR="007A08E1" w:rsidRPr="00A96A39" w:rsidRDefault="007A08E1" w:rsidP="00F7701B">
      <w:pPr>
        <w:pStyle w:val="NormalWeb"/>
        <w:spacing w:before="0" w:beforeAutospacing="0" w:after="240" w:afterAutospacing="0" w:line="360" w:lineRule="auto"/>
      </w:pPr>
      <w:r w:rsidRPr="00A96A39">
        <w:t xml:space="preserve">Bala, H. (2021). Public procurement ACT and its application for practice. </w:t>
      </w:r>
      <w:r w:rsidRPr="00A96A39">
        <w:rPr>
          <w:i/>
          <w:iCs/>
        </w:rPr>
        <w:t>ResearchGate</w:t>
      </w:r>
      <w:r w:rsidRPr="00A96A39">
        <w:t>, [online] 6(1), pp.71–80. Available at: https://www.researchgate.net/publication/353369778_PUBLIC_PROCUREMENT_ACT_AND_ITS_APPLICATION_FOR_PRACTICE [Accessed 25 July 2026].</w:t>
      </w:r>
    </w:p>
    <w:p w14:paraId="1D1BABBE" w14:textId="77777777" w:rsidR="007A08E1" w:rsidRPr="00A96A39" w:rsidRDefault="007A08E1" w:rsidP="00F7701B">
      <w:pPr>
        <w:pStyle w:val="NormalWeb"/>
        <w:spacing w:before="0" w:beforeAutospacing="0" w:after="240" w:afterAutospacing="0" w:line="360" w:lineRule="auto"/>
      </w:pPr>
      <w:r w:rsidRPr="00A96A39">
        <w:t xml:space="preserve">charles, M. (2022). </w:t>
      </w:r>
      <w:r w:rsidRPr="00A96A39">
        <w:rPr>
          <w:i/>
          <w:iCs/>
        </w:rPr>
        <w:t>Describing the nigerian society using the Hofstede’s model of cultural dimensions (part two)</w:t>
      </w:r>
      <w:r w:rsidRPr="00A96A39">
        <w:t xml:space="preserve">. [online] </w:t>
      </w:r>
      <w:r w:rsidRPr="00A96A39">
        <w:rPr>
          <w:i/>
          <w:iCs/>
        </w:rPr>
        <w:t>Medium</w:t>
      </w:r>
      <w:r w:rsidRPr="00A96A39">
        <w:t>. Available at: https://medium.com/@martinscharles561/describing-the-nigerian-society-using-the-hofstedes-model-of-cultural-dimensions-part-two-9ef03ac03977 [Accessed 25 July 2026].</w:t>
      </w:r>
    </w:p>
    <w:p w14:paraId="09A8FBC7" w14:textId="34E3077F" w:rsidR="00AD73C7" w:rsidRPr="00A96A39" w:rsidRDefault="00AD73C7" w:rsidP="00F7701B">
      <w:pPr>
        <w:pStyle w:val="NormalWeb"/>
        <w:spacing w:before="0" w:beforeAutospacing="0" w:after="240" w:afterAutospacing="0" w:line="360" w:lineRule="auto"/>
      </w:pPr>
      <w:r w:rsidRPr="00A96A39">
        <w:t>Egemonye (2026). Local content requirements for companies with foreign ownership in nigeria - global law experts. [</w:t>
      </w:r>
      <w:r w:rsidR="00271141" w:rsidRPr="00A96A39">
        <w:t>Online</w:t>
      </w:r>
      <w:r w:rsidRPr="00A96A39">
        <w:t xml:space="preserve">] Global Law Experts. Available at: </w:t>
      </w:r>
      <w:r w:rsidRPr="00A96A39">
        <w:lastRenderedPageBreak/>
        <w:t>https://globallawexperts.com/local-content-requirements-for-companies-with-foreign-ownership-in-nigeria/ [Accessed 7 Aug. 2026].</w:t>
      </w:r>
    </w:p>
    <w:p w14:paraId="499849B3" w14:textId="77777777" w:rsidR="007A08E1" w:rsidRPr="00A96A39" w:rsidRDefault="007A08E1" w:rsidP="00F7701B">
      <w:pPr>
        <w:pStyle w:val="NormalWeb"/>
        <w:spacing w:before="0" w:beforeAutospacing="0" w:after="240" w:afterAutospacing="0" w:line="360" w:lineRule="auto"/>
      </w:pPr>
      <w:r w:rsidRPr="00A96A39">
        <w:t xml:space="preserve">Ezezika, O. and Johnston, N. (2022). Development and implementation of a reflective writing assignment for undergraduate students in a large public health biology course. </w:t>
      </w:r>
      <w:r w:rsidRPr="00A96A39">
        <w:rPr>
          <w:i/>
          <w:iCs/>
        </w:rPr>
        <w:t>Pedagogy in Health promotion</w:t>
      </w:r>
      <w:r w:rsidRPr="00A96A39">
        <w:t>, [online] 9(2), pp.101–115. doi:https://doi.org/10.1177/23733799211069993.</w:t>
      </w:r>
    </w:p>
    <w:p w14:paraId="72504246" w14:textId="77777777" w:rsidR="007A08E1" w:rsidRPr="00A96A39" w:rsidRDefault="007A08E1" w:rsidP="00F7701B">
      <w:pPr>
        <w:pStyle w:val="NormalWeb"/>
        <w:spacing w:before="0" w:beforeAutospacing="0" w:after="240" w:afterAutospacing="0" w:line="360" w:lineRule="auto"/>
      </w:pPr>
      <w:r w:rsidRPr="00A96A39">
        <w:t>Fadason, R., Danladi, C. and Tchad, J. (2017). Construction standard and regulation in Nigeria construction standard and regulation in Nigeria. [online] Available at: https://www.fig.net/resources/proceedings/fig_proceedings/fig2017/papers/ts07d/TS07D_fadason_danladi_et_al_8746.pdf [Accessed 25 July 2026].</w:t>
      </w:r>
    </w:p>
    <w:p w14:paraId="0C0B6700" w14:textId="77777777" w:rsidR="007A08E1" w:rsidRPr="00A96A39" w:rsidRDefault="007A08E1" w:rsidP="00F7701B">
      <w:pPr>
        <w:pStyle w:val="NormalWeb"/>
        <w:spacing w:before="0" w:beforeAutospacing="0" w:after="240" w:afterAutospacing="0" w:line="360" w:lineRule="auto"/>
      </w:pPr>
      <w:r w:rsidRPr="00A96A39">
        <w:t xml:space="preserve">Federal Ministry of Finance, Budget and National Planning (2021). </w:t>
      </w:r>
      <w:r w:rsidRPr="00A96A39">
        <w:rPr>
          <w:i/>
          <w:iCs/>
        </w:rPr>
        <w:t>National development plan (NDP) 2021-2025 volume i - climate policy radar</w:t>
      </w:r>
      <w:r w:rsidRPr="00A96A39">
        <w:t>. [online] Climatepolicyradar.org. Available at: https://app.climatepolicyradar.org/documents/national-development-plan-ndp-2021-2025-volume-i_18c9?cfn=distributive+justice [Accessed 25 July 2026].</w:t>
      </w:r>
    </w:p>
    <w:p w14:paraId="2C7B304F" w14:textId="65BD6B71" w:rsidR="007A08E1" w:rsidRPr="00A96A39" w:rsidRDefault="007A08E1" w:rsidP="00F7701B">
      <w:pPr>
        <w:pStyle w:val="NormalWeb"/>
        <w:spacing w:before="0" w:beforeAutospacing="0" w:after="240" w:afterAutospacing="0" w:line="360" w:lineRule="auto"/>
      </w:pPr>
      <w:r w:rsidRPr="00A96A39">
        <w:t xml:space="preserve">Fornés, G. and Altamira, M. (2023). Internationalization, digitalization, and exponential growth. </w:t>
      </w:r>
      <w:r w:rsidRPr="00A96A39">
        <w:rPr>
          <w:i/>
          <w:iCs/>
        </w:rPr>
        <w:t>Springer eBooks</w:t>
      </w:r>
      <w:r w:rsidRPr="00A96A39">
        <w:t xml:space="preserve">, 7(6), pp.29–51. </w:t>
      </w:r>
      <w:r w:rsidR="00F739F0" w:rsidRPr="00A96A39">
        <w:t>Doi: 10.1007</w:t>
      </w:r>
      <w:r w:rsidRPr="00A96A39">
        <w:t>/978-3-031-33111-4_3.</w:t>
      </w:r>
    </w:p>
    <w:p w14:paraId="6679C60F" w14:textId="7439D004" w:rsidR="00F739F0" w:rsidRPr="00A96A39" w:rsidRDefault="00F739F0" w:rsidP="00F7701B">
      <w:pPr>
        <w:pStyle w:val="NormalWeb"/>
        <w:spacing w:before="0" w:beforeAutospacing="0" w:after="240" w:afterAutospacing="0" w:line="360" w:lineRule="auto"/>
      </w:pPr>
      <w:r w:rsidRPr="00A96A39">
        <w:t>Gates, J. (2022). Price escalation clauses in construction contracts. [Online] Lexology. Available at: https://www.lexology.com/library/detail.aspx?g=cbec608f-ff17-4cb7-b666-1bc4283732fa [Accessed 7 Aug. 2026].</w:t>
      </w:r>
    </w:p>
    <w:p w14:paraId="0CF92137" w14:textId="13340A31" w:rsidR="007A08E1" w:rsidRPr="00A96A39" w:rsidRDefault="00F739F0" w:rsidP="00F7701B">
      <w:pPr>
        <w:pStyle w:val="NormalWeb"/>
        <w:spacing w:before="0" w:beforeAutospacing="0" w:after="240" w:afterAutospacing="0" w:line="360" w:lineRule="auto"/>
      </w:pPr>
      <w:r w:rsidRPr="00A96A39">
        <w:t>Ikechi</w:t>
      </w:r>
      <w:r w:rsidR="007A08E1" w:rsidRPr="00A96A39">
        <w:t xml:space="preserve">, S., Chilaka, N., Onyechere, P.O. and Sussan, O.A. (2017). Foreign direct investments and industrial productivity in Nigeria. </w:t>
      </w:r>
      <w:r w:rsidR="007A08E1" w:rsidRPr="00A96A39">
        <w:rPr>
          <w:i/>
          <w:iCs/>
        </w:rPr>
        <w:t>Journal of economics and sustainable development</w:t>
      </w:r>
      <w:r w:rsidR="007A08E1" w:rsidRPr="00A96A39">
        <w:t>, [online] 8(24). Available at: https://www.researchgate.net/publication/385565107_Foreign_Direct_Investments_and_Industrial_Productivity_in_Nigeria [Accessed 25 July 2026].</w:t>
      </w:r>
    </w:p>
    <w:p w14:paraId="4C7BFEA4" w14:textId="77777777" w:rsidR="007A08E1" w:rsidRPr="00A96A39" w:rsidRDefault="007A08E1" w:rsidP="00F7701B">
      <w:pPr>
        <w:pStyle w:val="NormalWeb"/>
        <w:spacing w:before="0" w:beforeAutospacing="0" w:after="240" w:afterAutospacing="0" w:line="360" w:lineRule="auto"/>
      </w:pPr>
      <w:r w:rsidRPr="00A96A39">
        <w:t xml:space="preserve">Itu, M. and Kenigua, W.E. (2021). </w:t>
      </w:r>
      <w:r w:rsidRPr="00A96A39">
        <w:rPr>
          <w:i/>
          <w:iCs/>
        </w:rPr>
        <w:t>The ROLE of public-private partnership (PPP) on infrastructural development in Nigeria</w:t>
      </w:r>
      <w:r w:rsidRPr="00A96A39">
        <w:t>. [online] pp.23–43. Available at: https://www.researchgate.net/publication/361741210_THE_ROLE_OF_PUBLIC-</w:t>
      </w:r>
      <w:r w:rsidRPr="00A96A39">
        <w:lastRenderedPageBreak/>
        <w:t>PRIVATE_PARTNERSHIP_PPP_ON_INFRASTRUCTURAL_DEVELOPMENT_IN_NIGERIA [Accessed 25 July 2026].</w:t>
      </w:r>
    </w:p>
    <w:p w14:paraId="4BE4B43E" w14:textId="77777777" w:rsidR="007A08E1" w:rsidRPr="00A96A39" w:rsidRDefault="007A08E1" w:rsidP="00F7701B">
      <w:pPr>
        <w:pStyle w:val="NormalWeb"/>
        <w:spacing w:before="0" w:beforeAutospacing="0" w:after="240" w:afterAutospacing="0" w:line="360" w:lineRule="auto"/>
      </w:pPr>
      <w:r w:rsidRPr="00A96A39">
        <w:t xml:space="preserve">johnmartin (2026). </w:t>
      </w:r>
      <w:r w:rsidRPr="00A96A39">
        <w:rPr>
          <w:i/>
          <w:iCs/>
        </w:rPr>
        <w:t>Local content requirements for companies with foreign ownership in Nigeria - global law experts</w:t>
      </w:r>
      <w:r w:rsidRPr="00A96A39">
        <w:t>. [online] Global law experts. Available at: https://globallawexperts.com/local-content-requirements-for-companies-with-foreign-ownership-in-nigeria/ [Accessed 25 July 2026].</w:t>
      </w:r>
    </w:p>
    <w:p w14:paraId="1FE3801F" w14:textId="77777777" w:rsidR="007A08E1" w:rsidRPr="00A96A39" w:rsidRDefault="007A08E1" w:rsidP="00F7701B">
      <w:pPr>
        <w:pStyle w:val="NormalWeb"/>
        <w:spacing w:before="0" w:beforeAutospacing="0" w:after="240" w:afterAutospacing="0" w:line="360" w:lineRule="auto"/>
      </w:pPr>
      <w:r w:rsidRPr="00A96A39">
        <w:t xml:space="preserve">Kajima (2018). </w:t>
      </w:r>
      <w:r w:rsidRPr="00A96A39">
        <w:rPr>
          <w:i/>
          <w:iCs/>
        </w:rPr>
        <w:t>Kajima’s overseas operations</w:t>
      </w:r>
      <w:r w:rsidRPr="00A96A39">
        <w:t>. [online] Kajima.co.jp. Available at: https://www.kajima.co.jp/english/tech/overseas/about_us/history/index.html [Accessed 25 July 2026].</w:t>
      </w:r>
    </w:p>
    <w:p w14:paraId="75B6F7AE" w14:textId="77777777" w:rsidR="007A08E1" w:rsidRPr="00A96A39" w:rsidRDefault="007A08E1" w:rsidP="00F7701B">
      <w:pPr>
        <w:pStyle w:val="NormalWeb"/>
        <w:spacing w:before="0" w:beforeAutospacing="0" w:after="240" w:afterAutospacing="0" w:line="360" w:lineRule="auto"/>
      </w:pPr>
      <w:r w:rsidRPr="00A96A39">
        <w:t xml:space="preserve">Kajima (2021). </w:t>
      </w:r>
      <w:r w:rsidRPr="00A96A39">
        <w:rPr>
          <w:i/>
          <w:iCs/>
        </w:rPr>
        <w:t>Engineering services | kajima corporation</w:t>
      </w:r>
      <w:r w:rsidRPr="00A96A39">
        <w:t xml:space="preserve">. [online] </w:t>
      </w:r>
      <w:r w:rsidRPr="00A96A39">
        <w:rPr>
          <w:i/>
          <w:iCs/>
        </w:rPr>
        <w:t>Kajima.co.jp</w:t>
      </w:r>
      <w:r w:rsidRPr="00A96A39">
        <w:t>. Available at: https://www.kajima.co.jp/english/tech/eng/index.html [Accessed 25 July 2026].</w:t>
      </w:r>
    </w:p>
    <w:p w14:paraId="0748C6ED" w14:textId="77777777" w:rsidR="007A08E1" w:rsidRPr="00A96A39" w:rsidRDefault="007A08E1" w:rsidP="00F7701B">
      <w:pPr>
        <w:pStyle w:val="NormalWeb"/>
        <w:spacing w:before="0" w:beforeAutospacing="0" w:after="240" w:afterAutospacing="0" w:line="360" w:lineRule="auto"/>
      </w:pPr>
      <w:r w:rsidRPr="00A96A39">
        <w:t xml:space="preserve">Kajima (2026). </w:t>
      </w:r>
      <w:r w:rsidRPr="00A96A39">
        <w:rPr>
          <w:i/>
          <w:iCs/>
        </w:rPr>
        <w:t>History | corporate profile | kajima corporation</w:t>
      </w:r>
      <w:r w:rsidRPr="00A96A39">
        <w:t xml:space="preserve">. [online] </w:t>
      </w:r>
      <w:r w:rsidRPr="00A96A39">
        <w:rPr>
          <w:i/>
          <w:iCs/>
        </w:rPr>
        <w:t>www.kajima.co.jp</w:t>
      </w:r>
      <w:r w:rsidRPr="00A96A39">
        <w:t>. Available at: https://www.kajima.co.jp/english/prof/history/index.html [Accessed 25 July 2026].</w:t>
      </w:r>
    </w:p>
    <w:p w14:paraId="0E041731" w14:textId="77777777" w:rsidR="007A08E1" w:rsidRPr="00A96A39" w:rsidRDefault="007A08E1" w:rsidP="00F7701B">
      <w:pPr>
        <w:pStyle w:val="NormalWeb"/>
        <w:spacing w:before="0" w:beforeAutospacing="0" w:after="240" w:afterAutospacing="0" w:line="360" w:lineRule="auto"/>
      </w:pPr>
      <w:r w:rsidRPr="00A96A39">
        <w:t xml:space="preserve">Kamleshkumar, R. (2024). A detailed examination of multinational corporations, their organizational frameworks, strategies, and their connection to Global human resource management. </w:t>
      </w:r>
      <w:r w:rsidRPr="00A96A39">
        <w:rPr>
          <w:i/>
          <w:iCs/>
        </w:rPr>
        <w:t xml:space="preserve">International Journal of Creative Research Thoughts </w:t>
      </w:r>
      <w:r w:rsidRPr="00A96A39">
        <w:t>, [online] 12(2). doi:10.13140/RG.2.2.16035.84009.</w:t>
      </w:r>
    </w:p>
    <w:p w14:paraId="4DFA62E7" w14:textId="77777777" w:rsidR="007A08E1" w:rsidRPr="00A96A39" w:rsidRDefault="007A08E1" w:rsidP="00F7701B">
      <w:pPr>
        <w:pStyle w:val="NormalWeb"/>
        <w:spacing w:before="0" w:beforeAutospacing="0" w:after="240" w:afterAutospacing="0" w:line="360" w:lineRule="auto"/>
      </w:pPr>
      <w:r w:rsidRPr="00A96A39">
        <w:t xml:space="preserve">Lashari, S.A., Awang-Hashim, R., Lashari, T.A. and Kaur, A. (2022). Acculturation stress and social support for international students” adjustment in Malaysia: Does language proficiency matter? </w:t>
      </w:r>
      <w:r w:rsidRPr="00A96A39">
        <w:rPr>
          <w:i/>
          <w:iCs/>
        </w:rPr>
        <w:t>Journal of Applied research in Higher education</w:t>
      </w:r>
      <w:r w:rsidRPr="00A96A39">
        <w:t>, 15(2). doi:10.1108/jarhe-07-2021-0285.</w:t>
      </w:r>
    </w:p>
    <w:p w14:paraId="19B1294A" w14:textId="77777777" w:rsidR="007A08E1" w:rsidRPr="00A96A39" w:rsidRDefault="007A08E1" w:rsidP="00F7701B">
      <w:pPr>
        <w:pStyle w:val="NormalWeb"/>
        <w:spacing w:before="0" w:beforeAutospacing="0" w:after="240" w:afterAutospacing="0" w:line="360" w:lineRule="auto"/>
      </w:pPr>
      <w:r w:rsidRPr="00A96A39">
        <w:t xml:space="preserve">Odionye, J.C., Ojiaku, E.U. and Uba, C.N. (2023). Impact of interest rate differential, exchange rate changes and political stability on foreign capital inflow in Nigeria: Discrete threshold regression model. </w:t>
      </w:r>
      <w:r w:rsidRPr="00A96A39">
        <w:rPr>
          <w:i/>
          <w:iCs/>
        </w:rPr>
        <w:t>Cogent economics &amp; finance</w:t>
      </w:r>
      <w:r w:rsidRPr="00A96A39">
        <w:t>, 11(1). doi:10.1080/23322039.2023.2203590.</w:t>
      </w:r>
    </w:p>
    <w:p w14:paraId="3C89A88A" w14:textId="77777777" w:rsidR="007A08E1" w:rsidRPr="00A96A39" w:rsidRDefault="007A08E1" w:rsidP="00F7701B">
      <w:pPr>
        <w:pStyle w:val="NormalWeb"/>
        <w:spacing w:before="0" w:beforeAutospacing="0" w:after="240" w:afterAutospacing="0" w:line="360" w:lineRule="auto"/>
      </w:pPr>
      <w:r w:rsidRPr="00A96A39">
        <w:t xml:space="preserve">Ojobo, H. and Nimlyat, P. (2024). Review on green landscape elements in the urban thermal environment. </w:t>
      </w:r>
      <w:r w:rsidRPr="00A96A39">
        <w:rPr>
          <w:i/>
          <w:iCs/>
        </w:rPr>
        <w:t>Journal of environmental sciences</w:t>
      </w:r>
      <w:r w:rsidRPr="00A96A39">
        <w:t>, [online] 23(1), pp.93–124. Available at: https://journals.unijos.edu.ng/index.php/joes/article/view/335 [Accessed 25 July 2026].</w:t>
      </w:r>
    </w:p>
    <w:p w14:paraId="081399DE" w14:textId="77777777" w:rsidR="007A08E1" w:rsidRPr="00A96A39" w:rsidRDefault="007A08E1" w:rsidP="00F7701B">
      <w:pPr>
        <w:pStyle w:val="NormalWeb"/>
        <w:spacing w:before="0" w:beforeAutospacing="0" w:after="240" w:afterAutospacing="0" w:line="360" w:lineRule="auto"/>
      </w:pPr>
      <w:r w:rsidRPr="00A96A39">
        <w:lastRenderedPageBreak/>
        <w:t xml:space="preserve">Okegbemi, A.C. (2024). </w:t>
      </w:r>
      <w:r w:rsidRPr="00A96A39">
        <w:rPr>
          <w:i/>
          <w:iCs/>
        </w:rPr>
        <w:t>Economic environment factors and how they suppress growth and development in Nigeria</w:t>
      </w:r>
      <w:r w:rsidRPr="00A96A39">
        <w:t xml:space="preserve">. [online] </w:t>
      </w:r>
      <w:r w:rsidRPr="00A96A39">
        <w:rPr>
          <w:i/>
          <w:iCs/>
        </w:rPr>
        <w:t>Academia.edu</w:t>
      </w:r>
      <w:r w:rsidRPr="00A96A39">
        <w:t>. Available at: https://www.academia.edu/download/117195041/Economic_Environment_Factors_and_How_They_Suppress_Growth_and_Development_in_Nigeria.pdf [Accessed 25 July 2026].</w:t>
      </w:r>
    </w:p>
    <w:p w14:paraId="7302840E" w14:textId="77777777" w:rsidR="007A08E1" w:rsidRPr="00A96A39" w:rsidRDefault="007A08E1" w:rsidP="00F7701B">
      <w:pPr>
        <w:pStyle w:val="NormalWeb"/>
        <w:spacing w:before="0" w:beforeAutospacing="0" w:after="240" w:afterAutospacing="0" w:line="360" w:lineRule="auto"/>
      </w:pPr>
      <w:r w:rsidRPr="00A96A39">
        <w:t xml:space="preserve">Okeke, G., Ndubuisi, Amaka, C., Ukandu, O., Harriet Chimezie, Facn, Cletus, E. and Agbakhamen, O. (2025). Construction and infrastructure development in Nigeria: Opportunities and challenges. </w:t>
      </w:r>
      <w:r w:rsidRPr="00A96A39">
        <w:rPr>
          <w:i/>
          <w:iCs/>
        </w:rPr>
        <w:t>International journal of innovative scientific &amp; engineering technologies research</w:t>
      </w:r>
      <w:r w:rsidRPr="00A96A39">
        <w:t>, [online] 13(3), pp.179–204. doi:10.5281/zenodo.17168758.</w:t>
      </w:r>
    </w:p>
    <w:p w14:paraId="429105F2" w14:textId="77777777" w:rsidR="007A08E1" w:rsidRPr="00A96A39" w:rsidRDefault="007A08E1" w:rsidP="00F7701B">
      <w:pPr>
        <w:pStyle w:val="NormalWeb"/>
        <w:spacing w:before="0" w:beforeAutospacing="0" w:after="240" w:afterAutospacing="0" w:line="360" w:lineRule="auto"/>
      </w:pPr>
      <w:r w:rsidRPr="00A96A39">
        <w:t>Otiwa, J., Edet, E.S. and Adomokhai, S. (2021). Hofstede’s cultural dimensions and implications for entrepreneurial development in Nigeria. [online] 2(1), pp.119–126. Available at: https://www.researchgate.net/publication/365207467_HOFSTEDE [Accessed 25 July 2026].</w:t>
      </w:r>
    </w:p>
    <w:p w14:paraId="623700CF" w14:textId="1F213F13" w:rsidR="00AD73C7" w:rsidRPr="00A96A39" w:rsidRDefault="00AD73C7" w:rsidP="00F7701B">
      <w:pPr>
        <w:pStyle w:val="NormalWeb"/>
        <w:spacing w:before="0" w:beforeAutospacing="0" w:after="240" w:afterAutospacing="0" w:line="360" w:lineRule="auto"/>
      </w:pPr>
      <w:r w:rsidRPr="00A96A39">
        <w:t>PENadmin (2025). Local content requirements in Nigeria’s energy sector: A compliance guide for 2025 - penlit and Greyson. [online] Penlit and Greyson. Available at: https://www.penlitandgreyson.com.ng/2025/10/21/local-content-requirements-in-nigerias-energy-sector-a-compliance-guide-for-2025/ [Accessed 7 Aug. 2026].</w:t>
      </w:r>
    </w:p>
    <w:p w14:paraId="197CED26" w14:textId="30521DA1" w:rsidR="003A48AD" w:rsidRPr="00A96A39" w:rsidRDefault="003A48AD" w:rsidP="00F7701B">
      <w:pPr>
        <w:pStyle w:val="NormalWeb"/>
        <w:spacing w:before="0" w:beforeAutospacing="0" w:after="240" w:afterAutospacing="0" w:line="360" w:lineRule="auto"/>
      </w:pPr>
      <w:r w:rsidRPr="00A96A39">
        <w:t>Rajapakshe, W. (2025). Critical risk factors influencing the management of disruptions in construction projects: Insights from recent challenges in Sri Lanka. Social Sciences &amp; Humanities Open, [online] 12(0), p.101748. doi:10.1016/j.ssaho.2025.101748.</w:t>
      </w:r>
    </w:p>
    <w:p w14:paraId="509DEE4E" w14:textId="77777777" w:rsidR="007A08E1" w:rsidRPr="00A96A39" w:rsidRDefault="007A08E1" w:rsidP="00F7701B">
      <w:pPr>
        <w:pStyle w:val="NormalWeb"/>
        <w:spacing w:before="0" w:beforeAutospacing="0" w:after="240" w:afterAutospacing="0" w:line="360" w:lineRule="auto"/>
      </w:pPr>
      <w:r w:rsidRPr="00A96A39">
        <w:t xml:space="preserve">Reinhardt, L. (2025). International market entry modes and their strategic implications for Global business expansion. </w:t>
      </w:r>
      <w:r w:rsidRPr="00A96A39">
        <w:rPr>
          <w:i/>
          <w:iCs/>
        </w:rPr>
        <w:t>Journal of Research in International business and management</w:t>
      </w:r>
      <w:r w:rsidRPr="00A96A39">
        <w:t>, [online] 12(6), pp.1–02. doi:10.14303/jribm.2025.051.</w:t>
      </w:r>
    </w:p>
    <w:p w14:paraId="55CBF48F" w14:textId="77777777" w:rsidR="007A08E1" w:rsidRPr="00A96A39" w:rsidRDefault="007A08E1" w:rsidP="00F7701B">
      <w:pPr>
        <w:pStyle w:val="NormalWeb"/>
        <w:spacing w:before="0" w:beforeAutospacing="0" w:after="240" w:afterAutospacing="0" w:line="360" w:lineRule="auto"/>
      </w:pPr>
      <w:r w:rsidRPr="00A96A39">
        <w:t xml:space="preserve">Ren, Y. (2024). A review of the determinants of Outward foreign direct investment (FDI): From the perspective of the eclectic paradigm. </w:t>
      </w:r>
      <w:r w:rsidRPr="00A96A39">
        <w:rPr>
          <w:i/>
          <w:iCs/>
        </w:rPr>
        <w:t>Academic journal of Business &amp; management</w:t>
      </w:r>
      <w:r w:rsidRPr="00A96A39">
        <w:t>, [online] 6(11), pp.128–132. doi:10.25236/AJBM.2024.061119.</w:t>
      </w:r>
    </w:p>
    <w:p w14:paraId="0C720412" w14:textId="77777777" w:rsidR="007A08E1" w:rsidRPr="00A96A39" w:rsidRDefault="007A08E1" w:rsidP="00F7701B">
      <w:pPr>
        <w:pStyle w:val="NormalWeb"/>
        <w:spacing w:before="0" w:beforeAutospacing="0" w:after="240" w:afterAutospacing="0" w:line="360" w:lineRule="auto"/>
      </w:pPr>
      <w:r w:rsidRPr="00A96A39">
        <w:t xml:space="preserve">Rumapea, T. and Gerarldo, A. (2024). Strategic approaches to International market penetration for local products. </w:t>
      </w:r>
      <w:r w:rsidRPr="00A96A39">
        <w:rPr>
          <w:i/>
          <w:iCs/>
        </w:rPr>
        <w:t>Journal on economics, management and business technology</w:t>
      </w:r>
      <w:r w:rsidRPr="00A96A39">
        <w:t xml:space="preserve">, [online] 2(2), </w:t>
      </w:r>
      <w:r w:rsidRPr="00A96A39">
        <w:lastRenderedPageBreak/>
        <w:t>pp.102–111. Available at: https://www.plus62.isha.or.id/index.php/JEMBUT/article/view/211 [Accessed 25 July 2026].</w:t>
      </w:r>
    </w:p>
    <w:p w14:paraId="05697304" w14:textId="349028E0" w:rsidR="003A48AD" w:rsidRPr="00A96A39" w:rsidRDefault="003A48AD" w:rsidP="00F7701B">
      <w:pPr>
        <w:pStyle w:val="NormalWeb"/>
        <w:spacing w:before="0" w:beforeAutospacing="0" w:after="240" w:afterAutospacing="0" w:line="360" w:lineRule="auto"/>
      </w:pPr>
      <w:r w:rsidRPr="00A96A39">
        <w:t>Ryan, P., Riso, T. and Benarroche, A. (2024). Escalation clauses in construction contracts: When and how they apply | procore. [Online] Procore. Available at: https://www.procore.com/library/escalation-clause [Accessed 7 Aug. 2026].</w:t>
      </w:r>
    </w:p>
    <w:p w14:paraId="0D12CC28" w14:textId="1F43A02E" w:rsidR="007A08E1" w:rsidRPr="00A96A39" w:rsidRDefault="007A08E1" w:rsidP="00F7701B">
      <w:pPr>
        <w:pStyle w:val="NormalWeb"/>
        <w:spacing w:before="0" w:beforeAutospacing="0" w:after="240" w:afterAutospacing="0" w:line="360" w:lineRule="auto"/>
        <w:rPr>
          <w:lang w:val="fr-FR"/>
        </w:rPr>
      </w:pPr>
      <w:r w:rsidRPr="00A96A39">
        <w:t xml:space="preserve">Salem, M., </w:t>
      </w:r>
      <w:r w:rsidR="003A48AD" w:rsidRPr="00A96A39">
        <w:t>Douraid,</w:t>
      </w:r>
      <w:r w:rsidRPr="00A96A39">
        <w:t xml:space="preserve"> A. and Laradi, M. (2026). The evolution of the eclectic paradigm: A review of the OLI framework in International business research. </w:t>
      </w:r>
      <w:r w:rsidRPr="00A96A39">
        <w:rPr>
          <w:i/>
          <w:iCs/>
          <w:lang w:val="fr-FR"/>
        </w:rPr>
        <w:t>Revue marocaine de publication des recherches</w:t>
      </w:r>
      <w:r w:rsidRPr="00A96A39">
        <w:rPr>
          <w:lang w:val="fr-FR"/>
        </w:rPr>
        <w:t xml:space="preserve">, [online] 2(15 - </w:t>
      </w:r>
      <w:r w:rsidRPr="00A96A39">
        <w:t>مارس</w:t>
      </w:r>
      <w:r w:rsidRPr="00A96A39">
        <w:rPr>
          <w:lang w:val="fr-FR"/>
        </w:rPr>
        <w:t>). Available at: https://www.rmprs.com/index.php/rmprs/article/view/214 [Accessed 25 July 2026].</w:t>
      </w:r>
    </w:p>
    <w:p w14:paraId="252ED50D" w14:textId="77777777" w:rsidR="007A08E1" w:rsidRPr="00A96A39" w:rsidRDefault="007A08E1" w:rsidP="00F7701B">
      <w:pPr>
        <w:pStyle w:val="NormalWeb"/>
        <w:spacing w:before="0" w:beforeAutospacing="0" w:after="240" w:afterAutospacing="0" w:line="360" w:lineRule="auto"/>
      </w:pPr>
      <w:r w:rsidRPr="00A96A39">
        <w:t xml:space="preserve">Sandhu, M.A., Ameri, T.A., Shahzad, A. and Naseem, A. (2024). The role of project management office in the implementation of strategic plans in project-based organisations. </w:t>
      </w:r>
      <w:r w:rsidRPr="00A96A39">
        <w:rPr>
          <w:i/>
          <w:iCs/>
        </w:rPr>
        <w:t>PloS one</w:t>
      </w:r>
      <w:r w:rsidRPr="00A96A39">
        <w:t>, 19(7), pp.e0306702-e0306702. doi:10.1371/journal.pone.0306702.</w:t>
      </w:r>
    </w:p>
    <w:p w14:paraId="10B0283F" w14:textId="77777777" w:rsidR="007A08E1" w:rsidRPr="00F7701B" w:rsidRDefault="007A08E1" w:rsidP="00F7701B">
      <w:pPr>
        <w:pStyle w:val="NormalWeb"/>
        <w:spacing w:before="0" w:beforeAutospacing="0" w:after="240" w:afterAutospacing="0" w:line="360" w:lineRule="auto"/>
        <w:rPr>
          <w:rFonts w:ascii="Arial" w:hAnsi="Arial" w:cs="Arial"/>
        </w:rPr>
      </w:pPr>
      <w:r w:rsidRPr="00A96A39">
        <w:t xml:space="preserve">World Benchmarking Alliance (2026). </w:t>
      </w:r>
      <w:r w:rsidRPr="00A96A39">
        <w:rPr>
          <w:i/>
          <w:iCs/>
        </w:rPr>
        <w:t>Kajima corporation | world benchmarking alliance</w:t>
      </w:r>
      <w:r w:rsidRPr="00A96A39">
        <w:t>. [online] Worldbenchmarkingalliance.org. Available at: https://www.worldbenchmarkingalliance.org/company/kajima-corporation [Accessed 25 July 2026].</w:t>
      </w:r>
    </w:p>
    <w:p w14:paraId="1F0C99F8" w14:textId="77777777" w:rsidR="007A08E1" w:rsidRPr="00F7701B" w:rsidRDefault="007A08E1" w:rsidP="00F7701B">
      <w:pPr>
        <w:spacing w:line="360" w:lineRule="auto"/>
        <w:rPr>
          <w:rFonts w:ascii="Arial" w:hAnsi="Arial" w:cs="Arial"/>
          <w:sz w:val="24"/>
          <w:szCs w:val="24"/>
          <w:lang w:val="en-US"/>
        </w:rPr>
      </w:pPr>
    </w:p>
    <w:p w14:paraId="7BD57889" w14:textId="77777777" w:rsidR="00FB6B24" w:rsidRPr="00F7701B" w:rsidRDefault="00FB6B24" w:rsidP="00F7701B">
      <w:pPr>
        <w:spacing w:line="360" w:lineRule="auto"/>
        <w:rPr>
          <w:rFonts w:ascii="Arial" w:hAnsi="Arial" w:cs="Arial"/>
          <w:sz w:val="24"/>
          <w:szCs w:val="24"/>
        </w:rPr>
      </w:pPr>
    </w:p>
    <w:sectPr w:rsidR="00FB6B24" w:rsidRPr="00F7701B" w:rsidSect="00E678AB">
      <w:headerReference w:type="default" r:id="rId15"/>
      <w:footerReference w:type="default" r:id="rId16"/>
      <w:pgSz w:w="12240" w:h="15840"/>
      <w:pgMar w:top="1440" w:right="1440" w:bottom="1440" w:left="1440" w:header="720" w:footer="720" w:gutter="0"/>
      <w:pgBorders w:display="notFirstPage" w:offsetFrom="page">
        <w:top w:val="thinThickSmallGap" w:sz="12" w:space="24" w:color="auto"/>
        <w:left w:val="thinThickSmallGap" w:sz="12" w:space="24" w:color="auto"/>
        <w:bottom w:val="thickThinSmallGap" w:sz="12" w:space="24" w:color="auto"/>
        <w:right w:val="thickThinSmallGap"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EBC1B" w14:textId="77777777" w:rsidR="000A07E6" w:rsidRDefault="000A07E6" w:rsidP="00E95B5A">
      <w:pPr>
        <w:spacing w:after="0" w:line="240" w:lineRule="auto"/>
      </w:pPr>
      <w:r>
        <w:separator/>
      </w:r>
    </w:p>
  </w:endnote>
  <w:endnote w:type="continuationSeparator" w:id="0">
    <w:p w14:paraId="6A1C2BFB" w14:textId="77777777" w:rsidR="000A07E6" w:rsidRDefault="000A07E6" w:rsidP="00E95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588677"/>
      <w:docPartObj>
        <w:docPartGallery w:val="Page Numbers (Bottom of Page)"/>
        <w:docPartUnique/>
      </w:docPartObj>
    </w:sdtPr>
    <w:sdtEndPr>
      <w:rPr>
        <w:color w:val="7F7F7F" w:themeColor="background1" w:themeShade="7F"/>
        <w:spacing w:val="60"/>
      </w:rPr>
    </w:sdtEndPr>
    <w:sdtContent>
      <w:p w14:paraId="3DB325D2" w14:textId="5FA029A5" w:rsidR="00E678AB" w:rsidRDefault="00E678A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7CF339" w14:textId="77777777" w:rsidR="00E678AB" w:rsidRDefault="00E67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A36CD" w14:textId="77777777" w:rsidR="000A07E6" w:rsidRDefault="000A07E6" w:rsidP="00E95B5A">
      <w:pPr>
        <w:spacing w:after="0" w:line="240" w:lineRule="auto"/>
      </w:pPr>
      <w:r>
        <w:separator/>
      </w:r>
    </w:p>
  </w:footnote>
  <w:footnote w:type="continuationSeparator" w:id="0">
    <w:p w14:paraId="69FEFD5B" w14:textId="77777777" w:rsidR="000A07E6" w:rsidRDefault="000A07E6" w:rsidP="00E95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D7E28F" w14:textId="0C3571BE" w:rsidR="00F711C5" w:rsidRPr="009750D8" w:rsidRDefault="00E678AB" w:rsidP="00E678AB">
    <w:pPr>
      <w:pStyle w:val="Header"/>
      <w:tabs>
        <w:tab w:val="left" w:pos="1303"/>
      </w:tabs>
      <w:rPr>
        <w:rFonts w:ascii="Times New Roman" w:hAnsi="Times New Roman" w:cs="Times New Roman"/>
        <w:sz w:val="24"/>
        <w:szCs w:val="24"/>
      </w:rPr>
    </w:pPr>
    <w:r>
      <w:tab/>
    </w:r>
    <w:r w:rsidR="00F711C5">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677C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B192572"/>
    <w:multiLevelType w:val="multilevel"/>
    <w:tmpl w:val="8A906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3C2ABD"/>
    <w:multiLevelType w:val="multilevel"/>
    <w:tmpl w:val="C5480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FB1FE2"/>
    <w:multiLevelType w:val="multilevel"/>
    <w:tmpl w:val="97DA1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520461">
    <w:abstractNumId w:val="0"/>
  </w:num>
  <w:num w:numId="2" w16cid:durableId="1540773735">
    <w:abstractNumId w:val="3"/>
  </w:num>
  <w:num w:numId="3" w16cid:durableId="1573389384">
    <w:abstractNumId w:val="2"/>
  </w:num>
  <w:num w:numId="4" w16cid:durableId="1792478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412"/>
    <w:rsid w:val="00004601"/>
    <w:rsid w:val="00006DEB"/>
    <w:rsid w:val="00026F13"/>
    <w:rsid w:val="000637C9"/>
    <w:rsid w:val="00077AEB"/>
    <w:rsid w:val="000A07E6"/>
    <w:rsid w:val="000A3956"/>
    <w:rsid w:val="000B7BE1"/>
    <w:rsid w:val="000D6532"/>
    <w:rsid w:val="000F3543"/>
    <w:rsid w:val="0010672B"/>
    <w:rsid w:val="001607B1"/>
    <w:rsid w:val="00170786"/>
    <w:rsid w:val="00187CED"/>
    <w:rsid w:val="001E5578"/>
    <w:rsid w:val="0023423E"/>
    <w:rsid w:val="00235A93"/>
    <w:rsid w:val="00271141"/>
    <w:rsid w:val="002A21EA"/>
    <w:rsid w:val="002F03E6"/>
    <w:rsid w:val="00300330"/>
    <w:rsid w:val="003463AA"/>
    <w:rsid w:val="0036299E"/>
    <w:rsid w:val="003733EE"/>
    <w:rsid w:val="00396175"/>
    <w:rsid w:val="003A48AD"/>
    <w:rsid w:val="003A5B20"/>
    <w:rsid w:val="003B4AA4"/>
    <w:rsid w:val="003F0538"/>
    <w:rsid w:val="004253BE"/>
    <w:rsid w:val="004361E7"/>
    <w:rsid w:val="00465F5F"/>
    <w:rsid w:val="00492774"/>
    <w:rsid w:val="00494288"/>
    <w:rsid w:val="004B16C8"/>
    <w:rsid w:val="004D2970"/>
    <w:rsid w:val="004E6256"/>
    <w:rsid w:val="004E692B"/>
    <w:rsid w:val="00512FDA"/>
    <w:rsid w:val="00526346"/>
    <w:rsid w:val="005C7D78"/>
    <w:rsid w:val="005E06B4"/>
    <w:rsid w:val="005F2D88"/>
    <w:rsid w:val="006100AA"/>
    <w:rsid w:val="006235C4"/>
    <w:rsid w:val="00627F35"/>
    <w:rsid w:val="006B1EBE"/>
    <w:rsid w:val="006B60E6"/>
    <w:rsid w:val="006C4136"/>
    <w:rsid w:val="006D565E"/>
    <w:rsid w:val="006E0114"/>
    <w:rsid w:val="006F16A9"/>
    <w:rsid w:val="00700B89"/>
    <w:rsid w:val="00706D61"/>
    <w:rsid w:val="00781C6B"/>
    <w:rsid w:val="00794863"/>
    <w:rsid w:val="00795DCF"/>
    <w:rsid w:val="007A08E1"/>
    <w:rsid w:val="00801F53"/>
    <w:rsid w:val="00805F86"/>
    <w:rsid w:val="00806DDC"/>
    <w:rsid w:val="00883F2D"/>
    <w:rsid w:val="00885797"/>
    <w:rsid w:val="008914C0"/>
    <w:rsid w:val="00893C3D"/>
    <w:rsid w:val="0089782E"/>
    <w:rsid w:val="008B3900"/>
    <w:rsid w:val="00902507"/>
    <w:rsid w:val="00910B17"/>
    <w:rsid w:val="00917412"/>
    <w:rsid w:val="00927406"/>
    <w:rsid w:val="00936C94"/>
    <w:rsid w:val="009750D8"/>
    <w:rsid w:val="009A7EDD"/>
    <w:rsid w:val="009B12E4"/>
    <w:rsid w:val="009B2C7B"/>
    <w:rsid w:val="009C5561"/>
    <w:rsid w:val="009D0E12"/>
    <w:rsid w:val="009E59E6"/>
    <w:rsid w:val="00A15618"/>
    <w:rsid w:val="00A23CC3"/>
    <w:rsid w:val="00A310DF"/>
    <w:rsid w:val="00A4665A"/>
    <w:rsid w:val="00A65DA2"/>
    <w:rsid w:val="00A80F35"/>
    <w:rsid w:val="00A95DB0"/>
    <w:rsid w:val="00A96A39"/>
    <w:rsid w:val="00AA78A8"/>
    <w:rsid w:val="00AB0064"/>
    <w:rsid w:val="00AC79DD"/>
    <w:rsid w:val="00AD4F4F"/>
    <w:rsid w:val="00AD73C7"/>
    <w:rsid w:val="00AF7A75"/>
    <w:rsid w:val="00B04BA7"/>
    <w:rsid w:val="00B135A7"/>
    <w:rsid w:val="00B43CFA"/>
    <w:rsid w:val="00B50F2A"/>
    <w:rsid w:val="00B57D3D"/>
    <w:rsid w:val="00B87017"/>
    <w:rsid w:val="00B94DED"/>
    <w:rsid w:val="00BA0511"/>
    <w:rsid w:val="00BB0F5B"/>
    <w:rsid w:val="00BC75AC"/>
    <w:rsid w:val="00C177FD"/>
    <w:rsid w:val="00C361B2"/>
    <w:rsid w:val="00C43D3C"/>
    <w:rsid w:val="00C505FC"/>
    <w:rsid w:val="00CA0D8E"/>
    <w:rsid w:val="00CD54C1"/>
    <w:rsid w:val="00CF190F"/>
    <w:rsid w:val="00D12FD4"/>
    <w:rsid w:val="00D27525"/>
    <w:rsid w:val="00D40BED"/>
    <w:rsid w:val="00D54B9B"/>
    <w:rsid w:val="00D5606E"/>
    <w:rsid w:val="00D64E98"/>
    <w:rsid w:val="00D76BB3"/>
    <w:rsid w:val="00D836DE"/>
    <w:rsid w:val="00D84F61"/>
    <w:rsid w:val="00DC4F9F"/>
    <w:rsid w:val="00DC6939"/>
    <w:rsid w:val="00E678AB"/>
    <w:rsid w:val="00E90F21"/>
    <w:rsid w:val="00E95B5A"/>
    <w:rsid w:val="00EB3FEC"/>
    <w:rsid w:val="00EB644C"/>
    <w:rsid w:val="00ED2DC6"/>
    <w:rsid w:val="00EE4955"/>
    <w:rsid w:val="00EE6439"/>
    <w:rsid w:val="00EF6762"/>
    <w:rsid w:val="00F136FB"/>
    <w:rsid w:val="00F14DAA"/>
    <w:rsid w:val="00F53091"/>
    <w:rsid w:val="00F711C5"/>
    <w:rsid w:val="00F7164E"/>
    <w:rsid w:val="00F739F0"/>
    <w:rsid w:val="00F7701B"/>
    <w:rsid w:val="00F9565D"/>
    <w:rsid w:val="00FA0F5D"/>
    <w:rsid w:val="00FA1C0F"/>
    <w:rsid w:val="00FB6B24"/>
    <w:rsid w:val="00FD18E1"/>
    <w:rsid w:val="00FD3B37"/>
    <w:rsid w:val="00FE5C7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B8141"/>
  <w15:chartTrackingRefBased/>
  <w15:docId w15:val="{0499E71F-95C5-44A0-8961-0D25F713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B24"/>
    <w:pPr>
      <w:keepNext/>
      <w:keepLines/>
      <w:numPr>
        <w:numId w:val="1"/>
      </w:numPr>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unhideWhenUsed/>
    <w:qFormat/>
    <w:rsid w:val="00FB6B24"/>
    <w:pPr>
      <w:keepNext/>
      <w:keepLines/>
      <w:numPr>
        <w:ilvl w:val="1"/>
        <w:numId w:val="1"/>
      </w:numPr>
      <w:spacing w:before="160" w:after="80"/>
      <w:outlineLvl w:val="1"/>
    </w:pPr>
    <w:rPr>
      <w:rFonts w:ascii="Times New Roman" w:eastAsiaTheme="majorEastAsia" w:hAnsi="Times New Roman" w:cstheme="majorBidi"/>
      <w:b/>
      <w:sz w:val="28"/>
      <w:szCs w:val="32"/>
    </w:rPr>
  </w:style>
  <w:style w:type="paragraph" w:styleId="Heading3">
    <w:name w:val="heading 3"/>
    <w:basedOn w:val="Normal"/>
    <w:next w:val="Normal"/>
    <w:link w:val="Heading3Char"/>
    <w:uiPriority w:val="9"/>
    <w:unhideWhenUsed/>
    <w:qFormat/>
    <w:rsid w:val="00FB6B24"/>
    <w:pPr>
      <w:keepNext/>
      <w:keepLines/>
      <w:numPr>
        <w:ilvl w:val="2"/>
        <w:numId w:val="1"/>
      </w:numPr>
      <w:spacing w:before="160" w:after="80"/>
      <w:outlineLvl w:val="2"/>
    </w:pPr>
    <w:rPr>
      <w:rFonts w:ascii="Times New Roman" w:eastAsiaTheme="majorEastAsia" w:hAnsi="Times New Roman" w:cstheme="majorBidi"/>
      <w:b/>
      <w:sz w:val="24"/>
      <w:szCs w:val="28"/>
    </w:rPr>
  </w:style>
  <w:style w:type="paragraph" w:styleId="Heading4">
    <w:name w:val="heading 4"/>
    <w:basedOn w:val="Normal"/>
    <w:next w:val="Normal"/>
    <w:link w:val="Heading4Char"/>
    <w:uiPriority w:val="9"/>
    <w:unhideWhenUsed/>
    <w:qFormat/>
    <w:rsid w:val="006E0114"/>
    <w:pPr>
      <w:keepNext/>
      <w:keepLines/>
      <w:numPr>
        <w:ilvl w:val="3"/>
        <w:numId w:val="1"/>
      </w:numPr>
      <w:spacing w:before="80" w:after="40"/>
      <w:outlineLvl w:val="3"/>
    </w:pPr>
    <w:rPr>
      <w:rFonts w:ascii="Times New Roman" w:eastAsiaTheme="majorEastAsia" w:hAnsi="Times New Roman" w:cstheme="majorBidi"/>
      <w:b/>
      <w:i/>
      <w:iCs/>
      <w:sz w:val="24"/>
    </w:rPr>
  </w:style>
  <w:style w:type="paragraph" w:styleId="Heading5">
    <w:name w:val="heading 5"/>
    <w:basedOn w:val="Normal"/>
    <w:next w:val="Normal"/>
    <w:link w:val="Heading5Char"/>
    <w:uiPriority w:val="9"/>
    <w:semiHidden/>
    <w:unhideWhenUsed/>
    <w:qFormat/>
    <w:rsid w:val="00917412"/>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741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41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41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41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B24"/>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FB6B2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B6B24"/>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rsid w:val="006E0114"/>
    <w:rPr>
      <w:rFonts w:ascii="Times New Roman" w:eastAsiaTheme="majorEastAsia" w:hAnsi="Times New Roman" w:cstheme="majorBidi"/>
      <w:b/>
      <w:i/>
      <w:iCs/>
      <w:sz w:val="24"/>
    </w:rPr>
  </w:style>
  <w:style w:type="character" w:customStyle="1" w:styleId="Heading5Char">
    <w:name w:val="Heading 5 Char"/>
    <w:basedOn w:val="DefaultParagraphFont"/>
    <w:link w:val="Heading5"/>
    <w:uiPriority w:val="9"/>
    <w:semiHidden/>
    <w:rsid w:val="009174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7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412"/>
    <w:rPr>
      <w:rFonts w:eastAsiaTheme="majorEastAsia" w:cstheme="majorBidi"/>
      <w:color w:val="272727" w:themeColor="text1" w:themeTint="D8"/>
    </w:rPr>
  </w:style>
  <w:style w:type="paragraph" w:styleId="Title">
    <w:name w:val="Title"/>
    <w:basedOn w:val="Normal"/>
    <w:next w:val="Normal"/>
    <w:link w:val="TitleChar"/>
    <w:uiPriority w:val="10"/>
    <w:qFormat/>
    <w:rsid w:val="00917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412"/>
    <w:pPr>
      <w:spacing w:before="160"/>
      <w:jc w:val="center"/>
    </w:pPr>
    <w:rPr>
      <w:i/>
      <w:iCs/>
      <w:color w:val="404040" w:themeColor="text1" w:themeTint="BF"/>
    </w:rPr>
  </w:style>
  <w:style w:type="character" w:customStyle="1" w:styleId="QuoteChar">
    <w:name w:val="Quote Char"/>
    <w:basedOn w:val="DefaultParagraphFont"/>
    <w:link w:val="Quote"/>
    <w:uiPriority w:val="29"/>
    <w:rsid w:val="00917412"/>
    <w:rPr>
      <w:i/>
      <w:iCs/>
      <w:color w:val="404040" w:themeColor="text1" w:themeTint="BF"/>
    </w:rPr>
  </w:style>
  <w:style w:type="paragraph" w:styleId="ListParagraph">
    <w:name w:val="List Paragraph"/>
    <w:basedOn w:val="Normal"/>
    <w:uiPriority w:val="34"/>
    <w:qFormat/>
    <w:rsid w:val="00917412"/>
    <w:pPr>
      <w:ind w:left="720"/>
      <w:contextualSpacing/>
    </w:pPr>
  </w:style>
  <w:style w:type="character" w:styleId="IntenseEmphasis">
    <w:name w:val="Intense Emphasis"/>
    <w:basedOn w:val="DefaultParagraphFont"/>
    <w:uiPriority w:val="21"/>
    <w:qFormat/>
    <w:rsid w:val="00917412"/>
    <w:rPr>
      <w:i/>
      <w:iCs/>
      <w:color w:val="2F5496" w:themeColor="accent1" w:themeShade="BF"/>
    </w:rPr>
  </w:style>
  <w:style w:type="paragraph" w:styleId="IntenseQuote">
    <w:name w:val="Intense Quote"/>
    <w:basedOn w:val="Normal"/>
    <w:next w:val="Normal"/>
    <w:link w:val="IntenseQuoteChar"/>
    <w:uiPriority w:val="30"/>
    <w:qFormat/>
    <w:rsid w:val="009174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7412"/>
    <w:rPr>
      <w:i/>
      <w:iCs/>
      <w:color w:val="2F5496" w:themeColor="accent1" w:themeShade="BF"/>
    </w:rPr>
  </w:style>
  <w:style w:type="character" w:styleId="IntenseReference">
    <w:name w:val="Intense Reference"/>
    <w:basedOn w:val="DefaultParagraphFont"/>
    <w:uiPriority w:val="32"/>
    <w:qFormat/>
    <w:rsid w:val="00917412"/>
    <w:rPr>
      <w:b/>
      <w:bCs/>
      <w:smallCaps/>
      <w:color w:val="2F5496" w:themeColor="accent1" w:themeShade="BF"/>
      <w:spacing w:val="5"/>
    </w:rPr>
  </w:style>
  <w:style w:type="paragraph" w:styleId="Header">
    <w:name w:val="header"/>
    <w:basedOn w:val="Normal"/>
    <w:link w:val="HeaderChar"/>
    <w:uiPriority w:val="99"/>
    <w:unhideWhenUsed/>
    <w:rsid w:val="00E95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5B5A"/>
  </w:style>
  <w:style w:type="paragraph" w:styleId="Footer">
    <w:name w:val="footer"/>
    <w:basedOn w:val="Normal"/>
    <w:link w:val="FooterChar"/>
    <w:uiPriority w:val="99"/>
    <w:unhideWhenUsed/>
    <w:rsid w:val="00E95B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B5A"/>
  </w:style>
  <w:style w:type="table" w:styleId="TableGrid">
    <w:name w:val="Table Grid"/>
    <w:basedOn w:val="TableNormal"/>
    <w:uiPriority w:val="39"/>
    <w:rsid w:val="00FB6B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B6B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FB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FB6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3">
    <w:name w:val="Grid Table 4 Accent 3"/>
    <w:basedOn w:val="TableNormal"/>
    <w:uiPriority w:val="49"/>
    <w:rsid w:val="00E90F2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170786"/>
    <w:pPr>
      <w:spacing w:after="200" w:line="240" w:lineRule="auto"/>
    </w:pPr>
    <w:rPr>
      <w:i/>
      <w:iCs/>
      <w:color w:val="44546A" w:themeColor="text2"/>
      <w:sz w:val="18"/>
      <w:szCs w:val="18"/>
    </w:rPr>
  </w:style>
  <w:style w:type="paragraph" w:styleId="NormalWeb">
    <w:name w:val="Normal (Web)"/>
    <w:basedOn w:val="Normal"/>
    <w:uiPriority w:val="99"/>
    <w:unhideWhenUsed/>
    <w:rsid w:val="007A08E1"/>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paragraph" w:styleId="TOCHeading">
    <w:name w:val="TOC Heading"/>
    <w:basedOn w:val="Heading1"/>
    <w:next w:val="Normal"/>
    <w:uiPriority w:val="39"/>
    <w:unhideWhenUsed/>
    <w:qFormat/>
    <w:rsid w:val="009750D8"/>
    <w:pPr>
      <w:spacing w:before="240" w:after="0"/>
      <w:outlineLvl w:val="9"/>
    </w:pPr>
    <w:rPr>
      <w:rFonts w:asciiTheme="majorHAnsi" w:hAnsiTheme="majorHAns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271141"/>
    <w:pPr>
      <w:tabs>
        <w:tab w:val="left" w:pos="440"/>
        <w:tab w:val="right" w:leader="dot" w:pos="9350"/>
      </w:tabs>
      <w:spacing w:after="100"/>
    </w:pPr>
    <w:rPr>
      <w:rFonts w:ascii="Arial" w:hAnsi="Arial" w:cs="Arial"/>
      <w:noProof/>
      <w:sz w:val="24"/>
      <w:szCs w:val="24"/>
      <w:lang w:val="en-US"/>
    </w:rPr>
  </w:style>
  <w:style w:type="paragraph" w:styleId="TOC2">
    <w:name w:val="toc 2"/>
    <w:basedOn w:val="Normal"/>
    <w:next w:val="Normal"/>
    <w:autoRedefine/>
    <w:uiPriority w:val="39"/>
    <w:unhideWhenUsed/>
    <w:rsid w:val="009750D8"/>
    <w:pPr>
      <w:spacing w:after="100"/>
      <w:ind w:left="220"/>
    </w:pPr>
  </w:style>
  <w:style w:type="paragraph" w:styleId="TOC3">
    <w:name w:val="toc 3"/>
    <w:basedOn w:val="Normal"/>
    <w:next w:val="Normal"/>
    <w:autoRedefine/>
    <w:uiPriority w:val="39"/>
    <w:unhideWhenUsed/>
    <w:rsid w:val="009750D8"/>
    <w:pPr>
      <w:spacing w:after="100"/>
      <w:ind w:left="440"/>
    </w:pPr>
  </w:style>
  <w:style w:type="character" w:styleId="Hyperlink">
    <w:name w:val="Hyperlink"/>
    <w:basedOn w:val="DefaultParagraphFont"/>
    <w:uiPriority w:val="99"/>
    <w:unhideWhenUsed/>
    <w:rsid w:val="009750D8"/>
    <w:rPr>
      <w:color w:val="0563C1" w:themeColor="hyperlink"/>
      <w:u w:val="single"/>
    </w:rPr>
  </w:style>
  <w:style w:type="paragraph" w:styleId="BodyText">
    <w:name w:val="Body Text"/>
    <w:basedOn w:val="Normal"/>
    <w:link w:val="BodyTextChar"/>
    <w:uiPriority w:val="1"/>
    <w:qFormat/>
    <w:rsid w:val="00FD3B37"/>
    <w:pPr>
      <w:widowControl w:val="0"/>
      <w:autoSpaceDE w:val="0"/>
      <w:autoSpaceDN w:val="0"/>
      <w:spacing w:after="0" w:line="240" w:lineRule="auto"/>
    </w:pPr>
    <w:rPr>
      <w:rFonts w:ascii="Trebuchet MS" w:eastAsia="Trebuchet MS" w:hAnsi="Trebuchet MS" w:cs="Trebuchet MS"/>
      <w:kern w:val="0"/>
      <w:sz w:val="24"/>
      <w:szCs w:val="24"/>
      <w:lang w:val="en-US" w:eastAsia="en-US"/>
      <w14:ligatures w14:val="none"/>
    </w:rPr>
  </w:style>
  <w:style w:type="character" w:customStyle="1" w:styleId="BodyTextChar">
    <w:name w:val="Body Text Char"/>
    <w:basedOn w:val="DefaultParagraphFont"/>
    <w:link w:val="BodyText"/>
    <w:uiPriority w:val="1"/>
    <w:rsid w:val="00FD3B37"/>
    <w:rPr>
      <w:rFonts w:ascii="Trebuchet MS" w:eastAsia="Trebuchet MS" w:hAnsi="Trebuchet MS" w:cs="Trebuchet MS"/>
      <w:kern w:val="0"/>
      <w:sz w:val="24"/>
      <w:szCs w:val="24"/>
      <w:lang w:val="en-US" w:eastAsia="en-US"/>
      <w14:ligatures w14:val="none"/>
    </w:rPr>
  </w:style>
  <w:style w:type="character" w:styleId="Strong">
    <w:name w:val="Strong"/>
    <w:basedOn w:val="DefaultParagraphFont"/>
    <w:uiPriority w:val="22"/>
    <w:qFormat/>
    <w:rsid w:val="00FD3B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26484">
      <w:bodyDiv w:val="1"/>
      <w:marLeft w:val="0"/>
      <w:marRight w:val="0"/>
      <w:marTop w:val="0"/>
      <w:marBottom w:val="0"/>
      <w:divBdr>
        <w:top w:val="none" w:sz="0" w:space="0" w:color="auto"/>
        <w:left w:val="none" w:sz="0" w:space="0" w:color="auto"/>
        <w:bottom w:val="none" w:sz="0" w:space="0" w:color="auto"/>
        <w:right w:val="none" w:sz="0" w:space="0" w:color="auto"/>
      </w:divBdr>
    </w:div>
    <w:div w:id="170950530">
      <w:bodyDiv w:val="1"/>
      <w:marLeft w:val="0"/>
      <w:marRight w:val="0"/>
      <w:marTop w:val="0"/>
      <w:marBottom w:val="0"/>
      <w:divBdr>
        <w:top w:val="none" w:sz="0" w:space="0" w:color="auto"/>
        <w:left w:val="none" w:sz="0" w:space="0" w:color="auto"/>
        <w:bottom w:val="none" w:sz="0" w:space="0" w:color="auto"/>
        <w:right w:val="none" w:sz="0" w:space="0" w:color="auto"/>
      </w:divBdr>
      <w:divsChild>
        <w:div w:id="1418408250">
          <w:marLeft w:val="0"/>
          <w:marRight w:val="0"/>
          <w:marTop w:val="0"/>
          <w:marBottom w:val="0"/>
          <w:divBdr>
            <w:top w:val="none" w:sz="0" w:space="0" w:color="auto"/>
            <w:left w:val="none" w:sz="0" w:space="0" w:color="auto"/>
            <w:bottom w:val="none" w:sz="0" w:space="0" w:color="auto"/>
            <w:right w:val="none" w:sz="0" w:space="0" w:color="auto"/>
          </w:divBdr>
        </w:div>
      </w:divsChild>
    </w:div>
    <w:div w:id="341012794">
      <w:bodyDiv w:val="1"/>
      <w:marLeft w:val="0"/>
      <w:marRight w:val="0"/>
      <w:marTop w:val="0"/>
      <w:marBottom w:val="0"/>
      <w:divBdr>
        <w:top w:val="none" w:sz="0" w:space="0" w:color="auto"/>
        <w:left w:val="none" w:sz="0" w:space="0" w:color="auto"/>
        <w:bottom w:val="none" w:sz="0" w:space="0" w:color="auto"/>
        <w:right w:val="none" w:sz="0" w:space="0" w:color="auto"/>
      </w:divBdr>
    </w:div>
    <w:div w:id="608388317">
      <w:bodyDiv w:val="1"/>
      <w:marLeft w:val="0"/>
      <w:marRight w:val="0"/>
      <w:marTop w:val="0"/>
      <w:marBottom w:val="0"/>
      <w:divBdr>
        <w:top w:val="none" w:sz="0" w:space="0" w:color="auto"/>
        <w:left w:val="none" w:sz="0" w:space="0" w:color="auto"/>
        <w:bottom w:val="none" w:sz="0" w:space="0" w:color="auto"/>
        <w:right w:val="none" w:sz="0" w:space="0" w:color="auto"/>
      </w:divBdr>
    </w:div>
    <w:div w:id="681518567">
      <w:bodyDiv w:val="1"/>
      <w:marLeft w:val="0"/>
      <w:marRight w:val="0"/>
      <w:marTop w:val="0"/>
      <w:marBottom w:val="0"/>
      <w:divBdr>
        <w:top w:val="none" w:sz="0" w:space="0" w:color="auto"/>
        <w:left w:val="none" w:sz="0" w:space="0" w:color="auto"/>
        <w:bottom w:val="none" w:sz="0" w:space="0" w:color="auto"/>
        <w:right w:val="none" w:sz="0" w:space="0" w:color="auto"/>
      </w:divBdr>
    </w:div>
    <w:div w:id="741176967">
      <w:bodyDiv w:val="1"/>
      <w:marLeft w:val="0"/>
      <w:marRight w:val="0"/>
      <w:marTop w:val="0"/>
      <w:marBottom w:val="0"/>
      <w:divBdr>
        <w:top w:val="none" w:sz="0" w:space="0" w:color="auto"/>
        <w:left w:val="none" w:sz="0" w:space="0" w:color="auto"/>
        <w:bottom w:val="none" w:sz="0" w:space="0" w:color="auto"/>
        <w:right w:val="none" w:sz="0" w:space="0" w:color="auto"/>
      </w:divBdr>
      <w:divsChild>
        <w:div w:id="246305555">
          <w:marLeft w:val="0"/>
          <w:marRight w:val="0"/>
          <w:marTop w:val="0"/>
          <w:marBottom w:val="0"/>
          <w:divBdr>
            <w:top w:val="none" w:sz="0" w:space="0" w:color="auto"/>
            <w:left w:val="none" w:sz="0" w:space="0" w:color="auto"/>
            <w:bottom w:val="none" w:sz="0" w:space="0" w:color="auto"/>
            <w:right w:val="none" w:sz="0" w:space="0" w:color="auto"/>
          </w:divBdr>
        </w:div>
      </w:divsChild>
    </w:div>
    <w:div w:id="873152243">
      <w:bodyDiv w:val="1"/>
      <w:marLeft w:val="0"/>
      <w:marRight w:val="0"/>
      <w:marTop w:val="0"/>
      <w:marBottom w:val="0"/>
      <w:divBdr>
        <w:top w:val="none" w:sz="0" w:space="0" w:color="auto"/>
        <w:left w:val="none" w:sz="0" w:space="0" w:color="auto"/>
        <w:bottom w:val="none" w:sz="0" w:space="0" w:color="auto"/>
        <w:right w:val="none" w:sz="0" w:space="0" w:color="auto"/>
      </w:divBdr>
    </w:div>
    <w:div w:id="876234858">
      <w:bodyDiv w:val="1"/>
      <w:marLeft w:val="0"/>
      <w:marRight w:val="0"/>
      <w:marTop w:val="0"/>
      <w:marBottom w:val="0"/>
      <w:divBdr>
        <w:top w:val="none" w:sz="0" w:space="0" w:color="auto"/>
        <w:left w:val="none" w:sz="0" w:space="0" w:color="auto"/>
        <w:bottom w:val="none" w:sz="0" w:space="0" w:color="auto"/>
        <w:right w:val="none" w:sz="0" w:space="0" w:color="auto"/>
      </w:divBdr>
      <w:divsChild>
        <w:div w:id="1307273528">
          <w:marLeft w:val="0"/>
          <w:marRight w:val="0"/>
          <w:marTop w:val="0"/>
          <w:marBottom w:val="0"/>
          <w:divBdr>
            <w:top w:val="none" w:sz="0" w:space="0" w:color="auto"/>
            <w:left w:val="none" w:sz="0" w:space="0" w:color="auto"/>
            <w:bottom w:val="none" w:sz="0" w:space="0" w:color="auto"/>
            <w:right w:val="none" w:sz="0" w:space="0" w:color="auto"/>
          </w:divBdr>
        </w:div>
      </w:divsChild>
    </w:div>
    <w:div w:id="1060441601">
      <w:bodyDiv w:val="1"/>
      <w:marLeft w:val="0"/>
      <w:marRight w:val="0"/>
      <w:marTop w:val="0"/>
      <w:marBottom w:val="0"/>
      <w:divBdr>
        <w:top w:val="none" w:sz="0" w:space="0" w:color="auto"/>
        <w:left w:val="none" w:sz="0" w:space="0" w:color="auto"/>
        <w:bottom w:val="none" w:sz="0" w:space="0" w:color="auto"/>
        <w:right w:val="none" w:sz="0" w:space="0" w:color="auto"/>
      </w:divBdr>
      <w:divsChild>
        <w:div w:id="882599761">
          <w:marLeft w:val="0"/>
          <w:marRight w:val="0"/>
          <w:marTop w:val="0"/>
          <w:marBottom w:val="0"/>
          <w:divBdr>
            <w:top w:val="none" w:sz="0" w:space="0" w:color="auto"/>
            <w:left w:val="none" w:sz="0" w:space="0" w:color="auto"/>
            <w:bottom w:val="none" w:sz="0" w:space="0" w:color="auto"/>
            <w:right w:val="none" w:sz="0" w:space="0" w:color="auto"/>
          </w:divBdr>
        </w:div>
      </w:divsChild>
    </w:div>
    <w:div w:id="1104230864">
      <w:bodyDiv w:val="1"/>
      <w:marLeft w:val="0"/>
      <w:marRight w:val="0"/>
      <w:marTop w:val="0"/>
      <w:marBottom w:val="0"/>
      <w:divBdr>
        <w:top w:val="none" w:sz="0" w:space="0" w:color="auto"/>
        <w:left w:val="none" w:sz="0" w:space="0" w:color="auto"/>
        <w:bottom w:val="none" w:sz="0" w:space="0" w:color="auto"/>
        <w:right w:val="none" w:sz="0" w:space="0" w:color="auto"/>
      </w:divBdr>
    </w:div>
    <w:div w:id="1172375493">
      <w:bodyDiv w:val="1"/>
      <w:marLeft w:val="0"/>
      <w:marRight w:val="0"/>
      <w:marTop w:val="0"/>
      <w:marBottom w:val="0"/>
      <w:divBdr>
        <w:top w:val="none" w:sz="0" w:space="0" w:color="auto"/>
        <w:left w:val="none" w:sz="0" w:space="0" w:color="auto"/>
        <w:bottom w:val="none" w:sz="0" w:space="0" w:color="auto"/>
        <w:right w:val="none" w:sz="0" w:space="0" w:color="auto"/>
      </w:divBdr>
      <w:divsChild>
        <w:div w:id="1790926319">
          <w:marLeft w:val="0"/>
          <w:marRight w:val="0"/>
          <w:marTop w:val="0"/>
          <w:marBottom w:val="0"/>
          <w:divBdr>
            <w:top w:val="none" w:sz="0" w:space="0" w:color="auto"/>
            <w:left w:val="none" w:sz="0" w:space="0" w:color="auto"/>
            <w:bottom w:val="none" w:sz="0" w:space="0" w:color="auto"/>
            <w:right w:val="none" w:sz="0" w:space="0" w:color="auto"/>
          </w:divBdr>
        </w:div>
      </w:divsChild>
    </w:div>
    <w:div w:id="1296911387">
      <w:bodyDiv w:val="1"/>
      <w:marLeft w:val="0"/>
      <w:marRight w:val="0"/>
      <w:marTop w:val="0"/>
      <w:marBottom w:val="0"/>
      <w:divBdr>
        <w:top w:val="none" w:sz="0" w:space="0" w:color="auto"/>
        <w:left w:val="none" w:sz="0" w:space="0" w:color="auto"/>
        <w:bottom w:val="none" w:sz="0" w:space="0" w:color="auto"/>
        <w:right w:val="none" w:sz="0" w:space="0" w:color="auto"/>
      </w:divBdr>
    </w:div>
    <w:div w:id="1342774383">
      <w:bodyDiv w:val="1"/>
      <w:marLeft w:val="0"/>
      <w:marRight w:val="0"/>
      <w:marTop w:val="0"/>
      <w:marBottom w:val="0"/>
      <w:divBdr>
        <w:top w:val="none" w:sz="0" w:space="0" w:color="auto"/>
        <w:left w:val="none" w:sz="0" w:space="0" w:color="auto"/>
        <w:bottom w:val="none" w:sz="0" w:space="0" w:color="auto"/>
        <w:right w:val="none" w:sz="0" w:space="0" w:color="auto"/>
      </w:divBdr>
      <w:divsChild>
        <w:div w:id="1194223999">
          <w:marLeft w:val="0"/>
          <w:marRight w:val="0"/>
          <w:marTop w:val="0"/>
          <w:marBottom w:val="0"/>
          <w:divBdr>
            <w:top w:val="none" w:sz="0" w:space="0" w:color="auto"/>
            <w:left w:val="none" w:sz="0" w:space="0" w:color="auto"/>
            <w:bottom w:val="none" w:sz="0" w:space="0" w:color="auto"/>
            <w:right w:val="none" w:sz="0" w:space="0" w:color="auto"/>
          </w:divBdr>
        </w:div>
      </w:divsChild>
    </w:div>
    <w:div w:id="1509756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manticscholar.or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quillbot.com/"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DB94F3-C282-4813-A204-0C0A52D15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31</Pages>
  <Words>8148</Words>
  <Characters>46449</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 Talaviya</dc:creator>
  <cp:keywords/>
  <dc:description/>
  <cp:lastModifiedBy>Vivek Talaviya</cp:lastModifiedBy>
  <cp:revision>9</cp:revision>
  <dcterms:created xsi:type="dcterms:W3CDTF">2026-08-14T02:05:00Z</dcterms:created>
  <dcterms:modified xsi:type="dcterms:W3CDTF">2026-08-14T07:40:00Z</dcterms:modified>
</cp:coreProperties>
</file>