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EA6D7" w14:textId="4AEFB2AA" w:rsidR="00554323" w:rsidRDefault="00786FF7">
      <w:r>
        <w:t>This essay</w:t>
      </w:r>
      <w:r w:rsidR="007C42B7">
        <w:t xml:space="preserve"> discuss</w:t>
      </w:r>
      <w:r w:rsidR="00783C8F">
        <w:t>es</w:t>
      </w:r>
      <w:r w:rsidR="007C42B7">
        <w:t xml:space="preserve"> the sack of Rome in 410 CE </w:t>
      </w:r>
      <w:r w:rsidR="00610BEB">
        <w:t>by the Visigoths</w:t>
      </w:r>
      <w:r w:rsidR="00783C8F">
        <w:t xml:space="preserve"> led by Alaric. The sack lasted for three days before the Visigoths withdrew. A number of contemporary Romans have written accounts of the sack and in some cases given their own reactions to it</w:t>
      </w:r>
      <w:r w:rsidR="00554323">
        <w:t>. These include</w:t>
      </w:r>
      <w:r w:rsidR="00F97AFB">
        <w:t xml:space="preserve"> Augustine and Orosius</w:t>
      </w:r>
      <w:r w:rsidR="00783C8F" w:rsidRPr="00783C8F">
        <w:t xml:space="preserve"> </w:t>
      </w:r>
      <w:r w:rsidR="00783C8F">
        <w:t>Accounts of the sack of Rome appear in other sources across the Roman world and beyond</w:t>
      </w:r>
      <w:r w:rsidR="00554323">
        <w:t>,</w:t>
      </w:r>
      <w:r w:rsidR="00783C8F">
        <w:t xml:space="preserve"> these include medieval accounts</w:t>
      </w:r>
      <w:r w:rsidR="00554323">
        <w:t xml:space="preserve"> such as Bede</w:t>
      </w:r>
      <w:r w:rsidR="00783C8F">
        <w:t xml:space="preserve">. </w:t>
      </w:r>
      <w:r w:rsidR="00783C8F">
        <w:t xml:space="preserve"> Scholars have noticed that the accounts of the sack of 410 vary, in some cases quite considerably. </w:t>
      </w:r>
      <w:r w:rsidR="00554323">
        <w:t xml:space="preserve">This essay </w:t>
      </w:r>
      <w:r w:rsidR="00783C8F">
        <w:t>explor</w:t>
      </w:r>
      <w:r w:rsidR="00554323">
        <w:t>es</w:t>
      </w:r>
      <w:r w:rsidR="00783C8F">
        <w:t xml:space="preserve"> the</w:t>
      </w:r>
      <w:r w:rsidR="00610BEB">
        <w:t xml:space="preserve"> </w:t>
      </w:r>
      <w:r w:rsidR="00554323">
        <w:t>accounts</w:t>
      </w:r>
      <w:r w:rsidR="00610BEB">
        <w:t xml:space="preserve"> o</w:t>
      </w:r>
      <w:r w:rsidR="00783C8F">
        <w:t>f</w:t>
      </w:r>
      <w:r w:rsidR="00610BEB">
        <w:t xml:space="preserve"> the sack itself and also reactions to the sack of Rome </w:t>
      </w:r>
      <w:r w:rsidR="00783C8F">
        <w:t xml:space="preserve">from </w:t>
      </w:r>
      <w:r w:rsidR="00610BEB">
        <w:t>both contemporary</w:t>
      </w:r>
      <w:r w:rsidR="00783C8F">
        <w:t xml:space="preserve"> sources </w:t>
      </w:r>
      <w:r w:rsidR="00610BEB">
        <w:t xml:space="preserve">as well as later reactions towards the events. </w:t>
      </w:r>
    </w:p>
    <w:p w14:paraId="7E7BED85" w14:textId="12A41240" w:rsidR="00554323" w:rsidRDefault="00554323">
      <w:r>
        <w:t>T</w:t>
      </w:r>
      <w:r w:rsidR="00710202">
        <w:t>he change</w:t>
      </w:r>
      <w:r>
        <w:t>s</w:t>
      </w:r>
      <w:r w:rsidR="00710202">
        <w:t xml:space="preserve"> in the reaction</w:t>
      </w:r>
      <w:r>
        <w:t xml:space="preserve"> to</w:t>
      </w:r>
      <w:r w:rsidR="00710202">
        <w:t xml:space="preserve"> and supposed significance of the sack of Rome over time</w:t>
      </w:r>
      <w:r>
        <w:t xml:space="preserve"> suggest important differences in perspective.</w:t>
      </w:r>
      <w:r w:rsidR="00710202">
        <w:t xml:space="preserve"> </w:t>
      </w:r>
      <w:r>
        <w:t xml:space="preserve">Where some of these accounts used for propaganda </w:t>
      </w:r>
      <w:r w:rsidR="00710202">
        <w:t xml:space="preserve">and if </w:t>
      </w:r>
      <w:r>
        <w:t>so,</w:t>
      </w:r>
      <w:r w:rsidR="00710202">
        <w:t xml:space="preserve"> how</w:t>
      </w:r>
      <w:r>
        <w:t>? Analysis of the accounts might shed light on how</w:t>
      </w:r>
      <w:r w:rsidR="00710202">
        <w:t xml:space="preserve"> the people of Rome felt about the sack of their city. By the time of the sack</w:t>
      </w:r>
      <w:r>
        <w:t>,</w:t>
      </w:r>
      <w:r w:rsidR="00710202">
        <w:t xml:space="preserve"> Rome was no longer the administrative seat of the Western Roman Empire</w:t>
      </w:r>
      <w:r>
        <w:t>,</w:t>
      </w:r>
      <w:r w:rsidR="0019333E">
        <w:t xml:space="preserve"> </w:t>
      </w:r>
      <w:r w:rsidR="000243D3">
        <w:t>that</w:t>
      </w:r>
      <w:r w:rsidR="0019333E">
        <w:t xml:space="preserve"> being </w:t>
      </w:r>
      <w:r w:rsidR="000243D3">
        <w:t>Ravenna</w:t>
      </w:r>
      <w:r>
        <w:t>,</w:t>
      </w:r>
      <w:r w:rsidR="0019333E">
        <w:t xml:space="preserve"> however this did not </w:t>
      </w:r>
      <w:r w:rsidR="000243D3">
        <w:t>mean</w:t>
      </w:r>
      <w:r w:rsidR="0019333E">
        <w:t xml:space="preserve"> </w:t>
      </w:r>
      <w:r w:rsidR="000243D3">
        <w:t>that</w:t>
      </w:r>
      <w:r w:rsidR="0019333E">
        <w:t xml:space="preserve"> Rome was unimportant as it was still considered the </w:t>
      </w:r>
      <w:r>
        <w:t>h</w:t>
      </w:r>
      <w:r w:rsidR="0019333E">
        <w:t>eart of the empire</w:t>
      </w:r>
      <w:r w:rsidR="00783C8F">
        <w:t>.</w:t>
      </w:r>
      <w:r w:rsidR="00637C57">
        <w:rPr>
          <w:rStyle w:val="FootnoteReference"/>
        </w:rPr>
        <w:footnoteReference w:id="1"/>
      </w:r>
      <w:r w:rsidR="00783C8F">
        <w:t xml:space="preserve"> </w:t>
      </w:r>
      <w:r w:rsidR="00710202">
        <w:t xml:space="preserve">  </w:t>
      </w:r>
    </w:p>
    <w:p w14:paraId="52E6866D" w14:textId="6A17CC97" w:rsidR="004D0B1E" w:rsidRDefault="00EA38F8">
      <w:r>
        <w:t>The Visigoths</w:t>
      </w:r>
      <w:r w:rsidR="004D0B1E">
        <w:t xml:space="preserve"> were </w:t>
      </w:r>
      <w:r>
        <w:t xml:space="preserve">a tribe of the Goths who were </w:t>
      </w:r>
      <w:r w:rsidR="00810407">
        <w:t>led</w:t>
      </w:r>
      <w:r>
        <w:t xml:space="preserve"> by their king Alaric</w:t>
      </w:r>
      <w:r w:rsidR="004D0B1E">
        <w:t>.</w:t>
      </w:r>
      <w:r>
        <w:t xml:space="preserve"> </w:t>
      </w:r>
      <w:r w:rsidR="009C7D3A">
        <w:t xml:space="preserve">They had been feodorati of Rome before </w:t>
      </w:r>
      <w:r w:rsidR="0060604D">
        <w:t xml:space="preserve">in Eastern Rome. Honorius would </w:t>
      </w:r>
      <w:r w:rsidR="00C10FD2">
        <w:t>attack some settled Germanic peoples in a bid and kill a powerful general called Stillcho in order to try and secure his rule.</w:t>
      </w:r>
      <w:r w:rsidR="00637C57">
        <w:rPr>
          <w:rStyle w:val="FootnoteReference"/>
        </w:rPr>
        <w:footnoteReference w:id="2"/>
      </w:r>
      <w:r w:rsidR="00C10FD2">
        <w:t xml:space="preserve"> These events are what led to Alaric </w:t>
      </w:r>
      <w:r w:rsidR="008C0F01">
        <w:t>to invade Italy</w:t>
      </w:r>
      <w:r w:rsidR="00407148">
        <w:t>.</w:t>
      </w:r>
      <w:r w:rsidR="008C0F01">
        <w:t xml:space="preserve"> </w:t>
      </w:r>
      <w:r w:rsidR="004D0B1E">
        <w:t>T</w:t>
      </w:r>
      <w:r w:rsidR="00810407">
        <w:t>he sack of Rome would occur during the Visigoths third siege of Rome in their second invasion of Italy. Alaric had tried to negotiate with the emperor in the west</w:t>
      </w:r>
      <w:r w:rsidR="004D0B1E">
        <w:t>,</w:t>
      </w:r>
      <w:r w:rsidR="00810407">
        <w:t xml:space="preserve"> Honorius, however when Alaric went to meet </w:t>
      </w:r>
      <w:r w:rsidR="00D34DCF">
        <w:t>him,</w:t>
      </w:r>
      <w:r w:rsidR="00810407">
        <w:t xml:space="preserve"> </w:t>
      </w:r>
      <w:r w:rsidR="004D0B1E">
        <w:t>Alaric</w:t>
      </w:r>
      <w:r w:rsidR="00810407">
        <w:t xml:space="preserve"> was ambushed in an attempt to kill him which failed. </w:t>
      </w:r>
      <w:r w:rsidR="004D0B1E">
        <w:t>Enraged by this attack,</w:t>
      </w:r>
      <w:r w:rsidR="00D34DCF">
        <w:t xml:space="preserve"> </w:t>
      </w:r>
      <w:r w:rsidR="00244606">
        <w:t xml:space="preserve">as well as the </w:t>
      </w:r>
      <w:r w:rsidR="004D0B1E">
        <w:t xml:space="preserve">fact that </w:t>
      </w:r>
      <w:r w:rsidR="00244606">
        <w:t>Romans in Rome refus</w:t>
      </w:r>
      <w:r w:rsidR="004D0B1E">
        <w:t>ed</w:t>
      </w:r>
      <w:r w:rsidR="00244606">
        <w:t xml:space="preserve"> to pay tribute to the Visigoths</w:t>
      </w:r>
      <w:r w:rsidR="004D0B1E">
        <w:t>, Alaric chose to march on Rome and sack the city</w:t>
      </w:r>
      <w:r w:rsidR="00A615C3">
        <w:t>.</w:t>
      </w:r>
      <w:r w:rsidR="00842E0B">
        <w:rPr>
          <w:rStyle w:val="FootnoteReference"/>
        </w:rPr>
        <w:footnoteReference w:id="3"/>
      </w:r>
      <w:r w:rsidR="00A615C3">
        <w:t xml:space="preserve"> </w:t>
      </w:r>
    </w:p>
    <w:p w14:paraId="2980FBAA" w14:textId="1359C175" w:rsidR="001F2ADF" w:rsidRDefault="00A615C3">
      <w:r>
        <w:t>The city would fall to the Visigoths and would be sacked for three days. Looting</w:t>
      </w:r>
      <w:r w:rsidR="004D0B1E">
        <w:t xml:space="preserve"> occurred</w:t>
      </w:r>
      <w:r>
        <w:t xml:space="preserve"> such as the theft of a</w:t>
      </w:r>
      <w:r w:rsidR="00244606">
        <w:t xml:space="preserve"> </w:t>
      </w:r>
      <w:r w:rsidR="001B6AAB">
        <w:t>silver ciborium as well as other valuables from the city</w:t>
      </w:r>
      <w:r w:rsidR="001F2ADF">
        <w:t>.</w:t>
      </w:r>
      <w:r w:rsidR="001B6AAB">
        <w:t xml:space="preserve"> </w:t>
      </w:r>
      <w:r w:rsidR="001F2ADF">
        <w:t>T</w:t>
      </w:r>
      <w:r w:rsidR="001B6AAB">
        <w:t>hey also desecrated the mausoleums of the emperors of Rome including the mausoleum of Augustus destroying their urns and scattering their ashes</w:t>
      </w:r>
      <w:r w:rsidR="005B7D4C">
        <w:t>.</w:t>
      </w:r>
      <w:r w:rsidR="00487AD3">
        <w:rPr>
          <w:rStyle w:val="FootnoteReference"/>
        </w:rPr>
        <w:footnoteReference w:id="4"/>
      </w:r>
      <w:r w:rsidR="007378C6">
        <w:t xml:space="preserve"> A large percentage of the monuments and ancient buildings in Rome survived the sack with </w:t>
      </w:r>
      <w:r w:rsidR="00F475FD">
        <w:t>minimal</w:t>
      </w:r>
      <w:r w:rsidR="007378C6">
        <w:t xml:space="preserve"> structural damage although as stated</w:t>
      </w:r>
      <w:r w:rsidR="001F2ADF">
        <w:t>,</w:t>
      </w:r>
      <w:r w:rsidR="007378C6">
        <w:t xml:space="preserve"> </w:t>
      </w:r>
      <w:r w:rsidR="00F475FD">
        <w:t>they</w:t>
      </w:r>
      <w:r w:rsidR="007378C6">
        <w:t xml:space="preserve"> would be missing most of their valuables. </w:t>
      </w:r>
      <w:r w:rsidR="001F2ADF">
        <w:t>Some buildings and monuments were</w:t>
      </w:r>
      <w:r w:rsidR="00F475FD">
        <w:t xml:space="preserve"> burnt and in the case of the Gardens of </w:t>
      </w:r>
      <w:r w:rsidR="0047669A">
        <w:t>Sallust,</w:t>
      </w:r>
      <w:r w:rsidR="00F475FD">
        <w:t xml:space="preserve"> they </w:t>
      </w:r>
      <w:r w:rsidR="001F2ADF">
        <w:t>were</w:t>
      </w:r>
      <w:r w:rsidR="00F475FD">
        <w:t xml:space="preserve"> n</w:t>
      </w:r>
      <w:r w:rsidR="0047669A">
        <w:t>o</w:t>
      </w:r>
      <w:r w:rsidR="00F475FD">
        <w:t>t rebuilt afterwards.</w:t>
      </w:r>
      <w:r w:rsidR="00020D58">
        <w:t xml:space="preserve"> Some buildings including the basilicas of Peter and Paul were untouched.</w:t>
      </w:r>
      <w:r w:rsidR="00842E0B">
        <w:rPr>
          <w:rStyle w:val="FootnoteReference"/>
        </w:rPr>
        <w:footnoteReference w:id="5"/>
      </w:r>
      <w:r w:rsidR="00F475FD">
        <w:t xml:space="preserve"> </w:t>
      </w:r>
    </w:p>
    <w:p w14:paraId="3B8402EC" w14:textId="2FE8AE5F" w:rsidR="00E7037A" w:rsidRDefault="0047669A">
      <w:r>
        <w:t>The people of Rome who could not flee beforehand were profoundly affected by the sack of their city</w:t>
      </w:r>
      <w:r w:rsidR="00FD6534">
        <w:t>.</w:t>
      </w:r>
      <w:r>
        <w:t xml:space="preserve"> </w:t>
      </w:r>
      <w:r w:rsidR="00C7053B">
        <w:t>many of those who could not flee would be captured in the sack by the Visigoths some of these would be sold into slavery others whose families could afford it would be ransomed</w:t>
      </w:r>
      <w:r w:rsidR="00E33AC6">
        <w:t xml:space="preserve"> </w:t>
      </w:r>
      <w:r w:rsidR="00020D58">
        <w:t>and people were also tortured until they gave up their valuables however it is considered by some a relatively restrained sacking because the buildings for the most part remained intact and the majority of the population survived and were not sold into slavery.</w:t>
      </w:r>
      <w:r w:rsidR="00637C57">
        <w:rPr>
          <w:rStyle w:val="FootnoteReference"/>
        </w:rPr>
        <w:footnoteReference w:id="6"/>
      </w:r>
      <w:r w:rsidR="008A2CA9">
        <w:t xml:space="preserve"> </w:t>
      </w:r>
    </w:p>
    <w:p w14:paraId="5195D324" w14:textId="17944047" w:rsidR="00BD4161" w:rsidRDefault="00FD6534">
      <w:r>
        <w:lastRenderedPageBreak/>
        <w:t xml:space="preserve">In contrast to Romans living in the city the most well know account of the sack of Rome was written by </w:t>
      </w:r>
      <w:r w:rsidR="00F7277B">
        <w:t>Augustine of Hippo</w:t>
      </w:r>
      <w:r>
        <w:t>,</w:t>
      </w:r>
      <w:r w:rsidR="00F7277B">
        <w:t xml:space="preserve"> a</w:t>
      </w:r>
      <w:r>
        <w:t xml:space="preserve"> Roman</w:t>
      </w:r>
      <w:r w:rsidR="00F7277B">
        <w:t xml:space="preserve"> Christian bishop</w:t>
      </w:r>
      <w:r>
        <w:t xml:space="preserve"> who lived in Africa. He wrote on the sack of the city in defence of Christianity. </w:t>
      </w:r>
      <w:r w:rsidR="004612A0">
        <w:t>The work he wrote on the sack of Rome is called On the City of God Against the Pagans.</w:t>
      </w:r>
      <w:r w:rsidR="00EF59A2">
        <w:t xml:space="preserve"> This was written as a defence of Christianity and its dominance and effects on the empire against accusations from pagans that Christianity had weakened the empire in various ways. These arguments against Christianity </w:t>
      </w:r>
      <w:r w:rsidR="00BD4161">
        <w:t>especially in the context of the sack of Rome led to Augustine writing this work.</w:t>
      </w:r>
      <w:r w:rsidR="005F49FC">
        <w:rPr>
          <w:rStyle w:val="FootnoteReference"/>
        </w:rPr>
        <w:footnoteReference w:id="7"/>
      </w:r>
      <w:r w:rsidR="00EF59A2">
        <w:t xml:space="preserve"> </w:t>
      </w:r>
      <w:r w:rsidR="00AE1400">
        <w:t>Augustine confirms as much in his work called Retractions which was written in 426 CE.</w:t>
      </w:r>
      <w:r w:rsidR="005F49FC">
        <w:rPr>
          <w:rStyle w:val="FootnoteReference"/>
        </w:rPr>
        <w:footnoteReference w:id="8"/>
      </w:r>
      <w:r w:rsidR="00AE1400">
        <w:t xml:space="preserve"> </w:t>
      </w:r>
    </w:p>
    <w:p w14:paraId="378F679A" w14:textId="00ADD16D" w:rsidR="00AE1400" w:rsidRDefault="00AE1400">
      <w:r>
        <w:t xml:space="preserve">In </w:t>
      </w:r>
      <w:r w:rsidR="00FD6534" w:rsidRPr="00FD6534">
        <w:rPr>
          <w:i/>
          <w:iCs/>
        </w:rPr>
        <w:t>O</w:t>
      </w:r>
      <w:r w:rsidRPr="00FD6534">
        <w:rPr>
          <w:i/>
          <w:iCs/>
        </w:rPr>
        <w:t>n the City of God Against the Pagans</w:t>
      </w:r>
      <w:r>
        <w:t xml:space="preserve"> Augustine emphasises that the Visigoths </w:t>
      </w:r>
      <w:r w:rsidR="003F113C">
        <w:t>during the sack</w:t>
      </w:r>
      <w:r w:rsidR="00E2650A">
        <w:t xml:space="preserve"> of Rome,</w:t>
      </w:r>
      <w:r w:rsidR="003F113C">
        <w:t xml:space="preserve"> spared the churches and the people in them.</w:t>
      </w:r>
      <w:r w:rsidR="00637C57">
        <w:rPr>
          <w:rStyle w:val="FootnoteReference"/>
        </w:rPr>
        <w:footnoteReference w:id="9"/>
      </w:r>
      <w:r w:rsidR="00E2650A">
        <w:t xml:space="preserve"> He also points out as a way of disproving pagan views that the sack was a sign of the failure of Christianity and the anger of their gods that it was not the first time that the city had been sacked as during the Roman republican period about eight hundred years before the sack of his time Rome was sacked by Gauls Rome was not Christian at this time as Christianity didn’t exist ye</w:t>
      </w:r>
      <w:r w:rsidR="00243F3D">
        <w:t xml:space="preserve">t. Augustine uses that sack to point out that the </w:t>
      </w:r>
      <w:proofErr w:type="gramStart"/>
      <w:r w:rsidR="00243F3D">
        <w:t>pagans</w:t>
      </w:r>
      <w:proofErr w:type="gramEnd"/>
      <w:r w:rsidR="00243F3D">
        <w:t xml:space="preserve"> gods did not protect the city then either as a way of disproving their anger being a factor.</w:t>
      </w:r>
      <w:r w:rsidR="00CA2CF2">
        <w:rPr>
          <w:rStyle w:val="FootnoteReference"/>
        </w:rPr>
        <w:footnoteReference w:id="10"/>
      </w:r>
      <w:r w:rsidR="00243F3D">
        <w:t xml:space="preserve"> </w:t>
      </w:r>
      <w:r w:rsidR="00E2650A">
        <w:t xml:space="preserve"> </w:t>
      </w:r>
      <w:r w:rsidR="003F113C">
        <w:t xml:space="preserve"> </w:t>
      </w:r>
    </w:p>
    <w:p w14:paraId="29A5550F" w14:textId="56C1AD8B" w:rsidR="00E4658E" w:rsidRDefault="003F113C">
      <w:r>
        <w:t>Orosius also wrote about the sack of Rome a few years after it had occurred at the request of Augu</w:t>
      </w:r>
      <w:r w:rsidR="00CA2CF2">
        <w:t>s</w:t>
      </w:r>
      <w:r>
        <w:t>tine.</w:t>
      </w:r>
      <w:r w:rsidR="00DE4F1C">
        <w:rPr>
          <w:rStyle w:val="FootnoteReference"/>
        </w:rPr>
        <w:footnoteReference w:id="11"/>
      </w:r>
      <w:r>
        <w:t xml:space="preserve"> In his account of the sack, he emphasis its shortness and relative clemency compared to the average sack of a city at the time. Orosius also </w:t>
      </w:r>
      <w:r w:rsidR="0092628A">
        <w:t>says that the overall importance of the sack of Rome was by the time he was writing very small as the empire had already recovered from it and even that the city itself was already mostly recovered.</w:t>
      </w:r>
      <w:r w:rsidR="00DE4F1C">
        <w:rPr>
          <w:rStyle w:val="FootnoteReference"/>
        </w:rPr>
        <w:footnoteReference w:id="12"/>
      </w:r>
      <w:r w:rsidR="0092628A">
        <w:t xml:space="preserve"> He also makes mention of Rome having a new more competent emperor than Honorius. After making these arguments he then went on to say that pagans were still outraged and blaming Christianity for the sack despite Alaric being himself a Christian and having left the churches alone during the sack itself.</w:t>
      </w:r>
      <w:r w:rsidR="00DE4F1C">
        <w:rPr>
          <w:rStyle w:val="FootnoteReference"/>
        </w:rPr>
        <w:footnoteReference w:id="13"/>
      </w:r>
      <w:r w:rsidR="0092628A">
        <w:t xml:space="preserve"> </w:t>
      </w:r>
    </w:p>
    <w:p w14:paraId="50683F32" w14:textId="6D2A364E" w:rsidR="003F113C" w:rsidRDefault="00E4658E">
      <w:r>
        <w:t xml:space="preserve">Both Augustine and Orosius intend to defend Christianity with their accounts of the sack of Rome </w:t>
      </w:r>
      <w:r w:rsidR="00680B47">
        <w:t>and in their accounts of the events and their aftermath they also emphasis how they believe it did not have much of an effect on the empire as a whole long term</w:t>
      </w:r>
      <w:r w:rsidR="00841DCA">
        <w:t>. Reasons for this could be deliberate downplay of the effects to defend Christianity or that it genuinely looked at the time of writing like there were no discernible effects on the empire. Whatever the case with this argument from Augustine and Orosius it is useful to have this perspective from authors contemporaneous with the sack of the city.</w:t>
      </w:r>
    </w:p>
    <w:p w14:paraId="54F9D623" w14:textId="5D3D4F5C" w:rsidR="00F87CE9" w:rsidRDefault="00F87CE9">
      <w:r>
        <w:t>Another contemporaneous account of the sack of Rome comes from a monk originally from Britain called Pelagius</w:t>
      </w:r>
      <w:r w:rsidR="002575BF">
        <w:t xml:space="preserve"> he was in Rome when the sack occurred unlike Augustine and Orosius and </w:t>
      </w:r>
      <w:r w:rsidR="00596CB5">
        <w:t>he</w:t>
      </w:r>
      <w:r w:rsidR="002575BF">
        <w:t xml:space="preserve"> wrote about it in the immediate aftermath of the sack. In his account of the sack, he mentions that it is disastrous and shocking that this happened to Rome. This account also portrays the people of Rome as one and the same given the situation with all distinctions of nobility and wealth melting away in the face of the sacking of their city. With all citizens and slaves facing the same risk of death and torture at the hands of the Visigoths.</w:t>
      </w:r>
      <w:r w:rsidR="00412F4D">
        <w:rPr>
          <w:rStyle w:val="FootnoteReference"/>
        </w:rPr>
        <w:footnoteReference w:id="14"/>
      </w:r>
      <w:r w:rsidR="002575BF">
        <w:t xml:space="preserve"> </w:t>
      </w:r>
      <w:r>
        <w:t xml:space="preserve"> </w:t>
      </w:r>
    </w:p>
    <w:p w14:paraId="4B905233" w14:textId="77325CA3" w:rsidR="00243F3D" w:rsidRDefault="00243F3D">
      <w:r>
        <w:lastRenderedPageBreak/>
        <w:t xml:space="preserve">Some other contemporary reactions to the sack of Rome </w:t>
      </w:r>
      <w:r w:rsidR="00BA67EE">
        <w:t xml:space="preserve">by Christians were not so dismissive of the consequences of it on the empire. Jerome a Roman Christian writing three years after the event </w:t>
      </w:r>
      <w:r w:rsidR="00935B4C">
        <w:t xml:space="preserve">in his writings he states </w:t>
      </w:r>
      <w:r w:rsidR="00E65120">
        <w:t>that the city had been devoured in a single fire he calls it the head of the Roman Empire</w:t>
      </w:r>
      <w:r w:rsidR="00024E36">
        <w:t>. Another example of this comes from a Roman Christian bishop called Palladius who describes the sack as a barbarian whirlwind and says that Rome was left a ruin.</w:t>
      </w:r>
      <w:r w:rsidR="00DE4F1C">
        <w:rPr>
          <w:rStyle w:val="FootnoteReference"/>
        </w:rPr>
        <w:footnoteReference w:id="15"/>
      </w:r>
      <w:r w:rsidR="00024E36">
        <w:t xml:space="preserve"> Both of these accounts demonstrate a different train of thought among Roman Christians </w:t>
      </w:r>
      <w:r w:rsidR="00F353CB">
        <w:t xml:space="preserve">other </w:t>
      </w:r>
      <w:r w:rsidR="00024E36">
        <w:t xml:space="preserve">than the narrative </w:t>
      </w:r>
      <w:r w:rsidR="00F353CB">
        <w:t xml:space="preserve">set by Augustine </w:t>
      </w:r>
      <w:r w:rsidR="00024E36">
        <w:t>that</w:t>
      </w:r>
      <w:r w:rsidR="00F353CB">
        <w:t xml:space="preserve"> being, that</w:t>
      </w:r>
      <w:r w:rsidR="00024E36">
        <w:t xml:space="preserve"> </w:t>
      </w:r>
      <w:r w:rsidR="00F353CB">
        <w:t xml:space="preserve">the sack of Rome was of little consequence and the city sustained minimal damage. These two comments on the sack of Rome instead depict a much more destructive </w:t>
      </w:r>
      <w:r w:rsidR="00A339E0">
        <w:t xml:space="preserve">version of events during and after the sack as well as the events themselves seeing to have much higher consequences in the long term for both the city of Rome and the empire in general. </w:t>
      </w:r>
      <w:r w:rsidR="006425EE">
        <w:t xml:space="preserve">The fact that </w:t>
      </w:r>
      <w:r w:rsidR="00F40140">
        <w:t>there</w:t>
      </w:r>
      <w:r w:rsidR="006425EE">
        <w:t xml:space="preserve"> were differences among the Christian population of the Roman Empires interpretations of the sack of Romes impact on the city and the empire even this close to it happening</w:t>
      </w:r>
      <w:r w:rsidR="00F40140">
        <w:t xml:space="preserve"> show that there were a diversity of views and interpretations among the Christians and not purely a monolith Christian view of the events versus the pagan views of the events. O</w:t>
      </w:r>
      <w:r w:rsidR="00FA1F9E">
        <w:t xml:space="preserve">rosius address these views in his work by suggesting that some people were exaggerating the extent of the damage caused by the sack </w:t>
      </w:r>
      <w:r w:rsidR="00596CB5">
        <w:t>emphasising</w:t>
      </w:r>
      <w:r w:rsidR="00FA1F9E">
        <w:t xml:space="preserve"> that it only lasted a short time and minimal damage was done to the city.</w:t>
      </w:r>
      <w:r w:rsidR="00DE4F1C">
        <w:rPr>
          <w:rStyle w:val="FootnoteReference"/>
        </w:rPr>
        <w:footnoteReference w:id="16"/>
      </w:r>
      <w:r w:rsidR="006425EE">
        <w:t xml:space="preserve"> </w:t>
      </w:r>
    </w:p>
    <w:p w14:paraId="2E38FE54" w14:textId="2BEEC71E" w:rsidR="007E122D" w:rsidRDefault="007E122D">
      <w:r>
        <w:t xml:space="preserve">Procopius was a historian who lived in the Eastern Roman Empire and was born in 500 CE 90 years after the sack of Rome by the Visigoths. </w:t>
      </w:r>
      <w:r w:rsidR="00201762">
        <w:t xml:space="preserve">Most of his writings concern the reign of the Emperor Justinian and the general Belisarius’ conquests of the old provinces that were lost by then mainly Africa and Italy. However, he also wrote on the siege of Rome in the </w:t>
      </w:r>
      <w:r w:rsidR="007269C2">
        <w:t>form</w:t>
      </w:r>
      <w:r w:rsidR="00201762">
        <w:t xml:space="preserve"> of a story about Honorius. In this work Honorius is in a palace in Ravenna when he hears the news of the sack of Rome </w:t>
      </w:r>
      <w:r w:rsidR="003D4363">
        <w:t>from one of his servants who Procopius says must have been a keeper of the poultry as Honorius thought that the servant was talking about a rooster he owned called Rome once the servant corrected that informing him that Rome the city not the rooster had fallen the emperor was said by Procopius to be relieved which Procopius then goes onto say demonstrated the foolishness of Honorius for valuing the chicken above Rome itself.</w:t>
      </w:r>
      <w:r w:rsidR="00DE4F1C">
        <w:rPr>
          <w:rStyle w:val="FootnoteReference"/>
        </w:rPr>
        <w:footnoteReference w:id="17"/>
      </w:r>
      <w:r w:rsidR="003D4363">
        <w:t xml:space="preserve"> This </w:t>
      </w:r>
      <w:r w:rsidR="00A333DE">
        <w:t xml:space="preserve">could have been written by Procopius not only to disparage Honorius but also to praise Justinian as under his rule Rome the city was Restored to the Roman Empire albeit temporarily. </w:t>
      </w:r>
      <w:r w:rsidR="003D4363">
        <w:t xml:space="preserve"> </w:t>
      </w:r>
    </w:p>
    <w:p w14:paraId="5652D0A6" w14:textId="00F410E6" w:rsidR="00E6362D" w:rsidRDefault="00BD4161">
      <w:r>
        <w:t>The Anglo-Saxons wrote about the sack of Rome hundreds of years after the events had occurred these early medieval accounts of the sack from England</w:t>
      </w:r>
      <w:r w:rsidR="00436582">
        <w:t xml:space="preserve">. These works have the benefit of hindsight being created long after the sack meant that the Anglo-Saxon historians could </w:t>
      </w:r>
      <w:r w:rsidR="001361EB">
        <w:t xml:space="preserve">link it to other events such as the fall of the empire for example whilst contemporary writers could not </w:t>
      </w:r>
      <w:r w:rsidR="00AB47AF">
        <w:t>as they were writing straight or only a few years after the events. A disadvantage of the Anglo-Saxon histories of the sack of Rome however is that they had no firsthand experience of the sack and could not talk to anyone who did</w:t>
      </w:r>
      <w:r w:rsidR="00436582">
        <w:t xml:space="preserve"> </w:t>
      </w:r>
      <w:r w:rsidR="00AB47AF">
        <w:t xml:space="preserve">relying on surviving </w:t>
      </w:r>
      <w:r w:rsidR="0042229A">
        <w:t>accounts</w:t>
      </w:r>
      <w:r w:rsidR="00AB47AF">
        <w:t xml:space="preserve"> that they had access to.</w:t>
      </w:r>
      <w:r w:rsidR="00CF2175">
        <w:t xml:space="preserve">   </w:t>
      </w:r>
      <w:r w:rsidR="004612A0">
        <w:t xml:space="preserve">  </w:t>
      </w:r>
      <w:r w:rsidR="00E6362D">
        <w:t xml:space="preserve"> </w:t>
      </w:r>
    </w:p>
    <w:p w14:paraId="0DDB2DBC" w14:textId="5E0C72CE" w:rsidR="000243D3" w:rsidRDefault="00E6362D">
      <w:r w:rsidRPr="007269C2">
        <w:t>“</w:t>
      </w:r>
      <w:proofErr w:type="gramStart"/>
      <w:r w:rsidRPr="007269C2">
        <w:t>it</w:t>
      </w:r>
      <w:proofErr w:type="gramEnd"/>
      <w:r w:rsidRPr="007269C2">
        <w:t xml:space="preserve"> is mentioned prominently in two of Bede's historical works, in four of the Old English prose works associated with King Alfred, and in Æthelweard's </w:t>
      </w:r>
      <w:r w:rsidRPr="007269C2">
        <w:rPr>
          <w:i/>
          <w:iCs/>
        </w:rPr>
        <w:t>Chronicle</w:t>
      </w:r>
      <w:r w:rsidRPr="007269C2">
        <w:t xml:space="preserve">; it is the context and end-point of the Old </w:t>
      </w:r>
      <w:r w:rsidRPr="007269C2">
        <w:lastRenderedPageBreak/>
        <w:t>English version of Orosius's </w:t>
      </w:r>
      <w:r w:rsidRPr="007269C2">
        <w:rPr>
          <w:i/>
          <w:iCs/>
        </w:rPr>
        <w:t>History of the World</w:t>
      </w:r>
      <w:r w:rsidRPr="007269C2">
        <w:t>; and it is the starting-point of King Alfred's account of Boethius.”</w:t>
      </w:r>
      <w:r w:rsidR="00E004B2">
        <w:rPr>
          <w:rStyle w:val="FootnoteReference"/>
        </w:rPr>
        <w:footnoteReference w:id="18"/>
      </w:r>
      <w:r w:rsidR="00E004B2">
        <w:t xml:space="preserve"> </w:t>
      </w:r>
      <w:r w:rsidR="00C25053">
        <w:t>The main part of this section will be focused on Bede’s historical works and their influence on later Anglo-Saxon histories.</w:t>
      </w:r>
      <w:r w:rsidR="007269C2">
        <w:t xml:space="preserve"> This quote from an article shows that the Anglo-Saxons wrote extensively on the subject as well as translating a number of works on the sack of Rome into their own language.</w:t>
      </w:r>
    </w:p>
    <w:p w14:paraId="33F64027" w14:textId="4982DC29" w:rsidR="00B0281A" w:rsidRDefault="00B0281A">
      <w:r>
        <w:t>The Anglo-Saxons were a collection of Germanic tribes from northern Germany and Jutland sometime during the 400’s CE</w:t>
      </w:r>
      <w:r w:rsidR="00C25053">
        <w:t xml:space="preserve"> being invited over to the island to help the Romano-Britains and the Brythonic people against the Picts and Scots</w:t>
      </w:r>
      <w:r>
        <w:t xml:space="preserve"> </w:t>
      </w:r>
      <w:r w:rsidR="005C7046">
        <w:t>the Anglo-Saxons would settle in Britain</w:t>
      </w:r>
      <w:r w:rsidR="007158F7">
        <w:rPr>
          <w:rStyle w:val="FootnoteReference"/>
        </w:rPr>
        <w:footnoteReference w:id="19"/>
      </w:r>
      <w:r w:rsidR="005C7046">
        <w:t xml:space="preserve"> overtime taking over more land until they had hegemony over England this was not a united polity but rather a number of culturally similar kingdoms.</w:t>
      </w:r>
      <w:r w:rsidR="007158F7">
        <w:rPr>
          <w:rStyle w:val="FootnoteReference"/>
        </w:rPr>
        <w:footnoteReference w:id="20"/>
      </w:r>
      <w:r w:rsidR="005C7046">
        <w:t xml:space="preserve"> The Anglo-Saxons would start as pagans but would by the time that the historical works that were written by them about the sack of Rome were </w:t>
      </w:r>
      <w:r w:rsidR="007269C2">
        <w:t>created,</w:t>
      </w:r>
      <w:r w:rsidR="005C7046">
        <w:t xml:space="preserve"> they had been converted to Christianity. The works looked at from the Anglo-Saxons were written between the 700’s and 800’s CE </w:t>
      </w:r>
      <w:r w:rsidR="00C25053">
        <w:t>hundreds of years after the sack.</w:t>
      </w:r>
      <w:r w:rsidR="007158F7">
        <w:rPr>
          <w:rStyle w:val="FootnoteReference"/>
        </w:rPr>
        <w:footnoteReference w:id="21"/>
      </w:r>
    </w:p>
    <w:p w14:paraId="6E173829" w14:textId="2FD9D213" w:rsidR="0042229A" w:rsidRDefault="00841DCA">
      <w:r>
        <w:t xml:space="preserve">Bede’s first mention of the sack of Rome in one of his earlier works is similar to the way Augustine and Orosius would describe it as a footnote with little real significance to the fall of the Roman Empire in the </w:t>
      </w:r>
      <w:r w:rsidR="006D37BF">
        <w:t>w</w:t>
      </w:r>
      <w:r>
        <w:t>est.</w:t>
      </w:r>
      <w:r w:rsidR="00E004B2">
        <w:rPr>
          <w:rStyle w:val="FootnoteReference"/>
        </w:rPr>
        <w:footnoteReference w:id="22"/>
      </w:r>
      <w:r w:rsidR="006D37BF">
        <w:t xml:space="preserve"> The sack would increase in its significance in his later works. The sack would be directly linked by Bede to the abandonment of Britain by Rome</w:t>
      </w:r>
      <w:r w:rsidR="002D0BC0">
        <w:t>. How the sack of the city fit into his accounts of the abandonment of Rome varied overtime however it would remain one of three major events in the timeline of it the other two being usurpers from Britain taking troops away from the island to try and claim the emperorship for themselves and the other being the attacks on Britain by Picts and Scots that caused them to appeal to Rome for more troops.</w:t>
      </w:r>
      <w:r w:rsidR="006B7EF3">
        <w:rPr>
          <w:rStyle w:val="FootnoteReference"/>
        </w:rPr>
        <w:footnoteReference w:id="23"/>
      </w:r>
      <w:r w:rsidR="002D0BC0">
        <w:t xml:space="preserve"> This r</w:t>
      </w:r>
      <w:r w:rsidR="00AB3D2B">
        <w:t xml:space="preserve">equest by Britain would be </w:t>
      </w:r>
      <w:r w:rsidR="0038578A">
        <w:t xml:space="preserve">answered and legions would be sent twice to help but after this the empire would refuse to send anymore. </w:t>
      </w:r>
      <w:r w:rsidR="0091627F">
        <w:t>It is suggested that this linking of both of the sack of Rome and the withdrawal from Britain</w:t>
      </w:r>
      <w:r w:rsidR="00AF7AB6">
        <w:t xml:space="preserve"> was made to increase the importance of the events</w:t>
      </w:r>
      <w:r w:rsidR="0042229A">
        <w:t>.</w:t>
      </w:r>
      <w:r w:rsidR="006B7EF3">
        <w:rPr>
          <w:rStyle w:val="FootnoteReference"/>
        </w:rPr>
        <w:footnoteReference w:id="24"/>
      </w:r>
      <w:r w:rsidR="0042229A">
        <w:t xml:space="preserve"> </w:t>
      </w:r>
    </w:p>
    <w:p w14:paraId="43923520" w14:textId="7912A5DB" w:rsidR="00A333DE" w:rsidRDefault="0042229A">
      <w:r>
        <w:t xml:space="preserve">Bede’s account of the sack and his linking </w:t>
      </w:r>
      <w:r w:rsidR="00AD6513">
        <w:t xml:space="preserve">of </w:t>
      </w:r>
      <w:r>
        <w:t>it to the Roman withdrawal from Britain</w:t>
      </w:r>
      <w:r w:rsidR="00AD6513">
        <w:t xml:space="preserve"> shows how the perception of the events had changed for the Anglo-Saxons. In general, it was seen as a more significant event by them than the Christian Romans who lived at the same time as the sack of Rome who wrote about it. this importance of the events </w:t>
      </w:r>
      <w:r w:rsidR="00AD485B">
        <w:t>for the Anglo-Saxons comes with the benefit of hindsight as by the time they were writing the western empire had fallen.</w:t>
      </w:r>
      <w:r w:rsidR="006B7EF3">
        <w:rPr>
          <w:rStyle w:val="FootnoteReference"/>
        </w:rPr>
        <w:footnoteReference w:id="25"/>
      </w:r>
      <w:r w:rsidR="00AD485B">
        <w:t xml:space="preserve"> </w:t>
      </w:r>
      <w:r w:rsidR="00F87CE9">
        <w:t xml:space="preserve">The attempt to link it to the withdrawal of Rome from Britain is also a change as the earlier writers did not connect the events at all. Reasons why they may have tried to connect the events are to further the importance of the sack of the city by implicating it in other events that happened at a similar time in the empire and that with the withdrawal from Britain by Rome the Anglo-Saxons managed to gain a foothold on the island making it an important event in </w:t>
      </w:r>
      <w:r w:rsidR="00215723">
        <w:t>their</w:t>
      </w:r>
      <w:r w:rsidR="00F87CE9">
        <w:t xml:space="preserve"> own history as well.</w:t>
      </w:r>
      <w:r w:rsidR="006B7EF3">
        <w:rPr>
          <w:rStyle w:val="FootnoteReference"/>
        </w:rPr>
        <w:footnoteReference w:id="26"/>
      </w:r>
      <w:r w:rsidR="00C81AC1">
        <w:t xml:space="preserve"> </w:t>
      </w:r>
    </w:p>
    <w:p w14:paraId="49CD443B" w14:textId="6CEBF38F" w:rsidR="007E18C7" w:rsidRDefault="00A333DE">
      <w:r>
        <w:lastRenderedPageBreak/>
        <w:t xml:space="preserve">Whilst Bede is the most implicit in his connection of the sack of Rome with them leaving Britain it is not exclusively </w:t>
      </w:r>
      <w:r w:rsidR="00215723">
        <w:t xml:space="preserve">a connection made by him for example an Anglo-Saxon poet called Alcuin wrote about the abandonment of Britain by Rome </w:t>
      </w:r>
      <w:r w:rsidR="005848FD">
        <w:t>and mentioned that part of the reason for the withdrawal from the island was that Rome was facing barbarian threats elsewhere and these threats were more urgent to the empire than protecting Britain was.</w:t>
      </w:r>
      <w:r w:rsidR="006B7EF3">
        <w:rPr>
          <w:rStyle w:val="FootnoteReference"/>
        </w:rPr>
        <w:footnoteReference w:id="27"/>
      </w:r>
      <w:r w:rsidR="00CC3BF0">
        <w:t xml:space="preserve"> This whilst being similar to Bede in that Rome abandoned Britain because its resources were needed elsewhere in also contradicts his account because Bede insists that the legions originally left Britain because they were used by usurping emperors</w:t>
      </w:r>
      <w:r w:rsidR="007E18C7">
        <w:t>.</w:t>
      </w:r>
      <w:r w:rsidR="006B7EF3">
        <w:rPr>
          <w:rStyle w:val="FootnoteReference"/>
        </w:rPr>
        <w:footnoteReference w:id="28"/>
      </w:r>
      <w:r w:rsidR="007E18C7">
        <w:t xml:space="preserve"> </w:t>
      </w:r>
    </w:p>
    <w:p w14:paraId="2C0635AE" w14:textId="058BBA48" w:rsidR="00FE667C" w:rsidRDefault="007E18C7">
      <w:r>
        <w:t>Bede’s linking of the sack of Rome and the abandonment of Britain would influence later Anglo-Saxon histories</w:t>
      </w:r>
      <w:r w:rsidR="00ED2839">
        <w:t xml:space="preserve"> such as the Ango-Saxon Chronicle which would reference Bede’s work on the period </w:t>
      </w:r>
      <w:r w:rsidR="001B5AAB">
        <w:t xml:space="preserve">particularity the linking of the two events. Whilst </w:t>
      </w:r>
      <w:r w:rsidR="00FE667C">
        <w:t>the Anglo-Saxon Chronicle does borrow heavily from Bede’s account of the events it also adds its own mark to it by claiming that before the Romans left Britain, they had buried treasure throughout the island.</w:t>
      </w:r>
      <w:r w:rsidR="006B7EF3">
        <w:rPr>
          <w:rStyle w:val="FootnoteReference"/>
        </w:rPr>
        <w:footnoteReference w:id="29"/>
      </w:r>
      <w:r w:rsidR="00FE667C">
        <w:t xml:space="preserve"> </w:t>
      </w:r>
      <w:r w:rsidR="005E63E6">
        <w:t xml:space="preserve">An even later history written by Aethelweard also references Bede </w:t>
      </w:r>
      <w:r w:rsidR="00F25916">
        <w:t>and makes the events even more significant with this version of the sack leading to the loss of not onl</w:t>
      </w:r>
      <w:r w:rsidR="00D4011B">
        <w:t>y</w:t>
      </w:r>
      <w:r w:rsidR="00F25916">
        <w:t xml:space="preserve"> the British provinces but other </w:t>
      </w:r>
      <w:r w:rsidR="00D4011B">
        <w:t>provinces</w:t>
      </w:r>
      <w:r w:rsidR="00F25916">
        <w:t xml:space="preserve"> of the Western Roman Empire as well.</w:t>
      </w:r>
      <w:r w:rsidR="006B7EF3">
        <w:rPr>
          <w:rStyle w:val="FootnoteReference"/>
        </w:rPr>
        <w:footnoteReference w:id="30"/>
      </w:r>
      <w:r w:rsidR="002B382E">
        <w:t xml:space="preserve"> It also asserts that the goths then settled in Italy and that most Romans went into exile in Gaul this is disproven by the contemporary accounts but was probably added to inflate the importance of the sack of the city.</w:t>
      </w:r>
      <w:r w:rsidR="006B7EF3">
        <w:rPr>
          <w:rStyle w:val="FootnoteReference"/>
        </w:rPr>
        <w:footnoteReference w:id="31"/>
      </w:r>
    </w:p>
    <w:p w14:paraId="4CD616A0" w14:textId="7628D0E9" w:rsidR="001C1544" w:rsidRDefault="001C1544">
      <w:r>
        <w:t xml:space="preserve">Modern scholastic views on the sack of Rome vary considerably. The scholars that believe that the event holds great significance because in their eyes it can be used as a marker for the start of the fall of the Western Roman Empire </w:t>
      </w:r>
      <w:r w:rsidR="00276D43">
        <w:t>and has been called one of the defining points in history by some who support its significance.</w:t>
      </w:r>
      <w:r w:rsidR="006B7EF3">
        <w:rPr>
          <w:rStyle w:val="FootnoteReference"/>
        </w:rPr>
        <w:footnoteReference w:id="32"/>
      </w:r>
      <w:r w:rsidR="0043507A">
        <w:t xml:space="preserve"> However among other scholars there has been pushback at the idea that this one event holds so much significance on its own. </w:t>
      </w:r>
      <w:r w:rsidR="001058EA">
        <w:t xml:space="preserve">Modern </w:t>
      </w:r>
      <w:r w:rsidR="00D4011B">
        <w:t>archaeology</w:t>
      </w:r>
      <w:r w:rsidR="001058EA">
        <w:t xml:space="preserve"> backs up the argument that the sack of Rome was fairly lenient for the time with evidence of the sack hard to come by this could also be because Rome has been </w:t>
      </w:r>
      <w:r w:rsidR="00D4011B">
        <w:t>continually</w:t>
      </w:r>
      <w:r w:rsidR="001058EA">
        <w:t xml:space="preserve"> lived in after the sack.</w:t>
      </w:r>
      <w:r w:rsidR="006B7EF3">
        <w:rPr>
          <w:rStyle w:val="FootnoteReference"/>
        </w:rPr>
        <w:footnoteReference w:id="33"/>
      </w:r>
      <w:r w:rsidR="00E07132">
        <w:t xml:space="preserve"> </w:t>
      </w:r>
      <w:r w:rsidR="00D6787F">
        <w:t xml:space="preserve">The diversity of views in modern scholarship when it comes </w:t>
      </w:r>
      <w:r w:rsidR="00D4011B">
        <w:t>to</w:t>
      </w:r>
      <w:r w:rsidR="00D6787F">
        <w:t xml:space="preserve"> the sack of Rome in 410 CE shows that </w:t>
      </w:r>
      <w:r w:rsidR="000B3EBF">
        <w:t xml:space="preserve">the debate on the importance of the sack of the city in the context of the Western Roman Empires fall </w:t>
      </w:r>
      <w:r w:rsidR="00B0281A">
        <w:t>shows that even between modern scholars it is not a settles matter.</w:t>
      </w:r>
      <w:r w:rsidR="00D6787F">
        <w:t xml:space="preserve"> </w:t>
      </w:r>
      <w:r w:rsidR="00BE0A5D">
        <w:t xml:space="preserve"> </w:t>
      </w:r>
      <w:r w:rsidR="0043507A">
        <w:t xml:space="preserve"> </w:t>
      </w:r>
    </w:p>
    <w:p w14:paraId="3E7FF640" w14:textId="526D97D8" w:rsidR="00C25E5A" w:rsidRDefault="00C25E5A">
      <w:r>
        <w:t xml:space="preserve">Some modern scholarship focuses </w:t>
      </w:r>
      <w:r w:rsidR="00D4011B">
        <w:t>o</w:t>
      </w:r>
      <w:r>
        <w:t xml:space="preserve">n aspects of the sack of Rome that were largely ignored or not covered at all by earlier writers an example of this is the story of emperor Honorius’ sister </w:t>
      </w:r>
      <w:r w:rsidR="00B113D1">
        <w:t xml:space="preserve">Galla Placidia who in most ancient sources if </w:t>
      </w:r>
      <w:r w:rsidR="00D4011B">
        <w:t>mentioned</w:t>
      </w:r>
      <w:r w:rsidR="00B113D1">
        <w:t xml:space="preserve"> is said </w:t>
      </w:r>
      <w:r w:rsidR="00D4011B">
        <w:t>to</w:t>
      </w:r>
      <w:r w:rsidR="00B113D1">
        <w:t xml:space="preserve"> have been captured at from by the Visigoths and married to a relative of Alaric.</w:t>
      </w:r>
      <w:r w:rsidR="00AD2FD2">
        <w:rPr>
          <w:rStyle w:val="FootnoteReference"/>
        </w:rPr>
        <w:footnoteReference w:id="34"/>
      </w:r>
      <w:r w:rsidR="00B113D1">
        <w:t xml:space="preserve"> Without looking into how this would have affected her in anyway whilst some modern scholarship tries to look deeper at the person behind the name or uses her example to misogyny in ancient works if history. One example of this </w:t>
      </w:r>
      <w:r w:rsidR="00017E2E">
        <w:t>can be found in an article that</w:t>
      </w:r>
      <w:r w:rsidR="00B113D1">
        <w:t xml:space="preserve"> </w:t>
      </w:r>
      <w:r w:rsidR="005772AF">
        <w:t xml:space="preserve">critiques the way </w:t>
      </w:r>
      <w:r w:rsidR="00017E2E">
        <w:t xml:space="preserve">in which she is presented in both ancient and modern scholarship. </w:t>
      </w:r>
      <w:r w:rsidR="00953344">
        <w:t xml:space="preserve">The article states that </w:t>
      </w:r>
      <w:r w:rsidR="005C3FA3">
        <w:t xml:space="preserve">both modern and ancient sources ten </w:t>
      </w:r>
      <w:r w:rsidR="00D4011B">
        <w:t>to</w:t>
      </w:r>
      <w:r w:rsidR="005C3FA3">
        <w:t xml:space="preserve"> presume consent </w:t>
      </w:r>
      <w:r w:rsidR="00627F78">
        <w:t xml:space="preserve">on the part of Galla </w:t>
      </w:r>
      <w:r w:rsidR="007F55C0">
        <w:t xml:space="preserve">in </w:t>
      </w:r>
      <w:r w:rsidR="007F55C0">
        <w:lastRenderedPageBreak/>
        <w:t>her marriage and subsequent pregnancy through an omission of her perspective.</w:t>
      </w:r>
      <w:r w:rsidR="00AD2FD2">
        <w:rPr>
          <w:rStyle w:val="FootnoteReference"/>
        </w:rPr>
        <w:footnoteReference w:id="35"/>
      </w:r>
      <w:r w:rsidR="007F55C0">
        <w:t xml:space="preserve"> </w:t>
      </w:r>
      <w:r w:rsidR="009C5C36">
        <w:t xml:space="preserve">This shows ways in which some perspectives could have been pushed to the side either through lack of interest from the authors or deliberately as a form of propaganda by omission. </w:t>
      </w:r>
      <w:r w:rsidR="005772AF">
        <w:t xml:space="preserve"> </w:t>
      </w:r>
    </w:p>
    <w:p w14:paraId="20B93380" w14:textId="77777777" w:rsidR="005F49FC" w:rsidRPr="007269C2" w:rsidRDefault="00FE667C" w:rsidP="005F49FC">
      <w:r>
        <w:t xml:space="preserve">The early accounts of the sack of Rome that were contemporaneous with it varied in describing the severity of the </w:t>
      </w:r>
      <w:r w:rsidR="006B2C29">
        <w:t xml:space="preserve">sack specifically </w:t>
      </w:r>
      <w:r w:rsidR="006B2C29">
        <w:tab/>
        <w:t xml:space="preserve">Pelagius’ account being one of the main ones from someone who was actually in Rome during the sack shows the effects it had on the people living in the city. Some of the contemporary accounts were already propagandising the events such as the accounts of Augustine and Orosius which downplay the overall significance of the events and seek to defend Christianity from attacks based on the sack of Rome from Roman pagans. Another piece of Propaganda created a century after the sack uses the events to attack the emperor of Western Rome from the time of the sack, Honorius. </w:t>
      </w:r>
      <w:r w:rsidR="00646216">
        <w:t xml:space="preserve">Later accounts by the Anglo-Saxons place greater importance on the sack of Rome and link it to the abandonment of Britain. Reasons for this could be that </w:t>
      </w:r>
      <w:r w:rsidR="00663222">
        <w:t xml:space="preserve">the Anglo-Saxons came to Britain after the Romans had left the island and wanted to make the events more important in context of them settling in Britain. Another reason that the sack of Rome may have become more important in Anglo-Saxon histories of the events could be the fall of the Western Roman Empire </w:t>
      </w:r>
      <w:r w:rsidR="00A77C4A">
        <w:t xml:space="preserve">the sack of Rome could be seen by the Anglo-Saxons as a sign that the empire was failing in the west. The differences between the importance given to the sack of Rome and the events surrounding it by the contemporary Christian Romans and the Anglo-Saxons shows </w:t>
      </w:r>
      <w:r w:rsidR="0097300F">
        <w:t>both the propaganda at work in the different groups writing about the sack and also the differences can be explained through the time in which the works were written as the Christian Romans were writing before the fall of the Western Roman Empire whilst the Anglo-Saxons were writing after the fall.</w:t>
      </w:r>
      <w:r w:rsidR="00A77C4A">
        <w:t xml:space="preserve"> </w:t>
      </w:r>
      <w:r w:rsidR="005F49FC" w:rsidRPr="007269C2">
        <w:t xml:space="preserve">The differing accounts on the sack of Rome illustrate the contested nature of History and how this is reflected in the historiography. The sack of Rome tended to be minimised by the Christian Romans and given greater importance by the Anglo-Saxons who saw the event as a crucial turning point in the history of Britain.     </w:t>
      </w:r>
    </w:p>
    <w:p w14:paraId="25D79800" w14:textId="7BF9788F" w:rsidR="00FE667C" w:rsidRDefault="00FE667C"/>
    <w:p w14:paraId="459548D1" w14:textId="742434B0" w:rsidR="00841DCA" w:rsidRDefault="00FE667C">
      <w:r>
        <w:t xml:space="preserve"> </w:t>
      </w:r>
      <w:r w:rsidR="00AD6513">
        <w:t xml:space="preserve"> </w:t>
      </w:r>
      <w:r w:rsidR="0042229A">
        <w:t xml:space="preserve"> </w:t>
      </w:r>
      <w:r w:rsidR="0091627F">
        <w:t xml:space="preserve"> </w:t>
      </w:r>
      <w:r w:rsidR="002D0BC0">
        <w:t xml:space="preserve">  </w:t>
      </w:r>
      <w:r w:rsidR="006D37BF">
        <w:t xml:space="preserve">  </w:t>
      </w:r>
      <w:r w:rsidR="00841DCA">
        <w:t xml:space="preserve"> </w:t>
      </w:r>
    </w:p>
    <w:p w14:paraId="3FB3FD2F" w14:textId="77777777" w:rsidR="00255694" w:rsidRDefault="00255694"/>
    <w:p w14:paraId="0CC9EDCA" w14:textId="77777777" w:rsidR="00255694" w:rsidRDefault="00255694"/>
    <w:p w14:paraId="4C4BF486" w14:textId="77777777" w:rsidR="00255694" w:rsidRDefault="00255694"/>
    <w:p w14:paraId="61BE7824" w14:textId="77777777" w:rsidR="00255694" w:rsidRDefault="00255694"/>
    <w:p w14:paraId="0C1A3C2F" w14:textId="77777777" w:rsidR="00255694" w:rsidRDefault="00255694"/>
    <w:p w14:paraId="0233573A" w14:textId="77777777" w:rsidR="00255694" w:rsidRDefault="00255694"/>
    <w:p w14:paraId="28D674B5" w14:textId="77777777" w:rsidR="00255694" w:rsidRDefault="00255694"/>
    <w:p w14:paraId="56FA2D8C" w14:textId="77777777" w:rsidR="00255694" w:rsidRDefault="00255694"/>
    <w:p w14:paraId="0BC3E6E3" w14:textId="77777777" w:rsidR="00255694" w:rsidRDefault="00255694"/>
    <w:p w14:paraId="5FBAB9B3" w14:textId="77777777" w:rsidR="00255694" w:rsidRDefault="00255694"/>
    <w:p w14:paraId="6830093B" w14:textId="77777777" w:rsidR="00255694" w:rsidRDefault="00255694"/>
    <w:p w14:paraId="291B84C1" w14:textId="63E04B78" w:rsidR="00255694" w:rsidRDefault="00255694" w:rsidP="00255694">
      <w:pPr>
        <w:jc w:val="center"/>
      </w:pPr>
      <w:r>
        <w:lastRenderedPageBreak/>
        <w:t>Bibliography</w:t>
      </w:r>
    </w:p>
    <w:p w14:paraId="7C005D38" w14:textId="77777777" w:rsidR="00255694" w:rsidRPr="00255694" w:rsidRDefault="00255694" w:rsidP="00255694">
      <w:pPr>
        <w:pStyle w:val="Bibliography"/>
        <w:rPr>
          <w:rFonts w:ascii="Calibri" w:hAnsi="Calibri" w:cs="Calibri"/>
        </w:rPr>
      </w:pPr>
      <w:r>
        <w:fldChar w:fldCharType="begin"/>
      </w:r>
      <w:r>
        <w:instrText xml:space="preserve"> ADDIN ZOTERO_BIBL {"uncited":[],"omitted":[],"custom":[]} CSL_BIBLIOGRAPHY </w:instrText>
      </w:r>
      <w:r>
        <w:fldChar w:fldCharType="separate"/>
      </w:r>
      <w:r w:rsidRPr="00255694">
        <w:rPr>
          <w:rFonts w:ascii="Calibri" w:hAnsi="Calibri" w:cs="Calibri"/>
        </w:rPr>
        <w:t xml:space="preserve">Abramson, Tony, ‘Rory Naismith. Money and Power in Anglo-Saxon England: The Southern English Kingdoms, 757–865. Cambridge Studies in Medieval Life and Thought: Fourth Series. Cambridge: Cambridge University Press, 2011. Pp. 376. $99.00 (Cloth).’, </w:t>
      </w:r>
      <w:r w:rsidRPr="00255694">
        <w:rPr>
          <w:rFonts w:ascii="Calibri" w:hAnsi="Calibri" w:cs="Calibri"/>
          <w:i/>
          <w:iCs/>
        </w:rPr>
        <w:t>Journal of British Studies</w:t>
      </w:r>
      <w:r w:rsidRPr="00255694">
        <w:rPr>
          <w:rFonts w:ascii="Calibri" w:hAnsi="Calibri" w:cs="Calibri"/>
        </w:rPr>
        <w:t>, 52.1 (2013), pp. 231–32, doi:10.1017/jbr.2012.9</w:t>
      </w:r>
    </w:p>
    <w:p w14:paraId="3505357D" w14:textId="77777777" w:rsidR="00255694" w:rsidRPr="00255694" w:rsidRDefault="00255694" w:rsidP="00255694">
      <w:pPr>
        <w:pStyle w:val="Bibliography"/>
        <w:rPr>
          <w:rFonts w:ascii="Calibri" w:hAnsi="Calibri" w:cs="Calibri"/>
        </w:rPr>
      </w:pPr>
      <w:r w:rsidRPr="00255694">
        <w:rPr>
          <w:rFonts w:ascii="Calibri" w:hAnsi="Calibri" w:cs="Calibri"/>
        </w:rPr>
        <w:t xml:space="preserve">Dam, Raymond Van, ‘Rome and Barbarian Imperialism in A.D. 410 - JOHANNES LIPPS, CARLOS MACHADO, PHILIPP von RUMMEL (Edd.), THE SACK OF ROME IN 410 AD: THE EVENT, ITS CONTEXT AND ITS IMPACT. PROCEEDINGS OF THE CONFERENCE HELD AT THE GERMAN ARCHAEOLOGICAL INSTITUTE AT ROME, 04-06 NOVEMBER 2010 (Deutsches Archäologisches Institut Rom, Palilia, Band 28; Dr. Ludwig Reichert Verlag, Wiesbaden, 2013). Pp. 455, Many Figs. ISBN 978-3-89500-944-0. EUR 49.’, </w:t>
      </w:r>
      <w:r w:rsidRPr="00255694">
        <w:rPr>
          <w:rFonts w:ascii="Calibri" w:hAnsi="Calibri" w:cs="Calibri"/>
          <w:i/>
          <w:iCs/>
        </w:rPr>
        <w:t>Journal of Roman Archaeology</w:t>
      </w:r>
      <w:r w:rsidRPr="00255694">
        <w:rPr>
          <w:rFonts w:ascii="Calibri" w:hAnsi="Calibri" w:cs="Calibri"/>
        </w:rPr>
        <w:t>, 29 (2016), pp. 959–65, doi:10.1017/S1047759400073062</w:t>
      </w:r>
    </w:p>
    <w:p w14:paraId="23E1D7E6" w14:textId="77777777" w:rsidR="00255694" w:rsidRPr="00255694" w:rsidRDefault="00255694" w:rsidP="00255694">
      <w:pPr>
        <w:pStyle w:val="Bibliography"/>
        <w:rPr>
          <w:rFonts w:ascii="Calibri" w:hAnsi="Calibri" w:cs="Calibri"/>
        </w:rPr>
      </w:pPr>
      <w:r w:rsidRPr="00255694">
        <w:rPr>
          <w:rFonts w:ascii="Calibri" w:hAnsi="Calibri" w:cs="Calibri"/>
        </w:rPr>
        <w:t xml:space="preserve">Elton, Hugh, ed., ‘The Early Fifth Century, 395–455’, in </w:t>
      </w:r>
      <w:r w:rsidRPr="00255694">
        <w:rPr>
          <w:rFonts w:ascii="Calibri" w:hAnsi="Calibri" w:cs="Calibri"/>
          <w:i/>
          <w:iCs/>
        </w:rPr>
        <w:t>The Roman Empire in Late Antiquity: A Political and Military History</w:t>
      </w:r>
      <w:r w:rsidRPr="00255694">
        <w:rPr>
          <w:rFonts w:ascii="Calibri" w:hAnsi="Calibri" w:cs="Calibri"/>
        </w:rPr>
        <w:t xml:space="preserve"> (Cambridge University Press, 2018), pp. 151–94 &lt;https://www.cambridge.org/core/books/roman-empire-in-late-antiquity/early-fifth-century-395455/6212FF897B68BB3AF29228F08ECFD4D1&gt;</w:t>
      </w:r>
    </w:p>
    <w:p w14:paraId="2A246414" w14:textId="77777777" w:rsidR="00255694" w:rsidRPr="00255694" w:rsidRDefault="00255694" w:rsidP="00255694">
      <w:pPr>
        <w:pStyle w:val="Bibliography"/>
        <w:rPr>
          <w:rFonts w:ascii="Calibri" w:hAnsi="Calibri" w:cs="Calibri"/>
        </w:rPr>
      </w:pPr>
      <w:r w:rsidRPr="00255694">
        <w:rPr>
          <w:rFonts w:ascii="Calibri" w:hAnsi="Calibri" w:cs="Calibri"/>
        </w:rPr>
        <w:t xml:space="preserve">Godden, M. R., ‘The Anglo-Saxons and the Goths: Rewriting the Sack of Rome’, </w:t>
      </w:r>
      <w:r w:rsidRPr="00255694">
        <w:rPr>
          <w:rFonts w:ascii="Calibri" w:hAnsi="Calibri" w:cs="Calibri"/>
          <w:i/>
          <w:iCs/>
        </w:rPr>
        <w:t>Anglo-Saxon England</w:t>
      </w:r>
      <w:r w:rsidRPr="00255694">
        <w:rPr>
          <w:rFonts w:ascii="Calibri" w:hAnsi="Calibri" w:cs="Calibri"/>
        </w:rPr>
        <w:t>, 31 (2002), pp. 47–68, doi:10.1017/S0263675102000030</w:t>
      </w:r>
    </w:p>
    <w:p w14:paraId="51201EB8" w14:textId="77777777" w:rsidR="00255694" w:rsidRPr="00255694" w:rsidRDefault="00255694" w:rsidP="00255694">
      <w:pPr>
        <w:pStyle w:val="Bibliography"/>
        <w:rPr>
          <w:rFonts w:ascii="Calibri" w:hAnsi="Calibri" w:cs="Calibri"/>
        </w:rPr>
      </w:pPr>
      <w:r w:rsidRPr="00255694">
        <w:rPr>
          <w:rFonts w:ascii="Calibri" w:hAnsi="Calibri" w:cs="Calibri"/>
        </w:rPr>
        <w:t xml:space="preserve">Heather, Peter, </w:t>
      </w:r>
      <w:r w:rsidRPr="00255694">
        <w:rPr>
          <w:rFonts w:ascii="Calibri" w:hAnsi="Calibri" w:cs="Calibri"/>
          <w:i/>
          <w:iCs/>
        </w:rPr>
        <w:t>The Fall of the Roman Empire: A New History of Rome and the Barbarians</w:t>
      </w:r>
      <w:r w:rsidRPr="00255694">
        <w:rPr>
          <w:rFonts w:ascii="Calibri" w:hAnsi="Calibri" w:cs="Calibri"/>
        </w:rPr>
        <w:t>, 2006</w:t>
      </w:r>
    </w:p>
    <w:p w14:paraId="58474F4F" w14:textId="77777777" w:rsidR="00255694" w:rsidRPr="00255694" w:rsidRDefault="00255694" w:rsidP="00255694">
      <w:pPr>
        <w:pStyle w:val="Bibliography"/>
        <w:rPr>
          <w:rFonts w:ascii="Calibri" w:hAnsi="Calibri" w:cs="Calibri"/>
        </w:rPr>
      </w:pPr>
      <w:r w:rsidRPr="00255694">
        <w:rPr>
          <w:rFonts w:ascii="Calibri" w:hAnsi="Calibri" w:cs="Calibri"/>
        </w:rPr>
        <w:t xml:space="preserve">Jones, William, </w:t>
      </w:r>
      <w:r w:rsidRPr="00255694">
        <w:rPr>
          <w:rFonts w:ascii="Calibri" w:hAnsi="Calibri" w:cs="Calibri"/>
          <w:i/>
          <w:iCs/>
        </w:rPr>
        <w:t>Ecclesiastical History, In a Course of Lectures</w:t>
      </w:r>
      <w:r w:rsidRPr="00255694">
        <w:rPr>
          <w:rFonts w:ascii="Calibri" w:hAnsi="Calibri" w:cs="Calibri"/>
        </w:rPr>
        <w:t xml:space="preserve"> (G. Wightman, Paternoster Row and G. J. McCombie, Barbican, 1838)</w:t>
      </w:r>
    </w:p>
    <w:p w14:paraId="42BA7B11" w14:textId="77777777" w:rsidR="00255694" w:rsidRPr="00255694" w:rsidRDefault="00255694" w:rsidP="00255694">
      <w:pPr>
        <w:pStyle w:val="Bibliography"/>
        <w:rPr>
          <w:rFonts w:ascii="Calibri" w:hAnsi="Calibri" w:cs="Calibri"/>
        </w:rPr>
      </w:pPr>
      <w:r w:rsidRPr="00255694">
        <w:rPr>
          <w:rFonts w:ascii="Calibri" w:hAnsi="Calibri" w:cs="Calibri"/>
        </w:rPr>
        <w:t xml:space="preserve">Leonard, Victoria, ‘Galla Placidia as “Human Gold”: Consent and Autonomy in the Sack of Rome, </w:t>
      </w:r>
      <w:r w:rsidRPr="00255694">
        <w:rPr>
          <w:rFonts w:ascii="Calibri" w:hAnsi="Calibri" w:cs="Calibri"/>
          <w:smallCaps/>
        </w:rPr>
        <w:t>CE</w:t>
      </w:r>
      <w:r w:rsidRPr="00255694">
        <w:rPr>
          <w:rFonts w:ascii="Calibri" w:hAnsi="Calibri" w:cs="Calibri"/>
        </w:rPr>
        <w:t xml:space="preserve"> 410’, </w:t>
      </w:r>
      <w:r w:rsidRPr="00255694">
        <w:rPr>
          <w:rFonts w:ascii="Calibri" w:hAnsi="Calibri" w:cs="Calibri"/>
          <w:i/>
          <w:iCs/>
        </w:rPr>
        <w:t>Gender &amp; History</w:t>
      </w:r>
      <w:r w:rsidRPr="00255694">
        <w:rPr>
          <w:rFonts w:ascii="Calibri" w:hAnsi="Calibri" w:cs="Calibri"/>
        </w:rPr>
        <w:t>, 31.2 (2019), pp. 334–52, doi:10.1111/1468-0424.12423</w:t>
      </w:r>
    </w:p>
    <w:p w14:paraId="07100E33" w14:textId="77777777" w:rsidR="00255694" w:rsidRPr="00255694" w:rsidRDefault="00255694" w:rsidP="00255694">
      <w:pPr>
        <w:pStyle w:val="Bibliography"/>
        <w:rPr>
          <w:rFonts w:ascii="Calibri" w:hAnsi="Calibri" w:cs="Calibri"/>
        </w:rPr>
      </w:pPr>
      <w:r w:rsidRPr="00255694">
        <w:rPr>
          <w:rFonts w:ascii="Calibri" w:hAnsi="Calibri" w:cs="Calibri"/>
        </w:rPr>
        <w:t xml:space="preserve">Moorhead, Sam, and David Stuttard, </w:t>
      </w:r>
      <w:r w:rsidRPr="00255694">
        <w:rPr>
          <w:rFonts w:ascii="Calibri" w:hAnsi="Calibri" w:cs="Calibri"/>
          <w:i/>
          <w:iCs/>
        </w:rPr>
        <w:t>AD410: The Year That Shook Rome</w:t>
      </w:r>
      <w:r w:rsidRPr="00255694">
        <w:rPr>
          <w:rFonts w:ascii="Calibri" w:hAnsi="Calibri" w:cs="Calibri"/>
        </w:rPr>
        <w:t xml:space="preserve"> (The British Museum Press)</w:t>
      </w:r>
    </w:p>
    <w:p w14:paraId="0DFD77E6" w14:textId="77777777" w:rsidR="00255694" w:rsidRPr="00255694" w:rsidRDefault="00255694" w:rsidP="00255694">
      <w:pPr>
        <w:pStyle w:val="Bibliography"/>
        <w:rPr>
          <w:rFonts w:ascii="Calibri" w:hAnsi="Calibri" w:cs="Calibri"/>
        </w:rPr>
      </w:pPr>
      <w:r w:rsidRPr="00255694">
        <w:rPr>
          <w:rFonts w:ascii="Calibri" w:hAnsi="Calibri" w:cs="Calibri"/>
        </w:rPr>
        <w:t xml:space="preserve">Nuffelen, Peter Van, ‘Not Much Happened: 410 and All That’, </w:t>
      </w:r>
      <w:r w:rsidRPr="00255694">
        <w:rPr>
          <w:rFonts w:ascii="Calibri" w:hAnsi="Calibri" w:cs="Calibri"/>
          <w:i/>
          <w:iCs/>
        </w:rPr>
        <w:t>The Journal of Roman Studies</w:t>
      </w:r>
      <w:r w:rsidRPr="00255694">
        <w:rPr>
          <w:rFonts w:ascii="Calibri" w:hAnsi="Calibri" w:cs="Calibri"/>
        </w:rPr>
        <w:t>, 105 (2015), pp. 322–29, doi:10.1017/S0075435815000428</w:t>
      </w:r>
    </w:p>
    <w:p w14:paraId="4FED5CF7" w14:textId="77777777" w:rsidR="00255694" w:rsidRPr="00255694" w:rsidRDefault="00255694" w:rsidP="00255694">
      <w:pPr>
        <w:pStyle w:val="Bibliography"/>
        <w:rPr>
          <w:rFonts w:ascii="Calibri" w:hAnsi="Calibri" w:cs="Calibri"/>
        </w:rPr>
      </w:pPr>
      <w:r w:rsidRPr="00255694">
        <w:rPr>
          <w:rFonts w:ascii="Calibri" w:hAnsi="Calibri" w:cs="Calibri"/>
        </w:rPr>
        <w:t xml:space="preserve">Procopius, </w:t>
      </w:r>
      <w:r w:rsidRPr="00255694">
        <w:rPr>
          <w:rFonts w:ascii="Calibri" w:hAnsi="Calibri" w:cs="Calibri"/>
          <w:i/>
          <w:iCs/>
        </w:rPr>
        <w:t>History of the Wars, Volume II</w:t>
      </w:r>
      <w:r w:rsidRPr="00255694">
        <w:rPr>
          <w:rFonts w:ascii="Calibri" w:hAnsi="Calibri" w:cs="Calibri"/>
        </w:rPr>
        <w:t>, trans. by Jeffrey Henderson &lt;https://www.loebclassics.com/view/LCL081/1916/volume.xml&gt; [accessed 19 May 2025]</w:t>
      </w:r>
    </w:p>
    <w:p w14:paraId="0109B0C2" w14:textId="470C9139" w:rsidR="00255694" w:rsidRDefault="00255694" w:rsidP="00255694">
      <w:r>
        <w:fldChar w:fldCharType="end"/>
      </w:r>
    </w:p>
    <w:p w14:paraId="3FD6E69F" w14:textId="77777777" w:rsidR="00255694" w:rsidRDefault="00255694"/>
    <w:sectPr w:rsidR="002556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3E0C4" w14:textId="77777777" w:rsidR="00D61B6E" w:rsidRDefault="00D61B6E" w:rsidP="00AD2FD2">
      <w:pPr>
        <w:spacing w:after="0" w:line="240" w:lineRule="auto"/>
      </w:pPr>
      <w:r>
        <w:separator/>
      </w:r>
    </w:p>
  </w:endnote>
  <w:endnote w:type="continuationSeparator" w:id="0">
    <w:p w14:paraId="56462DC6" w14:textId="77777777" w:rsidR="00D61B6E" w:rsidRDefault="00D61B6E" w:rsidP="00AD2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16080" w14:textId="77777777" w:rsidR="00D61B6E" w:rsidRDefault="00D61B6E" w:rsidP="00AD2FD2">
      <w:pPr>
        <w:spacing w:after="0" w:line="240" w:lineRule="auto"/>
      </w:pPr>
      <w:r>
        <w:separator/>
      </w:r>
    </w:p>
  </w:footnote>
  <w:footnote w:type="continuationSeparator" w:id="0">
    <w:p w14:paraId="6976071D" w14:textId="77777777" w:rsidR="00D61B6E" w:rsidRDefault="00D61B6E" w:rsidP="00AD2FD2">
      <w:pPr>
        <w:spacing w:after="0" w:line="240" w:lineRule="auto"/>
      </w:pPr>
      <w:r>
        <w:continuationSeparator/>
      </w:r>
    </w:p>
  </w:footnote>
  <w:footnote w:id="1">
    <w:p w14:paraId="3B5CDCE5" w14:textId="23B4998F" w:rsidR="00637C57" w:rsidRDefault="00637C57">
      <w:pPr>
        <w:pStyle w:val="FootnoteText"/>
      </w:pPr>
      <w:r>
        <w:rPr>
          <w:rStyle w:val="FootnoteReference"/>
        </w:rPr>
        <w:footnoteRef/>
      </w:r>
      <w:r>
        <w:t xml:space="preserve"> </w:t>
      </w:r>
      <w:r>
        <w:fldChar w:fldCharType="begin"/>
      </w:r>
      <w:r>
        <w:instrText xml:space="preserve"> ADDIN ZOTERO_ITEM CSL_CITATION {"citationID":"Q44dYoUV","properties":{"formattedCitation":"Sam Moorhead and David Stuttard, {\\i{}AD410: The Year That Shook Rome} (The British Museum Press).","plainCitation":"Sam Moorhead and David Stuttard, AD410: The Year That Shook Rome (The British Museum Press).","noteIndex":1},"citationItems":[{"id":175,"uris":["http://zotero.org/users/local/DJ49uqu1/items/WB6Z6PFN"],"itemData":{"id":175,"type":"book","event-place":"38 Russel Square, London WCIB3QQ","publisher":"The British Museum Press","publisher-place":"38 Russel Square, London WCIB3QQ","title":"AD410: The Year That Shook Rome","author":[{"family":"Moorhead","given":"Sam"},{"family":"Stuttard","given":"David"}]}}],"schema":"https://github.com/citation-style-language/schema/raw/master/csl-citation.json"} </w:instrText>
      </w:r>
      <w:r>
        <w:fldChar w:fldCharType="separate"/>
      </w:r>
      <w:r w:rsidRPr="00637C57">
        <w:rPr>
          <w:rFonts w:ascii="Calibri" w:hAnsi="Calibri" w:cs="Calibri"/>
          <w:kern w:val="0"/>
        </w:rPr>
        <w:t xml:space="preserve">Sam Moorhead and David Stuttard, </w:t>
      </w:r>
      <w:r w:rsidRPr="00637C57">
        <w:rPr>
          <w:rFonts w:ascii="Calibri" w:hAnsi="Calibri" w:cs="Calibri"/>
          <w:i/>
          <w:iCs/>
          <w:kern w:val="0"/>
        </w:rPr>
        <w:t>AD410: The Year That Shook Rome</w:t>
      </w:r>
      <w:r w:rsidRPr="00637C57">
        <w:rPr>
          <w:rFonts w:ascii="Calibri" w:hAnsi="Calibri" w:cs="Calibri"/>
          <w:kern w:val="0"/>
        </w:rPr>
        <w:t xml:space="preserve"> (The British Museum Press).</w:t>
      </w:r>
      <w:r>
        <w:fldChar w:fldCharType="end"/>
      </w:r>
      <w:r w:rsidR="0007042A">
        <w:t xml:space="preserve"> PG 131-133</w:t>
      </w:r>
    </w:p>
  </w:footnote>
  <w:footnote w:id="2">
    <w:p w14:paraId="2E10B3D8" w14:textId="0C837CE9" w:rsidR="00637C57" w:rsidRDefault="00637C57">
      <w:pPr>
        <w:pStyle w:val="FootnoteText"/>
      </w:pPr>
      <w:r>
        <w:rPr>
          <w:rStyle w:val="FootnoteReference"/>
        </w:rPr>
        <w:footnoteRef/>
      </w:r>
      <w:r>
        <w:t xml:space="preserve"> </w:t>
      </w:r>
      <w:r>
        <w:fldChar w:fldCharType="begin"/>
      </w:r>
      <w:r>
        <w:instrText xml:space="preserve"> ADDIN ZOTERO_ITEM CSL_CITATION {"citationID":"xH6qon9L","properties":{"formattedCitation":"\\uc0\\u8216{}The Early Fifth Century, 395\\uc0\\u8211{}455\\uc0\\u8217{}, in {\\i{}The Roman Empire in Late Antiquity: A Political and Military History}, ed. by Hugh Elton (Cambridge University Press, 2018), pp. 151\\uc0\\u8211{}94 &lt;https://www.cambridge.org/core/books/roman-empire-in-late-antiquity/early-fifth-century-395455/6212FF897B68BB3AF29228F08ECFD4D1&gt;.","plainCitation":"‘The Early Fifth Century, 395–455’, in The Roman Empire in Late Antiquity: A Political and Military History, ed. by Hugh Elton (Cambridge University Press, 2018), pp. 151–94 &lt;https://www.cambridge.org/core/books/roman-empire-in-late-antiquity/early-fifth-century-395455/6212FF897B68BB3AF29228F08ECFD4D1&gt;.","noteIndex":1},"citationItems":[{"id":177,"uris":["http://zotero.org/users/local/DJ49uqu1/items/KIUSTWU7"],"itemData":{"id":177,"type":"chapter","container-title":"The Roman Empire in Late Antiquity: A Political and Military History","event-place":"Cambridge","ISBN":"978-0-521-89931-4","page":"151-194","publisher":"Cambridge University Press","publisher-place":"Cambridge","source":"Cambridge University Press","title":"The Early Fifth Century, 395–455","URL":"https://www.cambridge.org/core/books/roman-empire-in-late-antiquity/early-fifth-century-395455/6212FF897B68BB3AF29228F08ECFD4D1","editor":[{"family":"Elton","given":"Hugh"}],"accessed":{"date-parts":[["2025",5,19]]},"issued":{"date-parts":[["2018"]]}}}],"schema":"https://github.com/citation-style-language/schema/raw/master/csl-citation.json"} </w:instrText>
      </w:r>
      <w:r>
        <w:fldChar w:fldCharType="separate"/>
      </w:r>
      <w:r w:rsidRPr="00637C57">
        <w:rPr>
          <w:rFonts w:ascii="Calibri" w:hAnsi="Calibri" w:cs="Calibri"/>
          <w:kern w:val="0"/>
        </w:rPr>
        <w:t xml:space="preserve">‘The Early Fifth Century, 395–455’, in </w:t>
      </w:r>
      <w:r w:rsidRPr="00637C57">
        <w:rPr>
          <w:rFonts w:ascii="Calibri" w:hAnsi="Calibri" w:cs="Calibri"/>
          <w:i/>
          <w:iCs/>
          <w:kern w:val="0"/>
        </w:rPr>
        <w:t>The Roman Empire in Late Antiquity: A Political and Military History</w:t>
      </w:r>
      <w:r w:rsidRPr="00637C57">
        <w:rPr>
          <w:rFonts w:ascii="Calibri" w:hAnsi="Calibri" w:cs="Calibri"/>
          <w:kern w:val="0"/>
        </w:rPr>
        <w:t>, ed. by Hugh Elton (Cambridge University Press, 2018)</w:t>
      </w:r>
      <w:r w:rsidR="00C72DD5">
        <w:rPr>
          <w:rFonts w:ascii="Calibri" w:hAnsi="Calibri" w:cs="Calibri"/>
          <w:kern w:val="0"/>
        </w:rPr>
        <w:t xml:space="preserve"> PG </w:t>
      </w:r>
      <w:r w:rsidRPr="00637C57">
        <w:rPr>
          <w:rFonts w:ascii="Calibri" w:hAnsi="Calibri" w:cs="Calibri"/>
          <w:kern w:val="0"/>
        </w:rPr>
        <w:t>&lt;https://www.cambridge.org/core/books/roman-empire-in-late-antiquity/early-fifth-century-395455/6212FF897B68BB3AF29228F08ECFD4D1&gt;.</w:t>
      </w:r>
      <w:r>
        <w:fldChar w:fldCharType="end"/>
      </w:r>
      <w:r w:rsidR="00E87A65">
        <w:t xml:space="preserve"> PG 177-178</w:t>
      </w:r>
    </w:p>
  </w:footnote>
  <w:footnote w:id="3">
    <w:p w14:paraId="7E17C12A" w14:textId="76F8E90B" w:rsidR="00842E0B" w:rsidRDefault="00842E0B">
      <w:pPr>
        <w:pStyle w:val="FootnoteText"/>
      </w:pPr>
      <w:r>
        <w:rPr>
          <w:rStyle w:val="FootnoteReference"/>
        </w:rPr>
        <w:footnoteRef/>
      </w:r>
      <w:r>
        <w:t xml:space="preserve"> </w:t>
      </w:r>
      <w:r>
        <w:fldChar w:fldCharType="begin"/>
      </w:r>
      <w:r w:rsidR="00637C57">
        <w:instrText xml:space="preserve"> ADDIN ZOTERO_ITEM CSL_CITATION {"citationID":"w9f7LZf1","properties":{"formattedCitation":"Peter Heather, {\\i{}The Fall of the Roman Empire: A New History of Rome and the Barbarians}, 2006, p. 227.","plainCitation":"Peter Heather, The Fall of the Roman Empire: A New History of Rome and the Barbarians, 2006, p. 227.","noteIndex":3},"citationItems":[{"id":176,"uris":["http://zotero.org/users/local/DJ49uqu1/items/XUZ85SRV"],"itemData":{"id":176,"type":"book","title":"The Fall of the Roman Empire: A New History of Rome and the Barbarians","author":[{"family":"Heather","given":"Peter"}],"issued":{"date-parts":[["2006"]]}},"locator":"227","label":"page"}],"schema":"https://github.com/citation-style-language/schema/raw/master/csl-citation.json"} </w:instrText>
      </w:r>
      <w:r>
        <w:fldChar w:fldCharType="separate"/>
      </w:r>
      <w:r w:rsidRPr="00842E0B">
        <w:rPr>
          <w:rFonts w:ascii="Calibri" w:hAnsi="Calibri" w:cs="Calibri"/>
          <w:kern w:val="0"/>
        </w:rPr>
        <w:t xml:space="preserve">Peter Heather, </w:t>
      </w:r>
      <w:r w:rsidRPr="00842E0B">
        <w:rPr>
          <w:rFonts w:ascii="Calibri" w:hAnsi="Calibri" w:cs="Calibri"/>
          <w:i/>
          <w:iCs/>
          <w:kern w:val="0"/>
        </w:rPr>
        <w:t>The Fall of the Roman Empire: A New History of Rome and the Barbarians</w:t>
      </w:r>
      <w:r w:rsidRPr="00842E0B">
        <w:rPr>
          <w:rFonts w:ascii="Calibri" w:hAnsi="Calibri" w:cs="Calibri"/>
          <w:kern w:val="0"/>
        </w:rPr>
        <w:t>, 2006, p. 227.</w:t>
      </w:r>
      <w:r>
        <w:fldChar w:fldCharType="end"/>
      </w:r>
    </w:p>
  </w:footnote>
  <w:footnote w:id="4">
    <w:p w14:paraId="135A98FE" w14:textId="41289A5D" w:rsidR="00487AD3" w:rsidRDefault="00487AD3">
      <w:pPr>
        <w:pStyle w:val="FootnoteText"/>
      </w:pPr>
      <w:r>
        <w:rPr>
          <w:rStyle w:val="FootnoteReference"/>
        </w:rPr>
        <w:footnoteRef/>
      </w:r>
      <w:r>
        <w:t xml:space="preserve"> </w:t>
      </w:r>
      <w:r>
        <w:fldChar w:fldCharType="begin"/>
      </w:r>
      <w:r w:rsidR="00637C57">
        <w:instrText xml:space="preserve"> ADDIN ZOTERO_ITEM CSL_CITATION {"citationID":"bHBFfiMc","properties":{"formattedCitation":"Moorhead and Stuttard, {\\i{}AD410: The Year That Shook Rome}, p. 126.","plainCitation":"Moorhead and Stuttard, AD410: The Year That Shook Rome, p. 126.","noteIndex":4},"citationItems":[{"id":175,"uris":["http://zotero.org/users/local/DJ49uqu1/items/WB6Z6PFN"],"itemData":{"id":175,"type":"book","event-place":"38 Russel Square, London WCIB3QQ","publisher":"The British Museum Press","publisher-place":"38 Russel Square, London WCIB3QQ","title":"AD410: The Year That Shook Rome","author":[{"family":"Moorhead","given":"Sam"},{"family":"Stuttard","given":"David"}]},"locator":"126","label":"page"}],"schema":"https://github.com/citation-style-language/schema/raw/master/csl-citation.json"} </w:instrText>
      </w:r>
      <w:r>
        <w:fldChar w:fldCharType="separate"/>
      </w:r>
      <w:r w:rsidR="00637C57" w:rsidRPr="00637C57">
        <w:rPr>
          <w:rFonts w:ascii="Calibri" w:hAnsi="Calibri" w:cs="Calibri"/>
          <w:kern w:val="0"/>
        </w:rPr>
        <w:t xml:space="preserve">Moorhead and Stuttard, </w:t>
      </w:r>
      <w:r w:rsidR="00637C57" w:rsidRPr="00637C57">
        <w:rPr>
          <w:rFonts w:ascii="Calibri" w:hAnsi="Calibri" w:cs="Calibri"/>
          <w:i/>
          <w:iCs/>
          <w:kern w:val="0"/>
        </w:rPr>
        <w:t>AD410: The Year That Shook Rome</w:t>
      </w:r>
      <w:r w:rsidR="00637C57" w:rsidRPr="00637C57">
        <w:rPr>
          <w:rFonts w:ascii="Calibri" w:hAnsi="Calibri" w:cs="Calibri"/>
          <w:kern w:val="0"/>
        </w:rPr>
        <w:t>, p. 126.</w:t>
      </w:r>
      <w:r>
        <w:fldChar w:fldCharType="end"/>
      </w:r>
    </w:p>
  </w:footnote>
  <w:footnote w:id="5">
    <w:p w14:paraId="755F6FD4" w14:textId="12B18B2A" w:rsidR="00842E0B" w:rsidRDefault="00842E0B">
      <w:pPr>
        <w:pStyle w:val="FootnoteText"/>
      </w:pPr>
      <w:r>
        <w:rPr>
          <w:rStyle w:val="FootnoteReference"/>
        </w:rPr>
        <w:footnoteRef/>
      </w:r>
      <w:r>
        <w:t xml:space="preserve"> </w:t>
      </w:r>
      <w:r>
        <w:fldChar w:fldCharType="begin"/>
      </w:r>
      <w:r w:rsidR="00637C57">
        <w:instrText xml:space="preserve"> ADDIN ZOTERO_ITEM CSL_CITATION {"citationID":"FbUTTCLU","properties":{"formattedCitation":"Heather, {\\i{}The Fall of the Roman Empire: A New History of Rome and the Barbarians}, pp. 227\\uc0\\u8211{}28.","plainCitation":"Heather, The Fall of the Roman Empire: A New History of Rome and the Barbarians, pp. 227–28.","noteIndex":5},"citationItems":[{"id":176,"uris":["http://zotero.org/users/local/DJ49uqu1/items/XUZ85SRV"],"itemData":{"id":176,"type":"book","title":"The Fall of the Roman Empire: A New History of Rome and the Barbarians","author":[{"family":"Heather","given":"Peter"}],"issued":{"date-parts":[["2006"]]}},"locator":"227-228","label":"page"}],"schema":"https://github.com/citation-style-language/schema/raw/master/csl-citation.json"} </w:instrText>
      </w:r>
      <w:r>
        <w:fldChar w:fldCharType="separate"/>
      </w:r>
      <w:r w:rsidRPr="00842E0B">
        <w:rPr>
          <w:rFonts w:ascii="Calibri" w:hAnsi="Calibri" w:cs="Calibri"/>
          <w:kern w:val="0"/>
        </w:rPr>
        <w:t xml:space="preserve">Heather, </w:t>
      </w:r>
      <w:r w:rsidRPr="00842E0B">
        <w:rPr>
          <w:rFonts w:ascii="Calibri" w:hAnsi="Calibri" w:cs="Calibri"/>
          <w:i/>
          <w:iCs/>
          <w:kern w:val="0"/>
        </w:rPr>
        <w:t>The Fall of the Roman Empire: A New History of Rome and the Barbarians</w:t>
      </w:r>
      <w:r w:rsidRPr="00842E0B">
        <w:rPr>
          <w:rFonts w:ascii="Calibri" w:hAnsi="Calibri" w:cs="Calibri"/>
          <w:kern w:val="0"/>
        </w:rPr>
        <w:t>, pp. 227–28.</w:t>
      </w:r>
      <w:r>
        <w:fldChar w:fldCharType="end"/>
      </w:r>
    </w:p>
  </w:footnote>
  <w:footnote w:id="6">
    <w:p w14:paraId="068B0BA5" w14:textId="6FC55BF3" w:rsidR="00637C57" w:rsidRDefault="00637C57">
      <w:pPr>
        <w:pStyle w:val="FootnoteText"/>
      </w:pPr>
      <w:r>
        <w:rPr>
          <w:rStyle w:val="FootnoteReference"/>
        </w:rPr>
        <w:footnoteRef/>
      </w:r>
      <w:r>
        <w:t xml:space="preserve"> </w:t>
      </w:r>
      <w:r>
        <w:fldChar w:fldCharType="begin"/>
      </w:r>
      <w:r>
        <w:instrText xml:space="preserve"> ADDIN ZOTERO_ITEM CSL_CITATION {"citationID":"HCeh0t2z","properties":{"formattedCitation":"Moorhead and Stuttard, {\\i{}AD410: The Year That Shook Rome}, pp. 131\\uc0\\u8211{}33.","plainCitation":"Moorhead and Stuttard, AD410: The Year That Shook Rome, pp. 131–33.","noteIndex":6},"citationItems":[{"id":175,"uris":["http://zotero.org/users/local/DJ49uqu1/items/WB6Z6PFN"],"itemData":{"id":175,"type":"book","event-place":"38 Russel Square, London WCIB3QQ","publisher":"The British Museum Press","publisher-place":"38 Russel Square, London WCIB3QQ","title":"AD410: The Year That Shook Rome","author":[{"family":"Moorhead","given":"Sam"},{"family":"Stuttard","given":"David"}]},"locator":"131-133","label":"page"}],"schema":"https://github.com/citation-style-language/schema/raw/master/csl-citation.json"} </w:instrText>
      </w:r>
      <w:r>
        <w:fldChar w:fldCharType="separate"/>
      </w:r>
      <w:r w:rsidRPr="00637C57">
        <w:rPr>
          <w:rFonts w:ascii="Calibri" w:hAnsi="Calibri" w:cs="Calibri"/>
          <w:kern w:val="0"/>
        </w:rPr>
        <w:t xml:space="preserve">Moorhead and Stuttard, </w:t>
      </w:r>
      <w:r w:rsidRPr="00637C57">
        <w:rPr>
          <w:rFonts w:ascii="Calibri" w:hAnsi="Calibri" w:cs="Calibri"/>
          <w:i/>
          <w:iCs/>
          <w:kern w:val="0"/>
        </w:rPr>
        <w:t>AD410: The Year That Shook Rome</w:t>
      </w:r>
      <w:r w:rsidRPr="00637C57">
        <w:rPr>
          <w:rFonts w:ascii="Calibri" w:hAnsi="Calibri" w:cs="Calibri"/>
          <w:kern w:val="0"/>
        </w:rPr>
        <w:t>, pp. 131–33.</w:t>
      </w:r>
      <w:r>
        <w:fldChar w:fldCharType="end"/>
      </w:r>
    </w:p>
  </w:footnote>
  <w:footnote w:id="7">
    <w:p w14:paraId="2D7298EB" w14:textId="4F154B85" w:rsidR="005F49FC" w:rsidRDefault="005F49FC">
      <w:pPr>
        <w:pStyle w:val="FootnoteText"/>
      </w:pPr>
      <w:r>
        <w:rPr>
          <w:rStyle w:val="FootnoteReference"/>
        </w:rPr>
        <w:footnoteRef/>
      </w:r>
      <w:r>
        <w:t xml:space="preserve"> </w:t>
      </w:r>
      <w:r>
        <w:fldChar w:fldCharType="begin"/>
      </w:r>
      <w:r w:rsidR="00637C57">
        <w:instrText xml:space="preserve"> ADDIN ZOTERO_ITEM CSL_CITATION {"citationID":"tCimLZTU","properties":{"formattedCitation":"M. R. Godden, \\uc0\\u8216{}The Anglo-Saxons and the Goths: Rewriting the Sack of Rome\\uc0\\u8217{}, {\\i{}Anglo-Saxon England}, 31 (2002), pp. 47\\uc0\\u8211{}68, doi:10.1017/S0263675102000030.","plainCitation":"M. R. Godden, ‘The Anglo-Saxons and the Goths: Rewriting the Sack of Rome’, Anglo-Saxon England, 31 (2002), pp. 47–68, doi:10.1017/S0263675102000030.","noteIndex":7},"citationItems":[{"id":157,"uris":["http://zotero.org/users/local/DJ49uqu1/items/MFIAET86"],"itemData":{"id":157,"type":"article-journal","abstract":"On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5F49FC">
        <w:rPr>
          <w:rFonts w:ascii="Calibri" w:hAnsi="Calibri" w:cs="Calibri"/>
          <w:kern w:val="0"/>
        </w:rPr>
        <w:t xml:space="preserve">M. R. Godden, ‘The Anglo-Saxons and the Goths: Rewriting the Sack of Rome’, </w:t>
      </w:r>
      <w:r w:rsidRPr="005F49FC">
        <w:rPr>
          <w:rFonts w:ascii="Calibri" w:hAnsi="Calibri" w:cs="Calibri"/>
          <w:i/>
          <w:iCs/>
          <w:kern w:val="0"/>
        </w:rPr>
        <w:t>Anglo-Saxon England</w:t>
      </w:r>
      <w:r w:rsidRPr="005F49FC">
        <w:rPr>
          <w:rFonts w:ascii="Calibri" w:hAnsi="Calibri" w:cs="Calibri"/>
          <w:kern w:val="0"/>
        </w:rPr>
        <w:t>, 31 (2002), pp. 47–68, doi:10.1017/S0263675102000030.</w:t>
      </w:r>
      <w:r>
        <w:fldChar w:fldCharType="end"/>
      </w:r>
      <w:r w:rsidR="0007042A">
        <w:t xml:space="preserve"> PG 48</w:t>
      </w:r>
    </w:p>
  </w:footnote>
  <w:footnote w:id="8">
    <w:p w14:paraId="5D09CFC7" w14:textId="429782E9" w:rsidR="005F49FC" w:rsidRDefault="005F49FC">
      <w:pPr>
        <w:pStyle w:val="FootnoteText"/>
      </w:pPr>
      <w:r>
        <w:rPr>
          <w:rStyle w:val="FootnoteReference"/>
        </w:rPr>
        <w:footnoteRef/>
      </w:r>
      <w:r>
        <w:t xml:space="preserve"> </w:t>
      </w:r>
      <w:r>
        <w:fldChar w:fldCharType="begin"/>
      </w:r>
      <w:r w:rsidR="00637C57">
        <w:instrText xml:space="preserve"> ADDIN ZOTERO_ITEM CSL_CITATION {"citationID":"2g7vJJE5","properties":{"formattedCitation":"Godden, \\uc0\\u8216{}The Anglo-Saxons and the Goths\\uc0\\u8217{}.","plainCitation":"Godden, ‘The Anglo-Saxons and the Goths’.","noteIndex":8},"citationItems":[{"id":157,"uris":["http://zotero.org/users/local/DJ49uqu1/items/MFIAET86"],"itemData":{"id":157,"type":"article-journal","abstract":"On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5F49FC">
        <w:rPr>
          <w:rFonts w:ascii="Calibri" w:hAnsi="Calibri" w:cs="Calibri"/>
          <w:kern w:val="0"/>
        </w:rPr>
        <w:t>Godden, ‘The Anglo-Saxons and the Goths’.</w:t>
      </w:r>
      <w:r>
        <w:fldChar w:fldCharType="end"/>
      </w:r>
      <w:r w:rsidR="0007042A">
        <w:t xml:space="preserve"> PG 48</w:t>
      </w:r>
    </w:p>
  </w:footnote>
  <w:footnote w:id="9">
    <w:p w14:paraId="2747F1BB" w14:textId="10CE153F" w:rsidR="00637C57" w:rsidRDefault="00637C57">
      <w:pPr>
        <w:pStyle w:val="FootnoteText"/>
      </w:pPr>
      <w:r>
        <w:rPr>
          <w:rStyle w:val="FootnoteReference"/>
        </w:rPr>
        <w:footnoteRef/>
      </w:r>
      <w:r>
        <w:t xml:space="preserve"> </w:t>
      </w:r>
      <w:r>
        <w:fldChar w:fldCharType="begin"/>
      </w:r>
      <w:r>
        <w:instrText xml:space="preserve"> ADDIN ZOTERO_ITEM CSL_CITATION {"citationID":"13y1WLl8","properties":{"formattedCitation":"Godden, \\uc0\\u8216{}The Anglo-Saxons and the Goths\\uc0\\u8217{}.","plainCitation":"Godden, ‘The Anglo-Saxons and the Goths’.","noteIndex":9},"citationItems":[{"id":157,"uris":["http://zotero.org/users/local/DJ49uqu1/items/MFIAET86"],"itemData":{"id":157,"type":"article-journal","abstract":"On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37C57">
        <w:rPr>
          <w:rFonts w:ascii="Calibri" w:hAnsi="Calibri" w:cs="Calibri"/>
          <w:kern w:val="0"/>
        </w:rPr>
        <w:t>Godden, ‘The Anglo-Saxons and the Goths’.</w:t>
      </w:r>
      <w:r>
        <w:fldChar w:fldCharType="end"/>
      </w:r>
      <w:r w:rsidR="0007042A">
        <w:t xml:space="preserve"> PG 48-49</w:t>
      </w:r>
    </w:p>
  </w:footnote>
  <w:footnote w:id="10">
    <w:p w14:paraId="7348BB5B" w14:textId="2675389B" w:rsidR="00CA2CF2" w:rsidRDefault="00CA2CF2">
      <w:pPr>
        <w:pStyle w:val="FootnoteText"/>
      </w:pPr>
      <w:r>
        <w:rPr>
          <w:rStyle w:val="FootnoteReference"/>
        </w:rPr>
        <w:footnoteRef/>
      </w:r>
      <w:r>
        <w:t xml:space="preserve"> </w:t>
      </w:r>
      <w:r>
        <w:fldChar w:fldCharType="begin"/>
      </w:r>
      <w:r w:rsidR="00637C57">
        <w:instrText xml:space="preserve"> ADDIN ZOTERO_ITEM CSL_CITATION {"citationID":"D2nZ6NGt","properties":{"formattedCitation":"Godden, \\uc0\\u8216{}The Anglo-Saxons and the Goths\\uc0\\u8217{}.","plainCitation":"Godden, ‘The Anglo-Saxons and the Goths’.","noteIndex":10},"citationItems":[{"id":157,"uris":["http://zotero.org/users/local/DJ49uqu1/items/MFIAET86"],"itemData":{"id":157,"type":"article-journal","abstract":"On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CA2CF2">
        <w:rPr>
          <w:rFonts w:ascii="Calibri" w:hAnsi="Calibri" w:cs="Calibri"/>
          <w:kern w:val="0"/>
        </w:rPr>
        <w:t>Godden, ‘The Anglo-Saxons and the Goths’.</w:t>
      </w:r>
      <w:r>
        <w:fldChar w:fldCharType="end"/>
      </w:r>
      <w:r w:rsidR="0007042A">
        <w:t xml:space="preserve"> PG 48-49</w:t>
      </w:r>
    </w:p>
  </w:footnote>
  <w:footnote w:id="11">
    <w:p w14:paraId="285D2DBF" w14:textId="660387C5" w:rsidR="00DE4F1C" w:rsidRDefault="00DE4F1C">
      <w:pPr>
        <w:pStyle w:val="FootnoteText"/>
      </w:pPr>
      <w:r>
        <w:rPr>
          <w:rStyle w:val="FootnoteReference"/>
        </w:rPr>
        <w:footnoteRef/>
      </w:r>
      <w:r>
        <w:t xml:space="preserve"> </w:t>
      </w:r>
      <w:r>
        <w:fldChar w:fldCharType="begin"/>
      </w:r>
      <w:r w:rsidR="00637C57">
        <w:instrText xml:space="preserve"> ADDIN ZOTERO_ITEM CSL_CITATION {"citationID":"yjOUlusl","properties":{"formattedCitation":"Godden, \\uc0\\u8216{}The Anglo-Saxons and the Goths\\uc0\\u8217{}.","plainCitation":"Godden, ‘The Anglo-Saxons and the Goths’.","noteIndex":11},"citationItems":[{"id":157,"uris":["http://zotero.org/users/local/DJ49uqu1/items/MFIAET86"],"itemData":{"id":157,"type":"article-journal","abstract":"On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005F49FC" w:rsidRPr="005F49FC">
        <w:rPr>
          <w:rFonts w:ascii="Calibri" w:hAnsi="Calibri" w:cs="Calibri"/>
          <w:kern w:val="0"/>
        </w:rPr>
        <w:t>Godden, ‘The Anglo-Saxons and the Goths’.</w:t>
      </w:r>
      <w:r>
        <w:fldChar w:fldCharType="end"/>
      </w:r>
      <w:r w:rsidR="0007042A">
        <w:t xml:space="preserve"> PG 48-49</w:t>
      </w:r>
    </w:p>
  </w:footnote>
  <w:footnote w:id="12">
    <w:p w14:paraId="67D0AB94" w14:textId="3D9B499E" w:rsidR="00DE4F1C" w:rsidRDefault="00DE4F1C">
      <w:pPr>
        <w:pStyle w:val="FootnoteText"/>
      </w:pPr>
      <w:r>
        <w:rPr>
          <w:rStyle w:val="FootnoteReference"/>
        </w:rPr>
        <w:footnoteRef/>
      </w:r>
      <w:r>
        <w:t xml:space="preserve"> </w:t>
      </w:r>
      <w:r>
        <w:fldChar w:fldCharType="begin"/>
      </w:r>
      <w:r w:rsidR="00637C57">
        <w:instrText xml:space="preserve"> ADDIN ZOTERO_ITEM CSL_CITATION {"citationID":"pU1ErnrG","properties":{"formattedCitation":"Godden, \\uc0\\u8216{}The Anglo-Saxons and the Goths\\uc0\\u8217{}.","plainCitation":"Godden, ‘The Anglo-Saxons and the Goths’.","noteIndex":12},"citationItems":[{"id":157,"uris":["http://zotero.org/users/local/DJ49uqu1/items/MFIAET86"],"itemData":{"id":157,"type":"article-journal","abstract":"On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DE4F1C">
        <w:rPr>
          <w:rFonts w:ascii="Calibri" w:hAnsi="Calibri" w:cs="Calibri"/>
          <w:kern w:val="0"/>
        </w:rPr>
        <w:t>Godden, ‘The Anglo-Saxons and the Goths’.</w:t>
      </w:r>
      <w:r>
        <w:fldChar w:fldCharType="end"/>
      </w:r>
      <w:r w:rsidR="0007042A">
        <w:t xml:space="preserve"> PG 48-49</w:t>
      </w:r>
    </w:p>
  </w:footnote>
  <w:footnote w:id="13">
    <w:p w14:paraId="1F3C7E71" w14:textId="17C53D82" w:rsidR="00DE4F1C" w:rsidRDefault="00DE4F1C">
      <w:pPr>
        <w:pStyle w:val="FootnoteText"/>
      </w:pPr>
      <w:r>
        <w:rPr>
          <w:rStyle w:val="FootnoteReference"/>
        </w:rPr>
        <w:footnoteRef/>
      </w:r>
      <w:r>
        <w:t xml:space="preserve"> </w:t>
      </w:r>
      <w:r>
        <w:fldChar w:fldCharType="begin"/>
      </w:r>
      <w:r w:rsidR="00637C57">
        <w:instrText xml:space="preserve"> ADDIN ZOTERO_ITEM CSL_CITATION {"citationID":"s3fHKxiV","properties":{"formattedCitation":"Godden, \\uc0\\u8216{}The Anglo-Saxons and the Goths\\uc0\\u8217{}.","plainCitation":"Godden, ‘The Anglo-Saxons and the Goths’.","noteIndex":13},"citationItems":[{"id":157,"uris":["http://zotero.org/users/local/DJ49uqu1/items/MFIAET86"],"itemData":{"id":157,"type":"article-journal","abstract":"On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DE4F1C">
        <w:rPr>
          <w:rFonts w:ascii="Calibri" w:hAnsi="Calibri" w:cs="Calibri"/>
          <w:kern w:val="0"/>
        </w:rPr>
        <w:t>Godden, ‘The Anglo-Saxons and the Goths’.</w:t>
      </w:r>
      <w:r>
        <w:fldChar w:fldCharType="end"/>
      </w:r>
      <w:r w:rsidR="0007042A">
        <w:t xml:space="preserve"> PG 49</w:t>
      </w:r>
    </w:p>
  </w:footnote>
  <w:footnote w:id="14">
    <w:p w14:paraId="141A5DFB" w14:textId="796B39F6" w:rsidR="00412F4D" w:rsidRDefault="00412F4D">
      <w:pPr>
        <w:pStyle w:val="FootnoteText"/>
      </w:pPr>
      <w:r>
        <w:rPr>
          <w:rStyle w:val="FootnoteReference"/>
        </w:rPr>
        <w:footnoteRef/>
      </w:r>
      <w:r>
        <w:t xml:space="preserve"> </w:t>
      </w:r>
      <w:r>
        <w:fldChar w:fldCharType="begin"/>
      </w:r>
      <w:r>
        <w:instrText xml:space="preserve"> ADDIN ZOTERO_ITEM CSL_CITATION {"citationID":"24GFWYI4","properties":{"formattedCitation":"William Jones, {\\i{}Ecclesiastical History, In a Course of Lectures} (G. Wightman, Paternoster Row and G. J. McCombie, Barbican, 1838), p. 421.","plainCitation":"William Jones, Ecclesiastical History, In a Course of Lectures (G. Wightman, Paternoster Row and G. J. McCombie, Barbican, 1838), p. 421.","noteIndex":1},"citationItems":[{"id":166,"uris":["http://zotero.org/users/local/DJ49uqu1/items/TCHT2ENH"],"itemData":{"id":166,"type":"book","event-place":"London","publisher":"G. Wightman, Paternoster Row and G. J. McCombie, Barbican","publisher-place":"London","title":"Ecclesiastical History, In a Course of Lectures","author":[{"family":"Jones","given":"William"}],"issued":{"date-parts":[["1838"]]}},"locator":"421","label":"page"}],"schema":"https://github.com/citation-style-language/schema/raw/master/csl-citation.json"} </w:instrText>
      </w:r>
      <w:r>
        <w:fldChar w:fldCharType="separate"/>
      </w:r>
      <w:r w:rsidRPr="00412F4D">
        <w:rPr>
          <w:rFonts w:ascii="Calibri" w:hAnsi="Calibri" w:cs="Calibri"/>
          <w:kern w:val="0"/>
        </w:rPr>
        <w:t xml:space="preserve">William Jones, </w:t>
      </w:r>
      <w:r w:rsidRPr="00412F4D">
        <w:rPr>
          <w:rFonts w:ascii="Calibri" w:hAnsi="Calibri" w:cs="Calibri"/>
          <w:i/>
          <w:iCs/>
          <w:kern w:val="0"/>
        </w:rPr>
        <w:t>Ecclesiastical History, In a Course of Lectures</w:t>
      </w:r>
      <w:r w:rsidRPr="00412F4D">
        <w:rPr>
          <w:rFonts w:ascii="Calibri" w:hAnsi="Calibri" w:cs="Calibri"/>
          <w:kern w:val="0"/>
        </w:rPr>
        <w:t xml:space="preserve"> (G. Wightman, Paternoster Row and G. J. McCombie, Barbican, 1838), p. 421.</w:t>
      </w:r>
      <w:r>
        <w:fldChar w:fldCharType="end"/>
      </w:r>
    </w:p>
  </w:footnote>
  <w:footnote w:id="15">
    <w:p w14:paraId="6218D18C" w14:textId="5DDB8C5F" w:rsidR="00DE4F1C" w:rsidRDefault="00DE4F1C">
      <w:pPr>
        <w:pStyle w:val="FootnoteText"/>
      </w:pPr>
      <w:r>
        <w:rPr>
          <w:rStyle w:val="FootnoteReference"/>
        </w:rPr>
        <w:footnoteRef/>
      </w:r>
      <w:r>
        <w:t xml:space="preserve"> </w:t>
      </w:r>
      <w:r>
        <w:fldChar w:fldCharType="begin"/>
      </w:r>
      <w:r w:rsidR="00637C57">
        <w:instrText xml:space="preserve"> ADDIN ZOTERO_ITEM CSL_CITATION {"citationID":"lzhpWdds","properties":{"formattedCitation":"Raymond Van Dam, \\uc0\\u8216{}Rome and Barbarian Imperialism in A.D. 410 - JOHANNES LIPPS, CARLOS MACHADO, PHILIPP von RUMMEL (Edd.), THE SACK OF ROME IN 410 AD: THE EVENT, ITS CONTEXT AND ITS IMPACT. PROCEEDINGS OF THE CONFERENCE HELD AT THE GERMAN ARCHAEOLOGICAL INSTITUTE AT ROME, 04-06 NOVEMBER 2010 (Deutsches Arch\\uc0\\u228{}ologisches Institut Rom, Palilia, Band 28; Dr. Ludwig Reichert Verlag, Wiesbaden, 2013). Pp. 455, Many Figs. ISBN 978-3-89500-944-0. EUR 49.\\uc0\\u8217{}, {\\i{}Journal of Roman Archaeology}, 29 (2016), pp. 959\\uc0\\u8211{}65, doi:10.1017/S1047759400073062.","plainCitation":"Raymond Van Dam, ‘Rome and Barbarian Imperialism in A.D. 410 - JOHANNES LIPPS, CARLOS MACHADO, PHILIPP von RUMMEL (Edd.), THE SACK OF ROME IN 410 AD: THE EVENT, ITS CONTEXT AND ITS IMPACT. PROCEEDINGS OF THE CONFERENCE HELD AT THE GERMAN ARCHAEOLOGICAL INSTITUTE AT ROME, 04-06 NOVEMBER 2010 (Deutsches Archäologisches Institut Rom, Palilia, Band 28; Dr. Ludwig Reichert Verlag, Wiesbaden, 2013). Pp. 455, Many Figs. ISBN 978-3-89500-944-0. EUR 49.’, Journal of Roman Archaeology, 29 (2016), pp. 959–65, doi:10.1017/S1047759400073062.","noteIndex":15},"citationItems":[{"id":167,"uris":["http://zotero.org/users/local/DJ49uqu1/items/B8F8BZCL"],"itemData":{"id":167,"type":"article-journal","abstract":"//static.cambridge.org/content/id/urn%3Acambridge.org%3Aid%3Aarticle%3AS1047759400073062/resource/name/firstPage-S1047759400073062a.jpg","container-title":"Journal of Roman Archaeology","DOI":"10.1017/S1047759400073062","ISSN":"1047-7594, 2331-5709","language":"en","page":"959-965","source":"Cambridge University Press","title":"Rome and barbarian imperialism in A.D. 410 - JOHANNES LIPPS, CARLOS MACHADO, PHILIPP von RUMMEL (edd.), THE SACK OF ROME IN 410 AD: THE EVENT, ITS CONTEXT AND ITS IMPACT. PROCEEDINGS OF THE CONFERENCE HELD AT THE GERMAN ARCHAEOLOGICAL INSTITUTE AT ROME, 04-06 NOVEMBER 2010 (Deutsches Archäologisches Institut Rom, Palilia, Band 28; Dr. Ludwig Reichert Verlag, Wiesbaden, 2013). Pp. 455, many figs. ISBN 978-3-89500-944-0. EUR 49.","title-short":"Rome and barbarian imperialism in A.D. 410 - JOHANNES LIPPS, CARLOS MACHADO, PHILIPP von RUMMEL (edd.), THE SACK OF ROME IN 410 AD","volume":"29","author":[{"family":"Dam","given":"Raymond Van"}],"issued":{"date-parts":[["2016",1]]}}}],"schema":"https://github.com/citation-style-language/schema/raw/master/csl-citation.json"} </w:instrText>
      </w:r>
      <w:r>
        <w:fldChar w:fldCharType="separate"/>
      </w:r>
      <w:r w:rsidRPr="00DE4F1C">
        <w:rPr>
          <w:rFonts w:ascii="Calibri" w:hAnsi="Calibri" w:cs="Calibri"/>
          <w:kern w:val="0"/>
        </w:rPr>
        <w:t xml:space="preserve">Raymond Van Dam, ‘Rome and Barbarian Imperialism in A.D. 410 - JOHANNES LIPPS, CARLOS MACHADO, PHILIPP von RUMMEL (Edd.), THE SACK OF ROME IN 410 AD: THE EVENT, ITS CONTEXT AND ITS IMPACT. PROCEEDINGS OF THE CONFERENCE HELD AT THE GERMAN ARCHAEOLOGICAL INSTITUTE AT ROME, 04-06 NOVEMBER 2010 (Deutsches Archäologisches Institut Rom, Palilia, Band 28; Dr. Ludwig Reichert Verlag, Wiesbaden, </w:t>
      </w:r>
      <w:r w:rsidR="00CC6C65">
        <w:rPr>
          <w:rFonts w:ascii="Calibri" w:hAnsi="Calibri" w:cs="Calibri"/>
          <w:kern w:val="0"/>
        </w:rPr>
        <w:t>(</w:t>
      </w:r>
      <w:r w:rsidRPr="00DE4F1C">
        <w:rPr>
          <w:rFonts w:ascii="Calibri" w:hAnsi="Calibri" w:cs="Calibri"/>
          <w:kern w:val="0"/>
        </w:rPr>
        <w:t xml:space="preserve">2013). Pp. 455, Many Figs. ISBN 978-3-89500-944-0. EUR 49.’, </w:t>
      </w:r>
      <w:r w:rsidRPr="00DE4F1C">
        <w:rPr>
          <w:rFonts w:ascii="Calibri" w:hAnsi="Calibri" w:cs="Calibri"/>
          <w:i/>
          <w:iCs/>
          <w:kern w:val="0"/>
        </w:rPr>
        <w:t>Journal of Roman Archaeology</w:t>
      </w:r>
      <w:r w:rsidRPr="00DE4F1C">
        <w:rPr>
          <w:rFonts w:ascii="Calibri" w:hAnsi="Calibri" w:cs="Calibri"/>
          <w:kern w:val="0"/>
        </w:rPr>
        <w:t>, 29 (2016), pp. 959–65, doi:10.1017/S1047759400073062.</w:t>
      </w:r>
      <w:r>
        <w:fldChar w:fldCharType="end"/>
      </w:r>
      <w:r w:rsidR="0007042A">
        <w:t xml:space="preserve"> PG 959</w:t>
      </w:r>
    </w:p>
  </w:footnote>
  <w:footnote w:id="16">
    <w:p w14:paraId="59BDE8E3" w14:textId="4631E1A6" w:rsidR="00DE4F1C" w:rsidRDefault="00DE4F1C">
      <w:pPr>
        <w:pStyle w:val="FootnoteText"/>
      </w:pPr>
      <w:r>
        <w:rPr>
          <w:rStyle w:val="FootnoteReference"/>
        </w:rPr>
        <w:footnoteRef/>
      </w:r>
      <w:r>
        <w:t xml:space="preserve"> </w:t>
      </w:r>
      <w:r>
        <w:fldChar w:fldCharType="begin"/>
      </w:r>
      <w:r w:rsidR="00637C57">
        <w:instrText xml:space="preserve"> ADDIN ZOTERO_ITEM CSL_CITATION {"citationID":"YxsxIMvN","properties":{"formattedCitation":"Dam, \\uc0\\u8216{}Rome and Barbarian Imperialism in A.D. 410 - JOHANNES LIPPS, CARLOS MACHADO, PHILIPP von RUMMEL (Edd.), THE SACK OF ROME IN 410 AD\\uc0\\u8217{}.","plainCitation":"Dam, ‘Rome and Barbarian Imperialism in A.D. 410 - JOHANNES LIPPS, CARLOS MACHADO, PHILIPP von RUMMEL (Edd.), THE SACK OF ROME IN 410 AD’.","noteIndex":16},"citationItems":[{"id":167,"uris":["http://zotero.org/users/local/DJ49uqu1/items/B8F8BZCL"],"itemData":{"id":167,"type":"article-journal","abstract":"//static.cambridge.org/content/id/urn%3Acambridge.org%3Aid%3Aarticle%3AS1047759400073062/resource/name/firstPage-S1047759400073062a.jpg","container-title":"Journal of Roman Archaeology","DOI":"10.1017/S1047759400073062","ISSN":"1047-7594, 2331-5709","language":"en","page":"959-965","source":"Cambridge University Press","title":"Rome and barbarian imperialism in A.D. 410 - JOHANNES LIPPS, CARLOS MACHADO, PHILIPP von RUMMEL (edd.), THE SACK OF ROME IN 410 AD: THE EVENT, ITS CONTEXT AND ITS IMPACT. PROCEEDINGS OF THE CONFERENCE HELD AT THE GERMAN ARCHAEOLOGICAL INSTITUTE AT ROME, 04-06 NOVEMBER 2010 (Deutsches Archäologisches Institut Rom, Palilia, Band 28; Dr. Ludwig Reichert Verlag, Wiesbaden, 2013). Pp. 455, many figs. ISBN 978-3-89500-944-0. EUR 49.","title-short":"Rome and barbarian imperialism in A.D. 410 - JOHANNES LIPPS, CARLOS MACHADO, PHILIPP von RUMMEL (edd.), THE SACK OF ROME IN 410 AD","volume":"29","author":[{"family":"Dam","given":"Raymond Van"}],"issued":{"date-parts":[["2016",1]]}}}],"schema":"https://github.com/citation-style-language/schema/raw/master/csl-citation.json"} </w:instrText>
      </w:r>
      <w:r>
        <w:fldChar w:fldCharType="separate"/>
      </w:r>
      <w:r w:rsidRPr="00DE4F1C">
        <w:rPr>
          <w:rFonts w:ascii="Calibri" w:hAnsi="Calibri" w:cs="Calibri"/>
          <w:kern w:val="0"/>
        </w:rPr>
        <w:t>Dam, ‘Rome and Barbarian Imperialism in A.D. 410 - JOHANNES LIPPS, CARLOS MACHADO, PHILIPP von RUMMEL (Edd.), THE SACK OF ROME IN 410 AD’.</w:t>
      </w:r>
      <w:r>
        <w:fldChar w:fldCharType="end"/>
      </w:r>
      <w:r w:rsidR="00CC6C65">
        <w:t xml:space="preserve"> </w:t>
      </w:r>
      <w:r w:rsidR="0007042A">
        <w:t>PG 959</w:t>
      </w:r>
    </w:p>
  </w:footnote>
  <w:footnote w:id="17">
    <w:p w14:paraId="0259A28B" w14:textId="1076BF77" w:rsidR="00DE4F1C" w:rsidRDefault="00DE4F1C">
      <w:pPr>
        <w:pStyle w:val="FootnoteText"/>
      </w:pPr>
      <w:r>
        <w:rPr>
          <w:rStyle w:val="FootnoteReference"/>
        </w:rPr>
        <w:footnoteRef/>
      </w:r>
      <w:r>
        <w:t xml:space="preserve"> </w:t>
      </w:r>
      <w:r>
        <w:fldChar w:fldCharType="begin"/>
      </w:r>
      <w:r>
        <w:instrText xml:space="preserve"> ADDIN ZOTERO_ITEM CSL_CITATION {"citationID":"TDdTtq74","properties":{"formattedCitation":"Procopius, {\\i{}History of the Wars, Volume II}, trans. by Jeffrey Henderson &lt;https://www.loebclassics.com/view/LCL081/1916/volume.xml&gt; [accessed 19 May 2025].","plainCitation":"Procopius, History of the Wars, Volume II, trans. by Jeffrey Henderson &lt;https://www.loebclassics.com/view/LCL081/1916/volume.xml&gt; [accessed 19 May 2025].","noteIndex":4},"citationItems":[{"id":169,"uris":["http://zotero.org/users/local/DJ49uqu1/items/GWRKSXDN"],"itemData":{"id":169,"type":"book","abstract":"&lt;?xml version=\"1.0\" encoding=\"utf-8\"?&gt;Procopius, born at Caesarea in Palestine late in the 5th century, became a lawyer. In 527 CE he was made legal adviser and secretary of Belisarius, commander against the Persians, and went with Belis...","ISBN":"978-0-674-99090-6","language":"en","source":"www.loebclassics.com","title":"History of the Wars, Volume II","URL":"https://www.loebclassics.com/view/LCL081/1916/volume.xml","translator":[{"family":"Henderson","given":"Jeffrey"}],"author":[{"family":"","given":"Procopius"}],"accessed":{"date-parts":[["2025",5,19]]}}}],"schema":"https://github.com/citation-style-language/schema/raw/master/csl-citation.json"} </w:instrText>
      </w:r>
      <w:r>
        <w:fldChar w:fldCharType="separate"/>
      </w:r>
      <w:r w:rsidRPr="00DE4F1C">
        <w:rPr>
          <w:rFonts w:ascii="Calibri" w:hAnsi="Calibri" w:cs="Calibri"/>
          <w:kern w:val="0"/>
        </w:rPr>
        <w:t xml:space="preserve">Procopius, </w:t>
      </w:r>
      <w:r w:rsidRPr="00DE4F1C">
        <w:rPr>
          <w:rFonts w:ascii="Calibri" w:hAnsi="Calibri" w:cs="Calibri"/>
          <w:i/>
          <w:iCs/>
          <w:kern w:val="0"/>
        </w:rPr>
        <w:t>History of the Wars, Volume II</w:t>
      </w:r>
      <w:r w:rsidRPr="00DE4F1C">
        <w:rPr>
          <w:rFonts w:ascii="Calibri" w:hAnsi="Calibri" w:cs="Calibri"/>
          <w:kern w:val="0"/>
        </w:rPr>
        <w:t xml:space="preserve">, trans. by Jeffrey Henderson </w:t>
      </w:r>
      <w:r>
        <w:rPr>
          <w:rFonts w:ascii="Calibri" w:hAnsi="Calibri" w:cs="Calibri"/>
          <w:kern w:val="0"/>
        </w:rPr>
        <w:t xml:space="preserve">2.25-26 </w:t>
      </w:r>
      <w:r w:rsidRPr="00DE4F1C">
        <w:rPr>
          <w:rFonts w:ascii="Calibri" w:hAnsi="Calibri" w:cs="Calibri"/>
          <w:kern w:val="0"/>
        </w:rPr>
        <w:t>&lt;https://www.loebclassics.com/view/LCL081/1916/volume.xml&gt; [accessed 19 May 2025].</w:t>
      </w:r>
      <w:r>
        <w:fldChar w:fldCharType="end"/>
      </w:r>
    </w:p>
  </w:footnote>
  <w:footnote w:id="18">
    <w:p w14:paraId="1E9D43DF" w14:textId="7645F00E" w:rsidR="00E004B2" w:rsidRDefault="00E004B2">
      <w:pPr>
        <w:pStyle w:val="FootnoteText"/>
      </w:pPr>
      <w:r>
        <w:rPr>
          <w:rStyle w:val="FootnoteReference"/>
        </w:rPr>
        <w:footnoteRef/>
      </w:r>
      <w:r>
        <w:t xml:space="preserve"> </w:t>
      </w:r>
      <w:r>
        <w:fldChar w:fldCharType="begin"/>
      </w:r>
      <w:r w:rsidR="00637C57">
        <w:instrText xml:space="preserve"> ADDIN ZOTERO_ITEM CSL_CITATION {"citationID":"P8hpSf0x","properties":{"formattedCitation":"Godden, \\uc0\\u8216{}The Anglo-Saxons and the Goths\\uc0\\u8217{}.","plainCitation":"Godden, ‘The Anglo-Saxons and the Goths’.","noteIndex":18},"citationItems":[{"id":157,"uris":["http://zotero.org/users/local/DJ49uqu1/items/MFIAET86"],"itemData":{"id":157,"type":"article-journal","abstract":"On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00DE4F1C" w:rsidRPr="00DE4F1C">
        <w:rPr>
          <w:rFonts w:ascii="Calibri" w:hAnsi="Calibri" w:cs="Calibri"/>
          <w:kern w:val="0"/>
        </w:rPr>
        <w:t>Godden, ‘The Anglo-Saxons and the Goths’.</w:t>
      </w:r>
      <w:r>
        <w:fldChar w:fldCharType="end"/>
      </w:r>
      <w:r w:rsidR="00B44939">
        <w:t xml:space="preserve"> PG 47-48</w:t>
      </w:r>
    </w:p>
  </w:footnote>
  <w:footnote w:id="19">
    <w:p w14:paraId="211485DB" w14:textId="49415A62" w:rsidR="007158F7" w:rsidRDefault="007158F7">
      <w:pPr>
        <w:pStyle w:val="FootnoteText"/>
      </w:pPr>
      <w:r>
        <w:rPr>
          <w:rStyle w:val="FootnoteReference"/>
        </w:rPr>
        <w:footnoteRef/>
      </w:r>
      <w:r>
        <w:t xml:space="preserve"> </w:t>
      </w:r>
      <w:r>
        <w:fldChar w:fldCharType="begin"/>
      </w:r>
      <w:r>
        <w:instrText xml:space="preserve"> ADDIN ZOTERO_ITEM CSL_CITATION {"citationID":"F8wmR0fb","properties":{"formattedCitation":"Godden, \\uc0\\u8216{}The Anglo-Saxons and the Goths\\uc0\\u8217{}.","plainCitation":"Godden, ‘The Anglo-Saxons and the Goths’.","noteIndex":19},"citationItems":[{"id":157,"uris":["http://zotero.org/users/local/DJ49uqu1/items/MFIAET86"],"itemData":{"id":157,"type":"article-journal","abstract":"On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7158F7">
        <w:rPr>
          <w:rFonts w:ascii="Calibri" w:hAnsi="Calibri" w:cs="Calibri"/>
          <w:kern w:val="0"/>
        </w:rPr>
        <w:t>Godden, ‘The Anglo-Saxons and the Goths’.</w:t>
      </w:r>
      <w:r>
        <w:fldChar w:fldCharType="end"/>
      </w:r>
      <w:r w:rsidR="004E0BBE">
        <w:t xml:space="preserve"> </w:t>
      </w:r>
      <w:r w:rsidR="00B44939">
        <w:t>PG 51-54</w:t>
      </w:r>
    </w:p>
  </w:footnote>
  <w:footnote w:id="20">
    <w:p w14:paraId="6753E904" w14:textId="4BD63011" w:rsidR="007158F7" w:rsidRDefault="007158F7">
      <w:pPr>
        <w:pStyle w:val="FootnoteText"/>
      </w:pPr>
      <w:r>
        <w:rPr>
          <w:rStyle w:val="FootnoteReference"/>
        </w:rPr>
        <w:footnoteRef/>
      </w:r>
      <w:r>
        <w:t xml:space="preserve"> </w:t>
      </w:r>
      <w:r>
        <w:fldChar w:fldCharType="begin"/>
      </w:r>
      <w:r>
        <w:instrText xml:space="preserve"> ADDIN ZOTERO_ITEM CSL_CITATION {"citationID":"2N0USswb","properties":{"formattedCitation":"Tony Abramson, \\uc0\\u8216{}Rory Naismith. Money and Power in Anglo-Saxon England: The Southern English Kingdoms, 757\\uc0\\u8211{}865. Cambridge Studies in Medieval Life and Thought: Fourth Series. Cambridge: Cambridge University Press, 2011. Pp. 376. $99.00 (Cloth).\\uc0\\u8217{}, {\\i{}Journal of British Studies}, 52.1 (2013), pp. 231\\uc0\\u8211{}32 (pp. 231\\uc0\\u8211{}32), doi:10.1017/jbr.2012.9.","plainCitation":"Tony Abramson, ‘Rory Naismith. Money and Power in Anglo-Saxon England: The Southern English Kingdoms, 757–865. Cambridge Studies in Medieval Life and Thought: Fourth Series. Cambridge: Cambridge University Press, 2011. Pp. 376. $99.00 (Cloth).’, Journal of British Studies, 52.1 (2013), pp. 231–32 (pp. 231–32), doi:10.1017/jbr.2012.9.","noteIndex":19},"citationItems":[{"id":180,"uris":["http://zotero.org/users/local/DJ49uqu1/items/G7YTSIDL"],"itemData":{"id":180,"type":"article-journal","abstract":"//static.cambridge.org/content/id/urn%3Acambridge.org%3Aid%3Aarticle%3AS0021937112000093/resource/name/firstPage-S0021937112000093a.jpg","container-title":"Journal of British Studies","DOI":"10.1017/jbr.2012.9","ISSN":"0021-9371, 1545-6986","issue":"1","language":"en","page":"231-232","source":"Cambridge University Press","title":"Rory Naismith. Money and Power in Anglo-Saxon England: The Southern English Kingdoms, 757–865. Cambridge Studies in Medieval Life and Thought: Fourth Series. Cambridge: Cambridge University Press, 2011. Pp. 376. $99.00 (cloth).","title-short":"Rory Naismith. Money and Power in Anglo-Saxon England","volume":"52","author":[{"family":"Abramson","given":"Tony"}],"issued":{"date-parts":[["2013",1]]}},"locator":"231-232","label":"page"}],"schema":"https://github.com/citation-style-language/schema/raw/master/csl-citation.json"} </w:instrText>
      </w:r>
      <w:r>
        <w:fldChar w:fldCharType="separate"/>
      </w:r>
      <w:r w:rsidRPr="007158F7">
        <w:rPr>
          <w:rFonts w:ascii="Calibri" w:hAnsi="Calibri" w:cs="Calibri"/>
          <w:kern w:val="0"/>
        </w:rPr>
        <w:t xml:space="preserve">Tony Abramson, ‘Rory Naismith. Money and Power in Anglo-Saxon England: The Southern English Kingdoms, 757–865. Cambridge Studies in Medieval Life and Thought: Fourth Series. Cambridge: Cambridge University Press, 2011. Pp. 376.  </w:t>
      </w:r>
      <w:r w:rsidRPr="007158F7">
        <w:rPr>
          <w:rFonts w:ascii="Calibri" w:hAnsi="Calibri" w:cs="Calibri"/>
          <w:i/>
          <w:iCs/>
          <w:kern w:val="0"/>
        </w:rPr>
        <w:t>Journal of British Studies</w:t>
      </w:r>
      <w:r w:rsidRPr="007158F7">
        <w:rPr>
          <w:rFonts w:ascii="Calibri" w:hAnsi="Calibri" w:cs="Calibri"/>
          <w:kern w:val="0"/>
        </w:rPr>
        <w:t>, 52.1 (2013)</w:t>
      </w:r>
      <w:proofErr w:type="gramStart"/>
      <w:r w:rsidRPr="007158F7">
        <w:rPr>
          <w:rFonts w:ascii="Calibri" w:hAnsi="Calibri" w:cs="Calibri"/>
          <w:kern w:val="0"/>
        </w:rPr>
        <w:t>, ,</w:t>
      </w:r>
      <w:proofErr w:type="gramEnd"/>
      <w:r w:rsidRPr="007158F7">
        <w:rPr>
          <w:rFonts w:ascii="Calibri" w:hAnsi="Calibri" w:cs="Calibri"/>
          <w:kern w:val="0"/>
        </w:rPr>
        <w:t xml:space="preserve"> doi:10.1017/jbr.2012.9.</w:t>
      </w:r>
      <w:r>
        <w:fldChar w:fldCharType="end"/>
      </w:r>
      <w:r w:rsidR="004E0BBE">
        <w:t xml:space="preserve"> PG 231-232</w:t>
      </w:r>
    </w:p>
  </w:footnote>
  <w:footnote w:id="21">
    <w:p w14:paraId="3C44FA9E" w14:textId="4F704DB8" w:rsidR="007158F7" w:rsidRDefault="007158F7">
      <w:pPr>
        <w:pStyle w:val="FootnoteText"/>
      </w:pPr>
      <w:r>
        <w:rPr>
          <w:rStyle w:val="FootnoteReference"/>
        </w:rPr>
        <w:footnoteRef/>
      </w:r>
      <w:r>
        <w:t xml:space="preserve"> </w:t>
      </w:r>
      <w:r>
        <w:fldChar w:fldCharType="begin"/>
      </w:r>
      <w:r>
        <w:instrText xml:space="preserve"> ADDIN ZOTERO_ITEM CSL_CITATION {"citationID":"wIB96RwW","properties":{"formattedCitation":"Godden, \\uc0\\u8216{}The Anglo-Saxons and the Goths\\uc0\\u8217{}.","plainCitation":"Godden, ‘The Anglo-Saxons and the Goths’.","noteIndex":21},"citationItems":[{"id":157,"uris":["http://zotero.org/users/local/DJ49uqu1/items/MFIAET86"],"itemData":{"id":157,"type":"article-journal","abstract":"On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7158F7">
        <w:rPr>
          <w:rFonts w:ascii="Calibri" w:hAnsi="Calibri" w:cs="Calibri"/>
          <w:kern w:val="0"/>
        </w:rPr>
        <w:t>Godden, ‘The Anglo-Saxons and the Goths’.</w:t>
      </w:r>
      <w:r>
        <w:fldChar w:fldCharType="end"/>
      </w:r>
      <w:r w:rsidR="004E0BBE">
        <w:t xml:space="preserve"> PG 49-50</w:t>
      </w:r>
    </w:p>
  </w:footnote>
  <w:footnote w:id="22">
    <w:p w14:paraId="525CF76C" w14:textId="017FEAF7" w:rsidR="00E004B2" w:rsidRDefault="00E004B2">
      <w:pPr>
        <w:pStyle w:val="FootnoteText"/>
      </w:pPr>
      <w:r>
        <w:rPr>
          <w:rStyle w:val="FootnoteReference"/>
        </w:rPr>
        <w:footnoteRef/>
      </w:r>
      <w:r>
        <w:t xml:space="preserve"> </w:t>
      </w:r>
      <w:r>
        <w:fldChar w:fldCharType="begin"/>
      </w:r>
      <w:r w:rsidR="007158F7">
        <w:instrText xml:space="preserve"> ADDIN ZOTERO_ITEM CSL_CITATION {"citationID":"Soyg64ME","properties":{"formattedCitation":"Godden, \\uc0\\u8216{}The Anglo-Saxons and the Goths\\uc0\\u8217{}.","plainCitation":"Godden, ‘The Anglo-Saxons and the Goths’.","noteIndex":22},"citationItems":[{"id":157,"uris":["http://zotero.org/users/local/DJ49uqu1/items/MFIAET86"],"itemData":{"id":157,"type":"article-journal","abstract":"On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E004B2">
        <w:rPr>
          <w:rFonts w:ascii="Calibri" w:hAnsi="Calibri" w:cs="Calibri"/>
          <w:kern w:val="0"/>
        </w:rPr>
        <w:t>Godden, ‘The Anglo-Saxons and the Goths’.</w:t>
      </w:r>
      <w:r>
        <w:fldChar w:fldCharType="end"/>
      </w:r>
      <w:r w:rsidR="00013D3B">
        <w:t xml:space="preserve"> PG </w:t>
      </w:r>
      <w:r w:rsidR="004E0BBE">
        <w:t>50</w:t>
      </w:r>
    </w:p>
  </w:footnote>
  <w:footnote w:id="23">
    <w:p w14:paraId="26BC776B" w14:textId="397E69DB"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{"citationID":"pSHlCadd","properties":{"formattedCitation":"Godden, \\uc0\\u8216{}The Anglo-Saxons and the Goths\\uc0\\u8217{}.","plainCitation":"Godden, ‘The Anglo-Saxons and the Goths’.","noteIndex":20},"citationItems":[{"id":157,"uris":["http://zotero.org/users/local/DJ49uqu1/items/MFIAET86"],"itemData":{"id":157,"type":"article-journal","abstract":"On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00E004B2" w:rsidRPr="00E004B2">
        <w:rPr>
          <w:rFonts w:ascii="Calibri" w:hAnsi="Calibri" w:cs="Calibri"/>
          <w:kern w:val="0"/>
        </w:rPr>
        <w:t>Godden, ‘The Anglo-Saxons and the Goths’.</w:t>
      </w:r>
      <w:r>
        <w:fldChar w:fldCharType="end"/>
      </w:r>
      <w:r w:rsidR="00013D3B">
        <w:t xml:space="preserve"> PG 52-54</w:t>
      </w:r>
    </w:p>
  </w:footnote>
  <w:footnote w:id="24">
    <w:p w14:paraId="4F7B8FDB" w14:textId="3667ED95"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{"citationID":"5gWaCNje","properties":{"formattedCitation":"Godden, \\uc0\\u8216{}The Anglo-Saxons and the Goths\\uc0\\u8217{}.","plainCitation":"Godden, ‘The Anglo-Saxons and the Goths’.","noteIndex":21},"citationItems":[{"id":157,"uris":["http://zotero.org/users/local/DJ49uqu1/items/MFIAET86"],"itemData":{"id":157,"type":"article-journal","abstract":"On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013D3B">
        <w:t xml:space="preserve"> PG 54</w:t>
      </w:r>
    </w:p>
  </w:footnote>
  <w:footnote w:id="25">
    <w:p w14:paraId="5B71B99E" w14:textId="598C3873"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{"citationID":"3do6R2TZ","properties":{"formattedCitation":"Godden, \\uc0\\u8216{}The Anglo-Saxons and the Goths\\uc0\\u8217{}.","plainCitation":"Godden, ‘The Anglo-Saxons and the Goths’.","noteIndex":22},"citationItems":[{"id":157,"uris":["http://zotero.org/users/local/DJ49uqu1/items/MFIAET86"],"itemData":{"id":157,"type":"article-journal","abstract":"On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013D3B">
        <w:t xml:space="preserve"> PG 54</w:t>
      </w:r>
    </w:p>
  </w:footnote>
  <w:footnote w:id="26">
    <w:p w14:paraId="3A86E31E" w14:textId="25C4D19E"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{"citationID":"4OUX52wF","properties":{"formattedCitation":"Godden, \\uc0\\u8216{}The Anglo-Saxons and the Goths\\uc0\\u8217{}.","plainCitation":"Godden, ‘The Anglo-Saxons and the Goths’.","noteIndex":23},"citationItems":[{"id":157,"uris":["http://zotero.org/users/local/DJ49uqu1/items/MFIAET86"],"itemData":{"id":157,"type":"article-journal","abstract":"On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063BC8">
        <w:t xml:space="preserve"> PG </w:t>
      </w:r>
      <w:r w:rsidR="00013D3B">
        <w:t>54</w:t>
      </w:r>
      <w:r w:rsidR="00063BC8">
        <w:t xml:space="preserve"> </w:t>
      </w:r>
    </w:p>
  </w:footnote>
  <w:footnote w:id="27">
    <w:p w14:paraId="32EB9E99" w14:textId="4C9080AC"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{"citationID":"2ydpfySa","properties":{"formattedCitation":"Godden, \\uc0\\u8216{}The Anglo-Saxons and the Goths\\uc0\\u8217{}.","plainCitation":"Godden, ‘The Anglo-Saxons and the Goths’.","noteIndex":24},"citationItems":[{"id":157,"uris":["http://zotero.org/users/local/DJ49uqu1/items/MFIAET86"],"itemData":{"id":157,"type":"article-journal","abstract":"On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063BC8">
        <w:t xml:space="preserve"> PG 55</w:t>
      </w:r>
    </w:p>
  </w:footnote>
  <w:footnote w:id="28">
    <w:p w14:paraId="7067F3B2" w14:textId="0DF657D8"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{"citationID":"8JzrdIQW","properties":{"formattedCitation":"Godden, \\uc0\\u8216{}The Anglo-Saxons and the Goths\\uc0\\u8217{}.","plainCitation":"Godden, ‘The Anglo-Saxons and the Goths’.","noteIndex":25},"citationItems":[{"id":157,"uris":["http://zotero.org/users/local/DJ49uqu1/items/MFIAET86"],"itemData":{"id":157,"type":"article-journal","abstract":"On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063BC8">
        <w:t xml:space="preserve"> PG 55</w:t>
      </w:r>
    </w:p>
  </w:footnote>
  <w:footnote w:id="29">
    <w:p w14:paraId="5C7608BD" w14:textId="6B9C1B1E"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{"citationID":"afryPk7r","properties":{"formattedCitation":"Godden, \\uc0\\u8216{}The Anglo-Saxons and the Goths\\uc0\\u8217{}.","plainCitation":"Godden, ‘The Anglo-Saxons and the Goths’.","noteIndex":26},"citationItems":[{"id":157,"uris":["http://zotero.org/users/local/DJ49uqu1/items/MFIAET86"],"itemData":{"id":157,"type":"article-journal","abstract":"On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063BC8">
        <w:t xml:space="preserve"> PG 56-57</w:t>
      </w:r>
    </w:p>
  </w:footnote>
  <w:footnote w:id="30">
    <w:p w14:paraId="1B67FD66" w14:textId="3A5CAE2E"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{"citationID":"NYMZ84T3","properties":{"formattedCitation":"Godden, \\uc0\\u8216{}The Anglo-Saxons and the Goths\\uc0\\u8217{}.","plainCitation":"Godden, ‘The Anglo-Saxons and the Goths’.","noteIndex":27},"citationItems":[{"id":157,"uris":["http://zotero.org/users/local/DJ49uqu1/items/MFIAET86"],"itemData":{"id":157,"type":"article-journal","abstract":"On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273BFB">
        <w:t xml:space="preserve"> PG 58-59</w:t>
      </w:r>
    </w:p>
  </w:footnote>
  <w:footnote w:id="31">
    <w:p w14:paraId="5EE7736E" w14:textId="736931D8" w:rsidR="006B7EF3" w:rsidRDefault="006B7EF3">
      <w:pPr>
        <w:pStyle w:val="FootnoteText"/>
      </w:pPr>
      <w:r>
        <w:rPr>
          <w:rStyle w:val="FootnoteReference"/>
        </w:rPr>
        <w:footnoteRef/>
      </w:r>
      <w:r>
        <w:t xml:space="preserve"> </w:t>
      </w:r>
      <w:r>
        <w:fldChar w:fldCharType="begin"/>
      </w:r>
      <w:r w:rsidR="00637C57">
        <w:instrText xml:space="preserve"> ADDIN ZOTERO_ITEM CSL_CITATION {"citationID":"oFmTtwtJ","properties":{"formattedCitation":"Godden, \\uc0\\u8216{}The Anglo-Saxons and the Goths\\uc0\\u8217{}.","plainCitation":"Godden, ‘The Anglo-Saxons and the Goths’.","noteIndex":28},"citationItems":[{"id":157,"uris":["http://zotero.org/users/local/DJ49uqu1/items/MFIAET86"],"itemData":{"id":157,"type":"article-journal","abstract":"On 24 August 410 the Goths under their king Alaric entered the city of Rome \nand spent three days pillaging it. They then moved south towards Sicily, possibly \nin the hope of escaping to Africa, but Alaric died and the Goths retreated back \nthrough Italy to Gaul, from where they were driven into Spain by Roman forces \nin 414. The sack of Rome was by all accounts of little material significance in \nthe long and complex history of Roman engagement with barbarians; it was in \nfact the Goths' third visit to the city in three years, and on the previous occasion \nthe senate had allowed them into Rome and collaborated with them in setting up \nthe prefect of the city as emperor in opposition to Honorius, whose administration \nwas based in Ravenna. Contemporary historians emphasized that the \nforces of the western empire had recovered their dominance within just three or \nfour years at most, and recent historians have seen the attack on Rome as representing \na failure on the part of the Goths, who had hoped to use the threat to \nRome as a bargaining tool with the emperor in their pursuit of land and supplies. Honorius and his \ngovernment seem to have been relatively untroubled. \nOn the day after Alaric's seizure of Rome Honorius had time, from his palace in \nRavenna, to issue an edict ordering that religious dissension among Christians in \nNorth Africa should cease and summoning a conference of all the Catholic and \nDonatist bishops to examine their dierences. The Liber pontificalis manages to give a \nquite detailed account of the time of Pope Innocent I (402–17) and his \ngood works without once mentioning the Goths or the attack on Rome \n(Orosius explains that he happened to be away in Ravenna at the time). But the \nevent acquired remarkable prominence, and a distinctive significance, in the \nAnglo-Saxon perception of their past, especially in the Alfredian period: it is \nmentioned prominently in two of Bede's historical works, in four of the Old \nEnglish prose works associated with King Alfred, and in Æthelweard's Chronicle; \nit is the context and end-point of the Old English version of Orosius's History of \nthe World; and it is the starting-point of King Alfred's account of Boethius. I \nwant here to explore its developing significance for the Anglo-Saxons, and particularly \nfor the Alfredian world.","container-title":"Anglo-Saxon England","DOI":"10.1017/S0263675102000030","ISSN":"1474-0532, 0263-6751","language":"en","page":"47-68","source":"Cambridge University Press","title":"The Anglo-Saxons and the Goths: rewriting the sack of Rome","title-short":"The Anglo-Saxons and the Goths","volume":"31","author":[{"family":"Godden","given":"M. R."}],"issued":{"date-parts":[["2002",12]]}}}],"schema":"https://github.com/citation-style-language/schema/raw/master/csl-citation.json"} </w:instrText>
      </w:r>
      <w:r>
        <w:fldChar w:fldCharType="separate"/>
      </w:r>
      <w:r w:rsidRPr="006B7EF3">
        <w:rPr>
          <w:rFonts w:ascii="Calibri" w:hAnsi="Calibri" w:cs="Calibri"/>
          <w:kern w:val="0"/>
        </w:rPr>
        <w:t>Godden, ‘The Anglo-Saxons and the Goths’.</w:t>
      </w:r>
      <w:r>
        <w:fldChar w:fldCharType="end"/>
      </w:r>
      <w:r w:rsidR="00273BFB">
        <w:t xml:space="preserve"> PG 60</w:t>
      </w:r>
    </w:p>
  </w:footnote>
  <w:footnote w:id="32">
    <w:p w14:paraId="67C8CF06" w14:textId="06D2F488" w:rsidR="006B7EF3" w:rsidRDefault="006B7EF3">
      <w:pPr>
        <w:pStyle w:val="FootnoteText"/>
      </w:pPr>
      <w:r>
        <w:rPr>
          <w:rStyle w:val="FootnoteReference"/>
        </w:rPr>
        <w:footnoteRef/>
      </w:r>
      <w:r>
        <w:t xml:space="preserve"> </w:t>
      </w:r>
      <w:r>
        <w:fldChar w:fldCharType="begin"/>
      </w:r>
      <w:r w:rsidR="007158F7">
        <w:instrText xml:space="preserve"> ADDIN ZOTERO_ITEM CSL_CITATION {"citationID":"S3Mh9zSt","properties":{"formattedCitation":"Peter Van Nuffelen, \\uc0\\u8216{}Not Much Happened: 410 and All That\\uc0\\u8217{}, {\\i{}The Journal of Roman Studies}, 105 (2015), pp. 322\\uc0\\u8211{}29, doi:10.1017/S0075435815000428.","plainCitation":"Peter Van Nuffelen, ‘Not Much Happened: 410 and All That’, The Journal of Roman Studies, 105 (2015), pp. 322–29, doi:10.1017/S0075435815000428.","noteIndex":32},"citationItems":[{"id":162,"uris":["http://zotero.org/users/local/DJ49uqu1/items/PFCKGUSK"],"itemData":{"id":162,"type":"article-journal","abstract":"Even in these unclassical times, the sack of Rome by the Goths in a.d. 410 remains entrenched in Western collective memory as a ‘key date’ in history. For a scholarly audience, its sixteen-hundreth anniversary in 2010 was commemorated by no fewer than three conferences in Rome. The resulting volumes illustrate the ambivalent relationship historical scholarship entertains with commemoration. While the conferences draw their appeal from the construction, in late ancient and modern tradition, of the sack as an event of world historical importance, the three volumes collectively lead one to conclude that nothing much really happened between 24 and 27 August 410. The schizophrenic situation is summed up in the following two statements by Philipp von Rummel, the organizer of the conference held by the German Archaeological Institute. In an interview with the BBC, he is quoted as saying: ‘I don't know if people will still be talking about 9/11 in 2,000 years time, but the events of that August day still influence our contemporary view of history.’ In the introduction to his volume, co-edited with J. Lipps and C. Machado, he approvingly notes that scholars ‘have moved away from the traditional narrative of collapse with which the sack was associated’ (11), and his own contribution opens by stating that, without lapsing into ‘historical instrumentalization and projections’, one cannot say much more than that an army under the leadership of Alaric plundered the city of Rome for three days (17: ‘Diese drei Sätze geben präzise das wieder, was abseits historischer Instrumentalisierungen und Projektionen über das Ereignis gesagt werden kann’). Even if the two statements need not be contradictory, they convey two rather different views of the events: a hyperbolic one highlighting long-term repercussions and a rather terse one that remains strictly within the bounds of the factual. It is a phenomenon that can be observed elsewhere: critical scholarship seeks to undermine traditional historical narrative, while at the same time failing to escape entirely the story it rejects.","container-title":"The Journal of Roman Studies","DOI":"10.1017/S0075435815000428","ISSN":"0075-4358, 1753-528X","language":"en","page":"322-329","source":"Cambridge University Press","title":"Not Much Happened: 410 and All That","title-short":"Not Much Happened","volume":"105","author":[{"family":"Nuffelen","given":"Peter Van"}],"issued":{"date-parts":[["2015",11]]}}}],"schema":"https://github.com/citation-style-language/schema/raw/master/csl-citation.json"} </w:instrText>
      </w:r>
      <w:r>
        <w:fldChar w:fldCharType="separate"/>
      </w:r>
      <w:r w:rsidRPr="006B7EF3">
        <w:rPr>
          <w:rFonts w:ascii="Calibri" w:hAnsi="Calibri" w:cs="Calibri"/>
          <w:kern w:val="0"/>
        </w:rPr>
        <w:t xml:space="preserve">Peter Van Nuffelen, ‘Not Much Happened: 410 and All That’, </w:t>
      </w:r>
      <w:r w:rsidRPr="006B7EF3">
        <w:rPr>
          <w:rFonts w:ascii="Calibri" w:hAnsi="Calibri" w:cs="Calibri"/>
          <w:i/>
          <w:iCs/>
          <w:kern w:val="0"/>
        </w:rPr>
        <w:t>The Journal of Roman Studies</w:t>
      </w:r>
      <w:r w:rsidRPr="006B7EF3">
        <w:rPr>
          <w:rFonts w:ascii="Calibri" w:hAnsi="Calibri" w:cs="Calibri"/>
          <w:kern w:val="0"/>
        </w:rPr>
        <w:t>, 105 (2015), pp. 322–29, doi:10.1017/S0075435815000428.</w:t>
      </w:r>
      <w:r>
        <w:fldChar w:fldCharType="end"/>
      </w:r>
    </w:p>
  </w:footnote>
  <w:footnote w:id="33">
    <w:p w14:paraId="29FB290A" w14:textId="1129C888" w:rsidR="006B7EF3" w:rsidRDefault="006B7EF3">
      <w:pPr>
        <w:pStyle w:val="FootnoteText"/>
      </w:pPr>
      <w:r>
        <w:rPr>
          <w:rStyle w:val="FootnoteReference"/>
        </w:rPr>
        <w:footnoteRef/>
      </w:r>
      <w:r>
        <w:t xml:space="preserve"> </w:t>
      </w:r>
      <w:r>
        <w:fldChar w:fldCharType="begin"/>
      </w:r>
      <w:r w:rsidR="007158F7">
        <w:instrText xml:space="preserve"> ADDIN ZOTERO_ITEM CSL_CITATION {"citationID":"jByFepSp","properties":{"formattedCitation":"Nuffelen, \\uc0\\u8216{}Not Much Happened\\uc0\\u8217{}.","plainCitation":"Nuffelen, ‘Not Much Happened’.","noteIndex":33},"citationItems":[{"id":162,"uris":["http://zotero.org/users/local/DJ49uqu1/items/PFCKGUSK"],"itemData":{"id":162,"type":"article-journal","abstract":"Even in these unclassical times, the sack of Rome by the Goths in a.d. 410 remains entrenched in Western collective memory as a ‘key date’ in history. For a scholarly audience, its sixteen-hundreth anniversary in 2010 was commemorated by no fewer than three conferences in Rome. The resulting volumes illustrate the ambivalent relationship historical scholarship entertains with commemoration. While the conferences draw their appeal from the construction, in late ancient and modern tradition, of the sack as an event of world historical importance, the three volumes collectively lead one to conclude that nothing much really happened between 24 and 27 August 410. The schizophrenic situation is summed up in the following two statements by Philipp von Rummel, the organizer of the conference held by the German Archaeological Institute. In an interview with the BBC, he is quoted as saying: ‘I don't know if people will still be talking about 9/11 in 2,000 years time, but the events of that August day still influence our contemporary view of history.’ In the introduction to his volume, co-edited with J. Lipps and C. Machado, he approvingly notes that scholars ‘have moved away from the traditional narrative of collapse with which the sack was associated’ (11), and his own contribution opens by stating that, without lapsing into ‘historical instrumentalization and projections’, one cannot say much more than that an army under the leadership of Alaric plundered the city of Rome for three days (17: ‘Diese drei Sätze geben präzise das wieder, was abseits historischer Instrumentalisierungen und Projektionen über das Ereignis gesagt werden kann’). Even if the two statements need not be contradictory, they convey two rather different views of the events: a hyperbolic one highlighting long-term repercussions and a rather terse one that remains strictly within the bounds of the factual. It is a phenomenon that can be observed elsewhere: critical scholarship seeks to undermine traditional historical narrative, while at the same time failing to escape entirely the story it rejects.","container-title":"The Journal of Roman Studies","DOI":"10.1017/S0075435815000428","ISSN":"0075-4358, 1753-528X","language":"en","page":"322-329","source":"Cambridge University Press","title":"Not Much Happened: 410 and All That","title-short":"Not Much Happened","volume":"105","author":[{"family":"Nuffelen","given":"Peter Van"}],"issued":{"date-parts":[["2015",11]]}}}],"schema":"https://github.com/citation-style-language/schema/raw/master/csl-citation.json"} </w:instrText>
      </w:r>
      <w:r>
        <w:fldChar w:fldCharType="separate"/>
      </w:r>
      <w:r w:rsidRPr="006B7EF3">
        <w:rPr>
          <w:rFonts w:ascii="Calibri" w:hAnsi="Calibri" w:cs="Calibri"/>
          <w:kern w:val="0"/>
        </w:rPr>
        <w:t>Nuffelen, ‘Not Much Happened’.</w:t>
      </w:r>
      <w:r>
        <w:fldChar w:fldCharType="end"/>
      </w:r>
      <w:r w:rsidR="004D1C82">
        <w:t xml:space="preserve"> PG 322-329</w:t>
      </w:r>
    </w:p>
  </w:footnote>
  <w:footnote w:id="34">
    <w:p w14:paraId="4D60242F" w14:textId="66B68A10" w:rsidR="00AD2FD2" w:rsidRDefault="00AD2FD2">
      <w:pPr>
        <w:pStyle w:val="FootnoteText"/>
      </w:pPr>
      <w:r>
        <w:rPr>
          <w:rStyle w:val="FootnoteReference"/>
        </w:rPr>
        <w:footnoteRef/>
      </w:r>
      <w:r>
        <w:t xml:space="preserve"> </w:t>
      </w:r>
      <w:r>
        <w:fldChar w:fldCharType="begin"/>
      </w:r>
      <w:r w:rsidR="007158F7">
        <w:instrText xml:space="preserve"> ADDIN ZOTERO_ITEM CSL_CITATION {"citationID":"wZDph8SI","properties":{"formattedCitation":"Victoria Leonard, \\uc0\\u8216{}Galla Placidia as \\uc0\\u8220{}Human Gold\\uc0\\u8221{}: Consent and Autonomy in the Sack of Rome, {\\scaps CE} 410\\uc0\\u8217{}, {\\i{}Gender &amp; History}, 31.2 (2019), pp. 334\\uc0\\u8211{}52, doi:10.1111/1468-0424.12423.","plainCitation":"Victoria Leonard, ‘Galla Placidia as “Human Gold”: Consent and Autonomy in the Sack of Rome, CE 410’, Gender &amp; History, 31.2 (2019), pp. 334–52, doi:10.1111/1468-0424.12423.","noteIndex":34},"citationItems":[{"id":165,"uris":["http://zotero.org/users/local/DJ49uqu1/items/PP8FI28P"],"itemData":{"id":165,"type":"article-journal","container-title":"Gender &amp; History","DOI":"10.1111/1468-0424.12423","ISSN":"0953-5233, 1468-0424","issue":"2","journalAbbreviation":"Gender &amp; History","language":"en","page":"334-352","source":"DOI.org (Crossref)","title":"Galla Placidia as ‘Human Gold’: Consent and Autonomy in the Sack of Rome, &lt;span style=\"font-variant:small-caps;\"&gt;CE&lt;/span&gt; 410","title-short":"Galla Placidia as ‘Human Gold’","volume":"31","author":[{"family":"Leonard","given":"Victoria"}],"issued":{"date-parts":[["2019",7]]}}}],"schema":"https://github.com/citation-style-language/schema/raw/master/csl-citation.json"} </w:instrText>
      </w:r>
      <w:r>
        <w:fldChar w:fldCharType="separate"/>
      </w:r>
      <w:r w:rsidRPr="00AD2FD2">
        <w:rPr>
          <w:rFonts w:ascii="Calibri" w:hAnsi="Calibri" w:cs="Calibri"/>
          <w:kern w:val="0"/>
        </w:rPr>
        <w:t xml:space="preserve">Victoria Leonard, ‘Galla Placidia as “Human Gold”: Consent and Autonomy in the Sack of Rome, </w:t>
      </w:r>
      <w:r w:rsidRPr="00AD2FD2">
        <w:rPr>
          <w:rFonts w:ascii="Calibri" w:hAnsi="Calibri" w:cs="Calibri"/>
          <w:smallCaps/>
          <w:kern w:val="0"/>
        </w:rPr>
        <w:t>CE</w:t>
      </w:r>
      <w:r w:rsidRPr="00AD2FD2">
        <w:rPr>
          <w:rFonts w:ascii="Calibri" w:hAnsi="Calibri" w:cs="Calibri"/>
          <w:kern w:val="0"/>
        </w:rPr>
        <w:t xml:space="preserve"> 410’, </w:t>
      </w:r>
      <w:r w:rsidRPr="00AD2FD2">
        <w:rPr>
          <w:rFonts w:ascii="Calibri" w:hAnsi="Calibri" w:cs="Calibri"/>
          <w:i/>
          <w:iCs/>
          <w:kern w:val="0"/>
        </w:rPr>
        <w:t>Gender &amp; History</w:t>
      </w:r>
      <w:r w:rsidRPr="00AD2FD2">
        <w:rPr>
          <w:rFonts w:ascii="Calibri" w:hAnsi="Calibri" w:cs="Calibri"/>
          <w:kern w:val="0"/>
        </w:rPr>
        <w:t>, 31.2 (2019), pp. 334–52,</w:t>
      </w:r>
      <w:r w:rsidR="004D1C82">
        <w:rPr>
          <w:rFonts w:ascii="Calibri" w:hAnsi="Calibri" w:cs="Calibri"/>
          <w:kern w:val="0"/>
        </w:rPr>
        <w:t xml:space="preserve"> PG 334-336</w:t>
      </w:r>
      <w:r w:rsidRPr="00AD2FD2">
        <w:rPr>
          <w:rFonts w:ascii="Calibri" w:hAnsi="Calibri" w:cs="Calibri"/>
          <w:kern w:val="0"/>
        </w:rPr>
        <w:t xml:space="preserve"> doi:10.1111/1468-0424.12423.</w:t>
      </w:r>
      <w:r>
        <w:fldChar w:fldCharType="end"/>
      </w:r>
    </w:p>
  </w:footnote>
  <w:footnote w:id="35">
    <w:p w14:paraId="094F315A" w14:textId="6888D64B" w:rsidR="00AD2FD2" w:rsidRDefault="00AD2FD2" w:rsidP="00255694">
      <w:pPr>
        <w:pStyle w:val="FootnoteText"/>
        <w:jc w:val="center"/>
      </w:pPr>
      <w:r>
        <w:rPr>
          <w:rStyle w:val="FootnoteReference"/>
        </w:rPr>
        <w:footnoteRef/>
      </w:r>
      <w:r>
        <w:t xml:space="preserve"> </w:t>
      </w:r>
      <w:r>
        <w:fldChar w:fldCharType="begin"/>
      </w:r>
      <w:r w:rsidR="007158F7">
        <w:instrText xml:space="preserve"> ADDIN ZOTERO_ITEM CSL_CITATION {"citationID":"fagMsrUs","properties":{"formattedCitation":"Leonard, \\uc0\\u8216{}Galla Placidia as \\uc0\\u8220{}Human Gold\\uc0\\u8221{}\\uc0\\u8217{}.","plainCitation":"Leonard, ‘Galla Placidia as “Human Gold”’.","noteIndex":35},"citationItems":[{"id":165,"uris":["http://zotero.org/users/local/DJ49uqu1/items/PP8FI28P"],"itemData":{"id":165,"type":"article-journal","container-title":"Gender &amp; History","DOI":"10.1111/1468-0424.12423","ISSN":"0953-5233, 1468-0424","issue":"2","journalAbbreviation":"Gender &amp; History","language":"en","page":"334-352","source":"DOI.org (Crossref)","title":"Galla Placidia as ‘Human Gold’: Consent and Autonomy in the Sack of Rome, &lt;span style=\"font-variant:small-caps;\"&gt;CE&lt;/span&gt; 410","title-short":"Galla Placidia as ‘Human Gold’","volume":"31","author":[{"family":"Leonard","given":"Victoria"}],"issued":{"date-parts":[["2019",7]]}}}],"schema":"https://github.com/citation-style-language/schema/raw/master/csl-citation.json"} </w:instrText>
      </w:r>
      <w:r>
        <w:fldChar w:fldCharType="separate"/>
      </w:r>
      <w:r w:rsidRPr="00AD2FD2">
        <w:rPr>
          <w:rFonts w:ascii="Calibri" w:hAnsi="Calibri" w:cs="Calibri"/>
          <w:kern w:val="0"/>
        </w:rPr>
        <w:t>Leonard, ‘Galla Placidia as “Human Gold”’.</w:t>
      </w:r>
      <w:r>
        <w:fldChar w:fldCharType="end"/>
      </w:r>
      <w:r w:rsidR="004D1C82">
        <w:t xml:space="preserve"> PG 334-336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F8"/>
    <w:rsid w:val="00013D3B"/>
    <w:rsid w:val="00017E2E"/>
    <w:rsid w:val="00020D58"/>
    <w:rsid w:val="000243D3"/>
    <w:rsid w:val="00024E36"/>
    <w:rsid w:val="00063BC8"/>
    <w:rsid w:val="0007042A"/>
    <w:rsid w:val="00083FFF"/>
    <w:rsid w:val="000B3EBF"/>
    <w:rsid w:val="001058EA"/>
    <w:rsid w:val="001361EB"/>
    <w:rsid w:val="0019333E"/>
    <w:rsid w:val="001B5AAB"/>
    <w:rsid w:val="001B6AAB"/>
    <w:rsid w:val="001C1544"/>
    <w:rsid w:val="001F2ADF"/>
    <w:rsid w:val="00201762"/>
    <w:rsid w:val="00215723"/>
    <w:rsid w:val="00243F3D"/>
    <w:rsid w:val="00244606"/>
    <w:rsid w:val="0025285D"/>
    <w:rsid w:val="00255694"/>
    <w:rsid w:val="002575BF"/>
    <w:rsid w:val="00273BFB"/>
    <w:rsid w:val="00276D43"/>
    <w:rsid w:val="002B382E"/>
    <w:rsid w:val="002B4152"/>
    <w:rsid w:val="002D0BC0"/>
    <w:rsid w:val="003315FB"/>
    <w:rsid w:val="0038578A"/>
    <w:rsid w:val="003D4363"/>
    <w:rsid w:val="003F113C"/>
    <w:rsid w:val="00407148"/>
    <w:rsid w:val="00412F4D"/>
    <w:rsid w:val="00416066"/>
    <w:rsid w:val="0042229A"/>
    <w:rsid w:val="0043507A"/>
    <w:rsid w:val="00436582"/>
    <w:rsid w:val="004612A0"/>
    <w:rsid w:val="0047669A"/>
    <w:rsid w:val="00487AD3"/>
    <w:rsid w:val="004B3017"/>
    <w:rsid w:val="004D0B1E"/>
    <w:rsid w:val="004D1C82"/>
    <w:rsid w:val="004E0BBE"/>
    <w:rsid w:val="00554323"/>
    <w:rsid w:val="00567EC2"/>
    <w:rsid w:val="005772AF"/>
    <w:rsid w:val="005848FD"/>
    <w:rsid w:val="00596CB5"/>
    <w:rsid w:val="005B7D4C"/>
    <w:rsid w:val="005C3FA3"/>
    <w:rsid w:val="005C7046"/>
    <w:rsid w:val="005E63E6"/>
    <w:rsid w:val="005F49FC"/>
    <w:rsid w:val="0060604D"/>
    <w:rsid w:val="00610BEB"/>
    <w:rsid w:val="00627F78"/>
    <w:rsid w:val="00637C57"/>
    <w:rsid w:val="006425EE"/>
    <w:rsid w:val="00646216"/>
    <w:rsid w:val="00663222"/>
    <w:rsid w:val="00680B47"/>
    <w:rsid w:val="006B2C29"/>
    <w:rsid w:val="006B7EF3"/>
    <w:rsid w:val="006D37BF"/>
    <w:rsid w:val="00710202"/>
    <w:rsid w:val="007158F7"/>
    <w:rsid w:val="007269C2"/>
    <w:rsid w:val="007378C6"/>
    <w:rsid w:val="00783C8F"/>
    <w:rsid w:val="00786FF7"/>
    <w:rsid w:val="007A6F20"/>
    <w:rsid w:val="007C42B7"/>
    <w:rsid w:val="007E122D"/>
    <w:rsid w:val="007E18C7"/>
    <w:rsid w:val="007E6C18"/>
    <w:rsid w:val="007F55C0"/>
    <w:rsid w:val="00810407"/>
    <w:rsid w:val="00841DCA"/>
    <w:rsid w:val="00842E0B"/>
    <w:rsid w:val="00851A5F"/>
    <w:rsid w:val="008A2CA9"/>
    <w:rsid w:val="008B27C4"/>
    <w:rsid w:val="008C0F01"/>
    <w:rsid w:val="0091627F"/>
    <w:rsid w:val="0092628A"/>
    <w:rsid w:val="009273B9"/>
    <w:rsid w:val="00935B4C"/>
    <w:rsid w:val="00953344"/>
    <w:rsid w:val="00963E3E"/>
    <w:rsid w:val="0097300F"/>
    <w:rsid w:val="0098398C"/>
    <w:rsid w:val="009C5C36"/>
    <w:rsid w:val="009C7D3A"/>
    <w:rsid w:val="00A333DE"/>
    <w:rsid w:val="00A339E0"/>
    <w:rsid w:val="00A47175"/>
    <w:rsid w:val="00A615C3"/>
    <w:rsid w:val="00A71088"/>
    <w:rsid w:val="00A77C4A"/>
    <w:rsid w:val="00AB3D2B"/>
    <w:rsid w:val="00AB47AF"/>
    <w:rsid w:val="00AD2FD2"/>
    <w:rsid w:val="00AD485B"/>
    <w:rsid w:val="00AD6513"/>
    <w:rsid w:val="00AE1400"/>
    <w:rsid w:val="00AF7AB6"/>
    <w:rsid w:val="00B0281A"/>
    <w:rsid w:val="00B113D1"/>
    <w:rsid w:val="00B44939"/>
    <w:rsid w:val="00BA67EE"/>
    <w:rsid w:val="00BD4161"/>
    <w:rsid w:val="00BE0A5D"/>
    <w:rsid w:val="00C10FD2"/>
    <w:rsid w:val="00C25053"/>
    <w:rsid w:val="00C25E5A"/>
    <w:rsid w:val="00C61475"/>
    <w:rsid w:val="00C7053B"/>
    <w:rsid w:val="00C72DD5"/>
    <w:rsid w:val="00C81AC1"/>
    <w:rsid w:val="00CA2CF2"/>
    <w:rsid w:val="00CC3BF0"/>
    <w:rsid w:val="00CC6C65"/>
    <w:rsid w:val="00CF2175"/>
    <w:rsid w:val="00D34DCF"/>
    <w:rsid w:val="00D4011B"/>
    <w:rsid w:val="00D52CDD"/>
    <w:rsid w:val="00D61B6E"/>
    <w:rsid w:val="00D6787F"/>
    <w:rsid w:val="00D77D98"/>
    <w:rsid w:val="00DE4F1C"/>
    <w:rsid w:val="00DF3994"/>
    <w:rsid w:val="00E004B2"/>
    <w:rsid w:val="00E07132"/>
    <w:rsid w:val="00E2650A"/>
    <w:rsid w:val="00E33AC6"/>
    <w:rsid w:val="00E4658E"/>
    <w:rsid w:val="00E6362D"/>
    <w:rsid w:val="00E65120"/>
    <w:rsid w:val="00E7037A"/>
    <w:rsid w:val="00E87A65"/>
    <w:rsid w:val="00EA38F8"/>
    <w:rsid w:val="00ED2839"/>
    <w:rsid w:val="00EF59A2"/>
    <w:rsid w:val="00F25916"/>
    <w:rsid w:val="00F353CB"/>
    <w:rsid w:val="00F40140"/>
    <w:rsid w:val="00F475FD"/>
    <w:rsid w:val="00F7277B"/>
    <w:rsid w:val="00F87CE9"/>
    <w:rsid w:val="00F97AFB"/>
    <w:rsid w:val="00FA1F9E"/>
    <w:rsid w:val="00FD6534"/>
    <w:rsid w:val="00FE6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05469"/>
  <w15:chartTrackingRefBased/>
  <w15:docId w15:val="{98C93EE5-0E8C-4149-AC14-1400D8082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8F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38F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38F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38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38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38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8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8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8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8F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A38F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38F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38F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38F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38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8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8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8F8"/>
    <w:rPr>
      <w:rFonts w:eastAsiaTheme="majorEastAsia" w:cstheme="majorBidi"/>
      <w:color w:val="272727" w:themeColor="text1" w:themeTint="D8"/>
    </w:rPr>
  </w:style>
  <w:style w:type="paragraph" w:styleId="Title">
    <w:name w:val="Title"/>
    <w:basedOn w:val="Normal"/>
    <w:next w:val="Normal"/>
    <w:link w:val="TitleChar"/>
    <w:uiPriority w:val="10"/>
    <w:qFormat/>
    <w:rsid w:val="00EA38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8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8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8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8F8"/>
    <w:pPr>
      <w:spacing w:before="160"/>
      <w:jc w:val="center"/>
    </w:pPr>
    <w:rPr>
      <w:i/>
      <w:iCs/>
      <w:color w:val="404040" w:themeColor="text1" w:themeTint="BF"/>
    </w:rPr>
  </w:style>
  <w:style w:type="character" w:customStyle="1" w:styleId="QuoteChar">
    <w:name w:val="Quote Char"/>
    <w:basedOn w:val="DefaultParagraphFont"/>
    <w:link w:val="Quote"/>
    <w:uiPriority w:val="29"/>
    <w:rsid w:val="00EA38F8"/>
    <w:rPr>
      <w:i/>
      <w:iCs/>
      <w:color w:val="404040" w:themeColor="text1" w:themeTint="BF"/>
    </w:rPr>
  </w:style>
  <w:style w:type="paragraph" w:styleId="ListParagraph">
    <w:name w:val="List Paragraph"/>
    <w:basedOn w:val="Normal"/>
    <w:uiPriority w:val="34"/>
    <w:qFormat/>
    <w:rsid w:val="00EA38F8"/>
    <w:pPr>
      <w:ind w:left="720"/>
      <w:contextualSpacing/>
    </w:pPr>
  </w:style>
  <w:style w:type="character" w:styleId="IntenseEmphasis">
    <w:name w:val="Intense Emphasis"/>
    <w:basedOn w:val="DefaultParagraphFont"/>
    <w:uiPriority w:val="21"/>
    <w:qFormat/>
    <w:rsid w:val="00EA38F8"/>
    <w:rPr>
      <w:i/>
      <w:iCs/>
      <w:color w:val="2F5496" w:themeColor="accent1" w:themeShade="BF"/>
    </w:rPr>
  </w:style>
  <w:style w:type="paragraph" w:styleId="IntenseQuote">
    <w:name w:val="Intense Quote"/>
    <w:basedOn w:val="Normal"/>
    <w:next w:val="Normal"/>
    <w:link w:val="IntenseQuoteChar"/>
    <w:uiPriority w:val="30"/>
    <w:qFormat/>
    <w:rsid w:val="00EA38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38F8"/>
    <w:rPr>
      <w:i/>
      <w:iCs/>
      <w:color w:val="2F5496" w:themeColor="accent1" w:themeShade="BF"/>
    </w:rPr>
  </w:style>
  <w:style w:type="character" w:styleId="IntenseReference">
    <w:name w:val="Intense Reference"/>
    <w:basedOn w:val="DefaultParagraphFont"/>
    <w:uiPriority w:val="32"/>
    <w:qFormat/>
    <w:rsid w:val="00EA38F8"/>
    <w:rPr>
      <w:b/>
      <w:bCs/>
      <w:smallCaps/>
      <w:color w:val="2F5496" w:themeColor="accent1" w:themeShade="BF"/>
      <w:spacing w:val="5"/>
    </w:rPr>
  </w:style>
  <w:style w:type="paragraph" w:styleId="FootnoteText">
    <w:name w:val="footnote text"/>
    <w:basedOn w:val="Normal"/>
    <w:link w:val="FootnoteTextChar"/>
    <w:uiPriority w:val="99"/>
    <w:semiHidden/>
    <w:unhideWhenUsed/>
    <w:rsid w:val="00AD2F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2FD2"/>
    <w:rPr>
      <w:sz w:val="20"/>
      <w:szCs w:val="20"/>
    </w:rPr>
  </w:style>
  <w:style w:type="character" w:styleId="FootnoteReference">
    <w:name w:val="footnote reference"/>
    <w:basedOn w:val="DefaultParagraphFont"/>
    <w:uiPriority w:val="99"/>
    <w:semiHidden/>
    <w:unhideWhenUsed/>
    <w:rsid w:val="00AD2FD2"/>
    <w:rPr>
      <w:vertAlign w:val="superscript"/>
    </w:rPr>
  </w:style>
  <w:style w:type="paragraph" w:styleId="Bibliography">
    <w:name w:val="Bibliography"/>
    <w:basedOn w:val="Normal"/>
    <w:next w:val="Normal"/>
    <w:uiPriority w:val="37"/>
    <w:unhideWhenUsed/>
    <w:rsid w:val="00255694"/>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5983</TotalTime>
  <Pages>7</Pages>
  <Words>3159</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26</cp:revision>
  <dcterms:created xsi:type="dcterms:W3CDTF">2025-05-05T13:11:00Z</dcterms:created>
  <dcterms:modified xsi:type="dcterms:W3CDTF">2025-05-19T21:48:00Z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id="F4X8fJ46"/&gt;&lt;style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