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CFC583D" wp14:paraId="4B2C937C" wp14:textId="2829D45B">
      <w:pPr>
        <w:spacing w:before="0" w:beforeAutospacing="off" w:after="160" w:afterAutospacing="off" w:line="252" w:lineRule="auto"/>
        <w:jc w:val="center"/>
      </w:pPr>
      <w:r w:rsidRPr="5CFC583D" w:rsidR="615B5BAB">
        <w:rPr>
          <w:rFonts w:ascii="Calibri Light" w:hAnsi="Calibri Light" w:eastAsia="Calibri Light" w:cs="Calibri Light"/>
          <w:b w:val="1"/>
          <w:bCs w:val="1"/>
          <w:noProof w:val="0"/>
          <w:sz w:val="24"/>
          <w:szCs w:val="24"/>
          <w:u w:val="single"/>
          <w:lang w:val="en-US"/>
        </w:rPr>
        <w:t xml:space="preserve">An exploration into how play affects physical development of children in the early years. </w:t>
      </w:r>
    </w:p>
    <w:p xmlns:wp14="http://schemas.microsoft.com/office/word/2010/wordml" w:rsidP="5CFC583D" wp14:paraId="4ECED016" wp14:textId="136826C7">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The aim of this study is to provide an in-depth analysis of the impacts of play on physical development in the early years ages. </w:t>
      </w:r>
      <w:r>
        <w:br/>
      </w:r>
      <w:r w:rsidRPr="5CFC583D" w:rsidR="615B5BAB">
        <w:rPr>
          <w:rFonts w:ascii="Calibri Light" w:hAnsi="Calibri Light" w:eastAsia="Calibri Light" w:cs="Calibri Light"/>
          <w:noProof w:val="0"/>
          <w:color w:val="000000" w:themeColor="text1" w:themeTint="FF" w:themeShade="FF"/>
          <w:sz w:val="24"/>
          <w:szCs w:val="24"/>
          <w:lang w:val="en-US"/>
        </w:rPr>
        <w:t xml:space="preserve">Grey (2022) explains play as activities chosen freely by children, and a key factor in assisting them in acquiring skills to become proactive, control their own behaviour, engage with peers, and solve their own problems. Play is the way children discover, pursue, and thrive in their interests because it originates internally. Play is how children acquire the skills necessary to strategise, arrange, and establish boundaries for participating in activities, being shaped by cognitive principles. Engaging in play allows children to cultivate and boost creativity and imagination as it is consistently innovative and often very imaginative. </w:t>
      </w:r>
      <w:r>
        <w:br/>
      </w:r>
      <w:r w:rsidRPr="5CFC583D" w:rsidR="615B5BAB">
        <w:rPr>
          <w:rFonts w:ascii="Calibri Light" w:hAnsi="Calibri Light" w:eastAsia="Calibri Light" w:cs="Calibri Light"/>
          <w:noProof w:val="0"/>
          <w:sz w:val="24"/>
          <w:szCs w:val="24"/>
          <w:lang w:val="en-US"/>
        </w:rPr>
        <w:t>A significant portion of the play research conducted in developmental psychology has its roots in Vygotsky's theoretical works (1978). He contended that children take control over their own activities during play, set appropriate tasks for themselves, and therefore construct their own "zone of proximal development," within where learning is most substantially boosted. Play is spontaneous and child initiated. Karpov (2005) examined the work of neo-Vygotskians that supports the idea that play is an important part of children's development of independence since it requires them to control how they behave.</w:t>
      </w:r>
      <w:r>
        <w:br/>
      </w:r>
      <w:r w:rsidRPr="5CFC583D" w:rsidR="615B5BAB">
        <w:rPr>
          <w:rFonts w:ascii="Calibri Light" w:hAnsi="Calibri Light" w:eastAsia="Calibri Light" w:cs="Calibri Light"/>
          <w:noProof w:val="0"/>
          <w:sz w:val="24"/>
          <w:szCs w:val="24"/>
          <w:lang w:val="en-US"/>
        </w:rPr>
        <w:t xml:space="preserve"> The department of education (2011) states that providing</w:t>
      </w:r>
      <w:r w:rsidRPr="5CFC583D" w:rsidR="615B5BAB">
        <w:rPr>
          <w:rFonts w:ascii="Calibri Light" w:hAnsi="Calibri Light" w:eastAsia="Calibri Light" w:cs="Calibri Light"/>
          <w:noProof w:val="0"/>
          <w:color w:val="000000" w:themeColor="text1" w:themeTint="FF" w:themeShade="FF"/>
          <w:sz w:val="24"/>
          <w:szCs w:val="24"/>
          <w:lang w:val="en-US"/>
        </w:rPr>
        <w:t xml:space="preserve"> all children, including those with a disability and those living in marginalised, vulnerable or disadvantaged situations, with safe, accessible, inclusive spaces for play and socialisation has many benefits in terms of physical and mental health, education, skills development and the increasing of social confidence.</w:t>
      </w:r>
      <w:r>
        <w:br/>
      </w:r>
      <w:r w:rsidRPr="5CFC583D" w:rsidR="615B5BAB">
        <w:rPr>
          <w:rFonts w:ascii="Calibri Light" w:hAnsi="Calibri Light" w:eastAsia="Calibri Light" w:cs="Calibri Light"/>
          <w:noProof w:val="0"/>
          <w:sz w:val="24"/>
          <w:szCs w:val="24"/>
          <w:lang w:val="en-US"/>
        </w:rPr>
        <w:t xml:space="preserve"> Physical development includes the growth and maturation of the brain and body, encompassing the improvement of muscle control and coordination. This skill is utilized in various aspects of everyday activities and involves children's capacity to perform a variety of tasks, such as communicating, socializing and comprehending their surroundings. The child's ability to gain skills, determines their progress towards control. A child who has delayed motor development might improve, especially with the right intervention, but it is important for young children to have consistent chances and support to enhance their physical abilities by staying active.</w:t>
      </w:r>
      <w:r>
        <w:br/>
      </w:r>
      <w:r w:rsidRPr="5CFC583D" w:rsidR="615B5BAB">
        <w:rPr>
          <w:rFonts w:ascii="Calibri Light" w:hAnsi="Calibri Light" w:eastAsia="Calibri Light" w:cs="Calibri Light"/>
          <w:noProof w:val="0"/>
          <w:sz w:val="24"/>
          <w:szCs w:val="24"/>
          <w:lang w:val="en-US"/>
        </w:rPr>
        <w:t xml:space="preserve"> Outdoor play provides a sensory-rich space for children to explore and learn through hands-on experiences with various natural materials like sand, water, and leaves.</w:t>
      </w:r>
      <w:r w:rsidRPr="5CFC583D" w:rsidR="615B5BAB">
        <w:rPr>
          <w:rFonts w:ascii="Calibri Light" w:hAnsi="Calibri Light" w:eastAsia="Calibri Light" w:cs="Calibri Light"/>
          <w:noProof w:val="0"/>
          <w:color w:val="000000" w:themeColor="text1" w:themeTint="FF" w:themeShade="FF"/>
          <w:sz w:val="24"/>
          <w:szCs w:val="24"/>
          <w:lang w:val="en-US"/>
        </w:rPr>
        <w:t xml:space="preserve"> </w:t>
      </w:r>
      <w:r w:rsidRPr="5CFC583D" w:rsidR="615B5BAB">
        <w:rPr>
          <w:rFonts w:ascii="Calibri Light" w:hAnsi="Calibri Light" w:eastAsia="Calibri Light" w:cs="Calibri Light"/>
          <w:noProof w:val="0"/>
          <w:sz w:val="24"/>
          <w:szCs w:val="24"/>
          <w:lang w:val="en-US"/>
        </w:rPr>
        <w:t xml:space="preserve">The open and ever changing outdoors offers freedom, wild movements, and interaction with nature. Children who play outdoors receive exposure to sunlight, natural elements, and fresh air, promoting the development of bones, a stronger immune system, and increased physical activity (Bilton,2009). </w:t>
      </w:r>
    </w:p>
    <w:p xmlns:wp14="http://schemas.microsoft.com/office/word/2010/wordml" w:rsidP="5CFC583D" wp14:paraId="6A77284D" wp14:textId="3A3E73C4">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An increasing sense of worry regarding risks is impacting how parents and professionals view outdoor play, causing children to be limited to indoor activities supervised by adults. However, Stephenson (2003) argues that it is crucial to broaden our perspective on risk, looking beyond accidents to recognize the benefits of overcoming challenges and mastering new skills.</w:t>
      </w:r>
      <w:r w:rsidRPr="5CFC583D" w:rsidR="615B5BAB">
        <w:rPr>
          <w:rFonts w:ascii="Calibri Light" w:hAnsi="Calibri Light" w:eastAsia="Calibri Light" w:cs="Calibri Light"/>
          <w:noProof w:val="0"/>
          <w:color w:val="000000" w:themeColor="text1" w:themeTint="FF" w:themeShade="FF"/>
          <w:sz w:val="24"/>
          <w:szCs w:val="24"/>
          <w:lang w:val="en-US"/>
        </w:rPr>
        <w:t xml:space="preserve"> </w:t>
      </w:r>
      <w:r w:rsidRPr="5CFC583D" w:rsidR="615B5BAB">
        <w:rPr>
          <w:rFonts w:ascii="Calibri Light" w:hAnsi="Calibri Light" w:eastAsia="Calibri Light" w:cs="Calibri Light"/>
          <w:noProof w:val="0"/>
          <w:sz w:val="24"/>
          <w:szCs w:val="24"/>
          <w:lang w:val="en-US"/>
        </w:rPr>
        <w:t xml:space="preserve">During outdoor play, children should be provided with chances to experience both failure and success, gaining knowledge through trial and error. If practitioners and parents attempt to eliminate every dangerous situation, children won't learn how to navigate unpredictable circumstances and will be lacking the self-assurance needed to face challenges independently, (Veitch et al., 2006). </w:t>
      </w:r>
    </w:p>
    <w:p xmlns:wp14="http://schemas.microsoft.com/office/word/2010/wordml" w:rsidP="5CFC583D" wp14:paraId="6768BAEA" wp14:textId="0FF2256C">
      <w:pPr>
        <w:spacing w:before="0" w:beforeAutospacing="off" w:after="160" w:afterAutospacing="off" w:line="252" w:lineRule="auto"/>
        <w:rPr>
          <w:rFonts w:ascii="Calibri Light" w:hAnsi="Calibri Light" w:eastAsia="Calibri Light" w:cs="Calibri Light"/>
          <w:noProof w:val="0"/>
          <w:sz w:val="24"/>
          <w:szCs w:val="24"/>
          <w:lang w:val="en-US"/>
        </w:rPr>
      </w:pPr>
      <w:r w:rsidRPr="5CFC583D" w:rsidR="615B5BAB">
        <w:rPr>
          <w:rFonts w:ascii="Calibri Light" w:hAnsi="Calibri Light" w:eastAsia="Calibri Light" w:cs="Calibri Light"/>
          <w:noProof w:val="0"/>
          <w:sz w:val="24"/>
          <w:szCs w:val="24"/>
          <w:lang w:val="en-US"/>
        </w:rPr>
        <w:t xml:space="preserve">Practitioners and supporting adults can encourage development by providing enabling environments and opportunities for outdoor play. The curriculum for Wales supports play benefitting physical development in children. The curriculum suggests that alongside academic benefits, outdoor play supports physical health and well-being by encouraging the use of gross and fine motor skills, balance and strength leading to overall holistic development whilst promoting healthy active lifestyle which reduces risks of obesity and sedentary lifestyles (Welsh government 2021). </w:t>
      </w:r>
      <w:r>
        <w:br/>
      </w:r>
      <w:r>
        <w:br/>
      </w:r>
    </w:p>
    <w:p xmlns:wp14="http://schemas.microsoft.com/office/word/2010/wordml" w:rsidP="5CFC583D" wp14:paraId="2D0A9985" wp14:textId="52B1E26C">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06E67E21" wp14:textId="516024CC">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22527418" wp14:textId="3BC615B9">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76FF5DA1" wp14:textId="16225809">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43EE3F5C" wp14:textId="4220C1A2">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7DC152E7" wp14:textId="43A62EA1">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7C37893C" wp14:textId="27F8B0EE">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6DEBADA8" wp14:textId="13618053">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10D1EFD0" wp14:textId="4B4B78DE">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60060380" wp14:textId="16437ABE">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71B2A082" wp14:textId="199F0FEF">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10E00712" wp14:textId="7C0D0041">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74E5C04A" wp14:textId="5448DC01">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7743A118" wp14:textId="0E59D513">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4D688A10" wp14:textId="70EEF63A">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249BD581" wp14:textId="5C357777">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44288449" wp14:textId="17D80DA9">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0AB6D645" wp14:textId="6EE6449E">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0C96C3AD" wp14:textId="1897BECA">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2499DB75" wp14:textId="54F2AB70">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6CFB54CE" wp14:textId="7945995F">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1B171406" wp14:textId="2B6936CB">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5DD2BA90" wp14:textId="6F83F95F">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3D32D82D" wp14:textId="55EFAE15">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624E770D" wp14:textId="3AF15085">
      <w:pPr>
        <w:spacing w:before="0" w:beforeAutospacing="off" w:after="160" w:afterAutospacing="off" w:line="252" w:lineRule="auto"/>
        <w:jc w:val="center"/>
      </w:pPr>
      <w:r w:rsidRPr="5CFC583D" w:rsidR="615B5BAB">
        <w:rPr>
          <w:rFonts w:ascii="Calibri Light" w:hAnsi="Calibri Light" w:eastAsia="Calibri Light" w:cs="Calibri Light"/>
          <w:b w:val="1"/>
          <w:bCs w:val="1"/>
          <w:noProof w:val="0"/>
          <w:sz w:val="24"/>
          <w:szCs w:val="24"/>
          <w:lang w:val="en-US"/>
        </w:rPr>
        <w:t>Methodological considerations.</w:t>
      </w:r>
    </w:p>
    <w:p xmlns:wp14="http://schemas.microsoft.com/office/word/2010/wordml" w:rsidP="5CFC583D" wp14:paraId="1AA77850" wp14:textId="7FEA23AC">
      <w:pPr>
        <w:spacing w:before="0" w:beforeAutospacing="off" w:after="160" w:afterAutospacing="off" w:line="252" w:lineRule="auto"/>
      </w:pPr>
      <w:r w:rsidRPr="5CFC583D" w:rsidR="615B5BAB">
        <w:rPr>
          <w:rFonts w:ascii="Calibri Light" w:hAnsi="Calibri Light" w:eastAsia="Calibri Light" w:cs="Calibri Light"/>
          <w:b w:val="1"/>
          <w:bCs w:val="1"/>
          <w:noProof w:val="0"/>
          <w:sz w:val="24"/>
          <w:szCs w:val="24"/>
          <w:u w:val="single"/>
          <w:lang w:val="en-US"/>
        </w:rPr>
        <w:t>Research</w:t>
      </w:r>
    </w:p>
    <w:p xmlns:wp14="http://schemas.microsoft.com/office/word/2010/wordml" w:rsidP="5CFC583D" wp14:paraId="6ECB8549" wp14:textId="6380D274">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"Research is, a method for investigating and collecting information designed to discover or revise facts, theories, and applications, or to discover new facts or interpretation of existing information."(kasi, 2009).  Nolan A (2013) suggests that research provides a chance to investigate practice, find information, satiate curiosity, and validate or refute a theory or idea. Because the world is changing constantly, we need high-quality research more and more to advance new understanding. This gives us a solid foundation of knowledge to react to change. </w:t>
      </w:r>
    </w:p>
    <w:p xmlns:wp14="http://schemas.microsoft.com/office/word/2010/wordml" w:rsidP="5CFC583D" wp14:paraId="57D2594E" wp14:textId="44FDF920">
      <w:pPr>
        <w:spacing w:before="0" w:beforeAutospacing="off" w:after="160" w:afterAutospacing="off" w:line="252" w:lineRule="auto"/>
      </w:pPr>
      <w:r w:rsidRPr="5CFC583D" w:rsidR="615B5BAB">
        <w:rPr>
          <w:rFonts w:ascii="Calibri Light" w:hAnsi="Calibri Light" w:eastAsia="Calibri Light" w:cs="Calibri Light"/>
          <w:b w:val="1"/>
          <w:bCs w:val="1"/>
          <w:noProof w:val="0"/>
          <w:sz w:val="24"/>
          <w:szCs w:val="24"/>
          <w:u w:val="single"/>
          <w:lang w:val="en-US"/>
        </w:rPr>
        <w:t>Research paradigms.</w:t>
      </w:r>
    </w:p>
    <w:p xmlns:wp14="http://schemas.microsoft.com/office/word/2010/wordml" w:rsidP="5CFC583D" wp14:paraId="328DDF12" wp14:textId="64180797">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A research paradigm is a framework that shapes the research process by encompassing the ideas, beliefs, and biases of a study. It influences how research is conducted, guiding the study's goals, research questions, methods, and analysis techniques. Essentially, it provides the foundational context for developing a research plan within a specific discipline as suggested by Ulz (2003). Nicolas (2024) states then when research paradigms are effectively used, researchers can easily study the topics they are interested in. They make sure that the work is of high quality and done well. </w:t>
      </w:r>
    </w:p>
    <w:p xmlns:wp14="http://schemas.microsoft.com/office/word/2010/wordml" w:rsidP="5CFC583D" wp14:paraId="1122788D" wp14:textId="169F7107">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Research paradigms can be split into two clear sections, qualitative and quantitative both of which are considered as paradigms of methodology. Qualitative data is descriptive and conceptual, capturing human experiences and social phenomena in detail. The focus is on understanding the meaning and features of phenomena rather than measuring them. Qualitative data as described by Hassan (2024) as data that is gathered and studied in a non-numeric way, often observed through words, images, or observations. It is commonly used to gain a deeper understanding of complicated things like human behaviour, attitudes, and beliefs or of a specific research topic. This approach is either constructive or interpretive, with the goal of revealing the "what," "why," "when," "where," "who," and "how" according to Lim (2023). Qualitative research explores how people see their social world and their experiences. It uses methods like open-ended questions, in-depth interviews, focus groups, and observing participants to understand different perspectives thoroughly. The flexibility and adaptability of qualitative research are very important. It is dedicated to capturing a broad range of experiences and perspectives (Guba E, 1981).</w:t>
      </w:r>
    </w:p>
    <w:p xmlns:wp14="http://schemas.microsoft.com/office/word/2010/wordml" w:rsidP="5CFC583D" wp14:paraId="3F22B58C" wp14:textId="05D9CA7C">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Quantitative data is Information that is measurable and subject to statistical analysis since it is limited to numerical values. It contains factual, observable data expressed in predetermined units. By using these numerical representations, it is possible to quantitatively analyse quantitative data and find patterns and relationships. This sets it apart from qualitative data, which is non-numerical, descriptive data that reveals information about human feelings, experiences, and perceptions. Together, quantitative and qualitative data may paint a more complete, multifaceted picture, which is why both are essential components of a successful organisational data strategy (Hiter, 2021). However, in contrast, Walliman (2021) states that quantitative data collection does have limitations as it doesn’t allow for a deeper understanding or reasoning for induvial responses. </w:t>
      </w:r>
    </w:p>
    <w:p xmlns:wp14="http://schemas.microsoft.com/office/word/2010/wordml" w:rsidP="5CFC583D" wp14:paraId="77826730" wp14:textId="53BB95B6">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Mixed methods are an approach in research which includes analysing both qualitative and quantitative data as stated by Hong et al., (2018). Creswell et al., (2013) supports using mixed methods of research complementing each other. They suggest that mixed methods design is suitable for answering research questions that cannot be answered solely by quantitative or qualitative methods. Mixed methods can be used to better understand connections or contradictions between qualitative and quantitative data. Participants can have a strong voice and share their experiences through the research process. Mixed methods allow for different ways of exploring information, which can enhance evidence and answer questions more thoroughly. </w:t>
      </w:r>
    </w:p>
    <w:p xmlns:wp14="http://schemas.microsoft.com/office/word/2010/wordml" w:rsidP="5CFC583D" wp14:paraId="3063B958" wp14:textId="19071CA7">
      <w:pPr>
        <w:spacing w:before="0" w:beforeAutospacing="off" w:after="160" w:afterAutospacing="off" w:line="252" w:lineRule="auto"/>
      </w:pPr>
      <w:r w:rsidRPr="5CFC583D" w:rsidR="615B5BAB">
        <w:rPr>
          <w:rFonts w:ascii="Calibri Light" w:hAnsi="Calibri Light" w:eastAsia="Calibri Light" w:cs="Calibri Light"/>
          <w:b w:val="1"/>
          <w:bCs w:val="1"/>
          <w:noProof w:val="0"/>
          <w:sz w:val="24"/>
          <w:szCs w:val="24"/>
          <w:u w:val="single"/>
          <w:lang w:val="en-US"/>
        </w:rPr>
        <w:t>Proposed methodology</w:t>
      </w:r>
    </w:p>
    <w:p xmlns:wp14="http://schemas.microsoft.com/office/word/2010/wordml" w:rsidP="5CFC583D" wp14:paraId="40890E17" wp14:textId="420C0E8D">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When designing this research project, this researcher has opted for a mixed method approach, both forms of paradigms have been chosen as they will provide the researcher with in-depth and statistical insights to the research question. </w:t>
      </w:r>
    </w:p>
    <w:p xmlns:wp14="http://schemas.microsoft.com/office/word/2010/wordml" w:rsidP="5CFC583D" wp14:paraId="55AA16CC" wp14:textId="3D3AF849">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Children will be provided with a range of outdoor activities and actively encouraged by practitioners to participate and play with the provided research, researcher has chosen to observe children whilst they play to see if over time they develop physically. For example, climbing frames may be used only by those who feel confident and strong enough, the purpose of observation is to see if those who aren’t using in the beginning become stronger and more confident to start to choose activities that they wouldn’t have in the beginning of the research. </w:t>
      </w:r>
    </w:p>
    <w:p xmlns:wp14="http://schemas.microsoft.com/office/word/2010/wordml" w:rsidP="5CFC583D" wp14:paraId="3C38D295" wp14:textId="1EAA02E2">
      <w:pPr>
        <w:spacing w:before="0" w:beforeAutospacing="off" w:after="160" w:afterAutospacing="off" w:line="252" w:lineRule="auto"/>
      </w:pPr>
      <w:r w:rsidRPr="5CFC583D" w:rsidR="615B5BAB">
        <w:rPr>
          <w:rFonts w:ascii="Calibri Light" w:hAnsi="Calibri Light" w:eastAsia="Calibri Light" w:cs="Calibri Light"/>
          <w:b w:val="1"/>
          <w:bCs w:val="1"/>
          <w:noProof w:val="0"/>
          <w:sz w:val="24"/>
          <w:szCs w:val="24"/>
          <w:u w:val="single"/>
          <w:lang w:val="en-US"/>
        </w:rPr>
        <w:t xml:space="preserve">Methodology and sample. </w:t>
      </w:r>
    </w:p>
    <w:p xmlns:wp14="http://schemas.microsoft.com/office/word/2010/wordml" w:rsidP="5CFC583D" wp14:paraId="528A5542" wp14:textId="606214EE">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For this research project the researcher has decided to use observational studies. Researcher will observe 2 groups of 6 children over a 6-week period. </w:t>
      </w:r>
    </w:p>
    <w:p xmlns:wp14="http://schemas.microsoft.com/office/word/2010/wordml" w:rsidP="5CFC583D" wp14:paraId="2311BA54" wp14:textId="0FCDDD22">
      <w:pPr>
        <w:pStyle w:val="ListParagraph"/>
        <w:numPr>
          <w:ilvl w:val="0"/>
          <w:numId w:val="1"/>
        </w:numPr>
        <w:spacing w:before="0" w:beforeAutospacing="off" w:after="0" w:afterAutospacing="off" w:line="252" w:lineRule="auto"/>
        <w:ind w:left="720" w:right="0" w:hanging="360"/>
        <w:rPr>
          <w:rFonts w:ascii="Calibri Light" w:hAnsi="Calibri Light" w:eastAsia="Calibri Light" w:cs="Calibri Light"/>
          <w:noProof w:val="0"/>
          <w:sz w:val="24"/>
          <w:szCs w:val="24"/>
          <w:lang w:val="en-US"/>
        </w:rPr>
      </w:pPr>
      <w:r w:rsidRPr="5CFC583D" w:rsidR="615B5BAB">
        <w:rPr>
          <w:rFonts w:ascii="Calibri Light" w:hAnsi="Calibri Light" w:eastAsia="Calibri Light" w:cs="Calibri Light"/>
          <w:noProof w:val="0"/>
          <w:sz w:val="24"/>
          <w:szCs w:val="24"/>
          <w:lang w:val="en-US"/>
        </w:rPr>
        <w:t xml:space="preserve">Group 1 will be observed through their regular play times in school. </w:t>
      </w:r>
    </w:p>
    <w:p xmlns:wp14="http://schemas.microsoft.com/office/word/2010/wordml" w:rsidP="5CFC583D" wp14:paraId="142E8816" wp14:textId="5396120B">
      <w:pPr>
        <w:pStyle w:val="ListParagraph"/>
        <w:numPr>
          <w:ilvl w:val="0"/>
          <w:numId w:val="1"/>
        </w:numPr>
        <w:spacing w:before="0" w:beforeAutospacing="off" w:after="0" w:afterAutospacing="off" w:line="252" w:lineRule="auto"/>
        <w:ind w:left="720" w:right="0" w:hanging="360"/>
        <w:rPr>
          <w:rFonts w:ascii="Calibri Light" w:hAnsi="Calibri Light" w:eastAsia="Calibri Light" w:cs="Calibri Light"/>
          <w:noProof w:val="0"/>
          <w:sz w:val="24"/>
          <w:szCs w:val="24"/>
          <w:lang w:val="en-US"/>
        </w:rPr>
      </w:pPr>
      <w:r w:rsidRPr="5CFC583D" w:rsidR="615B5BAB">
        <w:rPr>
          <w:rFonts w:ascii="Calibri Light" w:hAnsi="Calibri Light" w:eastAsia="Calibri Light" w:cs="Calibri Light"/>
          <w:noProof w:val="0"/>
          <w:sz w:val="24"/>
          <w:szCs w:val="24"/>
          <w:lang w:val="en-US"/>
        </w:rPr>
        <w:t xml:space="preserve">Group 2 will be encouraged to participate in extra play times and provided with extra outdoor play resources such as climbing frames, skipping ropes and trampolines. </w:t>
      </w:r>
    </w:p>
    <w:p xmlns:wp14="http://schemas.microsoft.com/office/word/2010/wordml" w:rsidP="5CFC583D" wp14:paraId="6F2471E0" wp14:textId="75DA8C0E">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The purpose of this observation is to see if those who have been provided with more opportunities for outdoor play will physically develop more than those provided with less opportunities. </w:t>
      </w:r>
    </w:p>
    <w:p xmlns:wp14="http://schemas.microsoft.com/office/word/2010/wordml" w:rsidP="5CFC583D" wp14:paraId="4DE0B278" wp14:textId="51D2EB5E">
      <w:pPr>
        <w:spacing w:before="0" w:beforeAutospacing="off" w:after="160" w:afterAutospacing="off" w:line="252" w:lineRule="auto"/>
      </w:pPr>
      <w:r w:rsidRPr="5CFC583D" w:rsidR="615B5BAB">
        <w:rPr>
          <w:rFonts w:ascii="Calibri Light" w:hAnsi="Calibri Light" w:eastAsia="Calibri Light" w:cs="Calibri Light"/>
          <w:b w:val="1"/>
          <w:bCs w:val="1"/>
          <w:noProof w:val="0"/>
          <w:sz w:val="24"/>
          <w:szCs w:val="24"/>
          <w:u w:val="single"/>
          <w:lang w:val="en-US"/>
        </w:rPr>
        <w:t xml:space="preserve">Observations </w:t>
      </w:r>
    </w:p>
    <w:p xmlns:wp14="http://schemas.microsoft.com/office/word/2010/wordml" w:rsidP="5CFC583D" wp14:paraId="6E7514B2" wp14:textId="4EC6BB2C">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To design, carry out, and measure the success of the experiences they offer children, educators and programs must observe, record, and evaluate each child's learning and development. Both official and informal metrics are used in assessment to track how well pupils are doing in relation to the program's objectives. (NAEYC, 2022) suggests that when teachers are aware of each student's progress toward learning objectives, they can intentionally assist students to be successful and progress to further skills and levels.</w:t>
      </w:r>
    </w:p>
    <w:p xmlns:wp14="http://schemas.microsoft.com/office/word/2010/wordml" w:rsidP="5CFC583D" wp14:paraId="06BD35DD" wp14:textId="24EFD098">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(Sagepub.com, 2024) explains that there are multiple types of observation methods, these include time trackers and running records. For the purposes of this study, I will observe the children using written notes in a notebook to observe what skills they primarily use without encouragement, throughout the study then the children will be encouraged to use resources such as measuring tapes and gardening tools to encourage the development of their fine motor skills. For the gross motor skill development, the children will be encouraged to use trampolines and climbing frames. Video recordings also will be taken both at the start and the end of the study to identify whether physical development has improved or not. </w:t>
      </w:r>
    </w:p>
    <w:p xmlns:wp14="http://schemas.microsoft.com/office/word/2010/wordml" w:rsidP="5CFC583D" wp14:paraId="6A0B36C4" wp14:textId="78638470">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The Welsh government (2009) advises that whilst observing children outdoors many children act differently outdoors to how they do indoors, to maintain a true representation of the individuals I will observe their play both indoors and outdoors and identify how their skills develop. Being given the opportunity to more outdoor play to physically develop will also be present in their indoor play as they are able to master new skills, for example, holding a pencil or better co-ordination within indoor activities.  </w:t>
      </w:r>
    </w:p>
    <w:p xmlns:wp14="http://schemas.microsoft.com/office/word/2010/wordml" w:rsidP="5CFC583D" wp14:paraId="147A92D6" wp14:textId="69338034">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Although participant observation is the best way to gain authentic qualitative data, Oswald et al., (2014) pointed out that the ‘Hawthorne effect’ is the main issue that can arise from observations. This effect Is when people alter the way they behave to a manner they think is expected of them as they aware they are being observed or investigated rather than how they would naturally behave. The authenticity of the conclusions or the validity of data collected then becomes problematic.</w:t>
      </w:r>
    </w:p>
    <w:p xmlns:wp14="http://schemas.microsoft.com/office/word/2010/wordml" w:rsidP="5CFC583D" wp14:paraId="15CAD52F" wp14:textId="1CCC3880">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Bryman (2003) highlights that to overcome the Hawthorne effect the use of triangulation can be attempted. Triangulation is explained by Noble and Heale (2019) as a method of integrating theories, techniques, or observers in a research study to assist guarantee that basic biases resulting from the use of a single method, or a single observer are overcome. This technique helps to strengthen the validity and reliability of research findings. It is a method that makes data validation possible and may be applied to both qualitative and quantitative research. Because it provides a range of datasets to explain various facets of a phenomena of interest, triangulation can enhance research. It also aids in refuting situations in which a dataset disproves a hypothesis that was developed by another. When one set of results supports another, it can help validate a theory.</w:t>
      </w:r>
    </w:p>
    <w:p xmlns:wp14="http://schemas.microsoft.com/office/word/2010/wordml" w:rsidP="5CFC583D" wp14:paraId="0FF6296C" wp14:textId="52AE0B41">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As a result, I will use a mixed method approach by following up my observations with an interview.</w:t>
      </w:r>
    </w:p>
    <w:p xmlns:wp14="http://schemas.microsoft.com/office/word/2010/wordml" w:rsidP="5CFC583D" wp14:paraId="0FAC826A" wp14:textId="412C8089">
      <w:pPr>
        <w:spacing w:before="0" w:beforeAutospacing="off" w:after="160" w:afterAutospacing="off" w:line="252" w:lineRule="auto"/>
      </w:pPr>
      <w:r w:rsidRPr="5CFC583D" w:rsidR="615B5BAB">
        <w:rPr>
          <w:rFonts w:ascii="Calibri Light" w:hAnsi="Calibri Light" w:eastAsia="Calibri Light" w:cs="Calibri Light"/>
          <w:b w:val="1"/>
          <w:bCs w:val="1"/>
          <w:noProof w:val="0"/>
          <w:sz w:val="24"/>
          <w:szCs w:val="24"/>
          <w:u w:val="single"/>
          <w:lang w:val="en-US"/>
        </w:rPr>
        <w:t xml:space="preserve">Interview  </w:t>
      </w:r>
    </w:p>
    <w:p xmlns:wp14="http://schemas.microsoft.com/office/word/2010/wordml" w:rsidP="5CFC583D" wp14:paraId="16EE1C7C" wp14:textId="757A3867">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After my observations, at the end of the 6-week period I will use an interview to further my findings and get first hand feedback from the individuals involved and both parents and practitioners to identify whether they believe and can confirm physical development has improved through the study. </w:t>
      </w:r>
    </w:p>
    <w:p xmlns:wp14="http://schemas.microsoft.com/office/word/2010/wordml" w:rsidP="5CFC583D" wp14:paraId="49C95EAA" wp14:textId="4AEB74C7">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Researcher will prepare interview sheet with structured questions that is designed to offer insight into what stage of physical development the children were at before and after the study. Aim of interview as well as the observation is to gain greater support in findings and data directly from parents/ caregivers and teachers. Mixed method research allows for the drawbacks of each approach to be balanced, more convincing evidence and a greater confidence in conclusions whilst ensuring more detailed results that wouldn’t be obtained from one method alone, (Office for Health Improvement and Disparities, 2020). </w:t>
      </w:r>
    </w:p>
    <w:p xmlns:wp14="http://schemas.microsoft.com/office/word/2010/wordml" w:rsidP="5CFC583D" wp14:paraId="26F38454" wp14:textId="7A8B0F5B">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18CB5D26" wp14:textId="73E83F35">
      <w:pPr>
        <w:spacing w:before="0" w:beforeAutospacing="off" w:after="160" w:afterAutospacing="off" w:line="252" w:lineRule="auto"/>
        <w:jc w:val="center"/>
      </w:pPr>
      <w:r w:rsidRPr="5CFC583D" w:rsidR="615B5BAB">
        <w:rPr>
          <w:rFonts w:ascii="Calibri Light" w:hAnsi="Calibri Light" w:eastAsia="Calibri Light" w:cs="Calibri Light"/>
          <w:b w:val="1"/>
          <w:bCs w:val="1"/>
          <w:noProof w:val="0"/>
          <w:sz w:val="24"/>
          <w:szCs w:val="24"/>
          <w:u w:val="single"/>
          <w:lang w:val="en-US"/>
        </w:rPr>
        <w:t>Ethical considerations when conducting research including children.</w:t>
      </w:r>
    </w:p>
    <w:p xmlns:wp14="http://schemas.microsoft.com/office/word/2010/wordml" w:rsidP="5CFC583D" wp14:paraId="7C19F6E5" wp14:textId="6EF01223">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Ethical Research Involving Children (ERIC) (2020) explains that ethics refers to established principles of right and wrong that guide human behaviour, often relating to rights, responsibilities, societal benefits, fairness, or specific virtues. It also encompasses the ongoing exploration and formation of our ethical standards through the reflection on our moral beliefs and actions. The UKRI. Org highlights the importance of recognising any ethical implications when researching with children when they stated that to ensure the safety, well-being, and development of children involved in research, it's essential to identify and address any ethical concerns. By recognizing and addressing these issues, professionals can foster healthy growth and create safe, supportive environments that promote optimal practices and outcomes for children (UKRI.org). this highlights the importance of recognising and considering these before research Is started. </w:t>
      </w:r>
    </w:p>
    <w:p xmlns:wp14="http://schemas.microsoft.com/office/word/2010/wordml" w:rsidP="5CFC583D" wp14:paraId="04B680D5" wp14:textId="12EE53FE">
      <w:pPr>
        <w:spacing w:before="0" w:beforeAutospacing="off" w:after="160" w:afterAutospacing="off" w:line="252" w:lineRule="auto"/>
      </w:pPr>
      <w:r w:rsidRPr="5CFC583D" w:rsidR="615B5BAB">
        <w:rPr>
          <w:rFonts w:ascii="Calibri Light" w:hAnsi="Calibri Light" w:eastAsia="Calibri Light" w:cs="Calibri Light"/>
          <w:noProof w:val="0"/>
          <w:sz w:val="24"/>
          <w:szCs w:val="24"/>
          <w:highlight w:val="lightGray"/>
          <w:lang w:val="en-US"/>
        </w:rPr>
        <w:t>Gaining consent</w:t>
      </w:r>
      <w:r>
        <w:br/>
      </w:r>
      <w:r w:rsidRPr="5CFC583D" w:rsidR="615B5BAB">
        <w:rPr>
          <w:rFonts w:ascii="Calibri Light" w:hAnsi="Calibri Light" w:eastAsia="Calibri Light" w:cs="Calibri Light"/>
          <w:noProof w:val="0"/>
          <w:sz w:val="24"/>
          <w:szCs w:val="24"/>
          <w:lang w:val="en-US"/>
        </w:rPr>
        <w:t xml:space="preserve">  According to ERIC (2020), a fundamental aspect of an ethical approach to research involving children's rights is securing informed consent from both children and young people, along with their parents or caregivers. This process reflects respect for children's dignity, their ability to express their views, and their right to participate in decisions that affect them.</w:t>
      </w:r>
      <w:r>
        <w:br/>
      </w:r>
      <w:r w:rsidRPr="5CFC583D" w:rsidR="615B5BAB">
        <w:rPr>
          <w:rFonts w:ascii="Calibri Light" w:hAnsi="Calibri Light" w:eastAsia="Calibri Light" w:cs="Calibri Light"/>
          <w:noProof w:val="0"/>
          <w:sz w:val="24"/>
          <w:szCs w:val="24"/>
          <w:lang w:val="en-US"/>
        </w:rPr>
        <w:t xml:space="preserve"> Modi et al., (2014) explains that before children or parents are expected to give consent that they want to participate, they should be provided in depth details about what the research entails, its intentions and what is expected of them and most importantly any risks that could occur during the research. </w:t>
      </w:r>
      <w:r>
        <w:br/>
      </w:r>
      <w:r w:rsidRPr="5CFC583D" w:rsidR="615B5BAB">
        <w:rPr>
          <w:rFonts w:ascii="Calibri Light" w:hAnsi="Calibri Light" w:eastAsia="Calibri Light" w:cs="Calibri Light"/>
          <w:noProof w:val="0"/>
          <w:sz w:val="24"/>
          <w:szCs w:val="24"/>
          <w:lang w:val="en-US"/>
        </w:rPr>
        <w:t xml:space="preserve">An article from the NSPCC states that children </w:t>
      </w:r>
      <w:r w:rsidRPr="5CFC583D" w:rsidR="615B5BAB">
        <w:rPr>
          <w:rFonts w:ascii="Calibri Light" w:hAnsi="Calibri Light" w:eastAsia="Calibri Light" w:cs="Calibri Light"/>
          <w:noProof w:val="0"/>
          <w:color w:val="000000" w:themeColor="text1" w:themeTint="FF" w:themeShade="FF"/>
          <w:sz w:val="24"/>
          <w:szCs w:val="24"/>
          <w:lang w:val="en-US"/>
        </w:rPr>
        <w:t>when a child does not agree to take part in research, their refusal is more important than the permission given by a parent, guardian, caregiver, or another responsible adult.</w:t>
      </w:r>
      <w:r w:rsidRPr="5CFC583D" w:rsidR="615B5BAB">
        <w:rPr>
          <w:rFonts w:ascii="Calibri Light" w:hAnsi="Calibri Light" w:eastAsia="Calibri Light" w:cs="Calibri Light"/>
          <w:noProof w:val="0"/>
          <w:sz w:val="24"/>
          <w:szCs w:val="24"/>
          <w:lang w:val="en-US"/>
        </w:rPr>
        <w:t xml:space="preserve"> </w:t>
      </w:r>
      <w:r w:rsidRPr="5CFC583D" w:rsidR="615B5BAB">
        <w:rPr>
          <w:rFonts w:ascii="Calibri Light" w:hAnsi="Calibri Light" w:eastAsia="Calibri Light" w:cs="Calibri Light"/>
          <w:noProof w:val="0"/>
          <w:color w:val="000000" w:themeColor="text1" w:themeTint="FF" w:themeShade="FF"/>
          <w:sz w:val="24"/>
          <w:szCs w:val="24"/>
          <w:lang w:val="en-US"/>
        </w:rPr>
        <w:t xml:space="preserve">Children have rights, and these include the right to express themselves and have their opinions heard on issues that affect them, according to Jover and Thoilliez (2011) and this should be adhered to when conducting research involving children. </w:t>
      </w:r>
    </w:p>
    <w:p xmlns:wp14="http://schemas.microsoft.com/office/word/2010/wordml" w:rsidP="5CFC583D" wp14:paraId="771CA56E" wp14:textId="4B3DBBE9">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highlight w:val="lightGray"/>
          <w:lang w:val="en-US"/>
        </w:rPr>
        <w:t>Safeguarding</w:t>
      </w:r>
    </w:p>
    <w:p xmlns:wp14="http://schemas.microsoft.com/office/word/2010/wordml" w:rsidP="5CFC583D" wp14:paraId="0D6F3C06" wp14:textId="3B5F5B79">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Many educational settings will ensure researcher is aware of their safeguarding policy before research is conducted. Researchers should be aware of who to contact with regards to any issues regarding safety of the participants.  However, as highlighted by the Department of Education (2023), to ensure safety of both the students and the researcher, an up-to-date enhanced DBS check must be obtained. Disclosure and Barring Service, (2019) describes that a DBS is a check that will contain any details of criminal convictions or any persons that are barred from working with children or vulnerable people. Safeguarding children also includes checking in on participants throughout the duration of research to ensure they still wish to participate. </w:t>
      </w:r>
    </w:p>
    <w:p xmlns:wp14="http://schemas.microsoft.com/office/word/2010/wordml" w:rsidP="5CFC583D" wp14:paraId="6CB36A5E" wp14:textId="3CB94B72">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highlight w:val="lightGray"/>
          <w:lang w:val="en-US"/>
        </w:rPr>
        <w:t>GDPR</w:t>
      </w:r>
    </w:p>
    <w:p xmlns:wp14="http://schemas.microsoft.com/office/word/2010/wordml" w:rsidP="5CFC583D" wp14:paraId="0E9F8960" wp14:textId="50B65B06">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To ensure that the processing of personal data is conducted in a fair and lawful manner in accordance with data protection legislation, it is essential that individuals, regardless of age, receive specific information regarding the processing activities. The details that must be communicated are outlined in the relevant data protection laws. This information encompasses the purposes for which the data will be utilized, the parties with whom it may be shared, and the duration for which it will be retained, (LEGAL SERVICES DATA PROTECTION OFFICE, 2019). </w:t>
      </w:r>
    </w:p>
    <w:p xmlns:wp14="http://schemas.microsoft.com/office/word/2010/wordml" w:rsidP="5CFC583D" wp14:paraId="45D34016" wp14:textId="79E9862B">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In accordance with the data protection act (2018) I will ensure that all data is stored in locked drawers. The video evidence taken from observations will be kept on password locked device to ensure no one else has access to it. </w:t>
      </w:r>
    </w:p>
    <w:p xmlns:wp14="http://schemas.microsoft.com/office/word/2010/wordml" w:rsidP="5CFC583D" wp14:paraId="4B4FF292" wp14:textId="6D5187B5">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I will adhere to the UWTSD code of ethics to ensure safety of all personal information to protect myself, participants and the uni. All risks will be mitigated by ensure researcher adheres closely to guidelines and legislations provided by the university, GDPR guidelines and BERA guidelines for ethical education research. </w:t>
      </w:r>
    </w:p>
    <w:p xmlns:wp14="http://schemas.microsoft.com/office/word/2010/wordml" w:rsidP="5CFC583D" wp14:paraId="2E005E99" wp14:textId="76B64C80">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46224C35" wp14:textId="472CE7A5">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2701A2D6" wp14:textId="4908A2B9">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703EBCFC" wp14:textId="4CA9CBF5">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47B5A797" wp14:textId="2CFC67E0">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06C676B9" wp14:textId="1114CA26">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248FEA16" wp14:textId="393A9FB5">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0AC9265E" wp14:textId="726E7037">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55898E4E" wp14:textId="53CBFA79">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4C67664A" wp14:textId="07BBCA47">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1B25F247" wp14:textId="0B9F635C">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110B113C" wp14:textId="3AC2C438">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38AEA1EC" wp14:textId="4F425B75">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33DEEA99" wp14:textId="3204E52D">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49559951" wp14:textId="5D4CC3E7">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01AD82B5" wp14:textId="4EC1CF44">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708C0D2D" wp14:textId="5BE58837">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7300B0CA" wp14:textId="270F5246">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59174D63" wp14:textId="20DE9482">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0CDC68D3" wp14:textId="0499AECC">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662C90F8" wp14:textId="17F61399">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25D10CB8" wp14:textId="2D20F73E">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5FB04F8F" wp14:textId="407155CA">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69E4B346" wp14:textId="5CB5DC37">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5F1AF5E6" wp14:textId="16DB6B24">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13E15ABD" wp14:textId="3E12F46B">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4D11DB5E" wp14:textId="15C94CEC">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Bilton, H. (2009). Learning &amp; Development: Outdoor Game - Magic boxes. </w:t>
      </w:r>
      <w:r w:rsidRPr="5CFC583D" w:rsidR="615B5BAB">
        <w:rPr>
          <w:rFonts w:ascii="Calibri Light" w:hAnsi="Calibri Light" w:eastAsia="Calibri Light" w:cs="Calibri Light"/>
          <w:i w:val="1"/>
          <w:iCs w:val="1"/>
          <w:noProof w:val="0"/>
          <w:color w:val="000000" w:themeColor="text1" w:themeTint="FF" w:themeShade="FF"/>
          <w:sz w:val="24"/>
          <w:szCs w:val="24"/>
          <w:lang w:val="en-US"/>
        </w:rPr>
        <w:t>Nursery World</w:t>
      </w:r>
      <w:r w:rsidRPr="5CFC583D" w:rsidR="615B5BAB">
        <w:rPr>
          <w:rFonts w:ascii="Calibri Light" w:hAnsi="Calibri Light" w:eastAsia="Calibri Light" w:cs="Calibri Light"/>
          <w:noProof w:val="0"/>
          <w:color w:val="000000" w:themeColor="text1" w:themeTint="FF" w:themeShade="FF"/>
          <w:sz w:val="24"/>
          <w:szCs w:val="24"/>
          <w:lang w:val="en-US"/>
        </w:rPr>
        <w:t xml:space="preserve">, 2009(6). Doi: </w:t>
      </w:r>
      <w:hyperlink r:id="R31cb2b02997a41a0">
        <w:r w:rsidRPr="5CFC583D" w:rsidR="615B5BAB">
          <w:rPr>
            <w:rStyle w:val="Hyperlink"/>
            <w:rFonts w:ascii="Calibri Light" w:hAnsi="Calibri Light" w:eastAsia="Calibri Light" w:cs="Calibri Light"/>
            <w:strike w:val="0"/>
            <w:dstrike w:val="0"/>
            <w:noProof w:val="0"/>
            <w:color w:val="467886"/>
            <w:sz w:val="24"/>
            <w:szCs w:val="24"/>
            <w:u w:val="single"/>
            <w:lang w:val="en-US"/>
          </w:rPr>
          <w:t>HTTPs://doi.org/10.12968/nuwa.2009.23.6.1093061</w:t>
        </w:r>
      </w:hyperlink>
      <w:r w:rsidRPr="5CFC583D" w:rsidR="615B5BAB">
        <w:rPr>
          <w:rFonts w:ascii="Calibri Light" w:hAnsi="Calibri Light" w:eastAsia="Calibri Light" w:cs="Calibri Light"/>
          <w:noProof w:val="0"/>
          <w:color w:val="000000" w:themeColor="text1" w:themeTint="FF" w:themeShade="FF"/>
          <w:sz w:val="24"/>
          <w:szCs w:val="24"/>
          <w:lang w:val="en-US"/>
        </w:rPr>
        <w:t>.</w:t>
      </w:r>
    </w:p>
    <w:p xmlns:wp14="http://schemas.microsoft.com/office/word/2010/wordml" w:rsidP="5CFC583D" wp14:paraId="6AA78C2B" wp14:textId="4B6D7C01">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Bryman, A. (2003) Triangulation. Encyclopaedia of Social Science Research Methods. London: Sage.</w:t>
      </w:r>
    </w:p>
    <w:p xmlns:wp14="http://schemas.microsoft.com/office/word/2010/wordml" w:rsidP="5CFC583D" wp14:paraId="7C467859" wp14:textId="062D2957">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Creswell, J. and Wisdom, J., 2013. Mixed methods: Integrating quantitative and qualitative data collection and analysis while studying patient-centred medical home models. </w:t>
      </w:r>
      <w:r w:rsidRPr="5CFC583D" w:rsidR="615B5BAB">
        <w:rPr>
          <w:rFonts w:ascii="Calibri Light" w:hAnsi="Calibri Light" w:eastAsia="Calibri Light" w:cs="Calibri Light"/>
          <w:i w:val="1"/>
          <w:iCs w:val="1"/>
          <w:noProof w:val="0"/>
          <w:sz w:val="24"/>
          <w:szCs w:val="24"/>
          <w:lang w:val="en-US"/>
        </w:rPr>
        <w:t>Lincoln: University of Nebraska</w:t>
      </w:r>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701801C9" wp14:textId="0BD1AC20">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Department for Education (2023). </w:t>
      </w:r>
      <w:r w:rsidRPr="5CFC583D" w:rsidR="615B5BAB">
        <w:rPr>
          <w:rFonts w:ascii="Calibri Light" w:hAnsi="Calibri Light" w:eastAsia="Calibri Light" w:cs="Calibri Light"/>
          <w:i w:val="1"/>
          <w:iCs w:val="1"/>
          <w:noProof w:val="0"/>
          <w:color w:val="000000" w:themeColor="text1" w:themeTint="FF" w:themeShade="FF"/>
          <w:sz w:val="24"/>
          <w:szCs w:val="24"/>
          <w:lang w:val="en-US"/>
        </w:rPr>
        <w:t>Research With Children and Young People</w:t>
      </w:r>
      <w:r w:rsidRPr="5CFC583D" w:rsidR="615B5BAB">
        <w:rPr>
          <w:rFonts w:ascii="Calibri Light" w:hAnsi="Calibri Light" w:eastAsia="Calibri Light" w:cs="Calibri Light"/>
          <w:noProof w:val="0"/>
          <w:color w:val="000000" w:themeColor="text1" w:themeTint="FF" w:themeShade="FF"/>
          <w:sz w:val="24"/>
          <w:szCs w:val="24"/>
          <w:lang w:val="en-US"/>
        </w:rPr>
        <w:t xml:space="preserve">. [online] Department for Education User Research Manual. Available at: </w:t>
      </w:r>
      <w:hyperlink r:id="Re54639a26d344a46">
        <w:r w:rsidRPr="5CFC583D" w:rsidR="615B5BAB">
          <w:rPr>
            <w:rStyle w:val="Hyperlink"/>
            <w:rFonts w:ascii="Calibri Light" w:hAnsi="Calibri Light" w:eastAsia="Calibri Light" w:cs="Calibri Light"/>
            <w:strike w:val="0"/>
            <w:dstrike w:val="0"/>
            <w:noProof w:val="0"/>
            <w:color w:val="467886"/>
            <w:sz w:val="24"/>
            <w:szCs w:val="24"/>
            <w:u w:val="single"/>
            <w:lang w:val="en-US"/>
          </w:rPr>
          <w:t>https://user-research.education.gov.uk/guidance/ethics-and-safeguarding/research-with-children-and-young-people</w:t>
        </w:r>
      </w:hyperlink>
      <w:r w:rsidRPr="5CFC583D" w:rsidR="615B5BAB">
        <w:rPr>
          <w:rFonts w:ascii="Calibri Light" w:hAnsi="Calibri Light" w:eastAsia="Calibri Light" w:cs="Calibri Light"/>
          <w:noProof w:val="0"/>
          <w:color w:val="000000" w:themeColor="text1" w:themeTint="FF" w:themeShade="FF"/>
          <w:sz w:val="24"/>
          <w:szCs w:val="24"/>
          <w:highlight w:val="lightGray"/>
          <w:lang w:val="en-US"/>
        </w:rPr>
        <w:t>.</w:t>
      </w:r>
    </w:p>
    <w:p xmlns:wp14="http://schemas.microsoft.com/office/word/2010/wordml" w:rsidP="5CFC583D" wp14:paraId="4DC314F5" wp14:textId="0450CBD3">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Department of Education. (2011). </w:t>
      </w:r>
      <w:r w:rsidRPr="5CFC583D" w:rsidR="615B5BAB">
        <w:rPr>
          <w:rFonts w:ascii="Calibri Light" w:hAnsi="Calibri Light" w:eastAsia="Calibri Light" w:cs="Calibri Light"/>
          <w:i w:val="1"/>
          <w:iCs w:val="1"/>
          <w:noProof w:val="0"/>
          <w:color w:val="000000" w:themeColor="text1" w:themeTint="FF" w:themeShade="FF"/>
          <w:sz w:val="24"/>
          <w:szCs w:val="24"/>
          <w:lang w:val="en-US"/>
        </w:rPr>
        <w:t>Play Matters | Department of Education</w:t>
      </w:r>
      <w:r w:rsidRPr="5CFC583D" w:rsidR="615B5BAB">
        <w:rPr>
          <w:rFonts w:ascii="Calibri Light" w:hAnsi="Calibri Light" w:eastAsia="Calibri Light" w:cs="Calibri Light"/>
          <w:noProof w:val="0"/>
          <w:color w:val="000000" w:themeColor="text1" w:themeTint="FF" w:themeShade="FF"/>
          <w:sz w:val="24"/>
          <w:szCs w:val="24"/>
          <w:lang w:val="en-US"/>
        </w:rPr>
        <w:t xml:space="preserve">. [online] Education. Available at: </w:t>
      </w:r>
      <w:hyperlink r:id="R31e9f8db6b064b1f">
        <w:r w:rsidRPr="5CFC583D" w:rsidR="615B5BAB">
          <w:rPr>
            <w:rStyle w:val="Hyperlink"/>
            <w:rFonts w:ascii="Calibri Light" w:hAnsi="Calibri Light" w:eastAsia="Calibri Light" w:cs="Calibri Light"/>
            <w:strike w:val="0"/>
            <w:dstrike w:val="0"/>
            <w:noProof w:val="0"/>
            <w:color w:val="467886"/>
            <w:sz w:val="24"/>
            <w:szCs w:val="24"/>
            <w:u w:val="single"/>
            <w:lang w:val="en-US"/>
          </w:rPr>
          <w:t>https://www.education-ni.gov.uk/articles/play-matters</w:t>
        </w:r>
      </w:hyperlink>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173CB973" wp14:textId="0A8BAA09">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Ethical Research Involving Children. (2020). </w:t>
      </w:r>
      <w:r w:rsidRPr="5CFC583D" w:rsidR="615B5BAB">
        <w:rPr>
          <w:rFonts w:ascii="Calibri Light" w:hAnsi="Calibri Light" w:eastAsia="Calibri Light" w:cs="Calibri Light"/>
          <w:i w:val="1"/>
          <w:iCs w:val="1"/>
          <w:noProof w:val="0"/>
          <w:sz w:val="24"/>
          <w:szCs w:val="24"/>
          <w:lang w:val="en-US"/>
        </w:rPr>
        <w:t>Ethics</w:t>
      </w:r>
      <w:r w:rsidRPr="5CFC583D" w:rsidR="615B5BAB">
        <w:rPr>
          <w:rFonts w:ascii="Calibri Light" w:hAnsi="Calibri Light" w:eastAsia="Calibri Light" w:cs="Calibri Light"/>
          <w:noProof w:val="0"/>
          <w:sz w:val="24"/>
          <w:szCs w:val="24"/>
          <w:lang w:val="en-US"/>
        </w:rPr>
        <w:t xml:space="preserve">. [online] Available at: </w:t>
      </w:r>
      <w:hyperlink r:id="Rd1537055ae384496">
        <w:r w:rsidRPr="5CFC583D" w:rsidR="615B5BAB">
          <w:rPr>
            <w:rStyle w:val="Hyperlink"/>
            <w:rFonts w:ascii="Calibri Light" w:hAnsi="Calibri Light" w:eastAsia="Calibri Light" w:cs="Calibri Light"/>
            <w:noProof w:val="0"/>
            <w:sz w:val="24"/>
            <w:szCs w:val="24"/>
            <w:lang w:val="en-US"/>
          </w:rPr>
          <w:t>https://childethics.com/glossary/ethics/</w:t>
        </w:r>
      </w:hyperlink>
      <w:r w:rsidRPr="5CFC583D" w:rsidR="615B5BAB">
        <w:rPr>
          <w:rFonts w:ascii="Calibri Light" w:hAnsi="Calibri Light" w:eastAsia="Calibri Light" w:cs="Calibri Light"/>
          <w:noProof w:val="0"/>
          <w:sz w:val="24"/>
          <w:szCs w:val="24"/>
          <w:lang w:val="en-US"/>
        </w:rPr>
        <w:t xml:space="preserve"> [Accessed 27 Oct. 2024].</w:t>
      </w:r>
    </w:p>
    <w:p xmlns:wp14="http://schemas.microsoft.com/office/word/2010/wordml" w:rsidP="5CFC583D" wp14:paraId="60669051" wp14:textId="1FD9AF03">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Ginsburg, K. R. (2007). The importance of play in promoting healthy child development and maintaining strong parent-child bonds. </w:t>
      </w:r>
      <w:r w:rsidRPr="5CFC583D" w:rsidR="615B5BAB">
        <w:rPr>
          <w:rFonts w:ascii="Calibri Light" w:hAnsi="Calibri Light" w:eastAsia="Calibri Light" w:cs="Calibri Light"/>
          <w:i w:val="1"/>
          <w:iCs w:val="1"/>
          <w:noProof w:val="0"/>
          <w:sz w:val="24"/>
          <w:szCs w:val="24"/>
          <w:lang w:val="en-US"/>
        </w:rPr>
        <w:t>Paediatrics</w:t>
      </w:r>
      <w:r w:rsidRPr="5CFC583D" w:rsidR="615B5BAB">
        <w:rPr>
          <w:rFonts w:ascii="Calibri Light" w:hAnsi="Calibri Light" w:eastAsia="Calibri Light" w:cs="Calibri Light"/>
          <w:noProof w:val="0"/>
          <w:sz w:val="24"/>
          <w:szCs w:val="24"/>
          <w:lang w:val="en-US"/>
        </w:rPr>
        <w:t>, 119(1), 182-191.</w:t>
      </w:r>
    </w:p>
    <w:p xmlns:wp14="http://schemas.microsoft.com/office/word/2010/wordml" w:rsidP="5CFC583D" wp14:paraId="7805169B" wp14:textId="34B51B3A">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Guba E. G. (1981). Criteria for assessing the trustworthiness of naturalistic inquiries. </w:t>
      </w:r>
      <w:r w:rsidRPr="5CFC583D" w:rsidR="615B5BAB">
        <w:rPr>
          <w:rFonts w:ascii="Calibri Light" w:hAnsi="Calibri Light" w:eastAsia="Calibri Light" w:cs="Calibri Light"/>
          <w:i w:val="1"/>
          <w:iCs w:val="1"/>
          <w:noProof w:val="0"/>
          <w:sz w:val="24"/>
          <w:szCs w:val="24"/>
          <w:lang w:val="en-US"/>
        </w:rPr>
        <w:t>Educational Communication and Technology Journal</w:t>
      </w:r>
      <w:r w:rsidRPr="5CFC583D" w:rsidR="615B5BAB">
        <w:rPr>
          <w:rFonts w:ascii="Calibri Light" w:hAnsi="Calibri Light" w:eastAsia="Calibri Light" w:cs="Calibri Light"/>
          <w:noProof w:val="0"/>
          <w:sz w:val="24"/>
          <w:szCs w:val="24"/>
          <w:lang w:val="en-US"/>
        </w:rPr>
        <w:t xml:space="preserve">, 29(2), 75–91. </w:t>
      </w:r>
      <w:hyperlink r:id="R024b0945e8564e31">
        <w:r w:rsidRPr="5CFC583D" w:rsidR="615B5BAB">
          <w:rPr>
            <w:rStyle w:val="Hyperlink"/>
            <w:rFonts w:ascii="Calibri Light" w:hAnsi="Calibri Light" w:eastAsia="Calibri Light" w:cs="Calibri Light"/>
            <w:strike w:val="0"/>
            <w:dstrike w:val="0"/>
            <w:noProof w:val="0"/>
            <w:color w:val="467886"/>
            <w:sz w:val="24"/>
            <w:szCs w:val="24"/>
            <w:u w:val="single"/>
            <w:lang w:val="en-US"/>
          </w:rPr>
          <w:t>https://doi.org/10.1007/BF02766777</w:t>
        </w:r>
      </w:hyperlink>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09CE5B52" wp14:textId="5AA706C7">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Hassan, M. (2024). </w:t>
      </w:r>
      <w:r w:rsidRPr="5CFC583D" w:rsidR="615B5BAB">
        <w:rPr>
          <w:rFonts w:ascii="Calibri Light" w:hAnsi="Calibri Light" w:eastAsia="Calibri Light" w:cs="Calibri Light"/>
          <w:i w:val="1"/>
          <w:iCs w:val="1"/>
          <w:noProof w:val="0"/>
          <w:sz w:val="24"/>
          <w:szCs w:val="24"/>
          <w:lang w:val="en-US"/>
        </w:rPr>
        <w:t>Qualitative Data - Types, Methods, Examples</w:t>
      </w:r>
      <w:r w:rsidRPr="5CFC583D" w:rsidR="615B5BAB">
        <w:rPr>
          <w:rFonts w:ascii="Calibri Light" w:hAnsi="Calibri Light" w:eastAsia="Calibri Light" w:cs="Calibri Light"/>
          <w:noProof w:val="0"/>
          <w:sz w:val="24"/>
          <w:szCs w:val="24"/>
          <w:lang w:val="en-US"/>
        </w:rPr>
        <w:t xml:space="preserve">. [online] Research Method. Available at: </w:t>
      </w:r>
      <w:hyperlink r:id="Rd43b817b778340c7">
        <w:r w:rsidRPr="5CFC583D" w:rsidR="615B5BAB">
          <w:rPr>
            <w:rStyle w:val="Hyperlink"/>
            <w:rFonts w:ascii="Calibri Light" w:hAnsi="Calibri Light" w:eastAsia="Calibri Light" w:cs="Calibri Light"/>
            <w:strike w:val="0"/>
            <w:dstrike w:val="0"/>
            <w:noProof w:val="0"/>
            <w:color w:val="467886"/>
            <w:sz w:val="24"/>
            <w:szCs w:val="24"/>
            <w:u w:val="single"/>
            <w:lang w:val="en-US"/>
          </w:rPr>
          <w:t>https://researchmethod.net/qualitative-data/</w:t>
        </w:r>
      </w:hyperlink>
      <w:r w:rsidRPr="5CFC583D" w:rsidR="615B5BAB">
        <w:rPr>
          <w:rFonts w:ascii="Calibri Light" w:hAnsi="Calibri Light" w:eastAsia="Calibri Light" w:cs="Calibri Light"/>
          <w:noProof w:val="0"/>
          <w:sz w:val="24"/>
          <w:szCs w:val="24"/>
          <w:lang w:val="en-US"/>
        </w:rPr>
        <w:t>. (Accessed: 20 October 2024).</w:t>
      </w:r>
    </w:p>
    <w:p xmlns:wp14="http://schemas.microsoft.com/office/word/2010/wordml" w:rsidP="5CFC583D" wp14:paraId="28F05283" wp14:textId="1D8CA184">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‌Hiter, S. (2021). What is Quantitative Data? | Datamation | Big Data. </w:t>
      </w:r>
      <w:r w:rsidRPr="5CFC583D" w:rsidR="615B5BAB">
        <w:rPr>
          <w:rFonts w:ascii="Calibri Light" w:hAnsi="Calibri Light" w:eastAsia="Calibri Light" w:cs="Calibri Light"/>
          <w:i w:val="1"/>
          <w:iCs w:val="1"/>
          <w:noProof w:val="0"/>
          <w:sz w:val="24"/>
          <w:szCs w:val="24"/>
          <w:lang w:val="en-US"/>
        </w:rPr>
        <w:t>Datamation</w:t>
      </w:r>
      <w:r w:rsidRPr="5CFC583D" w:rsidR="615B5BAB">
        <w:rPr>
          <w:rFonts w:ascii="Calibri Light" w:hAnsi="Calibri Light" w:eastAsia="Calibri Light" w:cs="Calibri Light"/>
          <w:noProof w:val="0"/>
          <w:sz w:val="24"/>
          <w:szCs w:val="24"/>
          <w:lang w:val="en-US"/>
        </w:rPr>
        <w:t xml:space="preserve">. [online] 7 Apr. Available at: </w:t>
      </w:r>
      <w:hyperlink r:id="R3143d1bc1e674fff">
        <w:r w:rsidRPr="5CFC583D" w:rsidR="615B5BAB">
          <w:rPr>
            <w:rStyle w:val="Hyperlink"/>
            <w:rFonts w:ascii="Calibri Light" w:hAnsi="Calibri Light" w:eastAsia="Calibri Light" w:cs="Calibri Light"/>
            <w:strike w:val="0"/>
            <w:dstrike w:val="0"/>
            <w:noProof w:val="0"/>
            <w:color w:val="467886"/>
            <w:sz w:val="24"/>
            <w:szCs w:val="24"/>
            <w:u w:val="single"/>
            <w:lang w:val="en-US"/>
          </w:rPr>
          <w:t>https://www.datamation.com/big-data/what-is-quantitative-data/</w:t>
        </w:r>
      </w:hyperlink>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05EF5E13" wp14:textId="6CA57B65">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Hong, Q.N., Gonzalez‐Reyes, A. and Pluye, P. (2018) ‘Improving the usefulness of a tool for appraising the quality of qualitative, quantitative and mixed methods studies, the mixed methods appraisal tool (mmat)’, </w:t>
      </w:r>
      <w:r w:rsidRPr="5CFC583D" w:rsidR="615B5BAB">
        <w:rPr>
          <w:rFonts w:ascii="Calibri Light" w:hAnsi="Calibri Light" w:eastAsia="Calibri Light" w:cs="Calibri Light"/>
          <w:i w:val="1"/>
          <w:iCs w:val="1"/>
          <w:noProof w:val="0"/>
          <w:sz w:val="24"/>
          <w:szCs w:val="24"/>
          <w:lang w:val="en-US"/>
        </w:rPr>
        <w:t>Journal of Evaluation in Clinical Practice</w:t>
      </w:r>
      <w:r w:rsidRPr="5CFC583D" w:rsidR="615B5BAB">
        <w:rPr>
          <w:rFonts w:ascii="Calibri Light" w:hAnsi="Calibri Light" w:eastAsia="Calibri Light" w:cs="Calibri Light"/>
          <w:noProof w:val="0"/>
          <w:sz w:val="24"/>
          <w:szCs w:val="24"/>
          <w:lang w:val="en-US"/>
        </w:rPr>
        <w:t xml:space="preserve">, 24(3), pp. 459–467. doi:10.1111/jep.12884. </w:t>
      </w:r>
    </w:p>
    <w:p xmlns:wp14="http://schemas.microsoft.com/office/word/2010/wordml" w:rsidP="5CFC583D" wp14:paraId="06174002" wp14:textId="2450B38B">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Jover, G., Thoilliez, B. (2011). Biographical Research in Childhood Studies: Exploring Children’s Voices from a Pedagogical Perspective. In: Andresen, S., Diehm, I., Sander, U., Ziegler, H. (eds) Children and the Good Life. Children¿s Well-Being: Indicators and Research, vol 4. Springer, Dordrecht. </w:t>
      </w:r>
      <w:hyperlink r:id="R43e4d212ec3a48a5">
        <w:r w:rsidRPr="5CFC583D" w:rsidR="615B5BAB">
          <w:rPr>
            <w:rStyle w:val="Hyperlink"/>
            <w:rFonts w:ascii="Calibri Light" w:hAnsi="Calibri Light" w:eastAsia="Calibri Light" w:cs="Calibri Light"/>
            <w:strike w:val="0"/>
            <w:dstrike w:val="0"/>
            <w:noProof w:val="0"/>
            <w:color w:val="467886"/>
            <w:sz w:val="24"/>
            <w:szCs w:val="24"/>
            <w:u w:val="single"/>
            <w:lang w:val="en-US"/>
          </w:rPr>
          <w:t>https://doi.org/10.1007/978-90-481-9219-9_9</w:t>
        </w:r>
      </w:hyperlink>
    </w:p>
    <w:p xmlns:wp14="http://schemas.microsoft.com/office/word/2010/wordml" w:rsidP="5CFC583D" wp14:paraId="203409F0" wp14:textId="2889102D">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Kasi, P. (2009). </w:t>
      </w:r>
      <w:r w:rsidRPr="5CFC583D" w:rsidR="615B5BAB">
        <w:rPr>
          <w:rFonts w:ascii="Calibri Light" w:hAnsi="Calibri Light" w:eastAsia="Calibri Light" w:cs="Calibri Light"/>
          <w:i w:val="1"/>
          <w:iCs w:val="1"/>
          <w:noProof w:val="0"/>
          <w:sz w:val="24"/>
          <w:szCs w:val="24"/>
          <w:lang w:val="en-US"/>
        </w:rPr>
        <w:t>Research: What, Why and How?</w:t>
      </w:r>
      <w:r w:rsidRPr="5CFC583D" w:rsidR="615B5BAB">
        <w:rPr>
          <w:rFonts w:ascii="Calibri Light" w:hAnsi="Calibri Light" w:eastAsia="Calibri Light" w:cs="Calibri Light"/>
          <w:noProof w:val="0"/>
          <w:sz w:val="24"/>
          <w:szCs w:val="24"/>
          <w:lang w:val="en-US"/>
        </w:rPr>
        <w:t xml:space="preserve"> AuthorHouse. (Accessed: 20 October 2024)</w:t>
      </w:r>
    </w:p>
    <w:p xmlns:wp14="http://schemas.microsoft.com/office/word/2010/wordml" w:rsidP="5CFC583D" wp14:paraId="7B34E94B" wp14:textId="1634E51B">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Karpov, Y. V. (2005). ‘</w:t>
      </w:r>
      <w:r w:rsidRPr="5CFC583D" w:rsidR="615B5BAB">
        <w:rPr>
          <w:rFonts w:ascii="Calibri Light" w:hAnsi="Calibri Light" w:eastAsia="Calibri Light" w:cs="Calibri Light"/>
          <w:i w:val="1"/>
          <w:iCs w:val="1"/>
          <w:noProof w:val="0"/>
          <w:sz w:val="24"/>
          <w:szCs w:val="24"/>
          <w:lang w:val="en-US"/>
        </w:rPr>
        <w:t>The neo-Vygotskian Approach to Child Development’</w:t>
      </w:r>
      <w:r w:rsidRPr="5CFC583D" w:rsidR="615B5BAB">
        <w:rPr>
          <w:rFonts w:ascii="Calibri Light" w:hAnsi="Calibri Light" w:eastAsia="Calibri Light" w:cs="Calibri Light"/>
          <w:noProof w:val="0"/>
          <w:sz w:val="24"/>
          <w:szCs w:val="24"/>
          <w:lang w:val="en-US"/>
        </w:rPr>
        <w:t>. Cambridge: Cambridge University Press.</w:t>
      </w:r>
    </w:p>
    <w:p xmlns:wp14="http://schemas.microsoft.com/office/word/2010/wordml" w:rsidP="5CFC583D" wp14:paraId="55432CD2" wp14:textId="57B02F6F">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Lim W. M. (2019a). How can challenger marketers target the right customer organization? The ACOW customer organization profiling matrix for challenger marketing. </w:t>
      </w:r>
      <w:r w:rsidRPr="5CFC583D" w:rsidR="615B5BAB">
        <w:rPr>
          <w:rFonts w:ascii="Calibri Light" w:hAnsi="Calibri Light" w:eastAsia="Calibri Light" w:cs="Calibri Light"/>
          <w:i w:val="1"/>
          <w:iCs w:val="1"/>
          <w:noProof w:val="0"/>
          <w:sz w:val="24"/>
          <w:szCs w:val="24"/>
          <w:lang w:val="en-US"/>
        </w:rPr>
        <w:t>Journal of Business &amp; Industrial Marketing</w:t>
      </w:r>
      <w:r w:rsidRPr="5CFC583D" w:rsidR="615B5BAB">
        <w:rPr>
          <w:rFonts w:ascii="Calibri Light" w:hAnsi="Calibri Light" w:eastAsia="Calibri Light" w:cs="Calibri Light"/>
          <w:noProof w:val="0"/>
          <w:sz w:val="24"/>
          <w:szCs w:val="24"/>
          <w:lang w:val="en-US"/>
        </w:rPr>
        <w:t xml:space="preserve">, 34(2), 338–346. </w:t>
      </w:r>
      <w:hyperlink r:id="R2db2a83decf744c9">
        <w:r w:rsidRPr="5CFC583D" w:rsidR="615B5BAB">
          <w:rPr>
            <w:rStyle w:val="Hyperlink"/>
            <w:rFonts w:ascii="Calibri Light" w:hAnsi="Calibri Light" w:eastAsia="Calibri Light" w:cs="Calibri Light"/>
            <w:strike w:val="0"/>
            <w:dstrike w:val="0"/>
            <w:noProof w:val="0"/>
            <w:color w:val="467886"/>
            <w:sz w:val="24"/>
            <w:szCs w:val="24"/>
            <w:u w:val="single"/>
            <w:lang w:val="en-US"/>
          </w:rPr>
          <w:t>https://doi.org/10.1108/JBIM-02-2017-0039</w:t>
        </w:r>
      </w:hyperlink>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093D3CD2" wp14:textId="6F77297F">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LEGAL SERVICES DATA PROTECTION OFFICE Research with Children: Guidance on Data Protection Issues. (2019). Available at: </w:t>
      </w:r>
      <w:hyperlink r:id="Rc183d8f19e3d4b3f">
        <w:r w:rsidRPr="5CFC583D" w:rsidR="615B5BAB">
          <w:rPr>
            <w:rStyle w:val="Hyperlink"/>
            <w:rFonts w:ascii="Calibri Light" w:hAnsi="Calibri Light" w:eastAsia="Calibri Light" w:cs="Calibri Light"/>
            <w:noProof w:val="0"/>
            <w:sz w:val="24"/>
            <w:szCs w:val="24"/>
            <w:lang w:val="en-US"/>
          </w:rPr>
          <w:t>https://www.ucl.ac.uk/data-protection/sites/data_protection/files/research_with_children_guidance_v1.2.pdf</w:t>
        </w:r>
      </w:hyperlink>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76DD877C" wp14:textId="3323D3F0">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Modi, N., Vohra, J., Preston, J., Elliott, C., Van’t Hoff, W., Coad, J., Gibson, F., Partridge, L., Brierley, J., Larcher, V. and Greenough, A. (2014). Guidance on clinical research involving infants, children and young people: an update for researchers and research ethics committees. </w:t>
      </w:r>
      <w:r w:rsidRPr="5CFC583D" w:rsidR="615B5BAB">
        <w:rPr>
          <w:rFonts w:ascii="Calibri Light" w:hAnsi="Calibri Light" w:eastAsia="Calibri Light" w:cs="Calibri Light"/>
          <w:i w:val="1"/>
          <w:iCs w:val="1"/>
          <w:noProof w:val="0"/>
          <w:sz w:val="24"/>
          <w:szCs w:val="24"/>
          <w:lang w:val="en-US"/>
        </w:rPr>
        <w:t>Archives of Disease in Childhood</w:t>
      </w:r>
      <w:r w:rsidRPr="5CFC583D" w:rsidR="615B5BAB">
        <w:rPr>
          <w:rFonts w:ascii="Calibri Light" w:hAnsi="Calibri Light" w:eastAsia="Calibri Light" w:cs="Calibri Light"/>
          <w:noProof w:val="0"/>
          <w:sz w:val="24"/>
          <w:szCs w:val="24"/>
          <w:lang w:val="en-US"/>
        </w:rPr>
        <w:t>, 99(10), pp.887–891. doi:https://doi.org/10.1136/archdischild-2014-306444.</w:t>
      </w:r>
    </w:p>
    <w:p xmlns:wp14="http://schemas.microsoft.com/office/word/2010/wordml" w:rsidP="5CFC583D" wp14:paraId="2B1317B9" wp14:textId="427438BE">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Nolan, A., Macfarlane, K. and Cartmel, J. (2013) Research in Early Childhood. 1st edn. SAGE Publications. Available at: </w:t>
      </w:r>
      <w:hyperlink r:id="R643db0aa94aa4a17">
        <w:r w:rsidRPr="5CFC583D" w:rsidR="615B5BAB">
          <w:rPr>
            <w:rStyle w:val="Hyperlink"/>
            <w:rFonts w:ascii="Calibri Light" w:hAnsi="Calibri Light" w:eastAsia="Calibri Light" w:cs="Calibri Light"/>
            <w:noProof w:val="0"/>
            <w:sz w:val="24"/>
            <w:szCs w:val="24"/>
            <w:lang w:val="en-US"/>
          </w:rPr>
          <w:t>https://www.perlego.com/book/2801016/research-in-early-childhood-pdf</w:t>
        </w:r>
      </w:hyperlink>
      <w:r w:rsidRPr="5CFC583D" w:rsidR="615B5BAB">
        <w:rPr>
          <w:rFonts w:ascii="Calibri Light" w:hAnsi="Calibri Light" w:eastAsia="Calibri Light" w:cs="Calibri Light"/>
          <w:noProof w:val="0"/>
          <w:sz w:val="24"/>
          <w:szCs w:val="24"/>
          <w:lang w:val="en-US"/>
        </w:rPr>
        <w:t xml:space="preserve"> (Accessed: 15 October 2022).</w:t>
      </w:r>
    </w:p>
    <w:p xmlns:wp14="http://schemas.microsoft.com/office/word/2010/wordml" w:rsidP="5CFC583D" wp14:paraId="287A43FE" wp14:textId="3CAE629B">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Noble, H. and Heale, R. (2019). Triangulation in Research. </w:t>
      </w:r>
      <w:r w:rsidRPr="5CFC583D" w:rsidR="615B5BAB">
        <w:rPr>
          <w:rFonts w:ascii="Calibri Light" w:hAnsi="Calibri Light" w:eastAsia="Calibri Light" w:cs="Calibri Light"/>
          <w:i w:val="1"/>
          <w:iCs w:val="1"/>
          <w:noProof w:val="0"/>
          <w:sz w:val="24"/>
          <w:szCs w:val="24"/>
          <w:lang w:val="en-US"/>
        </w:rPr>
        <w:t>Evidence Based Nursing</w:t>
      </w:r>
      <w:r w:rsidRPr="5CFC583D" w:rsidR="615B5BAB">
        <w:rPr>
          <w:rFonts w:ascii="Calibri Light" w:hAnsi="Calibri Light" w:eastAsia="Calibri Light" w:cs="Calibri Light"/>
          <w:noProof w:val="0"/>
          <w:sz w:val="24"/>
          <w:szCs w:val="24"/>
          <w:lang w:val="en-US"/>
        </w:rPr>
        <w:t>, 22(3), pp.67–68.</w:t>
      </w:r>
    </w:p>
    <w:p xmlns:wp14="http://schemas.microsoft.com/office/word/2010/wordml" w:rsidP="5CFC583D" wp14:paraId="24ABFE13" wp14:textId="2101CB81">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NSPCC (2023). </w:t>
      </w:r>
      <w:r w:rsidRPr="5CFC583D" w:rsidR="615B5BAB">
        <w:rPr>
          <w:rFonts w:ascii="Calibri Light" w:hAnsi="Calibri Light" w:eastAsia="Calibri Light" w:cs="Calibri Light"/>
          <w:i w:val="1"/>
          <w:iCs w:val="1"/>
          <w:noProof w:val="0"/>
          <w:sz w:val="24"/>
          <w:szCs w:val="24"/>
          <w:lang w:val="en-US"/>
        </w:rPr>
        <w:t>Research with Children: Ethics, Safety and Promoting Inclusion</w:t>
      </w:r>
      <w:r w:rsidRPr="5CFC583D" w:rsidR="615B5BAB">
        <w:rPr>
          <w:rFonts w:ascii="Calibri Light" w:hAnsi="Calibri Light" w:eastAsia="Calibri Light" w:cs="Calibri Light"/>
          <w:noProof w:val="0"/>
          <w:sz w:val="24"/>
          <w:szCs w:val="24"/>
          <w:lang w:val="en-US"/>
        </w:rPr>
        <w:t xml:space="preserve">. [online] NSPCC Learning. Available at: </w:t>
      </w:r>
      <w:hyperlink r:id="Rf83ee7ec11284432">
        <w:r w:rsidRPr="5CFC583D" w:rsidR="615B5BAB">
          <w:rPr>
            <w:rStyle w:val="Hyperlink"/>
            <w:rFonts w:ascii="Calibri Light" w:hAnsi="Calibri Light" w:eastAsia="Calibri Light" w:cs="Calibri Light"/>
            <w:noProof w:val="0"/>
            <w:sz w:val="24"/>
            <w:szCs w:val="24"/>
            <w:lang w:val="en-US"/>
          </w:rPr>
          <w:t>https://learning.nspcc.org.uk/research-resources/briefings/research-with-children-ethics-safety-promoting-inclusion</w:t>
        </w:r>
      </w:hyperlink>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4E2422DD" wp14:textId="7A625C16">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Office for Health Improvement and Disparities (2020). </w:t>
      </w:r>
      <w:r w:rsidRPr="5CFC583D" w:rsidR="615B5BAB">
        <w:rPr>
          <w:rFonts w:ascii="Calibri Light" w:hAnsi="Calibri Light" w:eastAsia="Calibri Light" w:cs="Calibri Light"/>
          <w:i w:val="1"/>
          <w:iCs w:val="1"/>
          <w:noProof w:val="0"/>
          <w:sz w:val="24"/>
          <w:szCs w:val="24"/>
          <w:lang w:val="en-US"/>
        </w:rPr>
        <w:t>Mixed Methods Study</w:t>
      </w:r>
      <w:r w:rsidRPr="5CFC583D" w:rsidR="615B5BAB">
        <w:rPr>
          <w:rFonts w:ascii="Calibri Light" w:hAnsi="Calibri Light" w:eastAsia="Calibri Light" w:cs="Calibri Light"/>
          <w:noProof w:val="0"/>
          <w:sz w:val="24"/>
          <w:szCs w:val="24"/>
          <w:lang w:val="en-US"/>
        </w:rPr>
        <w:t xml:space="preserve">. [online] GOV.UK. Available at: </w:t>
      </w:r>
      <w:hyperlink r:id="R470cbfd211554a22">
        <w:r w:rsidRPr="5CFC583D" w:rsidR="615B5BAB">
          <w:rPr>
            <w:rStyle w:val="Hyperlink"/>
            <w:rFonts w:ascii="Calibri Light" w:hAnsi="Calibri Light" w:eastAsia="Calibri Light" w:cs="Calibri Light"/>
            <w:noProof w:val="0"/>
            <w:sz w:val="24"/>
            <w:szCs w:val="24"/>
            <w:lang w:val="en-US"/>
          </w:rPr>
          <w:t>https://www.gov.uk/guidance/mixed-methods-study</w:t>
        </w:r>
      </w:hyperlink>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0E9125BB" wp14:textId="3BA02AFF">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Oswald, D., Sherratt, F. and Smith, S. (2014). Handling the Hawthorne effect: the Challenges Surrounding a Participant Observer. </w:t>
      </w:r>
      <w:r w:rsidRPr="5CFC583D" w:rsidR="615B5BAB">
        <w:rPr>
          <w:rFonts w:ascii="Calibri Light" w:hAnsi="Calibri Light" w:eastAsia="Calibri Light" w:cs="Calibri Light"/>
          <w:i w:val="1"/>
          <w:iCs w:val="1"/>
          <w:noProof w:val="0"/>
          <w:sz w:val="24"/>
          <w:szCs w:val="24"/>
          <w:lang w:val="en-US"/>
        </w:rPr>
        <w:t>Review of Social Studies</w:t>
      </w:r>
      <w:r w:rsidRPr="5CFC583D" w:rsidR="615B5BAB">
        <w:rPr>
          <w:rFonts w:ascii="Calibri Light" w:hAnsi="Calibri Light" w:eastAsia="Calibri Light" w:cs="Calibri Light"/>
          <w:noProof w:val="0"/>
          <w:sz w:val="24"/>
          <w:szCs w:val="24"/>
          <w:lang w:val="en-US"/>
        </w:rPr>
        <w:t xml:space="preserve">, 1(1), pp.53–74. doi: </w:t>
      </w:r>
      <w:hyperlink r:id="R603f9e731a524885">
        <w:r w:rsidRPr="5CFC583D" w:rsidR="615B5BAB">
          <w:rPr>
            <w:rStyle w:val="Hyperlink"/>
            <w:rFonts w:ascii="Calibri Light" w:hAnsi="Calibri Light" w:eastAsia="Calibri Light" w:cs="Calibri Light"/>
            <w:noProof w:val="0"/>
            <w:sz w:val="24"/>
            <w:szCs w:val="24"/>
            <w:lang w:val="en-US"/>
          </w:rPr>
          <w:t>https://doi.org/10.21586/ross0000004</w:t>
        </w:r>
      </w:hyperlink>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0487800B" wp14:textId="5D2867E2">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Peter Grey (2022). ‘</w:t>
      </w:r>
      <w:r w:rsidRPr="5CFC583D" w:rsidR="615B5BAB">
        <w:rPr>
          <w:rFonts w:ascii="Calibri Light" w:hAnsi="Calibri Light" w:eastAsia="Calibri Light" w:cs="Calibri Light"/>
          <w:i w:val="1"/>
          <w:iCs w:val="1"/>
          <w:noProof w:val="0"/>
          <w:color w:val="000000" w:themeColor="text1" w:themeTint="FF" w:themeShade="FF"/>
          <w:sz w:val="24"/>
          <w:szCs w:val="24"/>
          <w:lang w:val="en-US"/>
        </w:rPr>
        <w:t>What Is Play? How Children Define It’</w:t>
      </w:r>
      <w:r w:rsidRPr="5CFC583D" w:rsidR="615B5BAB">
        <w:rPr>
          <w:rFonts w:ascii="Calibri Light" w:hAnsi="Calibri Light" w:eastAsia="Calibri Light" w:cs="Calibri Light"/>
          <w:noProof w:val="0"/>
          <w:color w:val="000000" w:themeColor="text1" w:themeTint="FF" w:themeShade="FF"/>
          <w:sz w:val="24"/>
          <w:szCs w:val="24"/>
          <w:lang w:val="en-US"/>
        </w:rPr>
        <w:t xml:space="preserve">. [online] Available at: </w:t>
      </w:r>
      <w:hyperlink r:id="R982547f387f44ae3">
        <w:r w:rsidRPr="5CFC583D" w:rsidR="615B5BAB">
          <w:rPr>
            <w:rStyle w:val="Hyperlink"/>
            <w:rFonts w:ascii="Calibri Light" w:hAnsi="Calibri Light" w:eastAsia="Calibri Light" w:cs="Calibri Light"/>
            <w:noProof w:val="0"/>
            <w:sz w:val="24"/>
            <w:szCs w:val="24"/>
            <w:lang w:val="en-US"/>
          </w:rPr>
          <w:t>https://www.psychologytoday.com/us/blog/freedom-to-learn/202205/what-is-play-how-children-define-it?msockid=2767eaa08ca769021b8ff90b8d1c6857</w:t>
        </w:r>
      </w:hyperlink>
      <w:r w:rsidRPr="5CFC583D" w:rsidR="615B5BAB">
        <w:rPr>
          <w:rFonts w:ascii="Calibri Light" w:hAnsi="Calibri Light" w:eastAsia="Calibri Light" w:cs="Calibri Light"/>
          <w:noProof w:val="0"/>
          <w:color w:val="000000" w:themeColor="text1" w:themeTint="FF" w:themeShade="FF"/>
          <w:sz w:val="24"/>
          <w:szCs w:val="24"/>
          <w:lang w:val="en-US"/>
        </w:rPr>
        <w:t xml:space="preserve"> [Accessed 14 Oct. 2024].</w:t>
      </w:r>
    </w:p>
    <w:p xmlns:wp14="http://schemas.microsoft.com/office/word/2010/wordml" w:rsidP="5CFC583D" wp14:paraId="200F00EE" wp14:textId="3E2E2C21">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Piek, J. P., Dawson, L., Smith, L. M., &amp; Gasson, N. (2008). The role of early fine and gross motor development on later motor and cognitive skills in children. </w:t>
      </w:r>
      <w:r w:rsidRPr="5CFC583D" w:rsidR="615B5BAB">
        <w:rPr>
          <w:rFonts w:ascii="Calibri Light" w:hAnsi="Calibri Light" w:eastAsia="Calibri Light" w:cs="Calibri Light"/>
          <w:i w:val="1"/>
          <w:iCs w:val="1"/>
          <w:noProof w:val="0"/>
          <w:sz w:val="24"/>
          <w:szCs w:val="24"/>
          <w:lang w:val="en-US"/>
        </w:rPr>
        <w:t>Human Movement Science</w:t>
      </w:r>
      <w:r w:rsidRPr="5CFC583D" w:rsidR="615B5BAB">
        <w:rPr>
          <w:rFonts w:ascii="Calibri Light" w:hAnsi="Calibri Light" w:eastAsia="Calibri Light" w:cs="Calibri Light"/>
          <w:noProof w:val="0"/>
          <w:sz w:val="24"/>
          <w:szCs w:val="24"/>
          <w:lang w:val="en-US"/>
        </w:rPr>
        <w:t>, 27(4), 668-681.</w:t>
      </w:r>
    </w:p>
    <w:p xmlns:wp14="http://schemas.microsoft.com/office/word/2010/wordml" w:rsidP="5CFC583D" wp14:paraId="62DB8742" wp14:textId="0C42F257">
      <w:pPr>
        <w:spacing w:before="0" w:beforeAutospacing="off" w:after="0" w:afterAutospacing="off"/>
      </w:pPr>
      <w:r w:rsidRPr="5CFC583D" w:rsidR="615B5BAB">
        <w:rPr>
          <w:rFonts w:ascii="Calibri Light" w:hAnsi="Calibri Light" w:eastAsia="Calibri Light" w:cs="Calibri Light"/>
          <w:noProof w:val="0"/>
          <w:color w:val="000000" w:themeColor="text1" w:themeTint="FF" w:themeShade="FF"/>
          <w:sz w:val="24"/>
          <w:szCs w:val="24"/>
          <w:lang w:val="en-US"/>
        </w:rPr>
        <w:t xml:space="preserve">Phellas, Constantinos (2005). Review: Keith F. Punch: Introduction to Social Research: </w:t>
      </w:r>
    </w:p>
    <w:p xmlns:wp14="http://schemas.microsoft.com/office/word/2010/wordml" w:rsidP="5CFC583D" wp14:paraId="56736ECA" wp14:textId="4922BAC1">
      <w:pPr>
        <w:spacing w:before="0" w:beforeAutospacing="off" w:after="0" w:afterAutospacing="off"/>
      </w:pPr>
      <w:r w:rsidRPr="5CFC583D" w:rsidR="615B5BAB">
        <w:rPr>
          <w:rFonts w:ascii="Calibri Light" w:hAnsi="Calibri Light" w:eastAsia="Calibri Light" w:cs="Calibri Light"/>
          <w:noProof w:val="0"/>
          <w:color w:val="000000" w:themeColor="text1" w:themeTint="FF" w:themeShade="FF"/>
          <w:sz w:val="24"/>
          <w:szCs w:val="24"/>
          <w:lang w:val="en-US"/>
        </w:rPr>
        <w:t xml:space="preserve">Quantitative and Qualitative Approaches [17 paragraphs]. Forum Qualitative Sozialforschung / </w:t>
      </w:r>
    </w:p>
    <w:p xmlns:wp14="http://schemas.microsoft.com/office/word/2010/wordml" w:rsidP="5CFC583D" wp14:paraId="7AD342CF" wp14:textId="7EB63853">
      <w:pPr>
        <w:spacing w:before="0" w:beforeAutospacing="off" w:after="0" w:afterAutospacing="off"/>
      </w:pPr>
      <w:r w:rsidRPr="5CFC583D" w:rsidR="615B5BAB">
        <w:rPr>
          <w:rFonts w:ascii="Calibri Light" w:hAnsi="Calibri Light" w:eastAsia="Calibri Light" w:cs="Calibri Light"/>
          <w:noProof w:val="0"/>
          <w:color w:val="000000" w:themeColor="text1" w:themeTint="FF" w:themeShade="FF"/>
          <w:sz w:val="24"/>
          <w:szCs w:val="24"/>
          <w:lang w:val="en-US"/>
        </w:rPr>
        <w:t xml:space="preserve">Forum: Qualitative Social Research, 7(2), Art. 4, </w:t>
      </w:r>
      <w:hyperlink r:id="R36e34e4b33654bb8">
        <w:r w:rsidRPr="5CFC583D" w:rsidR="615B5BAB">
          <w:rPr>
            <w:rStyle w:val="Hyperlink"/>
            <w:rFonts w:ascii="Calibri Light" w:hAnsi="Calibri Light" w:eastAsia="Calibri Light" w:cs="Calibri Light"/>
            <w:noProof w:val="0"/>
            <w:sz w:val="24"/>
            <w:szCs w:val="24"/>
            <w:lang w:val="en-US"/>
          </w:rPr>
          <w:t>http://nbn-resolving.de/urn:nbn:de:0114-</w:t>
        </w:r>
      </w:hyperlink>
      <w:r w:rsidRPr="5CFC583D" w:rsidR="615B5BAB">
        <w:rPr>
          <w:rFonts w:ascii="Calibri Light" w:hAnsi="Calibri Light" w:eastAsia="Calibri Light" w:cs="Calibri Light"/>
          <w:noProof w:val="0"/>
          <w:color w:val="000000" w:themeColor="text1" w:themeTint="FF" w:themeShade="FF"/>
          <w:sz w:val="24"/>
          <w:szCs w:val="24"/>
          <w:lang w:val="en-US"/>
        </w:rPr>
        <w:t xml:space="preserve"> </w:t>
      </w:r>
    </w:p>
    <w:p xmlns:wp14="http://schemas.microsoft.com/office/word/2010/wordml" w:rsidP="5CFC583D" wp14:paraId="31978E7A" wp14:textId="6C034713">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fqs060249.</w:t>
      </w:r>
    </w:p>
    <w:p xmlns:wp14="http://schemas.microsoft.com/office/word/2010/wordml" w:rsidP="5CFC583D" wp14:paraId="464047A1" wp14:textId="572F6E98">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STEPHENSON, A. (2003). Physical Risk-taking: Dangerous or endangered? </w:t>
      </w:r>
      <w:r w:rsidRPr="5CFC583D" w:rsidR="615B5BAB">
        <w:rPr>
          <w:rFonts w:ascii="Calibri Light" w:hAnsi="Calibri Light" w:eastAsia="Calibri Light" w:cs="Calibri Light"/>
          <w:i w:val="1"/>
          <w:iCs w:val="1"/>
          <w:noProof w:val="0"/>
          <w:sz w:val="24"/>
          <w:szCs w:val="24"/>
          <w:lang w:val="en-US"/>
        </w:rPr>
        <w:t>Early Years</w:t>
      </w:r>
      <w:r w:rsidRPr="5CFC583D" w:rsidR="615B5BAB">
        <w:rPr>
          <w:rFonts w:ascii="Calibri Light" w:hAnsi="Calibri Light" w:eastAsia="Calibri Light" w:cs="Calibri Light"/>
          <w:noProof w:val="0"/>
          <w:sz w:val="24"/>
          <w:szCs w:val="24"/>
          <w:lang w:val="en-US"/>
        </w:rPr>
        <w:t xml:space="preserve">, 23(1), pp.35–43. doi: </w:t>
      </w:r>
      <w:hyperlink r:id="R6b73f1991ae64f30">
        <w:r w:rsidRPr="5CFC583D" w:rsidR="615B5BAB">
          <w:rPr>
            <w:rStyle w:val="Hyperlink"/>
            <w:rFonts w:ascii="Calibri Light" w:hAnsi="Calibri Light" w:eastAsia="Calibri Light" w:cs="Calibri Light"/>
            <w:strike w:val="0"/>
            <w:dstrike w:val="0"/>
            <w:noProof w:val="0"/>
            <w:color w:val="467886"/>
            <w:sz w:val="24"/>
            <w:szCs w:val="24"/>
            <w:u w:val="single"/>
            <w:lang w:val="en-US"/>
          </w:rPr>
          <w:t>https://doi.org/10.1080/0957514032000045573</w:t>
        </w:r>
      </w:hyperlink>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45344EE4" wp14:textId="394732BC">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UK Research and Innovation (2023). </w:t>
      </w:r>
      <w:r w:rsidRPr="5CFC583D" w:rsidR="615B5BAB">
        <w:rPr>
          <w:rFonts w:ascii="Calibri Light" w:hAnsi="Calibri Light" w:eastAsia="Calibri Light" w:cs="Calibri Light"/>
          <w:i w:val="1"/>
          <w:iCs w:val="1"/>
          <w:noProof w:val="0"/>
          <w:sz w:val="24"/>
          <w:szCs w:val="24"/>
          <w:lang w:val="en-US"/>
        </w:rPr>
        <w:t>Research with children and young people</w:t>
      </w:r>
      <w:r w:rsidRPr="5CFC583D" w:rsidR="615B5BAB">
        <w:rPr>
          <w:rFonts w:ascii="Calibri Light" w:hAnsi="Calibri Light" w:eastAsia="Calibri Light" w:cs="Calibri Light"/>
          <w:noProof w:val="0"/>
          <w:sz w:val="24"/>
          <w:szCs w:val="24"/>
          <w:lang w:val="en-US"/>
        </w:rPr>
        <w:t xml:space="preserve">. [online] </w:t>
      </w:r>
      <w:hyperlink>
        <w:r w:rsidRPr="5CFC583D" w:rsidR="615B5BAB">
          <w:rPr>
            <w:rStyle w:val="Hyperlink"/>
            <w:rFonts w:ascii="Calibri Light" w:hAnsi="Calibri Light" w:eastAsia="Calibri Light" w:cs="Calibri Light"/>
            <w:noProof w:val="0"/>
            <w:sz w:val="24"/>
            <w:szCs w:val="24"/>
            <w:lang w:val="en-US"/>
          </w:rPr>
          <w:t>www.ukri.org</w:t>
        </w:r>
      </w:hyperlink>
      <w:r w:rsidRPr="5CFC583D" w:rsidR="615B5BAB">
        <w:rPr>
          <w:rFonts w:ascii="Calibri Light" w:hAnsi="Calibri Light" w:eastAsia="Calibri Light" w:cs="Calibri Light"/>
          <w:noProof w:val="0"/>
          <w:sz w:val="24"/>
          <w:szCs w:val="24"/>
          <w:lang w:val="en-US"/>
        </w:rPr>
        <w:t xml:space="preserve">. Available at: </w:t>
      </w:r>
      <w:hyperlink r:id="Re75262c99e944b24">
        <w:r w:rsidRPr="5CFC583D" w:rsidR="615B5BAB">
          <w:rPr>
            <w:rStyle w:val="Hyperlink"/>
            <w:rFonts w:ascii="Calibri Light" w:hAnsi="Calibri Light" w:eastAsia="Calibri Light" w:cs="Calibri Light"/>
            <w:noProof w:val="0"/>
            <w:sz w:val="24"/>
            <w:szCs w:val="24"/>
            <w:lang w:val="en-US"/>
          </w:rPr>
          <w:t>https://www.ukri.org/councils/esrc/guidance-for-applicants/research-ethics-guidance/research-with-children-and-young-people/</w:t>
        </w:r>
      </w:hyperlink>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50641FB3" wp14:textId="7F0D4008">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Ulz, J. (2023). </w:t>
      </w:r>
      <w:r w:rsidRPr="5CFC583D" w:rsidR="615B5BAB">
        <w:rPr>
          <w:rFonts w:ascii="Calibri Light" w:hAnsi="Calibri Light" w:eastAsia="Calibri Light" w:cs="Calibri Light"/>
          <w:i w:val="1"/>
          <w:iCs w:val="1"/>
          <w:noProof w:val="0"/>
          <w:sz w:val="24"/>
          <w:szCs w:val="24"/>
          <w:lang w:val="en-US"/>
        </w:rPr>
        <w:t>What is a research paradigm? Types and examples | researcher.life</w:t>
      </w:r>
      <w:r w:rsidRPr="5CFC583D" w:rsidR="615B5BAB">
        <w:rPr>
          <w:rFonts w:ascii="Calibri Light" w:hAnsi="Calibri Light" w:eastAsia="Calibri Light" w:cs="Calibri Light"/>
          <w:noProof w:val="0"/>
          <w:sz w:val="24"/>
          <w:szCs w:val="24"/>
          <w:lang w:val="en-US"/>
        </w:rPr>
        <w:t xml:space="preserve">. [online] Researcher.Life Blog. Available at: </w:t>
      </w:r>
      <w:hyperlink r:id="R693f922f60524c78">
        <w:r w:rsidRPr="5CFC583D" w:rsidR="615B5BAB">
          <w:rPr>
            <w:rStyle w:val="Hyperlink"/>
            <w:rFonts w:ascii="Calibri Light" w:hAnsi="Calibri Light" w:eastAsia="Calibri Light" w:cs="Calibri Light"/>
            <w:strike w:val="0"/>
            <w:dstrike w:val="0"/>
            <w:noProof w:val="0"/>
            <w:color w:val="467886"/>
            <w:sz w:val="24"/>
            <w:szCs w:val="24"/>
            <w:u w:val="single"/>
            <w:lang w:val="en-US"/>
          </w:rPr>
          <w:t>https://researcher.life/blog/article/what-is-a-research-paradigm-types-examples/</w:t>
        </w:r>
      </w:hyperlink>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4975639A" wp14:textId="78F320B9">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Veitch, J., Bagley, S., Ball, K. and Salmon, J. (2006). ‘</w:t>
      </w:r>
      <w:r w:rsidRPr="5CFC583D" w:rsidR="615B5BAB">
        <w:rPr>
          <w:rFonts w:ascii="Calibri Light" w:hAnsi="Calibri Light" w:eastAsia="Calibri Light" w:cs="Calibri Light"/>
          <w:i w:val="1"/>
          <w:iCs w:val="1"/>
          <w:noProof w:val="0"/>
          <w:sz w:val="24"/>
          <w:szCs w:val="24"/>
          <w:lang w:val="en-US"/>
        </w:rPr>
        <w:t>Where do children usually play? A qualitative study of parents’ perceptions of influences on children’s active free play’.</w:t>
      </w:r>
      <w:r w:rsidRPr="5CFC583D" w:rsidR="615B5BAB">
        <w:rPr>
          <w:rFonts w:ascii="Calibri Light" w:hAnsi="Calibri Light" w:eastAsia="Calibri Light" w:cs="Calibri Light"/>
          <w:noProof w:val="0"/>
          <w:sz w:val="24"/>
          <w:szCs w:val="24"/>
          <w:lang w:val="en-US"/>
        </w:rPr>
        <w:t xml:space="preserve"> </w:t>
      </w:r>
      <w:r w:rsidRPr="5CFC583D" w:rsidR="615B5BAB">
        <w:rPr>
          <w:rFonts w:ascii="Calibri Light" w:hAnsi="Calibri Light" w:eastAsia="Calibri Light" w:cs="Calibri Light"/>
          <w:i w:val="1"/>
          <w:iCs w:val="1"/>
          <w:noProof w:val="0"/>
          <w:sz w:val="24"/>
          <w:szCs w:val="24"/>
          <w:lang w:val="en-US"/>
        </w:rPr>
        <w:t>Health &amp; Place</w:t>
      </w:r>
      <w:r w:rsidRPr="5CFC583D" w:rsidR="615B5BAB">
        <w:rPr>
          <w:rFonts w:ascii="Calibri Light" w:hAnsi="Calibri Light" w:eastAsia="Calibri Light" w:cs="Calibri Light"/>
          <w:noProof w:val="0"/>
          <w:sz w:val="24"/>
          <w:szCs w:val="24"/>
          <w:lang w:val="en-US"/>
        </w:rPr>
        <w:t xml:space="preserve">, 12(4), pp.383–393. Doi: </w:t>
      </w:r>
      <w:hyperlink r:id="R9d93c2320cac4b47">
        <w:r w:rsidRPr="5CFC583D" w:rsidR="615B5BAB">
          <w:rPr>
            <w:rStyle w:val="Hyperlink"/>
            <w:rFonts w:ascii="Calibri Light" w:hAnsi="Calibri Light" w:eastAsia="Calibri Light" w:cs="Calibri Light"/>
            <w:noProof w:val="0"/>
            <w:sz w:val="24"/>
            <w:szCs w:val="24"/>
            <w:lang w:val="en-US"/>
          </w:rPr>
          <w:t>HTTPs://doi.org/10.1016/j.healthplace.2005.02.009</w:t>
        </w:r>
      </w:hyperlink>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22B38949" wp14:textId="6138ECB1">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Vygotsky, L. S. (1978). </w:t>
      </w:r>
      <w:r w:rsidRPr="5CFC583D" w:rsidR="615B5BAB">
        <w:rPr>
          <w:rFonts w:ascii="Calibri Light" w:hAnsi="Calibri Light" w:eastAsia="Calibri Light" w:cs="Calibri Light"/>
          <w:i w:val="1"/>
          <w:iCs w:val="1"/>
          <w:noProof w:val="0"/>
          <w:sz w:val="24"/>
          <w:szCs w:val="24"/>
          <w:lang w:val="en-US"/>
        </w:rPr>
        <w:t>‘The Role of Play in Development- In Mind in Society’.</w:t>
      </w:r>
      <w:r w:rsidRPr="5CFC583D" w:rsidR="615B5BAB">
        <w:rPr>
          <w:rFonts w:ascii="Calibri Light" w:hAnsi="Calibri Light" w:eastAsia="Calibri Light" w:cs="Calibri Light"/>
          <w:noProof w:val="0"/>
          <w:sz w:val="24"/>
          <w:szCs w:val="24"/>
          <w:lang w:val="en-US"/>
        </w:rPr>
        <w:t xml:space="preserve"> (pp. 92-104). Cambridge, MA: Harvard University Press.</w:t>
      </w:r>
    </w:p>
    <w:p xmlns:wp14="http://schemas.microsoft.com/office/word/2010/wordml" w:rsidP="5CFC583D" wp14:paraId="15CE1D71" wp14:textId="14E77520">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Walliman, N. (2021). Research Methods. </w:t>
      </w:r>
      <w:r w:rsidRPr="5CFC583D" w:rsidR="615B5BAB">
        <w:rPr>
          <w:rFonts w:ascii="Calibri Light" w:hAnsi="Calibri Light" w:eastAsia="Calibri Light" w:cs="Calibri Light"/>
          <w:i w:val="1"/>
          <w:iCs w:val="1"/>
          <w:noProof w:val="0"/>
          <w:sz w:val="24"/>
          <w:szCs w:val="24"/>
          <w:lang w:val="en-US"/>
        </w:rPr>
        <w:t>Routledge</w:t>
      </w:r>
      <w:r w:rsidRPr="5CFC583D" w:rsidR="615B5BAB">
        <w:rPr>
          <w:rFonts w:ascii="Calibri Light" w:hAnsi="Calibri Light" w:eastAsia="Calibri Light" w:cs="Calibri Light"/>
          <w:noProof w:val="0"/>
          <w:sz w:val="24"/>
          <w:szCs w:val="24"/>
          <w:lang w:val="en-US"/>
        </w:rPr>
        <w:t xml:space="preserve">. doi: </w:t>
      </w:r>
      <w:hyperlink r:id="R3be4368c28724db1">
        <w:r w:rsidRPr="5CFC583D" w:rsidR="615B5BAB">
          <w:rPr>
            <w:rStyle w:val="Hyperlink"/>
            <w:rFonts w:ascii="Calibri Light" w:hAnsi="Calibri Light" w:eastAsia="Calibri Light" w:cs="Calibri Light"/>
            <w:noProof w:val="0"/>
            <w:sz w:val="24"/>
            <w:szCs w:val="24"/>
            <w:lang w:val="en-US"/>
          </w:rPr>
          <w:t>https://doi.org/10.4324/9781003141693</w:t>
        </w:r>
      </w:hyperlink>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62C72817" wp14:textId="42753783">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w:t>
      </w:r>
      <w:r w:rsidRPr="5CFC583D" w:rsidR="615B5BAB">
        <w:rPr>
          <w:rFonts w:ascii="Calibri Light" w:hAnsi="Calibri Light" w:eastAsia="Calibri Light" w:cs="Calibri Light"/>
          <w:noProof w:val="0"/>
          <w:color w:val="2C3E50"/>
          <w:sz w:val="24"/>
          <w:szCs w:val="24"/>
          <w:lang w:val="en-US"/>
        </w:rPr>
        <w:t xml:space="preserve"> </w:t>
      </w:r>
      <w:r w:rsidRPr="5CFC583D" w:rsidR="615B5BAB">
        <w:rPr>
          <w:rFonts w:ascii="Calibri Light" w:hAnsi="Calibri Light" w:eastAsia="Calibri Light" w:cs="Calibri Light"/>
          <w:noProof w:val="0"/>
          <w:sz w:val="24"/>
          <w:szCs w:val="24"/>
          <w:lang w:val="en-US"/>
        </w:rPr>
        <w:t xml:space="preserve">Welsh Government (2009). </w:t>
      </w:r>
      <w:r w:rsidRPr="5CFC583D" w:rsidR="615B5BAB">
        <w:rPr>
          <w:rFonts w:ascii="Calibri Light" w:hAnsi="Calibri Light" w:eastAsia="Calibri Light" w:cs="Calibri Light"/>
          <w:i w:val="1"/>
          <w:iCs w:val="1"/>
          <w:noProof w:val="0"/>
          <w:sz w:val="24"/>
          <w:szCs w:val="24"/>
          <w:lang w:val="en-US"/>
        </w:rPr>
        <w:t>Foundation Phase Outdoor Learning Handbook</w:t>
      </w:r>
      <w:r w:rsidRPr="5CFC583D" w:rsidR="615B5BAB">
        <w:rPr>
          <w:rFonts w:ascii="Calibri Light" w:hAnsi="Calibri Light" w:eastAsia="Calibri Light" w:cs="Calibri Light"/>
          <w:noProof w:val="0"/>
          <w:sz w:val="24"/>
          <w:szCs w:val="24"/>
          <w:lang w:val="en-US"/>
        </w:rPr>
        <w:t xml:space="preserve">. [online] Available at: </w:t>
      </w:r>
      <w:hyperlink r:id="R7320b66ab65e4d8b">
        <w:r w:rsidRPr="5CFC583D" w:rsidR="615B5BAB">
          <w:rPr>
            <w:rStyle w:val="Hyperlink"/>
            <w:rFonts w:ascii="Calibri Light" w:hAnsi="Calibri Light" w:eastAsia="Calibri Light" w:cs="Calibri Light"/>
            <w:strike w:val="0"/>
            <w:dstrike w:val="0"/>
            <w:noProof w:val="0"/>
            <w:color w:val="467886"/>
            <w:sz w:val="24"/>
            <w:szCs w:val="24"/>
            <w:u w:val="single"/>
            <w:lang w:val="en-US"/>
          </w:rPr>
          <w:t>https://hwb.gov.wales/storage/fcb8539c-9be7-4883-8542-35d7b54b56f2/foundation-phase-outdoor-learning-handbook.pdf</w:t>
        </w:r>
      </w:hyperlink>
      <w:r w:rsidRPr="5CFC583D" w:rsidR="615B5BAB">
        <w:rPr>
          <w:rFonts w:ascii="Calibri Light" w:hAnsi="Calibri Light" w:eastAsia="Calibri Light" w:cs="Calibri Light"/>
          <w:noProof w:val="0"/>
          <w:sz w:val="24"/>
          <w:szCs w:val="24"/>
          <w:lang w:val="en-US"/>
        </w:rPr>
        <w:t>.</w:t>
      </w:r>
    </w:p>
    <w:p xmlns:wp14="http://schemas.microsoft.com/office/word/2010/wordml" w:rsidP="5CFC583D" wp14:paraId="046B620C" wp14:textId="244347D6">
      <w:pPr>
        <w:spacing w:before="0" w:beforeAutospacing="off" w:after="160" w:afterAutospacing="off" w:line="252" w:lineRule="auto"/>
      </w:pPr>
      <w:r w:rsidRPr="5CFC583D" w:rsidR="615B5BAB">
        <w:rPr>
          <w:rFonts w:ascii="Calibri Light" w:hAnsi="Calibri Light" w:eastAsia="Calibri Light" w:cs="Calibri Light"/>
          <w:noProof w:val="0"/>
          <w:color w:val="000000" w:themeColor="text1" w:themeTint="FF" w:themeShade="FF"/>
          <w:sz w:val="24"/>
          <w:szCs w:val="24"/>
          <w:lang w:val="en-US"/>
        </w:rPr>
        <w:t xml:space="preserve">Welsh Government. (2021). </w:t>
      </w:r>
      <w:r w:rsidRPr="5CFC583D" w:rsidR="615B5BAB">
        <w:rPr>
          <w:rFonts w:ascii="Calibri Light" w:hAnsi="Calibri Light" w:eastAsia="Calibri Light" w:cs="Calibri Light"/>
          <w:i w:val="1"/>
          <w:iCs w:val="1"/>
          <w:noProof w:val="0"/>
          <w:color w:val="000000" w:themeColor="text1" w:themeTint="FF" w:themeShade="FF"/>
          <w:sz w:val="24"/>
          <w:szCs w:val="24"/>
          <w:lang w:val="en-US"/>
        </w:rPr>
        <w:t>‘A Curriculum for Wales’.</w:t>
      </w:r>
      <w:r w:rsidRPr="5CFC583D" w:rsidR="615B5BAB">
        <w:rPr>
          <w:rFonts w:ascii="Calibri Light" w:hAnsi="Calibri Light" w:eastAsia="Calibri Light" w:cs="Calibri Light"/>
          <w:noProof w:val="0"/>
          <w:color w:val="000000" w:themeColor="text1" w:themeTint="FF" w:themeShade="FF"/>
          <w:sz w:val="24"/>
          <w:szCs w:val="24"/>
          <w:lang w:val="en-US"/>
        </w:rPr>
        <w:t xml:space="preserve"> Available at: </w:t>
      </w:r>
      <w:hyperlink r:id="R18d25bc638bf4ceb">
        <w:r w:rsidRPr="5CFC583D" w:rsidR="615B5BAB">
          <w:rPr>
            <w:rStyle w:val="Hyperlink"/>
            <w:rFonts w:ascii="Calibri Light" w:hAnsi="Calibri Light" w:eastAsia="Calibri Light" w:cs="Calibri Light"/>
            <w:strike w:val="0"/>
            <w:dstrike w:val="0"/>
            <w:noProof w:val="0"/>
            <w:color w:val="467886"/>
            <w:sz w:val="24"/>
            <w:szCs w:val="24"/>
            <w:u w:val="single"/>
            <w:lang w:val="en-US"/>
          </w:rPr>
          <w:t>Teaching and learning in the outdoors: the current state of outdoor learning in schools in Wales (gov.wales)</w:t>
        </w:r>
      </w:hyperlink>
      <w:r w:rsidRPr="5CFC583D" w:rsidR="615B5BAB">
        <w:rPr>
          <w:rFonts w:ascii="Calibri Light" w:hAnsi="Calibri Light" w:eastAsia="Calibri Light" w:cs="Calibri Light"/>
          <w:noProof w:val="0"/>
          <w:color w:val="000000" w:themeColor="text1" w:themeTint="FF" w:themeShade="FF"/>
          <w:sz w:val="24"/>
          <w:szCs w:val="24"/>
          <w:lang w:val="en-US"/>
        </w:rPr>
        <w:t>. (Accessed: 16</w:t>
      </w:r>
      <w:r w:rsidRPr="5CFC583D" w:rsidR="615B5BAB">
        <w:rPr>
          <w:rFonts w:ascii="Calibri Light" w:hAnsi="Calibri Light" w:eastAsia="Calibri Light" w:cs="Calibri Light"/>
          <w:noProof w:val="0"/>
          <w:color w:val="000000" w:themeColor="text1" w:themeTint="FF" w:themeShade="FF"/>
          <w:sz w:val="24"/>
          <w:szCs w:val="24"/>
          <w:vertAlign w:val="superscript"/>
          <w:lang w:val="en-US"/>
        </w:rPr>
        <w:t>th</w:t>
      </w:r>
      <w:r w:rsidRPr="5CFC583D" w:rsidR="615B5BAB">
        <w:rPr>
          <w:rFonts w:ascii="Calibri Light" w:hAnsi="Calibri Light" w:eastAsia="Calibri Light" w:cs="Calibri Light"/>
          <w:noProof w:val="0"/>
          <w:color w:val="000000" w:themeColor="text1" w:themeTint="FF" w:themeShade="FF"/>
          <w:sz w:val="24"/>
          <w:szCs w:val="24"/>
          <w:lang w:val="en-US"/>
        </w:rPr>
        <w:t xml:space="preserve"> October 2024). </w:t>
      </w:r>
    </w:p>
    <w:p xmlns:wp14="http://schemas.microsoft.com/office/word/2010/wordml" w:rsidP="5CFC583D" wp14:paraId="220638C2" wp14:textId="149496C5">
      <w:pPr>
        <w:spacing w:before="0" w:beforeAutospacing="off" w:after="160" w:afterAutospacing="off" w:line="252" w:lineRule="auto"/>
      </w:pPr>
      <w:r w:rsidRPr="5CFC583D" w:rsidR="615B5BAB">
        <w:rPr>
          <w:rFonts w:ascii="Calibri Light" w:hAnsi="Calibri Light" w:eastAsia="Calibri Light" w:cs="Calibri Light"/>
          <w:noProof w:val="0"/>
          <w:sz w:val="24"/>
          <w:szCs w:val="24"/>
          <w:lang w:val="en-US"/>
        </w:rPr>
        <w:t xml:space="preserve"> </w:t>
      </w:r>
    </w:p>
    <w:p xmlns:wp14="http://schemas.microsoft.com/office/word/2010/wordml" w:rsidP="5CFC583D" wp14:paraId="6BF27C31" wp14:textId="059DF8D9">
      <w:pPr>
        <w:spacing w:before="0" w:beforeAutospacing="off" w:after="160" w:afterAutospacing="off" w:line="252" w:lineRule="auto"/>
        <w:rPr>
          <w:rFonts w:ascii="Aptos" w:hAnsi="Aptos" w:eastAsia="Aptos" w:cs="Aptos"/>
          <w:noProof w:val="0"/>
          <w:sz w:val="22"/>
          <w:szCs w:val="22"/>
          <w:lang w:val="en-US"/>
        </w:rPr>
      </w:pPr>
    </w:p>
    <w:p xmlns:wp14="http://schemas.microsoft.com/office/word/2010/wordml" wp14:paraId="2C078E63" wp14:textId="44CB6E85"/>
    <w:p w:rsidR="5CFC583D" w:rsidRDefault="5CFC583D" w14:paraId="5B6DF689" w14:textId="47E2D556"/>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9ef3c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AA4DCA"/>
    <w:rsid w:val="1CAA4DCA"/>
    <w:rsid w:val="221B7036"/>
    <w:rsid w:val="5CFC583D"/>
    <w:rsid w:val="615B5B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A4DCA"/>
  <w15:chartTrackingRefBased/>
  <w15:docId w15:val="{7E5A0579-B4BC-407F-B6D8-01BB598CA2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2968/nuwa.2009.23.6.1093061" TargetMode="External" Id="R31cb2b02997a41a0" /><Relationship Type="http://schemas.openxmlformats.org/officeDocument/2006/relationships/hyperlink" Target="https://user-research.education.gov.uk/guidance/ethics-and-safeguarding/research-with-children-and-young-people" TargetMode="External" Id="Re54639a26d344a46" /><Relationship Type="http://schemas.openxmlformats.org/officeDocument/2006/relationships/hyperlink" Target="https://www.education-ni.gov.uk/articles/play-matters" TargetMode="External" Id="R31e9f8db6b064b1f" /><Relationship Type="http://schemas.openxmlformats.org/officeDocument/2006/relationships/hyperlink" Target="https://childethics.com/glossary/ethics/" TargetMode="External" Id="Rd1537055ae384496" /><Relationship Type="http://schemas.openxmlformats.org/officeDocument/2006/relationships/hyperlink" Target="https://doi.org/10.1007/BF02766777" TargetMode="External" Id="R024b0945e8564e31" /><Relationship Type="http://schemas.openxmlformats.org/officeDocument/2006/relationships/hyperlink" Target="https://researchmethod.net/qualitative-data/" TargetMode="External" Id="Rd43b817b778340c7" /><Relationship Type="http://schemas.openxmlformats.org/officeDocument/2006/relationships/hyperlink" Target="https://www.datamation.com/big-data/what-is-quantitative-data/" TargetMode="External" Id="R3143d1bc1e674fff" /><Relationship Type="http://schemas.openxmlformats.org/officeDocument/2006/relationships/hyperlink" Target="https://doi.org/10.1007/978-90-481-9219-9_9" TargetMode="External" Id="R43e4d212ec3a48a5" /><Relationship Type="http://schemas.openxmlformats.org/officeDocument/2006/relationships/hyperlink" Target="https://doi.org/10.1108/JBIM-02-2017-0039" TargetMode="External" Id="R2db2a83decf744c9" /><Relationship Type="http://schemas.openxmlformats.org/officeDocument/2006/relationships/hyperlink" Target="https://www.ucl.ac.uk/data-protection/sites/data_protection/files/research_with_children_guidance_v1.2.pdf" TargetMode="External" Id="Rc183d8f19e3d4b3f" /><Relationship Type="http://schemas.openxmlformats.org/officeDocument/2006/relationships/hyperlink" Target="https://www.perlego.com/book/2801016/research-in-early-childhood-pdf" TargetMode="External" Id="R643db0aa94aa4a17" /><Relationship Type="http://schemas.openxmlformats.org/officeDocument/2006/relationships/hyperlink" Target="https://learning.nspcc.org.uk/research-resources/briefings/research-with-children-ethics-safety-promoting-inclusion" TargetMode="External" Id="Rf83ee7ec11284432" /><Relationship Type="http://schemas.openxmlformats.org/officeDocument/2006/relationships/hyperlink" Target="https://www.gov.uk/guidance/mixed-methods-study" TargetMode="External" Id="R470cbfd211554a22" /><Relationship Type="http://schemas.openxmlformats.org/officeDocument/2006/relationships/hyperlink" Target="https://doi.org/10.21586/ross0000004" TargetMode="External" Id="R603f9e731a524885" /><Relationship Type="http://schemas.openxmlformats.org/officeDocument/2006/relationships/hyperlink" Target="https://www.psychologytoday.com/us/blog/freedom-to-learn/202205/what-is-play-how-children-define-it?msockid=2767eaa08ca769021b8ff90b8d1c6857" TargetMode="External" Id="R982547f387f44ae3" /><Relationship Type="http://schemas.openxmlformats.org/officeDocument/2006/relationships/hyperlink" Target="http://nbn-resolving.de/urn:nbn:de:0114-" TargetMode="External" Id="R36e34e4b33654bb8" /><Relationship Type="http://schemas.openxmlformats.org/officeDocument/2006/relationships/hyperlink" Target="https://doi.org/10.1080/0957514032000045573" TargetMode="External" Id="R6b73f1991ae64f30" /><Relationship Type="http://schemas.openxmlformats.org/officeDocument/2006/relationships/hyperlink" Target="https://www.ukri.org/councils/esrc/guidance-for-applicants/research-ethics-guidance/research-with-children-and-young-people/" TargetMode="External" Id="Re75262c99e944b24" /><Relationship Type="http://schemas.openxmlformats.org/officeDocument/2006/relationships/hyperlink" Target="https://researcher.life/blog/article/what-is-a-research-paradigm-types-examples/" TargetMode="External" Id="R693f922f60524c78" /><Relationship Type="http://schemas.openxmlformats.org/officeDocument/2006/relationships/hyperlink" Target="HTTPs://doi.org/10.1016/j.healthplace.2005.02.009" TargetMode="External" Id="R9d93c2320cac4b47" /><Relationship Type="http://schemas.openxmlformats.org/officeDocument/2006/relationships/hyperlink" Target="https://doi.org/10.4324/9781003141693" TargetMode="External" Id="R3be4368c28724db1" /><Relationship Type="http://schemas.openxmlformats.org/officeDocument/2006/relationships/hyperlink" Target="https://hwb.gov.wales/storage/fcb8539c-9be7-4883-8542-35d7b54b56f2/foundation-phase-outdoor-learning-handbook.pdf" TargetMode="External" Id="R7320b66ab65e4d8b" /><Relationship Type="http://schemas.openxmlformats.org/officeDocument/2006/relationships/hyperlink" Target="https://hwb.gov.wales/api/storage/177a33a6-7c70-4843-bb63-903e70a04154/teaching-and-learning-in-the-outdoors-the-current-state-of-outdoor-learning-in-schools-in-wales.pdf" TargetMode="External" Id="R18d25bc638bf4ceb" /><Relationship Type="http://schemas.openxmlformats.org/officeDocument/2006/relationships/numbering" Target="numbering.xml" Id="R114557fb688243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2024-10-27T18:55:59.1625156Z</dcterms:created>
  <dcterms:modified xsi:type="dcterms:W3CDTF">2024-10-27T18:57:19.7607158Z</dcterms:modified>
  <dc:creator>Isabelle Ellsmore (2320834)</dc:creator>
  <lastModifiedBy>Isabelle Ellsmore (2320834)</lastModifiedBy>
</coreProperties>
</file>