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_rels/document.xml.rels" ContentType="application/vnd.openxmlformats-package.relationships+xml"/>
  <Override PartName="/word/theme/theme1.xml" ContentType="application/vnd.openxmlformats-officedocument.theme+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ing1"/>
        <w:numPr>
          <w:ilvl w:val="0"/>
          <w:numId w:val="0"/>
        </w:numPr>
        <w:bidi w:val="0"/>
        <w:spacing w:before="240" w:after="120"/>
        <w:jc w:val="left"/>
        <w:rPr>
          <w:rFonts w:ascii="Arial" w:hAnsi="Arial" w:cs="Arial"/>
          <w:sz w:val="22"/>
          <w:szCs w:val="22"/>
        </w:rPr>
      </w:pPr>
      <w:r>
        <w:rPr/>
      </w:r>
    </w:p>
    <w:tbl>
      <w:tblPr>
        <w:tblW w:w="9922" w:type="dxa"/>
        <w:jc w:val="left"/>
        <w:tblInd w:w="392" w:type="dxa"/>
        <w:tblLayout w:type="fixed"/>
        <w:tblCellMar>
          <w:top w:w="0" w:type="dxa"/>
          <w:left w:w="108" w:type="dxa"/>
          <w:bottom w:w="0" w:type="dxa"/>
          <w:right w:w="108" w:type="dxa"/>
        </w:tblCellMar>
        <w:tblLook w:firstRow="0" w:noVBand="0" w:lastRow="0" w:firstColumn="0" w:lastColumn="0" w:noHBand="0" w:val="0000"/>
      </w:tblPr>
      <w:tblGrid>
        <w:gridCol w:w="2092"/>
        <w:gridCol w:w="3293"/>
        <w:gridCol w:w="2268"/>
        <w:gridCol w:w="2269"/>
      </w:tblGrid>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bidi w:val="0"/>
              <w:spacing w:before="120" w:after="120"/>
              <w:jc w:val="both"/>
              <w:rPr>
                <w:rFonts w:ascii="Arial" w:hAnsi="Arial" w:cs="Arial"/>
                <w:b/>
                <w:sz w:val="22"/>
                <w:szCs w:val="22"/>
              </w:rPr>
            </w:pPr>
            <w:r>
              <w:rPr>
                <w:rFonts w:cs="Arial" w:ascii="Arial" w:hAnsi="Arial"/>
                <w:b/>
                <w:sz w:val="22"/>
                <w:szCs w:val="22"/>
              </w:rPr>
              <w:t>Student name:</w:t>
            </w:r>
          </w:p>
        </w:tc>
        <w:tc>
          <w:tcPr>
            <w:tcW w:w="3293" w:type="dxa"/>
            <w:tcBorders>
              <w:top w:val="single" w:sz="4" w:space="0" w:color="000000"/>
              <w:left w:val="single" w:sz="4" w:space="0" w:color="000000"/>
              <w:bottom w:val="single" w:sz="4" w:space="0" w:color="000000"/>
              <w:right w:val="single" w:sz="4" w:space="0" w:color="000000"/>
            </w:tcBorders>
          </w:tcPr>
          <w:p>
            <w:pPr>
              <w:pStyle w:val="Normal"/>
              <w:bidi w:val="0"/>
              <w:spacing w:before="120" w:after="120"/>
              <w:jc w:val="both"/>
              <w:rPr>
                <w:rFonts w:ascii="Arial" w:hAnsi="Arial" w:cs="Arial"/>
                <w:b/>
                <w:sz w:val="22"/>
                <w:szCs w:val="22"/>
              </w:rPr>
            </w:pPr>
            <w:r>
              <w:rPr>
                <w:rFonts w:cs="Arial" w:ascii="Arial" w:hAnsi="Arial"/>
                <w:b/>
                <w:sz w:val="22"/>
                <w:szCs w:val="22"/>
              </w:rPr>
              <w:t>Gareth Bryant</w:t>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Normal"/>
              <w:bidi w:val="0"/>
              <w:spacing w:before="120" w:after="120"/>
              <w:jc w:val="both"/>
              <w:rPr>
                <w:rFonts w:ascii="Arial" w:hAnsi="Arial" w:cs="Arial"/>
                <w:b/>
                <w:sz w:val="22"/>
                <w:szCs w:val="22"/>
              </w:rPr>
            </w:pPr>
            <w:r>
              <w:rPr>
                <w:rFonts w:cs="Arial" w:ascii="Arial" w:hAnsi="Arial"/>
                <w:b/>
                <w:sz w:val="22"/>
                <w:szCs w:val="22"/>
              </w:rPr>
              <w:t>Student ID number:</w:t>
            </w:r>
          </w:p>
        </w:tc>
        <w:tc>
          <w:tcPr>
            <w:tcW w:w="2269" w:type="dxa"/>
            <w:tcBorders>
              <w:top w:val="single" w:sz="4" w:space="0" w:color="000000"/>
              <w:left w:val="single" w:sz="4" w:space="0" w:color="000000"/>
              <w:bottom w:val="single" w:sz="4" w:space="0" w:color="000000"/>
              <w:right w:val="single" w:sz="4" w:space="0" w:color="000000"/>
            </w:tcBorders>
          </w:tcPr>
          <w:p>
            <w:pPr>
              <w:pStyle w:val="Normal"/>
              <w:bidi w:val="0"/>
              <w:spacing w:before="120" w:after="120"/>
              <w:jc w:val="both"/>
              <w:rPr>
                <w:rFonts w:ascii="Arial" w:hAnsi="Arial" w:cs="Arial"/>
                <w:b/>
                <w:sz w:val="22"/>
                <w:szCs w:val="22"/>
              </w:rPr>
            </w:pPr>
            <w:r>
              <w:rPr>
                <w:rFonts w:cs="Arial" w:ascii="Arial" w:hAnsi="Arial"/>
                <w:b/>
                <w:sz w:val="22"/>
                <w:szCs w:val="22"/>
              </w:rPr>
              <w:t>0150226</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bidi w:val="0"/>
              <w:spacing w:before="120" w:after="120"/>
              <w:jc w:val="both"/>
              <w:rPr>
                <w:rFonts w:ascii="Arial" w:hAnsi="Arial" w:cs="Arial"/>
                <w:b/>
                <w:sz w:val="22"/>
                <w:szCs w:val="22"/>
              </w:rPr>
            </w:pPr>
            <w:r>
              <w:rPr>
                <w:rFonts w:cs="Arial" w:ascii="Arial" w:hAnsi="Arial"/>
                <w:b/>
                <w:sz w:val="22"/>
                <w:szCs w:val="22"/>
              </w:rPr>
              <w:t>Programme:</w:t>
            </w:r>
          </w:p>
        </w:tc>
        <w:tc>
          <w:tcPr>
            <w:tcW w:w="7830" w:type="dxa"/>
            <w:gridSpan w:val="3"/>
            <w:tcBorders>
              <w:top w:val="single" w:sz="4" w:space="0" w:color="000000"/>
              <w:left w:val="single" w:sz="4" w:space="0" w:color="000000"/>
              <w:bottom w:val="single" w:sz="4" w:space="0" w:color="000000"/>
              <w:right w:val="single" w:sz="4" w:space="0" w:color="000000"/>
            </w:tcBorders>
          </w:tcPr>
          <w:p>
            <w:pPr>
              <w:pStyle w:val="Normal"/>
              <w:bidi w:val="0"/>
              <w:spacing w:before="120" w:after="120"/>
              <w:jc w:val="both"/>
              <w:rPr>
                <w:rFonts w:ascii="Arial" w:hAnsi="Arial" w:cs="Arial"/>
                <w:b/>
                <w:sz w:val="22"/>
                <w:szCs w:val="22"/>
              </w:rPr>
            </w:pPr>
            <w:r>
              <w:rPr>
                <w:rFonts w:cs="Arial" w:ascii="Arial" w:hAnsi="Arial"/>
                <w:b/>
                <w:sz w:val="22"/>
                <w:szCs w:val="22"/>
              </w:rPr>
              <w:t>Computer Networks and Cyber Security</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bidi w:val="0"/>
              <w:spacing w:before="120" w:after="120"/>
              <w:jc w:val="both"/>
              <w:rPr>
                <w:rFonts w:ascii="Arial" w:hAnsi="Arial" w:cs="Arial"/>
                <w:b/>
                <w:sz w:val="22"/>
                <w:szCs w:val="22"/>
              </w:rPr>
            </w:pPr>
            <w:r>
              <w:rPr>
                <w:rFonts w:cs="Arial" w:ascii="Arial" w:hAnsi="Arial"/>
                <w:b/>
                <w:sz w:val="22"/>
                <w:szCs w:val="22"/>
              </w:rPr>
              <w:t>Module:</w:t>
            </w:r>
          </w:p>
        </w:tc>
        <w:tc>
          <w:tcPr>
            <w:tcW w:w="7830"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bidi w:val="0"/>
              <w:spacing w:before="120" w:after="120"/>
              <w:jc w:val="both"/>
              <w:rPr>
                <w:rFonts w:ascii="Arial" w:hAnsi="Arial" w:cs="Arial"/>
                <w:b/>
                <w:sz w:val="22"/>
                <w:szCs w:val="22"/>
              </w:rPr>
            </w:pPr>
            <w:r>
              <w:rPr>
                <w:rFonts w:cs="Arial" w:ascii="Arial" w:hAnsi="Arial"/>
                <w:b/>
                <w:sz w:val="22"/>
                <w:szCs w:val="22"/>
              </w:rPr>
              <w:t>Advanced Cybersecurity</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bidi w:val="0"/>
              <w:spacing w:before="120" w:after="120"/>
              <w:jc w:val="both"/>
              <w:rPr>
                <w:rFonts w:ascii="Arial" w:hAnsi="Arial" w:cs="Arial"/>
                <w:b/>
                <w:sz w:val="22"/>
                <w:szCs w:val="22"/>
              </w:rPr>
            </w:pPr>
            <w:r>
              <w:rPr>
                <w:rFonts w:cs="Arial" w:ascii="Arial" w:hAnsi="Arial"/>
                <w:b/>
                <w:sz w:val="22"/>
                <w:szCs w:val="22"/>
              </w:rPr>
              <w:t>Module code:</w:t>
            </w:r>
          </w:p>
        </w:tc>
        <w:tc>
          <w:tcPr>
            <w:tcW w:w="3293" w:type="dxa"/>
            <w:tcBorders>
              <w:top w:val="single" w:sz="4" w:space="0" w:color="000000"/>
              <w:left w:val="single" w:sz="4" w:space="0" w:color="000000"/>
              <w:bottom w:val="single" w:sz="4" w:space="0" w:color="000000"/>
              <w:right w:val="single" w:sz="4" w:space="0" w:color="000000"/>
            </w:tcBorders>
          </w:tcPr>
          <w:p>
            <w:pPr>
              <w:pStyle w:val="Normal"/>
              <w:bidi w:val="0"/>
              <w:spacing w:before="120" w:after="120"/>
              <w:jc w:val="both"/>
              <w:rPr>
                <w:rFonts w:ascii="Arial" w:hAnsi="Arial" w:cs="Arial"/>
                <w:b/>
                <w:sz w:val="22"/>
                <w:szCs w:val="22"/>
              </w:rPr>
            </w:pPr>
            <w:r>
              <w:rPr>
                <w:rFonts w:cs="Arial" w:ascii="Arial" w:hAnsi="Arial"/>
                <w:b/>
                <w:sz w:val="22"/>
                <w:szCs w:val="22"/>
              </w:rPr>
              <w:t>ACCB6000</w:t>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Heading2"/>
              <w:bidi w:val="0"/>
              <w:spacing w:before="200" w:after="120"/>
              <w:jc w:val="left"/>
              <w:rPr>
                <w:rFonts w:ascii="Arial" w:hAnsi="Arial" w:cs="Arial"/>
                <w:sz w:val="22"/>
                <w:szCs w:val="22"/>
              </w:rPr>
            </w:pPr>
            <w:r>
              <w:rPr/>
            </w:r>
          </w:p>
        </w:tc>
        <w:tc>
          <w:tcPr>
            <w:tcW w:w="2269" w:type="dxa"/>
            <w:tcBorders>
              <w:top w:val="single" w:sz="4" w:space="0" w:color="000000"/>
              <w:left w:val="single" w:sz="4" w:space="0" w:color="000000"/>
              <w:bottom w:val="single" w:sz="4" w:space="0" w:color="000000"/>
              <w:right w:val="single" w:sz="4" w:space="0" w:color="000000"/>
            </w:tcBorders>
          </w:tcPr>
          <w:p>
            <w:pPr>
              <w:pStyle w:val="Normal"/>
              <w:bidi w:val="0"/>
              <w:spacing w:before="120" w:after="120"/>
              <w:jc w:val="both"/>
              <w:rPr>
                <w:rFonts w:ascii="Arial" w:hAnsi="Arial" w:cs="Arial"/>
                <w:b/>
                <w:sz w:val="22"/>
                <w:szCs w:val="22"/>
              </w:rPr>
            </w:pPr>
            <w:r>
              <w:rPr/>
            </w:r>
          </w:p>
        </w:tc>
      </w:tr>
    </w:tbl>
    <w:p>
      <w:pPr>
        <w:pStyle w:val="Normal"/>
        <w:bidi w:val="0"/>
        <w:jc w:val="left"/>
        <w:rPr/>
      </w:pPr>
      <w:r>
        <w:rPr/>
      </w:r>
    </w:p>
    <w:sdt>
      <w:sdtPr>
        <w:docPartObj>
          <w:docPartGallery w:val="Table of Contents"/>
          <w:docPartUnique w:val="true"/>
        </w:docPartObj>
      </w:sdtPr>
      <w:sdtContent>
        <w:p>
          <w:pPr>
            <w:pStyle w:val="TOCHeading"/>
            <w:bidi w:val="0"/>
            <w:jc w:val="left"/>
            <w:rPr/>
          </w:pPr>
          <w:r>
            <w:br w:type="page"/>
          </w:r>
          <w:r>
            <w:rPr/>
            <w:t>Table of Contents</w:t>
          </w:r>
        </w:p>
        <w:p>
          <w:pPr>
            <w:pStyle w:val="TOC1"/>
            <w:bidi w:val="0"/>
            <w:jc w:val="left"/>
            <w:rPr/>
          </w:pPr>
          <w:r>
            <w:fldChar w:fldCharType="begin"/>
          </w:r>
          <w:r>
            <w:rPr>
              <w:rStyle w:val="IndexLink"/>
            </w:rPr>
            <w:instrText xml:space="preserve"> TOC \f \o "1-9" \h</w:instrText>
          </w:r>
          <w:r>
            <w:rPr>
              <w:rStyle w:val="IndexLink"/>
            </w:rPr>
            <w:fldChar w:fldCharType="separate"/>
          </w:r>
          <w:hyperlink w:anchor="__RefHeading___Toc19093_3735836893">
            <w:r>
              <w:rPr>
                <w:rStyle w:val="IndexLink"/>
              </w:rPr>
              <w:t>Abstraction</w:t>
              <w:tab/>
              <w:t>3</w:t>
            </w:r>
          </w:hyperlink>
        </w:p>
        <w:p>
          <w:pPr>
            <w:pStyle w:val="TOC1"/>
            <w:bidi w:val="0"/>
            <w:jc w:val="left"/>
            <w:rPr/>
          </w:pPr>
          <w:hyperlink w:anchor="__RefHeading___Toc15257_3735836893">
            <w:r>
              <w:rPr>
                <w:rStyle w:val="IndexLink"/>
              </w:rPr>
              <w:t>Threat hunting / detection Challenges and the Landscape</w:t>
              <w:tab/>
              <w:t>4</w:t>
            </w:r>
          </w:hyperlink>
        </w:p>
        <w:p>
          <w:pPr>
            <w:pStyle w:val="TOC1"/>
            <w:bidi w:val="0"/>
            <w:jc w:val="left"/>
            <w:rPr/>
          </w:pPr>
          <w:hyperlink w:anchor="__RefHeading___Toc15259_3735836893">
            <w:r>
              <w:rPr>
                <w:rStyle w:val="IndexLink"/>
              </w:rPr>
              <w:t>Threat Detection and Hunting Tools</w:t>
              <w:tab/>
              <w:t>8</w:t>
            </w:r>
          </w:hyperlink>
        </w:p>
        <w:p>
          <w:pPr>
            <w:pStyle w:val="TOC1"/>
            <w:bidi w:val="0"/>
            <w:jc w:val="left"/>
            <w:rPr/>
          </w:pPr>
          <w:hyperlink w:anchor="__RefHeading___Toc15261_3735836893">
            <w:r>
              <w:rPr>
                <w:rStyle w:val="IndexLink"/>
              </w:rPr>
              <w:t>Advancements in Threat Detection</w:t>
              <w:tab/>
              <w:t>9</w:t>
            </w:r>
          </w:hyperlink>
        </w:p>
        <w:p>
          <w:pPr>
            <w:pStyle w:val="TOC1"/>
            <w:bidi w:val="0"/>
            <w:jc w:val="left"/>
            <w:rPr/>
          </w:pPr>
          <w:hyperlink w:anchor="__RefHeading___Toc15263_3735836893">
            <w:r>
              <w:rPr>
                <w:rStyle w:val="IndexLink"/>
              </w:rPr>
              <w:t>Conclusion</w:t>
              <w:tab/>
              <w:t>9</w:t>
            </w:r>
          </w:hyperlink>
        </w:p>
        <w:p>
          <w:pPr>
            <w:pStyle w:val="TOC1"/>
            <w:bidi w:val="0"/>
            <w:jc w:val="left"/>
            <w:rPr/>
          </w:pPr>
          <w:hyperlink w:anchor="__RefHeading___Toc15265_3735836893">
            <w:r>
              <w:rPr>
                <w:rStyle w:val="IndexLink"/>
              </w:rPr>
              <w:t>References</w:t>
              <w:tab/>
              <w:t>10</w:t>
            </w:r>
          </w:hyperlink>
          <w:r>
            <w:rPr>
              <w:rStyle w:val="IndexLink"/>
            </w:rPr>
            <w:fldChar w:fldCharType="end"/>
          </w:r>
        </w:p>
      </w:sdtContent>
    </w:sdt>
    <w:p>
      <w:pPr>
        <w:pStyle w:val="Heading1"/>
        <w:numPr>
          <w:ilvl w:val="0"/>
          <w:numId w:val="0"/>
        </w:numPr>
        <w:bidi w:val="0"/>
        <w:jc w:val="left"/>
        <w:rPr>
          <w:rFonts w:ascii="Arial" w:hAnsi="Arial" w:cs="Arial"/>
          <w:sz w:val="22"/>
          <w:szCs w:val="22"/>
        </w:rPr>
      </w:pPr>
      <w:r>
        <w:rPr/>
      </w:r>
      <w:r>
        <w:br w:type="page"/>
      </w:r>
    </w:p>
    <w:p>
      <w:pPr>
        <w:pStyle w:val="Heading1"/>
        <w:bidi w:val="0"/>
        <w:ind w:hanging="0" w:left="0"/>
        <w:jc w:val="left"/>
        <w:rPr>
          <w:rFonts w:ascii="Arial" w:hAnsi="Arial"/>
        </w:rPr>
      </w:pPr>
      <w:bookmarkStart w:id="0" w:name="__RefHeading___Toc19093_3735836893"/>
      <w:bookmarkEnd w:id="0"/>
      <w:r>
        <w:rPr>
          <w:rFonts w:ascii="Arial" w:hAnsi="Arial"/>
        </w:rPr>
        <w:t>Abstraction</w:t>
      </w:r>
    </w:p>
    <w:p>
      <w:pPr>
        <w:pStyle w:val="ListParagraph"/>
        <w:bidi w:val="0"/>
        <w:jc w:val="left"/>
        <w:rPr>
          <w:rFonts w:ascii="Arial" w:hAnsi="Arial"/>
        </w:rPr>
      </w:pPr>
      <w:r>
        <w:rPr>
          <w:rFonts w:ascii="Arial" w:hAnsi="Arial"/>
        </w:rPr>
      </w:r>
    </w:p>
    <w:p>
      <w:pPr>
        <w:pStyle w:val="ListParagraph"/>
        <w:bidi w:val="0"/>
        <w:jc w:val="left"/>
        <w:rPr>
          <w:rFonts w:ascii="Arial" w:hAnsi="Arial"/>
        </w:rPr>
      </w:pPr>
      <w:r>
        <w:rPr>
          <w:rFonts w:ascii="Arial" w:hAnsi="Arial"/>
        </w:rPr>
        <w:t>Cybersecurity Blue Team operations must contend with a constantly changing array of complex threats. The difficulties and developments in threat hunting and identification in Blue Team operations are examined in this study. It examines the efficacy and constraints of existing approaches, instruments, and tactics in detecting and reducing cyberthreats. The study will examine the difficulties presented by ransomware, advanced persistent threats (APTs), and new dangers such as attacks driven by AI and ML. Additionally, it will look into how automation, machine learning, and artificial intelligence (AI) may improve threat detection and response capabilities. This study intends to offer insights for building organizational resilience against cyber threats and boosting Blue Team operations by analy</w:t>
      </w:r>
      <w:r>
        <w:rPr>
          <w:rFonts w:ascii="Arial" w:hAnsi="Arial"/>
        </w:rPr>
        <w:t>s</w:t>
      </w:r>
      <w:r>
        <w:rPr>
          <w:rFonts w:ascii="Arial" w:hAnsi="Arial"/>
        </w:rPr>
        <w:t xml:space="preserve">ing the state of the art and identifying important issues. </w:t>
      </w:r>
      <w:r>
        <w:br w:type="page"/>
      </w:r>
    </w:p>
    <w:p>
      <w:pPr>
        <w:pStyle w:val="Heading1"/>
        <w:numPr>
          <w:ilvl w:val="0"/>
          <w:numId w:val="0"/>
        </w:numPr>
        <w:bidi w:val="0"/>
        <w:jc w:val="left"/>
        <w:rPr/>
      </w:pPr>
      <w:bookmarkStart w:id="1" w:name="__RefHeading___Toc15257_3735836893"/>
      <w:bookmarkEnd w:id="1"/>
      <w:r>
        <w:rPr>
          <w:rFonts w:cs="Arial" w:ascii="Arial" w:hAnsi="Arial"/>
          <w:sz w:val="22"/>
          <w:szCs w:val="22"/>
        </w:rPr>
        <w:t xml:space="preserve">Threat hunting / </w:t>
      </w:r>
      <w:r>
        <w:rPr>
          <w:rFonts w:cs="Arial" w:ascii="Arial" w:hAnsi="Arial"/>
          <w:sz w:val="22"/>
          <w:szCs w:val="22"/>
        </w:rPr>
        <w:t>detection Challenges and the Landscape</w:t>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Fonts w:cs="Arial" w:ascii="Arial" w:hAnsi="Arial"/>
          <w:sz w:val="22"/>
          <w:szCs w:val="22"/>
        </w:rPr>
        <w:t>According to CrowdStrike[1], Vectra[2], and Elastic[3] to mention a few, threat reports for 2024, attacks are becoming more sophisticated and are requiring less time from acquiring credentials to achieving access. Discovering and thwarting attacks can be achieved through an automated process or manual intervention, with the ever evolving landscape of attacks it is often a combination of the two.</w:t>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Fonts w:cs="Arial" w:ascii="Arial" w:hAnsi="Arial"/>
          <w:sz w:val="22"/>
          <w:szCs w:val="22"/>
        </w:rPr>
        <w:t>In order to discover an on going attack or breach it is important to have an understanding of the attack surface. This is a challenge in itself, the network devices and software needs to be accounted for, this involves log collection, user identity tracking, and device recognition to be constantly collected and evaluated against existing malicious file signatures, user behaviour, normal network traffic, and expected software processes.</w:t>
      </w:r>
    </w:p>
    <w:p>
      <w:pPr>
        <w:pStyle w:val="ListParagraph"/>
        <w:bidi w:val="0"/>
        <w:jc w:val="both"/>
        <w:rPr>
          <w:rFonts w:ascii="Arial" w:hAnsi="Arial" w:cs="Arial"/>
          <w:sz w:val="22"/>
          <w:szCs w:val="22"/>
        </w:rPr>
      </w:pPr>
      <w:r>
        <w:rPr>
          <w:rFonts w:cs="Arial" w:ascii="Arial" w:hAnsi="Arial"/>
          <w:sz w:val="22"/>
          <w:szCs w:val="22"/>
        </w:rPr>
        <w:t xml:space="preserve">[3] Vectra’s 2024 State of Threat Detection report discusses just this paradigm, stating that AI will be playing a larger role in decision making and telemetry data analysis and that it’s affects have already been noticed throughout the surveys it has conducted in recent years. As we can see in the table below, Security Operation Teams (SOC) feel that AI will help them to overcome certain challenges. </w:t>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drawing>
          <wp:anchor behindDoc="0" distT="0" distB="0" distL="0" distR="0" simplePos="0" locked="0" layoutInCell="0" allowOverlap="1" relativeHeight="8">
            <wp:simplePos x="0" y="0"/>
            <wp:positionH relativeFrom="column">
              <wp:posOffset>492125</wp:posOffset>
            </wp:positionH>
            <wp:positionV relativeFrom="paragraph">
              <wp:posOffset>635</wp:posOffset>
            </wp:positionV>
            <wp:extent cx="5662930" cy="2856865"/>
            <wp:effectExtent l="0" t="0" r="0" b="0"/>
            <wp:wrapSquare wrapText="largest"/>
            <wp:docPr id="1" name="Imag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 descr=""/>
                    <pic:cNvPicPr>
                      <a:picLocks noChangeAspect="1" noChangeArrowheads="1"/>
                    </pic:cNvPicPr>
                  </pic:nvPicPr>
                  <pic:blipFill>
                    <a:blip r:embed="rId2"/>
                    <a:stretch>
                      <a:fillRect/>
                    </a:stretch>
                  </pic:blipFill>
                  <pic:spPr bwMode="auto">
                    <a:xfrm>
                      <a:off x="0" y="0"/>
                      <a:ext cx="5662930" cy="2856865"/>
                    </a:xfrm>
                    <a:prstGeom prst="rect">
                      <a:avLst/>
                    </a:prstGeom>
                  </pic:spPr>
                </pic:pic>
              </a:graphicData>
            </a:graphic>
          </wp:anchor>
        </w:drawing>
      </w:r>
      <w:r>
        <w:rPr>
          <w:rFonts w:cs="Arial" w:ascii="Arial" w:hAnsi="Arial"/>
          <w:sz w:val="22"/>
          <w:szCs w:val="22"/>
        </w:rPr>
        <w:t xml:space="preserve"> </w:t>
      </w:r>
      <w:r>
        <w:rPr>
          <w:rFonts w:cs="Arial" w:ascii="Arial" w:hAnsi="Arial"/>
          <w:sz w:val="22"/>
          <w:szCs w:val="22"/>
        </w:rPr>
        <w:t>Figure 1 [3]</w:t>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Fonts w:cs="Arial" w:ascii="Arial" w:hAnsi="Arial"/>
          <w:sz w:val="22"/>
          <w:szCs w:val="22"/>
        </w:rPr>
        <w:t xml:space="preserve">With the vast majority of attacks originating from insider threats or identity theft (through various methods such as spear-phishing / phishing, link spoofing, brute-forcing, key logging, physically stolen, etc...), identifying these legitimate accounts becomes a difficult task. </w:t>
      </w:r>
      <w:r>
        <w:rPr>
          <w:rFonts w:cs="Arial" w:ascii="Arial" w:hAnsi="Arial"/>
          <w:sz w:val="22"/>
          <w:szCs w:val="22"/>
        </w:rPr>
        <w:t>These credentials could also be from trusted outside sources such as contractors or other third parties that have been allowed access to some portion of the organisations data or access to some system. For example when the police or insurance companies access the DVLA to perform lookup checks.</w:t>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Fonts w:cs="Arial" w:ascii="Arial" w:hAnsi="Arial"/>
          <w:sz w:val="22"/>
          <w:szCs w:val="22"/>
        </w:rPr>
        <w:t>Elastic [2] notes that ‘they have observed a significant trend in information stealers leading to Credential Access, with stolen credentials often sold or used by other adversaries in subsequent campaigns’.</w:t>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drawing>
          <wp:anchor behindDoc="0" distT="0" distB="0" distL="0" distR="0" simplePos="0" locked="0" layoutInCell="0" allowOverlap="1" relativeHeight="5">
            <wp:simplePos x="0" y="0"/>
            <wp:positionH relativeFrom="column">
              <wp:posOffset>433705</wp:posOffset>
            </wp:positionH>
            <wp:positionV relativeFrom="paragraph">
              <wp:posOffset>635</wp:posOffset>
            </wp:positionV>
            <wp:extent cx="5662930" cy="2367915"/>
            <wp:effectExtent l="0" t="0" r="0" b="0"/>
            <wp:wrapSquare wrapText="largest"/>
            <wp:docPr id="2"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4" descr=""/>
                    <pic:cNvPicPr>
                      <a:picLocks noChangeAspect="1" noChangeArrowheads="1"/>
                    </pic:cNvPicPr>
                  </pic:nvPicPr>
                  <pic:blipFill>
                    <a:blip r:embed="rId3"/>
                    <a:stretch>
                      <a:fillRect/>
                    </a:stretch>
                  </pic:blipFill>
                  <pic:spPr bwMode="auto">
                    <a:xfrm>
                      <a:off x="0" y="0"/>
                      <a:ext cx="5662930" cy="2367915"/>
                    </a:xfrm>
                    <a:prstGeom prst="rect">
                      <a:avLst/>
                    </a:prstGeom>
                  </pic:spPr>
                </pic:pic>
              </a:graphicData>
            </a:graphic>
          </wp:anchor>
        </w:drawing>
      </w:r>
      <w:r>
        <w:rPr>
          <w:rFonts w:cs="Arial" w:ascii="Arial" w:hAnsi="Arial"/>
          <w:sz w:val="22"/>
          <w:szCs w:val="22"/>
        </w:rPr>
        <w:t>Figure 2 [2]</w:t>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Fonts w:cs="Arial" w:ascii="Arial" w:hAnsi="Arial"/>
          <w:sz w:val="22"/>
          <w:szCs w:val="22"/>
        </w:rPr>
        <w:t>Linux</w:t>
      </w:r>
    </w:p>
    <w:p>
      <w:pPr>
        <w:pStyle w:val="ListParagraph"/>
        <w:bidi w:val="0"/>
        <w:jc w:val="both"/>
        <w:rPr>
          <w:rFonts w:ascii="Arial" w:hAnsi="Arial" w:cs="Arial"/>
          <w:sz w:val="22"/>
          <w:szCs w:val="22"/>
        </w:rPr>
      </w:pPr>
      <w:r>
        <w:drawing>
          <wp:anchor behindDoc="0" distT="0" distB="0" distL="0" distR="0" simplePos="0" locked="0" layoutInCell="0" allowOverlap="1" relativeHeight="6">
            <wp:simplePos x="0" y="0"/>
            <wp:positionH relativeFrom="column">
              <wp:posOffset>448945</wp:posOffset>
            </wp:positionH>
            <wp:positionV relativeFrom="paragraph">
              <wp:posOffset>635</wp:posOffset>
            </wp:positionV>
            <wp:extent cx="5662930" cy="2624455"/>
            <wp:effectExtent l="0" t="0" r="0" b="0"/>
            <wp:wrapSquare wrapText="largest"/>
            <wp:docPr id="3"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5" descr=""/>
                    <pic:cNvPicPr>
                      <a:picLocks noChangeAspect="1" noChangeArrowheads="1"/>
                    </pic:cNvPicPr>
                  </pic:nvPicPr>
                  <pic:blipFill>
                    <a:blip r:embed="rId4"/>
                    <a:stretch>
                      <a:fillRect/>
                    </a:stretch>
                  </pic:blipFill>
                  <pic:spPr bwMode="auto">
                    <a:xfrm>
                      <a:off x="0" y="0"/>
                      <a:ext cx="5662930" cy="2624455"/>
                    </a:xfrm>
                    <a:prstGeom prst="rect">
                      <a:avLst/>
                    </a:prstGeom>
                  </pic:spPr>
                </pic:pic>
              </a:graphicData>
            </a:graphic>
          </wp:anchor>
        </w:drawing>
      </w:r>
      <w:r>
        <w:rPr>
          <w:rFonts w:cs="Arial" w:ascii="Arial" w:hAnsi="Arial"/>
          <w:sz w:val="22"/>
          <w:szCs w:val="22"/>
        </w:rPr>
        <w:t>Figure 3 [2]</w:t>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Fonts w:cs="Arial" w:ascii="Arial" w:hAnsi="Arial"/>
          <w:sz w:val="22"/>
          <w:szCs w:val="22"/>
        </w:rPr>
        <w:t>macOS</w:t>
      </w:r>
    </w:p>
    <w:p>
      <w:pPr>
        <w:pStyle w:val="ListParagraph"/>
        <w:bidi w:val="0"/>
        <w:jc w:val="both"/>
        <w:rPr>
          <w:rFonts w:ascii="Arial" w:hAnsi="Arial" w:cs="Arial"/>
          <w:sz w:val="22"/>
          <w:szCs w:val="22"/>
        </w:rPr>
      </w:pPr>
      <w:r>
        <w:drawing>
          <wp:anchor behindDoc="0" distT="0" distB="0" distL="0" distR="0" simplePos="0" locked="0" layoutInCell="0" allowOverlap="1" relativeHeight="7">
            <wp:simplePos x="0" y="0"/>
            <wp:positionH relativeFrom="column">
              <wp:posOffset>418465</wp:posOffset>
            </wp:positionH>
            <wp:positionV relativeFrom="paragraph">
              <wp:posOffset>99060</wp:posOffset>
            </wp:positionV>
            <wp:extent cx="5662930" cy="2284730"/>
            <wp:effectExtent l="0" t="0" r="0" b="0"/>
            <wp:wrapSquare wrapText="largest"/>
            <wp:docPr id="4"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6" descr=""/>
                    <pic:cNvPicPr>
                      <a:picLocks noChangeAspect="1" noChangeArrowheads="1"/>
                    </pic:cNvPicPr>
                  </pic:nvPicPr>
                  <pic:blipFill>
                    <a:blip r:embed="rId5"/>
                    <a:stretch>
                      <a:fillRect/>
                    </a:stretch>
                  </pic:blipFill>
                  <pic:spPr bwMode="auto">
                    <a:xfrm>
                      <a:off x="0" y="0"/>
                      <a:ext cx="5662930" cy="2284730"/>
                    </a:xfrm>
                    <a:prstGeom prst="rect">
                      <a:avLst/>
                    </a:prstGeom>
                  </pic:spPr>
                </pic:pic>
              </a:graphicData>
            </a:graphic>
          </wp:anchor>
        </w:drawing>
      </w:r>
      <w:r>
        <w:rPr>
          <w:rFonts w:cs="Arial" w:ascii="Arial" w:hAnsi="Arial"/>
          <w:sz w:val="22"/>
          <w:szCs w:val="22"/>
        </w:rPr>
        <w:t>Figure 4 [2]</w:t>
      </w:r>
    </w:p>
    <w:p>
      <w:pPr>
        <w:pStyle w:val="ListParagraph"/>
        <w:bidi w:val="0"/>
        <w:jc w:val="both"/>
        <w:rPr>
          <w:rFonts w:ascii="Arial" w:hAnsi="Arial" w:cs="Arial"/>
          <w:sz w:val="22"/>
          <w:szCs w:val="22"/>
        </w:rPr>
      </w:pPr>
      <w:r>
        <w:rPr>
          <w:rFonts w:cs="Arial" w:ascii="Arial" w:hAnsi="Arial"/>
          <w:sz w:val="22"/>
          <w:szCs w:val="22"/>
        </w:rPr>
        <w:t>According to reports [</w:t>
      </w:r>
      <w:r>
        <w:rPr>
          <w:rFonts w:cs="Arial" w:ascii="Arial" w:hAnsi="Arial"/>
          <w:sz w:val="22"/>
          <w:szCs w:val="22"/>
        </w:rPr>
        <w:t>1][2][3][5][7]</w:t>
      </w:r>
      <w:r>
        <w:rPr>
          <w:rFonts w:cs="Arial" w:ascii="Arial" w:hAnsi="Arial"/>
          <w:sz w:val="22"/>
          <w:szCs w:val="22"/>
        </w:rPr>
        <w:t>, detection involves matching patterns and detecting various activities as discussed below.</w:t>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Fonts w:cs="Arial" w:ascii="Arial" w:hAnsi="Arial"/>
          <w:sz w:val="22"/>
          <w:szCs w:val="22"/>
        </w:rPr>
        <w:t xml:space="preserve">Cross-domain attack strategies present a challenging area in which to detect adversaries. Used as a type of detection evasion technique due to leaving a smaller foot print in each domain or product, this makes it harder to link the operations performed to conclude malicious intent. </w:t>
      </w:r>
      <w:r>
        <w:rPr>
          <w:rFonts w:cs="Arial" w:ascii="Arial" w:hAnsi="Arial"/>
          <w:sz w:val="22"/>
          <w:szCs w:val="22"/>
        </w:rPr>
        <w:t>[1]</w:t>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Fonts w:cs="Arial" w:ascii="Arial" w:hAnsi="Arial"/>
          <w:sz w:val="22"/>
          <w:szCs w:val="22"/>
        </w:rPr>
        <w:t xml:space="preserve">Cross platform methods are furthering the evasiveness of the threat actors requiring an increased range of knowledge for the defender, inter connected telemetry sensors, network load, real-time processing, and the logging of and therein detection of false-positive verses false-negative alerts. </w:t>
      </w:r>
      <w:r>
        <w:rPr>
          <w:rFonts w:cs="Arial" w:ascii="Arial" w:hAnsi="Arial"/>
          <w:sz w:val="22"/>
          <w:szCs w:val="22"/>
        </w:rPr>
        <w:t>This increase in attacks skill set broadens the l</w:t>
      </w:r>
      <w:r>
        <w:rPr>
          <w:rFonts w:cs="Arial" w:ascii="Arial" w:hAnsi="Arial"/>
          <w:sz w:val="22"/>
          <w:szCs w:val="22"/>
        </w:rPr>
        <w:t xml:space="preserve">ateral movement attacks, </w:t>
      </w:r>
      <w:r>
        <w:rPr>
          <w:rFonts w:cs="Arial" w:ascii="Arial" w:hAnsi="Arial"/>
          <w:sz w:val="22"/>
          <w:szCs w:val="22"/>
        </w:rPr>
        <w:t>giving the attackers a great selection of computers to target.</w:t>
      </w:r>
      <w:r>
        <w:rPr>
          <w:rFonts w:cs="Arial" w:ascii="Arial" w:hAnsi="Arial"/>
          <w:sz w:val="22"/>
          <w:szCs w:val="22"/>
        </w:rPr>
        <w:t xml:space="preserve"> </w:t>
      </w:r>
      <w:r>
        <w:rPr>
          <w:rFonts w:cs="Arial" w:ascii="Arial" w:hAnsi="Arial"/>
          <w:sz w:val="22"/>
          <w:szCs w:val="22"/>
        </w:rPr>
        <w:t>CrowdStrike [1] have seen an increase in attackers utilising multiple platforms to stage attacks, however, Elastic [2] have determined from their telemetry reports that windows is predominantly targeted partially due to it’s widespread use.</w:t>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drawing>
          <wp:anchor behindDoc="0" distT="0" distB="0" distL="0" distR="0" simplePos="0" locked="0" layoutInCell="0" allowOverlap="1" relativeHeight="4">
            <wp:simplePos x="0" y="0"/>
            <wp:positionH relativeFrom="column">
              <wp:posOffset>477520</wp:posOffset>
            </wp:positionH>
            <wp:positionV relativeFrom="paragraph">
              <wp:posOffset>635</wp:posOffset>
            </wp:positionV>
            <wp:extent cx="5662930" cy="1489710"/>
            <wp:effectExtent l="0" t="0" r="0" b="0"/>
            <wp:wrapSquare wrapText="largest"/>
            <wp:docPr id="5"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 descr=""/>
                    <pic:cNvPicPr>
                      <a:picLocks noChangeAspect="1" noChangeArrowheads="1"/>
                    </pic:cNvPicPr>
                  </pic:nvPicPr>
                  <pic:blipFill>
                    <a:blip r:embed="rId6"/>
                    <a:stretch>
                      <a:fillRect/>
                    </a:stretch>
                  </pic:blipFill>
                  <pic:spPr bwMode="auto">
                    <a:xfrm>
                      <a:off x="0" y="0"/>
                      <a:ext cx="5662930" cy="1489710"/>
                    </a:xfrm>
                    <a:prstGeom prst="rect">
                      <a:avLst/>
                    </a:prstGeom>
                  </pic:spPr>
                </pic:pic>
              </a:graphicData>
            </a:graphic>
          </wp:anchor>
        </w:drawing>
      </w:r>
      <w:r>
        <w:rPr>
          <w:rFonts w:cs="Arial" w:ascii="Arial" w:hAnsi="Arial"/>
          <w:sz w:val="22"/>
          <w:szCs w:val="22"/>
        </w:rPr>
        <w:t>Figure 5 [2]</w:t>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Fonts w:cs="Arial" w:ascii="Arial" w:hAnsi="Arial"/>
          <w:sz w:val="22"/>
          <w:szCs w:val="22"/>
        </w:rPr>
        <w:t>The combination of these techniques increase the attack surface and diminish the end-to-end visibility with increasing complexity the larger the system or interconnected systems.</w:t>
      </w:r>
    </w:p>
    <w:p>
      <w:pPr>
        <w:pStyle w:val="ListParagraph"/>
        <w:bidi w:val="0"/>
        <w:jc w:val="both"/>
        <w:rPr>
          <w:rFonts w:ascii="Arial" w:hAnsi="Arial" w:cs="Arial"/>
          <w:sz w:val="22"/>
          <w:szCs w:val="22"/>
        </w:rPr>
      </w:pPr>
      <w:r>
        <w:rPr>
          <w:rFonts w:cs="Arial" w:ascii="Arial" w:hAnsi="Arial"/>
          <w:sz w:val="22"/>
          <w:szCs w:val="22"/>
        </w:rPr>
        <w:t xml:space="preserve"> </w:t>
      </w:r>
    </w:p>
    <w:p>
      <w:pPr>
        <w:pStyle w:val="ListParagraph"/>
        <w:bidi w:val="0"/>
        <w:jc w:val="both"/>
        <w:rPr>
          <w:rFonts w:ascii="Arial" w:hAnsi="Arial" w:cs="Arial"/>
          <w:sz w:val="22"/>
          <w:szCs w:val="22"/>
        </w:rPr>
      </w:pPr>
      <w:r>
        <w:rPr>
          <w:rFonts w:cs="Arial" w:ascii="Arial" w:hAnsi="Arial"/>
          <w:sz w:val="22"/>
          <w:szCs w:val="22"/>
        </w:rPr>
        <w:t>With the increasing use of cloud platforms the attack surface and visibility becomes even greater due to system boundaries (cross-domain, multiple user directories, cross-platform) and virtualisation.</w:t>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Fonts w:cs="Arial" w:ascii="Arial" w:hAnsi="Arial"/>
          <w:color w:val="000000"/>
          <w:sz w:val="22"/>
          <w:szCs w:val="22"/>
        </w:rPr>
        <w:t>A CrowdStrike [1] example from their report</w:t>
      </w:r>
    </w:p>
    <w:p>
      <w:pPr>
        <w:pStyle w:val="ListParagraph"/>
        <w:bidi w:val="0"/>
        <w:jc w:val="both"/>
        <w:rPr>
          <w:rFonts w:ascii="Arial" w:hAnsi="Arial" w:cs="Arial"/>
          <w:sz w:val="22"/>
          <w:szCs w:val="22"/>
        </w:rPr>
      </w:pPr>
      <w:r>
        <w:rPr>
          <w:rFonts w:cs="Arial" w:ascii="Arial" w:hAnsi="Arial"/>
          <w:color w:val="000000"/>
          <w:sz w:val="22"/>
          <w:szCs w:val="22"/>
        </w:rPr>
        <w:t>After phishing for credentials, a cloud control plane was compromised and the attack was able to create a user and an attempt to create persistence was underway when it was discovered. The attack however was also able to get a list of applications installed on the virtual machine and list the domain controllers for the organisation.</w:t>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Fonts w:cs="Arial" w:ascii="Arial" w:hAnsi="Arial"/>
          <w:sz w:val="22"/>
          <w:szCs w:val="22"/>
        </w:rPr>
        <w:t xml:space="preserve">Aside from techniques used to obscure the attack actors attempts the threat hunter must have a vast intelligence database to identify known malware file signatures. However, according to </w:t>
      </w:r>
      <w:r>
        <w:rPr>
          <w:rFonts w:cs="Arial" w:ascii="Arial" w:hAnsi="Arial"/>
          <w:sz w:val="22"/>
          <w:szCs w:val="22"/>
        </w:rPr>
        <w:t xml:space="preserve">all three reports </w:t>
      </w:r>
      <w:r>
        <w:rPr>
          <w:rFonts w:cs="Arial" w:ascii="Arial" w:hAnsi="Arial"/>
          <w:sz w:val="22"/>
          <w:szCs w:val="22"/>
        </w:rPr>
        <w:t>[</w:t>
      </w:r>
      <w:r>
        <w:rPr>
          <w:rFonts w:cs="Arial" w:ascii="Arial" w:hAnsi="Arial"/>
          <w:sz w:val="22"/>
          <w:szCs w:val="22"/>
        </w:rPr>
        <w:t>1</w:t>
      </w:r>
      <w:r>
        <w:rPr>
          <w:rFonts w:cs="Arial" w:ascii="Arial" w:hAnsi="Arial"/>
          <w:sz w:val="22"/>
          <w:szCs w:val="22"/>
        </w:rPr>
        <w:t>]</w:t>
      </w:r>
      <w:r>
        <w:rPr>
          <w:rFonts w:cs="Arial" w:ascii="Arial" w:hAnsi="Arial"/>
          <w:sz w:val="22"/>
          <w:szCs w:val="22"/>
        </w:rPr>
        <w:t>[2][3]</w:t>
      </w:r>
      <w:r>
        <w:rPr>
          <w:rFonts w:cs="Arial" w:ascii="Arial" w:hAnsi="Arial"/>
          <w:sz w:val="22"/>
          <w:szCs w:val="22"/>
        </w:rPr>
        <w:t xml:space="preserve">, there has been a significant rise in interactive attacks. </w:t>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Fonts w:cs="Arial" w:ascii="Arial" w:hAnsi="Arial"/>
          <w:sz w:val="22"/>
          <w:szCs w:val="22"/>
        </w:rPr>
        <w:t>There has also been a rise in</w:t>
      </w:r>
      <w:r>
        <w:rPr>
          <w:rFonts w:cs="Arial" w:ascii="Arial" w:hAnsi="Arial"/>
          <w:sz w:val="22"/>
          <w:szCs w:val="22"/>
        </w:rPr>
        <w:t xml:space="preserve"> process </w:t>
      </w:r>
      <w:r>
        <w:rPr>
          <w:rFonts w:cs="Arial" w:ascii="Arial" w:hAnsi="Arial"/>
          <w:sz w:val="22"/>
          <w:szCs w:val="22"/>
        </w:rPr>
        <w:t>injection for Windows in an attempt to bypass security detection [1]</w:t>
      </w:r>
      <w:r>
        <w:rPr>
          <w:rFonts w:cs="Arial" w:ascii="Arial" w:hAnsi="Arial"/>
          <w:sz w:val="22"/>
          <w:szCs w:val="22"/>
        </w:rPr>
        <w:t>[</w:t>
      </w:r>
      <w:r>
        <w:rPr>
          <w:rFonts w:cs="Arial" w:ascii="Arial" w:hAnsi="Arial"/>
          <w:sz w:val="22"/>
          <w:szCs w:val="22"/>
        </w:rPr>
        <w:t>2][7]</w:t>
      </w:r>
      <w:r>
        <w:rPr>
          <w:rFonts w:cs="Arial" w:ascii="Arial" w:hAnsi="Arial"/>
          <w:sz w:val="22"/>
          <w:szCs w:val="22"/>
        </w:rPr>
        <w:t xml:space="preserve"> </w:t>
      </w:r>
      <w:r>
        <w:rPr>
          <w:rFonts w:cs="Arial" w:ascii="Arial" w:hAnsi="Arial"/>
          <w:sz w:val="22"/>
          <w:szCs w:val="22"/>
        </w:rPr>
        <w:t>via</w:t>
      </w:r>
      <w:r>
        <w:rPr>
          <w:rFonts w:cs="Arial" w:ascii="Arial" w:hAnsi="Arial"/>
          <w:sz w:val="22"/>
          <w:szCs w:val="22"/>
        </w:rPr>
        <w:t xml:space="preserve"> </w:t>
      </w:r>
      <w:r>
        <w:rPr>
          <w:rFonts w:cs="Arial" w:ascii="Arial" w:hAnsi="Arial"/>
          <w:sz w:val="22"/>
          <w:szCs w:val="22"/>
        </w:rPr>
        <w:t>DLLs</w:t>
      </w:r>
      <w:r>
        <w:rPr>
          <w:rFonts w:cs="Arial" w:ascii="Arial" w:hAnsi="Arial"/>
          <w:sz w:val="22"/>
          <w:szCs w:val="22"/>
        </w:rPr>
        <w:t xml:space="preserve">, </w:t>
      </w:r>
      <w:r>
        <w:rPr>
          <w:rFonts w:cs="Arial" w:ascii="Arial" w:hAnsi="Arial"/>
          <w:sz w:val="22"/>
          <w:szCs w:val="22"/>
        </w:rPr>
        <w:t xml:space="preserve">PowerShell </w:t>
      </w:r>
      <w:r>
        <w:rPr>
          <w:rFonts w:cs="Arial" w:ascii="Arial" w:hAnsi="Arial"/>
          <w:sz w:val="22"/>
          <w:szCs w:val="22"/>
        </w:rPr>
        <w:t>script</w:t>
      </w:r>
      <w:r>
        <w:rPr>
          <w:rFonts w:cs="Arial" w:ascii="Arial" w:hAnsi="Arial"/>
          <w:sz w:val="22"/>
          <w:szCs w:val="22"/>
        </w:rPr>
        <w:t>s, Windows Management Instrumentation (WMI), P</w:t>
      </w:r>
      <w:r>
        <w:rPr>
          <w:rFonts w:cs="Arial" w:ascii="Arial" w:hAnsi="Arial"/>
          <w:sz w:val="22"/>
          <w:szCs w:val="22"/>
        </w:rPr>
        <w:t xml:space="preserve">owershell </w:t>
      </w:r>
      <w:r>
        <w:rPr>
          <w:rFonts w:cs="Arial" w:ascii="Arial" w:hAnsi="Arial"/>
          <w:sz w:val="22"/>
          <w:szCs w:val="22"/>
        </w:rPr>
        <w:t>to mention a few listed in the Elastic Global Threat Report for 2024 [2].</w:t>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Fonts w:cs="Arial" w:ascii="Arial" w:hAnsi="Arial"/>
          <w:sz w:val="22"/>
          <w:szCs w:val="22"/>
        </w:rPr>
        <w:t xml:space="preserve">Elastic also note that for Linux adversaries are more concerned with impairing the defences by unloading kernel modules or overwhelmingly by disabling the firewall.  </w:t>
      </w:r>
    </w:p>
    <w:p>
      <w:pPr>
        <w:pStyle w:val="ListParagraph"/>
        <w:bidi w:val="0"/>
        <w:jc w:val="both"/>
        <w:rPr>
          <w:rFonts w:ascii="Arial" w:hAnsi="Arial" w:cs="Arial"/>
          <w:sz w:val="22"/>
          <w:szCs w:val="22"/>
        </w:rPr>
      </w:pPr>
      <w:r>
        <w:rPr/>
        <w:drawing>
          <wp:anchor behindDoc="0" distT="0" distB="0" distL="0" distR="0" simplePos="0" locked="0" layoutInCell="0" allowOverlap="1" relativeHeight="2">
            <wp:simplePos x="0" y="0"/>
            <wp:positionH relativeFrom="column">
              <wp:posOffset>462915</wp:posOffset>
            </wp:positionH>
            <wp:positionV relativeFrom="paragraph">
              <wp:posOffset>102235</wp:posOffset>
            </wp:positionV>
            <wp:extent cx="5662930" cy="1908810"/>
            <wp:effectExtent l="0" t="0" r="0" b="0"/>
            <wp:wrapSquare wrapText="largest"/>
            <wp:docPr id="6"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 descr=""/>
                    <pic:cNvPicPr>
                      <a:picLocks noChangeAspect="1" noChangeArrowheads="1"/>
                    </pic:cNvPicPr>
                  </pic:nvPicPr>
                  <pic:blipFill>
                    <a:blip r:embed="rId7"/>
                    <a:stretch>
                      <a:fillRect/>
                    </a:stretch>
                  </pic:blipFill>
                  <pic:spPr bwMode="auto">
                    <a:xfrm>
                      <a:off x="0" y="0"/>
                      <a:ext cx="5662930" cy="1908810"/>
                    </a:xfrm>
                    <a:prstGeom prst="rect">
                      <a:avLst/>
                    </a:prstGeom>
                  </pic:spPr>
                </pic:pic>
              </a:graphicData>
            </a:graphic>
          </wp:anchor>
        </w:drawing>
      </w:r>
    </w:p>
    <w:p>
      <w:pPr>
        <w:pStyle w:val="ListParagraph"/>
        <w:bidi w:val="0"/>
        <w:jc w:val="both"/>
        <w:rPr>
          <w:rFonts w:ascii="Arial" w:hAnsi="Arial" w:cs="Arial"/>
          <w:sz w:val="22"/>
          <w:szCs w:val="22"/>
        </w:rPr>
      </w:pPr>
      <w:r>
        <w:rPr>
          <w:rFonts w:cs="Arial" w:ascii="Arial" w:hAnsi="Arial"/>
          <w:sz w:val="22"/>
          <w:szCs w:val="22"/>
        </w:rPr>
        <w:t>Figure 6 [2]</w:t>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Fonts w:cs="Arial" w:ascii="Arial" w:hAnsi="Arial"/>
          <w:sz w:val="22"/>
          <w:szCs w:val="22"/>
        </w:rPr>
        <w:t>Compromised accounts can also be used to leverage legitimate remote monitoring and management (RMM) software which can be used to initiate the installation or downloading of malicious software to establish an attackers persistence on the target system(s) which allows greater amounts of data to be retrieved and more accounts or hosts to be compromised.</w:t>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drawing>
          <wp:anchor behindDoc="0" distT="0" distB="0" distL="0" distR="0" simplePos="0" locked="0" layoutInCell="0" allowOverlap="1" relativeHeight="3">
            <wp:simplePos x="0" y="0"/>
            <wp:positionH relativeFrom="column">
              <wp:align>center</wp:align>
            </wp:positionH>
            <wp:positionV relativeFrom="paragraph">
              <wp:posOffset>635</wp:posOffset>
            </wp:positionV>
            <wp:extent cx="5662930" cy="3907155"/>
            <wp:effectExtent l="0" t="0" r="0" b="0"/>
            <wp:wrapSquare wrapText="largest"/>
            <wp:docPr id="7"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2" descr=""/>
                    <pic:cNvPicPr>
                      <a:picLocks noChangeAspect="1" noChangeArrowheads="1"/>
                    </pic:cNvPicPr>
                  </pic:nvPicPr>
                  <pic:blipFill>
                    <a:blip r:embed="rId8"/>
                    <a:stretch>
                      <a:fillRect/>
                    </a:stretch>
                  </pic:blipFill>
                  <pic:spPr bwMode="auto">
                    <a:xfrm>
                      <a:off x="0" y="0"/>
                      <a:ext cx="5662930" cy="3907155"/>
                    </a:xfrm>
                    <a:prstGeom prst="rect">
                      <a:avLst/>
                    </a:prstGeom>
                  </pic:spPr>
                </pic:pic>
              </a:graphicData>
            </a:graphic>
          </wp:anchor>
        </w:drawing>
      </w:r>
      <w:r>
        <w:rPr>
          <w:rFonts w:cs="Arial" w:ascii="Arial" w:hAnsi="Arial"/>
          <w:sz w:val="22"/>
          <w:szCs w:val="22"/>
        </w:rPr>
        <w:t>Figure 7 [1]</w:t>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
    </w:p>
    <w:p>
      <w:pPr>
        <w:pStyle w:val="ListParagraph"/>
        <w:bidi w:val="0"/>
        <w:jc w:val="both"/>
        <w:rPr>
          <w:rFonts w:ascii="Arial" w:hAnsi="Arial" w:cs="Arial"/>
          <w:sz w:val="22"/>
          <w:szCs w:val="22"/>
        </w:rPr>
      </w:pPr>
      <w:r>
        <w:rPr>
          <w:rFonts w:cs="Arial" w:ascii="Arial" w:hAnsi="Arial"/>
          <w:sz w:val="22"/>
          <w:szCs w:val="22"/>
        </w:rPr>
        <w:t>Legacy and Software also produce a significant challenge for blue team operations as they may not be provided with updates or fixes to address security issues. Updates can also be missed on systems where the software is embedded in another such as the GhostCat vulnerability in the TomCat server (CVE-2020-1938).</w:t>
      </w:r>
    </w:p>
    <w:p>
      <w:pPr>
        <w:pStyle w:val="ListParagraph"/>
        <w:bidi w:val="0"/>
        <w:jc w:val="both"/>
        <w:rPr>
          <w:rFonts w:ascii="Arial" w:hAnsi="Arial" w:cs="Arial"/>
          <w:sz w:val="22"/>
          <w:szCs w:val="22"/>
        </w:rPr>
      </w:pPr>
      <w:r>
        <w:rPr>
          <w:rFonts w:cs="Arial" w:ascii="Arial" w:hAnsi="Arial"/>
          <w:sz w:val="22"/>
          <w:szCs w:val="22"/>
        </w:rPr>
        <w:t>From personal experience the log4j component (CVE-2021-44228) issue which is very widely used could be used to steal passwords by executing arbitrary code.</w:t>
      </w:r>
    </w:p>
    <w:p>
      <w:pPr>
        <w:pStyle w:val="Heading1"/>
        <w:numPr>
          <w:ilvl w:val="0"/>
          <w:numId w:val="0"/>
        </w:numPr>
        <w:bidi w:val="0"/>
        <w:ind w:hanging="0" w:left="0"/>
        <w:jc w:val="left"/>
        <w:rPr/>
      </w:pPr>
      <w:bookmarkStart w:id="2" w:name="__RefHeading___Toc15259_3735836893"/>
      <w:bookmarkEnd w:id="2"/>
      <w:r>
        <w:rPr/>
        <w:t>Threat Detection and Hunting Tools</w:t>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cs="Arial" w:ascii="Arial" w:hAnsi="Arial"/>
          <w:sz w:val="22"/>
          <w:szCs w:val="22"/>
        </w:rPr>
        <w:t>A</w:t>
      </w:r>
      <w:r>
        <w:rPr>
          <w:rFonts w:cs="Arial" w:ascii="Arial" w:hAnsi="Arial"/>
          <w:sz w:val="22"/>
          <w:szCs w:val="22"/>
        </w:rPr>
        <w:t>n example but not conclusive toolset for various detection and hunting activities is listed below. There are far too many for the scope of this document. Choosing a toolset is a laborious but worthwhile exercise as the chosen tools will need to complement each other in capacity and ability.</w:t>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t>Security Information and Event Management (SIEM) - Collect and analy</w:t>
      </w:r>
      <w:r>
        <w:rPr>
          <w:rFonts w:ascii="Arial" w:hAnsi="Arial"/>
          <w:sz w:val="22"/>
          <w:szCs w:val="22"/>
        </w:rPr>
        <w:t>s</w:t>
      </w:r>
      <w:r>
        <w:rPr>
          <w:rFonts w:ascii="Arial" w:hAnsi="Arial"/>
          <w:sz w:val="22"/>
          <w:szCs w:val="22"/>
        </w:rPr>
        <w:t>e security logs from various sources (firewalls, servers, endpoints, etc.) to identify potential threats.</w:t>
      </w:r>
    </w:p>
    <w:p>
      <w:pPr>
        <w:pStyle w:val="ListParagraph"/>
        <w:numPr>
          <w:ilvl w:val="0"/>
          <w:numId w:val="2"/>
        </w:numPr>
        <w:bidi w:val="0"/>
        <w:jc w:val="both"/>
        <w:rPr>
          <w:rFonts w:ascii="Arial" w:hAnsi="Arial" w:cs="Arial"/>
          <w:sz w:val="22"/>
          <w:szCs w:val="22"/>
        </w:rPr>
      </w:pPr>
      <w:r>
        <w:rPr>
          <w:rFonts w:ascii="Arial" w:hAnsi="Arial"/>
          <w:sz w:val="22"/>
          <w:szCs w:val="22"/>
        </w:rPr>
        <w:t>Splunk: Powerful and widely used SIEM with advanced analytics capabilities.</w:t>
      </w:r>
    </w:p>
    <w:p>
      <w:pPr>
        <w:pStyle w:val="ListParagraph"/>
        <w:numPr>
          <w:ilvl w:val="0"/>
          <w:numId w:val="2"/>
        </w:numPr>
        <w:bidi w:val="0"/>
        <w:jc w:val="both"/>
        <w:rPr>
          <w:rFonts w:ascii="Arial" w:hAnsi="Arial" w:cs="Arial"/>
          <w:sz w:val="22"/>
          <w:szCs w:val="22"/>
        </w:rPr>
      </w:pPr>
      <w:r>
        <w:rPr>
          <w:rFonts w:ascii="Arial" w:hAnsi="Arial"/>
          <w:sz w:val="22"/>
          <w:szCs w:val="22"/>
        </w:rPr>
        <w:t xml:space="preserve">Elasticsearch, Logstash, Kibana (ELK Stack): Open-source alternative offering flexibility and scalability. </w:t>
      </w:r>
    </w:p>
    <w:p>
      <w:pPr>
        <w:pStyle w:val="ListParagraph"/>
        <w:numPr>
          <w:ilvl w:val="0"/>
          <w:numId w:val="2"/>
        </w:numPr>
        <w:bidi w:val="0"/>
        <w:jc w:val="both"/>
        <w:rPr>
          <w:rFonts w:ascii="Arial" w:hAnsi="Arial" w:cs="Arial"/>
          <w:sz w:val="22"/>
          <w:szCs w:val="22"/>
        </w:rPr>
      </w:pPr>
      <w:r>
        <w:rPr>
          <w:rFonts w:ascii="Arial" w:hAnsi="Arial"/>
          <w:sz w:val="22"/>
          <w:szCs w:val="22"/>
        </w:rPr>
        <w:t>IBM QRadar: Comprehensive SIEM with strong threat intelligence integration.</w:t>
      </w:r>
    </w:p>
    <w:p>
      <w:pPr>
        <w:pStyle w:val="ListParagraph"/>
        <w:numPr>
          <w:ilvl w:val="0"/>
          <w:numId w:val="2"/>
        </w:numPr>
        <w:bidi w:val="0"/>
        <w:jc w:val="both"/>
        <w:rPr>
          <w:rFonts w:ascii="Arial" w:hAnsi="Arial" w:cs="Arial"/>
          <w:sz w:val="22"/>
          <w:szCs w:val="22"/>
        </w:rPr>
      </w:pPr>
      <w:r>
        <w:rPr>
          <w:rFonts w:ascii="Arial" w:hAnsi="Arial"/>
          <w:sz w:val="22"/>
          <w:szCs w:val="22"/>
        </w:rPr>
        <w:t xml:space="preserve">Microsoft Sentinel: Cloud-native SIEM integrated with Azure services. </w:t>
      </w:r>
    </w:p>
    <w:p>
      <w:pPr>
        <w:pStyle w:val="ListParagraph"/>
        <w:numPr>
          <w:ilvl w:val="0"/>
          <w:numId w:val="0"/>
        </w:numPr>
        <w:bidi w:val="0"/>
        <w:ind w:hanging="0" w:left="144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t>Endpoint Detection and Response (EDR) - Monitor endpoint activity (workstations, servers) for malicious behaviour, such as file-less malware, command-line activity, and process execution.</w:t>
      </w:r>
    </w:p>
    <w:p>
      <w:pPr>
        <w:pStyle w:val="ListParagraph"/>
        <w:numPr>
          <w:ilvl w:val="0"/>
          <w:numId w:val="3"/>
        </w:numPr>
        <w:bidi w:val="0"/>
        <w:jc w:val="both"/>
        <w:rPr>
          <w:rFonts w:ascii="Arial" w:hAnsi="Arial" w:cs="Arial"/>
          <w:sz w:val="22"/>
          <w:szCs w:val="22"/>
        </w:rPr>
      </w:pPr>
      <w:r>
        <w:rPr>
          <w:rFonts w:ascii="Arial" w:hAnsi="Arial"/>
          <w:sz w:val="22"/>
          <w:szCs w:val="22"/>
        </w:rPr>
        <w:t>CrowdStrike Falcon: Known for its lightweight agent and strong threat intelligence.</w:t>
      </w:r>
    </w:p>
    <w:p>
      <w:pPr>
        <w:pStyle w:val="ListParagraph"/>
        <w:numPr>
          <w:ilvl w:val="0"/>
          <w:numId w:val="3"/>
        </w:numPr>
        <w:bidi w:val="0"/>
        <w:jc w:val="both"/>
        <w:rPr>
          <w:rFonts w:ascii="Arial" w:hAnsi="Arial" w:cs="Arial"/>
          <w:sz w:val="22"/>
          <w:szCs w:val="22"/>
        </w:rPr>
      </w:pPr>
      <w:r>
        <w:rPr>
          <w:rFonts w:ascii="Arial" w:hAnsi="Arial"/>
          <w:sz w:val="22"/>
          <w:szCs w:val="22"/>
        </w:rPr>
        <w:t>SentinelOne Singularity: AI-powered EDR with strong prevention capabilities.</w:t>
      </w:r>
    </w:p>
    <w:p>
      <w:pPr>
        <w:pStyle w:val="ListParagraph"/>
        <w:numPr>
          <w:ilvl w:val="0"/>
          <w:numId w:val="3"/>
        </w:numPr>
        <w:bidi w:val="0"/>
        <w:jc w:val="both"/>
        <w:rPr>
          <w:rFonts w:ascii="Arial" w:hAnsi="Arial" w:cs="Arial"/>
          <w:sz w:val="22"/>
          <w:szCs w:val="22"/>
        </w:rPr>
      </w:pPr>
      <w:r>
        <w:rPr>
          <w:rFonts w:ascii="Arial" w:hAnsi="Arial"/>
          <w:sz w:val="22"/>
          <w:szCs w:val="22"/>
        </w:rPr>
        <w:t>CylancePROTECT: Focuses on predictive machine learning to prevent threats.</w:t>
      </w:r>
    </w:p>
    <w:p>
      <w:pPr>
        <w:pStyle w:val="ListParagraph"/>
        <w:numPr>
          <w:ilvl w:val="0"/>
          <w:numId w:val="3"/>
        </w:numPr>
        <w:bidi w:val="0"/>
        <w:jc w:val="both"/>
        <w:rPr>
          <w:rFonts w:ascii="Arial" w:hAnsi="Arial" w:cs="Arial"/>
          <w:sz w:val="22"/>
          <w:szCs w:val="22"/>
        </w:rPr>
      </w:pPr>
      <w:r>
        <w:rPr>
          <w:rFonts w:ascii="Arial" w:hAnsi="Arial"/>
          <w:sz w:val="22"/>
          <w:szCs w:val="22"/>
        </w:rPr>
        <w:t>Microsoft Defender for Endpoint: Integrated with Windows ecosystem for comprehensive protection.</w:t>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t>Network Security Monitoring (NSM) - Monitor network traffic for suspicious activity, such as port scans, data exfiltration, and command-and-control communication.</w:t>
      </w:r>
    </w:p>
    <w:p>
      <w:pPr>
        <w:pStyle w:val="ListParagraph"/>
        <w:numPr>
          <w:ilvl w:val="0"/>
          <w:numId w:val="4"/>
        </w:numPr>
        <w:bidi w:val="0"/>
        <w:jc w:val="both"/>
        <w:rPr>
          <w:rFonts w:ascii="Arial" w:hAnsi="Arial" w:cs="Arial"/>
          <w:sz w:val="22"/>
          <w:szCs w:val="22"/>
        </w:rPr>
      </w:pPr>
      <w:r>
        <w:rPr>
          <w:rFonts w:ascii="Arial" w:hAnsi="Arial"/>
          <w:sz w:val="22"/>
          <w:szCs w:val="22"/>
        </w:rPr>
        <w:t>Wireshark: Powerful packet analy</w:t>
      </w:r>
      <w:r>
        <w:rPr>
          <w:rFonts w:ascii="Arial" w:hAnsi="Arial"/>
          <w:sz w:val="22"/>
          <w:szCs w:val="22"/>
        </w:rPr>
        <w:t>s</w:t>
      </w:r>
      <w:r>
        <w:rPr>
          <w:rFonts w:ascii="Arial" w:hAnsi="Arial"/>
          <w:sz w:val="22"/>
          <w:szCs w:val="22"/>
        </w:rPr>
        <w:t>er for deep dive analysis.</w:t>
      </w:r>
    </w:p>
    <w:p>
      <w:pPr>
        <w:pStyle w:val="ListParagraph"/>
        <w:numPr>
          <w:ilvl w:val="0"/>
          <w:numId w:val="4"/>
        </w:numPr>
        <w:bidi w:val="0"/>
        <w:jc w:val="both"/>
        <w:rPr>
          <w:rFonts w:ascii="Arial" w:hAnsi="Arial" w:cs="Arial"/>
          <w:sz w:val="22"/>
          <w:szCs w:val="22"/>
        </w:rPr>
      </w:pPr>
      <w:r>
        <w:rPr>
          <w:rFonts w:ascii="Arial" w:hAnsi="Arial"/>
          <w:sz w:val="22"/>
          <w:szCs w:val="22"/>
        </w:rPr>
        <w:t>Zeek (formerly Bro): Network security monitoring framework with scripting capabilities.</w:t>
      </w:r>
    </w:p>
    <w:p>
      <w:pPr>
        <w:pStyle w:val="ListParagraph"/>
        <w:numPr>
          <w:ilvl w:val="0"/>
          <w:numId w:val="4"/>
        </w:numPr>
        <w:bidi w:val="0"/>
        <w:jc w:val="both"/>
        <w:rPr>
          <w:rFonts w:ascii="Arial" w:hAnsi="Arial" w:cs="Arial"/>
          <w:sz w:val="22"/>
          <w:szCs w:val="22"/>
        </w:rPr>
      </w:pPr>
      <w:r>
        <w:rPr>
          <w:rFonts w:ascii="Arial" w:hAnsi="Arial"/>
          <w:sz w:val="22"/>
          <w:szCs w:val="22"/>
        </w:rPr>
        <w:t>Suricata: Open-source intrusion detection system (IDS) for real-time threat detection.</w:t>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t>Threat Intelligence Platforms - Collect, analy</w:t>
      </w:r>
      <w:r>
        <w:rPr>
          <w:rFonts w:ascii="Arial" w:hAnsi="Arial"/>
          <w:sz w:val="22"/>
          <w:szCs w:val="22"/>
        </w:rPr>
        <w:t>s</w:t>
      </w:r>
      <w:r>
        <w:rPr>
          <w:rFonts w:ascii="Arial" w:hAnsi="Arial"/>
          <w:sz w:val="22"/>
          <w:szCs w:val="22"/>
        </w:rPr>
        <w:t>e, and share threat intelligence data to stay informed about the latest threats and vulnerabilities.</w:t>
      </w:r>
    </w:p>
    <w:p>
      <w:pPr>
        <w:pStyle w:val="ListParagraph"/>
        <w:numPr>
          <w:ilvl w:val="0"/>
          <w:numId w:val="5"/>
        </w:numPr>
        <w:bidi w:val="0"/>
        <w:jc w:val="both"/>
        <w:rPr>
          <w:rFonts w:ascii="Arial" w:hAnsi="Arial" w:cs="Arial"/>
          <w:sz w:val="22"/>
          <w:szCs w:val="22"/>
        </w:rPr>
      </w:pPr>
      <w:r>
        <w:rPr>
          <w:rFonts w:ascii="Arial" w:hAnsi="Arial"/>
          <w:sz w:val="22"/>
          <w:szCs w:val="22"/>
        </w:rPr>
        <w:t>CrowdStrike Falcon Intelligence: Provides threat intelligence feeds and actionable insights.</w:t>
      </w:r>
    </w:p>
    <w:p>
      <w:pPr>
        <w:pStyle w:val="ListParagraph"/>
        <w:numPr>
          <w:ilvl w:val="0"/>
          <w:numId w:val="5"/>
        </w:numPr>
        <w:bidi w:val="0"/>
        <w:jc w:val="both"/>
        <w:rPr>
          <w:rFonts w:ascii="Arial" w:hAnsi="Arial" w:cs="Arial"/>
          <w:sz w:val="22"/>
          <w:szCs w:val="22"/>
        </w:rPr>
      </w:pPr>
      <w:r>
        <w:rPr>
          <w:rFonts w:ascii="Arial" w:hAnsi="Arial"/>
          <w:sz w:val="22"/>
          <w:szCs w:val="22"/>
        </w:rPr>
        <w:t xml:space="preserve">FireEye Mandiant Threat Intelligence: Offers in-depth threat research and analysis. </w:t>
      </w:r>
    </w:p>
    <w:p>
      <w:pPr>
        <w:pStyle w:val="ListParagraph"/>
        <w:numPr>
          <w:ilvl w:val="0"/>
          <w:numId w:val="5"/>
        </w:numPr>
        <w:bidi w:val="0"/>
        <w:jc w:val="both"/>
        <w:rPr>
          <w:rFonts w:ascii="Arial" w:hAnsi="Arial" w:cs="Arial"/>
          <w:sz w:val="22"/>
          <w:szCs w:val="22"/>
        </w:rPr>
      </w:pPr>
      <w:r>
        <w:rPr>
          <w:rFonts w:ascii="Arial" w:hAnsi="Arial"/>
          <w:sz w:val="22"/>
          <w:szCs w:val="22"/>
        </w:rPr>
        <w:t>Recorded Future: Collects and analy</w:t>
      </w:r>
      <w:r>
        <w:rPr>
          <w:rFonts w:ascii="Arial" w:hAnsi="Arial"/>
          <w:sz w:val="22"/>
          <w:szCs w:val="22"/>
        </w:rPr>
        <w:t>s</w:t>
      </w:r>
      <w:r>
        <w:rPr>
          <w:rFonts w:ascii="Arial" w:hAnsi="Arial"/>
          <w:sz w:val="22"/>
          <w:szCs w:val="22"/>
        </w:rPr>
        <w:t>es open-source intelligence to identify emerging threats.</w:t>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t xml:space="preserve">Vulnerability Scanners - Identify and assess vulnerabilities in systems and applications. </w:t>
      </w:r>
    </w:p>
    <w:p>
      <w:pPr>
        <w:pStyle w:val="ListParagraph"/>
        <w:numPr>
          <w:ilvl w:val="0"/>
          <w:numId w:val="6"/>
        </w:numPr>
        <w:bidi w:val="0"/>
        <w:jc w:val="both"/>
        <w:rPr>
          <w:rFonts w:ascii="Arial" w:hAnsi="Arial" w:cs="Arial"/>
          <w:sz w:val="22"/>
          <w:szCs w:val="22"/>
        </w:rPr>
      </w:pPr>
      <w:r>
        <w:rPr>
          <w:rFonts w:ascii="Arial" w:hAnsi="Arial"/>
          <w:sz w:val="22"/>
          <w:szCs w:val="22"/>
        </w:rPr>
        <w:t>Nessus: Comprehensive vulnerability scanner with a wide range of plug-ins.</w:t>
      </w:r>
    </w:p>
    <w:p>
      <w:pPr>
        <w:pStyle w:val="ListParagraph"/>
        <w:numPr>
          <w:ilvl w:val="0"/>
          <w:numId w:val="6"/>
        </w:numPr>
        <w:bidi w:val="0"/>
        <w:jc w:val="both"/>
        <w:rPr>
          <w:rFonts w:ascii="Arial" w:hAnsi="Arial" w:cs="Arial"/>
          <w:sz w:val="22"/>
          <w:szCs w:val="22"/>
        </w:rPr>
      </w:pPr>
      <w:r>
        <w:rPr>
          <w:rFonts w:ascii="Arial" w:hAnsi="Arial"/>
          <w:sz w:val="22"/>
          <w:szCs w:val="22"/>
        </w:rPr>
        <w:t>OpenVAS: Open-source vulnerability scanner with a strong community.</w:t>
      </w:r>
    </w:p>
    <w:p>
      <w:pPr>
        <w:pStyle w:val="ListParagraph"/>
        <w:numPr>
          <w:ilvl w:val="0"/>
          <w:numId w:val="6"/>
        </w:numPr>
        <w:bidi w:val="0"/>
        <w:jc w:val="both"/>
        <w:rPr>
          <w:rFonts w:ascii="Arial" w:hAnsi="Arial" w:cs="Arial"/>
          <w:sz w:val="22"/>
          <w:szCs w:val="22"/>
        </w:rPr>
      </w:pPr>
      <w:r>
        <w:rPr>
          <w:rFonts w:ascii="Arial" w:hAnsi="Arial"/>
          <w:sz w:val="22"/>
          <w:szCs w:val="22"/>
        </w:rPr>
        <w:t>QualysGuard: Cloud-based vulnerability and compliance management platform.</w:t>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t>Security Orchestration, Automation, and Response (SOAR) - Automate security workflows, such as incident response, threat hunting, and vulnerability management.</w:t>
      </w:r>
    </w:p>
    <w:p>
      <w:pPr>
        <w:pStyle w:val="ListParagraph"/>
        <w:numPr>
          <w:ilvl w:val="0"/>
          <w:numId w:val="7"/>
        </w:numPr>
        <w:bidi w:val="0"/>
        <w:jc w:val="both"/>
        <w:rPr>
          <w:rFonts w:ascii="Arial" w:hAnsi="Arial" w:cs="Arial"/>
          <w:sz w:val="22"/>
          <w:szCs w:val="22"/>
        </w:rPr>
      </w:pPr>
      <w:r>
        <w:rPr>
          <w:rFonts w:ascii="Arial" w:hAnsi="Arial"/>
          <w:sz w:val="22"/>
          <w:szCs w:val="22"/>
        </w:rPr>
        <w:t>Demisto: Popular SOAR platform with a large ecosystem of integrations.</w:t>
      </w:r>
    </w:p>
    <w:p>
      <w:pPr>
        <w:pStyle w:val="ListParagraph"/>
        <w:numPr>
          <w:ilvl w:val="0"/>
          <w:numId w:val="7"/>
        </w:numPr>
        <w:bidi w:val="0"/>
        <w:jc w:val="both"/>
        <w:rPr>
          <w:rFonts w:ascii="Arial" w:hAnsi="Arial" w:cs="Arial"/>
          <w:sz w:val="22"/>
          <w:szCs w:val="22"/>
        </w:rPr>
      </w:pPr>
      <w:r>
        <w:rPr>
          <w:rFonts w:ascii="Arial" w:hAnsi="Arial"/>
          <w:sz w:val="22"/>
          <w:szCs w:val="22"/>
        </w:rPr>
        <w:t>ServiceNow Security Operations: Integrated with ServiceNow IT service management platform.</w:t>
      </w:r>
    </w:p>
    <w:p>
      <w:pPr>
        <w:pStyle w:val="ListParagraph"/>
        <w:numPr>
          <w:ilvl w:val="0"/>
          <w:numId w:val="7"/>
        </w:numPr>
        <w:bidi w:val="0"/>
        <w:jc w:val="both"/>
        <w:rPr>
          <w:rFonts w:ascii="Arial" w:hAnsi="Arial" w:cs="Arial"/>
          <w:sz w:val="22"/>
          <w:szCs w:val="22"/>
        </w:rPr>
      </w:pPr>
      <w:r>
        <w:rPr>
          <w:rFonts w:ascii="Arial" w:hAnsi="Arial"/>
          <w:sz w:val="22"/>
          <w:szCs w:val="22"/>
        </w:rPr>
        <w:t>Siemplify: Focuses on simplifying security operations with automation and AI.</w:t>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t xml:space="preserve">Threat Hunting Tools - Proactively search for threats that may have evaded initial defenses. </w:t>
      </w:r>
    </w:p>
    <w:p>
      <w:pPr>
        <w:pStyle w:val="ListParagraph"/>
        <w:numPr>
          <w:ilvl w:val="0"/>
          <w:numId w:val="8"/>
        </w:numPr>
        <w:bidi w:val="0"/>
        <w:jc w:val="both"/>
        <w:rPr>
          <w:rFonts w:ascii="Arial" w:hAnsi="Arial" w:cs="Arial"/>
          <w:sz w:val="22"/>
          <w:szCs w:val="22"/>
        </w:rPr>
      </w:pPr>
      <w:r>
        <w:rPr>
          <w:rFonts w:ascii="Arial" w:hAnsi="Arial"/>
          <w:sz w:val="22"/>
          <w:szCs w:val="22"/>
        </w:rPr>
        <w:t>TheHive: Open-source platform for collaborative threat hunting and incident response.</w:t>
      </w:r>
    </w:p>
    <w:p>
      <w:pPr>
        <w:pStyle w:val="ListParagraph"/>
        <w:numPr>
          <w:ilvl w:val="0"/>
          <w:numId w:val="8"/>
        </w:numPr>
        <w:bidi w:val="0"/>
        <w:jc w:val="both"/>
        <w:rPr>
          <w:rFonts w:ascii="Arial" w:hAnsi="Arial" w:cs="Arial"/>
          <w:sz w:val="22"/>
          <w:szCs w:val="22"/>
        </w:rPr>
      </w:pPr>
      <w:r>
        <w:rPr>
          <w:rFonts w:ascii="Arial" w:hAnsi="Arial"/>
          <w:sz w:val="22"/>
          <w:szCs w:val="22"/>
        </w:rPr>
        <w:t>MISP (Malware Information Sharing Platform): Open-source threat intelligence platform for sharing and analyzing threat data.</w:t>
      </w:r>
    </w:p>
    <w:p>
      <w:pPr>
        <w:pStyle w:val="ListParagraph"/>
        <w:numPr>
          <w:ilvl w:val="0"/>
          <w:numId w:val="8"/>
        </w:numPr>
        <w:bidi w:val="0"/>
        <w:jc w:val="both"/>
        <w:rPr>
          <w:rFonts w:ascii="Arial" w:hAnsi="Arial" w:cs="Arial"/>
          <w:sz w:val="22"/>
          <w:szCs w:val="22"/>
        </w:rPr>
      </w:pPr>
      <w:r>
        <w:rPr>
          <w:rFonts w:ascii="Arial" w:hAnsi="Arial"/>
          <w:sz w:val="22"/>
          <w:szCs w:val="22"/>
        </w:rPr>
        <w:t>YARA: Pattern matching tool for identifying malware and other malicious artifacts.</w:t>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r>
    </w:p>
    <w:p>
      <w:pPr>
        <w:pStyle w:val="Heading1"/>
        <w:bidi w:val="0"/>
        <w:ind w:hanging="0" w:left="0"/>
        <w:jc w:val="left"/>
        <w:rPr/>
      </w:pPr>
      <w:bookmarkStart w:id="3" w:name="__RefHeading___Toc15261_3735836893"/>
      <w:bookmarkEnd w:id="3"/>
      <w:r>
        <w:rPr/>
        <w:t>Advancements in Threat Detection</w:t>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t xml:space="preserve">Artificial Intelligence (AI) and Machine Learning (ML) </w:t>
      </w:r>
      <w:r>
        <w:rPr>
          <w:rFonts w:ascii="Arial" w:hAnsi="Arial"/>
          <w:sz w:val="22"/>
          <w:szCs w:val="22"/>
        </w:rPr>
        <w:t>[6]</w:t>
      </w:r>
    </w:p>
    <w:p>
      <w:pPr>
        <w:pStyle w:val="ListParagraph"/>
        <w:bidi w:val="0"/>
        <w:jc w:val="both"/>
        <w:rPr>
          <w:rFonts w:ascii="Arial" w:hAnsi="Arial" w:cs="Arial"/>
          <w:sz w:val="22"/>
          <w:szCs w:val="22"/>
        </w:rPr>
      </w:pPr>
      <w:r>
        <w:rPr>
          <w:rFonts w:ascii="Arial" w:hAnsi="Arial"/>
          <w:sz w:val="22"/>
          <w:szCs w:val="22"/>
        </w:rPr>
        <w:t>AI and ML are revolutionizing threat detection by automating the analysis of massive datasets. These technologies can identify patterns and anomalies that may indicate malicious activity, such as unusual login attempts, suspicious file transfers, and abnormal resource usage.</w:t>
      </w:r>
    </w:p>
    <w:p>
      <w:pPr>
        <w:pStyle w:val="ListParagraph"/>
        <w:bidi w:val="0"/>
        <w:jc w:val="both"/>
        <w:rPr>
          <w:rFonts w:ascii="Arial" w:hAnsi="Arial" w:cs="Arial"/>
          <w:sz w:val="22"/>
          <w:szCs w:val="22"/>
        </w:rPr>
      </w:pPr>
      <w:r>
        <w:rPr>
          <w:rFonts w:ascii="Arial" w:hAnsi="Arial"/>
          <w:sz w:val="22"/>
          <w:szCs w:val="22"/>
        </w:rPr>
        <w:t>For e</w:t>
      </w:r>
      <w:r>
        <w:rPr>
          <w:rFonts w:ascii="Arial" w:hAnsi="Arial"/>
          <w:sz w:val="22"/>
          <w:szCs w:val="22"/>
        </w:rPr>
        <w:t>xample, ML algorithms can be trained on historical threat data to identify and classify malicious traffic, such as phishing emails and malware downloads.</w:t>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t>Security Information and Event Management (SIEM) Systems</w:t>
      </w:r>
    </w:p>
    <w:p>
      <w:pPr>
        <w:pStyle w:val="ListParagraph"/>
        <w:bidi w:val="0"/>
        <w:jc w:val="both"/>
        <w:rPr>
          <w:rFonts w:ascii="Arial" w:hAnsi="Arial" w:cs="Arial"/>
          <w:sz w:val="22"/>
          <w:szCs w:val="22"/>
        </w:rPr>
      </w:pPr>
      <w:r>
        <w:rPr>
          <w:rFonts w:ascii="Arial" w:hAnsi="Arial"/>
          <w:sz w:val="22"/>
          <w:szCs w:val="22"/>
        </w:rPr>
        <w:t>SIEM systems collect and correlate security logs from various sources, providing a centralized view of security events across the organization. Advanced SIEM solutions incorporate AI and ML capabilities to enhance threat detection and reduce alert fatigue.</w:t>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t>Endpoint Detection and Response (EDR)</w:t>
      </w:r>
      <w:r>
        <w:rPr>
          <w:rFonts w:ascii="Arial" w:hAnsi="Arial"/>
          <w:sz w:val="22"/>
          <w:szCs w:val="22"/>
        </w:rPr>
        <w:t>[1][2]</w:t>
      </w:r>
    </w:p>
    <w:p>
      <w:pPr>
        <w:pStyle w:val="ListParagraph"/>
        <w:bidi w:val="0"/>
        <w:jc w:val="both"/>
        <w:rPr>
          <w:rFonts w:ascii="Arial" w:hAnsi="Arial" w:cs="Arial"/>
          <w:sz w:val="22"/>
          <w:szCs w:val="22"/>
        </w:rPr>
      </w:pPr>
      <w:r>
        <w:rPr>
          <w:rFonts w:ascii="Arial" w:hAnsi="Arial"/>
          <w:sz w:val="22"/>
          <w:szCs w:val="22"/>
        </w:rPr>
        <w:t>EDR solutions provide visibility into endpoint activity, enabling organizations to detect and respond to threats on individual devices. EDR tools can monitor for malicious processes, file activity, and network connections, providing valuable insights into attacker behaviour.</w:t>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t xml:space="preserve">Threat Intelligence Platforms </w:t>
      </w:r>
      <w:r>
        <w:rPr>
          <w:rFonts w:ascii="Arial" w:hAnsi="Arial"/>
          <w:sz w:val="22"/>
          <w:szCs w:val="22"/>
        </w:rPr>
        <w:t>[1][2][7]</w:t>
      </w:r>
    </w:p>
    <w:p>
      <w:pPr>
        <w:pStyle w:val="ListParagraph"/>
        <w:bidi w:val="0"/>
        <w:jc w:val="both"/>
        <w:rPr>
          <w:rFonts w:ascii="Arial" w:hAnsi="Arial" w:cs="Arial"/>
          <w:sz w:val="22"/>
          <w:szCs w:val="22"/>
        </w:rPr>
      </w:pPr>
      <w:r>
        <w:rPr>
          <w:rFonts w:ascii="Arial" w:hAnsi="Arial"/>
          <w:sz w:val="22"/>
          <w:szCs w:val="22"/>
        </w:rPr>
        <w:t>Threat intelligence platforms provide access to real-time threat information, including indicators of compromise (IOCs), threat actor profiles, and vulnerability assessments. This information can be used to proactively identify and mitigate potential threats.</w:t>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t>Cloud-Based Security Services</w:t>
      </w:r>
    </w:p>
    <w:p>
      <w:pPr>
        <w:pStyle w:val="ListParagraph"/>
        <w:bidi w:val="0"/>
        <w:jc w:val="both"/>
        <w:rPr>
          <w:rFonts w:ascii="Arial" w:hAnsi="Arial" w:cs="Arial"/>
          <w:sz w:val="22"/>
          <w:szCs w:val="22"/>
        </w:rPr>
      </w:pPr>
      <w:r>
        <w:rPr>
          <w:rFonts w:ascii="Arial" w:hAnsi="Arial"/>
          <w:sz w:val="22"/>
          <w:szCs w:val="22"/>
        </w:rPr>
        <w:t xml:space="preserve">Cloud-based security services, such as cloud access security brokers (CASBs) and cloud workload protection platforms (CWPPs), provide enhanced visibility and control over cloud environments. These services can help organizations detect and respond to threats in dynamic cloud environments </w:t>
      </w:r>
      <w:r>
        <w:rPr>
          <w:rFonts w:ascii="Arial" w:hAnsi="Arial"/>
          <w:sz w:val="22"/>
          <w:szCs w:val="22"/>
        </w:rPr>
        <w:t>[1][2][3][7]</w:t>
      </w:r>
      <w:r>
        <w:rPr>
          <w:rFonts w:ascii="Arial" w:hAnsi="Arial"/>
          <w:sz w:val="22"/>
          <w:szCs w:val="22"/>
        </w:rPr>
        <w:t>.</w:t>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r>
    </w:p>
    <w:p>
      <w:pPr>
        <w:pStyle w:val="Heading1"/>
        <w:bidi w:val="0"/>
        <w:ind w:hanging="0" w:left="0"/>
        <w:jc w:val="left"/>
        <w:rPr/>
      </w:pPr>
      <w:r>
        <w:rPr/>
      </w:r>
    </w:p>
    <w:p>
      <w:pPr>
        <w:pStyle w:val="Heading1"/>
        <w:bidi w:val="0"/>
        <w:ind w:hanging="0" w:left="0"/>
        <w:jc w:val="left"/>
        <w:rPr/>
      </w:pPr>
      <w:bookmarkStart w:id="4" w:name="__RefHeading___Toc15263_3735836893"/>
      <w:bookmarkEnd w:id="4"/>
      <w:r>
        <w:rPr/>
        <w:t>Conclusion</w:t>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t xml:space="preserve">Blue Team Defensive operational success relies heavily on collected telemetry data and malware definitions which needs to be analysed and collected as fast as possible to generate alerts and trends, however, in order to keep up with adversaries the system / framework must be streamlined and run on an efficient network as there is a lot of overhead involved. </w:t>
      </w:r>
    </w:p>
    <w:p>
      <w:pPr>
        <w:pStyle w:val="ListParagraph"/>
        <w:bidi w:val="0"/>
        <w:jc w:val="both"/>
        <w:rPr>
          <w:rFonts w:ascii="Arial" w:hAnsi="Arial" w:cs="Arial"/>
          <w:sz w:val="22"/>
          <w:szCs w:val="22"/>
        </w:rPr>
      </w:pPr>
      <w:r>
        <w:rPr>
          <w:rFonts w:ascii="Arial" w:hAnsi="Arial"/>
          <w:sz w:val="22"/>
          <w:szCs w:val="22"/>
        </w:rPr>
        <w:t>ML and AI is favourably looked upon to further develop the frontline defence and threat hunting for the future [6].</w:t>
      </w:r>
    </w:p>
    <w:p>
      <w:pPr>
        <w:pStyle w:val="Heading1"/>
        <w:numPr>
          <w:ilvl w:val="0"/>
          <w:numId w:val="0"/>
        </w:numPr>
        <w:bidi w:val="0"/>
        <w:ind w:hanging="0" w:left="0"/>
        <w:jc w:val="left"/>
        <w:rPr/>
      </w:pPr>
      <w:bookmarkStart w:id="5" w:name="__RefHeading___Toc15265_3735836893"/>
      <w:bookmarkEnd w:id="5"/>
      <w:r>
        <w:rPr/>
        <w:t>References</w:t>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t>[1]</w:t>
        <w:tab/>
        <w:t>https://go.crowdstrike.com/2024-insiders-playbook-defending-against-cloud-threats.html?utm_campaign=cloud&amp;utm_content=crwd-clod-eur-uki-en-psp-x-wht-clod-tct-x_x_x_x-x&amp;utm_medium=sem&amp;utm_source=goog&amp;utm_term=cloud%20threat%20intelligence&amp;cq_cmp=17127402432&amp;cq_plac=&amp;gad_source=1&amp;gclid=CjwKCAiA-Oi7BhA1EiwA2rIu27hBRmeZ--Aww9L9BDLIeYFCCT7GqnRKJsKkSDdGM8IXEFjpfCgeIxoC5kkQAvD_BwE</w:t>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t>[2]</w:t>
        <w:tab/>
        <w:t>https://www.elastic.co/resources/security/report/global-threat-report?utm_campaign=Google-NB-Security-EMEA-UKI&amp;utm_content=Security-Threat-Report-B&amp;utm_source=google&amp;utm_medium=cpc&amp;device=c&amp;utm_term=cybersecurity%20trends&amp;utm_id=701Vv0000094hE8IAI&amp;gad_source=1&amp;gclid=CjwKCAiA-Oi7BhA1EiwA2rIu2856FFxW9n4sy7bOYya1KMGyFmYivmC7FZppBcLkJcKyLyCnedmq0xoCnIgQAvD_BwE</w:t>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t>[3]</w:t>
        <w:tab/>
        <w:t>https://www.vectra.ai/resources/2024-state-of-threat-detection - V_2024-State-of-Threat-Detection_093024 (1).pdf</w:t>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t>[4]</w:t>
        <w:tab/>
      </w:r>
      <w:r>
        <w:rPr>
          <w:rFonts w:ascii="Arial" w:hAnsi="Arial"/>
          <w:sz w:val="22"/>
          <w:szCs w:val="22"/>
        </w:rPr>
        <w:t xml:space="preserve">McLaughlin, K. L. (2023) ‘SECURING CORPORATE &lt;span class="smallcaps smallerCapital"&gt;Io&lt;/span&gt;T DEVICES: CHALLENGES, STRATEGIES, AND THE ROLE OF AI AND ML IN CYBERSECURITY’, EDPACS, 67(4), pp. 23–26. doi: 10.1080/07366981.2023.2205065. </w:t>
      </w:r>
      <w:r>
        <w:rPr>
          <w:rFonts w:ascii="Arial" w:hAnsi="Arial"/>
          <w:sz w:val="22"/>
          <w:szCs w:val="22"/>
        </w:rPr>
        <w:tab/>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t xml:space="preserve">[5] </w:t>
        <w:tab/>
      </w:r>
      <w:r>
        <w:rPr>
          <w:rFonts w:ascii="Arial" w:hAnsi="Arial"/>
          <w:sz w:val="22"/>
          <w:szCs w:val="22"/>
        </w:rPr>
        <w:t xml:space="preserve">McLaughlin, K. L. (2023) ‘DEFENSE IS THE BEST OFFENSE: THE EVOLVING ROLE OF CYBERSECURITY BLUE TEAMS AND THE IMPACT OF SOAR TECHNOLOGIES’, EDPACS, 67(6), pp. 35–41. doi: 10.1080/07366981.2023.2212484. </w:t>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t>[6]</w:t>
        <w:tab/>
        <w:t xml:space="preserve">A. Rege, “Incorporating the human element in anticipatory and dynamic cyber defense,” in 2016 IEEE International Conference on Cybercrime and Computer Forensic (ICCCF) /, Piscataway, New Jersey : Institute of Electrical and Electronics Engineers, 2016, pp. 1–7. doi: 10.1109/ICCCF.2016.7740421. </w:t>
      </w:r>
    </w:p>
    <w:p>
      <w:pPr>
        <w:pStyle w:val="ListParagraph"/>
        <w:bidi w:val="0"/>
        <w:jc w:val="both"/>
        <w:rPr>
          <w:rFonts w:ascii="Arial" w:hAnsi="Arial" w:cs="Arial"/>
          <w:sz w:val="22"/>
          <w:szCs w:val="22"/>
        </w:rPr>
      </w:pPr>
      <w:r>
        <w:rPr>
          <w:rFonts w:ascii="Arial" w:hAnsi="Arial"/>
          <w:sz w:val="22"/>
          <w:szCs w:val="22"/>
        </w:rPr>
      </w:r>
    </w:p>
    <w:p>
      <w:pPr>
        <w:pStyle w:val="ListParagraph"/>
        <w:bidi w:val="0"/>
        <w:jc w:val="both"/>
        <w:rPr>
          <w:rFonts w:ascii="Arial" w:hAnsi="Arial" w:cs="Arial"/>
          <w:sz w:val="22"/>
          <w:szCs w:val="22"/>
        </w:rPr>
      </w:pPr>
      <w:r>
        <w:rPr>
          <w:rFonts w:ascii="Arial" w:hAnsi="Arial"/>
          <w:sz w:val="22"/>
          <w:szCs w:val="22"/>
        </w:rPr>
        <w:t>[7]</w:t>
        <w:tab/>
      </w:r>
      <w:r>
        <w:rPr>
          <w:rFonts w:ascii="Arial" w:hAnsi="Arial"/>
          <w:sz w:val="22"/>
          <w:szCs w:val="22"/>
        </w:rPr>
        <w:t xml:space="preserve">Y. Diogenes and E. Ozkaya, </w:t>
      </w:r>
      <w:r>
        <w:rPr>
          <w:rFonts w:ascii="Arial" w:hAnsi="Arial"/>
          <w:i/>
          <w:sz w:val="22"/>
          <w:szCs w:val="22"/>
        </w:rPr>
        <w:t>Cybersecurity - Attack and Defense Strategies : Improve Your Security Posture to Mitigate Risks and Prevent Attackers from Infiltrating Your System.</w:t>
      </w:r>
      <w:r>
        <w:rPr>
          <w:rFonts w:ascii="Arial" w:hAnsi="Arial"/>
          <w:sz w:val="22"/>
          <w:szCs w:val="22"/>
        </w:rPr>
        <w:t>, 3rd ed. Birmingham: Packt Publishing, Limited, 2022.</w:t>
      </w:r>
    </w:p>
    <w:p>
      <w:pPr>
        <w:pStyle w:val="ListParagraph"/>
        <w:bidi w:val="0"/>
        <w:jc w:val="both"/>
        <w:rPr>
          <w:rFonts w:ascii="Arial" w:hAnsi="Arial" w:cs="Arial"/>
          <w:sz w:val="22"/>
          <w:szCs w:val="22"/>
        </w:rPr>
      </w:pPr>
      <w:r>
        <w:rPr/>
      </w:r>
    </w:p>
    <w:sectPr>
      <w:type w:val="nextPage"/>
      <w:pgSz w:w="11906" w:h="16838"/>
      <w:pgMar w:left="1134" w:right="1134" w:gutter="0" w:header="0" w:top="1134" w:footer="0" w:bottom="1134"/>
      <w:pgNumType w:fmt="decimal"/>
      <w:formProt w:val="false"/>
      <w:textDirection w:val="lrTb"/>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OpenSymbol">
    <w:altName w:val="Arial Unicode MS"/>
    <w:charset w:val="02"/>
    <w:family w:val="auto"/>
    <w:pitch w:val="default"/>
  </w:font>
  <w:font w:name="Liberation Sans">
    <w:altName w:val="Arial"/>
    <w:charset w:val="00"/>
    <w:family w:val="swiss"/>
    <w:pitch w:val="variable"/>
  </w:font>
  <w:font w:name="Arial">
    <w:charset w:val="00"/>
    <w:family w:val="roman"/>
    <w:pitch w:val="variable"/>
  </w:font>
  <w:font w:name="Arial">
    <w:charset w:val="01"/>
    <w:family w:val="swiss"/>
    <w:pitch w:val="variable"/>
  </w:font>
  <w:font w:name="Symbol">
    <w:charset w:val="02"/>
    <w:family w:val="auto"/>
    <w:pitch w:val="default"/>
  </w:font>
  <w:font w:name="OpenSymbol">
    <w:altName w:val="Arial Unicode MS"/>
    <w:charset w:val="01"/>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pStyle w:val="Heading1"/>
      <w:numFmt w:val="none"/>
      <w:suff w:val="nothing"/>
      <w:lvlText w:val=""/>
      <w:lvlJc w:val="left"/>
      <w:pPr>
        <w:tabs>
          <w:tab w:val="num" w:pos="0"/>
        </w:tabs>
        <w:ind w:left="0" w:hanging="0"/>
      </w:pPr>
    </w:lvl>
    <w:lvl w:ilvl="1">
      <w:start w:val="1"/>
      <w:pStyle w:val="Heading2"/>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bullet"/>
      <w:lvlText w:val=""/>
      <w:lvlJc w:val="left"/>
      <w:pPr>
        <w:tabs>
          <w:tab w:val="num" w:pos="1440"/>
        </w:tabs>
        <w:ind w:left="1440" w:hanging="360"/>
      </w:pPr>
      <w:rPr>
        <w:rFonts w:ascii="Symbol" w:hAnsi="Symbol" w:cs="Symbol" w:hint="default"/>
      </w:rPr>
    </w:lvl>
    <w:lvl w:ilvl="1">
      <w:start w:val="1"/>
      <w:numFmt w:val="bullet"/>
      <w:lvlText w:val="◦"/>
      <w:lvlJc w:val="left"/>
      <w:pPr>
        <w:tabs>
          <w:tab w:val="num" w:pos="1800"/>
        </w:tabs>
        <w:ind w:left="1800" w:hanging="360"/>
      </w:pPr>
      <w:rPr>
        <w:rFonts w:ascii="OpenSymbol" w:hAnsi="OpenSymbol" w:cs="OpenSymbol" w:hint="default"/>
      </w:rPr>
    </w:lvl>
    <w:lvl w:ilvl="2">
      <w:start w:val="1"/>
      <w:numFmt w:val="bullet"/>
      <w:lvlText w:val="▪"/>
      <w:lvlJc w:val="left"/>
      <w:pPr>
        <w:tabs>
          <w:tab w:val="num" w:pos="2160"/>
        </w:tabs>
        <w:ind w:left="2160" w:hanging="360"/>
      </w:pPr>
      <w:rPr>
        <w:rFonts w:ascii="OpenSymbol" w:hAnsi="OpenSymbol" w:cs="OpenSymbol" w:hint="default"/>
      </w:rPr>
    </w:lvl>
    <w:lvl w:ilvl="3">
      <w:start w:val="1"/>
      <w:numFmt w:val="bullet"/>
      <w:lvlText w:val=""/>
      <w:lvlJc w:val="left"/>
      <w:pPr>
        <w:tabs>
          <w:tab w:val="num" w:pos="2520"/>
        </w:tabs>
        <w:ind w:left="2520" w:hanging="360"/>
      </w:pPr>
      <w:rPr>
        <w:rFonts w:ascii="Symbol" w:hAnsi="Symbol" w:cs="Symbol" w:hint="default"/>
      </w:rPr>
    </w:lvl>
    <w:lvl w:ilvl="4">
      <w:start w:val="1"/>
      <w:numFmt w:val="bullet"/>
      <w:lvlText w:val="◦"/>
      <w:lvlJc w:val="left"/>
      <w:pPr>
        <w:tabs>
          <w:tab w:val="num" w:pos="2880"/>
        </w:tabs>
        <w:ind w:left="2880" w:hanging="360"/>
      </w:pPr>
      <w:rPr>
        <w:rFonts w:ascii="OpenSymbol" w:hAnsi="OpenSymbol" w:cs="OpenSymbol" w:hint="default"/>
      </w:rPr>
    </w:lvl>
    <w:lvl w:ilvl="5">
      <w:start w:val="1"/>
      <w:numFmt w:val="bullet"/>
      <w:lvlText w:val="▪"/>
      <w:lvlJc w:val="left"/>
      <w:pPr>
        <w:tabs>
          <w:tab w:val="num" w:pos="3240"/>
        </w:tabs>
        <w:ind w:left="3240" w:hanging="360"/>
      </w:pPr>
      <w:rPr>
        <w:rFonts w:ascii="OpenSymbol" w:hAnsi="OpenSymbol" w:cs="OpenSymbol" w:hint="default"/>
      </w:rPr>
    </w:lvl>
    <w:lvl w:ilvl="6">
      <w:start w:val="1"/>
      <w:numFmt w:val="bullet"/>
      <w:lvlText w:val=""/>
      <w:lvlJc w:val="left"/>
      <w:pPr>
        <w:tabs>
          <w:tab w:val="num" w:pos="3600"/>
        </w:tabs>
        <w:ind w:left="3600" w:hanging="360"/>
      </w:pPr>
      <w:rPr>
        <w:rFonts w:ascii="Symbol" w:hAnsi="Symbol" w:cs="Symbol" w:hint="default"/>
      </w:rPr>
    </w:lvl>
    <w:lvl w:ilvl="7">
      <w:start w:val="1"/>
      <w:numFmt w:val="bullet"/>
      <w:lvlText w:val="◦"/>
      <w:lvlJc w:val="left"/>
      <w:pPr>
        <w:tabs>
          <w:tab w:val="num" w:pos="3960"/>
        </w:tabs>
        <w:ind w:left="3960" w:hanging="360"/>
      </w:pPr>
      <w:rPr>
        <w:rFonts w:ascii="OpenSymbol" w:hAnsi="OpenSymbol" w:cs="OpenSymbol" w:hint="default"/>
      </w:rPr>
    </w:lvl>
    <w:lvl w:ilvl="8">
      <w:start w:val="1"/>
      <w:numFmt w:val="bullet"/>
      <w:lvlText w:val="▪"/>
      <w:lvlJc w:val="left"/>
      <w:pPr>
        <w:tabs>
          <w:tab w:val="num" w:pos="4320"/>
        </w:tabs>
        <w:ind w:left="4320" w:hanging="360"/>
      </w:pPr>
      <w:rPr>
        <w:rFonts w:ascii="OpenSymbol" w:hAnsi="OpenSymbol" w:cs="OpenSymbol" w:hint="default"/>
      </w:rPr>
    </w:lvl>
  </w:abstractNum>
  <w:abstractNum w:abstractNumId="3">
    <w:lvl w:ilvl="0">
      <w:start w:val="1"/>
      <w:numFmt w:val="bullet"/>
      <w:lvlText w:val=""/>
      <w:lvlJc w:val="left"/>
      <w:pPr>
        <w:tabs>
          <w:tab w:val="num" w:pos="1440"/>
        </w:tabs>
        <w:ind w:left="1440" w:hanging="360"/>
      </w:pPr>
      <w:rPr>
        <w:rFonts w:ascii="Symbol" w:hAnsi="Symbol" w:cs="Symbol" w:hint="default"/>
      </w:rPr>
    </w:lvl>
    <w:lvl w:ilvl="1">
      <w:start w:val="1"/>
      <w:numFmt w:val="bullet"/>
      <w:lvlText w:val="◦"/>
      <w:lvlJc w:val="left"/>
      <w:pPr>
        <w:tabs>
          <w:tab w:val="num" w:pos="1800"/>
        </w:tabs>
        <w:ind w:left="1800" w:hanging="360"/>
      </w:pPr>
      <w:rPr>
        <w:rFonts w:ascii="OpenSymbol" w:hAnsi="OpenSymbol" w:cs="OpenSymbol" w:hint="default"/>
      </w:rPr>
    </w:lvl>
    <w:lvl w:ilvl="2">
      <w:start w:val="1"/>
      <w:numFmt w:val="bullet"/>
      <w:lvlText w:val="▪"/>
      <w:lvlJc w:val="left"/>
      <w:pPr>
        <w:tabs>
          <w:tab w:val="num" w:pos="2160"/>
        </w:tabs>
        <w:ind w:left="2160" w:hanging="360"/>
      </w:pPr>
      <w:rPr>
        <w:rFonts w:ascii="OpenSymbol" w:hAnsi="OpenSymbol" w:cs="OpenSymbol" w:hint="default"/>
      </w:rPr>
    </w:lvl>
    <w:lvl w:ilvl="3">
      <w:start w:val="1"/>
      <w:numFmt w:val="bullet"/>
      <w:lvlText w:val=""/>
      <w:lvlJc w:val="left"/>
      <w:pPr>
        <w:tabs>
          <w:tab w:val="num" w:pos="2520"/>
        </w:tabs>
        <w:ind w:left="2520" w:hanging="360"/>
      </w:pPr>
      <w:rPr>
        <w:rFonts w:ascii="Symbol" w:hAnsi="Symbol" w:cs="Symbol" w:hint="default"/>
      </w:rPr>
    </w:lvl>
    <w:lvl w:ilvl="4">
      <w:start w:val="1"/>
      <w:numFmt w:val="bullet"/>
      <w:lvlText w:val="◦"/>
      <w:lvlJc w:val="left"/>
      <w:pPr>
        <w:tabs>
          <w:tab w:val="num" w:pos="2880"/>
        </w:tabs>
        <w:ind w:left="2880" w:hanging="360"/>
      </w:pPr>
      <w:rPr>
        <w:rFonts w:ascii="OpenSymbol" w:hAnsi="OpenSymbol" w:cs="OpenSymbol" w:hint="default"/>
      </w:rPr>
    </w:lvl>
    <w:lvl w:ilvl="5">
      <w:start w:val="1"/>
      <w:numFmt w:val="bullet"/>
      <w:lvlText w:val="▪"/>
      <w:lvlJc w:val="left"/>
      <w:pPr>
        <w:tabs>
          <w:tab w:val="num" w:pos="3240"/>
        </w:tabs>
        <w:ind w:left="3240" w:hanging="360"/>
      </w:pPr>
      <w:rPr>
        <w:rFonts w:ascii="OpenSymbol" w:hAnsi="OpenSymbol" w:cs="OpenSymbol" w:hint="default"/>
      </w:rPr>
    </w:lvl>
    <w:lvl w:ilvl="6">
      <w:start w:val="1"/>
      <w:numFmt w:val="bullet"/>
      <w:lvlText w:val=""/>
      <w:lvlJc w:val="left"/>
      <w:pPr>
        <w:tabs>
          <w:tab w:val="num" w:pos="3600"/>
        </w:tabs>
        <w:ind w:left="3600" w:hanging="360"/>
      </w:pPr>
      <w:rPr>
        <w:rFonts w:ascii="Symbol" w:hAnsi="Symbol" w:cs="Symbol" w:hint="default"/>
      </w:rPr>
    </w:lvl>
    <w:lvl w:ilvl="7">
      <w:start w:val="1"/>
      <w:numFmt w:val="bullet"/>
      <w:lvlText w:val="◦"/>
      <w:lvlJc w:val="left"/>
      <w:pPr>
        <w:tabs>
          <w:tab w:val="num" w:pos="3960"/>
        </w:tabs>
        <w:ind w:left="3960" w:hanging="360"/>
      </w:pPr>
      <w:rPr>
        <w:rFonts w:ascii="OpenSymbol" w:hAnsi="OpenSymbol" w:cs="OpenSymbol" w:hint="default"/>
      </w:rPr>
    </w:lvl>
    <w:lvl w:ilvl="8">
      <w:start w:val="1"/>
      <w:numFmt w:val="bullet"/>
      <w:lvlText w:val="▪"/>
      <w:lvlJc w:val="left"/>
      <w:pPr>
        <w:tabs>
          <w:tab w:val="num" w:pos="4320"/>
        </w:tabs>
        <w:ind w:left="4320" w:hanging="360"/>
      </w:pPr>
      <w:rPr>
        <w:rFonts w:ascii="OpenSymbol" w:hAnsi="OpenSymbol" w:cs="OpenSymbol" w:hint="default"/>
      </w:rPr>
    </w:lvl>
  </w:abstractNum>
  <w:abstractNum w:abstractNumId="4">
    <w:lvl w:ilvl="0">
      <w:start w:val="1"/>
      <w:numFmt w:val="bullet"/>
      <w:lvlText w:val=""/>
      <w:lvlJc w:val="left"/>
      <w:pPr>
        <w:tabs>
          <w:tab w:val="num" w:pos="1440"/>
        </w:tabs>
        <w:ind w:left="1440" w:hanging="360"/>
      </w:pPr>
      <w:rPr>
        <w:rFonts w:ascii="Symbol" w:hAnsi="Symbol" w:cs="Symbol" w:hint="default"/>
      </w:rPr>
    </w:lvl>
    <w:lvl w:ilvl="1">
      <w:start w:val="1"/>
      <w:numFmt w:val="bullet"/>
      <w:lvlText w:val="◦"/>
      <w:lvlJc w:val="left"/>
      <w:pPr>
        <w:tabs>
          <w:tab w:val="num" w:pos="1800"/>
        </w:tabs>
        <w:ind w:left="1800" w:hanging="360"/>
      </w:pPr>
      <w:rPr>
        <w:rFonts w:ascii="OpenSymbol" w:hAnsi="OpenSymbol" w:cs="OpenSymbol" w:hint="default"/>
      </w:rPr>
    </w:lvl>
    <w:lvl w:ilvl="2">
      <w:start w:val="1"/>
      <w:numFmt w:val="bullet"/>
      <w:lvlText w:val="▪"/>
      <w:lvlJc w:val="left"/>
      <w:pPr>
        <w:tabs>
          <w:tab w:val="num" w:pos="2160"/>
        </w:tabs>
        <w:ind w:left="2160" w:hanging="360"/>
      </w:pPr>
      <w:rPr>
        <w:rFonts w:ascii="OpenSymbol" w:hAnsi="OpenSymbol" w:cs="OpenSymbol" w:hint="default"/>
      </w:rPr>
    </w:lvl>
    <w:lvl w:ilvl="3">
      <w:start w:val="1"/>
      <w:numFmt w:val="bullet"/>
      <w:lvlText w:val=""/>
      <w:lvlJc w:val="left"/>
      <w:pPr>
        <w:tabs>
          <w:tab w:val="num" w:pos="2520"/>
        </w:tabs>
        <w:ind w:left="2520" w:hanging="360"/>
      </w:pPr>
      <w:rPr>
        <w:rFonts w:ascii="Symbol" w:hAnsi="Symbol" w:cs="Symbol" w:hint="default"/>
      </w:rPr>
    </w:lvl>
    <w:lvl w:ilvl="4">
      <w:start w:val="1"/>
      <w:numFmt w:val="bullet"/>
      <w:lvlText w:val="◦"/>
      <w:lvlJc w:val="left"/>
      <w:pPr>
        <w:tabs>
          <w:tab w:val="num" w:pos="2880"/>
        </w:tabs>
        <w:ind w:left="2880" w:hanging="360"/>
      </w:pPr>
      <w:rPr>
        <w:rFonts w:ascii="OpenSymbol" w:hAnsi="OpenSymbol" w:cs="OpenSymbol" w:hint="default"/>
      </w:rPr>
    </w:lvl>
    <w:lvl w:ilvl="5">
      <w:start w:val="1"/>
      <w:numFmt w:val="bullet"/>
      <w:lvlText w:val="▪"/>
      <w:lvlJc w:val="left"/>
      <w:pPr>
        <w:tabs>
          <w:tab w:val="num" w:pos="3240"/>
        </w:tabs>
        <w:ind w:left="3240" w:hanging="360"/>
      </w:pPr>
      <w:rPr>
        <w:rFonts w:ascii="OpenSymbol" w:hAnsi="OpenSymbol" w:cs="OpenSymbol" w:hint="default"/>
      </w:rPr>
    </w:lvl>
    <w:lvl w:ilvl="6">
      <w:start w:val="1"/>
      <w:numFmt w:val="bullet"/>
      <w:lvlText w:val=""/>
      <w:lvlJc w:val="left"/>
      <w:pPr>
        <w:tabs>
          <w:tab w:val="num" w:pos="3600"/>
        </w:tabs>
        <w:ind w:left="3600" w:hanging="360"/>
      </w:pPr>
      <w:rPr>
        <w:rFonts w:ascii="Symbol" w:hAnsi="Symbol" w:cs="Symbol" w:hint="default"/>
      </w:rPr>
    </w:lvl>
    <w:lvl w:ilvl="7">
      <w:start w:val="1"/>
      <w:numFmt w:val="bullet"/>
      <w:lvlText w:val="◦"/>
      <w:lvlJc w:val="left"/>
      <w:pPr>
        <w:tabs>
          <w:tab w:val="num" w:pos="3960"/>
        </w:tabs>
        <w:ind w:left="3960" w:hanging="360"/>
      </w:pPr>
      <w:rPr>
        <w:rFonts w:ascii="OpenSymbol" w:hAnsi="OpenSymbol" w:cs="OpenSymbol" w:hint="default"/>
      </w:rPr>
    </w:lvl>
    <w:lvl w:ilvl="8">
      <w:start w:val="1"/>
      <w:numFmt w:val="bullet"/>
      <w:lvlText w:val="▪"/>
      <w:lvlJc w:val="left"/>
      <w:pPr>
        <w:tabs>
          <w:tab w:val="num" w:pos="4320"/>
        </w:tabs>
        <w:ind w:left="4320" w:hanging="360"/>
      </w:pPr>
      <w:rPr>
        <w:rFonts w:ascii="OpenSymbol" w:hAnsi="OpenSymbol" w:cs="OpenSymbol" w:hint="default"/>
      </w:rPr>
    </w:lvl>
  </w:abstractNum>
  <w:abstractNum w:abstractNumId="5">
    <w:lvl w:ilvl="0">
      <w:start w:val="1"/>
      <w:numFmt w:val="bullet"/>
      <w:lvlText w:val=""/>
      <w:lvlJc w:val="left"/>
      <w:pPr>
        <w:tabs>
          <w:tab w:val="num" w:pos="1440"/>
        </w:tabs>
        <w:ind w:left="1440" w:hanging="360"/>
      </w:pPr>
      <w:rPr>
        <w:rFonts w:ascii="Symbol" w:hAnsi="Symbol" w:cs="Symbol" w:hint="default"/>
      </w:rPr>
    </w:lvl>
    <w:lvl w:ilvl="1">
      <w:start w:val="1"/>
      <w:numFmt w:val="bullet"/>
      <w:lvlText w:val="◦"/>
      <w:lvlJc w:val="left"/>
      <w:pPr>
        <w:tabs>
          <w:tab w:val="num" w:pos="1800"/>
        </w:tabs>
        <w:ind w:left="1800" w:hanging="360"/>
      </w:pPr>
      <w:rPr>
        <w:rFonts w:ascii="OpenSymbol" w:hAnsi="OpenSymbol" w:cs="OpenSymbol" w:hint="default"/>
      </w:rPr>
    </w:lvl>
    <w:lvl w:ilvl="2">
      <w:start w:val="1"/>
      <w:numFmt w:val="bullet"/>
      <w:lvlText w:val="▪"/>
      <w:lvlJc w:val="left"/>
      <w:pPr>
        <w:tabs>
          <w:tab w:val="num" w:pos="2160"/>
        </w:tabs>
        <w:ind w:left="2160" w:hanging="360"/>
      </w:pPr>
      <w:rPr>
        <w:rFonts w:ascii="OpenSymbol" w:hAnsi="OpenSymbol" w:cs="OpenSymbol" w:hint="default"/>
      </w:rPr>
    </w:lvl>
    <w:lvl w:ilvl="3">
      <w:start w:val="1"/>
      <w:numFmt w:val="bullet"/>
      <w:lvlText w:val=""/>
      <w:lvlJc w:val="left"/>
      <w:pPr>
        <w:tabs>
          <w:tab w:val="num" w:pos="2520"/>
        </w:tabs>
        <w:ind w:left="2520" w:hanging="360"/>
      </w:pPr>
      <w:rPr>
        <w:rFonts w:ascii="Symbol" w:hAnsi="Symbol" w:cs="Symbol" w:hint="default"/>
      </w:rPr>
    </w:lvl>
    <w:lvl w:ilvl="4">
      <w:start w:val="1"/>
      <w:numFmt w:val="bullet"/>
      <w:lvlText w:val="◦"/>
      <w:lvlJc w:val="left"/>
      <w:pPr>
        <w:tabs>
          <w:tab w:val="num" w:pos="2880"/>
        </w:tabs>
        <w:ind w:left="2880" w:hanging="360"/>
      </w:pPr>
      <w:rPr>
        <w:rFonts w:ascii="OpenSymbol" w:hAnsi="OpenSymbol" w:cs="OpenSymbol" w:hint="default"/>
      </w:rPr>
    </w:lvl>
    <w:lvl w:ilvl="5">
      <w:start w:val="1"/>
      <w:numFmt w:val="bullet"/>
      <w:lvlText w:val="▪"/>
      <w:lvlJc w:val="left"/>
      <w:pPr>
        <w:tabs>
          <w:tab w:val="num" w:pos="3240"/>
        </w:tabs>
        <w:ind w:left="3240" w:hanging="360"/>
      </w:pPr>
      <w:rPr>
        <w:rFonts w:ascii="OpenSymbol" w:hAnsi="OpenSymbol" w:cs="OpenSymbol" w:hint="default"/>
      </w:rPr>
    </w:lvl>
    <w:lvl w:ilvl="6">
      <w:start w:val="1"/>
      <w:numFmt w:val="bullet"/>
      <w:lvlText w:val=""/>
      <w:lvlJc w:val="left"/>
      <w:pPr>
        <w:tabs>
          <w:tab w:val="num" w:pos="3600"/>
        </w:tabs>
        <w:ind w:left="3600" w:hanging="360"/>
      </w:pPr>
      <w:rPr>
        <w:rFonts w:ascii="Symbol" w:hAnsi="Symbol" w:cs="Symbol" w:hint="default"/>
      </w:rPr>
    </w:lvl>
    <w:lvl w:ilvl="7">
      <w:start w:val="1"/>
      <w:numFmt w:val="bullet"/>
      <w:lvlText w:val="◦"/>
      <w:lvlJc w:val="left"/>
      <w:pPr>
        <w:tabs>
          <w:tab w:val="num" w:pos="3960"/>
        </w:tabs>
        <w:ind w:left="3960" w:hanging="360"/>
      </w:pPr>
      <w:rPr>
        <w:rFonts w:ascii="OpenSymbol" w:hAnsi="OpenSymbol" w:cs="OpenSymbol" w:hint="default"/>
      </w:rPr>
    </w:lvl>
    <w:lvl w:ilvl="8">
      <w:start w:val="1"/>
      <w:numFmt w:val="bullet"/>
      <w:lvlText w:val="▪"/>
      <w:lvlJc w:val="left"/>
      <w:pPr>
        <w:tabs>
          <w:tab w:val="num" w:pos="4320"/>
        </w:tabs>
        <w:ind w:left="4320" w:hanging="360"/>
      </w:pPr>
      <w:rPr>
        <w:rFonts w:ascii="OpenSymbol" w:hAnsi="OpenSymbol" w:cs="OpenSymbol" w:hint="default"/>
      </w:rPr>
    </w:lvl>
  </w:abstractNum>
  <w:abstractNum w:abstractNumId="6">
    <w:lvl w:ilvl="0">
      <w:start w:val="1"/>
      <w:numFmt w:val="bullet"/>
      <w:lvlText w:val=""/>
      <w:lvlJc w:val="left"/>
      <w:pPr>
        <w:tabs>
          <w:tab w:val="num" w:pos="1440"/>
        </w:tabs>
        <w:ind w:left="1440" w:hanging="360"/>
      </w:pPr>
      <w:rPr>
        <w:rFonts w:ascii="Symbol" w:hAnsi="Symbol" w:cs="Symbol" w:hint="default"/>
      </w:rPr>
    </w:lvl>
    <w:lvl w:ilvl="1">
      <w:start w:val="1"/>
      <w:numFmt w:val="bullet"/>
      <w:lvlText w:val="◦"/>
      <w:lvlJc w:val="left"/>
      <w:pPr>
        <w:tabs>
          <w:tab w:val="num" w:pos="1800"/>
        </w:tabs>
        <w:ind w:left="1800" w:hanging="360"/>
      </w:pPr>
      <w:rPr>
        <w:rFonts w:ascii="OpenSymbol" w:hAnsi="OpenSymbol" w:cs="OpenSymbol" w:hint="default"/>
      </w:rPr>
    </w:lvl>
    <w:lvl w:ilvl="2">
      <w:start w:val="1"/>
      <w:numFmt w:val="bullet"/>
      <w:lvlText w:val="▪"/>
      <w:lvlJc w:val="left"/>
      <w:pPr>
        <w:tabs>
          <w:tab w:val="num" w:pos="2160"/>
        </w:tabs>
        <w:ind w:left="2160" w:hanging="360"/>
      </w:pPr>
      <w:rPr>
        <w:rFonts w:ascii="OpenSymbol" w:hAnsi="OpenSymbol" w:cs="OpenSymbol" w:hint="default"/>
      </w:rPr>
    </w:lvl>
    <w:lvl w:ilvl="3">
      <w:start w:val="1"/>
      <w:numFmt w:val="bullet"/>
      <w:lvlText w:val=""/>
      <w:lvlJc w:val="left"/>
      <w:pPr>
        <w:tabs>
          <w:tab w:val="num" w:pos="2520"/>
        </w:tabs>
        <w:ind w:left="2520" w:hanging="360"/>
      </w:pPr>
      <w:rPr>
        <w:rFonts w:ascii="Symbol" w:hAnsi="Symbol" w:cs="Symbol" w:hint="default"/>
      </w:rPr>
    </w:lvl>
    <w:lvl w:ilvl="4">
      <w:start w:val="1"/>
      <w:numFmt w:val="bullet"/>
      <w:lvlText w:val="◦"/>
      <w:lvlJc w:val="left"/>
      <w:pPr>
        <w:tabs>
          <w:tab w:val="num" w:pos="2880"/>
        </w:tabs>
        <w:ind w:left="2880" w:hanging="360"/>
      </w:pPr>
      <w:rPr>
        <w:rFonts w:ascii="OpenSymbol" w:hAnsi="OpenSymbol" w:cs="OpenSymbol" w:hint="default"/>
      </w:rPr>
    </w:lvl>
    <w:lvl w:ilvl="5">
      <w:start w:val="1"/>
      <w:numFmt w:val="bullet"/>
      <w:lvlText w:val="▪"/>
      <w:lvlJc w:val="left"/>
      <w:pPr>
        <w:tabs>
          <w:tab w:val="num" w:pos="3240"/>
        </w:tabs>
        <w:ind w:left="3240" w:hanging="360"/>
      </w:pPr>
      <w:rPr>
        <w:rFonts w:ascii="OpenSymbol" w:hAnsi="OpenSymbol" w:cs="OpenSymbol" w:hint="default"/>
      </w:rPr>
    </w:lvl>
    <w:lvl w:ilvl="6">
      <w:start w:val="1"/>
      <w:numFmt w:val="bullet"/>
      <w:lvlText w:val=""/>
      <w:lvlJc w:val="left"/>
      <w:pPr>
        <w:tabs>
          <w:tab w:val="num" w:pos="3600"/>
        </w:tabs>
        <w:ind w:left="3600" w:hanging="360"/>
      </w:pPr>
      <w:rPr>
        <w:rFonts w:ascii="Symbol" w:hAnsi="Symbol" w:cs="Symbol" w:hint="default"/>
      </w:rPr>
    </w:lvl>
    <w:lvl w:ilvl="7">
      <w:start w:val="1"/>
      <w:numFmt w:val="bullet"/>
      <w:lvlText w:val="◦"/>
      <w:lvlJc w:val="left"/>
      <w:pPr>
        <w:tabs>
          <w:tab w:val="num" w:pos="3960"/>
        </w:tabs>
        <w:ind w:left="3960" w:hanging="360"/>
      </w:pPr>
      <w:rPr>
        <w:rFonts w:ascii="OpenSymbol" w:hAnsi="OpenSymbol" w:cs="OpenSymbol" w:hint="default"/>
      </w:rPr>
    </w:lvl>
    <w:lvl w:ilvl="8">
      <w:start w:val="1"/>
      <w:numFmt w:val="bullet"/>
      <w:lvlText w:val="▪"/>
      <w:lvlJc w:val="left"/>
      <w:pPr>
        <w:tabs>
          <w:tab w:val="num" w:pos="4320"/>
        </w:tabs>
        <w:ind w:left="4320" w:hanging="360"/>
      </w:pPr>
      <w:rPr>
        <w:rFonts w:ascii="OpenSymbol" w:hAnsi="OpenSymbol" w:cs="OpenSymbol" w:hint="default"/>
      </w:rPr>
    </w:lvl>
  </w:abstractNum>
  <w:abstractNum w:abstractNumId="7">
    <w:lvl w:ilvl="0">
      <w:start w:val="1"/>
      <w:numFmt w:val="bullet"/>
      <w:lvlText w:val=""/>
      <w:lvlJc w:val="left"/>
      <w:pPr>
        <w:tabs>
          <w:tab w:val="num" w:pos="1440"/>
        </w:tabs>
        <w:ind w:left="1440" w:hanging="360"/>
      </w:pPr>
      <w:rPr>
        <w:rFonts w:ascii="Symbol" w:hAnsi="Symbol" w:cs="Symbol" w:hint="default"/>
      </w:rPr>
    </w:lvl>
    <w:lvl w:ilvl="1">
      <w:start w:val="1"/>
      <w:numFmt w:val="bullet"/>
      <w:lvlText w:val="◦"/>
      <w:lvlJc w:val="left"/>
      <w:pPr>
        <w:tabs>
          <w:tab w:val="num" w:pos="1800"/>
        </w:tabs>
        <w:ind w:left="1800" w:hanging="360"/>
      </w:pPr>
      <w:rPr>
        <w:rFonts w:ascii="OpenSymbol" w:hAnsi="OpenSymbol" w:cs="OpenSymbol" w:hint="default"/>
      </w:rPr>
    </w:lvl>
    <w:lvl w:ilvl="2">
      <w:start w:val="1"/>
      <w:numFmt w:val="bullet"/>
      <w:lvlText w:val="▪"/>
      <w:lvlJc w:val="left"/>
      <w:pPr>
        <w:tabs>
          <w:tab w:val="num" w:pos="2160"/>
        </w:tabs>
        <w:ind w:left="2160" w:hanging="360"/>
      </w:pPr>
      <w:rPr>
        <w:rFonts w:ascii="OpenSymbol" w:hAnsi="OpenSymbol" w:cs="OpenSymbol" w:hint="default"/>
      </w:rPr>
    </w:lvl>
    <w:lvl w:ilvl="3">
      <w:start w:val="1"/>
      <w:numFmt w:val="bullet"/>
      <w:lvlText w:val=""/>
      <w:lvlJc w:val="left"/>
      <w:pPr>
        <w:tabs>
          <w:tab w:val="num" w:pos="2520"/>
        </w:tabs>
        <w:ind w:left="2520" w:hanging="360"/>
      </w:pPr>
      <w:rPr>
        <w:rFonts w:ascii="Symbol" w:hAnsi="Symbol" w:cs="Symbol" w:hint="default"/>
      </w:rPr>
    </w:lvl>
    <w:lvl w:ilvl="4">
      <w:start w:val="1"/>
      <w:numFmt w:val="bullet"/>
      <w:lvlText w:val="◦"/>
      <w:lvlJc w:val="left"/>
      <w:pPr>
        <w:tabs>
          <w:tab w:val="num" w:pos="2880"/>
        </w:tabs>
        <w:ind w:left="2880" w:hanging="360"/>
      </w:pPr>
      <w:rPr>
        <w:rFonts w:ascii="OpenSymbol" w:hAnsi="OpenSymbol" w:cs="OpenSymbol" w:hint="default"/>
      </w:rPr>
    </w:lvl>
    <w:lvl w:ilvl="5">
      <w:start w:val="1"/>
      <w:numFmt w:val="bullet"/>
      <w:lvlText w:val="▪"/>
      <w:lvlJc w:val="left"/>
      <w:pPr>
        <w:tabs>
          <w:tab w:val="num" w:pos="3240"/>
        </w:tabs>
        <w:ind w:left="3240" w:hanging="360"/>
      </w:pPr>
      <w:rPr>
        <w:rFonts w:ascii="OpenSymbol" w:hAnsi="OpenSymbol" w:cs="OpenSymbol" w:hint="default"/>
      </w:rPr>
    </w:lvl>
    <w:lvl w:ilvl="6">
      <w:start w:val="1"/>
      <w:numFmt w:val="bullet"/>
      <w:lvlText w:val=""/>
      <w:lvlJc w:val="left"/>
      <w:pPr>
        <w:tabs>
          <w:tab w:val="num" w:pos="3600"/>
        </w:tabs>
        <w:ind w:left="3600" w:hanging="360"/>
      </w:pPr>
      <w:rPr>
        <w:rFonts w:ascii="Symbol" w:hAnsi="Symbol" w:cs="Symbol" w:hint="default"/>
      </w:rPr>
    </w:lvl>
    <w:lvl w:ilvl="7">
      <w:start w:val="1"/>
      <w:numFmt w:val="bullet"/>
      <w:lvlText w:val="◦"/>
      <w:lvlJc w:val="left"/>
      <w:pPr>
        <w:tabs>
          <w:tab w:val="num" w:pos="3960"/>
        </w:tabs>
        <w:ind w:left="3960" w:hanging="360"/>
      </w:pPr>
      <w:rPr>
        <w:rFonts w:ascii="OpenSymbol" w:hAnsi="OpenSymbol" w:cs="OpenSymbol" w:hint="default"/>
      </w:rPr>
    </w:lvl>
    <w:lvl w:ilvl="8">
      <w:start w:val="1"/>
      <w:numFmt w:val="bullet"/>
      <w:lvlText w:val="▪"/>
      <w:lvlJc w:val="left"/>
      <w:pPr>
        <w:tabs>
          <w:tab w:val="num" w:pos="4320"/>
        </w:tabs>
        <w:ind w:left="4320" w:hanging="360"/>
      </w:pPr>
      <w:rPr>
        <w:rFonts w:ascii="OpenSymbol" w:hAnsi="OpenSymbol" w:cs="OpenSymbol" w:hint="default"/>
      </w:rPr>
    </w:lvl>
  </w:abstractNum>
  <w:abstractNum w:abstractNumId="8">
    <w:lvl w:ilvl="0">
      <w:start w:val="1"/>
      <w:numFmt w:val="bullet"/>
      <w:lvlText w:val=""/>
      <w:lvlJc w:val="left"/>
      <w:pPr>
        <w:tabs>
          <w:tab w:val="num" w:pos="1440"/>
        </w:tabs>
        <w:ind w:left="1440" w:hanging="360"/>
      </w:pPr>
      <w:rPr>
        <w:rFonts w:ascii="Symbol" w:hAnsi="Symbol" w:cs="Symbol" w:hint="default"/>
      </w:rPr>
    </w:lvl>
    <w:lvl w:ilvl="1">
      <w:start w:val="1"/>
      <w:numFmt w:val="bullet"/>
      <w:lvlText w:val="◦"/>
      <w:lvlJc w:val="left"/>
      <w:pPr>
        <w:tabs>
          <w:tab w:val="num" w:pos="1800"/>
        </w:tabs>
        <w:ind w:left="1800" w:hanging="360"/>
      </w:pPr>
      <w:rPr>
        <w:rFonts w:ascii="OpenSymbol" w:hAnsi="OpenSymbol" w:cs="OpenSymbol" w:hint="default"/>
      </w:rPr>
    </w:lvl>
    <w:lvl w:ilvl="2">
      <w:start w:val="1"/>
      <w:numFmt w:val="bullet"/>
      <w:lvlText w:val="▪"/>
      <w:lvlJc w:val="left"/>
      <w:pPr>
        <w:tabs>
          <w:tab w:val="num" w:pos="2160"/>
        </w:tabs>
        <w:ind w:left="2160" w:hanging="360"/>
      </w:pPr>
      <w:rPr>
        <w:rFonts w:ascii="OpenSymbol" w:hAnsi="OpenSymbol" w:cs="OpenSymbol" w:hint="default"/>
      </w:rPr>
    </w:lvl>
    <w:lvl w:ilvl="3">
      <w:start w:val="1"/>
      <w:numFmt w:val="bullet"/>
      <w:lvlText w:val=""/>
      <w:lvlJc w:val="left"/>
      <w:pPr>
        <w:tabs>
          <w:tab w:val="num" w:pos="2520"/>
        </w:tabs>
        <w:ind w:left="2520" w:hanging="360"/>
      </w:pPr>
      <w:rPr>
        <w:rFonts w:ascii="Symbol" w:hAnsi="Symbol" w:cs="Symbol" w:hint="default"/>
      </w:rPr>
    </w:lvl>
    <w:lvl w:ilvl="4">
      <w:start w:val="1"/>
      <w:numFmt w:val="bullet"/>
      <w:lvlText w:val="◦"/>
      <w:lvlJc w:val="left"/>
      <w:pPr>
        <w:tabs>
          <w:tab w:val="num" w:pos="2880"/>
        </w:tabs>
        <w:ind w:left="2880" w:hanging="360"/>
      </w:pPr>
      <w:rPr>
        <w:rFonts w:ascii="OpenSymbol" w:hAnsi="OpenSymbol" w:cs="OpenSymbol" w:hint="default"/>
      </w:rPr>
    </w:lvl>
    <w:lvl w:ilvl="5">
      <w:start w:val="1"/>
      <w:numFmt w:val="bullet"/>
      <w:lvlText w:val="▪"/>
      <w:lvlJc w:val="left"/>
      <w:pPr>
        <w:tabs>
          <w:tab w:val="num" w:pos="3240"/>
        </w:tabs>
        <w:ind w:left="3240" w:hanging="360"/>
      </w:pPr>
      <w:rPr>
        <w:rFonts w:ascii="OpenSymbol" w:hAnsi="OpenSymbol" w:cs="OpenSymbol" w:hint="default"/>
      </w:rPr>
    </w:lvl>
    <w:lvl w:ilvl="6">
      <w:start w:val="1"/>
      <w:numFmt w:val="bullet"/>
      <w:lvlText w:val=""/>
      <w:lvlJc w:val="left"/>
      <w:pPr>
        <w:tabs>
          <w:tab w:val="num" w:pos="3600"/>
        </w:tabs>
        <w:ind w:left="3600" w:hanging="360"/>
      </w:pPr>
      <w:rPr>
        <w:rFonts w:ascii="Symbol" w:hAnsi="Symbol" w:cs="Symbol" w:hint="default"/>
      </w:rPr>
    </w:lvl>
    <w:lvl w:ilvl="7">
      <w:start w:val="1"/>
      <w:numFmt w:val="bullet"/>
      <w:lvlText w:val="◦"/>
      <w:lvlJc w:val="left"/>
      <w:pPr>
        <w:tabs>
          <w:tab w:val="num" w:pos="3960"/>
        </w:tabs>
        <w:ind w:left="3960" w:hanging="360"/>
      </w:pPr>
      <w:rPr>
        <w:rFonts w:ascii="OpenSymbol" w:hAnsi="OpenSymbol" w:cs="OpenSymbol" w:hint="default"/>
      </w:rPr>
    </w:lvl>
    <w:lvl w:ilvl="8">
      <w:start w:val="1"/>
      <w:numFmt w:val="bullet"/>
      <w:lvlText w:val="▪"/>
      <w:lvlJc w:val="left"/>
      <w:pPr>
        <w:tabs>
          <w:tab w:val="num" w:pos="4320"/>
        </w:tabs>
        <w:ind w:left="4320" w:hanging="360"/>
      </w:pPr>
      <w:rPr>
        <w:rFonts w:ascii="OpenSymbol" w:hAnsi="OpenSymbol" w:cs="OpenSymbol" w:hint="default"/>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w="http://schemas.openxmlformats.org/wordprocessingml/2006/main">
  <w:zoom w:percent="130"/>
  <w:defaultTabStop w:val="709"/>
  <w:autoHyphenation w:val="true"/>
  <w:compat>
    <w:compatSetting w:name="compatibilityMode" w:uri="http://schemas.microsoft.com/office/word" w:val="12"/>
  </w:compat>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Lucida Sans"/>
        <w:kern w:val="2"/>
        <w:sz w:val="24"/>
        <w:szCs w:val="24"/>
        <w:lang w:val="en-GB" w:eastAsia="zh-CN" w:bidi="hi-IN"/>
      </w:rPr>
    </w:rPrDefault>
    <w:pPrDefault>
      <w:pPr>
        <w:widowControl/>
        <w:suppressAutoHyphens w:val="true"/>
      </w:pPr>
    </w:pPrDefault>
  </w:docDefaults>
  <w:style w:type="paragraph" w:styleId="Normal">
    <w:name w:val="Normal"/>
    <w:qFormat/>
    <w:pPr>
      <w:widowControl/>
      <w:bidi w:val="0"/>
    </w:pPr>
    <w:rPr>
      <w:rFonts w:ascii="Liberation Serif" w:hAnsi="Liberation Serif" w:eastAsia="NSimSun" w:cs="Lucida Sans"/>
      <w:color w:val="auto"/>
      <w:kern w:val="2"/>
      <w:sz w:val="24"/>
      <w:szCs w:val="24"/>
      <w:lang w:val="en-GB" w:eastAsia="zh-CN" w:bidi="hi-IN"/>
    </w:rPr>
  </w:style>
  <w:style w:type="paragraph" w:styleId="Heading1">
    <w:name w:val="Heading 1"/>
    <w:basedOn w:val="Heading"/>
    <w:next w:val="BodyText"/>
    <w:qFormat/>
    <w:pPr>
      <w:numPr>
        <w:ilvl w:val="0"/>
        <w:numId w:val="1"/>
      </w:numPr>
      <w:spacing w:before="240" w:after="120"/>
      <w:outlineLvl w:val="0"/>
    </w:pPr>
    <w:rPr>
      <w:b/>
      <w:bCs/>
      <w:sz w:val="36"/>
      <w:szCs w:val="36"/>
    </w:rPr>
  </w:style>
  <w:style w:type="paragraph" w:styleId="Heading2">
    <w:name w:val="Heading 2"/>
    <w:basedOn w:val="Heading"/>
    <w:next w:val="BodyText"/>
    <w:qFormat/>
    <w:pPr>
      <w:spacing w:before="200" w:after="120"/>
      <w:outlineLvl w:val="1"/>
    </w:pPr>
    <w:rPr>
      <w:rFonts w:ascii="Liberation Serif" w:hAnsi="Liberation Serif" w:eastAsia="NSimSun" w:cs="Lucida Sans"/>
      <w:b/>
      <w:bCs/>
      <w:sz w:val="36"/>
      <w:szCs w:val="36"/>
    </w:rPr>
  </w:style>
  <w:style w:type="character" w:styleId="Hyperlink">
    <w:name w:val="Hyperlink"/>
    <w:rPr>
      <w:color w:val="0000FF"/>
      <w:u w:val="single"/>
    </w:rPr>
  </w:style>
  <w:style w:type="character" w:styleId="Strong">
    <w:name w:val="Strong"/>
    <w:qFormat/>
    <w:rPr>
      <w:b/>
      <w:bCs/>
    </w:rPr>
  </w:style>
  <w:style w:type="character" w:styleId="Bullets">
    <w:name w:val="Bullets"/>
    <w:qFormat/>
    <w:rPr>
      <w:rFonts w:ascii="OpenSymbol" w:hAnsi="OpenSymbol" w:eastAsia="OpenSymbol" w:cs="OpenSymbol"/>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ListParagraph">
    <w:name w:val="List Paragraph"/>
    <w:basedOn w:val="Normal"/>
    <w:qFormat/>
    <w:pPr>
      <w:spacing w:before="0" w:after="0"/>
      <w:ind w:left="720"/>
      <w:contextualSpacing/>
    </w:pPr>
    <w:rPr/>
  </w:style>
  <w:style w:type="paragraph" w:styleId="IndexHeading">
    <w:name w:val="Index Heading"/>
    <w:basedOn w:val="Heading"/>
    <w:pPr>
      <w:suppressLineNumbers/>
      <w:ind w:hanging="0" w:left="0"/>
    </w:pPr>
    <w:rPr>
      <w:b/>
      <w:bCs/>
      <w:sz w:val="32"/>
      <w:szCs w:val="32"/>
    </w:rPr>
  </w:style>
  <w:style w:type="paragraph" w:styleId="TOCHeading">
    <w:name w:val="TOC Heading"/>
    <w:basedOn w:val="IndexHeading"/>
    <w:qFormat/>
    <w:pPr>
      <w:suppressLineNumbers/>
      <w:ind w:hanging="0" w:left="0"/>
    </w:pPr>
    <w:rPr>
      <w:b/>
      <w:bCs/>
      <w:sz w:val="32"/>
      <w:szCs w:val="32"/>
    </w:rPr>
  </w:style>
  <w:style w:type="paragraph" w:styleId="TOC1">
    <w:name w:val="TOC 1"/>
    <w:basedOn w:val="Index"/>
    <w:pPr>
      <w:tabs>
        <w:tab w:val="clear" w:pos="709"/>
        <w:tab w:val="right" w:pos="9638" w:leader="dot"/>
      </w:tabs>
      <w:ind w:hanging="0" w:left="0"/>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numbering" Target="numbering.xml"/><Relationship Id="rId10" Type="http://schemas.openxmlformats.org/officeDocument/2006/relationships/fontTable" Target="fontTable.xml"/><Relationship Id="rId11" Type="http://schemas.openxmlformats.org/officeDocument/2006/relationships/settings" Target="settings.xml"/><Relationship Id="rId12"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
  <TotalTime>4264</TotalTime>
  <Application>LibreOffice/7.6.4.1$Windows_X86_64 LibreOffice_project/e19e193f88cd6c0525a17fb7a176ed8e6a3e2aa1</Application>
  <AppVersion>15.0000</AppVersion>
  <Pages>10</Pages>
  <Words>1910</Words>
  <Characters>12320</Characters>
  <CharactersWithSpaces>14118</CharactersWithSpaces>
  <Paragraphs>104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2025-01-03T14:10:06Z</dcterms:created>
  <dc:creator/>
  <dc:description/>
  <dc:language>en-GB</dc:language>
  <cp:lastModifiedBy/>
  <dcterms:modified xsi:type="dcterms:W3CDTF">2025-01-06T13:14:34Z</dcterms:modified>
  <cp:revision>8</cp:revision>
  <dc:subject/>
  <dc:title/>
</cp:coreProperties>
</file>