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pPr w:leftFromText="180" w:rightFromText="180" w:vertAnchor="page" w:horzAnchor="margin" w:tblpXSpec="center" w:tblpY="3376"/>
        <w:tblW w:w="99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7829"/>
      </w:tblGrid>
      <w:tr w:rsidRPr="00BE35A4" w:rsidR="00BE35A4" w:rsidTr="51CA0C5B" w14:paraId="25286059" w14:textId="77777777">
        <w:tc>
          <w:tcPr>
            <w:tcW w:w="2093" w:type="dxa"/>
            <w:shd w:val="clear" w:color="auto" w:fill="D9D9D9" w:themeFill="background1" w:themeFillShade="D9"/>
            <w:tcMar/>
          </w:tcPr>
          <w:p w:rsidRPr="00BE35A4" w:rsidR="00197002" w:rsidP="008907F8" w:rsidRDefault="00197002" w14:paraId="6F25E835" w14:textId="223C4138">
            <w:pPr>
              <w:spacing w:before="120" w:after="120"/>
              <w:rPr>
                <w:rFonts w:cs="Arial"/>
                <w:b/>
              </w:rPr>
            </w:pPr>
            <w:r w:rsidRPr="00BE35A4">
              <w:rPr>
                <w:rFonts w:cs="Arial"/>
                <w:b/>
              </w:rPr>
              <w:t>Student Name</w:t>
            </w:r>
          </w:p>
        </w:tc>
        <w:tc>
          <w:tcPr>
            <w:tcW w:w="7829" w:type="dxa"/>
            <w:tcMar/>
          </w:tcPr>
          <w:p w:rsidRPr="00BE35A4" w:rsidR="00197002" w:rsidP="51CA0C5B" w:rsidRDefault="00197002" w14:paraId="15DB9D25" w14:textId="08F4EA4F">
            <w:pPr>
              <w:spacing w:before="120" w:after="120"/>
              <w:jc w:val="both"/>
              <w:rPr>
                <w:rFonts w:cs="Arial"/>
                <w:b w:val="1"/>
                <w:bCs w:val="1"/>
              </w:rPr>
            </w:pPr>
            <w:r w:rsidRPr="51CA0C5B" w:rsidR="60B6B170">
              <w:rPr>
                <w:rFonts w:cs="Arial"/>
                <w:b w:val="1"/>
                <w:bCs w:val="1"/>
              </w:rPr>
              <w:t>Somi Naz</w:t>
            </w:r>
          </w:p>
        </w:tc>
      </w:tr>
      <w:tr w:rsidRPr="00BE35A4" w:rsidR="00BE35A4" w:rsidTr="51CA0C5B" w14:paraId="095B7D2D" w14:textId="77777777">
        <w:tc>
          <w:tcPr>
            <w:tcW w:w="2093" w:type="dxa"/>
            <w:shd w:val="clear" w:color="auto" w:fill="D9D9D9" w:themeFill="background1" w:themeFillShade="D9"/>
            <w:tcMar/>
          </w:tcPr>
          <w:p w:rsidRPr="00BE35A4" w:rsidR="00197002" w:rsidP="008907F8" w:rsidRDefault="00197002" w14:paraId="3C3072A9" w14:textId="74FDCF3C">
            <w:pPr>
              <w:spacing w:before="120" w:after="120"/>
              <w:rPr>
                <w:rFonts w:cs="Arial"/>
                <w:b/>
              </w:rPr>
            </w:pPr>
            <w:r w:rsidRPr="00BE35A4">
              <w:rPr>
                <w:rFonts w:cs="Arial"/>
                <w:b/>
              </w:rPr>
              <w:t>Student ID Number</w:t>
            </w:r>
          </w:p>
        </w:tc>
        <w:tc>
          <w:tcPr>
            <w:tcW w:w="7829" w:type="dxa"/>
            <w:tcMar/>
          </w:tcPr>
          <w:p w:rsidRPr="00BE35A4" w:rsidR="00197002" w:rsidP="51CA0C5B" w:rsidRDefault="00197002" w14:paraId="33DB9121" w14:textId="712340E9">
            <w:pPr>
              <w:spacing w:before="120" w:after="120"/>
              <w:jc w:val="both"/>
              <w:rPr>
                <w:rFonts w:cs="Arial"/>
              </w:rPr>
            </w:pPr>
            <w:r w:rsidRPr="51CA0C5B" w:rsidR="3198ACCF">
              <w:rPr>
                <w:rFonts w:cs="Arial"/>
              </w:rPr>
              <w:t>2421930</w:t>
            </w:r>
          </w:p>
        </w:tc>
      </w:tr>
      <w:tr w:rsidRPr="00BE35A4" w:rsidR="00BE35A4" w:rsidTr="51CA0C5B" w14:paraId="06055D4C" w14:textId="77777777">
        <w:tc>
          <w:tcPr>
            <w:tcW w:w="2093" w:type="dxa"/>
            <w:shd w:val="clear" w:color="auto" w:fill="D9D9D9" w:themeFill="background1" w:themeFillShade="D9"/>
            <w:tcMar/>
          </w:tcPr>
          <w:p w:rsidRPr="00BE35A4" w:rsidR="00197002" w:rsidP="008907F8" w:rsidRDefault="00197002" w14:paraId="1904E9E3" w14:textId="7B7674A6">
            <w:pPr>
              <w:spacing w:before="120" w:after="120"/>
              <w:rPr>
                <w:rFonts w:cs="Arial"/>
                <w:b/>
              </w:rPr>
            </w:pPr>
            <w:r w:rsidRPr="00BE35A4">
              <w:rPr>
                <w:rFonts w:cs="Arial"/>
                <w:b/>
              </w:rPr>
              <w:t>Programme</w:t>
            </w:r>
          </w:p>
        </w:tc>
        <w:tc>
          <w:tcPr>
            <w:tcW w:w="7829" w:type="dxa"/>
            <w:tcMar/>
          </w:tcPr>
          <w:p w:rsidRPr="00BE35A4" w:rsidR="00197002" w:rsidP="008907F8" w:rsidRDefault="00197002" w14:paraId="6C8D5BBD" w14:textId="06E279F2">
            <w:pPr>
              <w:spacing w:before="120" w:after="120"/>
              <w:jc w:val="both"/>
              <w:rPr>
                <w:rFonts w:cs="Arial"/>
                <w:bCs/>
              </w:rPr>
            </w:pPr>
            <w:r w:rsidRPr="00BE35A4">
              <w:rPr>
                <w:rFonts w:cs="Arial"/>
                <w:bCs/>
              </w:rPr>
              <w:t xml:space="preserve">BSc Health and Social Care </w:t>
            </w:r>
          </w:p>
        </w:tc>
      </w:tr>
      <w:tr w:rsidRPr="00BE35A4" w:rsidR="00BE35A4" w:rsidTr="51CA0C5B" w14:paraId="41418454" w14:textId="77777777">
        <w:tc>
          <w:tcPr>
            <w:tcW w:w="2093" w:type="dxa"/>
            <w:shd w:val="clear" w:color="auto" w:fill="D9D9D9" w:themeFill="background1" w:themeFillShade="D9"/>
            <w:tcMar/>
          </w:tcPr>
          <w:p w:rsidRPr="00BE35A4" w:rsidR="00197002" w:rsidP="008907F8" w:rsidRDefault="00197002" w14:paraId="16D8D500" w14:textId="52F77CAA">
            <w:pPr>
              <w:spacing w:before="120" w:after="120"/>
              <w:rPr>
                <w:rFonts w:cs="Arial"/>
                <w:b/>
              </w:rPr>
            </w:pPr>
            <w:r w:rsidRPr="00BE35A4">
              <w:rPr>
                <w:rFonts w:cs="Arial"/>
                <w:b/>
              </w:rPr>
              <w:t>Module</w:t>
            </w:r>
          </w:p>
        </w:tc>
        <w:tc>
          <w:tcPr>
            <w:tcW w:w="7829" w:type="dxa"/>
            <w:tcMar/>
          </w:tcPr>
          <w:p w:rsidRPr="00BE35A4" w:rsidR="00197002" w:rsidP="008907F8" w:rsidRDefault="00961A8F" w14:paraId="177010CF" w14:textId="6FB2124E">
            <w:pPr>
              <w:spacing w:before="120" w:after="120"/>
              <w:jc w:val="both"/>
              <w:rPr>
                <w:rFonts w:cs="Arial"/>
                <w:bCs/>
              </w:rPr>
            </w:pPr>
            <w:r w:rsidRPr="00BE35A4">
              <w:rPr>
                <w:rFonts w:cs="Arial"/>
                <w:bCs/>
              </w:rPr>
              <w:t xml:space="preserve">Principles of Health and Social Care Practice  </w:t>
            </w:r>
          </w:p>
        </w:tc>
      </w:tr>
      <w:tr w:rsidRPr="00BE35A4" w:rsidR="00BE35A4" w:rsidTr="51CA0C5B" w14:paraId="52D16097" w14:textId="77777777">
        <w:tc>
          <w:tcPr>
            <w:tcW w:w="2093" w:type="dxa"/>
            <w:shd w:val="clear" w:color="auto" w:fill="D9D9D9" w:themeFill="background1" w:themeFillShade="D9"/>
            <w:tcMar/>
          </w:tcPr>
          <w:p w:rsidRPr="00BE35A4" w:rsidR="00197002" w:rsidP="008907F8" w:rsidRDefault="00197002" w14:paraId="097E6E06" w14:textId="6337A5FD">
            <w:pPr>
              <w:spacing w:before="120" w:after="120"/>
              <w:rPr>
                <w:rFonts w:cs="Arial"/>
                <w:b/>
              </w:rPr>
            </w:pPr>
            <w:r w:rsidRPr="00BE35A4">
              <w:rPr>
                <w:rFonts w:cs="Arial"/>
                <w:b/>
              </w:rPr>
              <w:t>Module Code</w:t>
            </w:r>
          </w:p>
        </w:tc>
        <w:tc>
          <w:tcPr>
            <w:tcW w:w="7829" w:type="dxa"/>
            <w:tcMar/>
          </w:tcPr>
          <w:p w:rsidRPr="00BE35A4" w:rsidR="00197002" w:rsidP="008907F8" w:rsidRDefault="00961A8F" w14:paraId="6881B388" w14:textId="0C6132BF">
            <w:pPr>
              <w:spacing w:before="120" w:after="120"/>
              <w:jc w:val="both"/>
              <w:rPr>
                <w:rFonts w:cs="Arial"/>
                <w:bCs/>
              </w:rPr>
            </w:pPr>
            <w:r w:rsidRPr="00BE35A4">
              <w:rPr>
                <w:rFonts w:cs="Arial"/>
                <w:bCs/>
              </w:rPr>
              <w:t>BMHP5016</w:t>
            </w:r>
          </w:p>
        </w:tc>
      </w:tr>
      <w:tr w:rsidRPr="00BE35A4" w:rsidR="00BE35A4" w:rsidTr="51CA0C5B" w14:paraId="4559464F" w14:textId="77777777">
        <w:tc>
          <w:tcPr>
            <w:tcW w:w="2093" w:type="dxa"/>
            <w:shd w:val="clear" w:color="auto" w:fill="D9D9D9" w:themeFill="background1" w:themeFillShade="D9"/>
            <w:tcMar/>
          </w:tcPr>
          <w:p w:rsidRPr="00BE35A4" w:rsidR="00197002" w:rsidP="008907F8" w:rsidRDefault="00197002" w14:paraId="4573682E" w14:textId="455DFB9F">
            <w:pPr>
              <w:spacing w:before="120" w:after="120"/>
              <w:rPr>
                <w:rFonts w:cs="Arial"/>
                <w:b/>
              </w:rPr>
            </w:pPr>
            <w:r w:rsidRPr="00BE35A4">
              <w:rPr>
                <w:rFonts w:cs="Arial"/>
                <w:b/>
              </w:rPr>
              <w:t>Lecturer</w:t>
            </w:r>
          </w:p>
        </w:tc>
        <w:tc>
          <w:tcPr>
            <w:tcW w:w="7829" w:type="dxa"/>
            <w:tcMar/>
          </w:tcPr>
          <w:p w:rsidRPr="00BE35A4" w:rsidR="00197002" w:rsidP="51CA0C5B" w:rsidRDefault="00197002" w14:paraId="3AA775A6" w14:textId="695181FD">
            <w:pPr>
              <w:spacing w:before="120" w:after="120" w:line="360" w:lineRule="auto"/>
              <w:jc w:val="both"/>
              <w:rPr>
                <w:rFonts w:cs="Arial"/>
              </w:rPr>
            </w:pPr>
            <w:r w:rsidRPr="51CA0C5B" w:rsidR="5B5FB6C0">
              <w:rPr>
                <w:rFonts w:cs="Arial"/>
              </w:rPr>
              <w:t>Precious Igbinigie</w:t>
            </w:r>
          </w:p>
        </w:tc>
      </w:tr>
      <w:tr w:rsidRPr="00BE35A4" w:rsidR="00BE35A4" w:rsidTr="51CA0C5B" w14:paraId="7D81EDCD" w14:textId="77777777">
        <w:tc>
          <w:tcPr>
            <w:tcW w:w="2093" w:type="dxa"/>
            <w:shd w:val="clear" w:color="auto" w:fill="D9D9D9" w:themeFill="background1" w:themeFillShade="D9"/>
            <w:tcMar/>
          </w:tcPr>
          <w:p w:rsidRPr="00BE35A4" w:rsidR="00197002" w:rsidP="008907F8" w:rsidRDefault="00197002" w14:paraId="5B7F7C59" w14:textId="1D1F0F23">
            <w:pPr>
              <w:spacing w:before="120" w:after="120"/>
              <w:rPr>
                <w:rFonts w:cs="Arial"/>
                <w:b/>
              </w:rPr>
            </w:pPr>
            <w:r w:rsidRPr="00BE35A4">
              <w:rPr>
                <w:rFonts w:cs="Arial"/>
                <w:b/>
              </w:rPr>
              <w:t>Internal Verifier</w:t>
            </w:r>
          </w:p>
        </w:tc>
        <w:tc>
          <w:tcPr>
            <w:tcW w:w="7829" w:type="dxa"/>
            <w:tcMar/>
          </w:tcPr>
          <w:p w:rsidRPr="00BE35A4" w:rsidR="00197002" w:rsidP="51CA0C5B" w:rsidRDefault="00197002" w14:paraId="2837BE07" w14:textId="6C63A87B">
            <w:pPr>
              <w:spacing w:before="120" w:after="120" w:line="360" w:lineRule="auto"/>
              <w:rPr>
                <w:rFonts w:cs="Arial"/>
              </w:rPr>
            </w:pPr>
            <w:r w:rsidRPr="51CA0C5B" w:rsidR="47AA1709">
              <w:rPr>
                <w:rFonts w:cs="Arial"/>
              </w:rPr>
              <w:t>Chloe Harries</w:t>
            </w:r>
          </w:p>
        </w:tc>
      </w:tr>
      <w:tr w:rsidRPr="00BE35A4" w:rsidR="00BE35A4" w:rsidTr="51CA0C5B" w14:paraId="5411D351" w14:textId="77777777">
        <w:tc>
          <w:tcPr>
            <w:tcW w:w="2093" w:type="dxa"/>
            <w:shd w:val="clear" w:color="auto" w:fill="D9D9D9" w:themeFill="background1" w:themeFillShade="D9"/>
            <w:tcMar/>
          </w:tcPr>
          <w:p w:rsidRPr="00BE35A4" w:rsidR="00197002" w:rsidP="008907F8" w:rsidRDefault="00197002" w14:paraId="0CEB18D9" w14:textId="1B7B869E">
            <w:pPr>
              <w:spacing w:before="120" w:after="120"/>
              <w:rPr>
                <w:rFonts w:cs="Arial"/>
                <w:b/>
              </w:rPr>
            </w:pPr>
            <w:r w:rsidRPr="00BE35A4">
              <w:rPr>
                <w:rFonts w:cs="Arial"/>
                <w:b/>
              </w:rPr>
              <w:t>Assignment Title</w:t>
            </w:r>
          </w:p>
        </w:tc>
        <w:tc>
          <w:tcPr>
            <w:tcW w:w="7829" w:type="dxa"/>
            <w:tcMar/>
          </w:tcPr>
          <w:p w:rsidRPr="00BE35A4" w:rsidR="00197002" w:rsidP="008907F8" w:rsidRDefault="00961A8F" w14:paraId="6FB6D4E2" w14:textId="42C01726">
            <w:pPr>
              <w:spacing w:before="120" w:after="120" w:line="360" w:lineRule="auto"/>
              <w:jc w:val="both"/>
              <w:rPr>
                <w:rFonts w:cs="Arial"/>
                <w:bCs/>
              </w:rPr>
            </w:pPr>
            <w:r w:rsidRPr="00BE35A4">
              <w:rPr>
                <w:rFonts w:cs="Arial"/>
                <w:bCs/>
              </w:rPr>
              <w:t xml:space="preserve">Assessment 2 – Report </w:t>
            </w:r>
          </w:p>
        </w:tc>
      </w:tr>
    </w:tbl>
    <w:p w:rsidRPr="00BE35A4" w:rsidR="008907F8" w:rsidRDefault="008907F8" w14:paraId="24F52272" w14:textId="77777777">
      <w:pPr>
        <w:rPr>
          <w:rFonts w:cs="Arial"/>
        </w:rPr>
      </w:pPr>
    </w:p>
    <w:p w:rsidRPr="00BE35A4" w:rsidR="008907F8" w:rsidRDefault="008907F8" w14:paraId="41AEE38C" w14:textId="77777777">
      <w:pPr>
        <w:rPr>
          <w:rFonts w:cs="Arial"/>
        </w:rPr>
      </w:pPr>
    </w:p>
    <w:p w:rsidRPr="00BE35A4" w:rsidR="005B6505" w:rsidRDefault="008907F8" w14:paraId="21D5B5F5" w14:textId="4462FA04">
      <w:pPr>
        <w:rPr>
          <w:rFonts w:cs="Arial"/>
        </w:rPr>
      </w:pPr>
      <w:r w:rsidRPr="00BE35A4">
        <w:rPr>
          <w:rFonts w:cs="Arial"/>
          <w:noProof/>
        </w:rPr>
        <w:drawing>
          <wp:anchor distT="0" distB="0" distL="114300" distR="114300" simplePos="0" relativeHeight="251659264" behindDoc="1" locked="0" layoutInCell="1" allowOverlap="1" wp14:anchorId="2845089F" wp14:editId="2580BC19">
            <wp:simplePos x="0" y="0"/>
            <wp:positionH relativeFrom="margin">
              <wp:posOffset>0</wp:posOffset>
            </wp:positionH>
            <wp:positionV relativeFrom="page">
              <wp:posOffset>914400</wp:posOffset>
            </wp:positionV>
            <wp:extent cx="1809750" cy="723900"/>
            <wp:effectExtent l="0" t="0" r="0" b="0"/>
            <wp:wrapTight wrapText="bothSides">
              <wp:wrapPolygon edited="0">
                <wp:start x="0" y="568"/>
                <wp:lineTo x="0" y="19326"/>
                <wp:lineTo x="8413" y="20463"/>
                <wp:lineTo x="9777" y="20463"/>
                <wp:lineTo x="21373" y="19326"/>
                <wp:lineTo x="21373" y="10800"/>
                <wp:lineTo x="19099" y="9663"/>
                <wp:lineTo x="19781" y="1705"/>
                <wp:lineTo x="15461" y="568"/>
                <wp:lineTo x="0" y="568"/>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E35A4" w:rsidR="005B6505">
        <w:rPr>
          <w:rFonts w:cs="Arial"/>
        </w:rPr>
        <w:br w:type="page"/>
      </w:r>
    </w:p>
    <w:sdt>
      <w:sdtPr>
        <w:rPr>
          <w:rFonts w:ascii="Arial" w:hAnsi="Arial" w:eastAsia="SimSun" w:cs="Arial"/>
          <w:color w:val="auto"/>
          <w:sz w:val="22"/>
          <w:szCs w:val="22"/>
          <w:lang w:eastAsia="zh-CN"/>
        </w:rPr>
        <w:id w:val="987675381"/>
        <w:docPartObj>
          <w:docPartGallery w:val="Table of Contents"/>
          <w:docPartUnique/>
        </w:docPartObj>
      </w:sdtPr>
      <w:sdtEndPr>
        <w:rPr>
          <w:rFonts w:ascii="Arial" w:hAnsi="Arial" w:eastAsia="SimSun" w:cs="Arial"/>
          <w:b w:val="1"/>
          <w:bCs w:val="1"/>
          <w:color w:val="auto"/>
          <w:sz w:val="22"/>
          <w:szCs w:val="22"/>
          <w:lang w:eastAsia="zh-CN"/>
        </w:rPr>
      </w:sdtEndPr>
      <w:sdtContent>
        <w:p w:rsidRPr="00BE35A4" w:rsidR="005B6505" w:rsidP="005B6505" w:rsidRDefault="005B6505" w14:paraId="1EB22A95" w14:textId="7AA16A15">
          <w:pPr>
            <w:pStyle w:val="TOCHeading"/>
            <w:jc w:val="center"/>
            <w:rPr>
              <w:rFonts w:ascii="Arial" w:hAnsi="Arial" w:cs="Arial"/>
              <w:b/>
              <w:bCs/>
              <w:color w:val="auto"/>
            </w:rPr>
          </w:pPr>
          <w:r w:rsidRPr="00BE35A4">
            <w:rPr>
              <w:rFonts w:ascii="Arial" w:hAnsi="Arial" w:cs="Arial"/>
              <w:b/>
              <w:bCs/>
              <w:color w:val="auto"/>
            </w:rPr>
            <w:t>Table of Contents</w:t>
          </w:r>
        </w:p>
        <w:p w:rsidR="00F242F2" w:rsidRDefault="005B6505" w14:paraId="5C70A29B" w14:textId="307EE77C">
          <w:pPr>
            <w:pStyle w:val="TOC1"/>
            <w:tabs>
              <w:tab w:val="left" w:pos="480"/>
              <w:tab w:val="right" w:leader="dot" w:pos="9350"/>
            </w:tabs>
            <w:rPr>
              <w:rFonts w:asciiTheme="minorHAnsi" w:hAnsiTheme="minorHAnsi" w:eastAsiaTheme="minorEastAsia"/>
              <w:noProof/>
              <w:kern w:val="2"/>
              <w:sz w:val="24"/>
              <w:szCs w:val="24"/>
              <w:lang w:val="en-US" w:eastAsia="en-US"/>
              <w14:ligatures w14:val="standardContextual"/>
            </w:rPr>
          </w:pPr>
          <w:r w:rsidRPr="00BE35A4">
            <w:rPr>
              <w:rFonts w:cs="Arial"/>
            </w:rPr>
            <w:fldChar w:fldCharType="begin"/>
          </w:r>
          <w:r w:rsidRPr="00BE35A4">
            <w:rPr>
              <w:rFonts w:cs="Arial"/>
            </w:rPr>
            <w:instrText xml:space="preserve"> TOC \o "1-3" \h \z \u </w:instrText>
          </w:r>
          <w:r w:rsidRPr="00BE35A4">
            <w:rPr>
              <w:rFonts w:cs="Arial"/>
            </w:rPr>
            <w:fldChar w:fldCharType="separate"/>
          </w:r>
          <w:hyperlink w:history="1" w:anchor="_Toc223791132">
            <w:r w:rsidRPr="00187892" w:rsidR="00F242F2">
              <w:rPr>
                <w:rStyle w:val="Hyperlink"/>
                <w:rFonts w:cs="Arial"/>
                <w:b/>
                <w:bCs/>
                <w:noProof/>
              </w:rPr>
              <w:t>1.</w:t>
            </w:r>
            <w:r w:rsidR="00F242F2">
              <w:rPr>
                <w:rFonts w:asciiTheme="minorHAnsi" w:hAnsiTheme="minorHAnsi" w:eastAsiaTheme="minorEastAsia"/>
                <w:noProof/>
                <w:kern w:val="2"/>
                <w:sz w:val="24"/>
                <w:szCs w:val="24"/>
                <w:lang w:val="en-US" w:eastAsia="en-US"/>
                <w14:ligatures w14:val="standardContextual"/>
              </w:rPr>
              <w:tab/>
            </w:r>
            <w:r w:rsidRPr="00187892" w:rsidR="00F242F2">
              <w:rPr>
                <w:rStyle w:val="Hyperlink"/>
                <w:rFonts w:cs="Arial"/>
                <w:b/>
                <w:bCs/>
                <w:noProof/>
              </w:rPr>
              <w:t>Introduction</w:t>
            </w:r>
            <w:r w:rsidR="00F242F2">
              <w:rPr>
                <w:noProof/>
                <w:webHidden/>
              </w:rPr>
              <w:tab/>
            </w:r>
            <w:r w:rsidR="00F242F2">
              <w:rPr>
                <w:noProof/>
                <w:webHidden/>
              </w:rPr>
              <w:fldChar w:fldCharType="begin"/>
            </w:r>
            <w:r w:rsidR="00F242F2">
              <w:rPr>
                <w:noProof/>
                <w:webHidden/>
              </w:rPr>
              <w:instrText xml:space="preserve"> PAGEREF _Toc223791132 \h </w:instrText>
            </w:r>
            <w:r w:rsidR="00F242F2">
              <w:rPr>
                <w:noProof/>
                <w:webHidden/>
              </w:rPr>
            </w:r>
            <w:r w:rsidR="00F242F2">
              <w:rPr>
                <w:noProof/>
                <w:webHidden/>
              </w:rPr>
              <w:fldChar w:fldCharType="separate"/>
            </w:r>
            <w:r w:rsidR="00F242F2">
              <w:rPr>
                <w:noProof/>
                <w:webHidden/>
              </w:rPr>
              <w:t>1</w:t>
            </w:r>
            <w:r w:rsidR="00F242F2">
              <w:rPr>
                <w:noProof/>
                <w:webHidden/>
              </w:rPr>
              <w:fldChar w:fldCharType="end"/>
            </w:r>
          </w:hyperlink>
        </w:p>
        <w:p w:rsidR="00F242F2" w:rsidRDefault="00F242F2" w14:paraId="681B0333" w14:textId="3C671349">
          <w:pPr>
            <w:pStyle w:val="TOC1"/>
            <w:tabs>
              <w:tab w:val="left" w:pos="48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33">
            <w:r w:rsidRPr="00187892">
              <w:rPr>
                <w:rStyle w:val="Hyperlink"/>
                <w:rFonts w:eastAsia="Arial" w:cs="Arial"/>
                <w:b/>
                <w:bCs/>
                <w:noProof/>
              </w:rPr>
              <w:t>2.</w:t>
            </w:r>
            <w:r>
              <w:rPr>
                <w:rFonts w:asciiTheme="minorHAnsi" w:hAnsiTheme="minorHAnsi" w:eastAsiaTheme="minorEastAsia"/>
                <w:noProof/>
                <w:kern w:val="2"/>
                <w:sz w:val="24"/>
                <w:szCs w:val="24"/>
                <w:lang w:val="en-US" w:eastAsia="en-US"/>
                <w14:ligatures w14:val="standardContextual"/>
              </w:rPr>
              <w:tab/>
            </w:r>
            <w:r w:rsidRPr="00187892">
              <w:rPr>
                <w:rStyle w:val="Hyperlink"/>
                <w:rFonts w:eastAsia="Arial" w:cs="Arial"/>
                <w:b/>
                <w:bCs/>
                <w:noProof/>
              </w:rPr>
              <w:t>PCC in Health and Social Care</w:t>
            </w:r>
            <w:r>
              <w:rPr>
                <w:noProof/>
                <w:webHidden/>
              </w:rPr>
              <w:tab/>
            </w:r>
            <w:r>
              <w:rPr>
                <w:noProof/>
                <w:webHidden/>
              </w:rPr>
              <w:fldChar w:fldCharType="begin"/>
            </w:r>
            <w:r>
              <w:rPr>
                <w:noProof/>
                <w:webHidden/>
              </w:rPr>
              <w:instrText xml:space="preserve"> PAGEREF _Toc223791133 \h </w:instrText>
            </w:r>
            <w:r>
              <w:rPr>
                <w:noProof/>
                <w:webHidden/>
              </w:rPr>
            </w:r>
            <w:r>
              <w:rPr>
                <w:noProof/>
                <w:webHidden/>
              </w:rPr>
              <w:fldChar w:fldCharType="separate"/>
            </w:r>
            <w:r>
              <w:rPr>
                <w:noProof/>
                <w:webHidden/>
              </w:rPr>
              <w:t>1</w:t>
            </w:r>
            <w:r>
              <w:rPr>
                <w:noProof/>
                <w:webHidden/>
              </w:rPr>
              <w:fldChar w:fldCharType="end"/>
            </w:r>
          </w:hyperlink>
        </w:p>
        <w:p w:rsidR="00F242F2" w:rsidRDefault="00F242F2" w14:paraId="6F56B522" w14:textId="2C489843">
          <w:pPr>
            <w:pStyle w:val="TOC2"/>
            <w:tabs>
              <w:tab w:val="left" w:pos="96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34">
            <w:r w:rsidRPr="00187892">
              <w:rPr>
                <w:rStyle w:val="Hyperlink"/>
                <w:rFonts w:cs="Arial"/>
                <w:b/>
                <w:bCs/>
                <w:noProof/>
              </w:rPr>
              <w:t>2.1.</w:t>
            </w:r>
            <w:r>
              <w:rPr>
                <w:rFonts w:asciiTheme="minorHAnsi" w:hAnsiTheme="minorHAnsi" w:eastAsiaTheme="minorEastAsia"/>
                <w:noProof/>
                <w:kern w:val="2"/>
                <w:sz w:val="24"/>
                <w:szCs w:val="24"/>
                <w:lang w:val="en-US" w:eastAsia="en-US"/>
                <w14:ligatures w14:val="standardContextual"/>
              </w:rPr>
              <w:tab/>
            </w:r>
            <w:r w:rsidRPr="00187892">
              <w:rPr>
                <w:rStyle w:val="Hyperlink"/>
                <w:rFonts w:cs="Arial"/>
                <w:b/>
                <w:bCs/>
                <w:noProof/>
              </w:rPr>
              <w:t>Definition</w:t>
            </w:r>
            <w:r>
              <w:rPr>
                <w:noProof/>
                <w:webHidden/>
              </w:rPr>
              <w:tab/>
            </w:r>
            <w:r>
              <w:rPr>
                <w:noProof/>
                <w:webHidden/>
              </w:rPr>
              <w:fldChar w:fldCharType="begin"/>
            </w:r>
            <w:r>
              <w:rPr>
                <w:noProof/>
                <w:webHidden/>
              </w:rPr>
              <w:instrText xml:space="preserve"> PAGEREF _Toc223791134 \h </w:instrText>
            </w:r>
            <w:r>
              <w:rPr>
                <w:noProof/>
                <w:webHidden/>
              </w:rPr>
            </w:r>
            <w:r>
              <w:rPr>
                <w:noProof/>
                <w:webHidden/>
              </w:rPr>
              <w:fldChar w:fldCharType="separate"/>
            </w:r>
            <w:r>
              <w:rPr>
                <w:noProof/>
                <w:webHidden/>
              </w:rPr>
              <w:t>1</w:t>
            </w:r>
            <w:r>
              <w:rPr>
                <w:noProof/>
                <w:webHidden/>
              </w:rPr>
              <w:fldChar w:fldCharType="end"/>
            </w:r>
          </w:hyperlink>
        </w:p>
        <w:p w:rsidR="00F242F2" w:rsidRDefault="00F242F2" w14:paraId="6C6FD1FC" w14:textId="1A18690E">
          <w:pPr>
            <w:pStyle w:val="TOC2"/>
            <w:tabs>
              <w:tab w:val="left" w:pos="96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35">
            <w:r w:rsidRPr="00187892">
              <w:rPr>
                <w:rStyle w:val="Hyperlink"/>
                <w:rFonts w:cs="Arial"/>
                <w:b/>
                <w:bCs/>
                <w:noProof/>
              </w:rPr>
              <w:t>2.2.</w:t>
            </w:r>
            <w:r>
              <w:rPr>
                <w:rFonts w:asciiTheme="minorHAnsi" w:hAnsiTheme="minorHAnsi" w:eastAsiaTheme="minorEastAsia"/>
                <w:noProof/>
                <w:kern w:val="2"/>
                <w:sz w:val="24"/>
                <w:szCs w:val="24"/>
                <w:lang w:val="en-US" w:eastAsia="en-US"/>
                <w14:ligatures w14:val="standardContextual"/>
              </w:rPr>
              <w:tab/>
            </w:r>
            <w:r w:rsidRPr="00187892">
              <w:rPr>
                <w:rStyle w:val="Hyperlink"/>
                <w:rFonts w:cs="Arial"/>
                <w:b/>
                <w:bCs/>
                <w:noProof/>
              </w:rPr>
              <w:t>Benefits of PCC</w:t>
            </w:r>
            <w:r>
              <w:rPr>
                <w:noProof/>
                <w:webHidden/>
              </w:rPr>
              <w:tab/>
            </w:r>
            <w:r>
              <w:rPr>
                <w:noProof/>
                <w:webHidden/>
              </w:rPr>
              <w:fldChar w:fldCharType="begin"/>
            </w:r>
            <w:r>
              <w:rPr>
                <w:noProof/>
                <w:webHidden/>
              </w:rPr>
              <w:instrText xml:space="preserve"> PAGEREF _Toc223791135 \h </w:instrText>
            </w:r>
            <w:r>
              <w:rPr>
                <w:noProof/>
                <w:webHidden/>
              </w:rPr>
            </w:r>
            <w:r>
              <w:rPr>
                <w:noProof/>
                <w:webHidden/>
              </w:rPr>
              <w:fldChar w:fldCharType="separate"/>
            </w:r>
            <w:r>
              <w:rPr>
                <w:noProof/>
                <w:webHidden/>
              </w:rPr>
              <w:t>2</w:t>
            </w:r>
            <w:r>
              <w:rPr>
                <w:noProof/>
                <w:webHidden/>
              </w:rPr>
              <w:fldChar w:fldCharType="end"/>
            </w:r>
          </w:hyperlink>
        </w:p>
        <w:p w:rsidR="00F242F2" w:rsidRDefault="00F242F2" w14:paraId="18D79B79" w14:textId="7C1AEBBD">
          <w:pPr>
            <w:pStyle w:val="TOC2"/>
            <w:tabs>
              <w:tab w:val="left" w:pos="96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36">
            <w:r w:rsidRPr="00187892">
              <w:rPr>
                <w:rStyle w:val="Hyperlink"/>
                <w:rFonts w:cs="Arial"/>
                <w:b/>
                <w:bCs/>
                <w:noProof/>
              </w:rPr>
              <w:t>2.3.</w:t>
            </w:r>
            <w:r>
              <w:rPr>
                <w:rFonts w:asciiTheme="minorHAnsi" w:hAnsiTheme="minorHAnsi" w:eastAsiaTheme="minorEastAsia"/>
                <w:noProof/>
                <w:kern w:val="2"/>
                <w:sz w:val="24"/>
                <w:szCs w:val="24"/>
                <w:lang w:val="en-US" w:eastAsia="en-US"/>
                <w14:ligatures w14:val="standardContextual"/>
              </w:rPr>
              <w:tab/>
            </w:r>
            <w:r w:rsidRPr="00187892">
              <w:rPr>
                <w:rStyle w:val="Hyperlink"/>
                <w:rFonts w:cs="Arial"/>
                <w:b/>
                <w:bCs/>
                <w:noProof/>
              </w:rPr>
              <w:t>Limitations and Challenges</w:t>
            </w:r>
            <w:r>
              <w:rPr>
                <w:noProof/>
                <w:webHidden/>
              </w:rPr>
              <w:tab/>
            </w:r>
            <w:r>
              <w:rPr>
                <w:noProof/>
                <w:webHidden/>
              </w:rPr>
              <w:fldChar w:fldCharType="begin"/>
            </w:r>
            <w:r>
              <w:rPr>
                <w:noProof/>
                <w:webHidden/>
              </w:rPr>
              <w:instrText xml:space="preserve"> PAGEREF _Toc223791136 \h </w:instrText>
            </w:r>
            <w:r>
              <w:rPr>
                <w:noProof/>
                <w:webHidden/>
              </w:rPr>
            </w:r>
            <w:r>
              <w:rPr>
                <w:noProof/>
                <w:webHidden/>
              </w:rPr>
              <w:fldChar w:fldCharType="separate"/>
            </w:r>
            <w:r>
              <w:rPr>
                <w:noProof/>
                <w:webHidden/>
              </w:rPr>
              <w:t>2</w:t>
            </w:r>
            <w:r>
              <w:rPr>
                <w:noProof/>
                <w:webHidden/>
              </w:rPr>
              <w:fldChar w:fldCharType="end"/>
            </w:r>
          </w:hyperlink>
        </w:p>
        <w:p w:rsidR="00F242F2" w:rsidRDefault="00F242F2" w14:paraId="22742C3A" w14:textId="40D5FED8">
          <w:pPr>
            <w:pStyle w:val="TOC1"/>
            <w:tabs>
              <w:tab w:val="left" w:pos="48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37">
            <w:r w:rsidRPr="00187892">
              <w:rPr>
                <w:rStyle w:val="Hyperlink"/>
                <w:rFonts w:eastAsia="Arial" w:cs="Arial"/>
                <w:b/>
                <w:bCs/>
                <w:noProof/>
              </w:rPr>
              <w:t>3.</w:t>
            </w:r>
            <w:r>
              <w:rPr>
                <w:rFonts w:asciiTheme="minorHAnsi" w:hAnsiTheme="minorHAnsi" w:eastAsiaTheme="minorEastAsia"/>
                <w:noProof/>
                <w:kern w:val="2"/>
                <w:sz w:val="24"/>
                <w:szCs w:val="24"/>
                <w:lang w:val="en-US" w:eastAsia="en-US"/>
                <w14:ligatures w14:val="standardContextual"/>
              </w:rPr>
              <w:tab/>
            </w:r>
            <w:r w:rsidRPr="00187892">
              <w:rPr>
                <w:rStyle w:val="Hyperlink"/>
                <w:rFonts w:eastAsia="Arial" w:cs="Arial"/>
                <w:b/>
                <w:bCs/>
                <w:noProof/>
              </w:rPr>
              <w:t>Theoretical Foundation of PCC (Carl Rogers)</w:t>
            </w:r>
            <w:r>
              <w:rPr>
                <w:noProof/>
                <w:webHidden/>
              </w:rPr>
              <w:tab/>
            </w:r>
            <w:r>
              <w:rPr>
                <w:noProof/>
                <w:webHidden/>
              </w:rPr>
              <w:fldChar w:fldCharType="begin"/>
            </w:r>
            <w:r>
              <w:rPr>
                <w:noProof/>
                <w:webHidden/>
              </w:rPr>
              <w:instrText xml:space="preserve"> PAGEREF _Toc223791137 \h </w:instrText>
            </w:r>
            <w:r>
              <w:rPr>
                <w:noProof/>
                <w:webHidden/>
              </w:rPr>
            </w:r>
            <w:r>
              <w:rPr>
                <w:noProof/>
                <w:webHidden/>
              </w:rPr>
              <w:fldChar w:fldCharType="separate"/>
            </w:r>
            <w:r>
              <w:rPr>
                <w:noProof/>
                <w:webHidden/>
              </w:rPr>
              <w:t>2</w:t>
            </w:r>
            <w:r>
              <w:rPr>
                <w:noProof/>
                <w:webHidden/>
              </w:rPr>
              <w:fldChar w:fldCharType="end"/>
            </w:r>
          </w:hyperlink>
        </w:p>
        <w:p w:rsidR="00F242F2" w:rsidRDefault="00F242F2" w14:paraId="5DD17A8B" w14:textId="158063F9">
          <w:pPr>
            <w:pStyle w:val="TOC2"/>
            <w:tabs>
              <w:tab w:val="left" w:pos="96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38">
            <w:r w:rsidRPr="00187892">
              <w:rPr>
                <w:rStyle w:val="Hyperlink"/>
                <w:rFonts w:cs="Arial"/>
                <w:b/>
                <w:bCs/>
                <w:noProof/>
                <w:lang w:val="en-US"/>
              </w:rPr>
              <w:t>3.1.</w:t>
            </w:r>
            <w:r>
              <w:rPr>
                <w:rFonts w:asciiTheme="minorHAnsi" w:hAnsiTheme="minorHAnsi" w:eastAsiaTheme="minorEastAsia"/>
                <w:noProof/>
                <w:kern w:val="2"/>
                <w:sz w:val="24"/>
                <w:szCs w:val="24"/>
                <w:lang w:val="en-US" w:eastAsia="en-US"/>
                <w14:ligatures w14:val="standardContextual"/>
              </w:rPr>
              <w:tab/>
            </w:r>
            <w:r w:rsidRPr="00187892">
              <w:rPr>
                <w:rStyle w:val="Hyperlink"/>
                <w:rFonts w:cs="Arial"/>
                <w:b/>
                <w:bCs/>
                <w:noProof/>
                <w:lang w:val="en-US"/>
              </w:rPr>
              <w:t>Overview of Carl Rogers’ Humanistic Theory</w:t>
            </w:r>
            <w:r>
              <w:rPr>
                <w:noProof/>
                <w:webHidden/>
              </w:rPr>
              <w:tab/>
            </w:r>
            <w:r>
              <w:rPr>
                <w:noProof/>
                <w:webHidden/>
              </w:rPr>
              <w:fldChar w:fldCharType="begin"/>
            </w:r>
            <w:r>
              <w:rPr>
                <w:noProof/>
                <w:webHidden/>
              </w:rPr>
              <w:instrText xml:space="preserve"> PAGEREF _Toc223791138 \h </w:instrText>
            </w:r>
            <w:r>
              <w:rPr>
                <w:noProof/>
                <w:webHidden/>
              </w:rPr>
            </w:r>
            <w:r>
              <w:rPr>
                <w:noProof/>
                <w:webHidden/>
              </w:rPr>
              <w:fldChar w:fldCharType="separate"/>
            </w:r>
            <w:r>
              <w:rPr>
                <w:noProof/>
                <w:webHidden/>
              </w:rPr>
              <w:t>2</w:t>
            </w:r>
            <w:r>
              <w:rPr>
                <w:noProof/>
                <w:webHidden/>
              </w:rPr>
              <w:fldChar w:fldCharType="end"/>
            </w:r>
          </w:hyperlink>
        </w:p>
        <w:p w:rsidR="00F242F2" w:rsidRDefault="00F242F2" w14:paraId="48571FA8" w14:textId="704AF926">
          <w:pPr>
            <w:pStyle w:val="TOC2"/>
            <w:tabs>
              <w:tab w:val="left" w:pos="96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39">
            <w:r w:rsidRPr="00187892">
              <w:rPr>
                <w:rStyle w:val="Hyperlink"/>
                <w:rFonts w:cs="Arial"/>
                <w:b/>
                <w:bCs/>
                <w:noProof/>
                <w:lang w:val="en-US"/>
              </w:rPr>
              <w:t>3.2.</w:t>
            </w:r>
            <w:r>
              <w:rPr>
                <w:rFonts w:asciiTheme="minorHAnsi" w:hAnsiTheme="minorHAnsi" w:eastAsiaTheme="minorEastAsia"/>
                <w:noProof/>
                <w:kern w:val="2"/>
                <w:sz w:val="24"/>
                <w:szCs w:val="24"/>
                <w:lang w:val="en-US" w:eastAsia="en-US"/>
                <w14:ligatures w14:val="standardContextual"/>
              </w:rPr>
              <w:tab/>
            </w:r>
            <w:r w:rsidRPr="00187892">
              <w:rPr>
                <w:rStyle w:val="Hyperlink"/>
                <w:rFonts w:cs="Arial"/>
                <w:b/>
                <w:bCs/>
                <w:noProof/>
                <w:lang w:val="en-US"/>
              </w:rPr>
              <w:t>Relevance to Health and Social Care Practice</w:t>
            </w:r>
            <w:r>
              <w:rPr>
                <w:noProof/>
                <w:webHidden/>
              </w:rPr>
              <w:tab/>
            </w:r>
            <w:r>
              <w:rPr>
                <w:noProof/>
                <w:webHidden/>
              </w:rPr>
              <w:fldChar w:fldCharType="begin"/>
            </w:r>
            <w:r>
              <w:rPr>
                <w:noProof/>
                <w:webHidden/>
              </w:rPr>
              <w:instrText xml:space="preserve"> PAGEREF _Toc223791139 \h </w:instrText>
            </w:r>
            <w:r>
              <w:rPr>
                <w:noProof/>
                <w:webHidden/>
              </w:rPr>
            </w:r>
            <w:r>
              <w:rPr>
                <w:noProof/>
                <w:webHidden/>
              </w:rPr>
              <w:fldChar w:fldCharType="separate"/>
            </w:r>
            <w:r>
              <w:rPr>
                <w:noProof/>
                <w:webHidden/>
              </w:rPr>
              <w:t>3</w:t>
            </w:r>
            <w:r>
              <w:rPr>
                <w:noProof/>
                <w:webHidden/>
              </w:rPr>
              <w:fldChar w:fldCharType="end"/>
            </w:r>
          </w:hyperlink>
        </w:p>
        <w:p w:rsidR="00F242F2" w:rsidRDefault="00F242F2" w14:paraId="51663EDB" w14:textId="022752CA">
          <w:pPr>
            <w:pStyle w:val="TOC1"/>
            <w:tabs>
              <w:tab w:val="left" w:pos="48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40">
            <w:r w:rsidRPr="00187892">
              <w:rPr>
                <w:rStyle w:val="Hyperlink"/>
                <w:rFonts w:eastAsia="Arial" w:cs="Arial"/>
                <w:b/>
                <w:bCs/>
                <w:noProof/>
              </w:rPr>
              <w:t>4.</w:t>
            </w:r>
            <w:r>
              <w:rPr>
                <w:rFonts w:asciiTheme="minorHAnsi" w:hAnsiTheme="minorHAnsi" w:eastAsiaTheme="minorEastAsia"/>
                <w:noProof/>
                <w:kern w:val="2"/>
                <w:sz w:val="24"/>
                <w:szCs w:val="24"/>
                <w:lang w:val="en-US" w:eastAsia="en-US"/>
                <w14:ligatures w14:val="standardContextual"/>
              </w:rPr>
              <w:tab/>
            </w:r>
            <w:r w:rsidRPr="00187892">
              <w:rPr>
                <w:rStyle w:val="Hyperlink"/>
                <w:rFonts w:eastAsia="Arial" w:cs="Arial"/>
                <w:b/>
                <w:bCs/>
                <w:noProof/>
              </w:rPr>
              <w:t>Ethical Foundations of Health and Social Care Practice</w:t>
            </w:r>
            <w:r>
              <w:rPr>
                <w:noProof/>
                <w:webHidden/>
              </w:rPr>
              <w:tab/>
            </w:r>
            <w:r>
              <w:rPr>
                <w:noProof/>
                <w:webHidden/>
              </w:rPr>
              <w:fldChar w:fldCharType="begin"/>
            </w:r>
            <w:r>
              <w:rPr>
                <w:noProof/>
                <w:webHidden/>
              </w:rPr>
              <w:instrText xml:space="preserve"> PAGEREF _Toc223791140 \h </w:instrText>
            </w:r>
            <w:r>
              <w:rPr>
                <w:noProof/>
                <w:webHidden/>
              </w:rPr>
            </w:r>
            <w:r>
              <w:rPr>
                <w:noProof/>
                <w:webHidden/>
              </w:rPr>
              <w:fldChar w:fldCharType="separate"/>
            </w:r>
            <w:r>
              <w:rPr>
                <w:noProof/>
                <w:webHidden/>
              </w:rPr>
              <w:t>3</w:t>
            </w:r>
            <w:r>
              <w:rPr>
                <w:noProof/>
                <w:webHidden/>
              </w:rPr>
              <w:fldChar w:fldCharType="end"/>
            </w:r>
          </w:hyperlink>
        </w:p>
        <w:p w:rsidR="00F242F2" w:rsidRDefault="00F242F2" w14:paraId="5A8634B1" w14:textId="407669EF">
          <w:pPr>
            <w:pStyle w:val="TOC1"/>
            <w:tabs>
              <w:tab w:val="left" w:pos="48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41">
            <w:r w:rsidRPr="00187892">
              <w:rPr>
                <w:rStyle w:val="Hyperlink"/>
                <w:rFonts w:eastAsia="Arial" w:cs="Arial"/>
                <w:b/>
                <w:bCs/>
                <w:noProof/>
              </w:rPr>
              <w:t>5.</w:t>
            </w:r>
            <w:r>
              <w:rPr>
                <w:rFonts w:asciiTheme="minorHAnsi" w:hAnsiTheme="minorHAnsi" w:eastAsiaTheme="minorEastAsia"/>
                <w:noProof/>
                <w:kern w:val="2"/>
                <w:sz w:val="24"/>
                <w:szCs w:val="24"/>
                <w:lang w:val="en-US" w:eastAsia="en-US"/>
                <w14:ligatures w14:val="standardContextual"/>
              </w:rPr>
              <w:tab/>
            </w:r>
            <w:r w:rsidRPr="00187892">
              <w:rPr>
                <w:rStyle w:val="Hyperlink"/>
                <w:rFonts w:eastAsia="Arial" w:cs="Arial"/>
                <w:b/>
                <w:bCs/>
                <w:noProof/>
              </w:rPr>
              <w:t>PW in Health and Social Care</w:t>
            </w:r>
            <w:r>
              <w:rPr>
                <w:noProof/>
                <w:webHidden/>
              </w:rPr>
              <w:tab/>
            </w:r>
            <w:r>
              <w:rPr>
                <w:noProof/>
                <w:webHidden/>
              </w:rPr>
              <w:fldChar w:fldCharType="begin"/>
            </w:r>
            <w:r>
              <w:rPr>
                <w:noProof/>
                <w:webHidden/>
              </w:rPr>
              <w:instrText xml:space="preserve"> PAGEREF _Toc223791141 \h </w:instrText>
            </w:r>
            <w:r>
              <w:rPr>
                <w:noProof/>
                <w:webHidden/>
              </w:rPr>
            </w:r>
            <w:r>
              <w:rPr>
                <w:noProof/>
                <w:webHidden/>
              </w:rPr>
              <w:fldChar w:fldCharType="separate"/>
            </w:r>
            <w:r>
              <w:rPr>
                <w:noProof/>
                <w:webHidden/>
              </w:rPr>
              <w:t>4</w:t>
            </w:r>
            <w:r>
              <w:rPr>
                <w:noProof/>
                <w:webHidden/>
              </w:rPr>
              <w:fldChar w:fldCharType="end"/>
            </w:r>
          </w:hyperlink>
        </w:p>
        <w:p w:rsidR="00F242F2" w:rsidRDefault="00F242F2" w14:paraId="69A06209" w14:textId="13B30843">
          <w:pPr>
            <w:pStyle w:val="TOC2"/>
            <w:tabs>
              <w:tab w:val="left" w:pos="96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42">
            <w:r w:rsidRPr="00187892">
              <w:rPr>
                <w:rStyle w:val="Hyperlink"/>
                <w:rFonts w:cs="Arial"/>
                <w:b/>
                <w:bCs/>
                <w:noProof/>
                <w:lang w:val="en-US"/>
              </w:rPr>
              <w:t>5.1.</w:t>
            </w:r>
            <w:r>
              <w:rPr>
                <w:rFonts w:asciiTheme="minorHAnsi" w:hAnsiTheme="minorHAnsi" w:eastAsiaTheme="minorEastAsia"/>
                <w:noProof/>
                <w:kern w:val="2"/>
                <w:sz w:val="24"/>
                <w:szCs w:val="24"/>
                <w:lang w:val="en-US" w:eastAsia="en-US"/>
                <w14:ligatures w14:val="standardContextual"/>
              </w:rPr>
              <w:tab/>
            </w:r>
            <w:r w:rsidRPr="00187892">
              <w:rPr>
                <w:rStyle w:val="Hyperlink"/>
                <w:rFonts w:cs="Arial"/>
                <w:b/>
                <w:bCs/>
                <w:noProof/>
                <w:lang w:val="en-US"/>
              </w:rPr>
              <w:t>Definition and Importance</w:t>
            </w:r>
            <w:r>
              <w:rPr>
                <w:noProof/>
                <w:webHidden/>
              </w:rPr>
              <w:tab/>
            </w:r>
            <w:r>
              <w:rPr>
                <w:noProof/>
                <w:webHidden/>
              </w:rPr>
              <w:fldChar w:fldCharType="begin"/>
            </w:r>
            <w:r>
              <w:rPr>
                <w:noProof/>
                <w:webHidden/>
              </w:rPr>
              <w:instrText xml:space="preserve"> PAGEREF _Toc223791142 \h </w:instrText>
            </w:r>
            <w:r>
              <w:rPr>
                <w:noProof/>
                <w:webHidden/>
              </w:rPr>
            </w:r>
            <w:r>
              <w:rPr>
                <w:noProof/>
                <w:webHidden/>
              </w:rPr>
              <w:fldChar w:fldCharType="separate"/>
            </w:r>
            <w:r>
              <w:rPr>
                <w:noProof/>
                <w:webHidden/>
              </w:rPr>
              <w:t>4</w:t>
            </w:r>
            <w:r>
              <w:rPr>
                <w:noProof/>
                <w:webHidden/>
              </w:rPr>
              <w:fldChar w:fldCharType="end"/>
            </w:r>
          </w:hyperlink>
        </w:p>
        <w:p w:rsidR="00F242F2" w:rsidRDefault="00F242F2" w14:paraId="48DDD726" w14:textId="6FD64A82">
          <w:pPr>
            <w:pStyle w:val="TOC2"/>
            <w:tabs>
              <w:tab w:val="left" w:pos="96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43">
            <w:r w:rsidRPr="00187892">
              <w:rPr>
                <w:rStyle w:val="Hyperlink"/>
                <w:rFonts w:cs="Arial"/>
                <w:b/>
                <w:bCs/>
                <w:noProof/>
                <w:lang w:val="en-US"/>
              </w:rPr>
              <w:t>5.2.</w:t>
            </w:r>
            <w:r>
              <w:rPr>
                <w:rFonts w:asciiTheme="minorHAnsi" w:hAnsiTheme="minorHAnsi" w:eastAsiaTheme="minorEastAsia"/>
                <w:noProof/>
                <w:kern w:val="2"/>
                <w:sz w:val="24"/>
                <w:szCs w:val="24"/>
                <w:lang w:val="en-US" w:eastAsia="en-US"/>
                <w14:ligatures w14:val="standardContextual"/>
              </w:rPr>
              <w:tab/>
            </w:r>
            <w:r w:rsidRPr="00187892">
              <w:rPr>
                <w:rStyle w:val="Hyperlink"/>
                <w:rFonts w:cs="Arial"/>
                <w:b/>
                <w:bCs/>
                <w:noProof/>
                <w:lang w:val="en-US"/>
              </w:rPr>
              <w:t>Benefits and Challenges of PW</w:t>
            </w:r>
            <w:r>
              <w:rPr>
                <w:noProof/>
                <w:webHidden/>
              </w:rPr>
              <w:tab/>
            </w:r>
            <w:r>
              <w:rPr>
                <w:noProof/>
                <w:webHidden/>
              </w:rPr>
              <w:fldChar w:fldCharType="begin"/>
            </w:r>
            <w:r>
              <w:rPr>
                <w:noProof/>
                <w:webHidden/>
              </w:rPr>
              <w:instrText xml:space="preserve"> PAGEREF _Toc223791143 \h </w:instrText>
            </w:r>
            <w:r>
              <w:rPr>
                <w:noProof/>
                <w:webHidden/>
              </w:rPr>
            </w:r>
            <w:r>
              <w:rPr>
                <w:noProof/>
                <w:webHidden/>
              </w:rPr>
              <w:fldChar w:fldCharType="separate"/>
            </w:r>
            <w:r>
              <w:rPr>
                <w:noProof/>
                <w:webHidden/>
              </w:rPr>
              <w:t>4</w:t>
            </w:r>
            <w:r>
              <w:rPr>
                <w:noProof/>
                <w:webHidden/>
              </w:rPr>
              <w:fldChar w:fldCharType="end"/>
            </w:r>
          </w:hyperlink>
        </w:p>
        <w:p w:rsidR="00F242F2" w:rsidRDefault="00F242F2" w14:paraId="0193AB85" w14:textId="7FCF3092">
          <w:pPr>
            <w:pStyle w:val="TOC1"/>
            <w:tabs>
              <w:tab w:val="left" w:pos="48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44">
            <w:r w:rsidRPr="00187892">
              <w:rPr>
                <w:rStyle w:val="Hyperlink"/>
                <w:rFonts w:eastAsia="Arial" w:cs="Arial"/>
                <w:b/>
                <w:bCs/>
                <w:noProof/>
              </w:rPr>
              <w:t>6.</w:t>
            </w:r>
            <w:r>
              <w:rPr>
                <w:rFonts w:asciiTheme="minorHAnsi" w:hAnsiTheme="minorHAnsi" w:eastAsiaTheme="minorEastAsia"/>
                <w:noProof/>
                <w:kern w:val="2"/>
                <w:sz w:val="24"/>
                <w:szCs w:val="24"/>
                <w:lang w:val="en-US" w:eastAsia="en-US"/>
                <w14:ligatures w14:val="standardContextual"/>
              </w:rPr>
              <w:tab/>
            </w:r>
            <w:r w:rsidRPr="00187892">
              <w:rPr>
                <w:rStyle w:val="Hyperlink"/>
                <w:rFonts w:eastAsia="Arial" w:cs="Arial"/>
                <w:b/>
                <w:bCs/>
                <w:noProof/>
              </w:rPr>
              <w:t>Application of PW in Practice</w:t>
            </w:r>
            <w:r>
              <w:rPr>
                <w:noProof/>
                <w:webHidden/>
              </w:rPr>
              <w:tab/>
            </w:r>
            <w:r>
              <w:rPr>
                <w:noProof/>
                <w:webHidden/>
              </w:rPr>
              <w:fldChar w:fldCharType="begin"/>
            </w:r>
            <w:r>
              <w:rPr>
                <w:noProof/>
                <w:webHidden/>
              </w:rPr>
              <w:instrText xml:space="preserve"> PAGEREF _Toc223791144 \h </w:instrText>
            </w:r>
            <w:r>
              <w:rPr>
                <w:noProof/>
                <w:webHidden/>
              </w:rPr>
            </w:r>
            <w:r>
              <w:rPr>
                <w:noProof/>
                <w:webHidden/>
              </w:rPr>
              <w:fldChar w:fldCharType="separate"/>
            </w:r>
            <w:r>
              <w:rPr>
                <w:noProof/>
                <w:webHidden/>
              </w:rPr>
              <w:t>5</w:t>
            </w:r>
            <w:r>
              <w:rPr>
                <w:noProof/>
                <w:webHidden/>
              </w:rPr>
              <w:fldChar w:fldCharType="end"/>
            </w:r>
          </w:hyperlink>
        </w:p>
        <w:p w:rsidR="00F242F2" w:rsidRDefault="00F242F2" w14:paraId="1927B136" w14:textId="4247C03C">
          <w:pPr>
            <w:pStyle w:val="TOC1"/>
            <w:tabs>
              <w:tab w:val="left" w:pos="48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45">
            <w:r w:rsidRPr="00187892">
              <w:rPr>
                <w:rStyle w:val="Hyperlink"/>
                <w:rFonts w:eastAsia="Arial" w:cs="Arial"/>
                <w:b/>
                <w:bCs/>
                <w:noProof/>
              </w:rPr>
              <w:t>7.</w:t>
            </w:r>
            <w:r>
              <w:rPr>
                <w:rFonts w:asciiTheme="minorHAnsi" w:hAnsiTheme="minorHAnsi" w:eastAsiaTheme="minorEastAsia"/>
                <w:noProof/>
                <w:kern w:val="2"/>
                <w:sz w:val="24"/>
                <w:szCs w:val="24"/>
                <w:lang w:val="en-US" w:eastAsia="en-US"/>
                <w14:ligatures w14:val="standardContextual"/>
              </w:rPr>
              <w:tab/>
            </w:r>
            <w:r w:rsidRPr="00187892">
              <w:rPr>
                <w:rStyle w:val="Hyperlink"/>
                <w:rFonts w:eastAsia="Arial" w:cs="Arial"/>
                <w:b/>
                <w:bCs/>
                <w:noProof/>
              </w:rPr>
              <w:t>Policy and Legislative Framework Supporting PCC and PW</w:t>
            </w:r>
            <w:r>
              <w:rPr>
                <w:noProof/>
                <w:webHidden/>
              </w:rPr>
              <w:tab/>
            </w:r>
            <w:r>
              <w:rPr>
                <w:noProof/>
                <w:webHidden/>
              </w:rPr>
              <w:fldChar w:fldCharType="begin"/>
            </w:r>
            <w:r>
              <w:rPr>
                <w:noProof/>
                <w:webHidden/>
              </w:rPr>
              <w:instrText xml:space="preserve"> PAGEREF _Toc223791145 \h </w:instrText>
            </w:r>
            <w:r>
              <w:rPr>
                <w:noProof/>
                <w:webHidden/>
              </w:rPr>
            </w:r>
            <w:r>
              <w:rPr>
                <w:noProof/>
                <w:webHidden/>
              </w:rPr>
              <w:fldChar w:fldCharType="separate"/>
            </w:r>
            <w:r>
              <w:rPr>
                <w:noProof/>
                <w:webHidden/>
              </w:rPr>
              <w:t>5</w:t>
            </w:r>
            <w:r>
              <w:rPr>
                <w:noProof/>
                <w:webHidden/>
              </w:rPr>
              <w:fldChar w:fldCharType="end"/>
            </w:r>
          </w:hyperlink>
        </w:p>
        <w:p w:rsidR="00F242F2" w:rsidRDefault="00F242F2" w14:paraId="22C61852" w14:textId="752DA1B3">
          <w:pPr>
            <w:pStyle w:val="TOC1"/>
            <w:tabs>
              <w:tab w:val="left" w:pos="48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46">
            <w:r w:rsidRPr="00187892">
              <w:rPr>
                <w:rStyle w:val="Hyperlink"/>
                <w:rFonts w:eastAsia="Arial" w:cs="Arial"/>
                <w:b/>
                <w:bCs/>
                <w:noProof/>
              </w:rPr>
              <w:t>8.</w:t>
            </w:r>
            <w:r>
              <w:rPr>
                <w:rFonts w:asciiTheme="minorHAnsi" w:hAnsiTheme="minorHAnsi" w:eastAsiaTheme="minorEastAsia"/>
                <w:noProof/>
                <w:kern w:val="2"/>
                <w:sz w:val="24"/>
                <w:szCs w:val="24"/>
                <w:lang w:val="en-US" w:eastAsia="en-US"/>
                <w14:ligatures w14:val="standardContextual"/>
              </w:rPr>
              <w:tab/>
            </w:r>
            <w:r w:rsidRPr="00187892">
              <w:rPr>
                <w:rStyle w:val="Hyperlink"/>
                <w:rFonts w:eastAsia="Arial" w:cs="Arial"/>
                <w:b/>
                <w:bCs/>
                <w:noProof/>
              </w:rPr>
              <w:t>Recommendations for Future Development</w:t>
            </w:r>
            <w:r>
              <w:rPr>
                <w:noProof/>
                <w:webHidden/>
              </w:rPr>
              <w:tab/>
            </w:r>
            <w:r>
              <w:rPr>
                <w:noProof/>
                <w:webHidden/>
              </w:rPr>
              <w:fldChar w:fldCharType="begin"/>
            </w:r>
            <w:r>
              <w:rPr>
                <w:noProof/>
                <w:webHidden/>
              </w:rPr>
              <w:instrText xml:space="preserve"> PAGEREF _Toc223791146 \h </w:instrText>
            </w:r>
            <w:r>
              <w:rPr>
                <w:noProof/>
                <w:webHidden/>
              </w:rPr>
            </w:r>
            <w:r>
              <w:rPr>
                <w:noProof/>
                <w:webHidden/>
              </w:rPr>
              <w:fldChar w:fldCharType="separate"/>
            </w:r>
            <w:r>
              <w:rPr>
                <w:noProof/>
                <w:webHidden/>
              </w:rPr>
              <w:t>6</w:t>
            </w:r>
            <w:r>
              <w:rPr>
                <w:noProof/>
                <w:webHidden/>
              </w:rPr>
              <w:fldChar w:fldCharType="end"/>
            </w:r>
          </w:hyperlink>
        </w:p>
        <w:p w:rsidR="00F242F2" w:rsidRDefault="00F242F2" w14:paraId="249FCD82" w14:textId="30FD1FB4">
          <w:pPr>
            <w:pStyle w:val="TOC1"/>
            <w:tabs>
              <w:tab w:val="left" w:pos="480"/>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47">
            <w:r w:rsidRPr="00187892">
              <w:rPr>
                <w:rStyle w:val="Hyperlink"/>
                <w:rFonts w:cs="Arial"/>
                <w:b/>
                <w:bCs/>
                <w:noProof/>
              </w:rPr>
              <w:t>9.</w:t>
            </w:r>
            <w:r>
              <w:rPr>
                <w:rFonts w:asciiTheme="minorHAnsi" w:hAnsiTheme="minorHAnsi" w:eastAsiaTheme="minorEastAsia"/>
                <w:noProof/>
                <w:kern w:val="2"/>
                <w:sz w:val="24"/>
                <w:szCs w:val="24"/>
                <w:lang w:val="en-US" w:eastAsia="en-US"/>
                <w14:ligatures w14:val="standardContextual"/>
              </w:rPr>
              <w:tab/>
            </w:r>
            <w:r w:rsidRPr="00187892">
              <w:rPr>
                <w:rStyle w:val="Hyperlink"/>
                <w:rFonts w:cs="Arial"/>
                <w:b/>
                <w:bCs/>
                <w:noProof/>
              </w:rPr>
              <w:t>Conclusion</w:t>
            </w:r>
            <w:r>
              <w:rPr>
                <w:noProof/>
                <w:webHidden/>
              </w:rPr>
              <w:tab/>
            </w:r>
            <w:r>
              <w:rPr>
                <w:noProof/>
                <w:webHidden/>
              </w:rPr>
              <w:fldChar w:fldCharType="begin"/>
            </w:r>
            <w:r>
              <w:rPr>
                <w:noProof/>
                <w:webHidden/>
              </w:rPr>
              <w:instrText xml:space="preserve"> PAGEREF _Toc223791147 \h </w:instrText>
            </w:r>
            <w:r>
              <w:rPr>
                <w:noProof/>
                <w:webHidden/>
              </w:rPr>
            </w:r>
            <w:r>
              <w:rPr>
                <w:noProof/>
                <w:webHidden/>
              </w:rPr>
              <w:fldChar w:fldCharType="separate"/>
            </w:r>
            <w:r>
              <w:rPr>
                <w:noProof/>
                <w:webHidden/>
              </w:rPr>
              <w:t>6</w:t>
            </w:r>
            <w:r>
              <w:rPr>
                <w:noProof/>
                <w:webHidden/>
              </w:rPr>
              <w:fldChar w:fldCharType="end"/>
            </w:r>
          </w:hyperlink>
        </w:p>
        <w:p w:rsidR="00F242F2" w:rsidRDefault="00F242F2" w14:paraId="219BA98A" w14:textId="5671CA48">
          <w:pPr>
            <w:pStyle w:val="TOC1"/>
            <w:tabs>
              <w:tab w:val="right" w:leader="dot" w:pos="9350"/>
            </w:tabs>
            <w:rPr>
              <w:rFonts w:asciiTheme="minorHAnsi" w:hAnsiTheme="minorHAnsi" w:eastAsiaTheme="minorEastAsia"/>
              <w:noProof/>
              <w:kern w:val="2"/>
              <w:sz w:val="24"/>
              <w:szCs w:val="24"/>
              <w:lang w:val="en-US" w:eastAsia="en-US"/>
              <w14:ligatures w14:val="standardContextual"/>
            </w:rPr>
          </w:pPr>
          <w:hyperlink w:history="1" w:anchor="_Toc223791148">
            <w:r w:rsidRPr="00187892">
              <w:rPr>
                <w:rStyle w:val="Hyperlink"/>
                <w:rFonts w:cs="Arial"/>
                <w:b/>
                <w:bCs/>
                <w:noProof/>
              </w:rPr>
              <w:t>References</w:t>
            </w:r>
            <w:r>
              <w:rPr>
                <w:noProof/>
                <w:webHidden/>
              </w:rPr>
              <w:tab/>
            </w:r>
            <w:r>
              <w:rPr>
                <w:noProof/>
                <w:webHidden/>
              </w:rPr>
              <w:fldChar w:fldCharType="begin"/>
            </w:r>
            <w:r>
              <w:rPr>
                <w:noProof/>
                <w:webHidden/>
              </w:rPr>
              <w:instrText xml:space="preserve"> PAGEREF _Toc223791148 \h </w:instrText>
            </w:r>
            <w:r>
              <w:rPr>
                <w:noProof/>
                <w:webHidden/>
              </w:rPr>
            </w:r>
            <w:r>
              <w:rPr>
                <w:noProof/>
                <w:webHidden/>
              </w:rPr>
              <w:fldChar w:fldCharType="separate"/>
            </w:r>
            <w:r>
              <w:rPr>
                <w:noProof/>
                <w:webHidden/>
              </w:rPr>
              <w:t>7</w:t>
            </w:r>
            <w:r>
              <w:rPr>
                <w:noProof/>
                <w:webHidden/>
              </w:rPr>
              <w:fldChar w:fldCharType="end"/>
            </w:r>
          </w:hyperlink>
        </w:p>
        <w:p w:rsidRPr="00BE35A4" w:rsidR="005B6505" w:rsidRDefault="005B6505" w14:paraId="341860E9" w14:textId="6BC3E2E4">
          <w:pPr>
            <w:rPr>
              <w:rFonts w:cs="Arial"/>
            </w:rPr>
          </w:pPr>
          <w:r w:rsidRPr="00BE35A4">
            <w:rPr>
              <w:rFonts w:cs="Arial"/>
              <w:b/>
              <w:bCs/>
            </w:rPr>
            <w:fldChar w:fldCharType="end"/>
          </w:r>
        </w:p>
      </w:sdtContent>
    </w:sdt>
    <w:p w:rsidRPr="00BE35A4" w:rsidR="005B6505" w:rsidRDefault="005B6505" w14:paraId="4A58618C" w14:textId="70770A5E">
      <w:pPr>
        <w:rPr>
          <w:rFonts w:cs="Arial"/>
        </w:rPr>
      </w:pPr>
    </w:p>
    <w:p w:rsidRPr="00BE35A4" w:rsidR="005B6505" w:rsidP="005B6505" w:rsidRDefault="005B6505" w14:paraId="475D4DAF" w14:textId="77777777">
      <w:pPr>
        <w:tabs>
          <w:tab w:val="left" w:pos="980"/>
        </w:tabs>
        <w:spacing w:line="360" w:lineRule="auto"/>
        <w:rPr>
          <w:rFonts w:cs="Arial"/>
        </w:rPr>
      </w:pPr>
    </w:p>
    <w:p w:rsidRPr="00BE35A4" w:rsidR="005B6505" w:rsidP="005B6505" w:rsidRDefault="005B6505" w14:paraId="16D37C68" w14:textId="261E37C4">
      <w:pPr>
        <w:tabs>
          <w:tab w:val="left" w:pos="980"/>
        </w:tabs>
        <w:rPr>
          <w:rFonts w:cs="Arial"/>
        </w:rPr>
        <w:sectPr w:rsidRPr="00BE35A4" w:rsidR="005B6505" w:rsidSect="002464B4">
          <w:footerReference w:type="default" r:id="rId10"/>
          <w:pgSz w:w="12240" w:h="15840" w:orient="portrait"/>
          <w:pgMar w:top="1440" w:right="1440" w:bottom="1440" w:left="1440" w:header="720" w:footer="720" w:gutter="0"/>
          <w:pgNumType w:start="1"/>
          <w:cols w:space="720"/>
          <w:docGrid w:linePitch="360"/>
        </w:sectPr>
      </w:pPr>
      <w:r w:rsidRPr="00BE35A4">
        <w:rPr>
          <w:rFonts w:cs="Arial"/>
        </w:rPr>
        <w:tab/>
      </w:r>
    </w:p>
    <w:p w:rsidRPr="00BE35A4" w:rsidR="00197002" w:rsidRDefault="00197002" w14:paraId="708D4CB8" w14:textId="77777777">
      <w:pPr>
        <w:rPr>
          <w:rFonts w:cs="Arial" w:eastAsiaTheme="majorEastAsia"/>
          <w:b/>
          <w:bCs/>
          <w:sz w:val="32"/>
          <w:szCs w:val="32"/>
        </w:rPr>
      </w:pPr>
      <w:r w:rsidRPr="00BE35A4">
        <w:rPr>
          <w:rFonts w:cs="Arial"/>
          <w:b/>
          <w:bCs/>
        </w:rPr>
        <w:br w:type="page"/>
      </w:r>
    </w:p>
    <w:p w:rsidRPr="00BE35A4" w:rsidR="00AD4F42" w:rsidP="00197002" w:rsidRDefault="00121215" w14:paraId="7C9D6164" w14:textId="41C2FDBE">
      <w:pPr>
        <w:pStyle w:val="Heading1"/>
        <w:numPr>
          <w:ilvl w:val="0"/>
          <w:numId w:val="1"/>
        </w:numPr>
        <w:spacing w:line="360" w:lineRule="auto"/>
        <w:jc w:val="both"/>
        <w:rPr>
          <w:rFonts w:ascii="Arial" w:hAnsi="Arial" w:cs="Arial"/>
          <w:b/>
          <w:bCs/>
          <w:color w:val="auto"/>
        </w:rPr>
      </w:pPr>
      <w:bookmarkStart w:name="_Toc223791132" w:id="0"/>
      <w:r w:rsidRPr="00BE35A4">
        <w:rPr>
          <w:rFonts w:ascii="Arial" w:hAnsi="Arial" w:cs="Arial"/>
          <w:b/>
          <w:bCs/>
          <w:color w:val="auto"/>
        </w:rPr>
        <w:t>Introduction</w:t>
      </w:r>
      <w:bookmarkEnd w:id="0"/>
    </w:p>
    <w:p w:rsidRPr="00BE35A4" w:rsidR="00F206E6" w:rsidP="000544D1" w:rsidRDefault="000C3E66" w14:paraId="00B7BECD" w14:textId="0E6882D1">
      <w:pPr>
        <w:tabs>
          <w:tab w:val="left" w:pos="956"/>
        </w:tabs>
        <w:spacing w:line="360" w:lineRule="auto"/>
        <w:jc w:val="both"/>
        <w:rPr>
          <w:rFonts w:cs="Arial"/>
        </w:rPr>
      </w:pPr>
      <w:r w:rsidRPr="000C3E66">
        <w:rPr>
          <w:rFonts w:cs="Arial"/>
        </w:rPr>
        <w:t>The health and social care practice in the UK is now inclined to adopt strategies that focus on the needs, values, and experiences of people under care</w:t>
      </w:r>
      <w:r w:rsidR="006E6F68">
        <w:rPr>
          <w:rFonts w:cs="Arial"/>
        </w:rPr>
        <w:t xml:space="preserve"> (</w:t>
      </w:r>
      <w:r w:rsidRPr="00E713F2" w:rsidR="006E6F68">
        <w:rPr>
          <w:szCs w:val="18"/>
          <w:lang w:val="en-US"/>
        </w:rPr>
        <w:t>GOV.UK</w:t>
      </w:r>
      <w:r w:rsidR="006E6F68">
        <w:rPr>
          <w:szCs w:val="18"/>
          <w:lang w:val="en-US"/>
        </w:rPr>
        <w:t xml:space="preserve">, </w:t>
      </w:r>
      <w:r w:rsidRPr="00E713F2" w:rsidR="006E6F68">
        <w:rPr>
          <w:rFonts w:cs="Arial"/>
          <w:szCs w:val="18"/>
          <w:lang w:val="en-US"/>
        </w:rPr>
        <w:t>2022)</w:t>
      </w:r>
      <w:r w:rsidRPr="000C3E66">
        <w:rPr>
          <w:rFonts w:cs="Arial"/>
        </w:rPr>
        <w:t>. Another significant concept informing modern practice is person-centred care (PCC) and partnership working (PW), which both strive to improve the quality, coordination and responsiveness of services</w:t>
      </w:r>
      <w:r w:rsidR="00681579">
        <w:rPr>
          <w:rFonts w:cs="Arial"/>
        </w:rPr>
        <w:t xml:space="preserve"> (</w:t>
      </w:r>
      <w:r w:rsidRPr="00E713F2" w:rsidR="00681579">
        <w:rPr>
          <w:szCs w:val="18"/>
        </w:rPr>
        <w:t>Ahmed, Muijsenbergh</w:t>
      </w:r>
      <w:r w:rsidR="00681579">
        <w:rPr>
          <w:szCs w:val="18"/>
        </w:rPr>
        <w:t xml:space="preserve"> </w:t>
      </w:r>
      <w:r w:rsidRPr="00E713F2" w:rsidR="00681579">
        <w:rPr>
          <w:szCs w:val="18"/>
        </w:rPr>
        <w:t>and Vrijhoef, 2022</w:t>
      </w:r>
      <w:r w:rsidR="00681579">
        <w:rPr>
          <w:szCs w:val="18"/>
        </w:rPr>
        <w:t>)</w:t>
      </w:r>
      <w:r w:rsidRPr="000C3E66">
        <w:rPr>
          <w:rFonts w:cs="Arial"/>
        </w:rPr>
        <w:t>. PCC emphasises on the identification of individuals as the involved parties in their care whereas PW promotes collaboration between professionals, service users and organisations. This report discusses the PCC concept, theoretical input of Carl Rogers</w:t>
      </w:r>
      <w:r w:rsidR="00681579">
        <w:rPr>
          <w:rFonts w:cs="Arial"/>
        </w:rPr>
        <w:t xml:space="preserve"> (</w:t>
      </w:r>
      <w:r w:rsidRPr="00E713F2" w:rsidR="00681579">
        <w:rPr>
          <w:szCs w:val="18"/>
        </w:rPr>
        <w:t>Joseph, 2025)</w:t>
      </w:r>
      <w:r w:rsidRPr="000C3E66">
        <w:rPr>
          <w:rFonts w:cs="Arial"/>
        </w:rPr>
        <w:t>, ethical principles to support practice, PW, and discussions of relevant UK policy frameworks. The recommendations on how to improve future practice are also provided</w:t>
      </w:r>
      <w:r w:rsidRPr="00BE35A4" w:rsidR="0043297C">
        <w:rPr>
          <w:rFonts w:cs="Arial"/>
        </w:rPr>
        <w:t>.</w:t>
      </w:r>
    </w:p>
    <w:p w:rsidRPr="00BE35A4" w:rsidR="00F206E6" w:rsidP="0063110F" w:rsidRDefault="00C0021B" w14:paraId="7AD72033" w14:textId="457E11E8">
      <w:pPr>
        <w:pStyle w:val="Heading1"/>
        <w:numPr>
          <w:ilvl w:val="0"/>
          <w:numId w:val="1"/>
        </w:numPr>
        <w:spacing w:line="360" w:lineRule="auto"/>
        <w:jc w:val="both"/>
        <w:rPr>
          <w:rFonts w:ascii="Arial" w:hAnsi="Arial" w:eastAsia="Arial" w:cs="Arial"/>
          <w:b/>
          <w:bCs/>
          <w:color w:val="auto"/>
        </w:rPr>
      </w:pPr>
      <w:bookmarkStart w:name="_Toc223791133" w:id="1"/>
      <w:r>
        <w:rPr>
          <w:rFonts w:ascii="Arial" w:hAnsi="Arial" w:eastAsia="Arial" w:cs="Arial"/>
          <w:b/>
          <w:bCs/>
          <w:color w:val="auto"/>
        </w:rPr>
        <w:t>PCC</w:t>
      </w:r>
      <w:r w:rsidRPr="00BE35A4" w:rsidR="003941D8">
        <w:rPr>
          <w:rFonts w:ascii="Arial" w:hAnsi="Arial" w:eastAsia="Arial" w:cs="Arial"/>
          <w:b/>
          <w:bCs/>
          <w:color w:val="auto"/>
        </w:rPr>
        <w:t xml:space="preserve"> in Health and Social Care</w:t>
      </w:r>
      <w:bookmarkEnd w:id="1"/>
    </w:p>
    <w:p w:rsidRPr="00681579" w:rsidR="00681579" w:rsidP="00681579" w:rsidRDefault="006652A3" w14:paraId="2C709A19" w14:textId="1EB78C13">
      <w:pPr>
        <w:pStyle w:val="Heading2"/>
        <w:numPr>
          <w:ilvl w:val="1"/>
          <w:numId w:val="1"/>
        </w:numPr>
        <w:spacing w:line="360" w:lineRule="auto"/>
        <w:jc w:val="both"/>
        <w:rPr>
          <w:rFonts w:ascii="Arial" w:hAnsi="Arial" w:cs="Arial"/>
          <w:b/>
          <w:bCs/>
          <w:color w:val="auto"/>
          <w:sz w:val="28"/>
          <w:szCs w:val="28"/>
        </w:rPr>
      </w:pPr>
      <w:bookmarkStart w:name="_Toc223791134" w:id="2"/>
      <w:r w:rsidRPr="00BE35A4">
        <w:rPr>
          <w:rFonts w:ascii="Arial" w:hAnsi="Arial" w:cs="Arial"/>
          <w:b/>
          <w:bCs/>
          <w:color w:val="auto"/>
          <w:sz w:val="28"/>
          <w:szCs w:val="28"/>
        </w:rPr>
        <w:t>Definition</w:t>
      </w:r>
      <w:bookmarkEnd w:id="2"/>
    </w:p>
    <w:p w:rsidR="006652A3" w:rsidP="006652A3" w:rsidRDefault="00681579" w14:paraId="274A071E" w14:textId="0138C609">
      <w:pPr>
        <w:spacing w:line="360" w:lineRule="auto"/>
        <w:jc w:val="both"/>
        <w:rPr>
          <w:rFonts w:cs="Arial"/>
        </w:rPr>
      </w:pPr>
      <w:r w:rsidRPr="00681579">
        <w:rPr>
          <w:rFonts w:cs="Arial"/>
          <w:noProof/>
        </w:rPr>
        <w:drawing>
          <wp:anchor distT="0" distB="0" distL="114300" distR="114300" simplePos="0" relativeHeight="251660288" behindDoc="1" locked="0" layoutInCell="1" allowOverlap="1" wp14:anchorId="6E635899" wp14:editId="4B20002D">
            <wp:simplePos x="0" y="0"/>
            <wp:positionH relativeFrom="margin">
              <wp:posOffset>1833562</wp:posOffset>
            </wp:positionH>
            <wp:positionV relativeFrom="page">
              <wp:posOffset>5957570</wp:posOffset>
            </wp:positionV>
            <wp:extent cx="2299970" cy="2291080"/>
            <wp:effectExtent l="0" t="0" r="5080" b="0"/>
            <wp:wrapTight wrapText="bothSides">
              <wp:wrapPolygon edited="0">
                <wp:start x="0" y="0"/>
                <wp:lineTo x="0" y="21373"/>
                <wp:lineTo x="21469" y="21373"/>
                <wp:lineTo x="21469" y="0"/>
                <wp:lineTo x="0" y="0"/>
              </wp:wrapPolygon>
            </wp:wrapTight>
            <wp:docPr id="1765356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356462" name=""/>
                    <pic:cNvPicPr/>
                  </pic:nvPicPr>
                  <pic:blipFill>
                    <a:blip r:embed="rId11">
                      <a:extLst>
                        <a:ext uri="{28A0092B-C50C-407E-A947-70E740481C1C}">
                          <a14:useLocalDpi xmlns:a14="http://schemas.microsoft.com/office/drawing/2010/main" val="0"/>
                        </a:ext>
                      </a:extLst>
                    </a:blip>
                    <a:stretch>
                      <a:fillRect/>
                    </a:stretch>
                  </pic:blipFill>
                  <pic:spPr>
                    <a:xfrm>
                      <a:off x="0" y="0"/>
                      <a:ext cx="2299970" cy="2291080"/>
                    </a:xfrm>
                    <a:prstGeom prst="rect">
                      <a:avLst/>
                    </a:prstGeom>
                  </pic:spPr>
                </pic:pic>
              </a:graphicData>
            </a:graphic>
          </wp:anchor>
        </w:drawing>
      </w:r>
      <w:r w:rsidRPr="00AE1ED8" w:rsidR="00AE1ED8">
        <w:rPr>
          <w:rFonts w:cs="Arial"/>
        </w:rPr>
        <w:t>PCC is a concept in health and social care, according to which the individual is in the heart of decision-making and service provision</w:t>
      </w:r>
      <w:r w:rsidR="00C33EEB">
        <w:rPr>
          <w:rFonts w:cs="Arial"/>
        </w:rPr>
        <w:t xml:space="preserve"> (Figure 1)</w:t>
      </w:r>
      <w:r w:rsidRPr="00AE1ED8" w:rsidR="00AE1ED8">
        <w:rPr>
          <w:rFonts w:cs="Arial"/>
        </w:rPr>
        <w:t>. It focuses on the identification of individual needs, preferences and life experience coupled with upholding dignity, autonomy and independence</w:t>
      </w:r>
      <w:r w:rsidR="00244CF2">
        <w:rPr>
          <w:rFonts w:cs="Arial"/>
        </w:rPr>
        <w:t xml:space="preserve"> (</w:t>
      </w:r>
      <w:r w:rsidRPr="00A879BE" w:rsidR="00244CF2">
        <w:rPr>
          <w:szCs w:val="18"/>
        </w:rPr>
        <w:t>Damant</w:t>
      </w:r>
      <w:r w:rsidR="00244CF2">
        <w:rPr>
          <w:szCs w:val="18"/>
        </w:rPr>
        <w:t xml:space="preserve"> et al., 2026)</w:t>
      </w:r>
      <w:r w:rsidRPr="00AE1ED8" w:rsidR="00AE1ED8">
        <w:rPr>
          <w:rFonts w:cs="Arial"/>
        </w:rPr>
        <w:t>. Patients are urged to be active in making decisions regarding their care and assistance. The humanistic approach of Rogers</w:t>
      </w:r>
      <w:r w:rsidR="00722C9F">
        <w:rPr>
          <w:rFonts w:cs="Arial"/>
        </w:rPr>
        <w:t xml:space="preserve"> (</w:t>
      </w:r>
      <w:r w:rsidRPr="00E713F2" w:rsidR="00722C9F">
        <w:rPr>
          <w:szCs w:val="18"/>
        </w:rPr>
        <w:t>Joseph, 2025)</w:t>
      </w:r>
      <w:r w:rsidRPr="00AE1ED8" w:rsidR="00AE1ED8">
        <w:rPr>
          <w:rFonts w:cs="Arial"/>
        </w:rPr>
        <w:t>, who focused on empathy, unconditional positive regard, and actual understanding of the views of individuals, is powerful in the principles of PCC</w:t>
      </w:r>
      <w:r w:rsidRPr="006652A3" w:rsidR="006652A3">
        <w:rPr>
          <w:rFonts w:cs="Arial"/>
        </w:rPr>
        <w:t>.</w:t>
      </w:r>
    </w:p>
    <w:p w:rsidR="00681579" w:rsidP="006652A3" w:rsidRDefault="00681579" w14:paraId="55B9C39D" w14:textId="3DBFF03D">
      <w:pPr>
        <w:spacing w:line="360" w:lineRule="auto"/>
        <w:jc w:val="both"/>
        <w:rPr>
          <w:rFonts w:cs="Arial"/>
        </w:rPr>
      </w:pPr>
    </w:p>
    <w:p w:rsidR="00681579" w:rsidP="006652A3" w:rsidRDefault="00681579" w14:paraId="1B6293C2" w14:textId="77777777">
      <w:pPr>
        <w:spacing w:line="360" w:lineRule="auto"/>
        <w:jc w:val="both"/>
        <w:rPr>
          <w:rFonts w:cs="Arial"/>
        </w:rPr>
      </w:pPr>
    </w:p>
    <w:p w:rsidR="00681579" w:rsidP="006652A3" w:rsidRDefault="00681579" w14:paraId="6D29A051" w14:textId="77777777">
      <w:pPr>
        <w:spacing w:line="360" w:lineRule="auto"/>
        <w:jc w:val="both"/>
        <w:rPr>
          <w:rFonts w:cs="Arial"/>
        </w:rPr>
      </w:pPr>
    </w:p>
    <w:p w:rsidR="00681579" w:rsidP="006652A3" w:rsidRDefault="00681579" w14:paraId="44263C1E" w14:textId="77777777">
      <w:pPr>
        <w:spacing w:line="360" w:lineRule="auto"/>
        <w:jc w:val="both"/>
        <w:rPr>
          <w:rFonts w:cs="Arial"/>
        </w:rPr>
      </w:pPr>
    </w:p>
    <w:p w:rsidR="00681579" w:rsidP="006652A3" w:rsidRDefault="00681579" w14:paraId="2A12FDF6" w14:textId="77777777">
      <w:pPr>
        <w:spacing w:line="360" w:lineRule="auto"/>
        <w:jc w:val="both"/>
        <w:rPr>
          <w:rFonts w:cs="Arial"/>
        </w:rPr>
      </w:pPr>
    </w:p>
    <w:p w:rsidR="00681579" w:rsidP="006652A3" w:rsidRDefault="00681579" w14:paraId="79615961" w14:textId="77777777">
      <w:pPr>
        <w:spacing w:line="360" w:lineRule="auto"/>
        <w:jc w:val="both"/>
        <w:rPr>
          <w:rFonts w:cs="Arial"/>
        </w:rPr>
      </w:pPr>
    </w:p>
    <w:p w:rsidRPr="006652A3" w:rsidR="00681579" w:rsidP="006652A3" w:rsidRDefault="00681579" w14:paraId="18B061FA" w14:textId="2C62E0E5">
      <w:pPr>
        <w:spacing w:line="360" w:lineRule="auto"/>
        <w:jc w:val="both"/>
        <w:rPr>
          <w:rFonts w:cs="Arial"/>
        </w:rPr>
      </w:pPr>
      <w:r>
        <w:rPr>
          <w:noProof/>
        </w:rPr>
        <mc:AlternateContent>
          <mc:Choice Requires="wps">
            <w:drawing>
              <wp:anchor distT="0" distB="0" distL="114300" distR="114300" simplePos="0" relativeHeight="251662336" behindDoc="1" locked="0" layoutInCell="1" allowOverlap="1" wp14:anchorId="11B15CD5" wp14:editId="034964C7">
                <wp:simplePos x="0" y="0"/>
                <wp:positionH relativeFrom="column">
                  <wp:posOffset>128270</wp:posOffset>
                </wp:positionH>
                <wp:positionV relativeFrom="paragraph">
                  <wp:posOffset>224790</wp:posOffset>
                </wp:positionV>
                <wp:extent cx="5686425" cy="635"/>
                <wp:effectExtent l="0" t="0" r="9525" b="8255"/>
                <wp:wrapTight wrapText="bothSides">
                  <wp:wrapPolygon edited="0">
                    <wp:start x="0" y="0"/>
                    <wp:lineTo x="0" y="20698"/>
                    <wp:lineTo x="21564" y="20698"/>
                    <wp:lineTo x="21564" y="0"/>
                    <wp:lineTo x="0" y="0"/>
                  </wp:wrapPolygon>
                </wp:wrapTight>
                <wp:docPr id="544091940" name="Text Box 1"/>
                <wp:cNvGraphicFramePr/>
                <a:graphic xmlns:a="http://schemas.openxmlformats.org/drawingml/2006/main">
                  <a:graphicData uri="http://schemas.microsoft.com/office/word/2010/wordprocessingShape">
                    <wps:wsp>
                      <wps:cNvSpPr txBox="1"/>
                      <wps:spPr>
                        <a:xfrm>
                          <a:off x="0" y="0"/>
                          <a:ext cx="5686425" cy="635"/>
                        </a:xfrm>
                        <a:prstGeom prst="rect">
                          <a:avLst/>
                        </a:prstGeom>
                        <a:solidFill>
                          <a:prstClr val="white"/>
                        </a:solidFill>
                        <a:ln>
                          <a:noFill/>
                        </a:ln>
                      </wps:spPr>
                      <wps:txbx>
                        <w:txbxContent>
                          <w:p w:rsidRPr="00681579" w:rsidR="00681579" w:rsidP="00681579" w:rsidRDefault="00681579" w14:paraId="56C1043D" w14:textId="0D7B1A5B">
                            <w:pPr>
                              <w:pStyle w:val="Caption"/>
                              <w:jc w:val="center"/>
                              <w:rPr>
                                <w:rFonts w:cs="Arial"/>
                                <w:b/>
                                <w:bCs/>
                                <w:i w:val="0"/>
                                <w:iCs w:val="0"/>
                                <w:color w:val="auto"/>
                              </w:rPr>
                            </w:pPr>
                            <w:r w:rsidRPr="00681579">
                              <w:rPr>
                                <w:b/>
                                <w:bCs/>
                                <w:i w:val="0"/>
                                <w:iCs w:val="0"/>
                                <w:color w:val="auto"/>
                              </w:rPr>
                              <w:t xml:space="preserve">Figure </w:t>
                            </w:r>
                            <w:r w:rsidRPr="00681579">
                              <w:rPr>
                                <w:b/>
                                <w:bCs/>
                                <w:i w:val="0"/>
                                <w:iCs w:val="0"/>
                                <w:color w:val="auto"/>
                              </w:rPr>
                              <w:fldChar w:fldCharType="begin"/>
                            </w:r>
                            <w:r w:rsidRPr="00681579">
                              <w:rPr>
                                <w:b/>
                                <w:bCs/>
                                <w:i w:val="0"/>
                                <w:iCs w:val="0"/>
                                <w:color w:val="auto"/>
                              </w:rPr>
                              <w:instrText xml:space="preserve"> SEQ Figure \* ARABIC </w:instrText>
                            </w:r>
                            <w:r w:rsidRPr="00681579">
                              <w:rPr>
                                <w:b/>
                                <w:bCs/>
                                <w:i w:val="0"/>
                                <w:iCs w:val="0"/>
                                <w:color w:val="auto"/>
                              </w:rPr>
                              <w:fldChar w:fldCharType="separate"/>
                            </w:r>
                            <w:r w:rsidR="00392B43">
                              <w:rPr>
                                <w:b/>
                                <w:bCs/>
                                <w:i w:val="0"/>
                                <w:iCs w:val="0"/>
                                <w:noProof/>
                                <w:color w:val="auto"/>
                              </w:rPr>
                              <w:t>1</w:t>
                            </w:r>
                            <w:r w:rsidRPr="00681579">
                              <w:rPr>
                                <w:b/>
                                <w:bCs/>
                                <w:i w:val="0"/>
                                <w:iCs w:val="0"/>
                                <w:color w:val="auto"/>
                              </w:rPr>
                              <w:fldChar w:fldCharType="end"/>
                            </w:r>
                            <w:r w:rsidRPr="00681579">
                              <w:rPr>
                                <w:b/>
                                <w:bCs/>
                                <w:i w:val="0"/>
                                <w:iCs w:val="0"/>
                                <w:color w:val="auto"/>
                              </w:rPr>
                              <w:t xml:space="preserve">: Principals of PCC (Source: </w:t>
                            </w:r>
                            <w:r w:rsidRPr="00E713F2">
                              <w:rPr>
                                <w:b/>
                                <w:bCs/>
                                <w:i w:val="0"/>
                                <w:iCs w:val="0"/>
                                <w:color w:val="auto"/>
                                <w:lang w:val="en-US"/>
                              </w:rPr>
                              <w:t>Skills for Health</w:t>
                            </w:r>
                            <w:r w:rsidRPr="00681579">
                              <w:rPr>
                                <w:b/>
                                <w:bCs/>
                                <w:i w:val="0"/>
                                <w:iCs w:val="0"/>
                                <w:color w:val="auto"/>
                                <w:lang w:val="en-US"/>
                              </w:rPr>
                              <w:t xml:space="preserve">, </w:t>
                            </w:r>
                            <w:r w:rsidRPr="00E713F2">
                              <w:rPr>
                                <w:b/>
                                <w:bCs/>
                                <w:i w:val="0"/>
                                <w:iCs w:val="0"/>
                                <w:color w:val="auto"/>
                                <w:lang w:val="en-US"/>
                              </w:rPr>
                              <w:t>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w14:anchorId="11B15CD5">
                <v:stroke joinstyle="miter"/>
                <v:path gradientshapeok="t" o:connecttype="rect"/>
              </v:shapetype>
              <v:shape id="Text Box 1" style="position:absolute;left:0;text-align:left;margin-left:10.1pt;margin-top:17.7pt;width:447.75pt;height:.0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">
                <v:textbox style="mso-fit-shape-to-text:t" inset="0,0,0,0">
                  <w:txbxContent>
                    <w:p w:rsidRPr="00681579" w:rsidR="00681579" w:rsidP="00681579" w:rsidRDefault="00681579" w14:paraId="56C1043D" w14:textId="0D7B1A5B">
                      <w:pPr>
                        <w:pStyle w:val="Caption"/>
                        <w:jc w:val="center"/>
                        <w:rPr>
                          <w:rFonts w:cs="Arial"/>
                          <w:b/>
                          <w:bCs/>
                          <w:i w:val="0"/>
                          <w:iCs w:val="0"/>
                          <w:color w:val="auto"/>
                        </w:rPr>
                      </w:pPr>
                      <w:r w:rsidRPr="00681579">
                        <w:rPr>
                          <w:b/>
                          <w:bCs/>
                          <w:i w:val="0"/>
                          <w:iCs w:val="0"/>
                          <w:color w:val="auto"/>
                        </w:rPr>
                        <w:t xml:space="preserve">Figure </w:t>
                      </w:r>
                      <w:r w:rsidRPr="00681579">
                        <w:rPr>
                          <w:b/>
                          <w:bCs/>
                          <w:i w:val="0"/>
                          <w:iCs w:val="0"/>
                          <w:color w:val="auto"/>
                        </w:rPr>
                        <w:fldChar w:fldCharType="begin"/>
                      </w:r>
                      <w:r w:rsidRPr="00681579">
                        <w:rPr>
                          <w:b/>
                          <w:bCs/>
                          <w:i w:val="0"/>
                          <w:iCs w:val="0"/>
                          <w:color w:val="auto"/>
                        </w:rPr>
                        <w:instrText xml:space="preserve"> SEQ Figure \* ARABIC </w:instrText>
                      </w:r>
                      <w:r w:rsidRPr="00681579">
                        <w:rPr>
                          <w:b/>
                          <w:bCs/>
                          <w:i w:val="0"/>
                          <w:iCs w:val="0"/>
                          <w:color w:val="auto"/>
                        </w:rPr>
                        <w:fldChar w:fldCharType="separate"/>
                      </w:r>
                      <w:r w:rsidR="00392B43">
                        <w:rPr>
                          <w:b/>
                          <w:bCs/>
                          <w:i w:val="0"/>
                          <w:iCs w:val="0"/>
                          <w:noProof/>
                          <w:color w:val="auto"/>
                        </w:rPr>
                        <w:t>1</w:t>
                      </w:r>
                      <w:r w:rsidRPr="00681579">
                        <w:rPr>
                          <w:b/>
                          <w:bCs/>
                          <w:i w:val="0"/>
                          <w:iCs w:val="0"/>
                          <w:color w:val="auto"/>
                        </w:rPr>
                        <w:fldChar w:fldCharType="end"/>
                      </w:r>
                      <w:r w:rsidRPr="00681579">
                        <w:rPr>
                          <w:b/>
                          <w:bCs/>
                          <w:i w:val="0"/>
                          <w:iCs w:val="0"/>
                          <w:color w:val="auto"/>
                        </w:rPr>
                        <w:t xml:space="preserve">: Principals of PCC (Source: </w:t>
                      </w:r>
                      <w:r w:rsidRPr="00E713F2">
                        <w:rPr>
                          <w:b/>
                          <w:bCs/>
                          <w:i w:val="0"/>
                          <w:iCs w:val="0"/>
                          <w:color w:val="auto"/>
                          <w:lang w:val="en-US"/>
                        </w:rPr>
                        <w:t>Skills for Health</w:t>
                      </w:r>
                      <w:r w:rsidRPr="00681579">
                        <w:rPr>
                          <w:b/>
                          <w:bCs/>
                          <w:i w:val="0"/>
                          <w:iCs w:val="0"/>
                          <w:color w:val="auto"/>
                          <w:lang w:val="en-US"/>
                        </w:rPr>
                        <w:t xml:space="preserve">, </w:t>
                      </w:r>
                      <w:r w:rsidRPr="00E713F2">
                        <w:rPr>
                          <w:b/>
                          <w:bCs/>
                          <w:i w:val="0"/>
                          <w:iCs w:val="0"/>
                          <w:color w:val="auto"/>
                          <w:lang w:val="en-US"/>
                        </w:rPr>
                        <w:t>2025)</w:t>
                      </w:r>
                    </w:p>
                  </w:txbxContent>
                </v:textbox>
                <w10:wrap type="tight"/>
              </v:shape>
            </w:pict>
          </mc:Fallback>
        </mc:AlternateContent>
      </w:r>
    </w:p>
    <w:p w:rsidRPr="00BE35A4" w:rsidR="006652A3" w:rsidP="006652A3" w:rsidRDefault="006652A3" w14:paraId="5DFFC205" w14:textId="720D1E19">
      <w:pPr>
        <w:pStyle w:val="Heading2"/>
        <w:numPr>
          <w:ilvl w:val="1"/>
          <w:numId w:val="1"/>
        </w:numPr>
        <w:spacing w:line="360" w:lineRule="auto"/>
        <w:jc w:val="both"/>
        <w:rPr>
          <w:rFonts w:ascii="Arial" w:hAnsi="Arial" w:cs="Arial"/>
          <w:b/>
          <w:bCs/>
          <w:color w:val="auto"/>
          <w:sz w:val="28"/>
          <w:szCs w:val="28"/>
        </w:rPr>
      </w:pPr>
      <w:bookmarkStart w:name="_Toc223791135" w:id="3"/>
      <w:r w:rsidRPr="00BE35A4">
        <w:rPr>
          <w:rFonts w:ascii="Arial" w:hAnsi="Arial" w:cs="Arial"/>
          <w:b/>
          <w:bCs/>
          <w:color w:val="auto"/>
          <w:sz w:val="28"/>
          <w:szCs w:val="28"/>
        </w:rPr>
        <w:t>Benefits of PCC</w:t>
      </w:r>
      <w:bookmarkEnd w:id="3"/>
    </w:p>
    <w:p w:rsidRPr="006652A3" w:rsidR="006652A3" w:rsidP="006652A3" w:rsidRDefault="005718B7" w14:paraId="37C323EA" w14:textId="16FF8623">
      <w:pPr>
        <w:spacing w:line="360" w:lineRule="auto"/>
        <w:jc w:val="both"/>
        <w:rPr>
          <w:rFonts w:cs="Arial"/>
        </w:rPr>
      </w:pPr>
      <w:r w:rsidRPr="005718B7">
        <w:rPr>
          <w:rFonts w:cs="Arial"/>
        </w:rPr>
        <w:t>PCC has a number of significant advantages in health and social care environments. PCC improves patient satisfaction by engaging people in the decisions related to their care and fostering a feeling of control and dignity</w:t>
      </w:r>
      <w:r w:rsidR="00CD2485">
        <w:rPr>
          <w:rFonts w:cs="Arial"/>
        </w:rPr>
        <w:t xml:space="preserve"> (</w:t>
      </w:r>
      <w:r w:rsidRPr="00A879BE" w:rsidR="00CD2485">
        <w:rPr>
          <w:szCs w:val="18"/>
        </w:rPr>
        <w:t>Byrne</w:t>
      </w:r>
      <w:r w:rsidR="00CD2485">
        <w:rPr>
          <w:szCs w:val="18"/>
        </w:rPr>
        <w:t xml:space="preserve"> et al., 2026)</w:t>
      </w:r>
      <w:r w:rsidRPr="005718B7">
        <w:rPr>
          <w:rFonts w:cs="Arial"/>
        </w:rPr>
        <w:t>. When service users are respected and listened to, they will tend to comply with treatment plans and positively interact with health care providers. This form of collaboration can result in better health results and more efficient control of chronic illnesses. Additionally, PCC builds relationships of trust between the service users and the professionals involved, which in turn leads to good open communication and relationship of support that leads to holistic and responsive care delivery</w:t>
      </w:r>
      <w:r w:rsidR="00AD1BF0">
        <w:rPr>
          <w:rFonts w:cs="Arial"/>
        </w:rPr>
        <w:t xml:space="preserve"> (</w:t>
      </w:r>
      <w:r w:rsidRPr="00A879BE" w:rsidR="00AD1BF0">
        <w:rPr>
          <w:szCs w:val="18"/>
        </w:rPr>
        <w:t>Ekman</w:t>
      </w:r>
      <w:r w:rsidR="00AD1BF0">
        <w:rPr>
          <w:szCs w:val="18"/>
        </w:rPr>
        <w:t xml:space="preserve"> et al., 2022)</w:t>
      </w:r>
      <w:r w:rsidRPr="006652A3" w:rsidR="006652A3">
        <w:rPr>
          <w:rFonts w:cs="Arial"/>
        </w:rPr>
        <w:t>.</w:t>
      </w:r>
    </w:p>
    <w:p w:rsidRPr="00BE35A4" w:rsidR="006652A3" w:rsidP="006652A3" w:rsidRDefault="006652A3" w14:paraId="5445A9A3" w14:textId="3F5D7A97">
      <w:pPr>
        <w:pStyle w:val="Heading2"/>
        <w:numPr>
          <w:ilvl w:val="1"/>
          <w:numId w:val="1"/>
        </w:numPr>
        <w:spacing w:line="360" w:lineRule="auto"/>
        <w:jc w:val="both"/>
        <w:rPr>
          <w:rFonts w:ascii="Arial" w:hAnsi="Arial" w:cs="Arial"/>
          <w:b/>
          <w:bCs/>
          <w:color w:val="auto"/>
          <w:sz w:val="28"/>
          <w:szCs w:val="28"/>
        </w:rPr>
      </w:pPr>
      <w:bookmarkStart w:name="_Toc223791136" w:id="4"/>
      <w:r w:rsidRPr="00BE35A4">
        <w:rPr>
          <w:rFonts w:ascii="Arial" w:hAnsi="Arial" w:cs="Arial"/>
          <w:b/>
          <w:bCs/>
          <w:color w:val="auto"/>
          <w:sz w:val="28"/>
          <w:szCs w:val="28"/>
        </w:rPr>
        <w:t>Limitations and Challenges</w:t>
      </w:r>
      <w:bookmarkEnd w:id="4"/>
    </w:p>
    <w:p w:rsidRPr="00BE35A4" w:rsidR="000544D1" w:rsidP="0063110F" w:rsidRDefault="00B47C11" w14:paraId="056DF9A2" w14:textId="7D2EC4BA">
      <w:pPr>
        <w:spacing w:line="360" w:lineRule="auto"/>
        <w:jc w:val="both"/>
        <w:rPr>
          <w:rFonts w:cs="Arial"/>
        </w:rPr>
      </w:pPr>
      <w:r w:rsidRPr="00B47C11">
        <w:rPr>
          <w:rFonts w:cs="Arial"/>
        </w:rPr>
        <w:t>Although PCC is advantageous, there are various challenges to its implementation in practice. The work of health and social care professionals is usually characteri</w:t>
      </w:r>
      <w:r w:rsidR="00273F97">
        <w:rPr>
          <w:rFonts w:cs="Arial"/>
        </w:rPr>
        <w:t>s</w:t>
      </w:r>
      <w:r w:rsidRPr="00B47C11">
        <w:rPr>
          <w:rFonts w:cs="Arial"/>
        </w:rPr>
        <w:t>ed by time constraints, as the workload can be too heavy to allow one to engage service users meaningfully</w:t>
      </w:r>
      <w:r w:rsidR="00EA5956">
        <w:rPr>
          <w:rFonts w:cs="Arial"/>
        </w:rPr>
        <w:t xml:space="preserve"> (</w:t>
      </w:r>
      <w:r w:rsidRPr="00A879BE" w:rsidR="00EA5956">
        <w:rPr>
          <w:szCs w:val="18"/>
        </w:rPr>
        <w:t>Younas, Inayat</w:t>
      </w:r>
      <w:r w:rsidR="00EA5956">
        <w:rPr>
          <w:szCs w:val="18"/>
        </w:rPr>
        <w:t xml:space="preserve"> </w:t>
      </w:r>
      <w:r w:rsidRPr="00A879BE" w:rsidR="00EA5956">
        <w:rPr>
          <w:szCs w:val="18"/>
        </w:rPr>
        <w:t>and Masih, 2023</w:t>
      </w:r>
      <w:r w:rsidR="00EA5956">
        <w:rPr>
          <w:szCs w:val="18"/>
        </w:rPr>
        <w:t>)</w:t>
      </w:r>
      <w:r w:rsidRPr="00B47C11">
        <w:rPr>
          <w:rFonts w:cs="Arial"/>
        </w:rPr>
        <w:t>. Ability to offer complete individualised care can additionally be limited by resource constraints, shortages of staff. Personal preferences may be also conflicting with institutional procedures and organisational priorities</w:t>
      </w:r>
      <w:r w:rsidR="001F004C">
        <w:rPr>
          <w:rFonts w:cs="Arial"/>
        </w:rPr>
        <w:t xml:space="preserve"> (</w:t>
      </w:r>
      <w:r w:rsidRPr="00A879BE" w:rsidR="001F004C">
        <w:rPr>
          <w:szCs w:val="18"/>
        </w:rPr>
        <w:t>Mitchell, Cribb</w:t>
      </w:r>
      <w:r w:rsidR="001F004C">
        <w:rPr>
          <w:szCs w:val="18"/>
        </w:rPr>
        <w:t xml:space="preserve"> </w:t>
      </w:r>
      <w:r w:rsidRPr="00A879BE" w:rsidR="001F004C">
        <w:rPr>
          <w:szCs w:val="18"/>
        </w:rPr>
        <w:t>and Entwistle, 2022</w:t>
      </w:r>
      <w:r w:rsidR="001F004C">
        <w:rPr>
          <w:szCs w:val="18"/>
        </w:rPr>
        <w:t>)</w:t>
      </w:r>
      <w:r w:rsidRPr="00B47C11">
        <w:rPr>
          <w:rFonts w:cs="Arial"/>
        </w:rPr>
        <w:t>. Also, balancing between the decisions made by service users and professional judgement and clinical safety may introduce ethical and practical challenges in complicated care scenarios</w:t>
      </w:r>
      <w:r w:rsidRPr="006652A3" w:rsidR="006652A3">
        <w:rPr>
          <w:rFonts w:cs="Arial"/>
        </w:rPr>
        <w:t>.</w:t>
      </w:r>
    </w:p>
    <w:p w:rsidRPr="00BE35A4" w:rsidR="00F206E6" w:rsidP="005D3066" w:rsidRDefault="003941D8" w14:paraId="2435B1F6" w14:textId="1DBB0D8E">
      <w:pPr>
        <w:pStyle w:val="Heading1"/>
        <w:numPr>
          <w:ilvl w:val="0"/>
          <w:numId w:val="1"/>
        </w:numPr>
        <w:spacing w:line="360" w:lineRule="auto"/>
        <w:jc w:val="both"/>
        <w:rPr>
          <w:rFonts w:ascii="Arial" w:hAnsi="Arial" w:eastAsia="Arial" w:cs="Arial"/>
          <w:b/>
          <w:bCs/>
          <w:color w:val="auto"/>
        </w:rPr>
      </w:pPr>
      <w:bookmarkStart w:name="_Toc223791137" w:id="5"/>
      <w:r w:rsidRPr="00BE35A4">
        <w:rPr>
          <w:rFonts w:ascii="Arial" w:hAnsi="Arial" w:eastAsia="Arial" w:cs="Arial"/>
          <w:b/>
          <w:bCs/>
          <w:color w:val="auto"/>
        </w:rPr>
        <w:t xml:space="preserve">Theoretical Foundation of </w:t>
      </w:r>
      <w:r w:rsidRPr="00BE35A4" w:rsidR="00CF35B1">
        <w:rPr>
          <w:rFonts w:ascii="Arial" w:hAnsi="Arial" w:eastAsia="Arial" w:cs="Arial"/>
          <w:b/>
          <w:bCs/>
          <w:color w:val="auto"/>
        </w:rPr>
        <w:t>PCC</w:t>
      </w:r>
      <w:r w:rsidRPr="00BE35A4">
        <w:rPr>
          <w:rFonts w:ascii="Arial" w:hAnsi="Arial" w:eastAsia="Arial" w:cs="Arial"/>
          <w:b/>
          <w:bCs/>
          <w:color w:val="auto"/>
        </w:rPr>
        <w:t xml:space="preserve"> (Carl Rogers)</w:t>
      </w:r>
      <w:bookmarkEnd w:id="5"/>
    </w:p>
    <w:p w:rsidRPr="00BE35A4" w:rsidR="00F406ED" w:rsidP="00F406ED" w:rsidRDefault="00F406ED" w14:paraId="039ED48B" w14:textId="550FC4AF">
      <w:pPr>
        <w:pStyle w:val="Heading2"/>
        <w:numPr>
          <w:ilvl w:val="1"/>
          <w:numId w:val="1"/>
        </w:numPr>
        <w:spacing w:line="360" w:lineRule="auto"/>
        <w:jc w:val="both"/>
        <w:rPr>
          <w:rFonts w:ascii="Arial" w:hAnsi="Arial" w:cs="Arial"/>
          <w:b/>
          <w:bCs/>
          <w:color w:val="auto"/>
          <w:sz w:val="28"/>
          <w:szCs w:val="28"/>
          <w:lang w:val="en-US"/>
        </w:rPr>
      </w:pPr>
      <w:bookmarkStart w:name="_Toc223791138" w:id="6"/>
      <w:r w:rsidRPr="00BE35A4">
        <w:rPr>
          <w:rFonts w:ascii="Arial" w:hAnsi="Arial" w:cs="Arial"/>
          <w:b/>
          <w:bCs/>
          <w:color w:val="auto"/>
          <w:sz w:val="28"/>
          <w:szCs w:val="28"/>
          <w:lang w:val="en-US"/>
        </w:rPr>
        <w:t>Overview of Carl Rogers’ Humanistic Theory</w:t>
      </w:r>
      <w:bookmarkEnd w:id="6"/>
    </w:p>
    <w:p w:rsidR="00F406ED" w:rsidP="00F406ED" w:rsidRDefault="00BA5C22" w14:paraId="7F4C933D" w14:textId="38E4B8B1">
      <w:pPr>
        <w:spacing w:line="360" w:lineRule="auto"/>
        <w:jc w:val="both"/>
        <w:rPr>
          <w:rFonts w:cs="Arial"/>
          <w:lang w:val="en-US"/>
        </w:rPr>
      </w:pPr>
      <w:r w:rsidRPr="00BA5C22">
        <w:rPr>
          <w:rFonts w:cs="Arial"/>
        </w:rPr>
        <w:t>Humanistic theory insists on learning about individuals based on their subjective experience. Rogers believed that individuals have an innate ability to grow and self-develop provided they are given a positive and understanding environment</w:t>
      </w:r>
      <w:r w:rsidR="004E1C38">
        <w:rPr>
          <w:rFonts w:cs="Arial"/>
        </w:rPr>
        <w:t xml:space="preserve"> (</w:t>
      </w:r>
      <w:r w:rsidRPr="00D65603" w:rsidR="004E1C38">
        <w:rPr>
          <w:szCs w:val="18"/>
        </w:rPr>
        <w:t>Kahn</w:t>
      </w:r>
      <w:r w:rsidR="004E1C38">
        <w:rPr>
          <w:szCs w:val="18"/>
        </w:rPr>
        <w:t xml:space="preserve"> </w:t>
      </w:r>
      <w:r w:rsidRPr="00D65603" w:rsidR="004E1C38">
        <w:rPr>
          <w:szCs w:val="18"/>
        </w:rPr>
        <w:t>and Rachman, 2000</w:t>
      </w:r>
      <w:r w:rsidR="004E1C38">
        <w:rPr>
          <w:szCs w:val="18"/>
        </w:rPr>
        <w:t>)</w:t>
      </w:r>
      <w:r w:rsidRPr="00BA5C22">
        <w:rPr>
          <w:rFonts w:cs="Arial"/>
        </w:rPr>
        <w:t>. This theory is based on three main conditions empathy, unconditional positive regard, and congruence</w:t>
      </w:r>
      <w:r w:rsidR="00F25D48">
        <w:rPr>
          <w:rFonts w:cs="Arial"/>
        </w:rPr>
        <w:t xml:space="preserve"> (</w:t>
      </w:r>
      <w:r w:rsidRPr="00D65603" w:rsidR="00F25D48">
        <w:rPr>
          <w:szCs w:val="18"/>
        </w:rPr>
        <w:t>Krikorian, 2022)</w:t>
      </w:r>
      <w:r w:rsidRPr="00BA5C22">
        <w:rPr>
          <w:rFonts w:cs="Arial"/>
        </w:rPr>
        <w:t>. Empathy is a skill where the practitioner can truly apprehend the feelings and views of another human being. Unconditional positive regard is the acceptance of people without judgmental behaviour in spite of their conditions</w:t>
      </w:r>
      <w:r w:rsidR="00FF6CAE">
        <w:rPr>
          <w:rFonts w:cs="Arial"/>
        </w:rPr>
        <w:t xml:space="preserve"> (</w:t>
      </w:r>
      <w:r w:rsidRPr="00FF6CAE" w:rsidR="00FF6CAE">
        <w:rPr>
          <w:rFonts w:cs="Arial"/>
        </w:rPr>
        <w:t>Joseph, 2025)</w:t>
      </w:r>
      <w:r w:rsidRPr="00BA5C22">
        <w:rPr>
          <w:rFonts w:cs="Arial"/>
        </w:rPr>
        <w:t>. The concept of congruence or genuineness mandates professionals to behave naturally and clearly in their relationships</w:t>
      </w:r>
      <w:r w:rsidR="00FF6CAE">
        <w:rPr>
          <w:rFonts w:cs="Arial"/>
        </w:rPr>
        <w:t xml:space="preserve"> (Figure 2)</w:t>
      </w:r>
      <w:r w:rsidRPr="00BA5C22">
        <w:rPr>
          <w:rFonts w:cs="Arial"/>
        </w:rPr>
        <w:t>. Collectively, these principles trigger practitioners to consider service users as individuals whose experiences, values, and emotions should be respected in care relationships</w:t>
      </w:r>
      <w:r w:rsidRPr="00F406ED" w:rsidR="00F406ED">
        <w:rPr>
          <w:rFonts w:cs="Arial"/>
          <w:lang w:val="en-US"/>
        </w:rPr>
        <w:t>.</w:t>
      </w:r>
    </w:p>
    <w:p w:rsidR="00FF6CAE" w:rsidP="00F406ED" w:rsidRDefault="00FF6CAE" w14:paraId="34ADC556" w14:textId="77777777">
      <w:pPr>
        <w:spacing w:line="360" w:lineRule="auto"/>
        <w:jc w:val="both"/>
        <w:rPr>
          <w:rFonts w:cs="Arial"/>
          <w:lang w:val="en-US"/>
        </w:rPr>
      </w:pPr>
    </w:p>
    <w:p w:rsidR="00FF6CAE" w:rsidP="00F406ED" w:rsidRDefault="00FF6CAE" w14:paraId="7913C12B" w14:textId="05E6939F">
      <w:pPr>
        <w:spacing w:line="360" w:lineRule="auto"/>
        <w:jc w:val="both"/>
        <w:rPr>
          <w:rFonts w:cs="Arial"/>
          <w:lang w:val="en-US"/>
        </w:rPr>
      </w:pPr>
      <w:r>
        <w:rPr>
          <w:noProof/>
        </w:rPr>
        <w:drawing>
          <wp:anchor distT="0" distB="0" distL="114300" distR="114300" simplePos="0" relativeHeight="251667456" behindDoc="1" locked="0" layoutInCell="1" allowOverlap="1" wp14:anchorId="79B9FE1E" wp14:editId="71E8EFD9">
            <wp:simplePos x="0" y="0"/>
            <wp:positionH relativeFrom="margin">
              <wp:align>center</wp:align>
            </wp:positionH>
            <wp:positionV relativeFrom="margin">
              <wp:align>top</wp:align>
            </wp:positionV>
            <wp:extent cx="2962275" cy="1614170"/>
            <wp:effectExtent l="0" t="0" r="9525" b="5080"/>
            <wp:wrapTight wrapText="bothSides">
              <wp:wrapPolygon edited="0">
                <wp:start x="0" y="0"/>
                <wp:lineTo x="0" y="21413"/>
                <wp:lineTo x="21531" y="21413"/>
                <wp:lineTo x="21531" y="0"/>
                <wp:lineTo x="0" y="0"/>
              </wp:wrapPolygon>
            </wp:wrapTight>
            <wp:docPr id="1116074164" name="Picture 1" descr="Carl Rogers' Theory: Humanistic Approach and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l Rogers' Theory: Humanistic Approach and Psycholog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8935" r="2201"/>
                    <a:stretch>
                      <a:fillRect/>
                    </a:stretch>
                  </pic:blipFill>
                  <pic:spPr bwMode="auto">
                    <a:xfrm>
                      <a:off x="0" y="0"/>
                      <a:ext cx="2962275" cy="1614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F6CAE" w:rsidP="00F406ED" w:rsidRDefault="00FF6CAE" w14:paraId="7BA98AA6" w14:textId="75CEA176">
      <w:pPr>
        <w:spacing w:line="360" w:lineRule="auto"/>
        <w:jc w:val="both"/>
        <w:rPr>
          <w:rFonts w:cs="Arial"/>
          <w:lang w:val="en-US"/>
        </w:rPr>
      </w:pPr>
    </w:p>
    <w:p w:rsidR="00FF6CAE" w:rsidP="00F406ED" w:rsidRDefault="00FF6CAE" w14:paraId="2D992840" w14:textId="77777777">
      <w:pPr>
        <w:spacing w:line="360" w:lineRule="auto"/>
        <w:jc w:val="both"/>
        <w:rPr>
          <w:rFonts w:cs="Arial"/>
          <w:lang w:val="en-US"/>
        </w:rPr>
      </w:pPr>
    </w:p>
    <w:p w:rsidRPr="00F406ED" w:rsidR="00FF6CAE" w:rsidP="00F406ED" w:rsidRDefault="00FF6CAE" w14:paraId="3A6CE33C" w14:textId="1B87854C">
      <w:pPr>
        <w:spacing w:line="360" w:lineRule="auto"/>
        <w:jc w:val="both"/>
        <w:rPr>
          <w:rFonts w:cs="Arial"/>
          <w:lang w:val="en-US"/>
        </w:rPr>
      </w:pPr>
      <w:r>
        <w:rPr>
          <w:noProof/>
        </w:rPr>
        <mc:AlternateContent>
          <mc:Choice Requires="wps">
            <w:drawing>
              <wp:anchor distT="0" distB="0" distL="114300" distR="114300" simplePos="0" relativeHeight="251669504" behindDoc="1" locked="0" layoutInCell="1" allowOverlap="1" wp14:anchorId="62A1991A" wp14:editId="5E9D3A0A">
                <wp:simplePos x="0" y="0"/>
                <wp:positionH relativeFrom="margin">
                  <wp:posOffset>-19050</wp:posOffset>
                </wp:positionH>
                <wp:positionV relativeFrom="paragraph">
                  <wp:posOffset>344170</wp:posOffset>
                </wp:positionV>
                <wp:extent cx="5928995" cy="635"/>
                <wp:effectExtent l="0" t="0" r="0" b="0"/>
                <wp:wrapTight wrapText="bothSides">
                  <wp:wrapPolygon edited="0">
                    <wp:start x="0" y="0"/>
                    <wp:lineTo x="0" y="20052"/>
                    <wp:lineTo x="21514" y="20052"/>
                    <wp:lineTo x="21514" y="0"/>
                    <wp:lineTo x="0" y="0"/>
                  </wp:wrapPolygon>
                </wp:wrapTight>
                <wp:docPr id="849874331" name="Text Box 1"/>
                <wp:cNvGraphicFramePr/>
                <a:graphic xmlns:a="http://schemas.openxmlformats.org/drawingml/2006/main">
                  <a:graphicData uri="http://schemas.microsoft.com/office/word/2010/wordprocessingShape">
                    <wps:wsp>
                      <wps:cNvSpPr txBox="1"/>
                      <wps:spPr>
                        <a:xfrm>
                          <a:off x="0" y="0"/>
                          <a:ext cx="5928995" cy="635"/>
                        </a:xfrm>
                        <a:prstGeom prst="rect">
                          <a:avLst/>
                        </a:prstGeom>
                        <a:solidFill>
                          <a:prstClr val="white"/>
                        </a:solidFill>
                        <a:ln>
                          <a:noFill/>
                        </a:ln>
                      </wps:spPr>
                      <wps:txbx>
                        <w:txbxContent>
                          <w:p w:rsidRPr="00FF6CAE" w:rsidR="00FF6CAE" w:rsidP="00FF6CAE" w:rsidRDefault="00FF6CAE" w14:paraId="35929DFA" w14:textId="77777777">
                            <w:pPr>
                              <w:pStyle w:val="Caption"/>
                              <w:jc w:val="center"/>
                              <w:rPr>
                                <w:b/>
                                <w:bCs/>
                                <w:i w:val="0"/>
                                <w:iCs w:val="0"/>
                                <w:color w:val="auto"/>
                                <w:lang w:val="en-US"/>
                              </w:rPr>
                            </w:pPr>
                            <w:r w:rsidRPr="00392B43">
                              <w:rPr>
                                <w:b/>
                                <w:bCs/>
                                <w:i w:val="0"/>
                                <w:iCs w:val="0"/>
                                <w:color w:val="auto"/>
                              </w:rPr>
                              <w:t xml:space="preserve">Figure </w:t>
                            </w:r>
                            <w:r w:rsidRPr="00392B43">
                              <w:rPr>
                                <w:b/>
                                <w:bCs/>
                                <w:i w:val="0"/>
                                <w:iCs w:val="0"/>
                                <w:color w:val="auto"/>
                              </w:rPr>
                              <w:fldChar w:fldCharType="begin"/>
                            </w:r>
                            <w:r w:rsidRPr="00392B43">
                              <w:rPr>
                                <w:b/>
                                <w:bCs/>
                                <w:i w:val="0"/>
                                <w:iCs w:val="0"/>
                                <w:color w:val="auto"/>
                              </w:rPr>
                              <w:instrText xml:space="preserve"> SEQ Figure \* ARABIC </w:instrText>
                            </w:r>
                            <w:r w:rsidRPr="00392B43">
                              <w:rPr>
                                <w:b/>
                                <w:bCs/>
                                <w:i w:val="0"/>
                                <w:iCs w:val="0"/>
                                <w:color w:val="auto"/>
                              </w:rPr>
                              <w:fldChar w:fldCharType="separate"/>
                            </w:r>
                            <w:r w:rsidRPr="00392B43">
                              <w:rPr>
                                <w:b/>
                                <w:bCs/>
                                <w:i w:val="0"/>
                                <w:iCs w:val="0"/>
                                <w:noProof/>
                                <w:color w:val="auto"/>
                              </w:rPr>
                              <w:t>2</w:t>
                            </w:r>
                            <w:r w:rsidRPr="00392B43">
                              <w:rPr>
                                <w:b/>
                                <w:bCs/>
                                <w:i w:val="0"/>
                                <w:iCs w:val="0"/>
                                <w:color w:val="auto"/>
                              </w:rPr>
                              <w:fldChar w:fldCharType="end"/>
                            </w:r>
                            <w:r w:rsidRPr="00392B43">
                              <w:rPr>
                                <w:b/>
                                <w:bCs/>
                                <w:i w:val="0"/>
                                <w:iCs w:val="0"/>
                                <w:color w:val="auto"/>
                              </w:rPr>
                              <w:t xml:space="preserve">: </w:t>
                            </w:r>
                            <w:r w:rsidRPr="00FF6CAE">
                              <w:rPr>
                                <w:b/>
                                <w:bCs/>
                                <w:i w:val="0"/>
                                <w:iCs w:val="0"/>
                                <w:color w:val="auto"/>
                                <w:lang w:val="en-US"/>
                              </w:rPr>
                              <w:t>The Role of Congruence and Incongruence</w:t>
                            </w:r>
                            <w:r>
                              <w:rPr>
                                <w:b/>
                                <w:bCs/>
                                <w:i w:val="0"/>
                                <w:iCs w:val="0"/>
                                <w:color w:val="auto"/>
                                <w:lang w:val="en-US"/>
                              </w:rPr>
                              <w:t xml:space="preserve"> </w:t>
                            </w:r>
                            <w:r>
                              <w:rPr>
                                <w:b/>
                                <w:bCs/>
                                <w:i w:val="0"/>
                                <w:iCs w:val="0"/>
                                <w:color w:val="auto"/>
                              </w:rPr>
                              <w:t xml:space="preserve">in </w:t>
                            </w:r>
                            <w:r w:rsidRPr="00392B43">
                              <w:rPr>
                                <w:b/>
                                <w:bCs/>
                                <w:i w:val="0"/>
                                <w:iCs w:val="0"/>
                                <w:color w:val="auto"/>
                              </w:rPr>
                              <w:t xml:space="preserve">Carl Rogers </w:t>
                            </w:r>
                            <w:r w:rsidRPr="00392B43">
                              <w:rPr>
                                <w:rFonts w:cs="Arial"/>
                                <w:b/>
                                <w:bCs/>
                                <w:i w:val="0"/>
                                <w:iCs w:val="0"/>
                                <w:color w:val="auto"/>
                              </w:rPr>
                              <w:t xml:space="preserve">Humanistic </w:t>
                            </w:r>
                            <w:r w:rsidRPr="00392B43">
                              <w:rPr>
                                <w:b/>
                                <w:bCs/>
                                <w:i w:val="0"/>
                                <w:iCs w:val="0"/>
                                <w:color w:val="auto"/>
                              </w:rPr>
                              <w:t xml:space="preserve">Theory (Source: </w:t>
                            </w:r>
                            <w:r w:rsidRPr="00A879BE">
                              <w:rPr>
                                <w:b/>
                                <w:bCs/>
                                <w:i w:val="0"/>
                                <w:iCs w:val="0"/>
                                <w:color w:val="auto"/>
                                <w:lang w:val="en-US"/>
                              </w:rPr>
                              <w:t>Brodie,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_x0000_s1027" style="position:absolute;left:0;text-align:left;margin-left:-1.5pt;margin-top:27.1pt;width:466.85pt;height:.05pt;z-index:-2516469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" w14:anchorId="62A1991A">
                <v:textbox style="mso-fit-shape-to-text:t" inset="0,0,0,0">
                  <w:txbxContent>
                    <w:p w:rsidRPr="00FF6CAE" w:rsidR="00FF6CAE" w:rsidP="00FF6CAE" w:rsidRDefault="00FF6CAE" w14:paraId="35929DFA" w14:textId="77777777">
                      <w:pPr>
                        <w:pStyle w:val="Caption"/>
                        <w:jc w:val="center"/>
                        <w:rPr>
                          <w:b/>
                          <w:bCs/>
                          <w:i w:val="0"/>
                          <w:iCs w:val="0"/>
                          <w:color w:val="auto"/>
                          <w:lang w:val="en-US"/>
                        </w:rPr>
                      </w:pPr>
                      <w:r w:rsidRPr="00392B43">
                        <w:rPr>
                          <w:b/>
                          <w:bCs/>
                          <w:i w:val="0"/>
                          <w:iCs w:val="0"/>
                          <w:color w:val="auto"/>
                        </w:rPr>
                        <w:t xml:space="preserve">Figure </w:t>
                      </w:r>
                      <w:r w:rsidRPr="00392B43">
                        <w:rPr>
                          <w:b/>
                          <w:bCs/>
                          <w:i w:val="0"/>
                          <w:iCs w:val="0"/>
                          <w:color w:val="auto"/>
                        </w:rPr>
                        <w:fldChar w:fldCharType="begin"/>
                      </w:r>
                      <w:r w:rsidRPr="00392B43">
                        <w:rPr>
                          <w:b/>
                          <w:bCs/>
                          <w:i w:val="0"/>
                          <w:iCs w:val="0"/>
                          <w:color w:val="auto"/>
                        </w:rPr>
                        <w:instrText xml:space="preserve"> SEQ Figure \* ARABIC </w:instrText>
                      </w:r>
                      <w:r w:rsidRPr="00392B43">
                        <w:rPr>
                          <w:b/>
                          <w:bCs/>
                          <w:i w:val="0"/>
                          <w:iCs w:val="0"/>
                          <w:color w:val="auto"/>
                        </w:rPr>
                        <w:fldChar w:fldCharType="separate"/>
                      </w:r>
                      <w:r w:rsidRPr="00392B43">
                        <w:rPr>
                          <w:b/>
                          <w:bCs/>
                          <w:i w:val="0"/>
                          <w:iCs w:val="0"/>
                          <w:noProof/>
                          <w:color w:val="auto"/>
                        </w:rPr>
                        <w:t>2</w:t>
                      </w:r>
                      <w:r w:rsidRPr="00392B43">
                        <w:rPr>
                          <w:b/>
                          <w:bCs/>
                          <w:i w:val="0"/>
                          <w:iCs w:val="0"/>
                          <w:color w:val="auto"/>
                        </w:rPr>
                        <w:fldChar w:fldCharType="end"/>
                      </w:r>
                      <w:r w:rsidRPr="00392B43">
                        <w:rPr>
                          <w:b/>
                          <w:bCs/>
                          <w:i w:val="0"/>
                          <w:iCs w:val="0"/>
                          <w:color w:val="auto"/>
                        </w:rPr>
                        <w:t xml:space="preserve">: </w:t>
                      </w:r>
                      <w:r w:rsidRPr="00FF6CAE">
                        <w:rPr>
                          <w:b/>
                          <w:bCs/>
                          <w:i w:val="0"/>
                          <w:iCs w:val="0"/>
                          <w:color w:val="auto"/>
                          <w:lang w:val="en-US"/>
                        </w:rPr>
                        <w:t>The Role of Congruence and Incongruence</w:t>
                      </w:r>
                      <w:r>
                        <w:rPr>
                          <w:b/>
                          <w:bCs/>
                          <w:i w:val="0"/>
                          <w:iCs w:val="0"/>
                          <w:color w:val="auto"/>
                          <w:lang w:val="en-US"/>
                        </w:rPr>
                        <w:t xml:space="preserve"> </w:t>
                      </w:r>
                      <w:r>
                        <w:rPr>
                          <w:b/>
                          <w:bCs/>
                          <w:i w:val="0"/>
                          <w:iCs w:val="0"/>
                          <w:color w:val="auto"/>
                        </w:rPr>
                        <w:t xml:space="preserve">in </w:t>
                      </w:r>
                      <w:r w:rsidRPr="00392B43">
                        <w:rPr>
                          <w:b/>
                          <w:bCs/>
                          <w:i w:val="0"/>
                          <w:iCs w:val="0"/>
                          <w:color w:val="auto"/>
                        </w:rPr>
                        <w:t xml:space="preserve">Carl Rogers </w:t>
                      </w:r>
                      <w:r w:rsidRPr="00392B43">
                        <w:rPr>
                          <w:rFonts w:cs="Arial"/>
                          <w:b/>
                          <w:bCs/>
                          <w:i w:val="0"/>
                          <w:iCs w:val="0"/>
                          <w:color w:val="auto"/>
                        </w:rPr>
                        <w:t xml:space="preserve">Humanistic </w:t>
                      </w:r>
                      <w:r w:rsidRPr="00392B43">
                        <w:rPr>
                          <w:b/>
                          <w:bCs/>
                          <w:i w:val="0"/>
                          <w:iCs w:val="0"/>
                          <w:color w:val="auto"/>
                        </w:rPr>
                        <w:t xml:space="preserve">Theory (Source: </w:t>
                      </w:r>
                      <w:r w:rsidRPr="00A879BE">
                        <w:rPr>
                          <w:b/>
                          <w:bCs/>
                          <w:i w:val="0"/>
                          <w:iCs w:val="0"/>
                          <w:color w:val="auto"/>
                          <w:lang w:val="en-US"/>
                        </w:rPr>
                        <w:t>Brodie, 2024)</w:t>
                      </w:r>
                    </w:p>
                  </w:txbxContent>
                </v:textbox>
                <w10:wrap type="tight" anchorx="margin"/>
              </v:shape>
            </w:pict>
          </mc:Fallback>
        </mc:AlternateContent>
      </w:r>
    </w:p>
    <w:p w:rsidRPr="00BE35A4" w:rsidR="00F406ED" w:rsidP="00F406ED" w:rsidRDefault="00F406ED" w14:paraId="37B97496" w14:textId="1197542B">
      <w:pPr>
        <w:pStyle w:val="Heading2"/>
        <w:numPr>
          <w:ilvl w:val="1"/>
          <w:numId w:val="1"/>
        </w:numPr>
        <w:spacing w:line="360" w:lineRule="auto"/>
        <w:jc w:val="both"/>
        <w:rPr>
          <w:rFonts w:ascii="Arial" w:hAnsi="Arial" w:cs="Arial"/>
          <w:b/>
          <w:bCs/>
          <w:color w:val="auto"/>
          <w:sz w:val="28"/>
          <w:szCs w:val="28"/>
          <w:lang w:val="en-US"/>
        </w:rPr>
      </w:pPr>
      <w:bookmarkStart w:name="_Toc223791139" w:id="7"/>
      <w:r w:rsidRPr="00BE35A4">
        <w:rPr>
          <w:rFonts w:ascii="Arial" w:hAnsi="Arial" w:cs="Arial"/>
          <w:b/>
          <w:bCs/>
          <w:color w:val="auto"/>
          <w:sz w:val="28"/>
          <w:szCs w:val="28"/>
          <w:lang w:val="en-US"/>
        </w:rPr>
        <w:t>Relevance to Health and Social Care Practice</w:t>
      </w:r>
      <w:bookmarkEnd w:id="7"/>
    </w:p>
    <w:p w:rsidRPr="00BE35A4" w:rsidR="0063110F" w:rsidP="005D3066" w:rsidRDefault="00646637" w14:paraId="10276C7C" w14:textId="0B1485C2">
      <w:pPr>
        <w:spacing w:line="360" w:lineRule="auto"/>
        <w:jc w:val="both"/>
        <w:rPr>
          <w:rFonts w:cs="Arial"/>
          <w:lang w:val="en-US"/>
        </w:rPr>
      </w:pPr>
      <w:r w:rsidRPr="00646637">
        <w:rPr>
          <w:rFonts w:cs="Arial"/>
        </w:rPr>
        <w:t>The humanistic approach of Rogers was used as a theoretical basis of PCC that focuses on respectful dialogue and relationships between practitioners and the service users</w:t>
      </w:r>
      <w:r w:rsidR="00A80E2D">
        <w:rPr>
          <w:rFonts w:cs="Arial"/>
        </w:rPr>
        <w:t xml:space="preserve"> (</w:t>
      </w:r>
      <w:r w:rsidRPr="00D65603" w:rsidR="00A80E2D">
        <w:rPr>
          <w:szCs w:val="18"/>
        </w:rPr>
        <w:t>Greene, 2017)</w:t>
      </w:r>
      <w:r w:rsidRPr="00646637">
        <w:rPr>
          <w:rFonts w:cs="Arial"/>
        </w:rPr>
        <w:t>. Empathy can motivate professionals to hear the issues of people and learn their lived experiences, whereas unconditional positive regard can advance dignity and respect when engaging with them. Congruence promotes honest communication, which helps practitioners to develop trust and emotional support in therapeutic relationships</w:t>
      </w:r>
      <w:r w:rsidR="00EF15F4">
        <w:rPr>
          <w:rFonts w:cs="Arial"/>
        </w:rPr>
        <w:t xml:space="preserve"> (</w:t>
      </w:r>
      <w:r w:rsidRPr="00D65603" w:rsidR="00EF15F4">
        <w:rPr>
          <w:szCs w:val="18"/>
        </w:rPr>
        <w:t>Walker, 2010).</w:t>
      </w:r>
      <w:r w:rsidRPr="00646637">
        <w:rPr>
          <w:rFonts w:cs="Arial"/>
        </w:rPr>
        <w:t xml:space="preserve"> Such values enable people to make decisions regarding their treatment and promote comprehensive practices that would meet emotional, psychological and social requirements in addition to physical well-being. Nevertheless, critics also state that the model by Rogers may be idealistic in current healthcare settings where time constraints, excessive workloads, and organisational restrictions might restrict the capacity of the professionals to realise fully person-centred interactions on a repeated basis</w:t>
      </w:r>
      <w:r w:rsidR="00227760">
        <w:rPr>
          <w:rFonts w:cs="Arial"/>
        </w:rPr>
        <w:t xml:space="preserve"> (</w:t>
      </w:r>
      <w:r w:rsidRPr="00C85039" w:rsidR="00227760">
        <w:rPr>
          <w:szCs w:val="18"/>
        </w:rPr>
        <w:t>Singh, 2023</w:t>
      </w:r>
      <w:r w:rsidR="00227760">
        <w:rPr>
          <w:szCs w:val="18"/>
        </w:rPr>
        <w:t xml:space="preserve">; </w:t>
      </w:r>
      <w:r w:rsidRPr="00C85039" w:rsidR="00227760">
        <w:rPr>
          <w:szCs w:val="18"/>
        </w:rPr>
        <w:t>McMenamin and Munro, 2025)</w:t>
      </w:r>
      <w:r w:rsidRPr="00F406ED" w:rsidR="00F406ED">
        <w:rPr>
          <w:rFonts w:cs="Arial"/>
          <w:lang w:val="en-US"/>
        </w:rPr>
        <w:t>.</w:t>
      </w:r>
    </w:p>
    <w:p w:rsidRPr="00BE35A4" w:rsidR="00F206E6" w:rsidP="005D3066" w:rsidRDefault="003941D8" w14:paraId="7DF2591F" w14:textId="55CDF762">
      <w:pPr>
        <w:pStyle w:val="Heading1"/>
        <w:numPr>
          <w:ilvl w:val="0"/>
          <w:numId w:val="1"/>
        </w:numPr>
        <w:spacing w:line="360" w:lineRule="auto"/>
        <w:jc w:val="both"/>
        <w:rPr>
          <w:rFonts w:ascii="Arial" w:hAnsi="Arial" w:eastAsia="Arial" w:cs="Arial"/>
          <w:b/>
          <w:bCs/>
          <w:color w:val="auto"/>
        </w:rPr>
      </w:pPr>
      <w:bookmarkStart w:name="_Toc223791140" w:id="8"/>
      <w:r w:rsidRPr="00BE35A4">
        <w:rPr>
          <w:rFonts w:ascii="Arial" w:hAnsi="Arial" w:eastAsia="Arial" w:cs="Arial"/>
          <w:b/>
          <w:bCs/>
          <w:color w:val="auto"/>
        </w:rPr>
        <w:t>Ethical Foundations of Health and Social Care Practice</w:t>
      </w:r>
      <w:bookmarkEnd w:id="8"/>
    </w:p>
    <w:p w:rsidRPr="00BE35A4" w:rsidR="00C864D1" w:rsidP="00121C7A" w:rsidRDefault="004072DB" w14:paraId="542AB32D" w14:textId="1EEE8825">
      <w:pPr>
        <w:spacing w:line="360" w:lineRule="auto"/>
        <w:jc w:val="both"/>
        <w:rPr>
          <w:rFonts w:cs="Arial"/>
        </w:rPr>
      </w:pPr>
      <w:r w:rsidRPr="004072DB">
        <w:rPr>
          <w:rFonts w:cs="Arial"/>
        </w:rPr>
        <w:t>The principles of ethics are a basic guideline to professional decision making in health and social care. Autonomy demands that practitioners consider the rights of persons to make intelligent decisions regarding their treatment, which maintains service users as active subjects in decision-making</w:t>
      </w:r>
      <w:r w:rsidR="00CC480F">
        <w:rPr>
          <w:rFonts w:cs="Arial"/>
        </w:rPr>
        <w:t xml:space="preserve"> (</w:t>
      </w:r>
      <w:r w:rsidRPr="00C85039" w:rsidR="00CC480F">
        <w:rPr>
          <w:szCs w:val="18"/>
        </w:rPr>
        <w:t>Poškutė</w:t>
      </w:r>
      <w:r w:rsidR="00CC480F">
        <w:rPr>
          <w:szCs w:val="18"/>
        </w:rPr>
        <w:t xml:space="preserve"> et al., 2022)</w:t>
      </w:r>
      <w:r w:rsidRPr="004072DB">
        <w:rPr>
          <w:rFonts w:cs="Arial"/>
        </w:rPr>
        <w:t>. Beneficence focuses on the role of professionals in encouraging the wellbeing of individuals through provision of care that enhances health and living standards</w:t>
      </w:r>
      <w:r w:rsidR="00C076D0">
        <w:rPr>
          <w:rFonts w:cs="Arial"/>
        </w:rPr>
        <w:t xml:space="preserve"> (</w:t>
      </w:r>
      <w:r w:rsidRPr="00C85039" w:rsidR="00C076D0">
        <w:rPr>
          <w:szCs w:val="18"/>
        </w:rPr>
        <w:t>Cheraghi</w:t>
      </w:r>
      <w:r w:rsidR="00C076D0">
        <w:rPr>
          <w:szCs w:val="18"/>
        </w:rPr>
        <w:t xml:space="preserve"> et al., 2023)</w:t>
      </w:r>
      <w:r w:rsidRPr="004072DB">
        <w:rPr>
          <w:rFonts w:cs="Arial"/>
        </w:rPr>
        <w:t>. Non-maleficence means that the practitioners should not engage in activities that can result in any form of harm; rather, the intervention should be safe and proper</w:t>
      </w:r>
      <w:r w:rsidR="006C00DA">
        <w:rPr>
          <w:rFonts w:cs="Arial"/>
        </w:rPr>
        <w:t xml:space="preserve"> (</w:t>
      </w:r>
      <w:r w:rsidRPr="00C85039" w:rsidR="006C00DA">
        <w:rPr>
          <w:szCs w:val="18"/>
        </w:rPr>
        <w:t>John and Wu, 2022</w:t>
      </w:r>
      <w:r w:rsidR="006C00DA">
        <w:rPr>
          <w:szCs w:val="18"/>
        </w:rPr>
        <w:t>)</w:t>
      </w:r>
      <w:r w:rsidRPr="004072DB">
        <w:rPr>
          <w:rFonts w:cs="Arial"/>
        </w:rPr>
        <w:t xml:space="preserve">. Justice is concerned with equal opportunities and fairness, making sure that everyone should have equal access to care irrespective of their background and circumstances. Confidentiality also serves to guard individuals by making sure personal information is dealt with in a responsible manner and is not uploaded </w:t>
      </w:r>
      <w:r w:rsidRPr="004072DB" w:rsidR="006F6CD7">
        <w:rPr>
          <w:rFonts w:cs="Arial"/>
        </w:rPr>
        <w:t>were</w:t>
      </w:r>
      <w:r w:rsidRPr="004072DB">
        <w:rPr>
          <w:rFonts w:cs="Arial"/>
        </w:rPr>
        <w:t xml:space="preserve"> not essential in care delivery</w:t>
      </w:r>
      <w:r w:rsidR="006C00DA">
        <w:rPr>
          <w:rFonts w:cs="Arial"/>
        </w:rPr>
        <w:t xml:space="preserve"> (</w:t>
      </w:r>
      <w:r w:rsidRPr="00C85039" w:rsidR="006C00DA">
        <w:rPr>
          <w:szCs w:val="18"/>
        </w:rPr>
        <w:t>Turkstani</w:t>
      </w:r>
      <w:r w:rsidR="006C00DA">
        <w:rPr>
          <w:szCs w:val="18"/>
        </w:rPr>
        <w:t xml:space="preserve"> et al., 2025)</w:t>
      </w:r>
      <w:r w:rsidRPr="004072DB">
        <w:rPr>
          <w:rFonts w:cs="Arial"/>
        </w:rPr>
        <w:t>. PCC and PW share these ethical principles since they ensure respect and trust and collaboration between professionals, service users, and families. Such ethical expectations are enhanced by professional regulatory frameworks such as those set by the Nursing and Midwifery Council, which are applied in practice</w:t>
      </w:r>
      <w:r w:rsidR="00011451">
        <w:rPr>
          <w:rFonts w:cs="Arial"/>
        </w:rPr>
        <w:t xml:space="preserve"> (</w:t>
      </w:r>
      <w:r w:rsidRPr="00C85039" w:rsidR="00011451">
        <w:rPr>
          <w:szCs w:val="18"/>
        </w:rPr>
        <w:t>Griffith</w:t>
      </w:r>
      <w:r w:rsidR="00011451">
        <w:rPr>
          <w:szCs w:val="18"/>
        </w:rPr>
        <w:t xml:space="preserve"> </w:t>
      </w:r>
      <w:r w:rsidRPr="00C85039" w:rsidR="00011451">
        <w:rPr>
          <w:szCs w:val="18"/>
        </w:rPr>
        <w:t>and Tengnah, 2023</w:t>
      </w:r>
      <w:r w:rsidR="00011451">
        <w:rPr>
          <w:szCs w:val="18"/>
        </w:rPr>
        <w:t>)</w:t>
      </w:r>
      <w:r w:rsidRPr="00BE35A4" w:rsidR="00F406ED">
        <w:rPr>
          <w:rFonts w:cs="Arial"/>
        </w:rPr>
        <w:t>.</w:t>
      </w:r>
    </w:p>
    <w:p w:rsidRPr="00BE35A4" w:rsidR="00F206E6" w:rsidP="00D205DE" w:rsidRDefault="00C0021B" w14:paraId="43F16530" w14:textId="1D288260">
      <w:pPr>
        <w:pStyle w:val="Heading1"/>
        <w:numPr>
          <w:ilvl w:val="0"/>
          <w:numId w:val="1"/>
        </w:numPr>
        <w:spacing w:line="360" w:lineRule="auto"/>
        <w:jc w:val="both"/>
        <w:rPr>
          <w:rFonts w:ascii="Arial" w:hAnsi="Arial" w:eastAsia="Arial" w:cs="Arial"/>
          <w:b/>
          <w:bCs/>
          <w:color w:val="auto"/>
        </w:rPr>
      </w:pPr>
      <w:bookmarkStart w:name="_Toc223791141" w:id="9"/>
      <w:r>
        <w:rPr>
          <w:rFonts w:ascii="Arial" w:hAnsi="Arial" w:eastAsia="Arial" w:cs="Arial"/>
          <w:b/>
          <w:bCs/>
          <w:color w:val="auto"/>
        </w:rPr>
        <w:t>PW</w:t>
      </w:r>
      <w:r w:rsidRPr="00BE35A4" w:rsidR="003941D8">
        <w:rPr>
          <w:rFonts w:ascii="Arial" w:hAnsi="Arial" w:eastAsia="Arial" w:cs="Arial"/>
          <w:b/>
          <w:bCs/>
          <w:color w:val="auto"/>
        </w:rPr>
        <w:t xml:space="preserve"> in Health and Social Care</w:t>
      </w:r>
      <w:bookmarkEnd w:id="9"/>
      <w:r w:rsidRPr="00BE35A4" w:rsidR="003941D8">
        <w:rPr>
          <w:rFonts w:ascii="Arial" w:hAnsi="Arial" w:eastAsia="Arial" w:cs="Arial"/>
          <w:b/>
          <w:bCs/>
          <w:color w:val="auto"/>
        </w:rPr>
        <w:t xml:space="preserve"> </w:t>
      </w:r>
    </w:p>
    <w:p w:rsidRPr="00BE35A4" w:rsidR="00F406ED" w:rsidP="00F406ED" w:rsidRDefault="00F406ED" w14:paraId="059B86A8" w14:textId="3954F789">
      <w:pPr>
        <w:pStyle w:val="Heading2"/>
        <w:numPr>
          <w:ilvl w:val="1"/>
          <w:numId w:val="1"/>
        </w:numPr>
        <w:spacing w:line="360" w:lineRule="auto"/>
        <w:jc w:val="both"/>
        <w:rPr>
          <w:rFonts w:ascii="Arial" w:hAnsi="Arial" w:cs="Arial"/>
          <w:b/>
          <w:bCs/>
          <w:color w:val="auto"/>
          <w:sz w:val="28"/>
          <w:szCs w:val="28"/>
          <w:lang w:val="en-US"/>
        </w:rPr>
      </w:pPr>
      <w:bookmarkStart w:name="_Toc223791142" w:id="10"/>
      <w:r w:rsidRPr="00BE35A4">
        <w:rPr>
          <w:rFonts w:ascii="Arial" w:hAnsi="Arial" w:cs="Arial"/>
          <w:b/>
          <w:bCs/>
          <w:color w:val="auto"/>
          <w:sz w:val="28"/>
          <w:szCs w:val="28"/>
          <w:lang w:val="en-US"/>
        </w:rPr>
        <w:t>Definition and Importance</w:t>
      </w:r>
      <w:bookmarkEnd w:id="10"/>
    </w:p>
    <w:p w:rsidRPr="00F406ED" w:rsidR="00F406ED" w:rsidP="00F406ED" w:rsidRDefault="00EE35CA" w14:paraId="3A899FBE" w14:textId="54958693">
      <w:pPr>
        <w:spacing w:line="360" w:lineRule="auto"/>
        <w:jc w:val="both"/>
        <w:rPr>
          <w:rFonts w:cs="Arial"/>
          <w:lang w:val="en-US"/>
        </w:rPr>
      </w:pPr>
      <w:r w:rsidRPr="00EE35CA">
        <w:rPr>
          <w:rFonts w:cs="Arial"/>
        </w:rPr>
        <w:t>PW means an understanding of collaboration whereby various professionals, organisations, service users, and families are involved in providing coordinated health and social care services</w:t>
      </w:r>
      <w:r w:rsidR="00923735">
        <w:rPr>
          <w:rFonts w:cs="Arial"/>
        </w:rPr>
        <w:t xml:space="preserve"> (</w:t>
      </w:r>
      <w:r w:rsidRPr="00C85039" w:rsidR="00923735">
        <w:rPr>
          <w:szCs w:val="18"/>
        </w:rPr>
        <w:t>Morgan and Yaskey, 2025</w:t>
      </w:r>
      <w:r w:rsidR="00923735">
        <w:rPr>
          <w:szCs w:val="18"/>
        </w:rPr>
        <w:t>)</w:t>
      </w:r>
      <w:r w:rsidRPr="00EE35CA">
        <w:rPr>
          <w:rFonts w:cs="Arial"/>
        </w:rPr>
        <w:t>. In contemporary care systems, patients are likely to come with complex needs that are not efficiently delivered by one professional or agency. PW thus clings on partnership amongst health professionals, social workers, community organisations and informal carers to achieve overall assistance</w:t>
      </w:r>
      <w:r w:rsidR="002E22E0">
        <w:rPr>
          <w:rFonts w:cs="Arial"/>
        </w:rPr>
        <w:t xml:space="preserve"> </w:t>
      </w:r>
      <w:r w:rsidRPr="002E22E0" w:rsidR="002E22E0">
        <w:rPr>
          <w:rFonts w:cs="Arial"/>
        </w:rPr>
        <w:t>(NHS England, 2023)</w:t>
      </w:r>
      <w:r w:rsidRPr="00EE35CA">
        <w:rPr>
          <w:rFonts w:cs="Arial"/>
        </w:rPr>
        <w:t>. Through the sharing of expertise, resources and information, professionals will be able to come up with integrated care plans that meet the physical, psychological, and social needs of people. Such collaborative strategy promotes continuity of care and makes sure that services are responsive to the different and evolving needs of service users</w:t>
      </w:r>
      <w:r w:rsidRPr="00F406ED" w:rsidR="00F406ED">
        <w:rPr>
          <w:rFonts w:cs="Arial"/>
          <w:lang w:val="en-US"/>
        </w:rPr>
        <w:t>.</w:t>
      </w:r>
    </w:p>
    <w:p w:rsidRPr="00BE35A4" w:rsidR="00F406ED" w:rsidP="00F406ED" w:rsidRDefault="00F406ED" w14:paraId="4CC20527" w14:textId="39D141BA">
      <w:pPr>
        <w:pStyle w:val="Heading2"/>
        <w:numPr>
          <w:ilvl w:val="1"/>
          <w:numId w:val="1"/>
        </w:numPr>
        <w:spacing w:line="360" w:lineRule="auto"/>
        <w:jc w:val="both"/>
        <w:rPr>
          <w:rFonts w:ascii="Arial" w:hAnsi="Arial" w:cs="Arial"/>
          <w:b/>
          <w:bCs/>
          <w:color w:val="auto"/>
          <w:sz w:val="28"/>
          <w:szCs w:val="28"/>
          <w:lang w:val="en-US"/>
        </w:rPr>
      </w:pPr>
      <w:bookmarkStart w:name="_Toc223791143" w:id="11"/>
      <w:r w:rsidRPr="00BE35A4">
        <w:rPr>
          <w:rFonts w:ascii="Arial" w:hAnsi="Arial" w:cs="Arial"/>
          <w:b/>
          <w:bCs/>
          <w:color w:val="auto"/>
          <w:sz w:val="28"/>
          <w:szCs w:val="28"/>
          <w:lang w:val="en-US"/>
        </w:rPr>
        <w:t>Benefits and Challenges of PW</w:t>
      </w:r>
      <w:bookmarkEnd w:id="11"/>
    </w:p>
    <w:p w:rsidRPr="00BE35A4" w:rsidR="00121C7A" w:rsidP="003941D8" w:rsidRDefault="00620737" w14:paraId="5B53A263" w14:textId="0BCCD0A3">
      <w:pPr>
        <w:spacing w:line="360" w:lineRule="auto"/>
        <w:jc w:val="both"/>
        <w:rPr>
          <w:rFonts w:cs="Arial"/>
          <w:lang w:val="en-US"/>
        </w:rPr>
      </w:pPr>
      <w:r w:rsidRPr="00620737">
        <w:rPr>
          <w:rFonts w:cs="Arial"/>
        </w:rPr>
        <w:t xml:space="preserve">PW has a number of notable advantages regarding health and social care provision. The relationship among professionals facilitates combined care delivery whereby people are provided with aligned care in various services. Better inter-agency communication can lead to better decision-making and </w:t>
      </w:r>
      <w:r w:rsidRPr="00620737" w:rsidR="002E22E0">
        <w:rPr>
          <w:rFonts w:cs="Arial"/>
        </w:rPr>
        <w:t xml:space="preserve">less </w:t>
      </w:r>
      <w:r w:rsidR="002E22E0">
        <w:rPr>
          <w:rFonts w:cs="Arial"/>
        </w:rPr>
        <w:t>s</w:t>
      </w:r>
      <w:r w:rsidRPr="00620737" w:rsidR="002E22E0">
        <w:rPr>
          <w:rFonts w:cs="Arial"/>
        </w:rPr>
        <w:t>ervices</w:t>
      </w:r>
      <w:r w:rsidRPr="00620737">
        <w:rPr>
          <w:rFonts w:cs="Arial"/>
        </w:rPr>
        <w:t xml:space="preserve"> duplication whilst mutual resources assistance can help achieve more effective service delivery</w:t>
      </w:r>
      <w:r w:rsidR="00862E49">
        <w:rPr>
          <w:rFonts w:cs="Arial"/>
        </w:rPr>
        <w:t xml:space="preserve"> (</w:t>
      </w:r>
      <w:r w:rsidRPr="00C65CAF" w:rsidR="00862E49">
        <w:rPr>
          <w:szCs w:val="18"/>
        </w:rPr>
        <w:t>Firmin</w:t>
      </w:r>
      <w:r w:rsidR="00862E49">
        <w:rPr>
          <w:szCs w:val="18"/>
        </w:rPr>
        <w:t xml:space="preserve"> et al., 2022)</w:t>
      </w:r>
      <w:r w:rsidRPr="00620737">
        <w:rPr>
          <w:rFonts w:cs="Arial"/>
        </w:rPr>
        <w:t>. Moreover, collaboration strategies foster comprehensive care because they identify the intertwined physical, emotional, and social needs of people</w:t>
      </w:r>
      <w:r w:rsidR="00756440">
        <w:rPr>
          <w:rFonts w:cs="Arial"/>
        </w:rPr>
        <w:t xml:space="preserve"> (</w:t>
      </w:r>
      <w:r w:rsidRPr="00C65CAF" w:rsidR="00756440">
        <w:rPr>
          <w:szCs w:val="18"/>
        </w:rPr>
        <w:t>England, 2022)</w:t>
      </w:r>
      <w:r w:rsidRPr="00620737">
        <w:rPr>
          <w:rFonts w:cs="Arial"/>
        </w:rPr>
        <w:t>. Nevertheless, successful team development is not always painless. Difficulties in communication between the professionals, variations in the organisational cultures, and the lack of clear roles could be restricting in coordinating. Partnership arrangements can further be complex due to imbalance of power existing between the agencies and complicate information sharing. The challenges outlined can be addressed using proper communication methods, respect amongst professionals, and frameworks that facilitate the use of the working practices</w:t>
      </w:r>
      <w:r w:rsidR="006A63AD">
        <w:rPr>
          <w:rFonts w:cs="Arial"/>
        </w:rPr>
        <w:t xml:space="preserve"> (</w:t>
      </w:r>
      <w:r w:rsidRPr="00C65CAF" w:rsidR="006A63AD">
        <w:rPr>
          <w:szCs w:val="18"/>
        </w:rPr>
        <w:t>Patel</w:t>
      </w:r>
      <w:r w:rsidR="006A63AD">
        <w:rPr>
          <w:szCs w:val="18"/>
        </w:rPr>
        <w:t xml:space="preserve"> et al., 2025)</w:t>
      </w:r>
      <w:r w:rsidRPr="00F406ED" w:rsidR="00F406ED">
        <w:rPr>
          <w:rFonts w:cs="Arial"/>
          <w:lang w:val="en-US"/>
        </w:rPr>
        <w:t>.</w:t>
      </w:r>
    </w:p>
    <w:p w:rsidRPr="00BE35A4" w:rsidR="003941D8" w:rsidP="003941D8" w:rsidRDefault="003941D8" w14:paraId="06CCDB06" w14:textId="1FCF595F">
      <w:pPr>
        <w:pStyle w:val="Heading1"/>
        <w:numPr>
          <w:ilvl w:val="0"/>
          <w:numId w:val="1"/>
        </w:numPr>
        <w:spacing w:line="360" w:lineRule="auto"/>
        <w:jc w:val="both"/>
        <w:rPr>
          <w:rFonts w:ascii="Arial" w:hAnsi="Arial" w:eastAsia="Arial" w:cs="Arial"/>
          <w:b/>
          <w:bCs/>
          <w:color w:val="auto"/>
        </w:rPr>
      </w:pPr>
      <w:bookmarkStart w:name="_Toc223791144" w:id="12"/>
      <w:r w:rsidRPr="00BE35A4">
        <w:rPr>
          <w:rFonts w:ascii="Arial" w:hAnsi="Arial" w:eastAsia="Arial" w:cs="Arial"/>
          <w:b/>
          <w:bCs/>
          <w:color w:val="auto"/>
        </w:rPr>
        <w:t xml:space="preserve">Application of </w:t>
      </w:r>
      <w:r w:rsidRPr="00BE35A4" w:rsidR="00671D68">
        <w:rPr>
          <w:rFonts w:ascii="Arial" w:hAnsi="Arial" w:eastAsia="Arial" w:cs="Arial"/>
          <w:b/>
          <w:bCs/>
          <w:color w:val="auto"/>
        </w:rPr>
        <w:t>PW</w:t>
      </w:r>
      <w:r w:rsidRPr="00BE35A4">
        <w:rPr>
          <w:rFonts w:ascii="Arial" w:hAnsi="Arial" w:eastAsia="Arial" w:cs="Arial"/>
          <w:b/>
          <w:bCs/>
          <w:color w:val="auto"/>
        </w:rPr>
        <w:t xml:space="preserve"> in Practice</w:t>
      </w:r>
      <w:bookmarkEnd w:id="12"/>
      <w:r w:rsidRPr="00BE35A4">
        <w:rPr>
          <w:rFonts w:ascii="Arial" w:hAnsi="Arial" w:eastAsia="Arial" w:cs="Arial"/>
          <w:b/>
          <w:bCs/>
          <w:color w:val="auto"/>
        </w:rPr>
        <w:t xml:space="preserve"> </w:t>
      </w:r>
    </w:p>
    <w:p w:rsidR="006E14A1" w:rsidP="003941D8" w:rsidRDefault="006E14A1" w14:paraId="7018F336" w14:textId="779F2016">
      <w:pPr>
        <w:spacing w:line="360" w:lineRule="auto"/>
        <w:jc w:val="both"/>
        <w:rPr>
          <w:rFonts w:cs="Arial"/>
        </w:rPr>
      </w:pPr>
      <w:r w:rsidRPr="006E14A1">
        <w:rPr>
          <w:rFonts w:cs="Arial"/>
        </w:rPr>
        <w:t>PW is especially important in the community mental health services where people usually need the combination of assistive measures in different areas of professional’s work</w:t>
      </w:r>
      <w:r w:rsidR="00066DF6">
        <w:rPr>
          <w:rFonts w:cs="Arial"/>
        </w:rPr>
        <w:t xml:space="preserve"> (</w:t>
      </w:r>
      <w:r w:rsidRPr="00C65CAF" w:rsidR="00066DF6">
        <w:rPr>
          <w:szCs w:val="18"/>
        </w:rPr>
        <w:t>Reist</w:t>
      </w:r>
      <w:r w:rsidR="00066DF6">
        <w:rPr>
          <w:szCs w:val="18"/>
        </w:rPr>
        <w:t xml:space="preserve"> et al., 2022)</w:t>
      </w:r>
      <w:r w:rsidRPr="006E14A1">
        <w:rPr>
          <w:rFonts w:cs="Arial"/>
        </w:rPr>
        <w:t>. Proper care also entails coordination between nurses, psychologists, social workers, families, and local authorities to provide patients with multi-level and long-term assistance. In the community environment, mental health nurses frequently organi</w:t>
      </w:r>
      <w:r w:rsidR="00273F97">
        <w:rPr>
          <w:rFonts w:cs="Arial"/>
        </w:rPr>
        <w:t>s</w:t>
      </w:r>
      <w:r w:rsidRPr="006E14A1">
        <w:rPr>
          <w:rFonts w:cs="Arial"/>
        </w:rPr>
        <w:t>e the treatment plan, whereas psychologists offer therapeutic intervention and social workers discuss social determinants of health, like housing, employment, and welfare</w:t>
      </w:r>
      <w:r w:rsidR="00ED379B">
        <w:rPr>
          <w:rFonts w:cs="Arial"/>
        </w:rPr>
        <w:t xml:space="preserve"> (</w:t>
      </w:r>
      <w:r w:rsidRPr="00C65CAF" w:rsidR="00ED379B">
        <w:rPr>
          <w:szCs w:val="18"/>
        </w:rPr>
        <w:t>Zabek</w:t>
      </w:r>
      <w:r w:rsidR="00ED379B">
        <w:rPr>
          <w:szCs w:val="18"/>
        </w:rPr>
        <w:t xml:space="preserve"> et al., 2023)</w:t>
      </w:r>
      <w:r w:rsidRPr="006E14A1">
        <w:rPr>
          <w:rFonts w:cs="Arial"/>
        </w:rPr>
        <w:t>. The family also has a vital role in tracking wellbeing and recovery, and the local authorities contribute to accessing the local resources and protective measures.</w:t>
      </w:r>
    </w:p>
    <w:p w:rsidRPr="00BE35A4" w:rsidR="003941D8" w:rsidP="003941D8" w:rsidRDefault="006E14A1" w14:paraId="6EB7F6AA" w14:textId="635E483E">
      <w:pPr>
        <w:spacing w:line="360" w:lineRule="auto"/>
        <w:jc w:val="both"/>
        <w:rPr>
          <w:rFonts w:cs="Arial"/>
          <w:lang w:val="en-US"/>
        </w:rPr>
      </w:pPr>
      <w:r w:rsidRPr="006E14A1">
        <w:rPr>
          <w:rFonts w:cs="Arial"/>
        </w:rPr>
        <w:t>This shared treatment approach facilitates a continuity of care in that information, roles, and treatment objectives are shared between professionals and service consumers. PW also enhances PCC because it acknowledges the preferences and lived experience of the individual in the process of care planning</w:t>
      </w:r>
      <w:r w:rsidR="00674F37">
        <w:rPr>
          <w:rFonts w:cs="Arial"/>
        </w:rPr>
        <w:t xml:space="preserve"> (</w:t>
      </w:r>
      <w:r w:rsidRPr="00C65CAF" w:rsidR="00674F37">
        <w:rPr>
          <w:szCs w:val="18"/>
        </w:rPr>
        <w:t>McLaney</w:t>
      </w:r>
      <w:r w:rsidR="00674F37">
        <w:rPr>
          <w:szCs w:val="18"/>
        </w:rPr>
        <w:t xml:space="preserve"> et al., 2022)</w:t>
      </w:r>
      <w:r w:rsidRPr="006E14A1">
        <w:rPr>
          <w:rFonts w:cs="Arial"/>
        </w:rPr>
        <w:t>. This means that integrated support systems are able to enhance adherence to treatment regimens, boost recovery rates and decrease the chances of relapse or social exclusion</w:t>
      </w:r>
      <w:r w:rsidRPr="00D75153" w:rsidR="00D75153">
        <w:rPr>
          <w:rFonts w:cs="Arial"/>
          <w:lang w:val="en-US"/>
        </w:rPr>
        <w:t>.</w:t>
      </w:r>
    </w:p>
    <w:p w:rsidRPr="00BE35A4" w:rsidR="00F206E6" w:rsidP="003941D8" w:rsidRDefault="00F206E6" w14:paraId="037770C4" w14:textId="28A14095">
      <w:pPr>
        <w:pStyle w:val="Heading1"/>
        <w:numPr>
          <w:ilvl w:val="0"/>
          <w:numId w:val="1"/>
        </w:numPr>
        <w:spacing w:line="360" w:lineRule="auto"/>
        <w:jc w:val="both"/>
        <w:rPr>
          <w:rFonts w:ascii="Arial" w:hAnsi="Arial" w:eastAsia="Arial" w:cs="Arial"/>
          <w:b/>
          <w:bCs/>
          <w:color w:val="auto"/>
        </w:rPr>
      </w:pPr>
      <w:bookmarkStart w:name="_Toc223791145" w:id="13"/>
      <w:r w:rsidRPr="00BE35A4">
        <w:rPr>
          <w:rFonts w:ascii="Arial" w:hAnsi="Arial" w:eastAsia="Arial" w:cs="Arial"/>
          <w:b/>
          <w:bCs/>
          <w:color w:val="auto"/>
        </w:rPr>
        <w:t xml:space="preserve">Policy </w:t>
      </w:r>
      <w:r w:rsidRPr="00BE35A4" w:rsidR="003941D8">
        <w:rPr>
          <w:rFonts w:ascii="Arial" w:hAnsi="Arial" w:eastAsia="Arial" w:cs="Arial"/>
          <w:b/>
          <w:bCs/>
          <w:color w:val="auto"/>
        </w:rPr>
        <w:t xml:space="preserve">and Legislative Framework Supporting PCC and </w:t>
      </w:r>
      <w:r w:rsidRPr="00BE35A4" w:rsidR="00671D68">
        <w:rPr>
          <w:rFonts w:ascii="Arial" w:hAnsi="Arial" w:eastAsia="Arial" w:cs="Arial"/>
          <w:b/>
          <w:bCs/>
          <w:color w:val="auto"/>
        </w:rPr>
        <w:t>PW</w:t>
      </w:r>
      <w:bookmarkEnd w:id="13"/>
    </w:p>
    <w:p w:rsidR="006E14A1" w:rsidP="003C35D8" w:rsidRDefault="006E14A1" w14:paraId="67B04CBB" w14:textId="42BA9988">
      <w:pPr>
        <w:spacing w:line="360" w:lineRule="auto"/>
        <w:jc w:val="both"/>
        <w:rPr>
          <w:rFonts w:cs="Arial"/>
          <w:szCs w:val="20"/>
        </w:rPr>
      </w:pPr>
      <w:r w:rsidRPr="006E14A1">
        <w:rPr>
          <w:rFonts w:cs="Arial"/>
          <w:szCs w:val="20"/>
        </w:rPr>
        <w:t>The UK legislative and policy framework that governs the practice of health and social care highly supports the practice of PCC and PW. Health and Social Care Act 2012</w:t>
      </w:r>
      <w:r w:rsidRPr="00934512" w:rsidR="00934512">
        <w:rPr>
          <w:rFonts w:cs="Arial"/>
          <w:szCs w:val="20"/>
        </w:rPr>
        <w:t> (UK Government, 2012)</w:t>
      </w:r>
      <w:r w:rsidRPr="006E14A1">
        <w:rPr>
          <w:rFonts w:cs="Arial"/>
          <w:szCs w:val="20"/>
        </w:rPr>
        <w:t xml:space="preserve">, brought about structural reforms to enhance integration of care systems and enhance cooperation between organisations in health and social care. </w:t>
      </w:r>
      <w:r w:rsidR="00934512">
        <w:rPr>
          <w:rFonts w:cs="Arial"/>
          <w:szCs w:val="20"/>
        </w:rPr>
        <w:t>T</w:t>
      </w:r>
      <w:r w:rsidRPr="006E14A1">
        <w:rPr>
          <w:rFonts w:cs="Arial"/>
          <w:szCs w:val="20"/>
        </w:rPr>
        <w:t xml:space="preserve">he Care Act </w:t>
      </w:r>
      <w:r w:rsidR="00B47037">
        <w:rPr>
          <w:rFonts w:cs="Arial"/>
          <w:szCs w:val="20"/>
        </w:rPr>
        <w:t>(</w:t>
      </w:r>
      <w:r w:rsidRPr="006E14A1">
        <w:rPr>
          <w:rFonts w:cs="Arial"/>
          <w:szCs w:val="20"/>
        </w:rPr>
        <w:t>2014</w:t>
      </w:r>
      <w:r w:rsidR="00B47037">
        <w:rPr>
          <w:rFonts w:cs="Arial"/>
          <w:szCs w:val="20"/>
        </w:rPr>
        <w:t>)</w:t>
      </w:r>
      <w:r w:rsidRPr="006E14A1">
        <w:rPr>
          <w:rFonts w:cs="Arial"/>
          <w:szCs w:val="20"/>
        </w:rPr>
        <w:t xml:space="preserve"> highlights the importance of individual wellbeing, personalised care planning, as well as coordinated services, between local authorities and healthcare providers.</w:t>
      </w:r>
    </w:p>
    <w:p w:rsidR="006E14A1" w:rsidP="003C35D8" w:rsidRDefault="006E14A1" w14:paraId="2D81F7AD" w14:textId="090427DC">
      <w:pPr>
        <w:spacing w:line="360" w:lineRule="auto"/>
        <w:jc w:val="both"/>
        <w:rPr>
          <w:rFonts w:cs="Arial"/>
          <w:szCs w:val="20"/>
        </w:rPr>
      </w:pPr>
      <w:r w:rsidRPr="006E14A1">
        <w:rPr>
          <w:rFonts w:cs="Arial"/>
          <w:szCs w:val="20"/>
        </w:rPr>
        <w:t xml:space="preserve">Mental Capacity Act 2005 </w:t>
      </w:r>
      <w:r w:rsidR="0072513C">
        <w:rPr>
          <w:rFonts w:cs="Arial"/>
          <w:szCs w:val="20"/>
        </w:rPr>
        <w:t>(</w:t>
      </w:r>
      <w:r w:rsidRPr="00A733FF" w:rsidR="0072513C">
        <w:rPr>
          <w:szCs w:val="18"/>
          <w:lang w:val="en-US"/>
        </w:rPr>
        <w:t>GOV.UK</w:t>
      </w:r>
      <w:r w:rsidR="0072513C">
        <w:rPr>
          <w:szCs w:val="18"/>
          <w:lang w:val="en-US"/>
        </w:rPr>
        <w:t xml:space="preserve">, </w:t>
      </w:r>
      <w:r w:rsidRPr="00A733FF" w:rsidR="0072513C">
        <w:rPr>
          <w:szCs w:val="18"/>
          <w:lang w:val="en-US"/>
        </w:rPr>
        <w:t>2005)</w:t>
      </w:r>
      <w:r w:rsidR="0072513C">
        <w:rPr>
          <w:szCs w:val="18"/>
          <w:lang w:val="en-US"/>
        </w:rPr>
        <w:t xml:space="preserve"> </w:t>
      </w:r>
      <w:r w:rsidRPr="006E14A1">
        <w:rPr>
          <w:rFonts w:cs="Arial"/>
          <w:szCs w:val="20"/>
        </w:rPr>
        <w:t xml:space="preserve">also endorses person-centred practice by safeguarding the rights of those who may not be able to make a decision but it also mandates that the decision taken on behalf of the person is not only made in their best interests but also their autonomy is respected whenever feasible. Besides this, the </w:t>
      </w:r>
      <w:r w:rsidRPr="006E14A1" w:rsidR="00C76BA9">
        <w:rPr>
          <w:rFonts w:cs="Arial"/>
          <w:szCs w:val="20"/>
        </w:rPr>
        <w:t>Equality A</w:t>
      </w:r>
      <w:r w:rsidRPr="006E14A1">
        <w:rPr>
          <w:rFonts w:cs="Arial"/>
          <w:szCs w:val="20"/>
        </w:rPr>
        <w:t>ct 2010 encourages equality and non-discrimination in service provision where health and social care services are inclusive and accessible</w:t>
      </w:r>
      <w:r w:rsidR="0059523E">
        <w:rPr>
          <w:rFonts w:cs="Arial"/>
          <w:szCs w:val="20"/>
        </w:rPr>
        <w:t xml:space="preserve"> (</w:t>
      </w:r>
      <w:r w:rsidRPr="00A733FF" w:rsidR="0059523E">
        <w:rPr>
          <w:szCs w:val="18"/>
          <w:lang w:val="en-US"/>
        </w:rPr>
        <w:t>GOV.UK</w:t>
      </w:r>
      <w:r w:rsidR="0059523E">
        <w:rPr>
          <w:szCs w:val="18"/>
          <w:lang w:val="en-US"/>
        </w:rPr>
        <w:t xml:space="preserve">, </w:t>
      </w:r>
      <w:r w:rsidRPr="00A733FF" w:rsidR="0059523E">
        <w:rPr>
          <w:szCs w:val="18"/>
          <w:lang w:val="en-US"/>
        </w:rPr>
        <w:t>2010)</w:t>
      </w:r>
      <w:r w:rsidRPr="006E14A1">
        <w:rPr>
          <w:rFonts w:cs="Arial"/>
          <w:szCs w:val="20"/>
        </w:rPr>
        <w:t>.</w:t>
      </w:r>
    </w:p>
    <w:p w:rsidRPr="00BE35A4" w:rsidR="003B6133" w:rsidP="003C35D8" w:rsidRDefault="006E14A1" w14:paraId="48BDA855" w14:textId="066D7655">
      <w:pPr>
        <w:spacing w:line="360" w:lineRule="auto"/>
        <w:jc w:val="both"/>
        <w:rPr>
          <w:rFonts w:cs="Arial"/>
          <w:szCs w:val="20"/>
          <w:lang w:val="en-US"/>
        </w:rPr>
      </w:pPr>
      <w:r w:rsidRPr="006E14A1">
        <w:rPr>
          <w:rFonts w:cs="Arial"/>
          <w:szCs w:val="20"/>
        </w:rPr>
        <w:t>The Data Protection Act 2018 helps to regulate data sharing and confidentiality, as the regulation is provided on the manner of managing patient information safely across organisations</w:t>
      </w:r>
      <w:r w:rsidR="002812D7">
        <w:rPr>
          <w:rFonts w:cs="Arial"/>
          <w:szCs w:val="20"/>
        </w:rPr>
        <w:t xml:space="preserve"> (</w:t>
      </w:r>
      <w:r w:rsidR="002812D7">
        <w:rPr>
          <w:szCs w:val="18"/>
          <w:lang w:val="en-US"/>
        </w:rPr>
        <w:t>Legislation.</w:t>
      </w:r>
      <w:r w:rsidRPr="00A733FF" w:rsidR="002812D7">
        <w:rPr>
          <w:szCs w:val="18"/>
          <w:lang w:val="en-US"/>
        </w:rPr>
        <w:t xml:space="preserve"> GOV.UK</w:t>
      </w:r>
      <w:r w:rsidR="002812D7">
        <w:rPr>
          <w:szCs w:val="18"/>
          <w:lang w:val="en-US"/>
        </w:rPr>
        <w:t xml:space="preserve">, </w:t>
      </w:r>
      <w:r w:rsidRPr="00A733FF" w:rsidR="002812D7">
        <w:rPr>
          <w:szCs w:val="18"/>
          <w:lang w:val="en-US"/>
        </w:rPr>
        <w:t>2018)</w:t>
      </w:r>
      <w:r w:rsidRPr="006E14A1">
        <w:rPr>
          <w:rFonts w:cs="Arial"/>
          <w:szCs w:val="20"/>
        </w:rPr>
        <w:t>. Lastly, policy frameworks of the National Health Service facilitated integrated care pathways and partnerships in delivering services, which supports the essence of PW to ensure effective and person-centred results</w:t>
      </w:r>
      <w:r w:rsidRPr="00654E1C" w:rsidR="00654E1C">
        <w:rPr>
          <w:rFonts w:cs="Arial"/>
          <w:szCs w:val="20"/>
          <w:lang w:val="en-US"/>
        </w:rPr>
        <w:t>.</w:t>
      </w:r>
    </w:p>
    <w:p w:rsidRPr="00BE35A4" w:rsidR="00F206E6" w:rsidP="0061717E" w:rsidRDefault="00F206E6" w14:paraId="2BA420A3" w14:textId="5DE507F1">
      <w:pPr>
        <w:pStyle w:val="Heading1"/>
        <w:numPr>
          <w:ilvl w:val="0"/>
          <w:numId w:val="1"/>
        </w:numPr>
        <w:spacing w:line="360" w:lineRule="auto"/>
        <w:jc w:val="both"/>
        <w:rPr>
          <w:rFonts w:ascii="Arial" w:hAnsi="Arial" w:eastAsia="Arial" w:cs="Arial"/>
          <w:b/>
          <w:bCs/>
          <w:color w:val="auto"/>
        </w:rPr>
      </w:pPr>
      <w:bookmarkStart w:name="_Toc223791146" w:id="14"/>
      <w:r w:rsidRPr="00BE35A4">
        <w:rPr>
          <w:rFonts w:ascii="Arial" w:hAnsi="Arial" w:eastAsia="Arial" w:cs="Arial"/>
          <w:b/>
          <w:bCs/>
          <w:color w:val="auto"/>
        </w:rPr>
        <w:t>Recommendations</w:t>
      </w:r>
      <w:r w:rsidRPr="00BE35A4" w:rsidR="003941D8">
        <w:rPr>
          <w:rFonts w:ascii="Arial" w:hAnsi="Arial" w:eastAsia="Arial" w:cs="Arial"/>
          <w:b/>
          <w:bCs/>
          <w:color w:val="auto"/>
        </w:rPr>
        <w:t xml:space="preserve"> for Future Development</w:t>
      </w:r>
      <w:bookmarkEnd w:id="14"/>
    </w:p>
    <w:p w:rsidR="00DA6D61" w:rsidP="00547AD8" w:rsidRDefault="00DA6D61" w14:paraId="136FDD72" w14:textId="5903578D">
      <w:pPr>
        <w:spacing w:line="360" w:lineRule="auto"/>
        <w:jc w:val="both"/>
        <w:rPr>
          <w:rFonts w:cs="Arial"/>
        </w:rPr>
      </w:pPr>
      <w:r w:rsidRPr="00DA6D61">
        <w:rPr>
          <w:rFonts w:cs="Arial"/>
        </w:rPr>
        <w:t>PCC and PW need specific work of professional practice, and service coordination to develop in the future. To start with, interprofessional education would need to be reinforced to improve cooperation between healthcare specialists</w:t>
      </w:r>
      <w:r w:rsidR="001A06C7">
        <w:rPr>
          <w:rFonts w:cs="Arial"/>
        </w:rPr>
        <w:t xml:space="preserve"> (</w:t>
      </w:r>
      <w:r w:rsidRPr="00A733FF" w:rsidR="001A06C7">
        <w:rPr>
          <w:szCs w:val="18"/>
        </w:rPr>
        <w:t>Saragih</w:t>
      </w:r>
      <w:r w:rsidR="001A06C7">
        <w:rPr>
          <w:szCs w:val="18"/>
        </w:rPr>
        <w:t xml:space="preserve"> et al., 2024)</w:t>
      </w:r>
      <w:r w:rsidRPr="00DA6D61">
        <w:rPr>
          <w:rFonts w:cs="Arial"/>
        </w:rPr>
        <w:t>. Communication, clarification of professional roles and shared decision making across the multidisciplinary teams can be enhanced by joint training programmes.</w:t>
      </w:r>
    </w:p>
    <w:p w:rsidR="00DA6D61" w:rsidP="00547AD8" w:rsidRDefault="00DA6D61" w14:paraId="5C4FCD71" w14:textId="0AD26B45">
      <w:pPr>
        <w:spacing w:line="360" w:lineRule="auto"/>
        <w:jc w:val="both"/>
        <w:rPr>
          <w:rFonts w:cs="Arial"/>
        </w:rPr>
      </w:pPr>
      <w:r w:rsidRPr="00DA6D61">
        <w:rPr>
          <w:rFonts w:cs="Arial"/>
        </w:rPr>
        <w:t>Second, service user involvement, in terms of care planning, should be given more prominence</w:t>
      </w:r>
      <w:r w:rsidR="007A60D6">
        <w:rPr>
          <w:rFonts w:cs="Arial"/>
        </w:rPr>
        <w:t xml:space="preserve"> (</w:t>
      </w:r>
      <w:r w:rsidRPr="00A733FF" w:rsidR="007A60D6">
        <w:rPr>
          <w:szCs w:val="18"/>
        </w:rPr>
        <w:t>Hickman</w:t>
      </w:r>
      <w:r w:rsidR="007A60D6">
        <w:rPr>
          <w:szCs w:val="18"/>
        </w:rPr>
        <w:t xml:space="preserve"> et al., 2023)</w:t>
      </w:r>
      <w:r w:rsidRPr="00DA6D61">
        <w:rPr>
          <w:rFonts w:cs="Arial"/>
        </w:rPr>
        <w:t>. Increasing the level of empowerment by encouraging patients and families to be actively involved in decision-making can improve service individuali</w:t>
      </w:r>
      <w:r w:rsidR="00273F97">
        <w:rPr>
          <w:rFonts w:cs="Arial"/>
        </w:rPr>
        <w:t>s</w:t>
      </w:r>
      <w:r w:rsidRPr="00DA6D61">
        <w:rPr>
          <w:rFonts w:cs="Arial"/>
        </w:rPr>
        <w:t>ation and high satisfaction with the care delivery.</w:t>
      </w:r>
    </w:p>
    <w:p w:rsidRPr="00BE35A4" w:rsidR="00547AD8" w:rsidP="00547AD8" w:rsidRDefault="00DA6D61" w14:paraId="3EC0B4C1" w14:textId="57461D36">
      <w:pPr>
        <w:spacing w:line="360" w:lineRule="auto"/>
        <w:jc w:val="both"/>
        <w:rPr>
          <w:rFonts w:cs="Arial"/>
          <w:lang w:val="en-US"/>
        </w:rPr>
      </w:pPr>
      <w:r w:rsidRPr="00DA6D61">
        <w:rPr>
          <w:rFonts w:cs="Arial"/>
        </w:rPr>
        <w:t>Third, integrating digital health systems should be increased throughout in health and social care organisations. Shared electronic records have the potential to enhance information sharing, decrease service duplications, and aid coordination and PCC across agencies</w:t>
      </w:r>
      <w:r w:rsidR="009700CA">
        <w:rPr>
          <w:rFonts w:cs="Arial"/>
        </w:rPr>
        <w:t xml:space="preserve"> (</w:t>
      </w:r>
      <w:r w:rsidRPr="00037F06" w:rsidR="009700CA">
        <w:rPr>
          <w:szCs w:val="18"/>
        </w:rPr>
        <w:t>Heckemann</w:t>
      </w:r>
      <w:r w:rsidR="009700CA">
        <w:rPr>
          <w:szCs w:val="18"/>
        </w:rPr>
        <w:t xml:space="preserve"> et al., 2022)</w:t>
      </w:r>
      <w:r w:rsidRPr="00654E1C" w:rsidR="00654E1C">
        <w:rPr>
          <w:rFonts w:cs="Arial"/>
          <w:lang w:val="en-US"/>
        </w:rPr>
        <w:t>.</w:t>
      </w:r>
    </w:p>
    <w:p w:rsidRPr="00BE35A4" w:rsidR="00D507B2" w:rsidP="000544D1" w:rsidRDefault="00D507B2" w14:paraId="2D23B3CB" w14:textId="182DAF20">
      <w:pPr>
        <w:pStyle w:val="Heading1"/>
        <w:numPr>
          <w:ilvl w:val="0"/>
          <w:numId w:val="1"/>
        </w:numPr>
        <w:spacing w:line="360" w:lineRule="auto"/>
        <w:jc w:val="both"/>
        <w:rPr>
          <w:rFonts w:ascii="Arial" w:hAnsi="Arial" w:cs="Arial"/>
          <w:b/>
          <w:bCs/>
          <w:color w:val="auto"/>
        </w:rPr>
      </w:pPr>
      <w:bookmarkStart w:name="_Toc223791147" w:id="15"/>
      <w:r w:rsidRPr="00BE35A4">
        <w:rPr>
          <w:rFonts w:ascii="Arial" w:hAnsi="Arial" w:cs="Arial"/>
          <w:b/>
          <w:bCs/>
          <w:color w:val="auto"/>
        </w:rPr>
        <w:t>Conclusion</w:t>
      </w:r>
      <w:bookmarkEnd w:id="15"/>
    </w:p>
    <w:p w:rsidRPr="006E14A1" w:rsidR="008146E4" w:rsidP="006E14A1" w:rsidRDefault="00CF0EFE" w14:paraId="6CE3E981" w14:textId="1CB3C698">
      <w:pPr>
        <w:spacing w:line="360" w:lineRule="auto"/>
        <w:jc w:val="both"/>
        <w:rPr>
          <w:rFonts w:cs="Arial"/>
        </w:rPr>
      </w:pPr>
      <w:r w:rsidRPr="00CF0EFE">
        <w:rPr>
          <w:rFonts w:cs="Arial"/>
        </w:rPr>
        <w:t>PCC is another essential concept of the up-to-date health and social care practice with a focus on valuing the needs of individuals, autonomy, and dignity. Humanistic theory constructed by Rogers offers significant conceptual basis because empathy, understanding, and genuine relationships may be emphasi</w:t>
      </w:r>
      <w:r w:rsidR="00273F97">
        <w:rPr>
          <w:rFonts w:cs="Arial"/>
        </w:rPr>
        <w:t>s</w:t>
      </w:r>
      <w:r w:rsidRPr="00CF0EFE">
        <w:rPr>
          <w:rFonts w:cs="Arial"/>
        </w:rPr>
        <w:t>ed in care provision. The professional practice is also guided by ethical principles such as autonomy, beneficence and justice. Moreover, PW facilitates partnership work across the professionals, service users, and organisations to provide coordinated commitment. In conclusion, successful health and social care is a combination of person-centred health care and ethical practice, good working relationships and supporting legislations</w:t>
      </w:r>
      <w:r w:rsidRPr="00BE35A4" w:rsidR="008146E4">
        <w:rPr>
          <w:rFonts w:cs="Arial"/>
        </w:rPr>
        <w:t>.</w:t>
      </w:r>
    </w:p>
    <w:p w:rsidR="00CF0EFE" w:rsidRDefault="00CF0EFE" w14:paraId="0440C889" w14:textId="77777777">
      <w:pPr>
        <w:rPr>
          <w:rFonts w:cs="Arial" w:eastAsiaTheme="majorEastAsia"/>
          <w:b/>
          <w:bCs/>
          <w:sz w:val="32"/>
          <w:szCs w:val="32"/>
        </w:rPr>
      </w:pPr>
      <w:r>
        <w:rPr>
          <w:rFonts w:cs="Arial"/>
          <w:b/>
          <w:bCs/>
        </w:rPr>
        <w:br w:type="page"/>
      </w:r>
    </w:p>
    <w:p w:rsidRPr="00BE35A4" w:rsidR="00D507B2" w:rsidP="00D148EB" w:rsidRDefault="00D507B2" w14:paraId="449EE16B" w14:textId="061C3C45">
      <w:pPr>
        <w:pStyle w:val="Heading1"/>
        <w:spacing w:line="360" w:lineRule="auto"/>
        <w:jc w:val="both"/>
        <w:rPr>
          <w:rFonts w:ascii="Arial" w:hAnsi="Arial" w:cs="Arial"/>
          <w:b/>
          <w:bCs/>
          <w:color w:val="auto"/>
        </w:rPr>
      </w:pPr>
      <w:bookmarkStart w:name="_Toc223791148" w:id="16"/>
      <w:r w:rsidRPr="00BE35A4">
        <w:rPr>
          <w:rFonts w:ascii="Arial" w:hAnsi="Arial" w:cs="Arial"/>
          <w:b/>
          <w:bCs/>
          <w:color w:val="auto"/>
        </w:rPr>
        <w:t>References</w:t>
      </w:r>
      <w:bookmarkEnd w:id="16"/>
    </w:p>
    <w:p w:rsidR="00AD6E20" w:rsidP="00AD6E20" w:rsidRDefault="00AD6E20" w14:paraId="139B6447" w14:textId="77777777">
      <w:pPr>
        <w:spacing w:after="0" w:line="360" w:lineRule="auto"/>
        <w:jc w:val="both"/>
        <w:rPr>
          <w:szCs w:val="18"/>
        </w:rPr>
      </w:pPr>
      <w:r w:rsidRPr="00E713F2">
        <w:rPr>
          <w:szCs w:val="18"/>
        </w:rPr>
        <w:t>Ahmed, A., Muijsenbergh, M.E. and Vrijhoef, H.J.</w:t>
      </w:r>
      <w:r>
        <w:rPr>
          <w:szCs w:val="18"/>
        </w:rPr>
        <w:t xml:space="preserve"> (</w:t>
      </w:r>
      <w:r w:rsidRPr="00E713F2">
        <w:rPr>
          <w:szCs w:val="18"/>
        </w:rPr>
        <w:t>2022</w:t>
      </w:r>
      <w:r>
        <w:rPr>
          <w:szCs w:val="18"/>
        </w:rPr>
        <w:t>)</w:t>
      </w:r>
      <w:r w:rsidRPr="00E713F2">
        <w:rPr>
          <w:szCs w:val="18"/>
        </w:rPr>
        <w:t>. Person</w:t>
      </w:r>
      <w:r w:rsidRPr="00E713F2">
        <w:rPr>
          <w:rFonts w:ascii="Cambria Math" w:hAnsi="Cambria Math" w:cs="Cambria Math"/>
          <w:szCs w:val="18"/>
        </w:rPr>
        <w:t>‐</w:t>
      </w:r>
      <w:r w:rsidRPr="00E713F2">
        <w:rPr>
          <w:szCs w:val="18"/>
        </w:rPr>
        <w:t>centred care in primary care: what works for whom, how and in what circumstances?.</w:t>
      </w:r>
      <w:r w:rsidRPr="00E713F2">
        <w:rPr>
          <w:rFonts w:cs="Arial"/>
          <w:szCs w:val="18"/>
        </w:rPr>
        <w:t> </w:t>
      </w:r>
      <w:r w:rsidRPr="00E713F2">
        <w:rPr>
          <w:i/>
          <w:iCs/>
          <w:szCs w:val="18"/>
        </w:rPr>
        <w:t>Health &amp; social care in the community</w:t>
      </w:r>
      <w:r w:rsidRPr="00E713F2">
        <w:rPr>
          <w:szCs w:val="18"/>
        </w:rPr>
        <w:t>, </w:t>
      </w:r>
      <w:r w:rsidRPr="00E713F2">
        <w:rPr>
          <w:i/>
          <w:iCs/>
          <w:szCs w:val="18"/>
        </w:rPr>
        <w:t>30</w:t>
      </w:r>
      <w:r w:rsidRPr="00E713F2">
        <w:rPr>
          <w:szCs w:val="18"/>
        </w:rPr>
        <w:t>(6), pp.e3328-e3341.</w:t>
      </w:r>
    </w:p>
    <w:p w:rsidR="00AD6E20" w:rsidP="00AD6E20" w:rsidRDefault="00AD6E20" w14:paraId="4B62BD2D" w14:textId="77777777">
      <w:pPr>
        <w:spacing w:after="0" w:line="360" w:lineRule="auto"/>
        <w:jc w:val="both"/>
        <w:rPr>
          <w:szCs w:val="18"/>
        </w:rPr>
      </w:pPr>
      <w:r w:rsidRPr="00A879BE">
        <w:rPr>
          <w:szCs w:val="18"/>
          <w:lang w:val="en-US"/>
        </w:rPr>
        <w:t>Brodie, K. (2024). </w:t>
      </w:r>
      <w:r w:rsidRPr="00A879BE">
        <w:rPr>
          <w:i/>
          <w:iCs/>
          <w:szCs w:val="18"/>
          <w:lang w:val="en-US"/>
        </w:rPr>
        <w:t>Carl Rogers’ Theory: Humanistic Approach and Psychology</w:t>
      </w:r>
      <w:r w:rsidRPr="00A879BE">
        <w:rPr>
          <w:szCs w:val="18"/>
          <w:lang w:val="en-US"/>
        </w:rPr>
        <w:t xml:space="preserve">. [online] Early Years TV. Available at: </w:t>
      </w:r>
      <w:hyperlink w:history="1" r:id="rId13">
        <w:r w:rsidRPr="00A879BE">
          <w:rPr>
            <w:rStyle w:val="Hyperlink"/>
            <w:szCs w:val="18"/>
            <w:lang w:val="en-US"/>
          </w:rPr>
          <w:t>https://www.earlyyears.tv/carl-rogers-theory-humanistic-approach/</w:t>
        </w:r>
      </w:hyperlink>
      <w:r>
        <w:rPr>
          <w:szCs w:val="18"/>
          <w:lang w:val="en-US"/>
        </w:rPr>
        <w:t xml:space="preserve"> </w:t>
      </w:r>
      <w:r w:rsidRPr="00E713F2">
        <w:rPr>
          <w:szCs w:val="18"/>
        </w:rPr>
        <w:t>[Accessed 7 Mar. 2026].</w:t>
      </w:r>
    </w:p>
    <w:p w:rsidR="00AD6E20" w:rsidP="00AD6E20" w:rsidRDefault="00AD6E20" w14:paraId="260048D5" w14:textId="77777777">
      <w:pPr>
        <w:spacing w:after="0" w:line="360" w:lineRule="auto"/>
        <w:jc w:val="both"/>
        <w:rPr>
          <w:szCs w:val="18"/>
        </w:rPr>
      </w:pPr>
      <w:r w:rsidRPr="00A879BE">
        <w:rPr>
          <w:szCs w:val="18"/>
        </w:rPr>
        <w:t xml:space="preserve">Byrne, A.L., Hall, A., Cutmore, E. and Mulvogue, J. </w:t>
      </w:r>
      <w:r>
        <w:rPr>
          <w:szCs w:val="18"/>
        </w:rPr>
        <w:t>(</w:t>
      </w:r>
      <w:r w:rsidRPr="00A879BE">
        <w:rPr>
          <w:szCs w:val="18"/>
        </w:rPr>
        <w:t>2026</w:t>
      </w:r>
      <w:r>
        <w:rPr>
          <w:szCs w:val="18"/>
        </w:rPr>
        <w:t>)</w:t>
      </w:r>
      <w:r w:rsidRPr="00A879BE">
        <w:rPr>
          <w:szCs w:val="18"/>
        </w:rPr>
        <w:t>. Beyond Satisfaction: Person</w:t>
      </w:r>
      <w:r w:rsidRPr="00A879BE">
        <w:rPr>
          <w:rFonts w:ascii="Cambria Math" w:hAnsi="Cambria Math" w:cs="Cambria Math"/>
          <w:szCs w:val="18"/>
        </w:rPr>
        <w:t>‐</w:t>
      </w:r>
      <w:r w:rsidRPr="00A879BE">
        <w:rPr>
          <w:szCs w:val="18"/>
        </w:rPr>
        <w:t>Centred Care and the Physical Environment Revisited</w:t>
      </w:r>
      <w:r w:rsidRPr="00A879BE">
        <w:rPr>
          <w:rFonts w:cs="Arial"/>
          <w:szCs w:val="18"/>
        </w:rPr>
        <w:t>—</w:t>
      </w:r>
      <w:r w:rsidRPr="00A879BE">
        <w:rPr>
          <w:szCs w:val="18"/>
        </w:rPr>
        <w:t>An Integrative Review.</w:t>
      </w:r>
      <w:r w:rsidRPr="00A879BE">
        <w:rPr>
          <w:rFonts w:cs="Arial"/>
          <w:szCs w:val="18"/>
        </w:rPr>
        <w:t> </w:t>
      </w:r>
      <w:r w:rsidRPr="00A879BE">
        <w:rPr>
          <w:i/>
          <w:iCs/>
          <w:szCs w:val="18"/>
        </w:rPr>
        <w:t>Nursing Open</w:t>
      </w:r>
      <w:r w:rsidRPr="00A879BE">
        <w:rPr>
          <w:szCs w:val="18"/>
        </w:rPr>
        <w:t>, </w:t>
      </w:r>
      <w:r w:rsidRPr="00A879BE">
        <w:rPr>
          <w:i/>
          <w:iCs/>
          <w:szCs w:val="18"/>
        </w:rPr>
        <w:t>13</w:t>
      </w:r>
      <w:r w:rsidRPr="00A879BE">
        <w:rPr>
          <w:szCs w:val="18"/>
        </w:rPr>
        <w:t>(1), p.e70395.</w:t>
      </w:r>
    </w:p>
    <w:p w:rsidR="00AD6E20" w:rsidP="00AD6E20" w:rsidRDefault="00AD6E20" w14:paraId="73F6D2EA" w14:textId="77777777">
      <w:pPr>
        <w:spacing w:after="0" w:line="360" w:lineRule="auto"/>
        <w:jc w:val="both"/>
        <w:rPr>
          <w:szCs w:val="18"/>
        </w:rPr>
      </w:pPr>
      <w:r w:rsidRPr="00A733FF">
        <w:rPr>
          <w:szCs w:val="18"/>
          <w:lang w:val="en-US"/>
        </w:rPr>
        <w:t>Care Act (2014). </w:t>
      </w:r>
      <w:r w:rsidRPr="00A733FF">
        <w:rPr>
          <w:i/>
          <w:iCs/>
          <w:szCs w:val="18"/>
          <w:lang w:val="en-US"/>
        </w:rPr>
        <w:t>Care Act 2014</w:t>
      </w:r>
      <w:r w:rsidRPr="00A733FF">
        <w:rPr>
          <w:szCs w:val="18"/>
          <w:lang w:val="en-US"/>
        </w:rPr>
        <w:t xml:space="preserve">. [online] Legislation.gov.uk. Available at: </w:t>
      </w:r>
      <w:hyperlink w:history="1" r:id="rId14">
        <w:r w:rsidRPr="00A733FF">
          <w:rPr>
            <w:rStyle w:val="Hyperlink"/>
            <w:szCs w:val="18"/>
            <w:lang w:val="en-US"/>
          </w:rPr>
          <w:t>https://www.legislation.gov.uk/ukpga/2014/23/contents</w:t>
        </w:r>
      </w:hyperlink>
      <w:r>
        <w:rPr>
          <w:szCs w:val="18"/>
          <w:lang w:val="en-US"/>
        </w:rPr>
        <w:t xml:space="preserve"> </w:t>
      </w:r>
      <w:r w:rsidRPr="00E713F2">
        <w:rPr>
          <w:szCs w:val="18"/>
        </w:rPr>
        <w:t>[Accessed 7 Mar. 2026].</w:t>
      </w:r>
    </w:p>
    <w:p w:rsidR="00AD6E20" w:rsidP="00AD6E20" w:rsidRDefault="00AD6E20" w14:paraId="5F065C68" w14:textId="77777777">
      <w:pPr>
        <w:spacing w:after="0" w:line="360" w:lineRule="auto"/>
        <w:jc w:val="both"/>
        <w:rPr>
          <w:szCs w:val="18"/>
          <w:lang w:val="en-US"/>
        </w:rPr>
      </w:pPr>
      <w:r w:rsidRPr="00C85039">
        <w:rPr>
          <w:szCs w:val="18"/>
        </w:rPr>
        <w:t xml:space="preserve">Cheraghi, R., Valizadeh, L., Zamanzadeh, V., Hassankhani, H. and Jafarzadeh, A. </w:t>
      </w:r>
      <w:r>
        <w:rPr>
          <w:szCs w:val="18"/>
        </w:rPr>
        <w:t>(</w:t>
      </w:r>
      <w:r w:rsidRPr="00C85039">
        <w:rPr>
          <w:szCs w:val="18"/>
        </w:rPr>
        <w:t>2023</w:t>
      </w:r>
      <w:r>
        <w:rPr>
          <w:szCs w:val="18"/>
        </w:rPr>
        <w:t>)</w:t>
      </w:r>
      <w:r w:rsidRPr="00C85039">
        <w:rPr>
          <w:szCs w:val="18"/>
        </w:rPr>
        <w:t>. Clarification of ethical principle of the beneficence in nursing care: an integrative review. </w:t>
      </w:r>
      <w:r w:rsidRPr="00C85039">
        <w:rPr>
          <w:i/>
          <w:iCs/>
          <w:szCs w:val="18"/>
        </w:rPr>
        <w:t>BMC nursing</w:t>
      </w:r>
      <w:r w:rsidRPr="00C85039">
        <w:rPr>
          <w:szCs w:val="18"/>
        </w:rPr>
        <w:t>, </w:t>
      </w:r>
      <w:r w:rsidRPr="00C85039">
        <w:rPr>
          <w:i/>
          <w:iCs/>
          <w:szCs w:val="18"/>
        </w:rPr>
        <w:t>22</w:t>
      </w:r>
      <w:r w:rsidRPr="00C85039">
        <w:rPr>
          <w:szCs w:val="18"/>
        </w:rPr>
        <w:t>(1), p.89.</w:t>
      </w:r>
    </w:p>
    <w:p w:rsidR="00AD6E20" w:rsidP="00AD6E20" w:rsidRDefault="00AD6E20" w14:paraId="1213F64C" w14:textId="77777777">
      <w:pPr>
        <w:spacing w:after="0" w:line="360" w:lineRule="auto"/>
        <w:jc w:val="both"/>
        <w:rPr>
          <w:szCs w:val="18"/>
        </w:rPr>
      </w:pPr>
      <w:r w:rsidRPr="00A879BE">
        <w:rPr>
          <w:szCs w:val="18"/>
        </w:rPr>
        <w:t xml:space="preserve">Damant, J., Hamashima, Y., Toma, M., Smith, N., Taylor, J., Caprioli, T., Jasim, S., Prato, L., Mcleod, H., Giebel, C. and Peters, M. </w:t>
      </w:r>
      <w:r>
        <w:rPr>
          <w:szCs w:val="18"/>
        </w:rPr>
        <w:t>(</w:t>
      </w:r>
      <w:r w:rsidRPr="00A879BE">
        <w:rPr>
          <w:szCs w:val="18"/>
        </w:rPr>
        <w:t>2026</w:t>
      </w:r>
      <w:r>
        <w:rPr>
          <w:szCs w:val="18"/>
        </w:rPr>
        <w:t>)</w:t>
      </w:r>
      <w:r w:rsidRPr="00A879BE">
        <w:rPr>
          <w:szCs w:val="18"/>
        </w:rPr>
        <w:t>. Investigating Person</w:t>
      </w:r>
      <w:r w:rsidRPr="00A879BE">
        <w:rPr>
          <w:rFonts w:ascii="Cambria Math" w:hAnsi="Cambria Math" w:cs="Cambria Math"/>
          <w:szCs w:val="18"/>
        </w:rPr>
        <w:t>‐</w:t>
      </w:r>
      <w:r w:rsidRPr="00A879BE">
        <w:rPr>
          <w:szCs w:val="18"/>
        </w:rPr>
        <w:t>Centred Care Planning in Care Homes Across England: An Exploratory Study of Practices and Contextual Factors.</w:t>
      </w:r>
      <w:r w:rsidRPr="00A879BE">
        <w:rPr>
          <w:rFonts w:cs="Arial"/>
          <w:szCs w:val="18"/>
        </w:rPr>
        <w:t> </w:t>
      </w:r>
      <w:r w:rsidRPr="00A879BE">
        <w:rPr>
          <w:i/>
          <w:iCs/>
          <w:szCs w:val="18"/>
        </w:rPr>
        <w:t>Journal of Advanced Nursing</w:t>
      </w:r>
      <w:r w:rsidRPr="00A879BE">
        <w:rPr>
          <w:szCs w:val="18"/>
        </w:rPr>
        <w:t>, </w:t>
      </w:r>
      <w:r w:rsidRPr="00A879BE">
        <w:rPr>
          <w:i/>
          <w:iCs/>
          <w:szCs w:val="18"/>
        </w:rPr>
        <w:t>82</w:t>
      </w:r>
      <w:r w:rsidRPr="00A879BE">
        <w:rPr>
          <w:szCs w:val="18"/>
        </w:rPr>
        <w:t>(1), pp.617-631.</w:t>
      </w:r>
    </w:p>
    <w:p w:rsidR="00AD6E20" w:rsidP="00AD6E20" w:rsidRDefault="00AD6E20" w14:paraId="22DC8665" w14:textId="77777777">
      <w:pPr>
        <w:spacing w:after="0" w:line="360" w:lineRule="auto"/>
        <w:jc w:val="both"/>
        <w:rPr>
          <w:szCs w:val="18"/>
        </w:rPr>
      </w:pPr>
      <w:r w:rsidRPr="00A879BE">
        <w:rPr>
          <w:szCs w:val="18"/>
        </w:rPr>
        <w:t>Ekman, N., Moons, P., Taft, C., Boström, E. and Fors, A.</w:t>
      </w:r>
      <w:r>
        <w:rPr>
          <w:szCs w:val="18"/>
        </w:rPr>
        <w:t xml:space="preserve"> (</w:t>
      </w:r>
      <w:r w:rsidRPr="00A879BE">
        <w:rPr>
          <w:szCs w:val="18"/>
        </w:rPr>
        <w:t>2022</w:t>
      </w:r>
      <w:r>
        <w:rPr>
          <w:szCs w:val="18"/>
        </w:rPr>
        <w:t>)</w:t>
      </w:r>
      <w:r w:rsidRPr="00A879BE">
        <w:rPr>
          <w:szCs w:val="18"/>
        </w:rPr>
        <w:t>. Observable indicators of person-centred care: an interview study with patients, relatives and professionals. </w:t>
      </w:r>
      <w:r w:rsidRPr="00A879BE">
        <w:rPr>
          <w:i/>
          <w:iCs/>
          <w:szCs w:val="18"/>
        </w:rPr>
        <w:t>BMJ open</w:t>
      </w:r>
      <w:r w:rsidRPr="00A879BE">
        <w:rPr>
          <w:szCs w:val="18"/>
        </w:rPr>
        <w:t>, </w:t>
      </w:r>
      <w:r w:rsidRPr="00A879BE">
        <w:rPr>
          <w:i/>
          <w:iCs/>
          <w:szCs w:val="18"/>
        </w:rPr>
        <w:t>12</w:t>
      </w:r>
      <w:r w:rsidRPr="00A879BE">
        <w:rPr>
          <w:szCs w:val="18"/>
        </w:rPr>
        <w:t>(4), p.e059308.</w:t>
      </w:r>
    </w:p>
    <w:p w:rsidRPr="00C65CAF" w:rsidR="00AD6E20" w:rsidP="00AD6E20" w:rsidRDefault="00AD6E20" w14:paraId="011CA0CB" w14:textId="77777777">
      <w:pPr>
        <w:spacing w:after="0" w:line="360" w:lineRule="auto"/>
        <w:jc w:val="both"/>
        <w:rPr>
          <w:szCs w:val="18"/>
          <w:lang w:val="en-US"/>
        </w:rPr>
      </w:pPr>
      <w:r w:rsidRPr="00C65CAF">
        <w:rPr>
          <w:szCs w:val="18"/>
        </w:rPr>
        <w:t>England, N. H. S. (2022). Working in partnership with people and communities: statutory guidance. </w:t>
      </w:r>
      <w:r w:rsidRPr="00C65CAF">
        <w:rPr>
          <w:i/>
          <w:iCs/>
          <w:szCs w:val="18"/>
        </w:rPr>
        <w:t>Care DoHS</w:t>
      </w:r>
      <w:r w:rsidRPr="00C65CAF">
        <w:rPr>
          <w:szCs w:val="18"/>
        </w:rPr>
        <w:t>.</w:t>
      </w:r>
    </w:p>
    <w:p w:rsidR="00AD6E20" w:rsidP="00AD6E20" w:rsidRDefault="00AD6E20" w14:paraId="425145E4" w14:textId="77777777">
      <w:pPr>
        <w:spacing w:after="0" w:line="360" w:lineRule="auto"/>
        <w:jc w:val="both"/>
        <w:rPr>
          <w:szCs w:val="18"/>
        </w:rPr>
      </w:pPr>
      <w:r w:rsidRPr="00C65CAF">
        <w:rPr>
          <w:szCs w:val="18"/>
        </w:rPr>
        <w:t xml:space="preserve">Firmin, C., Lefevre, M., Huegler, N. and Peace, D. </w:t>
      </w:r>
      <w:r>
        <w:rPr>
          <w:szCs w:val="18"/>
        </w:rPr>
        <w:t>(</w:t>
      </w:r>
      <w:r w:rsidRPr="00C65CAF">
        <w:rPr>
          <w:szCs w:val="18"/>
        </w:rPr>
        <w:t>2022</w:t>
      </w:r>
      <w:r>
        <w:rPr>
          <w:szCs w:val="18"/>
        </w:rPr>
        <w:t>)</w:t>
      </w:r>
      <w:r w:rsidRPr="00C65CAF">
        <w:rPr>
          <w:szCs w:val="18"/>
        </w:rPr>
        <w:t>. Improving interagency collaboration. In </w:t>
      </w:r>
      <w:r w:rsidRPr="00C65CAF">
        <w:rPr>
          <w:i/>
          <w:iCs/>
          <w:szCs w:val="18"/>
        </w:rPr>
        <w:t>Safeguarding young people beyond the family home</w:t>
      </w:r>
      <w:r w:rsidRPr="00C65CAF">
        <w:rPr>
          <w:szCs w:val="18"/>
        </w:rPr>
        <w:t> (pp. 43-52). Policy Press.</w:t>
      </w:r>
    </w:p>
    <w:p w:rsidR="00AD6E20" w:rsidP="00AD6E20" w:rsidRDefault="00AD6E20" w14:paraId="42F313DF" w14:textId="77777777">
      <w:pPr>
        <w:spacing w:after="0" w:line="360" w:lineRule="auto"/>
        <w:jc w:val="both"/>
        <w:rPr>
          <w:szCs w:val="18"/>
        </w:rPr>
      </w:pPr>
      <w:r w:rsidRPr="00A733FF">
        <w:rPr>
          <w:szCs w:val="18"/>
          <w:lang w:val="en-US"/>
        </w:rPr>
        <w:t>GOV.UK (2005). </w:t>
      </w:r>
      <w:r w:rsidRPr="00A733FF">
        <w:rPr>
          <w:i/>
          <w:iCs/>
          <w:szCs w:val="18"/>
          <w:lang w:val="en-US"/>
        </w:rPr>
        <w:t>Mental Capacity Act 2005</w:t>
      </w:r>
      <w:r w:rsidRPr="00A733FF">
        <w:rPr>
          <w:szCs w:val="18"/>
          <w:lang w:val="en-US"/>
        </w:rPr>
        <w:t xml:space="preserve">. [online] Legislation.gov.uk. Available at: </w:t>
      </w:r>
      <w:hyperlink w:history="1" r:id="rId15">
        <w:r w:rsidRPr="00A733FF">
          <w:rPr>
            <w:rStyle w:val="Hyperlink"/>
            <w:szCs w:val="18"/>
            <w:lang w:val="en-US"/>
          </w:rPr>
          <w:t>https://www.legislation.gov.uk/ukpga/2005/9/contents</w:t>
        </w:r>
      </w:hyperlink>
      <w:r>
        <w:rPr>
          <w:szCs w:val="18"/>
          <w:lang w:val="en-US"/>
        </w:rPr>
        <w:t xml:space="preserve"> </w:t>
      </w:r>
      <w:r w:rsidRPr="00E713F2">
        <w:rPr>
          <w:szCs w:val="18"/>
        </w:rPr>
        <w:t>[Accessed 7 Mar. 2026].</w:t>
      </w:r>
    </w:p>
    <w:p w:rsidR="00AD6E20" w:rsidP="00AD6E20" w:rsidRDefault="00AD6E20" w14:paraId="024E215D" w14:textId="77777777">
      <w:pPr>
        <w:spacing w:after="0" w:line="360" w:lineRule="auto"/>
        <w:jc w:val="both"/>
        <w:rPr>
          <w:szCs w:val="18"/>
        </w:rPr>
      </w:pPr>
      <w:r w:rsidRPr="00A733FF">
        <w:rPr>
          <w:szCs w:val="18"/>
          <w:lang w:val="en-US"/>
        </w:rPr>
        <w:t>GOV.UK (2010). </w:t>
      </w:r>
      <w:r w:rsidRPr="00A733FF">
        <w:rPr>
          <w:i/>
          <w:iCs/>
          <w:szCs w:val="18"/>
          <w:lang w:val="en-US"/>
        </w:rPr>
        <w:t>Equality Act 2010</w:t>
      </w:r>
      <w:r w:rsidRPr="00A733FF">
        <w:rPr>
          <w:szCs w:val="18"/>
          <w:lang w:val="en-US"/>
        </w:rPr>
        <w:t xml:space="preserve">. [online] Legislation.gov.uk. Available at: </w:t>
      </w:r>
      <w:hyperlink w:history="1" r:id="rId16">
        <w:r w:rsidRPr="00A733FF">
          <w:rPr>
            <w:rStyle w:val="Hyperlink"/>
            <w:szCs w:val="18"/>
            <w:lang w:val="en-US"/>
          </w:rPr>
          <w:t>https://www.legislation.gov.uk/ukpga/2010/15/contents</w:t>
        </w:r>
      </w:hyperlink>
      <w:r>
        <w:rPr>
          <w:szCs w:val="18"/>
          <w:lang w:val="en-US"/>
        </w:rPr>
        <w:t xml:space="preserve"> [</w:t>
      </w:r>
      <w:r w:rsidRPr="00E713F2">
        <w:rPr>
          <w:szCs w:val="18"/>
        </w:rPr>
        <w:t>Accessed 7 Mar. 2026].</w:t>
      </w:r>
    </w:p>
    <w:p w:rsidR="00AD6E20" w:rsidP="00AD6E20" w:rsidRDefault="00AD6E20" w14:paraId="0A62ADFA" w14:textId="77777777">
      <w:pPr>
        <w:spacing w:after="0" w:line="360" w:lineRule="auto"/>
        <w:jc w:val="both"/>
        <w:rPr>
          <w:szCs w:val="18"/>
        </w:rPr>
      </w:pPr>
      <w:r w:rsidRPr="00E713F2">
        <w:rPr>
          <w:szCs w:val="18"/>
          <w:lang w:val="en-US"/>
        </w:rPr>
        <w:t xml:space="preserve">GOV.UK </w:t>
      </w:r>
      <w:r w:rsidRPr="00E713F2">
        <w:rPr>
          <w:rFonts w:cs="Arial"/>
          <w:szCs w:val="18"/>
          <w:lang w:val="en-US"/>
        </w:rPr>
        <w:t>(2022). </w:t>
      </w:r>
      <w:r w:rsidRPr="00E713F2">
        <w:rPr>
          <w:rFonts w:cs="Arial"/>
          <w:i/>
          <w:iCs/>
          <w:szCs w:val="18"/>
          <w:lang w:val="en-US"/>
        </w:rPr>
        <w:t>Health and social care integration: joining up care for people, places and populations</w:t>
      </w:r>
      <w:r w:rsidRPr="00E713F2">
        <w:rPr>
          <w:rFonts w:cs="Arial"/>
          <w:szCs w:val="18"/>
          <w:lang w:val="en-US"/>
        </w:rPr>
        <w:t xml:space="preserve">. [online] GOV.UK. Available at: </w:t>
      </w:r>
      <w:hyperlink w:history="1" r:id="rId17">
        <w:r w:rsidRPr="00E713F2">
          <w:rPr>
            <w:rStyle w:val="Hyperlink"/>
            <w:szCs w:val="18"/>
            <w:lang w:val="en-US"/>
          </w:rPr>
          <w:t>https://www.gov.uk/government/publications/health-and-social-care-integration-joining-up-care-for-people-places-and-populations/health-and-social-care-integration-joining-up-care-for-people-places-and-populations</w:t>
        </w:r>
      </w:hyperlink>
      <w:r>
        <w:rPr>
          <w:szCs w:val="18"/>
          <w:lang w:val="en-US"/>
        </w:rPr>
        <w:t xml:space="preserve"> </w:t>
      </w:r>
      <w:r w:rsidRPr="00E713F2">
        <w:rPr>
          <w:szCs w:val="18"/>
        </w:rPr>
        <w:t>[Accessed 7 Mar. 2026].</w:t>
      </w:r>
    </w:p>
    <w:p w:rsidR="00AD6E20" w:rsidP="00AD6E20" w:rsidRDefault="00AD6E20" w14:paraId="06B9045A" w14:textId="77777777">
      <w:pPr>
        <w:spacing w:after="0" w:line="360" w:lineRule="auto"/>
        <w:jc w:val="both"/>
        <w:rPr>
          <w:szCs w:val="18"/>
        </w:rPr>
      </w:pPr>
      <w:r w:rsidRPr="00D65603">
        <w:rPr>
          <w:szCs w:val="18"/>
        </w:rPr>
        <w:t>Greene, R. R. (2017). Carl Rogers and the person-centered approach. In </w:t>
      </w:r>
      <w:r w:rsidRPr="00D65603">
        <w:rPr>
          <w:i/>
          <w:iCs/>
          <w:szCs w:val="18"/>
        </w:rPr>
        <w:t>Human behavior theory and social work practice</w:t>
      </w:r>
      <w:r w:rsidRPr="00D65603">
        <w:rPr>
          <w:szCs w:val="18"/>
        </w:rPr>
        <w:t> (pp. 113-132). Routledge.</w:t>
      </w:r>
    </w:p>
    <w:p w:rsidR="00AD6E20" w:rsidP="00AD6E20" w:rsidRDefault="00AD6E20" w14:paraId="02E8A178" w14:textId="77777777">
      <w:pPr>
        <w:spacing w:after="0" w:line="360" w:lineRule="auto"/>
        <w:jc w:val="both"/>
        <w:rPr>
          <w:szCs w:val="18"/>
        </w:rPr>
      </w:pPr>
      <w:r w:rsidRPr="00C85039">
        <w:rPr>
          <w:szCs w:val="18"/>
        </w:rPr>
        <w:t>Griffith, R. and Tengnah, C.A.</w:t>
      </w:r>
      <w:r>
        <w:rPr>
          <w:szCs w:val="18"/>
        </w:rPr>
        <w:t xml:space="preserve"> (</w:t>
      </w:r>
      <w:r w:rsidRPr="00C85039">
        <w:rPr>
          <w:szCs w:val="18"/>
        </w:rPr>
        <w:t>2023</w:t>
      </w:r>
      <w:r>
        <w:rPr>
          <w:szCs w:val="18"/>
        </w:rPr>
        <w:t>)</w:t>
      </w:r>
      <w:r w:rsidRPr="00C85039">
        <w:rPr>
          <w:szCs w:val="18"/>
        </w:rPr>
        <w:t>. Law and professional issues in nursing.</w:t>
      </w:r>
    </w:p>
    <w:p w:rsidRPr="00037F06" w:rsidR="00AD6E20" w:rsidP="00AD6E20" w:rsidRDefault="00AD6E20" w14:paraId="31872654" w14:textId="77777777">
      <w:pPr>
        <w:spacing w:after="0" w:line="360" w:lineRule="auto"/>
        <w:jc w:val="both"/>
        <w:rPr>
          <w:rFonts w:cs="Arial"/>
          <w:szCs w:val="18"/>
          <w:lang w:val="en-US"/>
        </w:rPr>
      </w:pPr>
      <w:r w:rsidRPr="00037F06">
        <w:rPr>
          <w:szCs w:val="18"/>
        </w:rPr>
        <w:t xml:space="preserve">Heckemann, B., Chaaya, M., Jakobsson Ung, E., Olsson, D.S. and Jakobsson, S. </w:t>
      </w:r>
      <w:r>
        <w:rPr>
          <w:szCs w:val="18"/>
        </w:rPr>
        <w:t>(</w:t>
      </w:r>
      <w:r w:rsidRPr="00037F06">
        <w:rPr>
          <w:szCs w:val="18"/>
        </w:rPr>
        <w:t>2022</w:t>
      </w:r>
      <w:r>
        <w:rPr>
          <w:szCs w:val="18"/>
        </w:rPr>
        <w:t>)</w:t>
      </w:r>
      <w:r w:rsidRPr="00037F06">
        <w:rPr>
          <w:szCs w:val="18"/>
        </w:rPr>
        <w:t>. Finding the person in electronic health records. a mixed-methods analysis of person-centered content and language. </w:t>
      </w:r>
      <w:r w:rsidRPr="00037F06">
        <w:rPr>
          <w:i/>
          <w:iCs/>
          <w:szCs w:val="18"/>
        </w:rPr>
        <w:t>Health Communication</w:t>
      </w:r>
      <w:r w:rsidRPr="00037F06">
        <w:rPr>
          <w:szCs w:val="18"/>
        </w:rPr>
        <w:t>, </w:t>
      </w:r>
      <w:r w:rsidRPr="00037F06">
        <w:rPr>
          <w:i/>
          <w:iCs/>
          <w:szCs w:val="18"/>
        </w:rPr>
        <w:t>37</w:t>
      </w:r>
      <w:r w:rsidRPr="00037F06">
        <w:rPr>
          <w:szCs w:val="18"/>
        </w:rPr>
        <w:t>(4), pp.418-424.</w:t>
      </w:r>
    </w:p>
    <w:p w:rsidR="00AD6E20" w:rsidP="00AD6E20" w:rsidRDefault="00AD6E20" w14:paraId="28D63E20" w14:textId="77777777">
      <w:pPr>
        <w:spacing w:after="0" w:line="360" w:lineRule="auto"/>
        <w:jc w:val="both"/>
        <w:rPr>
          <w:szCs w:val="18"/>
        </w:rPr>
      </w:pPr>
      <w:r w:rsidRPr="00A733FF">
        <w:rPr>
          <w:szCs w:val="18"/>
        </w:rPr>
        <w:t xml:space="preserve">Hickman, S.E., Lum, H.D., Walling, A.M., Savoy, A. and Sudore, R.L. </w:t>
      </w:r>
      <w:r>
        <w:rPr>
          <w:szCs w:val="18"/>
        </w:rPr>
        <w:t>(</w:t>
      </w:r>
      <w:r w:rsidRPr="00A733FF">
        <w:rPr>
          <w:szCs w:val="18"/>
        </w:rPr>
        <w:t>2023</w:t>
      </w:r>
      <w:r>
        <w:rPr>
          <w:szCs w:val="18"/>
        </w:rPr>
        <w:t>)</w:t>
      </w:r>
      <w:r w:rsidRPr="00A733FF">
        <w:rPr>
          <w:szCs w:val="18"/>
        </w:rPr>
        <w:t>. The care planning umbrella: the evolution of advance care planning. </w:t>
      </w:r>
      <w:r w:rsidRPr="00A733FF">
        <w:rPr>
          <w:i/>
          <w:iCs/>
          <w:szCs w:val="18"/>
        </w:rPr>
        <w:t>Journal of the American Geriatrics Society</w:t>
      </w:r>
      <w:r w:rsidRPr="00A733FF">
        <w:rPr>
          <w:szCs w:val="18"/>
        </w:rPr>
        <w:t>, </w:t>
      </w:r>
      <w:r w:rsidRPr="00A733FF">
        <w:rPr>
          <w:i/>
          <w:iCs/>
          <w:szCs w:val="18"/>
        </w:rPr>
        <w:t>71</w:t>
      </w:r>
      <w:r w:rsidRPr="00A733FF">
        <w:rPr>
          <w:szCs w:val="18"/>
        </w:rPr>
        <w:t>(7), p.2350.</w:t>
      </w:r>
    </w:p>
    <w:p w:rsidR="00AD6E20" w:rsidP="00AD6E20" w:rsidRDefault="00AD6E20" w14:paraId="3E1A1626" w14:textId="77777777">
      <w:pPr>
        <w:spacing w:after="0" w:line="360" w:lineRule="auto"/>
        <w:jc w:val="both"/>
        <w:rPr>
          <w:szCs w:val="18"/>
        </w:rPr>
      </w:pPr>
      <w:r w:rsidRPr="00C85039">
        <w:rPr>
          <w:szCs w:val="18"/>
        </w:rPr>
        <w:t xml:space="preserve">John, S. and Wu, J. </w:t>
      </w:r>
      <w:r>
        <w:rPr>
          <w:szCs w:val="18"/>
        </w:rPr>
        <w:t>(</w:t>
      </w:r>
      <w:r w:rsidRPr="00C85039">
        <w:rPr>
          <w:szCs w:val="18"/>
        </w:rPr>
        <w:t>2022</w:t>
      </w:r>
      <w:r>
        <w:rPr>
          <w:szCs w:val="18"/>
        </w:rPr>
        <w:t>)</w:t>
      </w:r>
      <w:r w:rsidRPr="00C85039">
        <w:rPr>
          <w:szCs w:val="18"/>
        </w:rPr>
        <w:t>. “First, Do No Harm”? Non-Maleficence, Population Health, and the Ethics of Risk. </w:t>
      </w:r>
      <w:r w:rsidRPr="00C85039">
        <w:rPr>
          <w:i/>
          <w:iCs/>
          <w:szCs w:val="18"/>
        </w:rPr>
        <w:t>Social Theory and Practice</w:t>
      </w:r>
      <w:r w:rsidRPr="00C85039">
        <w:rPr>
          <w:szCs w:val="18"/>
        </w:rPr>
        <w:t>, </w:t>
      </w:r>
      <w:r w:rsidRPr="00C85039">
        <w:rPr>
          <w:i/>
          <w:iCs/>
          <w:szCs w:val="18"/>
        </w:rPr>
        <w:t>48</w:t>
      </w:r>
      <w:r w:rsidRPr="00C85039">
        <w:rPr>
          <w:szCs w:val="18"/>
        </w:rPr>
        <w:t>(3), pp.525-551.</w:t>
      </w:r>
    </w:p>
    <w:p w:rsidR="00AD6E20" w:rsidP="00AD6E20" w:rsidRDefault="00AD6E20" w14:paraId="09D07AB3" w14:textId="77777777">
      <w:pPr>
        <w:spacing w:after="0" w:line="360" w:lineRule="auto"/>
        <w:jc w:val="both"/>
        <w:rPr>
          <w:szCs w:val="18"/>
        </w:rPr>
      </w:pPr>
      <w:r w:rsidRPr="00E713F2">
        <w:rPr>
          <w:szCs w:val="18"/>
        </w:rPr>
        <w:t>Joseph, S. A. (2025). </w:t>
      </w:r>
      <w:r w:rsidRPr="00E713F2">
        <w:rPr>
          <w:i/>
          <w:iCs/>
          <w:szCs w:val="18"/>
        </w:rPr>
        <w:t>The humanistic psychology of Carl Rogers: Understanding the person-centered approach</w:t>
      </w:r>
      <w:r w:rsidRPr="00E713F2">
        <w:rPr>
          <w:szCs w:val="18"/>
        </w:rPr>
        <w:t>. Oxford University Press.</w:t>
      </w:r>
    </w:p>
    <w:p w:rsidR="00AD6E20" w:rsidP="00AD6E20" w:rsidRDefault="00AD6E20" w14:paraId="1DFFDA61" w14:textId="77777777">
      <w:pPr>
        <w:spacing w:after="0" w:line="360" w:lineRule="auto"/>
        <w:jc w:val="both"/>
        <w:rPr>
          <w:szCs w:val="18"/>
        </w:rPr>
      </w:pPr>
      <w:r w:rsidRPr="00D65603">
        <w:rPr>
          <w:szCs w:val="18"/>
        </w:rPr>
        <w:t xml:space="preserve">Kahn, E. and Rachman, A.W. </w:t>
      </w:r>
      <w:r>
        <w:rPr>
          <w:szCs w:val="18"/>
        </w:rPr>
        <w:t>(</w:t>
      </w:r>
      <w:r w:rsidRPr="00D65603">
        <w:rPr>
          <w:szCs w:val="18"/>
        </w:rPr>
        <w:t>2000</w:t>
      </w:r>
      <w:r>
        <w:rPr>
          <w:szCs w:val="18"/>
        </w:rPr>
        <w:t>)</w:t>
      </w:r>
      <w:r w:rsidRPr="00D65603">
        <w:rPr>
          <w:szCs w:val="18"/>
        </w:rPr>
        <w:t>. Carl Rogers and Heinz Kohut: A historical perspective. </w:t>
      </w:r>
      <w:r w:rsidRPr="00D65603">
        <w:rPr>
          <w:i/>
          <w:iCs/>
          <w:szCs w:val="18"/>
        </w:rPr>
        <w:t>Psychoanalytic Psychology</w:t>
      </w:r>
      <w:r w:rsidRPr="00D65603">
        <w:rPr>
          <w:szCs w:val="18"/>
        </w:rPr>
        <w:t>, </w:t>
      </w:r>
      <w:r w:rsidRPr="00D65603">
        <w:rPr>
          <w:i/>
          <w:iCs/>
          <w:szCs w:val="18"/>
        </w:rPr>
        <w:t>17</w:t>
      </w:r>
      <w:r w:rsidRPr="00D65603">
        <w:rPr>
          <w:szCs w:val="18"/>
        </w:rPr>
        <w:t>(2), p.294.</w:t>
      </w:r>
    </w:p>
    <w:p w:rsidR="00AD6E20" w:rsidP="00AD6E20" w:rsidRDefault="00AD6E20" w14:paraId="7B697B4C" w14:textId="77777777">
      <w:pPr>
        <w:spacing w:after="0" w:line="360" w:lineRule="auto"/>
        <w:jc w:val="both"/>
        <w:rPr>
          <w:szCs w:val="18"/>
        </w:rPr>
      </w:pPr>
      <w:r w:rsidRPr="00D65603">
        <w:rPr>
          <w:szCs w:val="18"/>
        </w:rPr>
        <w:t>Krikorian, M. (2022). Carl Rogers: A person-centered approach. In </w:t>
      </w:r>
      <w:r w:rsidRPr="00D65603">
        <w:rPr>
          <w:i/>
          <w:iCs/>
          <w:szCs w:val="18"/>
        </w:rPr>
        <w:t>The Palgrave handbook of educational thinkers</w:t>
      </w:r>
      <w:r w:rsidRPr="00D65603">
        <w:rPr>
          <w:szCs w:val="18"/>
        </w:rPr>
        <w:t> (pp. 1-13). Cham: Springer International Publishing.</w:t>
      </w:r>
    </w:p>
    <w:p w:rsidR="00AD6E20" w:rsidP="00AD6E20" w:rsidRDefault="00AD6E20" w14:paraId="18AC1E6E" w14:textId="77777777">
      <w:pPr>
        <w:spacing w:after="0" w:line="360" w:lineRule="auto"/>
        <w:jc w:val="both"/>
        <w:rPr>
          <w:szCs w:val="18"/>
        </w:rPr>
      </w:pPr>
      <w:r>
        <w:rPr>
          <w:szCs w:val="18"/>
          <w:lang w:val="en-US"/>
        </w:rPr>
        <w:t>Legislation.</w:t>
      </w:r>
      <w:r w:rsidRPr="00A733FF">
        <w:rPr>
          <w:szCs w:val="18"/>
          <w:lang w:val="en-US"/>
        </w:rPr>
        <w:t xml:space="preserve"> GOV.UK (2018). </w:t>
      </w:r>
      <w:r w:rsidRPr="00A733FF">
        <w:rPr>
          <w:i/>
          <w:iCs/>
          <w:szCs w:val="18"/>
          <w:lang w:val="en-US"/>
        </w:rPr>
        <w:t>Data Protection Act 2018</w:t>
      </w:r>
      <w:r w:rsidRPr="00A733FF">
        <w:rPr>
          <w:szCs w:val="18"/>
          <w:lang w:val="en-US"/>
        </w:rPr>
        <w:t xml:space="preserve">. [online] Available at: </w:t>
      </w:r>
      <w:hyperlink w:history="1" r:id="rId18">
        <w:r w:rsidRPr="00A733FF">
          <w:rPr>
            <w:rStyle w:val="Hyperlink"/>
            <w:szCs w:val="18"/>
            <w:lang w:val="en-US"/>
          </w:rPr>
          <w:t>https://www.legislation.gov.uk/ukpga/2018/12/pdfs/ukpga_20180012_en.pdf</w:t>
        </w:r>
      </w:hyperlink>
      <w:r>
        <w:rPr>
          <w:szCs w:val="18"/>
          <w:lang w:val="en-US"/>
        </w:rPr>
        <w:t xml:space="preserve"> [</w:t>
      </w:r>
      <w:r w:rsidRPr="00E713F2">
        <w:rPr>
          <w:szCs w:val="18"/>
        </w:rPr>
        <w:t>Accessed 7 Mar. 2026].</w:t>
      </w:r>
    </w:p>
    <w:p w:rsidR="00AD6E20" w:rsidP="00AD6E20" w:rsidRDefault="00AD6E20" w14:paraId="1E181357" w14:textId="77777777">
      <w:pPr>
        <w:spacing w:after="0" w:line="360" w:lineRule="auto"/>
        <w:jc w:val="both"/>
        <w:rPr>
          <w:szCs w:val="18"/>
        </w:rPr>
      </w:pPr>
      <w:r w:rsidRPr="00C65CAF">
        <w:rPr>
          <w:szCs w:val="18"/>
        </w:rPr>
        <w:t xml:space="preserve">McLaney, E., Morassaei, S., Hughes, L., Davies, R., Campbell, M. and Di Prospero, L. </w:t>
      </w:r>
      <w:r>
        <w:rPr>
          <w:szCs w:val="18"/>
        </w:rPr>
        <w:t>(</w:t>
      </w:r>
      <w:r w:rsidRPr="00C65CAF">
        <w:rPr>
          <w:szCs w:val="18"/>
        </w:rPr>
        <w:t>2022, March</w:t>
      </w:r>
      <w:r>
        <w:rPr>
          <w:szCs w:val="18"/>
        </w:rPr>
        <w:t>)</w:t>
      </w:r>
      <w:r w:rsidRPr="00C65CAF">
        <w:rPr>
          <w:szCs w:val="18"/>
        </w:rPr>
        <w:t>. A framework for interprofessional team collaboration in a hospital setting: Advancing team competencies and behaviours. In </w:t>
      </w:r>
      <w:r w:rsidRPr="00C65CAF">
        <w:rPr>
          <w:i/>
          <w:iCs/>
          <w:szCs w:val="18"/>
        </w:rPr>
        <w:t>Healthcare management forum</w:t>
      </w:r>
      <w:r w:rsidRPr="00C65CAF">
        <w:rPr>
          <w:szCs w:val="18"/>
        </w:rPr>
        <w:t> (Vol. 35, No. 2, pp. 112-117). Sage CA: Los Angeles, CA: SAGE Publications.</w:t>
      </w:r>
    </w:p>
    <w:p w:rsidR="00AD6E20" w:rsidP="00AD6E20" w:rsidRDefault="00AD6E20" w14:paraId="1CAABEFC" w14:textId="77777777">
      <w:pPr>
        <w:spacing w:after="0" w:line="360" w:lineRule="auto"/>
        <w:jc w:val="both"/>
        <w:rPr>
          <w:szCs w:val="18"/>
        </w:rPr>
      </w:pPr>
      <w:r w:rsidRPr="00C85039">
        <w:rPr>
          <w:szCs w:val="18"/>
        </w:rPr>
        <w:t xml:space="preserve">McMenamin, M. and Munro, K. eds. </w:t>
      </w:r>
      <w:r>
        <w:rPr>
          <w:szCs w:val="18"/>
        </w:rPr>
        <w:t>(</w:t>
      </w:r>
      <w:r w:rsidRPr="00C85039">
        <w:rPr>
          <w:szCs w:val="18"/>
        </w:rPr>
        <w:t>2025</w:t>
      </w:r>
      <w:r>
        <w:rPr>
          <w:szCs w:val="18"/>
        </w:rPr>
        <w:t>)</w:t>
      </w:r>
      <w:r w:rsidRPr="00C85039">
        <w:rPr>
          <w:szCs w:val="18"/>
        </w:rPr>
        <w:t>. </w:t>
      </w:r>
      <w:r w:rsidRPr="00C85039">
        <w:rPr>
          <w:i/>
          <w:iCs/>
          <w:szCs w:val="18"/>
        </w:rPr>
        <w:t>Applying the Person-centred Approach to Global, Social and Personal Crises: Contemporary Challenges</w:t>
      </w:r>
      <w:r w:rsidRPr="00C85039">
        <w:rPr>
          <w:szCs w:val="18"/>
        </w:rPr>
        <w:t>. Taylor &amp; Francis.</w:t>
      </w:r>
    </w:p>
    <w:p w:rsidR="00AD6E20" w:rsidP="00AD6E20" w:rsidRDefault="00AD6E20" w14:paraId="5D6D7CDF" w14:textId="77777777">
      <w:pPr>
        <w:spacing w:after="0" w:line="360" w:lineRule="auto"/>
        <w:jc w:val="both"/>
        <w:rPr>
          <w:szCs w:val="18"/>
        </w:rPr>
      </w:pPr>
      <w:r w:rsidRPr="00A879BE">
        <w:rPr>
          <w:szCs w:val="18"/>
        </w:rPr>
        <w:t xml:space="preserve">Mitchell, P., Cribb, A. and Entwistle, V. </w:t>
      </w:r>
      <w:r>
        <w:rPr>
          <w:szCs w:val="18"/>
        </w:rPr>
        <w:t>(</w:t>
      </w:r>
      <w:r w:rsidRPr="00A879BE">
        <w:rPr>
          <w:szCs w:val="18"/>
        </w:rPr>
        <w:t>2022</w:t>
      </w:r>
      <w:r>
        <w:rPr>
          <w:szCs w:val="18"/>
        </w:rPr>
        <w:t>)</w:t>
      </w:r>
      <w:r w:rsidRPr="00A879BE">
        <w:rPr>
          <w:szCs w:val="18"/>
        </w:rPr>
        <w:t>. Vagueness and variety in person-centred care. </w:t>
      </w:r>
      <w:r w:rsidRPr="00A879BE">
        <w:rPr>
          <w:i/>
          <w:iCs/>
          <w:szCs w:val="18"/>
        </w:rPr>
        <w:t>Wellcome open research</w:t>
      </w:r>
      <w:r w:rsidRPr="00A879BE">
        <w:rPr>
          <w:szCs w:val="18"/>
        </w:rPr>
        <w:t>, </w:t>
      </w:r>
      <w:r w:rsidRPr="00A879BE">
        <w:rPr>
          <w:i/>
          <w:iCs/>
          <w:szCs w:val="18"/>
        </w:rPr>
        <w:t>7</w:t>
      </w:r>
      <w:r w:rsidRPr="00A879BE">
        <w:rPr>
          <w:szCs w:val="18"/>
        </w:rPr>
        <w:t>, p.170.</w:t>
      </w:r>
    </w:p>
    <w:p w:rsidR="00AD6E20" w:rsidP="00AD6E20" w:rsidRDefault="00AD6E20" w14:paraId="4C5C611C" w14:textId="77777777">
      <w:pPr>
        <w:spacing w:after="0" w:line="360" w:lineRule="auto"/>
        <w:jc w:val="both"/>
        <w:rPr>
          <w:szCs w:val="18"/>
        </w:rPr>
      </w:pPr>
      <w:r w:rsidRPr="00C85039">
        <w:rPr>
          <w:szCs w:val="18"/>
        </w:rPr>
        <w:t>Morgan, J. and Yaskey, J.</w:t>
      </w:r>
      <w:r>
        <w:rPr>
          <w:szCs w:val="18"/>
        </w:rPr>
        <w:t xml:space="preserve"> (</w:t>
      </w:r>
      <w:r w:rsidRPr="00C85039">
        <w:rPr>
          <w:szCs w:val="18"/>
        </w:rPr>
        <w:t>2025</w:t>
      </w:r>
      <w:r>
        <w:rPr>
          <w:szCs w:val="18"/>
        </w:rPr>
        <w:t>)</w:t>
      </w:r>
      <w:r w:rsidRPr="00C85039">
        <w:rPr>
          <w:szCs w:val="18"/>
        </w:rPr>
        <w:t>. Partnership working in health and social care. In </w:t>
      </w:r>
      <w:r w:rsidRPr="00C85039">
        <w:rPr>
          <w:i/>
          <w:iCs/>
          <w:szCs w:val="18"/>
        </w:rPr>
        <w:t>Contemporary Issues in Health and Social Care Policy and Practice</w:t>
      </w:r>
      <w:r w:rsidRPr="00C85039">
        <w:rPr>
          <w:szCs w:val="18"/>
        </w:rPr>
        <w:t> (pp. 68-82). Routledge.</w:t>
      </w:r>
    </w:p>
    <w:p w:rsidR="00AD6E20" w:rsidP="00AD6E20" w:rsidRDefault="00AD6E20" w14:paraId="0F0650CF" w14:textId="77777777">
      <w:pPr>
        <w:spacing w:after="0" w:line="360" w:lineRule="auto"/>
        <w:jc w:val="both"/>
        <w:rPr>
          <w:szCs w:val="18"/>
        </w:rPr>
      </w:pPr>
      <w:r w:rsidRPr="00C65CAF">
        <w:rPr>
          <w:szCs w:val="18"/>
          <w:lang w:val="en-US"/>
        </w:rPr>
        <w:t>NHS England (2023). </w:t>
      </w:r>
      <w:r w:rsidRPr="00C65CAF">
        <w:rPr>
          <w:i/>
          <w:iCs/>
          <w:szCs w:val="18"/>
          <w:lang w:val="en-US"/>
        </w:rPr>
        <w:t>Working in Partnership with People and communities: Statutory Guidance</w:t>
      </w:r>
      <w:r w:rsidRPr="00C65CAF">
        <w:rPr>
          <w:szCs w:val="18"/>
          <w:lang w:val="en-US"/>
        </w:rPr>
        <w:t xml:space="preserve">. [online] NHS England. Available at: </w:t>
      </w:r>
      <w:hyperlink w:history="1" r:id="rId19">
        <w:r w:rsidRPr="00C65CAF">
          <w:rPr>
            <w:rStyle w:val="Hyperlink"/>
            <w:szCs w:val="18"/>
            <w:lang w:val="en-US"/>
          </w:rPr>
          <w:t>https://www.england.nhs.uk/long-read/working-in-partnership-with-people-and-communities-statutory-guidance/</w:t>
        </w:r>
      </w:hyperlink>
      <w:r>
        <w:rPr>
          <w:szCs w:val="18"/>
          <w:lang w:val="en-US"/>
        </w:rPr>
        <w:t xml:space="preserve"> </w:t>
      </w:r>
      <w:r w:rsidRPr="00E713F2">
        <w:rPr>
          <w:szCs w:val="18"/>
        </w:rPr>
        <w:t>[Accessed 7 Mar. 2026].</w:t>
      </w:r>
    </w:p>
    <w:p w:rsidR="00AD6E20" w:rsidP="00AD6E20" w:rsidRDefault="00AD6E20" w14:paraId="0056BC51" w14:textId="77777777">
      <w:pPr>
        <w:spacing w:after="0" w:line="360" w:lineRule="auto"/>
        <w:jc w:val="both"/>
        <w:rPr>
          <w:szCs w:val="18"/>
        </w:rPr>
      </w:pPr>
      <w:r w:rsidRPr="00C65CAF">
        <w:rPr>
          <w:szCs w:val="18"/>
        </w:rPr>
        <w:t>Patel, H., Perry, S., Badu, E., Mwangi, F., Onifade, O., Mazurskyy, A., Walters, J., Tavener, M., Noble, D., Chidarikire, S. and Lethbridge, L.</w:t>
      </w:r>
      <w:r>
        <w:rPr>
          <w:szCs w:val="18"/>
        </w:rPr>
        <w:t xml:space="preserve"> (</w:t>
      </w:r>
      <w:r w:rsidRPr="00C65CAF">
        <w:rPr>
          <w:szCs w:val="18"/>
        </w:rPr>
        <w:t>2025</w:t>
      </w:r>
      <w:r>
        <w:rPr>
          <w:szCs w:val="18"/>
        </w:rPr>
        <w:t>)</w:t>
      </w:r>
      <w:r w:rsidRPr="00C65CAF">
        <w:rPr>
          <w:szCs w:val="18"/>
        </w:rPr>
        <w:t>. A scoping review of interprofessional education in healthcare: evaluating competency development, educational outcomes and challenges. </w:t>
      </w:r>
      <w:r w:rsidRPr="00C65CAF">
        <w:rPr>
          <w:i/>
          <w:iCs/>
          <w:szCs w:val="18"/>
        </w:rPr>
        <w:t>BMC medical education</w:t>
      </w:r>
      <w:r w:rsidRPr="00C65CAF">
        <w:rPr>
          <w:szCs w:val="18"/>
        </w:rPr>
        <w:t>, </w:t>
      </w:r>
      <w:r w:rsidRPr="00C65CAF">
        <w:rPr>
          <w:i/>
          <w:iCs/>
          <w:szCs w:val="18"/>
        </w:rPr>
        <w:t>25</w:t>
      </w:r>
      <w:r w:rsidRPr="00C65CAF">
        <w:rPr>
          <w:szCs w:val="18"/>
        </w:rPr>
        <w:t>(1), p.409.</w:t>
      </w:r>
    </w:p>
    <w:p w:rsidR="00AD6E20" w:rsidP="00AD6E20" w:rsidRDefault="00AD6E20" w14:paraId="1A831BDC" w14:textId="77777777">
      <w:pPr>
        <w:spacing w:after="0" w:line="360" w:lineRule="auto"/>
        <w:jc w:val="both"/>
        <w:rPr>
          <w:szCs w:val="18"/>
        </w:rPr>
      </w:pPr>
      <w:r w:rsidRPr="00C85039">
        <w:rPr>
          <w:szCs w:val="18"/>
        </w:rPr>
        <w:t>Poškutė, M., Bartkienė, A., Fatkulina, N. and Gefenas, E.</w:t>
      </w:r>
      <w:r>
        <w:rPr>
          <w:szCs w:val="18"/>
        </w:rPr>
        <w:t xml:space="preserve"> (</w:t>
      </w:r>
      <w:r w:rsidRPr="00C85039">
        <w:rPr>
          <w:szCs w:val="18"/>
        </w:rPr>
        <w:t>2022</w:t>
      </w:r>
      <w:r>
        <w:rPr>
          <w:szCs w:val="18"/>
        </w:rPr>
        <w:t>)</w:t>
      </w:r>
      <w:r w:rsidRPr="00C85039">
        <w:rPr>
          <w:szCs w:val="18"/>
        </w:rPr>
        <w:t>. The contribution of professional autonomy in advancing ethical behaviour: a narrative review of studies in nursing. </w:t>
      </w:r>
      <w:r w:rsidRPr="00C85039">
        <w:rPr>
          <w:i/>
          <w:iCs/>
          <w:szCs w:val="18"/>
        </w:rPr>
        <w:t>Journal of Nursing Management</w:t>
      </w:r>
      <w:r w:rsidRPr="00C85039">
        <w:rPr>
          <w:szCs w:val="18"/>
        </w:rPr>
        <w:t>, </w:t>
      </w:r>
      <w:r w:rsidRPr="00C85039">
        <w:rPr>
          <w:i/>
          <w:iCs/>
          <w:szCs w:val="18"/>
        </w:rPr>
        <w:t>30</w:t>
      </w:r>
      <w:r w:rsidRPr="00C85039">
        <w:rPr>
          <w:szCs w:val="18"/>
        </w:rPr>
        <w:t>(7), pp.2301-2307.</w:t>
      </w:r>
    </w:p>
    <w:p w:rsidR="00AD6E20" w:rsidP="00AD6E20" w:rsidRDefault="00AD6E20" w14:paraId="32D095C0" w14:textId="77777777">
      <w:pPr>
        <w:spacing w:after="0" w:line="360" w:lineRule="auto"/>
        <w:jc w:val="both"/>
        <w:rPr>
          <w:szCs w:val="18"/>
        </w:rPr>
      </w:pPr>
      <w:r w:rsidRPr="00C65CAF">
        <w:rPr>
          <w:szCs w:val="18"/>
        </w:rPr>
        <w:t>Reist, C., Petiwala, I., Latimer, J., Raffaelli, S.B., Chiang, M., Eisenberg, D. and Campbell, S.</w:t>
      </w:r>
      <w:r>
        <w:rPr>
          <w:szCs w:val="18"/>
        </w:rPr>
        <w:t xml:space="preserve"> (</w:t>
      </w:r>
      <w:r w:rsidRPr="00C65CAF">
        <w:rPr>
          <w:szCs w:val="18"/>
        </w:rPr>
        <w:t>2022</w:t>
      </w:r>
      <w:r>
        <w:rPr>
          <w:szCs w:val="18"/>
        </w:rPr>
        <w:t>)</w:t>
      </w:r>
      <w:r w:rsidRPr="00C65CAF">
        <w:rPr>
          <w:szCs w:val="18"/>
        </w:rPr>
        <w:t>. Collaborative mental health care: A narrative review. </w:t>
      </w:r>
      <w:r w:rsidRPr="00C65CAF">
        <w:rPr>
          <w:i/>
          <w:iCs/>
          <w:szCs w:val="18"/>
        </w:rPr>
        <w:t>Medicine</w:t>
      </w:r>
      <w:r w:rsidRPr="00C65CAF">
        <w:rPr>
          <w:szCs w:val="18"/>
        </w:rPr>
        <w:t>, </w:t>
      </w:r>
      <w:r w:rsidRPr="00C65CAF">
        <w:rPr>
          <w:i/>
          <w:iCs/>
          <w:szCs w:val="18"/>
        </w:rPr>
        <w:t>101</w:t>
      </w:r>
      <w:r w:rsidRPr="00C65CAF">
        <w:rPr>
          <w:szCs w:val="18"/>
        </w:rPr>
        <w:t>(52), p.e32554.</w:t>
      </w:r>
    </w:p>
    <w:p w:rsidR="00AD6E20" w:rsidP="00AD6E20" w:rsidRDefault="00AD6E20" w14:paraId="070DABE5" w14:textId="77777777">
      <w:pPr>
        <w:spacing w:after="0" w:line="360" w:lineRule="auto"/>
        <w:jc w:val="both"/>
        <w:rPr>
          <w:szCs w:val="18"/>
        </w:rPr>
      </w:pPr>
      <w:r w:rsidRPr="00A733FF">
        <w:rPr>
          <w:szCs w:val="18"/>
        </w:rPr>
        <w:t>Saragih, I.D., Hsiao, C.T., Fann, W.C., Hsu, C.M., Saragih, I.S. and Lee, B.O</w:t>
      </w:r>
      <w:r>
        <w:rPr>
          <w:szCs w:val="18"/>
        </w:rPr>
        <w:t>.</w:t>
      </w:r>
      <w:r w:rsidRPr="00A733FF">
        <w:rPr>
          <w:szCs w:val="18"/>
        </w:rPr>
        <w:t xml:space="preserve"> </w:t>
      </w:r>
      <w:r>
        <w:rPr>
          <w:szCs w:val="18"/>
        </w:rPr>
        <w:t>(</w:t>
      </w:r>
      <w:r w:rsidRPr="00A733FF">
        <w:rPr>
          <w:szCs w:val="18"/>
        </w:rPr>
        <w:t>2024</w:t>
      </w:r>
      <w:r>
        <w:rPr>
          <w:szCs w:val="18"/>
        </w:rPr>
        <w:t>)</w:t>
      </w:r>
      <w:r w:rsidRPr="00A733FF">
        <w:rPr>
          <w:szCs w:val="18"/>
        </w:rPr>
        <w:t>. Impacts of interprofessional education on collaborative practice of healthcare professionals: a systematic review and meta-analysis. </w:t>
      </w:r>
      <w:r w:rsidRPr="00A733FF">
        <w:rPr>
          <w:i/>
          <w:iCs/>
          <w:szCs w:val="18"/>
        </w:rPr>
        <w:t>Nurse Education Today</w:t>
      </w:r>
      <w:r w:rsidRPr="00A733FF">
        <w:rPr>
          <w:szCs w:val="18"/>
        </w:rPr>
        <w:t>, </w:t>
      </w:r>
      <w:r w:rsidRPr="00A733FF">
        <w:rPr>
          <w:i/>
          <w:iCs/>
          <w:szCs w:val="18"/>
        </w:rPr>
        <w:t>136</w:t>
      </w:r>
      <w:r w:rsidRPr="00A733FF">
        <w:rPr>
          <w:szCs w:val="18"/>
        </w:rPr>
        <w:t>, p.106136.</w:t>
      </w:r>
    </w:p>
    <w:p w:rsidR="00AD6E20" w:rsidP="00AD6E20" w:rsidRDefault="00AD6E20" w14:paraId="32881E46" w14:textId="77777777">
      <w:pPr>
        <w:spacing w:after="0" w:line="360" w:lineRule="auto"/>
        <w:jc w:val="both"/>
        <w:rPr>
          <w:szCs w:val="18"/>
        </w:rPr>
      </w:pPr>
      <w:r w:rsidRPr="00C85039">
        <w:rPr>
          <w:szCs w:val="18"/>
        </w:rPr>
        <w:t>Singh, A. (2023). </w:t>
      </w:r>
      <w:r w:rsidRPr="00C85039">
        <w:rPr>
          <w:i/>
          <w:iCs/>
          <w:szCs w:val="18"/>
        </w:rPr>
        <w:t>Essential of Humanistic Behaviour</w:t>
      </w:r>
      <w:r w:rsidRPr="00C85039">
        <w:rPr>
          <w:szCs w:val="18"/>
        </w:rPr>
        <w:t>. Psycho information technologies.</w:t>
      </w:r>
    </w:p>
    <w:p w:rsidR="00AD6E20" w:rsidP="00AD6E20" w:rsidRDefault="00AD6E20" w14:paraId="2AFE321B" w14:textId="77777777">
      <w:pPr>
        <w:spacing w:after="0" w:line="360" w:lineRule="auto"/>
        <w:jc w:val="both"/>
        <w:rPr>
          <w:szCs w:val="18"/>
        </w:rPr>
      </w:pPr>
      <w:r w:rsidRPr="00E713F2">
        <w:rPr>
          <w:szCs w:val="18"/>
          <w:lang w:val="en-US"/>
        </w:rPr>
        <w:t>Skills for Health (2025). </w:t>
      </w:r>
      <w:r w:rsidRPr="00E713F2">
        <w:rPr>
          <w:i/>
          <w:iCs/>
          <w:szCs w:val="18"/>
          <w:lang w:val="en-US"/>
        </w:rPr>
        <w:t>Person Centred Care Meaning &amp; Implications</w:t>
      </w:r>
      <w:r w:rsidRPr="00E713F2">
        <w:rPr>
          <w:szCs w:val="18"/>
          <w:lang w:val="en-US"/>
        </w:rPr>
        <w:t xml:space="preserve">. [online] Skills for Health. Available at: </w:t>
      </w:r>
      <w:hyperlink w:history="1" r:id="rId20">
        <w:r w:rsidRPr="00E713F2">
          <w:rPr>
            <w:rStyle w:val="Hyperlink"/>
            <w:szCs w:val="18"/>
            <w:lang w:val="en-US"/>
          </w:rPr>
          <w:t>https://www.skillsforhealth.org.uk/article/person-centred-care-meaning-implications/</w:t>
        </w:r>
      </w:hyperlink>
      <w:r>
        <w:rPr>
          <w:szCs w:val="18"/>
          <w:lang w:val="en-US"/>
        </w:rPr>
        <w:t xml:space="preserve"> </w:t>
      </w:r>
      <w:r w:rsidRPr="00E713F2">
        <w:rPr>
          <w:szCs w:val="18"/>
        </w:rPr>
        <w:t>[Accessed 7 Mar. 2026].</w:t>
      </w:r>
    </w:p>
    <w:p w:rsidR="00AD6E20" w:rsidP="00AD6E20" w:rsidRDefault="00AD6E20" w14:paraId="74D50501" w14:textId="77777777">
      <w:pPr>
        <w:spacing w:after="0" w:line="360" w:lineRule="auto"/>
        <w:jc w:val="both"/>
        <w:rPr>
          <w:szCs w:val="18"/>
        </w:rPr>
      </w:pPr>
      <w:r w:rsidRPr="00C85039">
        <w:rPr>
          <w:szCs w:val="18"/>
        </w:rPr>
        <w:t xml:space="preserve">Turkstani, H.A., Almutawah, F.N., AlZamel, N.A., Zaid, M., Alshammari, A.A.A., Algharbi, M.T., Alsuayri, A.M., Badie, M., Gong, J.S.A. and Alnemer10, A.F. </w:t>
      </w:r>
      <w:r>
        <w:rPr>
          <w:szCs w:val="18"/>
        </w:rPr>
        <w:t>(</w:t>
      </w:r>
      <w:r w:rsidRPr="00C85039">
        <w:rPr>
          <w:szCs w:val="18"/>
        </w:rPr>
        <w:t>2025</w:t>
      </w:r>
      <w:r>
        <w:rPr>
          <w:szCs w:val="18"/>
        </w:rPr>
        <w:t>)</w:t>
      </w:r>
      <w:r w:rsidRPr="00C85039">
        <w:rPr>
          <w:szCs w:val="18"/>
        </w:rPr>
        <w:t>. Privacy and Confidentiality in Healthcare: Best Practices for Protecting Patient Information. </w:t>
      </w:r>
      <w:r w:rsidRPr="00C85039">
        <w:rPr>
          <w:i/>
          <w:iCs/>
          <w:szCs w:val="18"/>
        </w:rPr>
        <w:t>J. Healthc. Sci</w:t>
      </w:r>
      <w:r w:rsidRPr="00C85039">
        <w:rPr>
          <w:szCs w:val="18"/>
        </w:rPr>
        <w:t>, </w:t>
      </w:r>
      <w:r w:rsidRPr="00C85039">
        <w:rPr>
          <w:i/>
          <w:iCs/>
          <w:szCs w:val="18"/>
        </w:rPr>
        <w:t>5</w:t>
      </w:r>
      <w:r w:rsidRPr="00C85039">
        <w:rPr>
          <w:szCs w:val="18"/>
        </w:rPr>
        <w:t>(10.52533).</w:t>
      </w:r>
    </w:p>
    <w:p w:rsidR="00AD6E20" w:rsidP="00AD6E20" w:rsidRDefault="00AD6E20" w14:paraId="2B2DF758" w14:textId="77777777">
      <w:pPr>
        <w:spacing w:after="0" w:line="360" w:lineRule="auto"/>
        <w:jc w:val="both"/>
        <w:rPr>
          <w:szCs w:val="18"/>
        </w:rPr>
      </w:pPr>
      <w:r w:rsidRPr="00C65CAF">
        <w:rPr>
          <w:szCs w:val="18"/>
          <w:lang w:val="en-US"/>
        </w:rPr>
        <w:t>UK Government (2012). </w:t>
      </w:r>
      <w:r w:rsidRPr="00C65CAF">
        <w:rPr>
          <w:i/>
          <w:iCs/>
          <w:szCs w:val="18"/>
          <w:lang w:val="en-US"/>
        </w:rPr>
        <w:t>Health and Social Care Act 2012</w:t>
      </w:r>
      <w:r w:rsidRPr="00C65CAF">
        <w:rPr>
          <w:szCs w:val="18"/>
          <w:lang w:val="en-US"/>
        </w:rPr>
        <w:t xml:space="preserve">. [online] legislation.gov.uk. Available at: </w:t>
      </w:r>
      <w:hyperlink w:history="1" r:id="rId21">
        <w:r w:rsidRPr="00C65CAF">
          <w:rPr>
            <w:rStyle w:val="Hyperlink"/>
            <w:szCs w:val="18"/>
            <w:lang w:val="en-US"/>
          </w:rPr>
          <w:t>https://www.legislation.gov.uk/ukpga/2012/7/contents</w:t>
        </w:r>
      </w:hyperlink>
      <w:r>
        <w:rPr>
          <w:szCs w:val="18"/>
          <w:lang w:val="en-US"/>
        </w:rPr>
        <w:t xml:space="preserve"> </w:t>
      </w:r>
      <w:r w:rsidRPr="00E713F2">
        <w:rPr>
          <w:szCs w:val="18"/>
        </w:rPr>
        <w:t>[Accessed 7 Mar. 2026].</w:t>
      </w:r>
    </w:p>
    <w:p w:rsidR="00AD6E20" w:rsidP="00AD6E20" w:rsidRDefault="00AD6E20" w14:paraId="1D76A7BD" w14:textId="77777777">
      <w:pPr>
        <w:spacing w:after="0" w:line="360" w:lineRule="auto"/>
        <w:jc w:val="both"/>
        <w:rPr>
          <w:szCs w:val="18"/>
        </w:rPr>
      </w:pPr>
      <w:r w:rsidRPr="00D65603">
        <w:rPr>
          <w:szCs w:val="18"/>
        </w:rPr>
        <w:t>Walker, B. (2010). The humanistic/person-centered theoretical model. In </w:t>
      </w:r>
      <w:r w:rsidRPr="00D65603">
        <w:rPr>
          <w:i/>
          <w:iCs/>
          <w:szCs w:val="18"/>
        </w:rPr>
        <w:t>Routledge handbook of applied sport psychology</w:t>
      </w:r>
      <w:r w:rsidRPr="00D65603">
        <w:rPr>
          <w:szCs w:val="18"/>
        </w:rPr>
        <w:t> (pp. 123-130). Routledge.</w:t>
      </w:r>
    </w:p>
    <w:p w:rsidR="00AD6E20" w:rsidP="00AD6E20" w:rsidRDefault="00AD6E20" w14:paraId="6C0DBD0C" w14:textId="77777777">
      <w:pPr>
        <w:spacing w:after="0" w:line="360" w:lineRule="auto"/>
        <w:jc w:val="both"/>
        <w:rPr>
          <w:szCs w:val="18"/>
        </w:rPr>
      </w:pPr>
      <w:r w:rsidRPr="00A879BE">
        <w:rPr>
          <w:szCs w:val="18"/>
        </w:rPr>
        <w:t xml:space="preserve">Younas, A., Inayat, S. and Masih, S. </w:t>
      </w:r>
      <w:r>
        <w:rPr>
          <w:szCs w:val="18"/>
        </w:rPr>
        <w:t>(</w:t>
      </w:r>
      <w:r w:rsidRPr="00A879BE">
        <w:rPr>
          <w:szCs w:val="18"/>
        </w:rPr>
        <w:t>2023</w:t>
      </w:r>
      <w:r>
        <w:rPr>
          <w:szCs w:val="18"/>
        </w:rPr>
        <w:t>)</w:t>
      </w:r>
      <w:r w:rsidRPr="00A879BE">
        <w:rPr>
          <w:szCs w:val="18"/>
        </w:rPr>
        <w:t>. Nurses’ perceived barriers to the delivery of person</w:t>
      </w:r>
      <w:r w:rsidRPr="00A879BE">
        <w:rPr>
          <w:rFonts w:ascii="Cambria Math" w:hAnsi="Cambria Math" w:cs="Cambria Math"/>
          <w:szCs w:val="18"/>
        </w:rPr>
        <w:t>‐</w:t>
      </w:r>
      <w:r w:rsidRPr="00A879BE">
        <w:rPr>
          <w:szCs w:val="18"/>
        </w:rPr>
        <w:t>centred care to complex patients: A qualitative study using theoretical domains framework.</w:t>
      </w:r>
      <w:r w:rsidRPr="00A879BE">
        <w:rPr>
          <w:rFonts w:cs="Arial"/>
          <w:szCs w:val="18"/>
        </w:rPr>
        <w:t> </w:t>
      </w:r>
      <w:r w:rsidRPr="00A879BE">
        <w:rPr>
          <w:i/>
          <w:iCs/>
          <w:szCs w:val="18"/>
        </w:rPr>
        <w:t>Journal of Clinical Nursing</w:t>
      </w:r>
      <w:r w:rsidRPr="00A879BE">
        <w:rPr>
          <w:szCs w:val="18"/>
        </w:rPr>
        <w:t>, </w:t>
      </w:r>
      <w:r w:rsidRPr="00A879BE">
        <w:rPr>
          <w:i/>
          <w:iCs/>
          <w:szCs w:val="18"/>
        </w:rPr>
        <w:t>32</w:t>
      </w:r>
      <w:r w:rsidRPr="00A879BE">
        <w:rPr>
          <w:szCs w:val="18"/>
        </w:rPr>
        <w:t>(3-4), pp.368-381.</w:t>
      </w:r>
    </w:p>
    <w:p w:rsidR="00AD6E20" w:rsidP="00AD6E20" w:rsidRDefault="00AD6E20" w14:paraId="661A68D2" w14:textId="77777777">
      <w:pPr>
        <w:spacing w:after="0" w:line="360" w:lineRule="auto"/>
        <w:jc w:val="both"/>
        <w:rPr>
          <w:szCs w:val="18"/>
        </w:rPr>
      </w:pPr>
      <w:r w:rsidRPr="00C65CAF">
        <w:rPr>
          <w:szCs w:val="18"/>
        </w:rPr>
        <w:t>Zabek, F., Lyons, M.D., Alwani, N., Taylor, J.V., Brown-Meredith, E., Cruz, M.A. and Southall, V.H.</w:t>
      </w:r>
      <w:r>
        <w:rPr>
          <w:szCs w:val="18"/>
        </w:rPr>
        <w:t xml:space="preserve"> (</w:t>
      </w:r>
      <w:r w:rsidRPr="00C65CAF">
        <w:rPr>
          <w:szCs w:val="18"/>
        </w:rPr>
        <w:t>2023</w:t>
      </w:r>
      <w:r>
        <w:rPr>
          <w:szCs w:val="18"/>
        </w:rPr>
        <w:t>)</w:t>
      </w:r>
      <w:r w:rsidRPr="00C65CAF">
        <w:rPr>
          <w:szCs w:val="18"/>
        </w:rPr>
        <w:t>. Roles and functions of school mental health professionals within comprehensive school mental health systems. </w:t>
      </w:r>
      <w:r w:rsidRPr="00C65CAF">
        <w:rPr>
          <w:i/>
          <w:iCs/>
          <w:szCs w:val="18"/>
        </w:rPr>
        <w:t>School Mental Health</w:t>
      </w:r>
      <w:r w:rsidRPr="00C65CAF">
        <w:rPr>
          <w:szCs w:val="18"/>
        </w:rPr>
        <w:t>, </w:t>
      </w:r>
      <w:r w:rsidRPr="00C65CAF">
        <w:rPr>
          <w:i/>
          <w:iCs/>
          <w:szCs w:val="18"/>
        </w:rPr>
        <w:t>15</w:t>
      </w:r>
      <w:r w:rsidRPr="00C65CAF">
        <w:rPr>
          <w:szCs w:val="18"/>
        </w:rPr>
        <w:t>(1), pp.1-18.</w:t>
      </w:r>
    </w:p>
    <w:p w:rsidRPr="00BE35A4" w:rsidR="00F26422" w:rsidP="00F26422" w:rsidRDefault="00F26422" w14:paraId="57D67BDA" w14:textId="1F1B8384">
      <w:pPr>
        <w:spacing w:after="0" w:line="360" w:lineRule="auto"/>
        <w:jc w:val="both"/>
        <w:rPr>
          <w:rFonts w:cs="Arial"/>
          <w:szCs w:val="20"/>
        </w:rPr>
      </w:pPr>
    </w:p>
    <w:p w:rsidRPr="00BE35A4" w:rsidR="00F26422" w:rsidP="00F26422" w:rsidRDefault="00F26422" w14:paraId="48002A79" w14:textId="77777777">
      <w:pPr>
        <w:rPr>
          <w:rFonts w:cs="Arial"/>
        </w:rPr>
      </w:pPr>
    </w:p>
    <w:p w:rsidRPr="00BE35A4" w:rsidR="001C763E" w:rsidP="008E3458" w:rsidRDefault="001C763E" w14:paraId="63DB087C" w14:textId="245F4E36">
      <w:pPr>
        <w:spacing w:after="0" w:line="360" w:lineRule="auto"/>
        <w:jc w:val="both"/>
        <w:rPr>
          <w:rFonts w:cs="Arial"/>
          <w:szCs w:val="20"/>
        </w:rPr>
      </w:pPr>
    </w:p>
    <w:sectPr w:rsidRPr="00BE35A4" w:rsidR="001C763E" w:rsidSect="00822511">
      <w:footerReference w:type="default" r:id="rId22"/>
      <w:type w:val="continuous"/>
      <w:pgSz w:w="12240" w:h="15840" w:orient="portrait"/>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6652A3" w:rsidR="007856AD" w:rsidP="005B6505" w:rsidRDefault="007856AD" w14:paraId="1153A237" w14:textId="77777777">
      <w:pPr>
        <w:spacing w:after="0" w:line="240" w:lineRule="auto"/>
      </w:pPr>
      <w:r w:rsidRPr="006652A3">
        <w:separator/>
      </w:r>
    </w:p>
  </w:endnote>
  <w:endnote w:type="continuationSeparator" w:id="0">
    <w:p w:rsidRPr="006652A3" w:rsidR="007856AD" w:rsidP="005B6505" w:rsidRDefault="007856AD" w14:paraId="45A16F38" w14:textId="77777777">
      <w:pPr>
        <w:spacing w:after="0" w:line="240" w:lineRule="auto"/>
      </w:pPr>
      <w:r w:rsidRPr="006652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652A3" w:rsidR="005B6505" w:rsidP="002464B4" w:rsidRDefault="005B6505" w14:paraId="50D259BA" w14:textId="0DD0328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4294255"/>
      <w:docPartObj>
        <w:docPartGallery w:val="Page Numbers (Bottom of Page)"/>
        <w:docPartUnique/>
      </w:docPartObj>
    </w:sdtPr>
    <w:sdtEndPr/>
    <w:sdtContent>
      <w:p w:rsidRPr="006652A3" w:rsidR="002464B4" w:rsidRDefault="002464B4" w14:paraId="6E2B3DAF" w14:textId="67541509">
        <w:pPr>
          <w:pStyle w:val="Footer"/>
          <w:jc w:val="center"/>
        </w:pPr>
        <w:r w:rsidRPr="006652A3">
          <w:fldChar w:fldCharType="begin"/>
        </w:r>
        <w:r w:rsidRPr="006652A3">
          <w:instrText xml:space="preserve"> PAGE   \* MERGEFORMAT </w:instrText>
        </w:r>
        <w:r w:rsidRPr="006652A3">
          <w:fldChar w:fldCharType="separate"/>
        </w:r>
        <w:r w:rsidRPr="006652A3">
          <w:t>2</w:t>
        </w:r>
        <w:r w:rsidRPr="006652A3">
          <w:fldChar w:fldCharType="end"/>
        </w:r>
      </w:p>
    </w:sdtContent>
  </w:sdt>
  <w:p w:rsidRPr="006652A3" w:rsidR="002464B4" w:rsidP="002464B4" w:rsidRDefault="002464B4" w14:paraId="1F461C73"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6652A3" w:rsidR="007856AD" w:rsidP="005B6505" w:rsidRDefault="007856AD" w14:paraId="7359219E" w14:textId="77777777">
      <w:pPr>
        <w:spacing w:after="0" w:line="240" w:lineRule="auto"/>
      </w:pPr>
      <w:r w:rsidRPr="006652A3">
        <w:separator/>
      </w:r>
    </w:p>
  </w:footnote>
  <w:footnote w:type="continuationSeparator" w:id="0">
    <w:p w:rsidRPr="006652A3" w:rsidR="007856AD" w:rsidP="005B6505" w:rsidRDefault="007856AD" w14:paraId="65B090CC" w14:textId="77777777">
      <w:pPr>
        <w:spacing w:after="0" w:line="240" w:lineRule="auto"/>
      </w:pPr>
      <w:r w:rsidRPr="006652A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52FA4"/>
    <w:multiLevelType w:val="multilevel"/>
    <w:tmpl w:val="7A80E152"/>
    <w:lvl w:ilvl="0">
      <w:start w:val="1"/>
      <w:numFmt w:val="decimal"/>
      <w:lvlText w:val="%1."/>
      <w:lvlJc w:val="left"/>
      <w:pPr>
        <w:ind w:left="360" w:hanging="360"/>
      </w:pPr>
      <w:rPr>
        <w:sz w:val="32"/>
        <w:szCs w:val="3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2F882560"/>
    <w:multiLevelType w:val="multilevel"/>
    <w:tmpl w:val="7A80E152"/>
    <w:lvl w:ilvl="0">
      <w:start w:val="1"/>
      <w:numFmt w:val="decimal"/>
      <w:lvlText w:val="%1."/>
      <w:lvlJc w:val="left"/>
      <w:pPr>
        <w:ind w:left="360" w:hanging="360"/>
      </w:pPr>
      <w:rPr>
        <w:sz w:val="32"/>
        <w:szCs w:val="3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6CDD1BAF"/>
    <w:multiLevelType w:val="multilevel"/>
    <w:tmpl w:val="7A80E152"/>
    <w:lvl w:ilvl="0">
      <w:start w:val="1"/>
      <w:numFmt w:val="decimal"/>
      <w:lvlText w:val="%1."/>
      <w:lvlJc w:val="left"/>
      <w:pPr>
        <w:ind w:left="360" w:hanging="360"/>
      </w:pPr>
      <w:rPr>
        <w:sz w:val="32"/>
        <w:szCs w:val="3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6F1C6441"/>
    <w:multiLevelType w:val="multilevel"/>
    <w:tmpl w:val="7A80E152"/>
    <w:lvl w:ilvl="0">
      <w:start w:val="1"/>
      <w:numFmt w:val="decimal"/>
      <w:lvlText w:val="%1."/>
      <w:lvlJc w:val="left"/>
      <w:pPr>
        <w:ind w:left="360" w:hanging="360"/>
      </w:pPr>
      <w:rPr>
        <w:sz w:val="32"/>
        <w:szCs w:val="3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num w:numId="1" w16cid:durableId="43256903">
    <w:abstractNumId w:val="1"/>
  </w:num>
  <w:num w:numId="2" w16cid:durableId="981157795">
    <w:abstractNumId w:val="3"/>
  </w:num>
  <w:num w:numId="3" w16cid:durableId="332103414">
    <w:abstractNumId w:val="2"/>
  </w:num>
  <w:num w:numId="4" w16cid:durableId="1620140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1C2"/>
    <w:rsid w:val="000008E0"/>
    <w:rsid w:val="00006AFD"/>
    <w:rsid w:val="00007AD9"/>
    <w:rsid w:val="00011451"/>
    <w:rsid w:val="0001373E"/>
    <w:rsid w:val="00014557"/>
    <w:rsid w:val="000208B7"/>
    <w:rsid w:val="00031B4F"/>
    <w:rsid w:val="00036841"/>
    <w:rsid w:val="000544D1"/>
    <w:rsid w:val="00054FE2"/>
    <w:rsid w:val="00066DF6"/>
    <w:rsid w:val="00070D6E"/>
    <w:rsid w:val="0007134F"/>
    <w:rsid w:val="00085999"/>
    <w:rsid w:val="00085A3E"/>
    <w:rsid w:val="000901AE"/>
    <w:rsid w:val="00093B84"/>
    <w:rsid w:val="000A024B"/>
    <w:rsid w:val="000A7244"/>
    <w:rsid w:val="000C01F2"/>
    <w:rsid w:val="000C275D"/>
    <w:rsid w:val="000C3E66"/>
    <w:rsid w:val="00104001"/>
    <w:rsid w:val="00107251"/>
    <w:rsid w:val="00110B8D"/>
    <w:rsid w:val="00114A3C"/>
    <w:rsid w:val="00121215"/>
    <w:rsid w:val="00121C7A"/>
    <w:rsid w:val="001251D9"/>
    <w:rsid w:val="00127477"/>
    <w:rsid w:val="0013786F"/>
    <w:rsid w:val="001430DB"/>
    <w:rsid w:val="0015336B"/>
    <w:rsid w:val="00177381"/>
    <w:rsid w:val="001943BC"/>
    <w:rsid w:val="00197002"/>
    <w:rsid w:val="001970E0"/>
    <w:rsid w:val="001A06C7"/>
    <w:rsid w:val="001A6631"/>
    <w:rsid w:val="001C09E7"/>
    <w:rsid w:val="001C6D64"/>
    <w:rsid w:val="001C763E"/>
    <w:rsid w:val="001E4876"/>
    <w:rsid w:val="001F004C"/>
    <w:rsid w:val="001F0C8F"/>
    <w:rsid w:val="001F178F"/>
    <w:rsid w:val="002158AF"/>
    <w:rsid w:val="00215DB2"/>
    <w:rsid w:val="00227760"/>
    <w:rsid w:val="00230F95"/>
    <w:rsid w:val="00244CF2"/>
    <w:rsid w:val="002464B4"/>
    <w:rsid w:val="00267559"/>
    <w:rsid w:val="00273F97"/>
    <w:rsid w:val="002812D7"/>
    <w:rsid w:val="00281D31"/>
    <w:rsid w:val="002A1C7E"/>
    <w:rsid w:val="002A3E94"/>
    <w:rsid w:val="002B1C35"/>
    <w:rsid w:val="002B6681"/>
    <w:rsid w:val="002C5C38"/>
    <w:rsid w:val="002C6AA4"/>
    <w:rsid w:val="002D628C"/>
    <w:rsid w:val="002E128B"/>
    <w:rsid w:val="002E22E0"/>
    <w:rsid w:val="002E63B8"/>
    <w:rsid w:val="002F3FED"/>
    <w:rsid w:val="002F5E3C"/>
    <w:rsid w:val="00304318"/>
    <w:rsid w:val="003059A6"/>
    <w:rsid w:val="00324EE7"/>
    <w:rsid w:val="00326C36"/>
    <w:rsid w:val="00341FF2"/>
    <w:rsid w:val="00342311"/>
    <w:rsid w:val="00344F16"/>
    <w:rsid w:val="00347BCF"/>
    <w:rsid w:val="00352392"/>
    <w:rsid w:val="00372DF0"/>
    <w:rsid w:val="00376204"/>
    <w:rsid w:val="00386C10"/>
    <w:rsid w:val="00392B43"/>
    <w:rsid w:val="003941D8"/>
    <w:rsid w:val="003965A4"/>
    <w:rsid w:val="003A0883"/>
    <w:rsid w:val="003B6133"/>
    <w:rsid w:val="003C35D8"/>
    <w:rsid w:val="003C500C"/>
    <w:rsid w:val="003C77C5"/>
    <w:rsid w:val="003D3411"/>
    <w:rsid w:val="003D421A"/>
    <w:rsid w:val="003E5C50"/>
    <w:rsid w:val="003E6058"/>
    <w:rsid w:val="003F11CB"/>
    <w:rsid w:val="003F1BE0"/>
    <w:rsid w:val="003F1C98"/>
    <w:rsid w:val="00403B83"/>
    <w:rsid w:val="004072DB"/>
    <w:rsid w:val="00412B20"/>
    <w:rsid w:val="00412C73"/>
    <w:rsid w:val="004147EB"/>
    <w:rsid w:val="0041568F"/>
    <w:rsid w:val="00417308"/>
    <w:rsid w:val="004201FB"/>
    <w:rsid w:val="004263C9"/>
    <w:rsid w:val="0043297C"/>
    <w:rsid w:val="0044128F"/>
    <w:rsid w:val="00442A0B"/>
    <w:rsid w:val="00445643"/>
    <w:rsid w:val="004521C2"/>
    <w:rsid w:val="00460EDC"/>
    <w:rsid w:val="00461291"/>
    <w:rsid w:val="004701B1"/>
    <w:rsid w:val="00471ED4"/>
    <w:rsid w:val="004A21CF"/>
    <w:rsid w:val="004A664F"/>
    <w:rsid w:val="004B1E9B"/>
    <w:rsid w:val="004C3A2B"/>
    <w:rsid w:val="004D15F7"/>
    <w:rsid w:val="004D59A9"/>
    <w:rsid w:val="004E1C38"/>
    <w:rsid w:val="004F10BE"/>
    <w:rsid w:val="004F76FF"/>
    <w:rsid w:val="004F7C1D"/>
    <w:rsid w:val="00501EC0"/>
    <w:rsid w:val="00514764"/>
    <w:rsid w:val="00516E75"/>
    <w:rsid w:val="0051711D"/>
    <w:rsid w:val="00521E50"/>
    <w:rsid w:val="00523298"/>
    <w:rsid w:val="00534C3A"/>
    <w:rsid w:val="00547AD8"/>
    <w:rsid w:val="00550E9D"/>
    <w:rsid w:val="005718B7"/>
    <w:rsid w:val="005929F0"/>
    <w:rsid w:val="0059523E"/>
    <w:rsid w:val="00595F3E"/>
    <w:rsid w:val="005A1A50"/>
    <w:rsid w:val="005B0CCE"/>
    <w:rsid w:val="005B6505"/>
    <w:rsid w:val="005C77BD"/>
    <w:rsid w:val="005D3066"/>
    <w:rsid w:val="005D4817"/>
    <w:rsid w:val="005E49D3"/>
    <w:rsid w:val="005F43D7"/>
    <w:rsid w:val="005F4BA2"/>
    <w:rsid w:val="005F5C3F"/>
    <w:rsid w:val="0061717E"/>
    <w:rsid w:val="00617289"/>
    <w:rsid w:val="0062021E"/>
    <w:rsid w:val="00620737"/>
    <w:rsid w:val="0063110F"/>
    <w:rsid w:val="00632B74"/>
    <w:rsid w:val="00632CC6"/>
    <w:rsid w:val="00641288"/>
    <w:rsid w:val="00642901"/>
    <w:rsid w:val="00642C45"/>
    <w:rsid w:val="00643C77"/>
    <w:rsid w:val="00646637"/>
    <w:rsid w:val="00654E1C"/>
    <w:rsid w:val="006652A3"/>
    <w:rsid w:val="00670265"/>
    <w:rsid w:val="00671D68"/>
    <w:rsid w:val="00674F37"/>
    <w:rsid w:val="00681579"/>
    <w:rsid w:val="00685426"/>
    <w:rsid w:val="00691F25"/>
    <w:rsid w:val="00692286"/>
    <w:rsid w:val="0069757B"/>
    <w:rsid w:val="006A0084"/>
    <w:rsid w:val="006A63AD"/>
    <w:rsid w:val="006A6A60"/>
    <w:rsid w:val="006B1A20"/>
    <w:rsid w:val="006B2A18"/>
    <w:rsid w:val="006B2D5D"/>
    <w:rsid w:val="006B319D"/>
    <w:rsid w:val="006C00DA"/>
    <w:rsid w:val="006C76D5"/>
    <w:rsid w:val="006D3E48"/>
    <w:rsid w:val="006D6EF3"/>
    <w:rsid w:val="006E03F0"/>
    <w:rsid w:val="006E14A1"/>
    <w:rsid w:val="006E6F68"/>
    <w:rsid w:val="006F4106"/>
    <w:rsid w:val="006F6731"/>
    <w:rsid w:val="006F6CD7"/>
    <w:rsid w:val="00705077"/>
    <w:rsid w:val="0070565E"/>
    <w:rsid w:val="00713564"/>
    <w:rsid w:val="00722C9F"/>
    <w:rsid w:val="00722E5E"/>
    <w:rsid w:val="0072513C"/>
    <w:rsid w:val="00727470"/>
    <w:rsid w:val="00736F6C"/>
    <w:rsid w:val="00746F6B"/>
    <w:rsid w:val="00756440"/>
    <w:rsid w:val="007600E9"/>
    <w:rsid w:val="00763AC1"/>
    <w:rsid w:val="00774E03"/>
    <w:rsid w:val="00777DC9"/>
    <w:rsid w:val="007856AD"/>
    <w:rsid w:val="00787509"/>
    <w:rsid w:val="007A60D6"/>
    <w:rsid w:val="007B2FB6"/>
    <w:rsid w:val="007C6208"/>
    <w:rsid w:val="007E1911"/>
    <w:rsid w:val="008064B2"/>
    <w:rsid w:val="00812039"/>
    <w:rsid w:val="008146E4"/>
    <w:rsid w:val="0082023E"/>
    <w:rsid w:val="00822511"/>
    <w:rsid w:val="00823C7F"/>
    <w:rsid w:val="00827084"/>
    <w:rsid w:val="00833AE7"/>
    <w:rsid w:val="00844F31"/>
    <w:rsid w:val="00846988"/>
    <w:rsid w:val="00856A5B"/>
    <w:rsid w:val="00862E49"/>
    <w:rsid w:val="00881BCD"/>
    <w:rsid w:val="00884099"/>
    <w:rsid w:val="008907F8"/>
    <w:rsid w:val="008A10A3"/>
    <w:rsid w:val="008C6749"/>
    <w:rsid w:val="008D449F"/>
    <w:rsid w:val="008E10B9"/>
    <w:rsid w:val="008E3458"/>
    <w:rsid w:val="008E3CAB"/>
    <w:rsid w:val="008F419C"/>
    <w:rsid w:val="008F60FC"/>
    <w:rsid w:val="0090136A"/>
    <w:rsid w:val="0090701F"/>
    <w:rsid w:val="00923735"/>
    <w:rsid w:val="00926EA9"/>
    <w:rsid w:val="009277D6"/>
    <w:rsid w:val="00934512"/>
    <w:rsid w:val="00934BE7"/>
    <w:rsid w:val="009368B3"/>
    <w:rsid w:val="00943EBA"/>
    <w:rsid w:val="00944A37"/>
    <w:rsid w:val="00961A8F"/>
    <w:rsid w:val="00966FAB"/>
    <w:rsid w:val="00967BF2"/>
    <w:rsid w:val="009700CA"/>
    <w:rsid w:val="00972557"/>
    <w:rsid w:val="00977CC2"/>
    <w:rsid w:val="0098455F"/>
    <w:rsid w:val="00994463"/>
    <w:rsid w:val="00995B00"/>
    <w:rsid w:val="00997512"/>
    <w:rsid w:val="009C5027"/>
    <w:rsid w:val="009C5E9E"/>
    <w:rsid w:val="009D0865"/>
    <w:rsid w:val="009D3461"/>
    <w:rsid w:val="009D45B0"/>
    <w:rsid w:val="009F72ED"/>
    <w:rsid w:val="00A01D78"/>
    <w:rsid w:val="00A0723F"/>
    <w:rsid w:val="00A2389B"/>
    <w:rsid w:val="00A32B83"/>
    <w:rsid w:val="00A33B1E"/>
    <w:rsid w:val="00A42D36"/>
    <w:rsid w:val="00A4309D"/>
    <w:rsid w:val="00A47BA6"/>
    <w:rsid w:val="00A55BBF"/>
    <w:rsid w:val="00A664F9"/>
    <w:rsid w:val="00A70693"/>
    <w:rsid w:val="00A72495"/>
    <w:rsid w:val="00A74509"/>
    <w:rsid w:val="00A80E2D"/>
    <w:rsid w:val="00A8701E"/>
    <w:rsid w:val="00A87F2C"/>
    <w:rsid w:val="00AA083D"/>
    <w:rsid w:val="00AA4099"/>
    <w:rsid w:val="00AB1324"/>
    <w:rsid w:val="00AC0B08"/>
    <w:rsid w:val="00AD01C2"/>
    <w:rsid w:val="00AD1BF0"/>
    <w:rsid w:val="00AD47BB"/>
    <w:rsid w:val="00AD4F42"/>
    <w:rsid w:val="00AD6E20"/>
    <w:rsid w:val="00AE1ED8"/>
    <w:rsid w:val="00AE63A0"/>
    <w:rsid w:val="00AF3E83"/>
    <w:rsid w:val="00B06DA7"/>
    <w:rsid w:val="00B10F21"/>
    <w:rsid w:val="00B3239F"/>
    <w:rsid w:val="00B334CC"/>
    <w:rsid w:val="00B36C42"/>
    <w:rsid w:val="00B375B0"/>
    <w:rsid w:val="00B47037"/>
    <w:rsid w:val="00B47C11"/>
    <w:rsid w:val="00B61D49"/>
    <w:rsid w:val="00B65157"/>
    <w:rsid w:val="00B74130"/>
    <w:rsid w:val="00B743F2"/>
    <w:rsid w:val="00B7577E"/>
    <w:rsid w:val="00B7697C"/>
    <w:rsid w:val="00B76E9E"/>
    <w:rsid w:val="00B80A51"/>
    <w:rsid w:val="00B82482"/>
    <w:rsid w:val="00B8663F"/>
    <w:rsid w:val="00B92261"/>
    <w:rsid w:val="00BA5C22"/>
    <w:rsid w:val="00BB5BA3"/>
    <w:rsid w:val="00BB7557"/>
    <w:rsid w:val="00BC1146"/>
    <w:rsid w:val="00BC141A"/>
    <w:rsid w:val="00BC6285"/>
    <w:rsid w:val="00BE35A4"/>
    <w:rsid w:val="00C0021B"/>
    <w:rsid w:val="00C04AF2"/>
    <w:rsid w:val="00C04C39"/>
    <w:rsid w:val="00C076D0"/>
    <w:rsid w:val="00C139E6"/>
    <w:rsid w:val="00C25DB4"/>
    <w:rsid w:val="00C33EEB"/>
    <w:rsid w:val="00C35B81"/>
    <w:rsid w:val="00C45448"/>
    <w:rsid w:val="00C470B9"/>
    <w:rsid w:val="00C546AB"/>
    <w:rsid w:val="00C56B5C"/>
    <w:rsid w:val="00C6062F"/>
    <w:rsid w:val="00C7493F"/>
    <w:rsid w:val="00C76BA9"/>
    <w:rsid w:val="00C864D1"/>
    <w:rsid w:val="00CB09AA"/>
    <w:rsid w:val="00CB176E"/>
    <w:rsid w:val="00CB5DAD"/>
    <w:rsid w:val="00CC480F"/>
    <w:rsid w:val="00CC7A86"/>
    <w:rsid w:val="00CD2485"/>
    <w:rsid w:val="00CD641D"/>
    <w:rsid w:val="00CF0EFE"/>
    <w:rsid w:val="00CF292F"/>
    <w:rsid w:val="00CF35B1"/>
    <w:rsid w:val="00D00A5B"/>
    <w:rsid w:val="00D01526"/>
    <w:rsid w:val="00D01BD2"/>
    <w:rsid w:val="00D04F28"/>
    <w:rsid w:val="00D148EB"/>
    <w:rsid w:val="00D17430"/>
    <w:rsid w:val="00D1770E"/>
    <w:rsid w:val="00D205DE"/>
    <w:rsid w:val="00D25B88"/>
    <w:rsid w:val="00D32C6A"/>
    <w:rsid w:val="00D33804"/>
    <w:rsid w:val="00D42E4A"/>
    <w:rsid w:val="00D471E8"/>
    <w:rsid w:val="00D507B2"/>
    <w:rsid w:val="00D62F35"/>
    <w:rsid w:val="00D75153"/>
    <w:rsid w:val="00D771CC"/>
    <w:rsid w:val="00D803E7"/>
    <w:rsid w:val="00D90FB4"/>
    <w:rsid w:val="00D938A6"/>
    <w:rsid w:val="00DA07BB"/>
    <w:rsid w:val="00DA1BBF"/>
    <w:rsid w:val="00DA2D79"/>
    <w:rsid w:val="00DA6D61"/>
    <w:rsid w:val="00DB1A80"/>
    <w:rsid w:val="00DB7322"/>
    <w:rsid w:val="00E0711F"/>
    <w:rsid w:val="00E15D9D"/>
    <w:rsid w:val="00E2063C"/>
    <w:rsid w:val="00E2085D"/>
    <w:rsid w:val="00E23DAE"/>
    <w:rsid w:val="00E2440B"/>
    <w:rsid w:val="00E26789"/>
    <w:rsid w:val="00E30043"/>
    <w:rsid w:val="00E3288E"/>
    <w:rsid w:val="00E37D08"/>
    <w:rsid w:val="00E43FC0"/>
    <w:rsid w:val="00E463F3"/>
    <w:rsid w:val="00E52C80"/>
    <w:rsid w:val="00E6624B"/>
    <w:rsid w:val="00E702BC"/>
    <w:rsid w:val="00E72B32"/>
    <w:rsid w:val="00E77139"/>
    <w:rsid w:val="00E82F84"/>
    <w:rsid w:val="00E91190"/>
    <w:rsid w:val="00EA5956"/>
    <w:rsid w:val="00EB56DA"/>
    <w:rsid w:val="00EC6825"/>
    <w:rsid w:val="00ED379B"/>
    <w:rsid w:val="00ED50DA"/>
    <w:rsid w:val="00EE0217"/>
    <w:rsid w:val="00EE06FB"/>
    <w:rsid w:val="00EE35CA"/>
    <w:rsid w:val="00EE3E20"/>
    <w:rsid w:val="00EF10A5"/>
    <w:rsid w:val="00EF15F4"/>
    <w:rsid w:val="00EF6A29"/>
    <w:rsid w:val="00F01826"/>
    <w:rsid w:val="00F039EE"/>
    <w:rsid w:val="00F206E6"/>
    <w:rsid w:val="00F23494"/>
    <w:rsid w:val="00F242F2"/>
    <w:rsid w:val="00F25D48"/>
    <w:rsid w:val="00F26422"/>
    <w:rsid w:val="00F30573"/>
    <w:rsid w:val="00F33741"/>
    <w:rsid w:val="00F3715F"/>
    <w:rsid w:val="00F406ED"/>
    <w:rsid w:val="00F5225B"/>
    <w:rsid w:val="00F557B3"/>
    <w:rsid w:val="00F55B10"/>
    <w:rsid w:val="00F5679B"/>
    <w:rsid w:val="00F61223"/>
    <w:rsid w:val="00F61224"/>
    <w:rsid w:val="00F71214"/>
    <w:rsid w:val="00F96C12"/>
    <w:rsid w:val="00FA1438"/>
    <w:rsid w:val="00FB6ADF"/>
    <w:rsid w:val="00FB71FB"/>
    <w:rsid w:val="00FC3FB7"/>
    <w:rsid w:val="00FC4A1F"/>
    <w:rsid w:val="00FC52DD"/>
    <w:rsid w:val="00FD27B1"/>
    <w:rsid w:val="00FD5BE7"/>
    <w:rsid w:val="00FF6CAE"/>
    <w:rsid w:val="2970BAF1"/>
    <w:rsid w:val="2BF80D49"/>
    <w:rsid w:val="3198ACCF"/>
    <w:rsid w:val="47AA1709"/>
    <w:rsid w:val="51CA0C5B"/>
    <w:rsid w:val="5B5FB6C0"/>
    <w:rsid w:val="60B6B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18F04"/>
  <w15:chartTrackingRefBased/>
  <w15:docId w15:val="{65B619E7-42D7-49A8-A8F7-6629D2948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SimSun"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121215"/>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1215"/>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652A3"/>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F6CAE"/>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21215"/>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121215"/>
    <w:rPr>
      <w:rFonts w:asciiTheme="majorHAnsi" w:hAnsiTheme="majorHAnsi" w:eastAsiaTheme="majorEastAsia" w:cstheme="majorBidi"/>
      <w:color w:val="2F5496" w:themeColor="accent1" w:themeShade="BF"/>
      <w:sz w:val="26"/>
      <w:szCs w:val="26"/>
    </w:rPr>
  </w:style>
  <w:style w:type="paragraph" w:styleId="Header">
    <w:name w:val="header"/>
    <w:basedOn w:val="Normal"/>
    <w:link w:val="HeaderChar"/>
    <w:uiPriority w:val="99"/>
    <w:unhideWhenUsed/>
    <w:rsid w:val="005B65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B6505"/>
  </w:style>
  <w:style w:type="paragraph" w:styleId="Footer">
    <w:name w:val="footer"/>
    <w:basedOn w:val="Normal"/>
    <w:link w:val="FooterChar"/>
    <w:uiPriority w:val="99"/>
    <w:unhideWhenUsed/>
    <w:rsid w:val="005B65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B6505"/>
  </w:style>
  <w:style w:type="paragraph" w:styleId="TOCHeading">
    <w:name w:val="TOC Heading"/>
    <w:basedOn w:val="Heading1"/>
    <w:next w:val="Normal"/>
    <w:uiPriority w:val="39"/>
    <w:unhideWhenUsed/>
    <w:qFormat/>
    <w:rsid w:val="005B6505"/>
    <w:pPr>
      <w:outlineLvl w:val="9"/>
    </w:pPr>
    <w:rPr>
      <w:lang w:eastAsia="en-US"/>
    </w:rPr>
  </w:style>
  <w:style w:type="paragraph" w:styleId="TOC1">
    <w:name w:val="toc 1"/>
    <w:basedOn w:val="Normal"/>
    <w:next w:val="Normal"/>
    <w:autoRedefine/>
    <w:uiPriority w:val="39"/>
    <w:unhideWhenUsed/>
    <w:rsid w:val="005B6505"/>
    <w:pPr>
      <w:spacing w:after="100"/>
    </w:pPr>
  </w:style>
  <w:style w:type="paragraph" w:styleId="TOC2">
    <w:name w:val="toc 2"/>
    <w:basedOn w:val="Normal"/>
    <w:next w:val="Normal"/>
    <w:autoRedefine/>
    <w:uiPriority w:val="39"/>
    <w:unhideWhenUsed/>
    <w:rsid w:val="005B6505"/>
    <w:pPr>
      <w:spacing w:after="100"/>
      <w:ind w:left="220"/>
    </w:pPr>
  </w:style>
  <w:style w:type="character" w:styleId="Hyperlink">
    <w:name w:val="Hyperlink"/>
    <w:basedOn w:val="DefaultParagraphFont"/>
    <w:uiPriority w:val="99"/>
    <w:unhideWhenUsed/>
    <w:rsid w:val="005B6505"/>
    <w:rPr>
      <w:color w:val="0563C1" w:themeColor="hyperlink"/>
      <w:u w:val="single"/>
    </w:rPr>
  </w:style>
  <w:style w:type="paragraph" w:styleId="NormalWeb">
    <w:name w:val="Normal (Web)"/>
    <w:basedOn w:val="Normal"/>
    <w:uiPriority w:val="99"/>
    <w:semiHidden/>
    <w:unhideWhenUsed/>
    <w:rsid w:val="00A2389B"/>
    <w:rPr>
      <w:rFonts w:ascii="Times New Roman" w:hAnsi="Times New Roman" w:cs="Times New Roman"/>
      <w:sz w:val="24"/>
      <w:szCs w:val="24"/>
    </w:rPr>
  </w:style>
  <w:style w:type="paragraph" w:styleId="ListParagraph">
    <w:name w:val="List Paragraph"/>
    <w:basedOn w:val="Normal"/>
    <w:uiPriority w:val="34"/>
    <w:qFormat/>
    <w:rsid w:val="00E82F84"/>
    <w:pPr>
      <w:ind w:left="720"/>
      <w:contextualSpacing/>
    </w:pPr>
  </w:style>
  <w:style w:type="table" w:styleId="TableGrid">
    <w:name w:val="Table Grid"/>
    <w:basedOn w:val="TableNormal"/>
    <w:uiPriority w:val="59"/>
    <w:rsid w:val="00F206E6"/>
    <w:pPr>
      <w:spacing w:after="0" w:line="240" w:lineRule="auto"/>
    </w:pPr>
    <w:rPr>
      <w:rFonts w:asciiTheme="minorHAnsi" w:hAnsiTheme="minorHAnsi" w:eastAsiaTheme="minorEastAsia"/>
      <w:sz w:val="24"/>
      <w:szCs w:val="24"/>
      <w:lang w:eastAsia="ja-JP"/>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3Char" w:customStyle="1">
    <w:name w:val="Heading 3 Char"/>
    <w:basedOn w:val="DefaultParagraphFont"/>
    <w:link w:val="Heading3"/>
    <w:uiPriority w:val="9"/>
    <w:semiHidden/>
    <w:rsid w:val="006652A3"/>
    <w:rPr>
      <w:rFonts w:asciiTheme="majorHAnsi" w:hAnsiTheme="majorHAnsi" w:eastAsiaTheme="majorEastAsia" w:cstheme="majorBidi"/>
      <w:color w:val="1F3763" w:themeColor="accent1" w:themeShade="7F"/>
      <w:sz w:val="24"/>
      <w:szCs w:val="24"/>
      <w:lang w:val="en-GB"/>
    </w:rPr>
  </w:style>
  <w:style w:type="paragraph" w:styleId="Caption">
    <w:name w:val="caption"/>
    <w:basedOn w:val="Normal"/>
    <w:next w:val="Normal"/>
    <w:uiPriority w:val="35"/>
    <w:unhideWhenUsed/>
    <w:qFormat/>
    <w:rsid w:val="00681579"/>
    <w:pPr>
      <w:spacing w:after="200" w:line="240" w:lineRule="auto"/>
    </w:pPr>
    <w:rPr>
      <w:i/>
      <w:iCs/>
      <w:color w:val="44546A" w:themeColor="text2"/>
      <w:sz w:val="18"/>
      <w:szCs w:val="18"/>
    </w:rPr>
  </w:style>
  <w:style w:type="character" w:styleId="Heading4Char" w:customStyle="1">
    <w:name w:val="Heading 4 Char"/>
    <w:basedOn w:val="DefaultParagraphFont"/>
    <w:link w:val="Heading4"/>
    <w:uiPriority w:val="9"/>
    <w:semiHidden/>
    <w:rsid w:val="00FF6CAE"/>
    <w:rPr>
      <w:rFonts w:asciiTheme="majorHAnsi" w:hAnsiTheme="majorHAnsi" w:eastAsiaTheme="majorEastAsia" w:cstheme="majorBidi"/>
      <w:i/>
      <w:iCs/>
      <w:color w:val="2F5496" w:themeColor="accent1" w:themeShade="BF"/>
      <w:lang w:val="en-GB"/>
    </w:rPr>
  </w:style>
  <w:style w:type="character" w:styleId="FollowedHyperlink">
    <w:name w:val="FollowedHyperlink"/>
    <w:basedOn w:val="DefaultParagraphFont"/>
    <w:uiPriority w:val="99"/>
    <w:semiHidden/>
    <w:unhideWhenUsed/>
    <w:rsid w:val="00AD6E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7772">
      <w:bodyDiv w:val="1"/>
      <w:marLeft w:val="0"/>
      <w:marRight w:val="0"/>
      <w:marTop w:val="0"/>
      <w:marBottom w:val="0"/>
      <w:divBdr>
        <w:top w:val="none" w:sz="0" w:space="0" w:color="auto"/>
        <w:left w:val="none" w:sz="0" w:space="0" w:color="auto"/>
        <w:bottom w:val="none" w:sz="0" w:space="0" w:color="auto"/>
        <w:right w:val="none" w:sz="0" w:space="0" w:color="auto"/>
      </w:divBdr>
    </w:div>
    <w:div w:id="83233462">
      <w:bodyDiv w:val="1"/>
      <w:marLeft w:val="0"/>
      <w:marRight w:val="0"/>
      <w:marTop w:val="0"/>
      <w:marBottom w:val="0"/>
      <w:divBdr>
        <w:top w:val="none" w:sz="0" w:space="0" w:color="auto"/>
        <w:left w:val="none" w:sz="0" w:space="0" w:color="auto"/>
        <w:bottom w:val="none" w:sz="0" w:space="0" w:color="auto"/>
        <w:right w:val="none" w:sz="0" w:space="0" w:color="auto"/>
      </w:divBdr>
      <w:divsChild>
        <w:div w:id="1679962993">
          <w:marLeft w:val="0"/>
          <w:marRight w:val="0"/>
          <w:marTop w:val="0"/>
          <w:marBottom w:val="0"/>
          <w:divBdr>
            <w:top w:val="none" w:sz="0" w:space="0" w:color="auto"/>
            <w:left w:val="none" w:sz="0" w:space="0" w:color="auto"/>
            <w:bottom w:val="none" w:sz="0" w:space="0" w:color="auto"/>
            <w:right w:val="none" w:sz="0" w:space="0" w:color="auto"/>
          </w:divBdr>
          <w:divsChild>
            <w:div w:id="1060254573">
              <w:marLeft w:val="0"/>
              <w:marRight w:val="0"/>
              <w:marTop w:val="0"/>
              <w:marBottom w:val="0"/>
              <w:divBdr>
                <w:top w:val="none" w:sz="0" w:space="0" w:color="auto"/>
                <w:left w:val="none" w:sz="0" w:space="0" w:color="auto"/>
                <w:bottom w:val="none" w:sz="0" w:space="0" w:color="auto"/>
                <w:right w:val="none" w:sz="0" w:space="0" w:color="auto"/>
              </w:divBdr>
              <w:divsChild>
                <w:div w:id="2102944550">
                  <w:marLeft w:val="0"/>
                  <w:marRight w:val="0"/>
                  <w:marTop w:val="0"/>
                  <w:marBottom w:val="0"/>
                  <w:divBdr>
                    <w:top w:val="none" w:sz="0" w:space="0" w:color="auto"/>
                    <w:left w:val="none" w:sz="0" w:space="0" w:color="auto"/>
                    <w:bottom w:val="none" w:sz="0" w:space="0" w:color="auto"/>
                    <w:right w:val="none" w:sz="0" w:space="0" w:color="auto"/>
                  </w:divBdr>
                  <w:divsChild>
                    <w:div w:id="124846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57225">
          <w:marLeft w:val="0"/>
          <w:marRight w:val="0"/>
          <w:marTop w:val="0"/>
          <w:marBottom w:val="0"/>
          <w:divBdr>
            <w:top w:val="none" w:sz="0" w:space="0" w:color="auto"/>
            <w:left w:val="none" w:sz="0" w:space="0" w:color="auto"/>
            <w:bottom w:val="none" w:sz="0" w:space="0" w:color="auto"/>
            <w:right w:val="none" w:sz="0" w:space="0" w:color="auto"/>
          </w:divBdr>
          <w:divsChild>
            <w:div w:id="1174953764">
              <w:marLeft w:val="0"/>
              <w:marRight w:val="0"/>
              <w:marTop w:val="0"/>
              <w:marBottom w:val="0"/>
              <w:divBdr>
                <w:top w:val="none" w:sz="0" w:space="0" w:color="auto"/>
                <w:left w:val="none" w:sz="0" w:space="0" w:color="auto"/>
                <w:bottom w:val="none" w:sz="0" w:space="0" w:color="auto"/>
                <w:right w:val="none" w:sz="0" w:space="0" w:color="auto"/>
              </w:divBdr>
              <w:divsChild>
                <w:div w:id="987628946">
                  <w:marLeft w:val="0"/>
                  <w:marRight w:val="0"/>
                  <w:marTop w:val="0"/>
                  <w:marBottom w:val="0"/>
                  <w:divBdr>
                    <w:top w:val="none" w:sz="0" w:space="0" w:color="auto"/>
                    <w:left w:val="none" w:sz="0" w:space="0" w:color="auto"/>
                    <w:bottom w:val="none" w:sz="0" w:space="0" w:color="auto"/>
                    <w:right w:val="none" w:sz="0" w:space="0" w:color="auto"/>
                  </w:divBdr>
                  <w:divsChild>
                    <w:div w:id="9649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9886">
      <w:bodyDiv w:val="1"/>
      <w:marLeft w:val="0"/>
      <w:marRight w:val="0"/>
      <w:marTop w:val="0"/>
      <w:marBottom w:val="0"/>
      <w:divBdr>
        <w:top w:val="none" w:sz="0" w:space="0" w:color="auto"/>
        <w:left w:val="none" w:sz="0" w:space="0" w:color="auto"/>
        <w:bottom w:val="none" w:sz="0" w:space="0" w:color="auto"/>
        <w:right w:val="none" w:sz="0" w:space="0" w:color="auto"/>
      </w:divBdr>
    </w:div>
    <w:div w:id="104813894">
      <w:bodyDiv w:val="1"/>
      <w:marLeft w:val="0"/>
      <w:marRight w:val="0"/>
      <w:marTop w:val="0"/>
      <w:marBottom w:val="0"/>
      <w:divBdr>
        <w:top w:val="none" w:sz="0" w:space="0" w:color="auto"/>
        <w:left w:val="none" w:sz="0" w:space="0" w:color="auto"/>
        <w:bottom w:val="none" w:sz="0" w:space="0" w:color="auto"/>
        <w:right w:val="none" w:sz="0" w:space="0" w:color="auto"/>
      </w:divBdr>
      <w:divsChild>
        <w:div w:id="174686064">
          <w:marLeft w:val="0"/>
          <w:marRight w:val="0"/>
          <w:marTop w:val="0"/>
          <w:marBottom w:val="0"/>
          <w:divBdr>
            <w:top w:val="none" w:sz="0" w:space="0" w:color="auto"/>
            <w:left w:val="none" w:sz="0" w:space="0" w:color="auto"/>
            <w:bottom w:val="none" w:sz="0" w:space="0" w:color="auto"/>
            <w:right w:val="none" w:sz="0" w:space="0" w:color="auto"/>
          </w:divBdr>
          <w:divsChild>
            <w:div w:id="218395736">
              <w:marLeft w:val="0"/>
              <w:marRight w:val="0"/>
              <w:marTop w:val="0"/>
              <w:marBottom w:val="0"/>
              <w:divBdr>
                <w:top w:val="none" w:sz="0" w:space="0" w:color="auto"/>
                <w:left w:val="none" w:sz="0" w:space="0" w:color="auto"/>
                <w:bottom w:val="none" w:sz="0" w:space="0" w:color="auto"/>
                <w:right w:val="none" w:sz="0" w:space="0" w:color="auto"/>
              </w:divBdr>
              <w:divsChild>
                <w:div w:id="292180391">
                  <w:marLeft w:val="0"/>
                  <w:marRight w:val="0"/>
                  <w:marTop w:val="0"/>
                  <w:marBottom w:val="0"/>
                  <w:divBdr>
                    <w:top w:val="none" w:sz="0" w:space="0" w:color="auto"/>
                    <w:left w:val="none" w:sz="0" w:space="0" w:color="auto"/>
                    <w:bottom w:val="none" w:sz="0" w:space="0" w:color="auto"/>
                    <w:right w:val="none" w:sz="0" w:space="0" w:color="auto"/>
                  </w:divBdr>
                  <w:divsChild>
                    <w:div w:id="33954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837594">
          <w:marLeft w:val="0"/>
          <w:marRight w:val="0"/>
          <w:marTop w:val="0"/>
          <w:marBottom w:val="0"/>
          <w:divBdr>
            <w:top w:val="none" w:sz="0" w:space="0" w:color="auto"/>
            <w:left w:val="none" w:sz="0" w:space="0" w:color="auto"/>
            <w:bottom w:val="none" w:sz="0" w:space="0" w:color="auto"/>
            <w:right w:val="none" w:sz="0" w:space="0" w:color="auto"/>
          </w:divBdr>
          <w:divsChild>
            <w:div w:id="129132646">
              <w:marLeft w:val="0"/>
              <w:marRight w:val="0"/>
              <w:marTop w:val="0"/>
              <w:marBottom w:val="0"/>
              <w:divBdr>
                <w:top w:val="none" w:sz="0" w:space="0" w:color="auto"/>
                <w:left w:val="none" w:sz="0" w:space="0" w:color="auto"/>
                <w:bottom w:val="none" w:sz="0" w:space="0" w:color="auto"/>
                <w:right w:val="none" w:sz="0" w:space="0" w:color="auto"/>
              </w:divBdr>
              <w:divsChild>
                <w:div w:id="1478719753">
                  <w:marLeft w:val="0"/>
                  <w:marRight w:val="0"/>
                  <w:marTop w:val="0"/>
                  <w:marBottom w:val="0"/>
                  <w:divBdr>
                    <w:top w:val="none" w:sz="0" w:space="0" w:color="auto"/>
                    <w:left w:val="none" w:sz="0" w:space="0" w:color="auto"/>
                    <w:bottom w:val="none" w:sz="0" w:space="0" w:color="auto"/>
                    <w:right w:val="none" w:sz="0" w:space="0" w:color="auto"/>
                  </w:divBdr>
                  <w:divsChild>
                    <w:div w:id="29225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42690">
      <w:bodyDiv w:val="1"/>
      <w:marLeft w:val="0"/>
      <w:marRight w:val="0"/>
      <w:marTop w:val="0"/>
      <w:marBottom w:val="0"/>
      <w:divBdr>
        <w:top w:val="none" w:sz="0" w:space="0" w:color="auto"/>
        <w:left w:val="none" w:sz="0" w:space="0" w:color="auto"/>
        <w:bottom w:val="none" w:sz="0" w:space="0" w:color="auto"/>
        <w:right w:val="none" w:sz="0" w:space="0" w:color="auto"/>
      </w:divBdr>
    </w:div>
    <w:div w:id="192768287">
      <w:bodyDiv w:val="1"/>
      <w:marLeft w:val="0"/>
      <w:marRight w:val="0"/>
      <w:marTop w:val="0"/>
      <w:marBottom w:val="0"/>
      <w:divBdr>
        <w:top w:val="none" w:sz="0" w:space="0" w:color="auto"/>
        <w:left w:val="none" w:sz="0" w:space="0" w:color="auto"/>
        <w:bottom w:val="none" w:sz="0" w:space="0" w:color="auto"/>
        <w:right w:val="none" w:sz="0" w:space="0" w:color="auto"/>
      </w:divBdr>
    </w:div>
    <w:div w:id="205410124">
      <w:bodyDiv w:val="1"/>
      <w:marLeft w:val="0"/>
      <w:marRight w:val="0"/>
      <w:marTop w:val="0"/>
      <w:marBottom w:val="0"/>
      <w:divBdr>
        <w:top w:val="none" w:sz="0" w:space="0" w:color="auto"/>
        <w:left w:val="none" w:sz="0" w:space="0" w:color="auto"/>
        <w:bottom w:val="none" w:sz="0" w:space="0" w:color="auto"/>
        <w:right w:val="none" w:sz="0" w:space="0" w:color="auto"/>
      </w:divBdr>
    </w:div>
    <w:div w:id="285358492">
      <w:bodyDiv w:val="1"/>
      <w:marLeft w:val="0"/>
      <w:marRight w:val="0"/>
      <w:marTop w:val="0"/>
      <w:marBottom w:val="0"/>
      <w:divBdr>
        <w:top w:val="none" w:sz="0" w:space="0" w:color="auto"/>
        <w:left w:val="none" w:sz="0" w:space="0" w:color="auto"/>
        <w:bottom w:val="none" w:sz="0" w:space="0" w:color="auto"/>
        <w:right w:val="none" w:sz="0" w:space="0" w:color="auto"/>
      </w:divBdr>
    </w:div>
    <w:div w:id="326981869">
      <w:bodyDiv w:val="1"/>
      <w:marLeft w:val="0"/>
      <w:marRight w:val="0"/>
      <w:marTop w:val="0"/>
      <w:marBottom w:val="0"/>
      <w:divBdr>
        <w:top w:val="none" w:sz="0" w:space="0" w:color="auto"/>
        <w:left w:val="none" w:sz="0" w:space="0" w:color="auto"/>
        <w:bottom w:val="none" w:sz="0" w:space="0" w:color="auto"/>
        <w:right w:val="none" w:sz="0" w:space="0" w:color="auto"/>
      </w:divBdr>
    </w:div>
    <w:div w:id="451022409">
      <w:bodyDiv w:val="1"/>
      <w:marLeft w:val="0"/>
      <w:marRight w:val="0"/>
      <w:marTop w:val="0"/>
      <w:marBottom w:val="0"/>
      <w:divBdr>
        <w:top w:val="none" w:sz="0" w:space="0" w:color="auto"/>
        <w:left w:val="none" w:sz="0" w:space="0" w:color="auto"/>
        <w:bottom w:val="none" w:sz="0" w:space="0" w:color="auto"/>
        <w:right w:val="none" w:sz="0" w:space="0" w:color="auto"/>
      </w:divBdr>
    </w:div>
    <w:div w:id="453059991">
      <w:bodyDiv w:val="1"/>
      <w:marLeft w:val="0"/>
      <w:marRight w:val="0"/>
      <w:marTop w:val="0"/>
      <w:marBottom w:val="0"/>
      <w:divBdr>
        <w:top w:val="none" w:sz="0" w:space="0" w:color="auto"/>
        <w:left w:val="none" w:sz="0" w:space="0" w:color="auto"/>
        <w:bottom w:val="none" w:sz="0" w:space="0" w:color="auto"/>
        <w:right w:val="none" w:sz="0" w:space="0" w:color="auto"/>
      </w:divBdr>
    </w:div>
    <w:div w:id="462160199">
      <w:bodyDiv w:val="1"/>
      <w:marLeft w:val="0"/>
      <w:marRight w:val="0"/>
      <w:marTop w:val="0"/>
      <w:marBottom w:val="0"/>
      <w:divBdr>
        <w:top w:val="none" w:sz="0" w:space="0" w:color="auto"/>
        <w:left w:val="none" w:sz="0" w:space="0" w:color="auto"/>
        <w:bottom w:val="none" w:sz="0" w:space="0" w:color="auto"/>
        <w:right w:val="none" w:sz="0" w:space="0" w:color="auto"/>
      </w:divBdr>
    </w:div>
    <w:div w:id="473134427">
      <w:bodyDiv w:val="1"/>
      <w:marLeft w:val="0"/>
      <w:marRight w:val="0"/>
      <w:marTop w:val="0"/>
      <w:marBottom w:val="0"/>
      <w:divBdr>
        <w:top w:val="none" w:sz="0" w:space="0" w:color="auto"/>
        <w:left w:val="none" w:sz="0" w:space="0" w:color="auto"/>
        <w:bottom w:val="none" w:sz="0" w:space="0" w:color="auto"/>
        <w:right w:val="none" w:sz="0" w:space="0" w:color="auto"/>
      </w:divBdr>
    </w:div>
    <w:div w:id="478154838">
      <w:bodyDiv w:val="1"/>
      <w:marLeft w:val="0"/>
      <w:marRight w:val="0"/>
      <w:marTop w:val="0"/>
      <w:marBottom w:val="0"/>
      <w:divBdr>
        <w:top w:val="none" w:sz="0" w:space="0" w:color="auto"/>
        <w:left w:val="none" w:sz="0" w:space="0" w:color="auto"/>
        <w:bottom w:val="none" w:sz="0" w:space="0" w:color="auto"/>
        <w:right w:val="none" w:sz="0" w:space="0" w:color="auto"/>
      </w:divBdr>
    </w:div>
    <w:div w:id="642002251">
      <w:bodyDiv w:val="1"/>
      <w:marLeft w:val="0"/>
      <w:marRight w:val="0"/>
      <w:marTop w:val="0"/>
      <w:marBottom w:val="0"/>
      <w:divBdr>
        <w:top w:val="none" w:sz="0" w:space="0" w:color="auto"/>
        <w:left w:val="none" w:sz="0" w:space="0" w:color="auto"/>
        <w:bottom w:val="none" w:sz="0" w:space="0" w:color="auto"/>
        <w:right w:val="none" w:sz="0" w:space="0" w:color="auto"/>
      </w:divBdr>
      <w:divsChild>
        <w:div w:id="216169208">
          <w:marLeft w:val="0"/>
          <w:marRight w:val="0"/>
          <w:marTop w:val="0"/>
          <w:marBottom w:val="0"/>
          <w:divBdr>
            <w:top w:val="none" w:sz="0" w:space="0" w:color="auto"/>
            <w:left w:val="none" w:sz="0" w:space="0" w:color="auto"/>
            <w:bottom w:val="none" w:sz="0" w:space="0" w:color="auto"/>
            <w:right w:val="none" w:sz="0" w:space="0" w:color="auto"/>
          </w:divBdr>
          <w:divsChild>
            <w:div w:id="1417557887">
              <w:marLeft w:val="0"/>
              <w:marRight w:val="0"/>
              <w:marTop w:val="0"/>
              <w:marBottom w:val="0"/>
              <w:divBdr>
                <w:top w:val="none" w:sz="0" w:space="0" w:color="auto"/>
                <w:left w:val="none" w:sz="0" w:space="0" w:color="auto"/>
                <w:bottom w:val="none" w:sz="0" w:space="0" w:color="auto"/>
                <w:right w:val="none" w:sz="0" w:space="0" w:color="auto"/>
              </w:divBdr>
              <w:divsChild>
                <w:div w:id="98961808">
                  <w:marLeft w:val="0"/>
                  <w:marRight w:val="0"/>
                  <w:marTop w:val="0"/>
                  <w:marBottom w:val="0"/>
                  <w:divBdr>
                    <w:top w:val="none" w:sz="0" w:space="0" w:color="auto"/>
                    <w:left w:val="none" w:sz="0" w:space="0" w:color="auto"/>
                    <w:bottom w:val="none" w:sz="0" w:space="0" w:color="auto"/>
                    <w:right w:val="none" w:sz="0" w:space="0" w:color="auto"/>
                  </w:divBdr>
                  <w:divsChild>
                    <w:div w:id="203511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457259">
          <w:marLeft w:val="0"/>
          <w:marRight w:val="0"/>
          <w:marTop w:val="0"/>
          <w:marBottom w:val="0"/>
          <w:divBdr>
            <w:top w:val="none" w:sz="0" w:space="0" w:color="auto"/>
            <w:left w:val="none" w:sz="0" w:space="0" w:color="auto"/>
            <w:bottom w:val="none" w:sz="0" w:space="0" w:color="auto"/>
            <w:right w:val="none" w:sz="0" w:space="0" w:color="auto"/>
          </w:divBdr>
          <w:divsChild>
            <w:div w:id="699403273">
              <w:marLeft w:val="0"/>
              <w:marRight w:val="0"/>
              <w:marTop w:val="0"/>
              <w:marBottom w:val="0"/>
              <w:divBdr>
                <w:top w:val="none" w:sz="0" w:space="0" w:color="auto"/>
                <w:left w:val="none" w:sz="0" w:space="0" w:color="auto"/>
                <w:bottom w:val="none" w:sz="0" w:space="0" w:color="auto"/>
                <w:right w:val="none" w:sz="0" w:space="0" w:color="auto"/>
              </w:divBdr>
              <w:divsChild>
                <w:div w:id="955409249">
                  <w:marLeft w:val="0"/>
                  <w:marRight w:val="0"/>
                  <w:marTop w:val="0"/>
                  <w:marBottom w:val="0"/>
                  <w:divBdr>
                    <w:top w:val="none" w:sz="0" w:space="0" w:color="auto"/>
                    <w:left w:val="none" w:sz="0" w:space="0" w:color="auto"/>
                    <w:bottom w:val="none" w:sz="0" w:space="0" w:color="auto"/>
                    <w:right w:val="none" w:sz="0" w:space="0" w:color="auto"/>
                  </w:divBdr>
                  <w:divsChild>
                    <w:div w:id="9164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190900">
      <w:bodyDiv w:val="1"/>
      <w:marLeft w:val="0"/>
      <w:marRight w:val="0"/>
      <w:marTop w:val="0"/>
      <w:marBottom w:val="0"/>
      <w:divBdr>
        <w:top w:val="none" w:sz="0" w:space="0" w:color="auto"/>
        <w:left w:val="none" w:sz="0" w:space="0" w:color="auto"/>
        <w:bottom w:val="none" w:sz="0" w:space="0" w:color="auto"/>
        <w:right w:val="none" w:sz="0" w:space="0" w:color="auto"/>
      </w:divBdr>
      <w:divsChild>
        <w:div w:id="1766461545">
          <w:marLeft w:val="0"/>
          <w:marRight w:val="0"/>
          <w:marTop w:val="0"/>
          <w:marBottom w:val="0"/>
          <w:divBdr>
            <w:top w:val="none" w:sz="0" w:space="0" w:color="auto"/>
            <w:left w:val="none" w:sz="0" w:space="0" w:color="auto"/>
            <w:bottom w:val="none" w:sz="0" w:space="0" w:color="auto"/>
            <w:right w:val="none" w:sz="0" w:space="0" w:color="auto"/>
          </w:divBdr>
          <w:divsChild>
            <w:div w:id="772434437">
              <w:marLeft w:val="0"/>
              <w:marRight w:val="0"/>
              <w:marTop w:val="0"/>
              <w:marBottom w:val="0"/>
              <w:divBdr>
                <w:top w:val="none" w:sz="0" w:space="0" w:color="auto"/>
                <w:left w:val="none" w:sz="0" w:space="0" w:color="auto"/>
                <w:bottom w:val="none" w:sz="0" w:space="0" w:color="auto"/>
                <w:right w:val="none" w:sz="0" w:space="0" w:color="auto"/>
              </w:divBdr>
              <w:divsChild>
                <w:div w:id="490560723">
                  <w:marLeft w:val="0"/>
                  <w:marRight w:val="0"/>
                  <w:marTop w:val="0"/>
                  <w:marBottom w:val="0"/>
                  <w:divBdr>
                    <w:top w:val="none" w:sz="0" w:space="0" w:color="auto"/>
                    <w:left w:val="none" w:sz="0" w:space="0" w:color="auto"/>
                    <w:bottom w:val="none" w:sz="0" w:space="0" w:color="auto"/>
                    <w:right w:val="none" w:sz="0" w:space="0" w:color="auto"/>
                  </w:divBdr>
                  <w:divsChild>
                    <w:div w:id="131317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179720">
          <w:marLeft w:val="0"/>
          <w:marRight w:val="0"/>
          <w:marTop w:val="0"/>
          <w:marBottom w:val="0"/>
          <w:divBdr>
            <w:top w:val="none" w:sz="0" w:space="0" w:color="auto"/>
            <w:left w:val="none" w:sz="0" w:space="0" w:color="auto"/>
            <w:bottom w:val="none" w:sz="0" w:space="0" w:color="auto"/>
            <w:right w:val="none" w:sz="0" w:space="0" w:color="auto"/>
          </w:divBdr>
          <w:divsChild>
            <w:div w:id="235821314">
              <w:marLeft w:val="0"/>
              <w:marRight w:val="0"/>
              <w:marTop w:val="0"/>
              <w:marBottom w:val="0"/>
              <w:divBdr>
                <w:top w:val="none" w:sz="0" w:space="0" w:color="auto"/>
                <w:left w:val="none" w:sz="0" w:space="0" w:color="auto"/>
                <w:bottom w:val="none" w:sz="0" w:space="0" w:color="auto"/>
                <w:right w:val="none" w:sz="0" w:space="0" w:color="auto"/>
              </w:divBdr>
              <w:divsChild>
                <w:div w:id="238565724">
                  <w:marLeft w:val="0"/>
                  <w:marRight w:val="0"/>
                  <w:marTop w:val="0"/>
                  <w:marBottom w:val="0"/>
                  <w:divBdr>
                    <w:top w:val="none" w:sz="0" w:space="0" w:color="auto"/>
                    <w:left w:val="none" w:sz="0" w:space="0" w:color="auto"/>
                    <w:bottom w:val="none" w:sz="0" w:space="0" w:color="auto"/>
                    <w:right w:val="none" w:sz="0" w:space="0" w:color="auto"/>
                  </w:divBdr>
                  <w:divsChild>
                    <w:div w:id="16648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493779">
      <w:bodyDiv w:val="1"/>
      <w:marLeft w:val="0"/>
      <w:marRight w:val="0"/>
      <w:marTop w:val="0"/>
      <w:marBottom w:val="0"/>
      <w:divBdr>
        <w:top w:val="none" w:sz="0" w:space="0" w:color="auto"/>
        <w:left w:val="none" w:sz="0" w:space="0" w:color="auto"/>
        <w:bottom w:val="none" w:sz="0" w:space="0" w:color="auto"/>
        <w:right w:val="none" w:sz="0" w:space="0" w:color="auto"/>
      </w:divBdr>
      <w:divsChild>
        <w:div w:id="1682470969">
          <w:marLeft w:val="0"/>
          <w:marRight w:val="0"/>
          <w:marTop w:val="0"/>
          <w:marBottom w:val="0"/>
          <w:divBdr>
            <w:top w:val="none" w:sz="0" w:space="0" w:color="auto"/>
            <w:left w:val="none" w:sz="0" w:space="0" w:color="auto"/>
            <w:bottom w:val="none" w:sz="0" w:space="0" w:color="auto"/>
            <w:right w:val="none" w:sz="0" w:space="0" w:color="auto"/>
          </w:divBdr>
          <w:divsChild>
            <w:div w:id="1091394953">
              <w:marLeft w:val="0"/>
              <w:marRight w:val="0"/>
              <w:marTop w:val="0"/>
              <w:marBottom w:val="0"/>
              <w:divBdr>
                <w:top w:val="none" w:sz="0" w:space="0" w:color="auto"/>
                <w:left w:val="none" w:sz="0" w:space="0" w:color="auto"/>
                <w:bottom w:val="none" w:sz="0" w:space="0" w:color="auto"/>
                <w:right w:val="none" w:sz="0" w:space="0" w:color="auto"/>
              </w:divBdr>
              <w:divsChild>
                <w:div w:id="337343061">
                  <w:marLeft w:val="0"/>
                  <w:marRight w:val="0"/>
                  <w:marTop w:val="0"/>
                  <w:marBottom w:val="0"/>
                  <w:divBdr>
                    <w:top w:val="none" w:sz="0" w:space="0" w:color="auto"/>
                    <w:left w:val="none" w:sz="0" w:space="0" w:color="auto"/>
                    <w:bottom w:val="none" w:sz="0" w:space="0" w:color="auto"/>
                    <w:right w:val="none" w:sz="0" w:space="0" w:color="auto"/>
                  </w:divBdr>
                  <w:divsChild>
                    <w:div w:id="86876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08975">
          <w:marLeft w:val="0"/>
          <w:marRight w:val="0"/>
          <w:marTop w:val="0"/>
          <w:marBottom w:val="0"/>
          <w:divBdr>
            <w:top w:val="none" w:sz="0" w:space="0" w:color="auto"/>
            <w:left w:val="none" w:sz="0" w:space="0" w:color="auto"/>
            <w:bottom w:val="none" w:sz="0" w:space="0" w:color="auto"/>
            <w:right w:val="none" w:sz="0" w:space="0" w:color="auto"/>
          </w:divBdr>
          <w:divsChild>
            <w:div w:id="149831233">
              <w:marLeft w:val="0"/>
              <w:marRight w:val="0"/>
              <w:marTop w:val="0"/>
              <w:marBottom w:val="0"/>
              <w:divBdr>
                <w:top w:val="none" w:sz="0" w:space="0" w:color="auto"/>
                <w:left w:val="none" w:sz="0" w:space="0" w:color="auto"/>
                <w:bottom w:val="none" w:sz="0" w:space="0" w:color="auto"/>
                <w:right w:val="none" w:sz="0" w:space="0" w:color="auto"/>
              </w:divBdr>
              <w:divsChild>
                <w:div w:id="1004477155">
                  <w:marLeft w:val="0"/>
                  <w:marRight w:val="0"/>
                  <w:marTop w:val="0"/>
                  <w:marBottom w:val="0"/>
                  <w:divBdr>
                    <w:top w:val="none" w:sz="0" w:space="0" w:color="auto"/>
                    <w:left w:val="none" w:sz="0" w:space="0" w:color="auto"/>
                    <w:bottom w:val="none" w:sz="0" w:space="0" w:color="auto"/>
                    <w:right w:val="none" w:sz="0" w:space="0" w:color="auto"/>
                  </w:divBdr>
                  <w:divsChild>
                    <w:div w:id="140522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200909">
      <w:bodyDiv w:val="1"/>
      <w:marLeft w:val="0"/>
      <w:marRight w:val="0"/>
      <w:marTop w:val="0"/>
      <w:marBottom w:val="0"/>
      <w:divBdr>
        <w:top w:val="none" w:sz="0" w:space="0" w:color="auto"/>
        <w:left w:val="none" w:sz="0" w:space="0" w:color="auto"/>
        <w:bottom w:val="none" w:sz="0" w:space="0" w:color="auto"/>
        <w:right w:val="none" w:sz="0" w:space="0" w:color="auto"/>
      </w:divBdr>
    </w:div>
    <w:div w:id="878008434">
      <w:bodyDiv w:val="1"/>
      <w:marLeft w:val="0"/>
      <w:marRight w:val="0"/>
      <w:marTop w:val="0"/>
      <w:marBottom w:val="0"/>
      <w:divBdr>
        <w:top w:val="none" w:sz="0" w:space="0" w:color="auto"/>
        <w:left w:val="none" w:sz="0" w:space="0" w:color="auto"/>
        <w:bottom w:val="none" w:sz="0" w:space="0" w:color="auto"/>
        <w:right w:val="none" w:sz="0" w:space="0" w:color="auto"/>
      </w:divBdr>
    </w:div>
    <w:div w:id="967009296">
      <w:bodyDiv w:val="1"/>
      <w:marLeft w:val="0"/>
      <w:marRight w:val="0"/>
      <w:marTop w:val="0"/>
      <w:marBottom w:val="0"/>
      <w:divBdr>
        <w:top w:val="none" w:sz="0" w:space="0" w:color="auto"/>
        <w:left w:val="none" w:sz="0" w:space="0" w:color="auto"/>
        <w:bottom w:val="none" w:sz="0" w:space="0" w:color="auto"/>
        <w:right w:val="none" w:sz="0" w:space="0" w:color="auto"/>
      </w:divBdr>
      <w:divsChild>
        <w:div w:id="987050999">
          <w:marLeft w:val="0"/>
          <w:marRight w:val="0"/>
          <w:marTop w:val="0"/>
          <w:marBottom w:val="0"/>
          <w:divBdr>
            <w:top w:val="none" w:sz="0" w:space="0" w:color="auto"/>
            <w:left w:val="none" w:sz="0" w:space="0" w:color="auto"/>
            <w:bottom w:val="none" w:sz="0" w:space="0" w:color="auto"/>
            <w:right w:val="none" w:sz="0" w:space="0" w:color="auto"/>
          </w:divBdr>
          <w:divsChild>
            <w:div w:id="1291015512">
              <w:marLeft w:val="0"/>
              <w:marRight w:val="0"/>
              <w:marTop w:val="0"/>
              <w:marBottom w:val="0"/>
              <w:divBdr>
                <w:top w:val="none" w:sz="0" w:space="0" w:color="auto"/>
                <w:left w:val="none" w:sz="0" w:space="0" w:color="auto"/>
                <w:bottom w:val="none" w:sz="0" w:space="0" w:color="auto"/>
                <w:right w:val="none" w:sz="0" w:space="0" w:color="auto"/>
              </w:divBdr>
              <w:divsChild>
                <w:div w:id="1467239621">
                  <w:marLeft w:val="0"/>
                  <w:marRight w:val="0"/>
                  <w:marTop w:val="0"/>
                  <w:marBottom w:val="0"/>
                  <w:divBdr>
                    <w:top w:val="none" w:sz="0" w:space="0" w:color="auto"/>
                    <w:left w:val="none" w:sz="0" w:space="0" w:color="auto"/>
                    <w:bottom w:val="none" w:sz="0" w:space="0" w:color="auto"/>
                    <w:right w:val="none" w:sz="0" w:space="0" w:color="auto"/>
                  </w:divBdr>
                  <w:divsChild>
                    <w:div w:id="187492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340429">
          <w:marLeft w:val="0"/>
          <w:marRight w:val="0"/>
          <w:marTop w:val="0"/>
          <w:marBottom w:val="0"/>
          <w:divBdr>
            <w:top w:val="none" w:sz="0" w:space="0" w:color="auto"/>
            <w:left w:val="none" w:sz="0" w:space="0" w:color="auto"/>
            <w:bottom w:val="none" w:sz="0" w:space="0" w:color="auto"/>
            <w:right w:val="none" w:sz="0" w:space="0" w:color="auto"/>
          </w:divBdr>
          <w:divsChild>
            <w:div w:id="918058570">
              <w:marLeft w:val="0"/>
              <w:marRight w:val="0"/>
              <w:marTop w:val="0"/>
              <w:marBottom w:val="0"/>
              <w:divBdr>
                <w:top w:val="none" w:sz="0" w:space="0" w:color="auto"/>
                <w:left w:val="none" w:sz="0" w:space="0" w:color="auto"/>
                <w:bottom w:val="none" w:sz="0" w:space="0" w:color="auto"/>
                <w:right w:val="none" w:sz="0" w:space="0" w:color="auto"/>
              </w:divBdr>
              <w:divsChild>
                <w:div w:id="1776293547">
                  <w:marLeft w:val="0"/>
                  <w:marRight w:val="0"/>
                  <w:marTop w:val="0"/>
                  <w:marBottom w:val="0"/>
                  <w:divBdr>
                    <w:top w:val="none" w:sz="0" w:space="0" w:color="auto"/>
                    <w:left w:val="none" w:sz="0" w:space="0" w:color="auto"/>
                    <w:bottom w:val="none" w:sz="0" w:space="0" w:color="auto"/>
                    <w:right w:val="none" w:sz="0" w:space="0" w:color="auto"/>
                  </w:divBdr>
                  <w:divsChild>
                    <w:div w:id="40850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272899">
      <w:bodyDiv w:val="1"/>
      <w:marLeft w:val="0"/>
      <w:marRight w:val="0"/>
      <w:marTop w:val="0"/>
      <w:marBottom w:val="0"/>
      <w:divBdr>
        <w:top w:val="none" w:sz="0" w:space="0" w:color="auto"/>
        <w:left w:val="none" w:sz="0" w:space="0" w:color="auto"/>
        <w:bottom w:val="none" w:sz="0" w:space="0" w:color="auto"/>
        <w:right w:val="none" w:sz="0" w:space="0" w:color="auto"/>
      </w:divBdr>
    </w:div>
    <w:div w:id="1029645566">
      <w:bodyDiv w:val="1"/>
      <w:marLeft w:val="0"/>
      <w:marRight w:val="0"/>
      <w:marTop w:val="0"/>
      <w:marBottom w:val="0"/>
      <w:divBdr>
        <w:top w:val="none" w:sz="0" w:space="0" w:color="auto"/>
        <w:left w:val="none" w:sz="0" w:space="0" w:color="auto"/>
        <w:bottom w:val="none" w:sz="0" w:space="0" w:color="auto"/>
        <w:right w:val="none" w:sz="0" w:space="0" w:color="auto"/>
      </w:divBdr>
    </w:div>
    <w:div w:id="1042557332">
      <w:bodyDiv w:val="1"/>
      <w:marLeft w:val="0"/>
      <w:marRight w:val="0"/>
      <w:marTop w:val="0"/>
      <w:marBottom w:val="0"/>
      <w:divBdr>
        <w:top w:val="none" w:sz="0" w:space="0" w:color="auto"/>
        <w:left w:val="none" w:sz="0" w:space="0" w:color="auto"/>
        <w:bottom w:val="none" w:sz="0" w:space="0" w:color="auto"/>
        <w:right w:val="none" w:sz="0" w:space="0" w:color="auto"/>
      </w:divBdr>
      <w:divsChild>
        <w:div w:id="26370781">
          <w:marLeft w:val="0"/>
          <w:marRight w:val="0"/>
          <w:marTop w:val="0"/>
          <w:marBottom w:val="0"/>
          <w:divBdr>
            <w:top w:val="none" w:sz="0" w:space="0" w:color="auto"/>
            <w:left w:val="none" w:sz="0" w:space="0" w:color="auto"/>
            <w:bottom w:val="none" w:sz="0" w:space="0" w:color="auto"/>
            <w:right w:val="none" w:sz="0" w:space="0" w:color="auto"/>
          </w:divBdr>
          <w:divsChild>
            <w:div w:id="2018994400">
              <w:marLeft w:val="0"/>
              <w:marRight w:val="0"/>
              <w:marTop w:val="0"/>
              <w:marBottom w:val="0"/>
              <w:divBdr>
                <w:top w:val="none" w:sz="0" w:space="0" w:color="auto"/>
                <w:left w:val="none" w:sz="0" w:space="0" w:color="auto"/>
                <w:bottom w:val="none" w:sz="0" w:space="0" w:color="auto"/>
                <w:right w:val="none" w:sz="0" w:space="0" w:color="auto"/>
              </w:divBdr>
              <w:divsChild>
                <w:div w:id="1306933262">
                  <w:marLeft w:val="0"/>
                  <w:marRight w:val="0"/>
                  <w:marTop w:val="0"/>
                  <w:marBottom w:val="0"/>
                  <w:divBdr>
                    <w:top w:val="none" w:sz="0" w:space="0" w:color="auto"/>
                    <w:left w:val="none" w:sz="0" w:space="0" w:color="auto"/>
                    <w:bottom w:val="none" w:sz="0" w:space="0" w:color="auto"/>
                    <w:right w:val="none" w:sz="0" w:space="0" w:color="auto"/>
                  </w:divBdr>
                  <w:divsChild>
                    <w:div w:id="166778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03181">
          <w:marLeft w:val="0"/>
          <w:marRight w:val="0"/>
          <w:marTop w:val="0"/>
          <w:marBottom w:val="0"/>
          <w:divBdr>
            <w:top w:val="none" w:sz="0" w:space="0" w:color="auto"/>
            <w:left w:val="none" w:sz="0" w:space="0" w:color="auto"/>
            <w:bottom w:val="none" w:sz="0" w:space="0" w:color="auto"/>
            <w:right w:val="none" w:sz="0" w:space="0" w:color="auto"/>
          </w:divBdr>
          <w:divsChild>
            <w:div w:id="572198642">
              <w:marLeft w:val="0"/>
              <w:marRight w:val="0"/>
              <w:marTop w:val="0"/>
              <w:marBottom w:val="0"/>
              <w:divBdr>
                <w:top w:val="none" w:sz="0" w:space="0" w:color="auto"/>
                <w:left w:val="none" w:sz="0" w:space="0" w:color="auto"/>
                <w:bottom w:val="none" w:sz="0" w:space="0" w:color="auto"/>
                <w:right w:val="none" w:sz="0" w:space="0" w:color="auto"/>
              </w:divBdr>
              <w:divsChild>
                <w:div w:id="1128354305">
                  <w:marLeft w:val="0"/>
                  <w:marRight w:val="0"/>
                  <w:marTop w:val="0"/>
                  <w:marBottom w:val="0"/>
                  <w:divBdr>
                    <w:top w:val="none" w:sz="0" w:space="0" w:color="auto"/>
                    <w:left w:val="none" w:sz="0" w:space="0" w:color="auto"/>
                    <w:bottom w:val="none" w:sz="0" w:space="0" w:color="auto"/>
                    <w:right w:val="none" w:sz="0" w:space="0" w:color="auto"/>
                  </w:divBdr>
                  <w:divsChild>
                    <w:div w:id="152609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096555">
      <w:bodyDiv w:val="1"/>
      <w:marLeft w:val="0"/>
      <w:marRight w:val="0"/>
      <w:marTop w:val="0"/>
      <w:marBottom w:val="0"/>
      <w:divBdr>
        <w:top w:val="none" w:sz="0" w:space="0" w:color="auto"/>
        <w:left w:val="none" w:sz="0" w:space="0" w:color="auto"/>
        <w:bottom w:val="none" w:sz="0" w:space="0" w:color="auto"/>
        <w:right w:val="none" w:sz="0" w:space="0" w:color="auto"/>
      </w:divBdr>
      <w:divsChild>
        <w:div w:id="247156443">
          <w:marLeft w:val="0"/>
          <w:marRight w:val="0"/>
          <w:marTop w:val="0"/>
          <w:marBottom w:val="0"/>
          <w:divBdr>
            <w:top w:val="none" w:sz="0" w:space="0" w:color="auto"/>
            <w:left w:val="none" w:sz="0" w:space="0" w:color="auto"/>
            <w:bottom w:val="none" w:sz="0" w:space="0" w:color="auto"/>
            <w:right w:val="none" w:sz="0" w:space="0" w:color="auto"/>
          </w:divBdr>
        </w:div>
      </w:divsChild>
    </w:div>
    <w:div w:id="1252467095">
      <w:bodyDiv w:val="1"/>
      <w:marLeft w:val="0"/>
      <w:marRight w:val="0"/>
      <w:marTop w:val="0"/>
      <w:marBottom w:val="0"/>
      <w:divBdr>
        <w:top w:val="none" w:sz="0" w:space="0" w:color="auto"/>
        <w:left w:val="none" w:sz="0" w:space="0" w:color="auto"/>
        <w:bottom w:val="none" w:sz="0" w:space="0" w:color="auto"/>
        <w:right w:val="none" w:sz="0" w:space="0" w:color="auto"/>
      </w:divBdr>
    </w:div>
    <w:div w:id="1283463916">
      <w:bodyDiv w:val="1"/>
      <w:marLeft w:val="0"/>
      <w:marRight w:val="0"/>
      <w:marTop w:val="0"/>
      <w:marBottom w:val="0"/>
      <w:divBdr>
        <w:top w:val="none" w:sz="0" w:space="0" w:color="auto"/>
        <w:left w:val="none" w:sz="0" w:space="0" w:color="auto"/>
        <w:bottom w:val="none" w:sz="0" w:space="0" w:color="auto"/>
        <w:right w:val="none" w:sz="0" w:space="0" w:color="auto"/>
      </w:divBdr>
    </w:div>
    <w:div w:id="1348403436">
      <w:bodyDiv w:val="1"/>
      <w:marLeft w:val="0"/>
      <w:marRight w:val="0"/>
      <w:marTop w:val="0"/>
      <w:marBottom w:val="0"/>
      <w:divBdr>
        <w:top w:val="none" w:sz="0" w:space="0" w:color="auto"/>
        <w:left w:val="none" w:sz="0" w:space="0" w:color="auto"/>
        <w:bottom w:val="none" w:sz="0" w:space="0" w:color="auto"/>
        <w:right w:val="none" w:sz="0" w:space="0" w:color="auto"/>
      </w:divBdr>
    </w:div>
    <w:div w:id="1460494117">
      <w:bodyDiv w:val="1"/>
      <w:marLeft w:val="0"/>
      <w:marRight w:val="0"/>
      <w:marTop w:val="0"/>
      <w:marBottom w:val="0"/>
      <w:divBdr>
        <w:top w:val="none" w:sz="0" w:space="0" w:color="auto"/>
        <w:left w:val="none" w:sz="0" w:space="0" w:color="auto"/>
        <w:bottom w:val="none" w:sz="0" w:space="0" w:color="auto"/>
        <w:right w:val="none" w:sz="0" w:space="0" w:color="auto"/>
      </w:divBdr>
    </w:div>
    <w:div w:id="1493717404">
      <w:bodyDiv w:val="1"/>
      <w:marLeft w:val="0"/>
      <w:marRight w:val="0"/>
      <w:marTop w:val="0"/>
      <w:marBottom w:val="0"/>
      <w:divBdr>
        <w:top w:val="none" w:sz="0" w:space="0" w:color="auto"/>
        <w:left w:val="none" w:sz="0" w:space="0" w:color="auto"/>
        <w:bottom w:val="none" w:sz="0" w:space="0" w:color="auto"/>
        <w:right w:val="none" w:sz="0" w:space="0" w:color="auto"/>
      </w:divBdr>
    </w:div>
    <w:div w:id="1515070588">
      <w:bodyDiv w:val="1"/>
      <w:marLeft w:val="0"/>
      <w:marRight w:val="0"/>
      <w:marTop w:val="0"/>
      <w:marBottom w:val="0"/>
      <w:divBdr>
        <w:top w:val="none" w:sz="0" w:space="0" w:color="auto"/>
        <w:left w:val="none" w:sz="0" w:space="0" w:color="auto"/>
        <w:bottom w:val="none" w:sz="0" w:space="0" w:color="auto"/>
        <w:right w:val="none" w:sz="0" w:space="0" w:color="auto"/>
      </w:divBdr>
    </w:div>
    <w:div w:id="1546331415">
      <w:bodyDiv w:val="1"/>
      <w:marLeft w:val="0"/>
      <w:marRight w:val="0"/>
      <w:marTop w:val="0"/>
      <w:marBottom w:val="0"/>
      <w:divBdr>
        <w:top w:val="none" w:sz="0" w:space="0" w:color="auto"/>
        <w:left w:val="none" w:sz="0" w:space="0" w:color="auto"/>
        <w:bottom w:val="none" w:sz="0" w:space="0" w:color="auto"/>
        <w:right w:val="none" w:sz="0" w:space="0" w:color="auto"/>
      </w:divBdr>
    </w:div>
    <w:div w:id="1550607301">
      <w:bodyDiv w:val="1"/>
      <w:marLeft w:val="0"/>
      <w:marRight w:val="0"/>
      <w:marTop w:val="0"/>
      <w:marBottom w:val="0"/>
      <w:divBdr>
        <w:top w:val="none" w:sz="0" w:space="0" w:color="auto"/>
        <w:left w:val="none" w:sz="0" w:space="0" w:color="auto"/>
        <w:bottom w:val="none" w:sz="0" w:space="0" w:color="auto"/>
        <w:right w:val="none" w:sz="0" w:space="0" w:color="auto"/>
      </w:divBdr>
    </w:div>
    <w:div w:id="1580408775">
      <w:bodyDiv w:val="1"/>
      <w:marLeft w:val="0"/>
      <w:marRight w:val="0"/>
      <w:marTop w:val="0"/>
      <w:marBottom w:val="0"/>
      <w:divBdr>
        <w:top w:val="none" w:sz="0" w:space="0" w:color="auto"/>
        <w:left w:val="none" w:sz="0" w:space="0" w:color="auto"/>
        <w:bottom w:val="none" w:sz="0" w:space="0" w:color="auto"/>
        <w:right w:val="none" w:sz="0" w:space="0" w:color="auto"/>
      </w:divBdr>
    </w:div>
    <w:div w:id="1605844850">
      <w:bodyDiv w:val="1"/>
      <w:marLeft w:val="0"/>
      <w:marRight w:val="0"/>
      <w:marTop w:val="0"/>
      <w:marBottom w:val="0"/>
      <w:divBdr>
        <w:top w:val="none" w:sz="0" w:space="0" w:color="auto"/>
        <w:left w:val="none" w:sz="0" w:space="0" w:color="auto"/>
        <w:bottom w:val="none" w:sz="0" w:space="0" w:color="auto"/>
        <w:right w:val="none" w:sz="0" w:space="0" w:color="auto"/>
      </w:divBdr>
      <w:divsChild>
        <w:div w:id="880481421">
          <w:marLeft w:val="0"/>
          <w:marRight w:val="0"/>
          <w:marTop w:val="0"/>
          <w:marBottom w:val="0"/>
          <w:divBdr>
            <w:top w:val="none" w:sz="0" w:space="0" w:color="auto"/>
            <w:left w:val="none" w:sz="0" w:space="0" w:color="auto"/>
            <w:bottom w:val="none" w:sz="0" w:space="0" w:color="auto"/>
            <w:right w:val="none" w:sz="0" w:space="0" w:color="auto"/>
          </w:divBdr>
          <w:divsChild>
            <w:div w:id="94904380">
              <w:marLeft w:val="0"/>
              <w:marRight w:val="0"/>
              <w:marTop w:val="0"/>
              <w:marBottom w:val="0"/>
              <w:divBdr>
                <w:top w:val="none" w:sz="0" w:space="0" w:color="auto"/>
                <w:left w:val="none" w:sz="0" w:space="0" w:color="auto"/>
                <w:bottom w:val="none" w:sz="0" w:space="0" w:color="auto"/>
                <w:right w:val="none" w:sz="0" w:space="0" w:color="auto"/>
              </w:divBdr>
              <w:divsChild>
                <w:div w:id="238904147">
                  <w:marLeft w:val="0"/>
                  <w:marRight w:val="0"/>
                  <w:marTop w:val="0"/>
                  <w:marBottom w:val="0"/>
                  <w:divBdr>
                    <w:top w:val="none" w:sz="0" w:space="0" w:color="auto"/>
                    <w:left w:val="none" w:sz="0" w:space="0" w:color="auto"/>
                    <w:bottom w:val="none" w:sz="0" w:space="0" w:color="auto"/>
                    <w:right w:val="none" w:sz="0" w:space="0" w:color="auto"/>
                  </w:divBdr>
                  <w:divsChild>
                    <w:div w:id="6844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316175">
          <w:marLeft w:val="0"/>
          <w:marRight w:val="0"/>
          <w:marTop w:val="0"/>
          <w:marBottom w:val="0"/>
          <w:divBdr>
            <w:top w:val="none" w:sz="0" w:space="0" w:color="auto"/>
            <w:left w:val="none" w:sz="0" w:space="0" w:color="auto"/>
            <w:bottom w:val="none" w:sz="0" w:space="0" w:color="auto"/>
            <w:right w:val="none" w:sz="0" w:space="0" w:color="auto"/>
          </w:divBdr>
          <w:divsChild>
            <w:div w:id="1561362377">
              <w:marLeft w:val="0"/>
              <w:marRight w:val="0"/>
              <w:marTop w:val="0"/>
              <w:marBottom w:val="0"/>
              <w:divBdr>
                <w:top w:val="none" w:sz="0" w:space="0" w:color="auto"/>
                <w:left w:val="none" w:sz="0" w:space="0" w:color="auto"/>
                <w:bottom w:val="none" w:sz="0" w:space="0" w:color="auto"/>
                <w:right w:val="none" w:sz="0" w:space="0" w:color="auto"/>
              </w:divBdr>
              <w:divsChild>
                <w:div w:id="252248737">
                  <w:marLeft w:val="0"/>
                  <w:marRight w:val="0"/>
                  <w:marTop w:val="0"/>
                  <w:marBottom w:val="0"/>
                  <w:divBdr>
                    <w:top w:val="none" w:sz="0" w:space="0" w:color="auto"/>
                    <w:left w:val="none" w:sz="0" w:space="0" w:color="auto"/>
                    <w:bottom w:val="none" w:sz="0" w:space="0" w:color="auto"/>
                    <w:right w:val="none" w:sz="0" w:space="0" w:color="auto"/>
                  </w:divBdr>
                  <w:divsChild>
                    <w:div w:id="19295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727815">
      <w:bodyDiv w:val="1"/>
      <w:marLeft w:val="0"/>
      <w:marRight w:val="0"/>
      <w:marTop w:val="0"/>
      <w:marBottom w:val="0"/>
      <w:divBdr>
        <w:top w:val="none" w:sz="0" w:space="0" w:color="auto"/>
        <w:left w:val="none" w:sz="0" w:space="0" w:color="auto"/>
        <w:bottom w:val="none" w:sz="0" w:space="0" w:color="auto"/>
        <w:right w:val="none" w:sz="0" w:space="0" w:color="auto"/>
      </w:divBdr>
    </w:div>
    <w:div w:id="1671105338">
      <w:bodyDiv w:val="1"/>
      <w:marLeft w:val="0"/>
      <w:marRight w:val="0"/>
      <w:marTop w:val="0"/>
      <w:marBottom w:val="0"/>
      <w:divBdr>
        <w:top w:val="none" w:sz="0" w:space="0" w:color="auto"/>
        <w:left w:val="none" w:sz="0" w:space="0" w:color="auto"/>
        <w:bottom w:val="none" w:sz="0" w:space="0" w:color="auto"/>
        <w:right w:val="none" w:sz="0" w:space="0" w:color="auto"/>
      </w:divBdr>
    </w:div>
    <w:div w:id="1699769809">
      <w:bodyDiv w:val="1"/>
      <w:marLeft w:val="0"/>
      <w:marRight w:val="0"/>
      <w:marTop w:val="0"/>
      <w:marBottom w:val="0"/>
      <w:divBdr>
        <w:top w:val="none" w:sz="0" w:space="0" w:color="auto"/>
        <w:left w:val="none" w:sz="0" w:space="0" w:color="auto"/>
        <w:bottom w:val="none" w:sz="0" w:space="0" w:color="auto"/>
        <w:right w:val="none" w:sz="0" w:space="0" w:color="auto"/>
      </w:divBdr>
    </w:div>
    <w:div w:id="1745182938">
      <w:bodyDiv w:val="1"/>
      <w:marLeft w:val="0"/>
      <w:marRight w:val="0"/>
      <w:marTop w:val="0"/>
      <w:marBottom w:val="0"/>
      <w:divBdr>
        <w:top w:val="none" w:sz="0" w:space="0" w:color="auto"/>
        <w:left w:val="none" w:sz="0" w:space="0" w:color="auto"/>
        <w:bottom w:val="none" w:sz="0" w:space="0" w:color="auto"/>
        <w:right w:val="none" w:sz="0" w:space="0" w:color="auto"/>
      </w:divBdr>
    </w:div>
    <w:div w:id="1798915932">
      <w:bodyDiv w:val="1"/>
      <w:marLeft w:val="0"/>
      <w:marRight w:val="0"/>
      <w:marTop w:val="0"/>
      <w:marBottom w:val="0"/>
      <w:divBdr>
        <w:top w:val="none" w:sz="0" w:space="0" w:color="auto"/>
        <w:left w:val="none" w:sz="0" w:space="0" w:color="auto"/>
        <w:bottom w:val="none" w:sz="0" w:space="0" w:color="auto"/>
        <w:right w:val="none" w:sz="0" w:space="0" w:color="auto"/>
      </w:divBdr>
      <w:divsChild>
        <w:div w:id="1500921530">
          <w:marLeft w:val="0"/>
          <w:marRight w:val="0"/>
          <w:marTop w:val="0"/>
          <w:marBottom w:val="0"/>
          <w:divBdr>
            <w:top w:val="none" w:sz="0" w:space="0" w:color="auto"/>
            <w:left w:val="none" w:sz="0" w:space="0" w:color="auto"/>
            <w:bottom w:val="none" w:sz="0" w:space="0" w:color="auto"/>
            <w:right w:val="none" w:sz="0" w:space="0" w:color="auto"/>
          </w:divBdr>
          <w:divsChild>
            <w:div w:id="1558664400">
              <w:marLeft w:val="0"/>
              <w:marRight w:val="0"/>
              <w:marTop w:val="0"/>
              <w:marBottom w:val="0"/>
              <w:divBdr>
                <w:top w:val="none" w:sz="0" w:space="0" w:color="auto"/>
                <w:left w:val="none" w:sz="0" w:space="0" w:color="auto"/>
                <w:bottom w:val="none" w:sz="0" w:space="0" w:color="auto"/>
                <w:right w:val="none" w:sz="0" w:space="0" w:color="auto"/>
              </w:divBdr>
              <w:divsChild>
                <w:div w:id="425158205">
                  <w:marLeft w:val="0"/>
                  <w:marRight w:val="0"/>
                  <w:marTop w:val="0"/>
                  <w:marBottom w:val="0"/>
                  <w:divBdr>
                    <w:top w:val="none" w:sz="0" w:space="0" w:color="auto"/>
                    <w:left w:val="none" w:sz="0" w:space="0" w:color="auto"/>
                    <w:bottom w:val="none" w:sz="0" w:space="0" w:color="auto"/>
                    <w:right w:val="none" w:sz="0" w:space="0" w:color="auto"/>
                  </w:divBdr>
                  <w:divsChild>
                    <w:div w:id="84891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930602">
          <w:marLeft w:val="0"/>
          <w:marRight w:val="0"/>
          <w:marTop w:val="0"/>
          <w:marBottom w:val="0"/>
          <w:divBdr>
            <w:top w:val="none" w:sz="0" w:space="0" w:color="auto"/>
            <w:left w:val="none" w:sz="0" w:space="0" w:color="auto"/>
            <w:bottom w:val="none" w:sz="0" w:space="0" w:color="auto"/>
            <w:right w:val="none" w:sz="0" w:space="0" w:color="auto"/>
          </w:divBdr>
          <w:divsChild>
            <w:div w:id="215970027">
              <w:marLeft w:val="0"/>
              <w:marRight w:val="0"/>
              <w:marTop w:val="0"/>
              <w:marBottom w:val="0"/>
              <w:divBdr>
                <w:top w:val="none" w:sz="0" w:space="0" w:color="auto"/>
                <w:left w:val="none" w:sz="0" w:space="0" w:color="auto"/>
                <w:bottom w:val="none" w:sz="0" w:space="0" w:color="auto"/>
                <w:right w:val="none" w:sz="0" w:space="0" w:color="auto"/>
              </w:divBdr>
              <w:divsChild>
                <w:div w:id="243690631">
                  <w:marLeft w:val="0"/>
                  <w:marRight w:val="0"/>
                  <w:marTop w:val="0"/>
                  <w:marBottom w:val="0"/>
                  <w:divBdr>
                    <w:top w:val="none" w:sz="0" w:space="0" w:color="auto"/>
                    <w:left w:val="none" w:sz="0" w:space="0" w:color="auto"/>
                    <w:bottom w:val="none" w:sz="0" w:space="0" w:color="auto"/>
                    <w:right w:val="none" w:sz="0" w:space="0" w:color="auto"/>
                  </w:divBdr>
                  <w:divsChild>
                    <w:div w:id="194780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675427">
      <w:bodyDiv w:val="1"/>
      <w:marLeft w:val="0"/>
      <w:marRight w:val="0"/>
      <w:marTop w:val="0"/>
      <w:marBottom w:val="0"/>
      <w:divBdr>
        <w:top w:val="none" w:sz="0" w:space="0" w:color="auto"/>
        <w:left w:val="none" w:sz="0" w:space="0" w:color="auto"/>
        <w:bottom w:val="none" w:sz="0" w:space="0" w:color="auto"/>
        <w:right w:val="none" w:sz="0" w:space="0" w:color="auto"/>
      </w:divBdr>
      <w:divsChild>
        <w:div w:id="907417141">
          <w:marLeft w:val="0"/>
          <w:marRight w:val="0"/>
          <w:marTop w:val="0"/>
          <w:marBottom w:val="0"/>
          <w:divBdr>
            <w:top w:val="none" w:sz="0" w:space="0" w:color="auto"/>
            <w:left w:val="none" w:sz="0" w:space="0" w:color="auto"/>
            <w:bottom w:val="none" w:sz="0" w:space="0" w:color="auto"/>
            <w:right w:val="none" w:sz="0" w:space="0" w:color="auto"/>
          </w:divBdr>
        </w:div>
      </w:divsChild>
    </w:div>
    <w:div w:id="1841844772">
      <w:bodyDiv w:val="1"/>
      <w:marLeft w:val="0"/>
      <w:marRight w:val="0"/>
      <w:marTop w:val="0"/>
      <w:marBottom w:val="0"/>
      <w:divBdr>
        <w:top w:val="none" w:sz="0" w:space="0" w:color="auto"/>
        <w:left w:val="none" w:sz="0" w:space="0" w:color="auto"/>
        <w:bottom w:val="none" w:sz="0" w:space="0" w:color="auto"/>
        <w:right w:val="none" w:sz="0" w:space="0" w:color="auto"/>
      </w:divBdr>
    </w:div>
    <w:div w:id="1928802021">
      <w:bodyDiv w:val="1"/>
      <w:marLeft w:val="0"/>
      <w:marRight w:val="0"/>
      <w:marTop w:val="0"/>
      <w:marBottom w:val="0"/>
      <w:divBdr>
        <w:top w:val="none" w:sz="0" w:space="0" w:color="auto"/>
        <w:left w:val="none" w:sz="0" w:space="0" w:color="auto"/>
        <w:bottom w:val="none" w:sz="0" w:space="0" w:color="auto"/>
        <w:right w:val="none" w:sz="0" w:space="0" w:color="auto"/>
      </w:divBdr>
    </w:div>
    <w:div w:id="1958294836">
      <w:bodyDiv w:val="1"/>
      <w:marLeft w:val="0"/>
      <w:marRight w:val="0"/>
      <w:marTop w:val="0"/>
      <w:marBottom w:val="0"/>
      <w:divBdr>
        <w:top w:val="none" w:sz="0" w:space="0" w:color="auto"/>
        <w:left w:val="none" w:sz="0" w:space="0" w:color="auto"/>
        <w:bottom w:val="none" w:sz="0" w:space="0" w:color="auto"/>
        <w:right w:val="none" w:sz="0" w:space="0" w:color="auto"/>
      </w:divBdr>
    </w:div>
    <w:div w:id="2036803278">
      <w:bodyDiv w:val="1"/>
      <w:marLeft w:val="0"/>
      <w:marRight w:val="0"/>
      <w:marTop w:val="0"/>
      <w:marBottom w:val="0"/>
      <w:divBdr>
        <w:top w:val="none" w:sz="0" w:space="0" w:color="auto"/>
        <w:left w:val="none" w:sz="0" w:space="0" w:color="auto"/>
        <w:bottom w:val="none" w:sz="0" w:space="0" w:color="auto"/>
        <w:right w:val="none" w:sz="0" w:space="0" w:color="auto"/>
      </w:divBdr>
    </w:div>
    <w:div w:id="2040621355">
      <w:bodyDiv w:val="1"/>
      <w:marLeft w:val="0"/>
      <w:marRight w:val="0"/>
      <w:marTop w:val="0"/>
      <w:marBottom w:val="0"/>
      <w:divBdr>
        <w:top w:val="none" w:sz="0" w:space="0" w:color="auto"/>
        <w:left w:val="none" w:sz="0" w:space="0" w:color="auto"/>
        <w:bottom w:val="none" w:sz="0" w:space="0" w:color="auto"/>
        <w:right w:val="none" w:sz="0" w:space="0" w:color="auto"/>
      </w:divBdr>
      <w:divsChild>
        <w:div w:id="1902136619">
          <w:marLeft w:val="0"/>
          <w:marRight w:val="0"/>
          <w:marTop w:val="0"/>
          <w:marBottom w:val="0"/>
          <w:divBdr>
            <w:top w:val="none" w:sz="0" w:space="0" w:color="auto"/>
            <w:left w:val="none" w:sz="0" w:space="0" w:color="auto"/>
            <w:bottom w:val="none" w:sz="0" w:space="0" w:color="auto"/>
            <w:right w:val="none" w:sz="0" w:space="0" w:color="auto"/>
          </w:divBdr>
        </w:div>
      </w:divsChild>
    </w:div>
    <w:div w:id="2044867538">
      <w:bodyDiv w:val="1"/>
      <w:marLeft w:val="0"/>
      <w:marRight w:val="0"/>
      <w:marTop w:val="0"/>
      <w:marBottom w:val="0"/>
      <w:divBdr>
        <w:top w:val="none" w:sz="0" w:space="0" w:color="auto"/>
        <w:left w:val="none" w:sz="0" w:space="0" w:color="auto"/>
        <w:bottom w:val="none" w:sz="0" w:space="0" w:color="auto"/>
        <w:right w:val="none" w:sz="0" w:space="0" w:color="auto"/>
      </w:divBdr>
    </w:div>
    <w:div w:id="2116705642">
      <w:bodyDiv w:val="1"/>
      <w:marLeft w:val="0"/>
      <w:marRight w:val="0"/>
      <w:marTop w:val="0"/>
      <w:marBottom w:val="0"/>
      <w:divBdr>
        <w:top w:val="none" w:sz="0" w:space="0" w:color="auto"/>
        <w:left w:val="none" w:sz="0" w:space="0" w:color="auto"/>
        <w:bottom w:val="none" w:sz="0" w:space="0" w:color="auto"/>
        <w:right w:val="none" w:sz="0" w:space="0" w:color="auto"/>
      </w:divBdr>
    </w:div>
    <w:div w:id="2125153461">
      <w:bodyDiv w:val="1"/>
      <w:marLeft w:val="0"/>
      <w:marRight w:val="0"/>
      <w:marTop w:val="0"/>
      <w:marBottom w:val="0"/>
      <w:divBdr>
        <w:top w:val="none" w:sz="0" w:space="0" w:color="auto"/>
        <w:left w:val="none" w:sz="0" w:space="0" w:color="auto"/>
        <w:bottom w:val="none" w:sz="0" w:space="0" w:color="auto"/>
        <w:right w:val="none" w:sz="0" w:space="0" w:color="auto"/>
      </w:divBdr>
    </w:div>
    <w:div w:id="213301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earlyyears.tv/carl-rogers-theory-humanistic-approach/" TargetMode="External" Id="rId13" /><Relationship Type="http://schemas.openxmlformats.org/officeDocument/2006/relationships/hyperlink" Target="https://www.legislation.gov.uk/ukpga/2018/12/pdfs/ukpga_20180012_en.pdf" TargetMode="External" Id="rId18" /><Relationship Type="http://schemas.openxmlformats.org/officeDocument/2006/relationships/styles" Target="styles.xml" Id="rId3" /><Relationship Type="http://schemas.openxmlformats.org/officeDocument/2006/relationships/hyperlink" Target="https://www.legislation.gov.uk/ukpga/2012/7/contents" TargetMode="External" Id="rId21"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hyperlink" Target="https://www.gov.uk/government/publications/health-and-social-care-integration-joining-up-care-for-people-places-and-populations/health-and-social-care-integration-joining-up-care-for-people-places-and-populations" TargetMode="External" Id="rId17" /><Relationship Type="http://schemas.openxmlformats.org/officeDocument/2006/relationships/numbering" Target="numbering.xml" Id="rId2" /><Relationship Type="http://schemas.openxmlformats.org/officeDocument/2006/relationships/hyperlink" Target="https://www.legislation.gov.uk/ukpga/2010/15/contents" TargetMode="External" Id="rId16" /><Relationship Type="http://schemas.openxmlformats.org/officeDocument/2006/relationships/hyperlink" Target="https://www.skillsforhealth.org.uk/article/person-centred-care-meaning-implications/"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hyperlink" Target="https://www.legislation.gov.uk/ukpga/2005/9/contents" TargetMode="External" Id="rId15" /><Relationship Type="http://schemas.openxmlformats.org/officeDocument/2006/relationships/fontTable" Target="fontTable.xml" Id="rId23" /><Relationship Type="http://schemas.openxmlformats.org/officeDocument/2006/relationships/footer" Target="footer1.xml" Id="rId10" /><Relationship Type="http://schemas.openxmlformats.org/officeDocument/2006/relationships/hyperlink" Target="https://www.england.nhs.uk/long-read/working-in-partnership-with-people-and-communities-statutory-guidance/" TargetMode="External" Id="rId19"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hyperlink" Target="https://www.legislation.gov.uk/ukpga/2014/23/contents" TargetMode="External" Id="rId14" /><Relationship Type="http://schemas.openxmlformats.org/officeDocument/2006/relationships/footer" Target="footer2.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7C25A-E4E5-4696-B443-C2D78CDA994F}">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Somi Naz (2421930)</lastModifiedBy>
  <revision>3</revision>
  <dcterms:created xsi:type="dcterms:W3CDTF">2026-03-09T20:48:00.0000000Z</dcterms:created>
  <dcterms:modified xsi:type="dcterms:W3CDTF">2026-03-09T20:56:36.3304505Z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de196ac533a0cb42ebc97f83d24f68cb4cd2d9fa078d2a5aa9d6e071ae749f54</vt:lpwstr>
  </property>
</Properties>
</file>