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45DEC" w14:textId="34BF45FB" w:rsidR="0098431F" w:rsidRPr="00E50E86" w:rsidRDefault="00DF320E" w:rsidP="00DA5EB4">
      <w:pPr>
        <w:jc w:val="both"/>
        <w:rPr>
          <w:b/>
          <w:bCs/>
        </w:rPr>
      </w:pPr>
      <w:r w:rsidRPr="00E50E86">
        <w:rPr>
          <w:b/>
          <w:bCs/>
        </w:rPr>
        <w:t>A quantitative analysis of teacher and leader development program</w:t>
      </w:r>
      <w:r w:rsidR="00FA2674">
        <w:rPr>
          <w:b/>
          <w:bCs/>
        </w:rPr>
        <w:t>me</w:t>
      </w:r>
      <w:r w:rsidRPr="00E50E86">
        <w:rPr>
          <w:b/>
          <w:bCs/>
        </w:rPr>
        <w:t>s in the UK: exploring trends in retention and progression through ECF and NPQ data.</w:t>
      </w:r>
    </w:p>
    <w:p w14:paraId="68381E8A" w14:textId="2EE6DCCA" w:rsidR="0066775E" w:rsidRPr="00E50E86" w:rsidRDefault="0066775E" w:rsidP="00DA5EB4">
      <w:pPr>
        <w:jc w:val="both"/>
        <w:rPr>
          <w:b/>
          <w:bCs/>
        </w:rPr>
      </w:pPr>
      <w:r w:rsidRPr="00E50E86">
        <w:rPr>
          <w:b/>
          <w:bCs/>
        </w:rPr>
        <w:t>Abstract</w:t>
      </w:r>
    </w:p>
    <w:p w14:paraId="4434277B" w14:textId="33458853" w:rsidR="0066775E" w:rsidRDefault="0066775E" w:rsidP="00DA5EB4">
      <w:pPr>
        <w:jc w:val="both"/>
      </w:pPr>
      <w:r>
        <w:t xml:space="preserve">This review considers the impact of two educational </w:t>
      </w:r>
      <w:r w:rsidR="000F0827">
        <w:t>programmes</w:t>
      </w:r>
      <w:r>
        <w:t xml:space="preserve"> in the UK: the early career framework (ECF) and the national professional qualifications (NPQs). The review uses secondary data from the department for education (D</w:t>
      </w:r>
      <w:r w:rsidR="000F0827">
        <w:t>f</w:t>
      </w:r>
      <w:r>
        <w:t xml:space="preserve">E) </w:t>
      </w:r>
      <w:r w:rsidR="000F0827">
        <w:t xml:space="preserve">and looks at participation, retention and career progression for early career teachers and leaders in England from 2021 to 2024. The review used a mixed methods approach and </w:t>
      </w:r>
      <w:r w:rsidR="007A50FC">
        <w:t>applied</w:t>
      </w:r>
      <w:r w:rsidR="000F0827">
        <w:t xml:space="preserve"> both descriptive and </w:t>
      </w:r>
      <w:r w:rsidR="00215564">
        <w:t>inferential</w:t>
      </w:r>
      <w:r w:rsidR="000F0827">
        <w:t xml:space="preserve"> statistical techniques, including </w:t>
      </w:r>
      <w:r w:rsidR="00215564">
        <w:t>t-</w:t>
      </w:r>
      <w:r w:rsidR="000F0827">
        <w:t xml:space="preserve">tests, </w:t>
      </w:r>
      <w:r w:rsidR="00215564">
        <w:t xml:space="preserve">chi-square </w:t>
      </w:r>
      <w:r w:rsidR="000F0827">
        <w:t>tests, ANOVA and multiple regression models.</w:t>
      </w:r>
    </w:p>
    <w:p w14:paraId="21EC2D0C" w14:textId="2B8AFEA3" w:rsidR="000F0827" w:rsidRDefault="000B1B94" w:rsidP="00DA5EB4">
      <w:pPr>
        <w:jc w:val="both"/>
      </w:pPr>
      <w:r>
        <w:t>The results show that ECF provid</w:t>
      </w:r>
      <w:r w:rsidR="001F0FE8">
        <w:t xml:space="preserve">er-led </w:t>
      </w:r>
      <w:r>
        <w:t xml:space="preserve">induction results in significantly higher retention rates for early career teachers and taking the NPQ qualification is positively linked to promotion to leadership roles. The </w:t>
      </w:r>
      <w:r w:rsidR="001F0FE8">
        <w:t>review</w:t>
      </w:r>
      <w:r>
        <w:t xml:space="preserve"> finds </w:t>
      </w:r>
      <w:r w:rsidR="00817FEA">
        <w:t xml:space="preserve">that access and outcomes vary based on gender, school type </w:t>
      </w:r>
      <w:r w:rsidR="001F0FE8">
        <w:t>and</w:t>
      </w:r>
      <w:r w:rsidR="00817FEA">
        <w:t xml:space="preserve"> geographical region. Schools and academies in urban areas demonstrate higher rates of participation and completion. Female participants demonstrate higher completion and retention rates.</w:t>
      </w:r>
    </w:p>
    <w:p w14:paraId="26F1C349" w14:textId="410D67E8" w:rsidR="00705E1E" w:rsidRDefault="00705E1E" w:rsidP="00DA5EB4">
      <w:pPr>
        <w:jc w:val="both"/>
      </w:pPr>
      <w:r>
        <w:t xml:space="preserve">The review </w:t>
      </w:r>
      <w:r w:rsidR="0069776F">
        <w:t>includes</w:t>
      </w:r>
      <w:r>
        <w:t xml:space="preserve"> recommendations for policy and practice including targeted interventions to support </w:t>
      </w:r>
      <w:r w:rsidR="007A50FC">
        <w:t>underrepresented</w:t>
      </w:r>
      <w:r>
        <w:t xml:space="preserve"> groups, reviewing the digital provision in rural settings and ongoing investment in structured professional learning opportunities. The findings add to the evidence base to inform leadership development and teacher retention strategies in the UK.</w:t>
      </w:r>
    </w:p>
    <w:p w14:paraId="3B46175A" w14:textId="77777777" w:rsidR="00FA2674" w:rsidRDefault="00705E1E" w:rsidP="00DA5EB4">
      <w:pPr>
        <w:jc w:val="both"/>
      </w:pPr>
      <w:r>
        <w:t xml:space="preserve">Keywords: </w:t>
      </w:r>
      <w:r w:rsidR="0069776F">
        <w:t>Early</w:t>
      </w:r>
      <w:r>
        <w:t xml:space="preserve"> career framework (</w:t>
      </w:r>
      <w:r w:rsidR="0069776F">
        <w:t>ECF</w:t>
      </w:r>
      <w:r>
        <w:t>), national professional qualifications (NPQs), teacher attention, educational leadership, quantitative analysis.</w:t>
      </w:r>
    </w:p>
    <w:p w14:paraId="4F6B1B94" w14:textId="77777777" w:rsidR="00FA2674" w:rsidRDefault="00FA2674">
      <w:r>
        <w:br w:type="page"/>
      </w:r>
    </w:p>
    <w:p w14:paraId="611268D5" w14:textId="0AFAB7D5" w:rsidR="00090351" w:rsidRPr="00FA2674" w:rsidRDefault="00090351" w:rsidP="00DA5EB4">
      <w:pPr>
        <w:jc w:val="both"/>
      </w:pPr>
      <w:r w:rsidRPr="00FA2674">
        <w:rPr>
          <w:b/>
          <w:bCs/>
        </w:rPr>
        <w:lastRenderedPageBreak/>
        <w:t>Introduction</w:t>
      </w:r>
    </w:p>
    <w:p w14:paraId="3D96EC5B" w14:textId="577EE0FA" w:rsidR="00090351" w:rsidRDefault="00090351" w:rsidP="00DA5EB4">
      <w:pPr>
        <w:jc w:val="both"/>
      </w:pPr>
      <w:r>
        <w:t xml:space="preserve">Developing effective teachers </w:t>
      </w:r>
      <w:r w:rsidR="009D0AAB">
        <w:t>and</w:t>
      </w:r>
      <w:r>
        <w:t xml:space="preserve"> school leaders is an ongoing challenge in the UK education system. </w:t>
      </w:r>
      <w:r w:rsidR="00DD0218">
        <w:t xml:space="preserve">In recent years, the response has been to prioritise the professional development of teachers to support improved outcomes. Two major initiatives are the early career framework (ECF), which supports teachers in the first two years of their careers and the national professional qualifications (NPQs) </w:t>
      </w:r>
      <w:r w:rsidR="009D0AAB">
        <w:t>which</w:t>
      </w:r>
      <w:r w:rsidR="00DD0218">
        <w:t xml:space="preserve"> is a range of </w:t>
      </w:r>
      <w:r w:rsidR="00FA2674">
        <w:t>six</w:t>
      </w:r>
      <w:r w:rsidR="009D0AAB">
        <w:t>,</w:t>
      </w:r>
      <w:r w:rsidR="00DD0218">
        <w:t xml:space="preserve"> tiered training program</w:t>
      </w:r>
      <w:r w:rsidR="009D0AAB">
        <w:t>mes</w:t>
      </w:r>
      <w:r w:rsidR="00DD0218">
        <w:t xml:space="preserve"> for aspiring and current school leaders.</w:t>
      </w:r>
    </w:p>
    <w:p w14:paraId="48620489" w14:textId="06293E63" w:rsidR="006C3D91" w:rsidRDefault="00967F32" w:rsidP="00DA5EB4">
      <w:pPr>
        <w:jc w:val="both"/>
      </w:pPr>
      <w:r>
        <w:t xml:space="preserve">Teachers leaving the profession continues to be a problem in the UK. According to </w:t>
      </w:r>
      <w:r w:rsidR="0009798E">
        <w:t>DfE</w:t>
      </w:r>
      <w:r>
        <w:t xml:space="preserve"> data, nearly </w:t>
      </w:r>
      <w:r w:rsidR="0009798E">
        <w:t>one third</w:t>
      </w:r>
      <w:r>
        <w:t xml:space="preserve"> of newly qualified teachers (NQ</w:t>
      </w:r>
      <w:r w:rsidR="0009798E">
        <w:t>Ts)</w:t>
      </w:r>
      <w:r>
        <w:t xml:space="preserve"> leave the profession within the first five years (</w:t>
      </w:r>
      <w:r w:rsidR="0009798E">
        <w:t>DfE</w:t>
      </w:r>
      <w:r>
        <w:t>, 2022). At the same time,</w:t>
      </w:r>
      <w:r w:rsidR="00AF77CC">
        <w:t xml:space="preserve"> </w:t>
      </w:r>
      <w:r w:rsidR="0009798E">
        <w:t>many</w:t>
      </w:r>
      <w:r w:rsidR="00AF77CC">
        <w:t xml:space="preserve"> schools report challenges in both recruiting and retaining experienced leaders, particularly in more challenging areas (</w:t>
      </w:r>
      <w:r w:rsidR="00562009">
        <w:t>Greany &amp;</w:t>
      </w:r>
      <w:r w:rsidR="00AF77CC">
        <w:t xml:space="preserve"> Higham, 2018). These concerns are then made more challenging by other pressures in the profession e.g. high </w:t>
      </w:r>
      <w:r w:rsidR="00FA2674">
        <w:t>workloads</w:t>
      </w:r>
      <w:r w:rsidR="00AF77CC">
        <w:t xml:space="preserve">, the level of accountability and lack of funding. </w:t>
      </w:r>
      <w:r w:rsidR="00562009">
        <w:t xml:space="preserve">These factors </w:t>
      </w:r>
      <w:r w:rsidR="000E78CF">
        <w:t xml:space="preserve">also lead to the profession becoming less attractive both to those considering a career </w:t>
      </w:r>
      <w:r w:rsidR="00562009">
        <w:t xml:space="preserve">in </w:t>
      </w:r>
      <w:r w:rsidR="000E78CF">
        <w:t xml:space="preserve">education </w:t>
      </w:r>
      <w:r w:rsidR="00562009">
        <w:t>and</w:t>
      </w:r>
      <w:r w:rsidR="000E78CF">
        <w:t xml:space="preserve"> those already in education </w:t>
      </w:r>
      <w:r w:rsidR="0006154C">
        <w:t>who look</w:t>
      </w:r>
      <w:r w:rsidR="000E78CF">
        <w:t xml:space="preserve"> for leadership roles elsewhere.</w:t>
      </w:r>
    </w:p>
    <w:p w14:paraId="1AA99021" w14:textId="413F0D79" w:rsidR="000E78CF" w:rsidRDefault="00270216" w:rsidP="00DA5EB4">
      <w:pPr>
        <w:jc w:val="both"/>
      </w:pPr>
      <w:r>
        <w:t xml:space="preserve">To tackle this, the government introduced reforms designed to support educators through specific stages in their careers. The ECF, introduced in 2021, extended the statutory induction from one to </w:t>
      </w:r>
      <w:r w:rsidR="00D6161F">
        <w:t>two</w:t>
      </w:r>
      <w:r>
        <w:t xml:space="preserve"> years and provided a structured program</w:t>
      </w:r>
      <w:r w:rsidR="00D6161F">
        <w:t>me</w:t>
      </w:r>
      <w:r>
        <w:t xml:space="preserve"> of mentoring and training for early career teachers. </w:t>
      </w:r>
      <w:r w:rsidR="00402299">
        <w:t>NPQs were</w:t>
      </w:r>
      <w:r w:rsidR="00D6161F">
        <w:t xml:space="preserve"> </w:t>
      </w:r>
      <w:r w:rsidR="00402299">
        <w:t>rewritten</w:t>
      </w:r>
      <w:r w:rsidR="00D6161F">
        <w:t xml:space="preserve"> at the same time to include additional leadership pathways (increasing the qualifications from four pathways to </w:t>
      </w:r>
      <w:r w:rsidR="00402299">
        <w:t xml:space="preserve">six). </w:t>
      </w:r>
      <w:r w:rsidR="00A579B5">
        <w:t xml:space="preserve">The content of the NPQs </w:t>
      </w:r>
      <w:r w:rsidR="00D11E67">
        <w:t xml:space="preserve">aligned </w:t>
      </w:r>
      <w:r w:rsidR="00A579B5">
        <w:t>with the latest evidence on school improvement</w:t>
      </w:r>
      <w:r w:rsidR="00D11E67">
        <w:t xml:space="preserve"> </w:t>
      </w:r>
      <w:r w:rsidR="00A579B5">
        <w:t>and instructional leadership (</w:t>
      </w:r>
      <w:r w:rsidR="00D11E67">
        <w:t>DfE</w:t>
      </w:r>
      <w:r w:rsidR="00A579B5">
        <w:t xml:space="preserve">, 2021). </w:t>
      </w:r>
      <w:r w:rsidR="005D6E38">
        <w:t>Both</w:t>
      </w:r>
      <w:r w:rsidR="00AA5016">
        <w:t xml:space="preserve"> initiatives were underpin</w:t>
      </w:r>
      <w:r w:rsidR="00D11E67">
        <w:t>ned</w:t>
      </w:r>
      <w:r w:rsidR="00AA5016">
        <w:t xml:space="preserve"> by the perspective that investing in </w:t>
      </w:r>
      <w:r w:rsidR="00B4790F">
        <w:t xml:space="preserve">continuing </w:t>
      </w:r>
      <w:r w:rsidR="00AA5016">
        <w:t>professional learning throughout a career contributes positively to improve</w:t>
      </w:r>
      <w:r w:rsidR="00B4790F">
        <w:t>d</w:t>
      </w:r>
      <w:r w:rsidR="00AA5016">
        <w:t xml:space="preserve"> </w:t>
      </w:r>
      <w:r w:rsidR="00B4790F">
        <w:t>pupil</w:t>
      </w:r>
      <w:r w:rsidR="00AA5016">
        <w:t xml:space="preserve"> outcomes and educational </w:t>
      </w:r>
      <w:r w:rsidR="005D6E38">
        <w:t>effectiveness</w:t>
      </w:r>
      <w:r w:rsidR="00B4790F">
        <w:t xml:space="preserve"> </w:t>
      </w:r>
      <w:r w:rsidR="00AA5016">
        <w:t>(</w:t>
      </w:r>
      <w:r w:rsidR="00B4790F">
        <w:t>Cordingley</w:t>
      </w:r>
      <w:r w:rsidR="00AA5016">
        <w:t xml:space="preserve"> </w:t>
      </w:r>
      <w:r w:rsidR="00B4790F">
        <w:t>et</w:t>
      </w:r>
      <w:r w:rsidR="00AA5016">
        <w:t xml:space="preserve"> al</w:t>
      </w:r>
      <w:r w:rsidR="00B4790F">
        <w:t>.,</w:t>
      </w:r>
      <w:r w:rsidR="00AA5016">
        <w:t xml:space="preserve"> 2015).</w:t>
      </w:r>
    </w:p>
    <w:p w14:paraId="5F9A81EF" w14:textId="6674D657" w:rsidR="00B4790F" w:rsidRDefault="00AB1332" w:rsidP="00DA5EB4">
      <w:pPr>
        <w:jc w:val="both"/>
      </w:pPr>
      <w:r>
        <w:t xml:space="preserve">Whilst the ECF and NPQ programmes </w:t>
      </w:r>
      <w:r w:rsidR="00C77689">
        <w:t>were successful in terms of uptake, with full scholarships being made available</w:t>
      </w:r>
      <w:r w:rsidR="0042618E">
        <w:t xml:space="preserve"> (</w:t>
      </w:r>
      <w:r w:rsidR="00C77689">
        <w:t>until very recently</w:t>
      </w:r>
      <w:r w:rsidR="0042618E">
        <w:t>)</w:t>
      </w:r>
      <w:r w:rsidR="00C77689">
        <w:t xml:space="preserve"> for </w:t>
      </w:r>
      <w:r w:rsidR="005D6E38">
        <w:t>most</w:t>
      </w:r>
      <w:r w:rsidR="00C77689">
        <w:t xml:space="preserve"> schools in the UK, the impact and evaluation of these initiatives</w:t>
      </w:r>
      <w:r w:rsidR="00E15CF4">
        <w:t xml:space="preserve"> </w:t>
      </w:r>
      <w:r w:rsidR="00C93297">
        <w:t>has not been fully explored. Firstly, the question of who benefits from these program</w:t>
      </w:r>
      <w:r w:rsidR="0042618E">
        <w:t>mes</w:t>
      </w:r>
      <w:r w:rsidR="00C93297">
        <w:t xml:space="preserve"> appears to be </w:t>
      </w:r>
      <w:r w:rsidR="00E25573">
        <w:t>under explored</w:t>
      </w:r>
      <w:r w:rsidR="00C93297">
        <w:t xml:space="preserve">. Disparity based on school </w:t>
      </w:r>
      <w:r w:rsidR="0042618E">
        <w:t>location</w:t>
      </w:r>
      <w:r w:rsidR="00C93297">
        <w:t>, funding and demographic characteristics might additionally impact negatively in relation to widening existing inequalities in career progression and teacher retention. Secondly,</w:t>
      </w:r>
      <w:r w:rsidR="00DE4048">
        <w:t xml:space="preserve"> whilst anecdotal feedback from schools is often positive, there appears to be a lack of quantitative research that links program</w:t>
      </w:r>
      <w:r w:rsidR="00E25573">
        <w:t>me</w:t>
      </w:r>
      <w:r w:rsidR="00DE4048">
        <w:t xml:space="preserve"> participation with long-term outcomes relating to leadership success and teacher retention. Finally, as the program</w:t>
      </w:r>
      <w:r w:rsidR="00E25573">
        <w:t>mes</w:t>
      </w:r>
      <w:r w:rsidR="00DE4048">
        <w:t xml:space="preserve"> follow a fixed structure, the question of standardised program</w:t>
      </w:r>
      <w:r w:rsidR="00E25573">
        <w:t>mes</w:t>
      </w:r>
      <w:r w:rsidR="00DE4048">
        <w:t xml:space="preserve"> being suitable for all contexts needs to be considered</w:t>
      </w:r>
      <w:r w:rsidR="00C241A8">
        <w:t xml:space="preserve"> further</w:t>
      </w:r>
      <w:r w:rsidR="00DE4048">
        <w:t xml:space="preserve"> (Torrance, 2022).</w:t>
      </w:r>
    </w:p>
    <w:p w14:paraId="45DA3BCC" w14:textId="3F409474" w:rsidR="00DE4048" w:rsidRDefault="00A00C0D" w:rsidP="00DA5EB4">
      <w:pPr>
        <w:jc w:val="both"/>
      </w:pPr>
      <w:r>
        <w:lastRenderedPageBreak/>
        <w:t>This review adds to this evidence by carrying out a secondary quantitative analysis of national datasets published by the DfE. The analysis focuses on the period between 2021 and 2024 and considers the following three questions:</w:t>
      </w:r>
    </w:p>
    <w:p w14:paraId="3D181CD7" w14:textId="3C97498B" w:rsidR="003B1A9D" w:rsidRDefault="003B1A9D" w:rsidP="00DA5EB4">
      <w:pPr>
        <w:pStyle w:val="ListParagraph"/>
        <w:numPr>
          <w:ilvl w:val="0"/>
          <w:numId w:val="1"/>
        </w:numPr>
        <w:jc w:val="both"/>
      </w:pPr>
      <w:r>
        <w:t>What are the participation trends in ECF and NPQs across different demographics and school types?</w:t>
      </w:r>
    </w:p>
    <w:p w14:paraId="2D566444" w14:textId="73A53587" w:rsidR="003B1A9D" w:rsidRDefault="003B1A9D" w:rsidP="00DA5EB4">
      <w:pPr>
        <w:pStyle w:val="ListParagraph"/>
        <w:numPr>
          <w:ilvl w:val="0"/>
          <w:numId w:val="1"/>
        </w:numPr>
        <w:jc w:val="both"/>
      </w:pPr>
      <w:r>
        <w:t>What factors influence retention rates among early care</w:t>
      </w:r>
      <w:r w:rsidR="00CA6E46">
        <w:t>er</w:t>
      </w:r>
      <w:r>
        <w:t xml:space="preserve"> teachers?</w:t>
      </w:r>
    </w:p>
    <w:p w14:paraId="42F59A67" w14:textId="31B191DE" w:rsidR="00A00C0D" w:rsidRDefault="003B1A9D" w:rsidP="00DA5EB4">
      <w:pPr>
        <w:pStyle w:val="ListParagraph"/>
        <w:numPr>
          <w:ilvl w:val="0"/>
          <w:numId w:val="1"/>
        </w:numPr>
        <w:jc w:val="both"/>
      </w:pPr>
      <w:r>
        <w:t>What statistical relationships exist between program</w:t>
      </w:r>
      <w:r w:rsidR="00CA6E46">
        <w:t>me</w:t>
      </w:r>
      <w:r>
        <w:t xml:space="preserve"> participation and career progression into leadership roles?</w:t>
      </w:r>
    </w:p>
    <w:p w14:paraId="6A814664" w14:textId="2A7B856E" w:rsidR="00A55FC1" w:rsidRDefault="000D2C9A" w:rsidP="00004989">
      <w:pPr>
        <w:jc w:val="both"/>
      </w:pPr>
      <w:r>
        <w:t>The review considers empirical findings and reflect</w:t>
      </w:r>
      <w:r w:rsidR="000D2676">
        <w:t>s</w:t>
      </w:r>
      <w:r>
        <w:t xml:space="preserve"> critically on implications for policy design</w:t>
      </w:r>
      <w:r w:rsidR="00ED1FAB">
        <w:t>,</w:t>
      </w:r>
      <w:r>
        <w:t xml:space="preserve"> implementation and future research. The review considers both the strengths and the limitations of the teacher and leadership development </w:t>
      </w:r>
      <w:r w:rsidR="00ED1FAB">
        <w:t>programmes</w:t>
      </w:r>
      <w:r>
        <w:t xml:space="preserve"> that are currently available and provides evidence</w:t>
      </w:r>
      <w:r w:rsidR="00ED1FAB">
        <w:t>-</w:t>
      </w:r>
      <w:r>
        <w:t>informed recommendations for improving access, equity and impact.</w:t>
      </w:r>
      <w:r w:rsidR="000D2676">
        <w:t xml:space="preserve"> The review wishes to inform how professional development initiatives might better support a more resilient and effective education workforce in the UK.</w:t>
      </w:r>
      <w:r w:rsidR="00A55FC1">
        <w:br w:type="page"/>
      </w:r>
    </w:p>
    <w:p w14:paraId="0ABAB7F7" w14:textId="6CDCB7BA" w:rsidR="00DE4048" w:rsidRPr="00A55FC1" w:rsidRDefault="0023330E" w:rsidP="00DA5EB4">
      <w:pPr>
        <w:jc w:val="both"/>
      </w:pPr>
      <w:r w:rsidRPr="0023330E">
        <w:rPr>
          <w:b/>
          <w:bCs/>
        </w:rPr>
        <w:lastRenderedPageBreak/>
        <w:t>Literature review</w:t>
      </w:r>
    </w:p>
    <w:p w14:paraId="1E3DED37" w14:textId="46FA4AB3" w:rsidR="0023330E" w:rsidRDefault="003E6D62" w:rsidP="00DA5EB4">
      <w:pPr>
        <w:jc w:val="both"/>
      </w:pPr>
      <w:r>
        <w:t>There is a wide range of research related to professional development in education with the evidence highlighting the role it has in improving teacher quality, improving learner outcomes and supporting career progression (</w:t>
      </w:r>
      <w:r w:rsidR="00D80B0B">
        <w:t>Darling-</w:t>
      </w:r>
      <w:r>
        <w:t xml:space="preserve">Hammond </w:t>
      </w:r>
      <w:r w:rsidR="00D80B0B">
        <w:t>et al.</w:t>
      </w:r>
      <w:r>
        <w:t>, 2017). Structured professional development program</w:t>
      </w:r>
      <w:r w:rsidR="00E623DA">
        <w:t>mes</w:t>
      </w:r>
      <w:r>
        <w:t>, e.g. the ECF and NPQs,</w:t>
      </w:r>
      <w:r w:rsidR="00E623DA">
        <w:t xml:space="preserve"> have</w:t>
      </w:r>
      <w:r w:rsidR="00E106E2">
        <w:t xml:space="preserve"> been designed to provide consistent and equitable training </w:t>
      </w:r>
      <w:r w:rsidR="00E623DA">
        <w:t xml:space="preserve">opportunities </w:t>
      </w:r>
      <w:r w:rsidR="00D80B0B">
        <w:t>across schools. However, how effective these program</w:t>
      </w:r>
      <w:r w:rsidR="00E623DA">
        <w:t>mes</w:t>
      </w:r>
      <w:r w:rsidR="00D80B0B">
        <w:t xml:space="preserve"> are in delivering on these aims appears to be less </w:t>
      </w:r>
      <w:r w:rsidR="00E623DA">
        <w:t>well</w:t>
      </w:r>
      <w:r w:rsidR="00D80B0B">
        <w:t xml:space="preserve"> researched.</w:t>
      </w:r>
    </w:p>
    <w:p w14:paraId="061E195E" w14:textId="07E43DFC" w:rsidR="00B17B7B" w:rsidRPr="00243E98" w:rsidRDefault="00B17B7B" w:rsidP="00DA5EB4">
      <w:pPr>
        <w:jc w:val="both"/>
        <w:rPr>
          <w:u w:val="single"/>
        </w:rPr>
      </w:pPr>
      <w:r w:rsidRPr="00243E98">
        <w:rPr>
          <w:u w:val="single"/>
        </w:rPr>
        <w:t>Professional development and early career teachers</w:t>
      </w:r>
    </w:p>
    <w:p w14:paraId="4E988CEB" w14:textId="0E0E3186" w:rsidR="0023330E" w:rsidRDefault="00B17B7B" w:rsidP="00DA5EB4">
      <w:pPr>
        <w:jc w:val="both"/>
      </w:pPr>
      <w:r>
        <w:t xml:space="preserve">Effective induction and mentoring for early career teachers </w:t>
      </w:r>
      <w:r w:rsidR="00537CFA">
        <w:t>have</w:t>
      </w:r>
      <w:r>
        <w:t xml:space="preserve"> been linked to improving retention, higher job satisfaction rates and improved professional confidence (Ingersoll </w:t>
      </w:r>
      <w:r w:rsidR="00993522">
        <w:t>&amp; Strong</w:t>
      </w:r>
      <w:r>
        <w:t>, 2011). International studies show that systems which offer structured</w:t>
      </w:r>
      <w:r w:rsidR="00993522">
        <w:t xml:space="preserve">, </w:t>
      </w:r>
      <w:r>
        <w:t>ongoing support outperform those with less formal induction arrangements (OECD, 2020). For example, Singapore</w:t>
      </w:r>
      <w:r w:rsidR="00993ECD">
        <w:t xml:space="preserve">’s </w:t>
      </w:r>
      <w:r>
        <w:t>teacher development model</w:t>
      </w:r>
      <w:r w:rsidR="008411FA">
        <w:t xml:space="preserve"> </w:t>
      </w:r>
      <w:r w:rsidR="00993ECD">
        <w:t>i</w:t>
      </w:r>
      <w:r w:rsidR="008411FA">
        <w:t xml:space="preserve">ncludes mentoring and ongoing learning from the start of a teacher’s career with substantial investment in </w:t>
      </w:r>
      <w:r w:rsidR="00537CFA">
        <w:t>early-stage</w:t>
      </w:r>
      <w:r w:rsidR="008411FA">
        <w:t xml:space="preserve"> professional development (N</w:t>
      </w:r>
      <w:r w:rsidR="00993ECD">
        <w:t>g</w:t>
      </w:r>
      <w:r w:rsidR="008411FA">
        <w:t>, 2022). Similarly, Finland has an emphasis on collaborative, research</w:t>
      </w:r>
      <w:r w:rsidR="00CD366E">
        <w:t>-</w:t>
      </w:r>
      <w:r w:rsidR="008411FA">
        <w:t>based practice and ongoing support during the first years of teaching (</w:t>
      </w:r>
      <w:r w:rsidR="00CD366E">
        <w:t>Sahlberg</w:t>
      </w:r>
      <w:r w:rsidR="008411FA">
        <w:t>, 2011).</w:t>
      </w:r>
    </w:p>
    <w:p w14:paraId="1173AACE" w14:textId="5DE2AD01" w:rsidR="00CD366E" w:rsidRDefault="00A82E00" w:rsidP="00DA5EB4">
      <w:pPr>
        <w:jc w:val="both"/>
      </w:pPr>
      <w:r>
        <w:t>The UK’s ECF, implemented in 2021, showed a move towards structured, extended induction support which embeds mentoring and evidence</w:t>
      </w:r>
      <w:r w:rsidR="000C28C0">
        <w:t>-</w:t>
      </w:r>
      <w:r>
        <w:t>inform</w:t>
      </w:r>
      <w:r w:rsidR="00537CFA">
        <w:t>ed</w:t>
      </w:r>
      <w:r>
        <w:t xml:space="preserve"> training over a</w:t>
      </w:r>
      <w:r w:rsidR="002E3186">
        <w:t xml:space="preserve"> two-year </w:t>
      </w:r>
      <w:r>
        <w:t xml:space="preserve">period. This design reflected international </w:t>
      </w:r>
      <w:r w:rsidR="002E3186">
        <w:t>b</w:t>
      </w:r>
      <w:r>
        <w:t xml:space="preserve">est </w:t>
      </w:r>
      <w:r w:rsidR="002E3186">
        <w:t>p</w:t>
      </w:r>
      <w:r>
        <w:t>ractice but there is limited long-term research assessing the outcomes.</w:t>
      </w:r>
      <w:r w:rsidR="002E3186">
        <w:t xml:space="preserve"> </w:t>
      </w:r>
      <w:r w:rsidR="001A410E">
        <w:t>Early evaluations highlighted a variation in the quality of implementation of the program</w:t>
      </w:r>
      <w:r w:rsidR="0064034E">
        <w:t>me</w:t>
      </w:r>
      <w:r w:rsidR="001A410E">
        <w:t xml:space="preserve"> across providers and </w:t>
      </w:r>
      <w:r w:rsidR="0064034E">
        <w:t>schools</w:t>
      </w:r>
      <w:r w:rsidR="001A410E">
        <w:t xml:space="preserve"> (</w:t>
      </w:r>
      <w:r w:rsidR="0064034E">
        <w:t>DfE</w:t>
      </w:r>
      <w:r w:rsidR="001A410E">
        <w:t>, 2023)</w:t>
      </w:r>
      <w:r w:rsidR="009C7C34">
        <w:t xml:space="preserve">. </w:t>
      </w:r>
      <w:r w:rsidR="001A410E">
        <w:t xml:space="preserve">Also, </w:t>
      </w:r>
      <w:r w:rsidR="00AE5E05">
        <w:t xml:space="preserve">questions </w:t>
      </w:r>
      <w:r w:rsidR="001A410E">
        <w:t xml:space="preserve">were </w:t>
      </w:r>
      <w:r w:rsidR="00AE5E05">
        <w:t>raised</w:t>
      </w:r>
      <w:r w:rsidR="001A410E">
        <w:t xml:space="preserve"> about the provision of a centralised, standardised program</w:t>
      </w:r>
      <w:r w:rsidR="00AE5E05">
        <w:t>me</w:t>
      </w:r>
      <w:r w:rsidR="001A410E">
        <w:t xml:space="preserve"> of </w:t>
      </w:r>
      <w:r w:rsidR="00AE5E05">
        <w:t>study which</w:t>
      </w:r>
      <w:r w:rsidR="0064034E">
        <w:t xml:space="preserve"> may struggle to adapt flexibly to the diverse needs of teachers in differing school phases, designation</w:t>
      </w:r>
      <w:r w:rsidR="009C7C34">
        <w:t>s</w:t>
      </w:r>
      <w:r w:rsidR="0064034E">
        <w:t xml:space="preserve"> and/or </w:t>
      </w:r>
      <w:r w:rsidR="00004989">
        <w:t>socio-economic</w:t>
      </w:r>
      <w:r w:rsidR="0064034E">
        <w:t xml:space="preserve"> context (Torrance, 2022).</w:t>
      </w:r>
    </w:p>
    <w:p w14:paraId="27E53689" w14:textId="5C13E51D" w:rsidR="009C1AC2" w:rsidRDefault="001A0A89" w:rsidP="00DA5EB4">
      <w:pPr>
        <w:jc w:val="both"/>
      </w:pPr>
      <w:r>
        <w:t xml:space="preserve">Further </w:t>
      </w:r>
      <w:r w:rsidR="006E14D8">
        <w:t xml:space="preserve">studies have raised concerns </w:t>
      </w:r>
      <w:r>
        <w:t xml:space="preserve">in relation to the </w:t>
      </w:r>
      <w:r w:rsidR="006E14D8">
        <w:t xml:space="preserve">mentoring </w:t>
      </w:r>
      <w:r>
        <w:t>model</w:t>
      </w:r>
      <w:r w:rsidR="006E14D8">
        <w:t xml:space="preserve"> – particularly when mentors have either no training or are inadequately trained and already managing o</w:t>
      </w:r>
      <w:r w:rsidR="00326AB3">
        <w:t xml:space="preserve">ther </w:t>
      </w:r>
      <w:r w:rsidR="006E14D8">
        <w:t xml:space="preserve">significant responsibilities (Hobson </w:t>
      </w:r>
      <w:r w:rsidR="00326AB3">
        <w:t>&amp;</w:t>
      </w:r>
      <w:r w:rsidR="006E14D8">
        <w:t xml:space="preserve"> Maxwell, 2020). This could compromise the value of the mentoring relationship and its impact on ECT confidence and classroom practice.</w:t>
      </w:r>
      <w:r w:rsidR="00E36D19">
        <w:t xml:space="preserve"> Additionally, the challenge of providing professional development content that evolves in response to the demands of the classroom, e.g. inclusive</w:t>
      </w:r>
      <w:r w:rsidR="00326AB3">
        <w:t xml:space="preserve"> and </w:t>
      </w:r>
      <w:r w:rsidR="00E36D19">
        <w:t>trauma</w:t>
      </w:r>
      <w:r w:rsidR="00326AB3">
        <w:t>-</w:t>
      </w:r>
      <w:r w:rsidR="00E36D19">
        <w:t>informed practice, has also been highlighted as an area requiring a more flexible program</w:t>
      </w:r>
      <w:r w:rsidR="009C1AC2">
        <w:t>me</w:t>
      </w:r>
      <w:r w:rsidR="00E36D19">
        <w:t xml:space="preserve"> of study </w:t>
      </w:r>
      <w:r>
        <w:t>(Kennedy, 2016).</w:t>
      </w:r>
    </w:p>
    <w:p w14:paraId="1630D2C2" w14:textId="38AD7DA7" w:rsidR="002118A9" w:rsidRPr="00A55FC1" w:rsidRDefault="002118A9" w:rsidP="00DA5EB4">
      <w:pPr>
        <w:jc w:val="both"/>
        <w:rPr>
          <w:u w:val="single"/>
        </w:rPr>
      </w:pPr>
      <w:r w:rsidRPr="00A55FC1">
        <w:rPr>
          <w:u w:val="single"/>
        </w:rPr>
        <w:t>Leadership development and NPQs</w:t>
      </w:r>
    </w:p>
    <w:p w14:paraId="6F2CF733" w14:textId="64F89AB5" w:rsidR="002118A9" w:rsidRDefault="002118A9" w:rsidP="00DA5EB4">
      <w:pPr>
        <w:jc w:val="both"/>
      </w:pPr>
      <w:r>
        <w:lastRenderedPageBreak/>
        <w:t>Leadership development is widely recognised as an essential element for improving school effectiveness and pupil achievement (</w:t>
      </w:r>
      <w:r w:rsidR="00AD5746">
        <w:t>Day</w:t>
      </w:r>
      <w:r>
        <w:t xml:space="preserve"> </w:t>
      </w:r>
      <w:r w:rsidR="00AD5746">
        <w:t>et al.</w:t>
      </w:r>
      <w:r>
        <w:t>, 2016). NPQ</w:t>
      </w:r>
      <w:r w:rsidR="00BD367D">
        <w:t>s</w:t>
      </w:r>
      <w:r>
        <w:t xml:space="preserve"> offer specific training for middle, senior and executive leaders </w:t>
      </w:r>
      <w:r w:rsidR="00AD5746">
        <w:t>as well as specialist pathways in behaviour, literacy and teacher development. The reform of the program</w:t>
      </w:r>
      <w:r w:rsidR="00BD367D">
        <w:t>mes</w:t>
      </w:r>
      <w:r w:rsidR="00AD5746">
        <w:t xml:space="preserve"> in 2021 was aimed at streamlining the content, reducing workload and increasing accessibility. Nevertheless, gaps remain in understanding how NPQs directly influence career progression, particularly in relation to promotion, leadership retention and the overall impact on school outcomes.</w:t>
      </w:r>
    </w:p>
    <w:p w14:paraId="5227FEA2" w14:textId="7CE2C76E" w:rsidR="00AD5746" w:rsidRDefault="007A4D6D" w:rsidP="00DA5EB4">
      <w:pPr>
        <w:jc w:val="both"/>
      </w:pPr>
      <w:r>
        <w:t xml:space="preserve">Empirical </w:t>
      </w:r>
      <w:r w:rsidR="00E345D1">
        <w:t>research</w:t>
      </w:r>
      <w:r>
        <w:t xml:space="preserve"> on the link between leadership development and recruitment/retention suggests that investment in high-quality training can enhance both performance and retention (</w:t>
      </w:r>
      <w:r w:rsidR="007C457D">
        <w:t>Bush</w:t>
      </w:r>
      <w:r>
        <w:t xml:space="preserve"> </w:t>
      </w:r>
      <w:r w:rsidR="007C457D">
        <w:t>&amp;</w:t>
      </w:r>
      <w:r>
        <w:t xml:space="preserve"> Glover, 2014). However, participation in NPQs varies by region, gender and school type. Schools in rural</w:t>
      </w:r>
      <w:r w:rsidR="00E345D1">
        <w:t xml:space="preserve"> </w:t>
      </w:r>
      <w:r w:rsidR="007C457D">
        <w:t>and</w:t>
      </w:r>
      <w:r w:rsidR="00E345D1">
        <w:t>/or under</w:t>
      </w:r>
      <w:r w:rsidR="007C457D">
        <w:t>-</w:t>
      </w:r>
      <w:r w:rsidR="00E345D1">
        <w:t>resource</w:t>
      </w:r>
      <w:r w:rsidR="007C457D">
        <w:t>d</w:t>
      </w:r>
      <w:r w:rsidR="00E345D1">
        <w:t xml:space="preserve"> areas may face barriers in providing time for staff to fully participate, funding to pay for the qualifications and reliable access</w:t>
      </w:r>
      <w:r w:rsidR="007C457D">
        <w:t xml:space="preserve"> to the training evens</w:t>
      </w:r>
      <w:r w:rsidR="00E345D1">
        <w:t>. All of which potentially lead</w:t>
      </w:r>
      <w:r w:rsidR="00735C5E">
        <w:t xml:space="preserve"> to</w:t>
      </w:r>
      <w:r w:rsidR="00E345D1">
        <w:t xml:space="preserve"> inequality in access to leadership development opportunities (Sharp et al., 2021).</w:t>
      </w:r>
    </w:p>
    <w:p w14:paraId="657BEC15" w14:textId="5E734292" w:rsidR="00AD5746" w:rsidRDefault="003F66D0" w:rsidP="00DA5EB4">
      <w:pPr>
        <w:jc w:val="both"/>
      </w:pPr>
      <w:r>
        <w:t>NPQs have also been criticised for the</w:t>
      </w:r>
      <w:r w:rsidR="009144B6">
        <w:t>ir</w:t>
      </w:r>
      <w:r>
        <w:t xml:space="preserve"> fixed and standardised content and delivery. Having a national framework brings standardisation and makes quality assurance easier to carry out; </w:t>
      </w:r>
      <w:r w:rsidR="004709AC">
        <w:t>however, this might neglect local need and the ability of the provider to adapt the content (</w:t>
      </w:r>
      <w:r w:rsidR="00694E7E">
        <w:t>Coldwell</w:t>
      </w:r>
      <w:r w:rsidR="004709AC">
        <w:t xml:space="preserve"> </w:t>
      </w:r>
      <w:r w:rsidR="00694E7E">
        <w:t>et al.</w:t>
      </w:r>
      <w:r w:rsidR="004709AC">
        <w:t xml:space="preserve">, 2017). Also, the focus on assessment through written reflections in response to given tasks, </w:t>
      </w:r>
      <w:r w:rsidR="00694E7E">
        <w:t>whilst</w:t>
      </w:r>
      <w:r w:rsidR="004709AC">
        <w:t xml:space="preserve"> being </w:t>
      </w:r>
      <w:r w:rsidR="005D6E38">
        <w:t>rigorous, may</w:t>
      </w:r>
      <w:r w:rsidR="004709AC">
        <w:t xml:space="preserve"> favour participants</w:t>
      </w:r>
      <w:r w:rsidR="00AF6EED">
        <w:t xml:space="preserve"> </w:t>
      </w:r>
      <w:r w:rsidR="00694E7E">
        <w:t>who</w:t>
      </w:r>
      <w:r w:rsidR="00AF6EED">
        <w:t xml:space="preserve"> have strong literary skills, raising further questions about inclusivity. The final assessment in many of these program</w:t>
      </w:r>
      <w:r w:rsidR="00B97660">
        <w:t>mes</w:t>
      </w:r>
      <w:r w:rsidR="00AF6EED">
        <w:t xml:space="preserve"> is an online written task. Whilst participants are required to declare they have not been given any </w:t>
      </w:r>
      <w:r w:rsidR="00B05F5C">
        <w:t>support;</w:t>
      </w:r>
      <w:r w:rsidR="00AF6EED">
        <w:t xml:space="preserve"> this may not be a reliable measure in relation to participant</w:t>
      </w:r>
      <w:r w:rsidR="00B97660">
        <w:t>s</w:t>
      </w:r>
      <w:r w:rsidR="00AF6EED">
        <w:t xml:space="preserve"> seeking additional help.</w:t>
      </w:r>
      <w:r w:rsidR="00B97660">
        <w:t xml:space="preserve"> </w:t>
      </w:r>
      <w:r w:rsidR="009144B6">
        <w:t>Leadership development program</w:t>
      </w:r>
      <w:r w:rsidR="00B97660">
        <w:t>mes</w:t>
      </w:r>
      <w:r w:rsidR="009144B6">
        <w:t xml:space="preserve"> need to balance between providing a coherent national strategy and remaining responsive to local school contexts</w:t>
      </w:r>
      <w:r w:rsidR="00DE639E">
        <w:t xml:space="preserve"> and</w:t>
      </w:r>
      <w:r w:rsidR="009144B6">
        <w:t xml:space="preserve"> individual leadership pathways (Gunter and </w:t>
      </w:r>
      <w:r w:rsidR="00DE639E">
        <w:t>Ribbins</w:t>
      </w:r>
      <w:r w:rsidR="009144B6">
        <w:t>, 2021).</w:t>
      </w:r>
    </w:p>
    <w:p w14:paraId="7A2D1541" w14:textId="7617A53D" w:rsidR="009144B6" w:rsidRPr="00EA03D6" w:rsidRDefault="00DE639E" w:rsidP="00DA5EB4">
      <w:pPr>
        <w:jc w:val="both"/>
        <w:rPr>
          <w:u w:val="single"/>
        </w:rPr>
      </w:pPr>
      <w:r w:rsidRPr="00EA03D6">
        <w:rPr>
          <w:u w:val="single"/>
        </w:rPr>
        <w:t>Barriers to access/inequality</w:t>
      </w:r>
    </w:p>
    <w:p w14:paraId="40E81B03" w14:textId="7E2D7DE1" w:rsidR="009144B6" w:rsidRDefault="0007000D" w:rsidP="00DA5EB4">
      <w:pPr>
        <w:jc w:val="both"/>
      </w:pPr>
      <w:r>
        <w:t>Research highlights that the location, school funding and staff capacity have a significant impact on professional development (Al</w:t>
      </w:r>
      <w:r w:rsidR="00EA03D6">
        <w:t>len et al.</w:t>
      </w:r>
      <w:r>
        <w:t xml:space="preserve">, 2019). Smaller schools, </w:t>
      </w:r>
      <w:r w:rsidR="00DE01BD">
        <w:t>particularly in rural settings, may struggle to participate in national program</w:t>
      </w:r>
      <w:r w:rsidR="003B7FB8">
        <w:t>mes</w:t>
      </w:r>
      <w:r w:rsidR="00DE01BD">
        <w:t xml:space="preserve"> (where participants are often required to travel to larger</w:t>
      </w:r>
      <w:r w:rsidR="003B7FB8">
        <w:t xml:space="preserve">, more </w:t>
      </w:r>
      <w:r w:rsidR="00DE01BD">
        <w:t>centralised locations) due to staffing constraints. A lack of mentoring capacity</w:t>
      </w:r>
      <w:r w:rsidR="003B7FB8">
        <w:t>/availability</w:t>
      </w:r>
      <w:r w:rsidR="00DE01BD">
        <w:t>, challenges in covering teacher absence</w:t>
      </w:r>
      <w:r w:rsidR="003B7FB8">
        <w:t xml:space="preserve"> (</w:t>
      </w:r>
      <w:r w:rsidR="00DE01BD">
        <w:t>both in terms of finding the cover and being able to afford to pay for it</w:t>
      </w:r>
      <w:r w:rsidR="00C855BF">
        <w:t>) and</w:t>
      </w:r>
      <w:r w:rsidR="00EA03D6">
        <w:t xml:space="preserve"> limited</w:t>
      </w:r>
      <w:r w:rsidR="00C855BF">
        <w:t>,</w:t>
      </w:r>
      <w:r w:rsidR="00EA03D6">
        <w:t xml:space="preserve"> local leadership opportunities are a</w:t>
      </w:r>
      <w:r w:rsidR="00C855BF">
        <w:t xml:space="preserve">mong </w:t>
      </w:r>
      <w:r w:rsidR="00EA03D6">
        <w:t>the most frequently referenced barriers (</w:t>
      </w:r>
      <w:r w:rsidR="00C855BF">
        <w:t>Worth</w:t>
      </w:r>
      <w:r w:rsidR="00EA03D6">
        <w:t>, 2021).</w:t>
      </w:r>
    </w:p>
    <w:p w14:paraId="5BBE5885" w14:textId="37DD51AC" w:rsidR="00EA03D6" w:rsidRDefault="001A4648" w:rsidP="00DA5EB4">
      <w:pPr>
        <w:jc w:val="both"/>
      </w:pPr>
      <w:r>
        <w:t xml:space="preserve">There are also demographic issues to consider. For example, women are </w:t>
      </w:r>
      <w:r w:rsidR="00393C00">
        <w:t xml:space="preserve">overrepresented in classroom teaching in both primary and secondary settings but underrepresented in </w:t>
      </w:r>
      <w:r w:rsidR="00393C00">
        <w:lastRenderedPageBreak/>
        <w:t>senior leadership positions (</w:t>
      </w:r>
      <w:r w:rsidR="00A905E1">
        <w:t>DfE</w:t>
      </w:r>
      <w:r w:rsidR="00393C00">
        <w:t>, 2022). Racial and ethnic minorities also face challenges in accessing leadership roles, despite comparable participation in the training program</w:t>
      </w:r>
      <w:r w:rsidR="00C3334F">
        <w:t>mes</w:t>
      </w:r>
      <w:r w:rsidR="00393C00">
        <w:t xml:space="preserve"> available (BAME</w:t>
      </w:r>
      <w:r w:rsidR="00C3334F">
        <w:t>ed N</w:t>
      </w:r>
      <w:r w:rsidR="00393C00">
        <w:t>etwork, 2021)</w:t>
      </w:r>
      <w:r w:rsidR="00C3334F">
        <w:t xml:space="preserve">. </w:t>
      </w:r>
      <w:r w:rsidR="00A905E1">
        <w:t xml:space="preserve">Therefore, evaluating NPQs only on participation or completion rates may overlook </w:t>
      </w:r>
      <w:r w:rsidR="00181566">
        <w:t>other</w:t>
      </w:r>
      <w:r w:rsidR="00A905E1">
        <w:t xml:space="preserve"> inequalities in career progression and access to relevant leadership roles.</w:t>
      </w:r>
    </w:p>
    <w:p w14:paraId="50C37967" w14:textId="1F0251FF" w:rsidR="00B40389" w:rsidRDefault="00394F6E" w:rsidP="00DA5EB4">
      <w:pPr>
        <w:jc w:val="both"/>
      </w:pPr>
      <w:r>
        <w:t xml:space="preserve">Fuller </w:t>
      </w:r>
      <w:r w:rsidR="00731B14">
        <w:t>et al. (</w:t>
      </w:r>
      <w:r>
        <w:t xml:space="preserve">2019) note that gender and ethnicity often combine to create layered barriers to progression. Additionally, the pressure on schools to be </w:t>
      </w:r>
      <w:r w:rsidR="00731B14">
        <w:t>accountable</w:t>
      </w:r>
      <w:r>
        <w:t xml:space="preserve"> to external inspection may disincentiv</w:t>
      </w:r>
      <w:r w:rsidR="000C28C0">
        <w:t>ise</w:t>
      </w:r>
      <w:r>
        <w:t xml:space="preserve"> them from releasing staff regularly for development opportunities, particularly where leadership capacity is already</w:t>
      </w:r>
      <w:r w:rsidR="00B40389">
        <w:t xml:space="preserve"> </w:t>
      </w:r>
      <w:r w:rsidR="004B7117">
        <w:t>limited</w:t>
      </w:r>
      <w:r w:rsidR="00B40389">
        <w:t xml:space="preserve">. The qualifications also rely on a senior member of staff recommending and approving NPQ applications. This may be biased based on the perspective of the senior leader </w:t>
      </w:r>
      <w:r w:rsidR="005D6E38">
        <w:t>and</w:t>
      </w:r>
      <w:r w:rsidR="00B40389">
        <w:t xml:space="preserve"> favour members of staff who are already working in supportive leadership networks. This further excludes those on the margins of professional development activity and opportunity.</w:t>
      </w:r>
    </w:p>
    <w:p w14:paraId="1BFCBFD6" w14:textId="77507DDA" w:rsidR="00B40389" w:rsidRPr="00B05F5C" w:rsidRDefault="00B40389" w:rsidP="00DA5EB4">
      <w:pPr>
        <w:jc w:val="both"/>
        <w:rPr>
          <w:u w:val="single"/>
        </w:rPr>
      </w:pPr>
      <w:r w:rsidRPr="00B05F5C">
        <w:rPr>
          <w:u w:val="single"/>
        </w:rPr>
        <w:t>Digital professional development and the post pandemic landscape</w:t>
      </w:r>
    </w:p>
    <w:p w14:paraId="70A69130" w14:textId="0A26F6FC" w:rsidR="00021E1C" w:rsidRDefault="007D29AE" w:rsidP="00DA5EB4">
      <w:pPr>
        <w:jc w:val="both"/>
      </w:pPr>
      <w:r>
        <w:t>The COVID-19 pandemic accelerated a shift towards online delivery of professional development program</w:t>
      </w:r>
      <w:r w:rsidR="00B27308">
        <w:t>mes</w:t>
      </w:r>
      <w:r>
        <w:t xml:space="preserve">. This has created new opportunities for flexible </w:t>
      </w:r>
      <w:r w:rsidR="00F610AE">
        <w:t>learning</w:t>
      </w:r>
      <w:r>
        <w:t xml:space="preserve"> but also found gaps in the digital infrastructure </w:t>
      </w:r>
      <w:r w:rsidR="005D6E38">
        <w:t>and</w:t>
      </w:r>
      <w:r>
        <w:t xml:space="preserve"> the digital competence of </w:t>
      </w:r>
      <w:r w:rsidR="00F610AE">
        <w:t xml:space="preserve">some </w:t>
      </w:r>
      <w:r>
        <w:t>teachers and school leaders (</w:t>
      </w:r>
      <w:r w:rsidR="00F610AE">
        <w:t>DfE</w:t>
      </w:r>
      <w:r>
        <w:t>, 2021). Online program</w:t>
      </w:r>
      <w:r w:rsidR="00F610AE">
        <w:t>mes</w:t>
      </w:r>
      <w:r>
        <w:t xml:space="preserve"> of study have increased access in some regions</w:t>
      </w:r>
      <w:r w:rsidR="00F610AE">
        <w:t xml:space="preserve"> but they </w:t>
      </w:r>
      <w:r>
        <w:t xml:space="preserve">have also raised concerns about </w:t>
      </w:r>
      <w:r w:rsidR="00F610AE">
        <w:t xml:space="preserve">the quality of </w:t>
      </w:r>
      <w:r>
        <w:t>engagement, depth of learning</w:t>
      </w:r>
      <w:r w:rsidR="00021E1C">
        <w:t xml:space="preserve"> </w:t>
      </w:r>
      <w:r w:rsidR="00F610AE">
        <w:t>and</w:t>
      </w:r>
      <w:r w:rsidR="00021E1C">
        <w:t xml:space="preserve"> the</w:t>
      </w:r>
      <w:r w:rsidR="00C2457E">
        <w:t xml:space="preserve"> potential</w:t>
      </w:r>
      <w:r w:rsidR="00021E1C">
        <w:t xml:space="preserve"> </w:t>
      </w:r>
      <w:r w:rsidR="00C2457E">
        <w:t xml:space="preserve">lack of strong </w:t>
      </w:r>
      <w:r w:rsidR="00021E1C">
        <w:t>interpersonal relationships that form part of the mentoring program</w:t>
      </w:r>
      <w:r w:rsidR="00C2457E">
        <w:t>mes</w:t>
      </w:r>
      <w:r w:rsidR="00021E1C">
        <w:t xml:space="preserve"> (EEF, 2022).</w:t>
      </w:r>
    </w:p>
    <w:p w14:paraId="0D93A254" w14:textId="6CE2336E" w:rsidR="00021E1C" w:rsidRDefault="00021E1C" w:rsidP="00DA5EB4">
      <w:pPr>
        <w:jc w:val="both"/>
      </w:pPr>
      <w:r>
        <w:t>The research suggests that a blended model which combines face-to-face, peer</w:t>
      </w:r>
      <w:r w:rsidR="00C2457E">
        <w:t xml:space="preserve">-led </w:t>
      </w:r>
      <w:r>
        <w:t xml:space="preserve">learning </w:t>
      </w:r>
      <w:r w:rsidR="00074B74">
        <w:t>with</w:t>
      </w:r>
      <w:r>
        <w:t xml:space="preserve"> online flexibility, may provide a more useful </w:t>
      </w:r>
      <w:r w:rsidR="00074B74">
        <w:t>and sustainable model</w:t>
      </w:r>
      <w:r>
        <w:t>. However, digital inequality still exists</w:t>
      </w:r>
      <w:r w:rsidR="00B27308">
        <w:t xml:space="preserve"> </w:t>
      </w:r>
      <w:r w:rsidR="00074B74">
        <w:t>with</w:t>
      </w:r>
      <w:r w:rsidR="00B27308">
        <w:t xml:space="preserve"> some schools lacking the </w:t>
      </w:r>
      <w:r w:rsidR="00074B74">
        <w:t>i</w:t>
      </w:r>
      <w:r w:rsidR="00B27308">
        <w:t xml:space="preserve">nternet bandwidth and/or hardware to fully and effectively engage with online learning platforms. Also, online learning must be </w:t>
      </w:r>
      <w:r w:rsidR="00751420">
        <w:t xml:space="preserve">underpinned </w:t>
      </w:r>
      <w:r w:rsidR="00B27308">
        <w:t>by relevant pedagogical principles to avoid the delivery becoming didactic and participation to be</w:t>
      </w:r>
      <w:r w:rsidR="00751420">
        <w:t>come</w:t>
      </w:r>
      <w:r w:rsidR="00B27308">
        <w:t xml:space="preserve"> passive (</w:t>
      </w:r>
      <w:r w:rsidR="00751420">
        <w:t>Booth</w:t>
      </w:r>
      <w:r w:rsidR="00B27308">
        <w:t>, 2020).</w:t>
      </w:r>
    </w:p>
    <w:p w14:paraId="0B80AB33" w14:textId="5FA4588C" w:rsidR="00B27308" w:rsidRPr="00751420" w:rsidRDefault="00B27308" w:rsidP="00DA5EB4">
      <w:pPr>
        <w:jc w:val="both"/>
        <w:rPr>
          <w:u w:val="single"/>
        </w:rPr>
      </w:pPr>
      <w:r w:rsidRPr="00751420">
        <w:rPr>
          <w:u w:val="single"/>
        </w:rPr>
        <w:t>Conceptual framework and research gap</w:t>
      </w:r>
    </w:p>
    <w:p w14:paraId="1F78263A" w14:textId="77777777" w:rsidR="00B05F5C" w:rsidRDefault="00C975E6" w:rsidP="00DA5EB4">
      <w:pPr>
        <w:jc w:val="both"/>
      </w:pPr>
      <w:r>
        <w:t>This review takes the perspective of workforce development, seeing professional learning as an ongoing feature that has an impact on recruitment, retention and progression. The literature review reveals the importance of structured support but also the need for considering the context in relation to implementation. There is a gap in robust, quantitative analysis using national data sets to assess whether the ECF and NPQ program</w:t>
      </w:r>
      <w:r w:rsidR="00006AEC">
        <w:t>mes</w:t>
      </w:r>
      <w:r>
        <w:t xml:space="preserve"> are meeting their intended aims.</w:t>
      </w:r>
    </w:p>
    <w:p w14:paraId="64E8F696" w14:textId="77777777" w:rsidR="00B05F5C" w:rsidRDefault="00B05F5C">
      <w:r>
        <w:br w:type="page"/>
      </w:r>
    </w:p>
    <w:p w14:paraId="270297A4" w14:textId="5F5F450D" w:rsidR="00AF565F" w:rsidRPr="00B05F5C" w:rsidRDefault="00DB3606" w:rsidP="00DA5EB4">
      <w:pPr>
        <w:jc w:val="both"/>
      </w:pPr>
      <w:r w:rsidRPr="00654106">
        <w:rPr>
          <w:b/>
          <w:bCs/>
        </w:rPr>
        <w:lastRenderedPageBreak/>
        <w:t>The current study</w:t>
      </w:r>
    </w:p>
    <w:p w14:paraId="5C272C32" w14:textId="0716D00C" w:rsidR="00DB3606" w:rsidRDefault="004E7682" w:rsidP="00DA5EB4">
      <w:pPr>
        <w:jc w:val="both"/>
      </w:pPr>
      <w:r>
        <w:t xml:space="preserve">This review </w:t>
      </w:r>
      <w:r w:rsidR="00DF0877">
        <w:t>builds</w:t>
      </w:r>
      <w:r>
        <w:t xml:space="preserve"> on current research by examining the relationship between participation in the early career framework </w:t>
      </w:r>
      <w:r w:rsidR="00DF0877">
        <w:t>and</w:t>
      </w:r>
      <w:r>
        <w:t xml:space="preserve"> the national professional qualifications with outcomes such as teacher retention and career progression. It addresses a gap in the existing research by applying descriptive and </w:t>
      </w:r>
      <w:r w:rsidR="00DF0877">
        <w:t xml:space="preserve">inferential </w:t>
      </w:r>
      <w:r>
        <w:t xml:space="preserve">statistical methods to secondary data provided by the </w:t>
      </w:r>
      <w:r w:rsidR="00F86BE3">
        <w:t>D</w:t>
      </w:r>
      <w:r>
        <w:t xml:space="preserve">epartment of </w:t>
      </w:r>
      <w:r w:rsidR="00F86BE3">
        <w:t>E</w:t>
      </w:r>
      <w:r>
        <w:t>ducation.</w:t>
      </w:r>
    </w:p>
    <w:p w14:paraId="6F1302E0" w14:textId="29950F1D" w:rsidR="004E7682" w:rsidRDefault="00DF4989" w:rsidP="00DA5EB4">
      <w:pPr>
        <w:jc w:val="both"/>
      </w:pPr>
      <w:r>
        <w:t>Where previous research has largely relied on small</w:t>
      </w:r>
      <w:r w:rsidR="00F86BE3">
        <w:t>-</w:t>
      </w:r>
      <w:r>
        <w:t>scale studies, interviews or theoretical frameworks, this study adopts a quantitative approach to assess whether participation in the ECF and NPQ program</w:t>
      </w:r>
      <w:r w:rsidR="00F86BE3">
        <w:t>mes</w:t>
      </w:r>
      <w:r>
        <w:t xml:space="preserve"> correlate</w:t>
      </w:r>
      <w:r w:rsidR="005C74F2">
        <w:t>s</w:t>
      </w:r>
      <w:r>
        <w:t xml:space="preserve"> with higher teacher retention rates and leadership opportunities. It considers demographic and institutional variables, including gender, school type, region and the method of induction delivery.</w:t>
      </w:r>
    </w:p>
    <w:p w14:paraId="105C5D1C" w14:textId="1D47EFA7" w:rsidR="005332B4" w:rsidRDefault="006674EE" w:rsidP="00DA5EB4">
      <w:pPr>
        <w:jc w:val="both"/>
      </w:pPr>
      <w:r>
        <w:t>The review is informed by the need to understand whether the professional development initiatives are equitable</w:t>
      </w:r>
      <w:r w:rsidR="000B7631">
        <w:t xml:space="preserve"> </w:t>
      </w:r>
      <w:r w:rsidR="005332B4">
        <w:t>across a range of groups. In particular, the review considers the extent to which provide</w:t>
      </w:r>
      <w:r w:rsidR="005C74F2">
        <w:t xml:space="preserve">r-led </w:t>
      </w:r>
      <w:r w:rsidR="005332B4">
        <w:t>induction impact</w:t>
      </w:r>
      <w:r w:rsidR="005C74F2">
        <w:t>s</w:t>
      </w:r>
      <w:r w:rsidR="005332B4">
        <w:t xml:space="preserve"> positively on early career retention and whether completion of the NPQ qualifications serve as a predictor of future leadership promotion.</w:t>
      </w:r>
    </w:p>
    <w:p w14:paraId="56CE71D3" w14:textId="4CD3BFAC" w:rsidR="00837085" w:rsidRDefault="005332B4" w:rsidP="00DA5EB4">
      <w:pPr>
        <w:jc w:val="both"/>
      </w:pPr>
      <w:r>
        <w:t xml:space="preserve">The review also considers disparities in levels of participation </w:t>
      </w:r>
      <w:r w:rsidR="005C74F2">
        <w:t>and successful</w:t>
      </w:r>
      <w:r w:rsidR="00AE315D">
        <w:t xml:space="preserve"> outcomes, exploring whether certain groups (e.g. those working in rural schools </w:t>
      </w:r>
      <w:r w:rsidR="00964889">
        <w:t>or</w:t>
      </w:r>
      <w:r w:rsidR="00A379A8">
        <w:t xml:space="preserve"> those from underrepresented backgrounds) experience different results.</w:t>
      </w:r>
    </w:p>
    <w:p w14:paraId="625C728C" w14:textId="0FA34FEF" w:rsidR="00A379A8" w:rsidRDefault="00A379A8" w:rsidP="00DA5EB4">
      <w:pPr>
        <w:jc w:val="both"/>
      </w:pPr>
      <w:r>
        <w:t>This review aims to:</w:t>
      </w:r>
    </w:p>
    <w:p w14:paraId="4F69F5C2" w14:textId="6351E37C" w:rsidR="00FA700B" w:rsidRDefault="00FA700B" w:rsidP="00DA5EB4">
      <w:pPr>
        <w:pStyle w:val="ListParagraph"/>
        <w:numPr>
          <w:ilvl w:val="0"/>
          <w:numId w:val="2"/>
        </w:numPr>
        <w:jc w:val="both"/>
      </w:pPr>
      <w:r>
        <w:t>Consider participation trends in the ECF and NPQ program</w:t>
      </w:r>
      <w:r w:rsidR="00964889">
        <w:t>mes</w:t>
      </w:r>
      <w:r>
        <w:t xml:space="preserve"> from 2021 to 2024.</w:t>
      </w:r>
    </w:p>
    <w:p w14:paraId="5DFDD722" w14:textId="6E3315CE" w:rsidR="00FA700B" w:rsidRDefault="00FA700B" w:rsidP="00DA5EB4">
      <w:pPr>
        <w:pStyle w:val="ListParagraph"/>
        <w:numPr>
          <w:ilvl w:val="0"/>
          <w:numId w:val="2"/>
        </w:numPr>
        <w:jc w:val="both"/>
      </w:pPr>
      <w:r>
        <w:t>Evaluate the impact of the ECF on early career teacher retention.</w:t>
      </w:r>
    </w:p>
    <w:p w14:paraId="62D7A6D9" w14:textId="0628ACC0" w:rsidR="00FA700B" w:rsidRDefault="00FA700B" w:rsidP="00DA5EB4">
      <w:pPr>
        <w:pStyle w:val="ListParagraph"/>
        <w:numPr>
          <w:ilvl w:val="0"/>
          <w:numId w:val="2"/>
        </w:numPr>
        <w:jc w:val="both"/>
      </w:pPr>
      <w:r>
        <w:t>Assess the relationship between NPQ completion rates and career progression.</w:t>
      </w:r>
    </w:p>
    <w:p w14:paraId="0B626E52" w14:textId="1921A3A3" w:rsidR="0089061B" w:rsidRPr="00004989" w:rsidRDefault="00FA700B" w:rsidP="00DA5EB4">
      <w:pPr>
        <w:pStyle w:val="ListParagraph"/>
        <w:numPr>
          <w:ilvl w:val="0"/>
          <w:numId w:val="2"/>
        </w:numPr>
        <w:jc w:val="both"/>
      </w:pPr>
      <w:r>
        <w:t xml:space="preserve">Identify patterns of </w:t>
      </w:r>
      <w:r w:rsidR="00964889">
        <w:t>inequity</w:t>
      </w:r>
      <w:r>
        <w:t xml:space="preserve"> in access and outcomes.</w:t>
      </w:r>
      <w:r w:rsidR="0089061B" w:rsidRPr="00004989">
        <w:rPr>
          <w:b/>
          <w:bCs/>
        </w:rPr>
        <w:br w:type="page"/>
      </w:r>
    </w:p>
    <w:p w14:paraId="1DEB96C2" w14:textId="1616FFDD" w:rsidR="00837085" w:rsidRPr="0089061B" w:rsidRDefault="00FA700B" w:rsidP="00DA5EB4">
      <w:pPr>
        <w:jc w:val="both"/>
      </w:pPr>
      <w:r w:rsidRPr="00FA700B">
        <w:rPr>
          <w:b/>
          <w:bCs/>
        </w:rPr>
        <w:lastRenderedPageBreak/>
        <w:t>Methodology</w:t>
      </w:r>
    </w:p>
    <w:p w14:paraId="39E3D6EB" w14:textId="78EA6CAF" w:rsidR="00FA700B" w:rsidRPr="003B3D5F" w:rsidRDefault="003B3D5F" w:rsidP="00DA5EB4">
      <w:pPr>
        <w:jc w:val="both"/>
        <w:rPr>
          <w:u w:val="single"/>
        </w:rPr>
      </w:pPr>
      <w:r w:rsidRPr="003B3D5F">
        <w:rPr>
          <w:u w:val="single"/>
        </w:rPr>
        <w:t>Research design</w:t>
      </w:r>
    </w:p>
    <w:p w14:paraId="223E10FA" w14:textId="1A876720" w:rsidR="003206BA" w:rsidRDefault="00A42FD9" w:rsidP="00DA5EB4">
      <w:pPr>
        <w:jc w:val="both"/>
      </w:pPr>
      <w:r>
        <w:t>The review adopt</w:t>
      </w:r>
      <w:r w:rsidR="006A57AA">
        <w:t>s</w:t>
      </w:r>
      <w:r>
        <w:t xml:space="preserve"> a quantitative, non-experimental design using secondary data analysis to investigate the relationships between program</w:t>
      </w:r>
      <w:r w:rsidR="00934D30">
        <w:t>me</w:t>
      </w:r>
      <w:r>
        <w:t xml:space="preserve"> participation (ECF and NPQs), teacher retention and career progression.</w:t>
      </w:r>
      <w:r w:rsidR="006E6F81">
        <w:t xml:space="preserve"> </w:t>
      </w:r>
      <w:r w:rsidR="0073489F">
        <w:t xml:space="preserve">The review is primarily confirmatory, testing hypotheses taken from the research </w:t>
      </w:r>
      <w:r w:rsidR="006E6F81">
        <w:t>about</w:t>
      </w:r>
      <w:r w:rsidR="0073489F">
        <w:t xml:space="preserve"> the impact of structured professional development on teacher and leader outcomes. This allows for an analysis of patterns and relationships within national data sets without manipulating variables. This approach provides general</w:t>
      </w:r>
      <w:r w:rsidR="003D5B14">
        <w:t xml:space="preserve">isable </w:t>
      </w:r>
      <w:r w:rsidR="0073489F">
        <w:t>insights across a wide population</w:t>
      </w:r>
      <w:r w:rsidR="003206BA">
        <w:t xml:space="preserve"> </w:t>
      </w:r>
      <w:r w:rsidR="003D5B14">
        <w:t>without</w:t>
      </w:r>
      <w:r w:rsidR="003206BA">
        <w:t xml:space="preserve"> the ethical or logistical complexities of primary data collection in schools.</w:t>
      </w:r>
    </w:p>
    <w:p w14:paraId="51DBE72C" w14:textId="3F67E9F9" w:rsidR="003206BA" w:rsidRPr="0089061B" w:rsidRDefault="003206BA" w:rsidP="00DA5EB4">
      <w:pPr>
        <w:jc w:val="both"/>
        <w:rPr>
          <w:u w:val="single"/>
        </w:rPr>
      </w:pPr>
      <w:r w:rsidRPr="003D5B14">
        <w:rPr>
          <w:u w:val="single"/>
        </w:rPr>
        <w:t>Participants and context</w:t>
      </w:r>
    </w:p>
    <w:p w14:paraId="2105F113" w14:textId="5EBACE71" w:rsidR="00105AD4" w:rsidRDefault="003206BA" w:rsidP="00DA5EB4">
      <w:pPr>
        <w:jc w:val="both"/>
      </w:pPr>
      <w:r>
        <w:t>The “participants</w:t>
      </w:r>
      <w:r w:rsidR="003D5B14">
        <w:t>”</w:t>
      </w:r>
      <w:r>
        <w:t xml:space="preserve"> in this study are represented in aggregate form across all state funded schools in England. The data cover thousands of early career teachers and those undertaking national professional qualifications across academic </w:t>
      </w:r>
      <w:r w:rsidR="00092C0D">
        <w:t>years</w:t>
      </w:r>
      <w:r>
        <w:t xml:space="preserve"> 2021 to 2024. Participants cover all English regions, a variety of school types (including academies, community schools and special schools</w:t>
      </w:r>
      <w:r w:rsidR="00092C0D">
        <w:t xml:space="preserve">) and cover </w:t>
      </w:r>
      <w:r>
        <w:t>both primary and secondary phases.</w:t>
      </w:r>
      <w:r w:rsidR="00105AD4">
        <w:t xml:space="preserve"> While </w:t>
      </w:r>
      <w:r w:rsidR="001A78D3">
        <w:t>the</w:t>
      </w:r>
      <w:r w:rsidR="00105AD4">
        <w:t xml:space="preserve"> data</w:t>
      </w:r>
      <w:r w:rsidR="001A78D3">
        <w:t xml:space="preserve">sets </w:t>
      </w:r>
      <w:r w:rsidR="00105AD4">
        <w:t xml:space="preserve">do not include direct </w:t>
      </w:r>
      <w:r w:rsidR="001A78D3">
        <w:t>identifiers</w:t>
      </w:r>
      <w:r w:rsidR="00105AD4">
        <w:t>, disaggregated group level data allows for detailed analysis of key demographic variables.</w:t>
      </w:r>
    </w:p>
    <w:p w14:paraId="362EF6FC" w14:textId="5CC7AE6D" w:rsidR="0064034E" w:rsidRDefault="00105AD4" w:rsidP="00DA5EB4">
      <w:pPr>
        <w:jc w:val="both"/>
      </w:pPr>
      <w:r>
        <w:t>Context</w:t>
      </w:r>
      <w:r w:rsidR="001A78D3">
        <w:t>ually</w:t>
      </w:r>
      <w:r>
        <w:t xml:space="preserve">, the study is situated within the period following the introduction of the early career framework in 2021 and the reform of NPQs the same year. These reforms were intended to </w:t>
      </w:r>
      <w:r w:rsidR="007A50FC">
        <w:t>standardise</w:t>
      </w:r>
      <w:r>
        <w:t xml:space="preserve"> professional development whilst improving accessibility, mentoring and the relevan</w:t>
      </w:r>
      <w:r w:rsidR="00602EAC">
        <w:t>ce</w:t>
      </w:r>
      <w:r>
        <w:t xml:space="preserve"> to classroom a</w:t>
      </w:r>
      <w:r w:rsidR="00602EAC">
        <w:t>nd</w:t>
      </w:r>
      <w:r>
        <w:t xml:space="preserve"> leadership practice.</w:t>
      </w:r>
      <w:r w:rsidR="00602EAC">
        <w:t xml:space="preserve"> </w:t>
      </w:r>
      <w:r w:rsidR="00344687">
        <w:t>Additionally, this time was also shaped by recovery from the COVID-19 pandemic, concerns about attrition rates in education and an increasing emphasis on evidence</w:t>
      </w:r>
      <w:r w:rsidR="00602EAC">
        <w:t>-</w:t>
      </w:r>
      <w:r w:rsidR="00344687">
        <w:t>based teaching.</w:t>
      </w:r>
    </w:p>
    <w:p w14:paraId="28EE350C" w14:textId="10FC8BCC" w:rsidR="00602EAC" w:rsidRPr="00F45F35" w:rsidRDefault="00F45F35" w:rsidP="00DA5EB4">
      <w:pPr>
        <w:jc w:val="both"/>
        <w:rPr>
          <w:u w:val="single"/>
        </w:rPr>
      </w:pPr>
      <w:r w:rsidRPr="00F45F35">
        <w:rPr>
          <w:u w:val="single"/>
        </w:rPr>
        <w:t>Data sources</w:t>
      </w:r>
    </w:p>
    <w:p w14:paraId="32DA8C83" w14:textId="5CAC71B4" w:rsidR="006D5090" w:rsidRDefault="006D5090" w:rsidP="00DA5EB4">
      <w:pPr>
        <w:jc w:val="both"/>
      </w:pPr>
      <w:r>
        <w:t>Data were drawn from four da</w:t>
      </w:r>
      <w:r w:rsidR="00F507D3">
        <w:t xml:space="preserve">tasets </w:t>
      </w:r>
      <w:r>
        <w:t xml:space="preserve">published by the </w:t>
      </w:r>
      <w:r w:rsidR="00F507D3">
        <w:t xml:space="preserve">DfE </w:t>
      </w:r>
      <w:r>
        <w:t>as part of the 2023/2024 release titled “</w:t>
      </w:r>
      <w:r w:rsidR="00F507D3">
        <w:t>Teacher</w:t>
      </w:r>
      <w:r>
        <w:t xml:space="preserve"> and leader development: ECF and NPQs</w:t>
      </w:r>
      <w:r w:rsidR="00C52220">
        <w:t>.</w:t>
      </w:r>
      <w:r w:rsidR="00F507D3">
        <w:t>”</w:t>
      </w:r>
    </w:p>
    <w:p w14:paraId="66DE4BBC" w14:textId="295C6126" w:rsidR="006D5090" w:rsidRDefault="006D5090" w:rsidP="00DA5EB4">
      <w:pPr>
        <w:jc w:val="both"/>
      </w:pPr>
      <w:r>
        <w:t>These data set</w:t>
      </w:r>
      <w:r w:rsidR="009607D2">
        <w:t>s</w:t>
      </w:r>
      <w:r>
        <w:t xml:space="preserve"> include:</w:t>
      </w:r>
    </w:p>
    <w:p w14:paraId="451048AD" w14:textId="1B6CD481" w:rsidR="009607D2" w:rsidRDefault="009607D2" w:rsidP="00DA5EB4">
      <w:pPr>
        <w:pStyle w:val="ListParagraph"/>
        <w:numPr>
          <w:ilvl w:val="0"/>
          <w:numId w:val="3"/>
        </w:numPr>
        <w:jc w:val="both"/>
      </w:pPr>
      <w:r w:rsidRPr="009607D2">
        <w:rPr>
          <w:b/>
          <w:bCs/>
        </w:rPr>
        <w:t>ECF total participants (2023-24):</w:t>
      </w:r>
      <w:r>
        <w:t xml:space="preserve"> participation data by region, gender, school type and working pattern.</w:t>
      </w:r>
    </w:p>
    <w:p w14:paraId="7F09BF10" w14:textId="6D4909DC" w:rsidR="00DF7FBC" w:rsidRDefault="00080EB8" w:rsidP="00DA5EB4">
      <w:pPr>
        <w:pStyle w:val="ListParagraph"/>
        <w:numPr>
          <w:ilvl w:val="0"/>
          <w:numId w:val="3"/>
        </w:numPr>
        <w:jc w:val="both"/>
      </w:pPr>
      <w:r>
        <w:rPr>
          <w:b/>
          <w:bCs/>
        </w:rPr>
        <w:t xml:space="preserve">ECF retention (2023-24): </w:t>
      </w:r>
      <w:r w:rsidR="00DF7FBC">
        <w:t>retention data for early career teachers, matched with workforce censor data.</w:t>
      </w:r>
    </w:p>
    <w:p w14:paraId="1365493E" w14:textId="1AB8DF4F" w:rsidR="00F507D3" w:rsidRDefault="00DF7FBC" w:rsidP="00DA5EB4">
      <w:pPr>
        <w:pStyle w:val="ListParagraph"/>
        <w:numPr>
          <w:ilvl w:val="0"/>
          <w:numId w:val="3"/>
        </w:numPr>
        <w:jc w:val="both"/>
      </w:pPr>
      <w:r w:rsidRPr="00F507D3">
        <w:rPr>
          <w:b/>
          <w:bCs/>
        </w:rPr>
        <w:t>NPQ total participants (2023-24):</w:t>
      </w:r>
      <w:r>
        <w:t xml:space="preserve"> </w:t>
      </w:r>
      <w:r w:rsidR="00F507D3">
        <w:t xml:space="preserve">data on funded and </w:t>
      </w:r>
      <w:r w:rsidR="00C52220">
        <w:t>non-funded</w:t>
      </w:r>
      <w:r w:rsidR="00F507D3">
        <w:t xml:space="preserve"> starts by demographic and institutional variables.</w:t>
      </w:r>
    </w:p>
    <w:p w14:paraId="6C53F106" w14:textId="4CA29470" w:rsidR="006D5090" w:rsidRDefault="00F507D3" w:rsidP="00DA5EB4">
      <w:pPr>
        <w:pStyle w:val="ListParagraph"/>
        <w:numPr>
          <w:ilvl w:val="0"/>
          <w:numId w:val="3"/>
        </w:numPr>
        <w:jc w:val="both"/>
      </w:pPr>
      <w:r w:rsidRPr="00F507D3">
        <w:rPr>
          <w:b/>
          <w:bCs/>
        </w:rPr>
        <w:t>NPQ completions (2023-24):</w:t>
      </w:r>
      <w:r>
        <w:t xml:space="preserve"> completion and </w:t>
      </w:r>
      <w:r w:rsidR="00C52220">
        <w:t>pass rates</w:t>
      </w:r>
      <w:r>
        <w:t xml:space="preserve"> by course type, region and individual characteristics.</w:t>
      </w:r>
    </w:p>
    <w:p w14:paraId="78096FAA" w14:textId="5AB7DFE7" w:rsidR="00C52220" w:rsidRDefault="003C79F3" w:rsidP="00DA5EB4">
      <w:pPr>
        <w:jc w:val="both"/>
      </w:pPr>
      <w:r>
        <w:lastRenderedPageBreak/>
        <w:t xml:space="preserve">These data sets are compiled from the School Workforce Census (SWC), the Get </w:t>
      </w:r>
      <w:r w:rsidR="00B252D8">
        <w:t>I</w:t>
      </w:r>
      <w:r>
        <w:t xml:space="preserve">nformation </w:t>
      </w:r>
      <w:r w:rsidR="00B252D8">
        <w:t>A</w:t>
      </w:r>
      <w:r>
        <w:t xml:space="preserve">bout </w:t>
      </w:r>
      <w:r w:rsidR="00B252D8">
        <w:t>S</w:t>
      </w:r>
      <w:r>
        <w:t>chools (GIAS) register and return</w:t>
      </w:r>
      <w:r w:rsidR="00B252D8">
        <w:t xml:space="preserve">s </w:t>
      </w:r>
      <w:r>
        <w:t xml:space="preserve">submitted by lead training providers. They are designed for public use under the </w:t>
      </w:r>
      <w:r w:rsidR="00B252D8">
        <w:t>Open</w:t>
      </w:r>
      <w:r>
        <w:t xml:space="preserve"> </w:t>
      </w:r>
      <w:r w:rsidR="0060096E">
        <w:t>G</w:t>
      </w:r>
      <w:r>
        <w:t xml:space="preserve">overnment </w:t>
      </w:r>
      <w:r w:rsidR="0060096E">
        <w:t>L</w:t>
      </w:r>
      <w:r>
        <w:t>icense and represent near</w:t>
      </w:r>
      <w:r w:rsidR="0056280A">
        <w:t>-</w:t>
      </w:r>
      <w:r>
        <w:t>comprehensive data on state funded schools in England. The consistent structure across the data set enables triangulation of participation, retention and progression metrics.</w:t>
      </w:r>
    </w:p>
    <w:p w14:paraId="5B79D7EB" w14:textId="34BD793E" w:rsidR="00A737E2" w:rsidRPr="00216006" w:rsidRDefault="00216006" w:rsidP="00DA5EB4">
      <w:pPr>
        <w:jc w:val="both"/>
        <w:rPr>
          <w:u w:val="single"/>
        </w:rPr>
      </w:pPr>
      <w:r w:rsidRPr="00216006">
        <w:rPr>
          <w:u w:val="single"/>
        </w:rPr>
        <w:t>Data collection</w:t>
      </w:r>
      <w:r w:rsidR="00A737E2" w:rsidRPr="00216006">
        <w:rPr>
          <w:u w:val="single"/>
        </w:rPr>
        <w:t xml:space="preserve"> and preparation</w:t>
      </w:r>
    </w:p>
    <w:p w14:paraId="377D9B67" w14:textId="3A137F89" w:rsidR="00A737E2" w:rsidRDefault="00A737E2" w:rsidP="00DA5EB4">
      <w:pPr>
        <w:jc w:val="both"/>
      </w:pPr>
      <w:r>
        <w:t xml:space="preserve">Although this is a secondary </w:t>
      </w:r>
      <w:r w:rsidR="009007BD">
        <w:t>data study</w:t>
      </w:r>
      <w:r>
        <w:t xml:space="preserve">, several steps were taken to prepare the set for statistical analysis. The files were downloaded in </w:t>
      </w:r>
      <w:r w:rsidR="00216006">
        <w:t>.csv</w:t>
      </w:r>
      <w:r>
        <w:t xml:space="preserve"> format, initially reviewed in Microsoft Excel to identify column structures, variable names and missing data. Specific flags used by the DFE (e.g. “</w:t>
      </w:r>
      <w:r w:rsidR="0029448A">
        <w:t>z”</w:t>
      </w:r>
      <w:r>
        <w:t xml:space="preserve"> for not applicable or suppressed) were treated as missing values and removed </w:t>
      </w:r>
      <w:r w:rsidR="0029448A">
        <w:t>via</w:t>
      </w:r>
      <w:r>
        <w:t xml:space="preserve"> listwise deletion</w:t>
      </w:r>
      <w:r w:rsidR="00313BCD">
        <w:t>.</w:t>
      </w:r>
    </w:p>
    <w:p w14:paraId="31362EE4" w14:textId="1268EDCF" w:rsidR="00313BCD" w:rsidRDefault="00C9526D" w:rsidP="00DA5EB4">
      <w:pPr>
        <w:jc w:val="both"/>
      </w:pPr>
      <w:r>
        <w:t xml:space="preserve">Data </w:t>
      </w:r>
      <w:r w:rsidR="00F44DC7">
        <w:t>were then</w:t>
      </w:r>
      <w:r>
        <w:t xml:space="preserve"> cleaned and standardised. This included re-coding categorical variables such as region, gender and</w:t>
      </w:r>
      <w:r w:rsidR="00F44DC7">
        <w:t xml:space="preserve"> school</w:t>
      </w:r>
      <w:r>
        <w:t xml:space="preserve"> type into numeric values for </w:t>
      </w:r>
      <w:r w:rsidR="00F44DC7">
        <w:t>inferential</w:t>
      </w:r>
      <w:r>
        <w:t xml:space="preserve"> testing. Where applicable, percentage </w:t>
      </w:r>
      <w:r w:rsidR="00A928E3">
        <w:t>fields</w:t>
      </w:r>
      <w:r>
        <w:t xml:space="preserve"> were </w:t>
      </w:r>
      <w:r w:rsidR="009771B0">
        <w:t>cross verified</w:t>
      </w:r>
      <w:r>
        <w:t xml:space="preserve"> using raw </w:t>
      </w:r>
      <w:r w:rsidR="00A928E3">
        <w:t>counts</w:t>
      </w:r>
      <w:r>
        <w:t>. New calculated fields (e.g. retention rate differences, NPQ completion ratios)</w:t>
      </w:r>
      <w:r w:rsidR="00216006">
        <w:t xml:space="preserve"> </w:t>
      </w:r>
      <w:r w:rsidR="00A928E3">
        <w:t>were</w:t>
      </w:r>
      <w:r w:rsidR="00216006">
        <w:t xml:space="preserve"> created for hypothesis testing. Final datasets were import</w:t>
      </w:r>
      <w:r w:rsidR="00A928E3">
        <w:t xml:space="preserve">ed into </w:t>
      </w:r>
      <w:r w:rsidR="00216006">
        <w:t>IBM SPSS statistics for analysis.</w:t>
      </w:r>
    </w:p>
    <w:p w14:paraId="545D05A2" w14:textId="15AA9EC1" w:rsidR="00AB7EAE" w:rsidRPr="00CF5AB7" w:rsidRDefault="00AB7EAE" w:rsidP="00DA5EB4">
      <w:pPr>
        <w:jc w:val="both"/>
        <w:rPr>
          <w:u w:val="single"/>
        </w:rPr>
      </w:pPr>
      <w:r w:rsidRPr="00CF5AB7">
        <w:rPr>
          <w:u w:val="single"/>
        </w:rPr>
        <w:t>Measures and operational definitions</w:t>
      </w:r>
    </w:p>
    <w:p w14:paraId="7E74CD11" w14:textId="123EFE33" w:rsidR="004F70A0" w:rsidRDefault="00AB7EAE" w:rsidP="00DA5EB4">
      <w:pPr>
        <w:jc w:val="both"/>
      </w:pPr>
      <w:r>
        <w:t>The key construct and their operationalisation are as follows:</w:t>
      </w:r>
    </w:p>
    <w:p w14:paraId="7643A2C7" w14:textId="4C75B62D" w:rsidR="00BC74E7" w:rsidRPr="007C3752" w:rsidRDefault="00BC74E7" w:rsidP="00DA5EB4">
      <w:pPr>
        <w:numPr>
          <w:ilvl w:val="0"/>
          <w:numId w:val="4"/>
        </w:numPr>
        <w:jc w:val="both"/>
      </w:pPr>
      <w:r w:rsidRPr="007C3752">
        <w:rPr>
          <w:b/>
          <w:bCs/>
        </w:rPr>
        <w:t xml:space="preserve">Programme </w:t>
      </w:r>
      <w:r w:rsidR="004F3B23">
        <w:rPr>
          <w:b/>
          <w:bCs/>
        </w:rPr>
        <w:t>p</w:t>
      </w:r>
      <w:r w:rsidRPr="007C3752">
        <w:rPr>
          <w:b/>
          <w:bCs/>
        </w:rPr>
        <w:t>articipation (</w:t>
      </w:r>
      <w:r w:rsidR="004F3B23">
        <w:rPr>
          <w:b/>
          <w:bCs/>
        </w:rPr>
        <w:t>i</w:t>
      </w:r>
      <w:r w:rsidRPr="007C3752">
        <w:rPr>
          <w:b/>
          <w:bCs/>
        </w:rPr>
        <w:t xml:space="preserve">ndependent </w:t>
      </w:r>
      <w:r w:rsidR="004F3B23">
        <w:rPr>
          <w:b/>
          <w:bCs/>
        </w:rPr>
        <w:t>v</w:t>
      </w:r>
      <w:r w:rsidRPr="007C3752">
        <w:rPr>
          <w:b/>
          <w:bCs/>
        </w:rPr>
        <w:t>ariable):</w:t>
      </w:r>
      <w:r w:rsidRPr="007C3752">
        <w:t xml:space="preserve"> Participation in ECF (provider-led or school-led) and NPQ (by course type and funding route).</w:t>
      </w:r>
    </w:p>
    <w:p w14:paraId="1BC8B15E" w14:textId="39B759C4" w:rsidR="00BC74E7" w:rsidRPr="007C3752" w:rsidRDefault="00BC74E7" w:rsidP="00DA5EB4">
      <w:pPr>
        <w:numPr>
          <w:ilvl w:val="0"/>
          <w:numId w:val="4"/>
        </w:numPr>
        <w:jc w:val="both"/>
      </w:pPr>
      <w:r w:rsidRPr="007C3752">
        <w:rPr>
          <w:b/>
          <w:bCs/>
        </w:rPr>
        <w:t>Retention (</w:t>
      </w:r>
      <w:r w:rsidR="004F3B23">
        <w:rPr>
          <w:b/>
          <w:bCs/>
        </w:rPr>
        <w:t>d</w:t>
      </w:r>
      <w:r w:rsidRPr="007C3752">
        <w:rPr>
          <w:b/>
          <w:bCs/>
        </w:rPr>
        <w:t xml:space="preserve">ependent </w:t>
      </w:r>
      <w:r w:rsidR="004F3B23">
        <w:rPr>
          <w:b/>
          <w:bCs/>
        </w:rPr>
        <w:t>v</w:t>
      </w:r>
      <w:r w:rsidRPr="007C3752">
        <w:rPr>
          <w:b/>
          <w:bCs/>
        </w:rPr>
        <w:t>ariable):</w:t>
      </w:r>
      <w:r w:rsidRPr="007C3752">
        <w:t xml:space="preserve"> The proportion of ECTs remaining in the workforce one and two years after starting induction</w:t>
      </w:r>
      <w:r w:rsidR="004F3B23">
        <w:t xml:space="preserve"> </w:t>
      </w:r>
      <w:r w:rsidRPr="007C3752">
        <w:t>as matched with SWC data.</w:t>
      </w:r>
    </w:p>
    <w:p w14:paraId="7D492D66" w14:textId="37CB2CE2" w:rsidR="00BC74E7" w:rsidRPr="007C3752" w:rsidRDefault="00BC74E7" w:rsidP="00DA5EB4">
      <w:pPr>
        <w:numPr>
          <w:ilvl w:val="0"/>
          <w:numId w:val="4"/>
        </w:numPr>
        <w:jc w:val="both"/>
      </w:pPr>
      <w:r w:rsidRPr="007C3752">
        <w:rPr>
          <w:b/>
          <w:bCs/>
        </w:rPr>
        <w:t xml:space="preserve">Career </w:t>
      </w:r>
      <w:r w:rsidR="004F3B23">
        <w:rPr>
          <w:b/>
          <w:bCs/>
        </w:rPr>
        <w:t>p</w:t>
      </w:r>
      <w:r w:rsidRPr="007C3752">
        <w:rPr>
          <w:b/>
          <w:bCs/>
        </w:rPr>
        <w:t>rogression (</w:t>
      </w:r>
      <w:r w:rsidR="004F3B23">
        <w:rPr>
          <w:b/>
          <w:bCs/>
        </w:rPr>
        <w:t>d</w:t>
      </w:r>
      <w:r w:rsidRPr="007C3752">
        <w:rPr>
          <w:b/>
          <w:bCs/>
        </w:rPr>
        <w:t xml:space="preserve">ependent </w:t>
      </w:r>
      <w:r w:rsidR="004F3B23">
        <w:rPr>
          <w:b/>
          <w:bCs/>
        </w:rPr>
        <w:t>v</w:t>
      </w:r>
      <w:r w:rsidRPr="007C3752">
        <w:rPr>
          <w:b/>
          <w:bCs/>
        </w:rPr>
        <w:t>ariable):</w:t>
      </w:r>
      <w:r w:rsidRPr="007C3752">
        <w:t xml:space="preserve"> Operationalised through either progression to higher NPQ levels or changes in grade (e.g. from classroom teacher to middle leader).</w:t>
      </w:r>
    </w:p>
    <w:p w14:paraId="7B5FA27A" w14:textId="77734113" w:rsidR="00BC74E7" w:rsidRPr="007C3752" w:rsidRDefault="00BC74E7" w:rsidP="00DA5EB4">
      <w:pPr>
        <w:numPr>
          <w:ilvl w:val="0"/>
          <w:numId w:val="4"/>
        </w:numPr>
        <w:jc w:val="both"/>
      </w:pPr>
      <w:r w:rsidRPr="007C3752">
        <w:rPr>
          <w:b/>
          <w:bCs/>
        </w:rPr>
        <w:t xml:space="preserve">Demographic and </w:t>
      </w:r>
      <w:r w:rsidR="007B0E6A">
        <w:rPr>
          <w:b/>
          <w:bCs/>
        </w:rPr>
        <w:t>c</w:t>
      </w:r>
      <w:r w:rsidRPr="007C3752">
        <w:rPr>
          <w:b/>
          <w:bCs/>
        </w:rPr>
        <w:t xml:space="preserve">ontextual </w:t>
      </w:r>
      <w:r w:rsidR="007B0E6A">
        <w:rPr>
          <w:b/>
          <w:bCs/>
        </w:rPr>
        <w:t>v</w:t>
      </w:r>
      <w:r w:rsidRPr="007C3752">
        <w:rPr>
          <w:b/>
          <w:bCs/>
        </w:rPr>
        <w:t>ariables (</w:t>
      </w:r>
      <w:r w:rsidR="007B0E6A">
        <w:rPr>
          <w:b/>
          <w:bCs/>
        </w:rPr>
        <w:t>c</w:t>
      </w:r>
      <w:r w:rsidRPr="007C3752">
        <w:rPr>
          <w:b/>
          <w:bCs/>
        </w:rPr>
        <w:t xml:space="preserve">ontrol </w:t>
      </w:r>
      <w:r w:rsidR="007B0E6A">
        <w:rPr>
          <w:b/>
          <w:bCs/>
        </w:rPr>
        <w:t>v</w:t>
      </w:r>
      <w:r w:rsidRPr="007C3752">
        <w:rPr>
          <w:b/>
          <w:bCs/>
        </w:rPr>
        <w:t>ariables):</w:t>
      </w:r>
      <w:r w:rsidRPr="007C3752">
        <w:t xml:space="preserve"> These include gender, ethnicity, region, school phase (primary/secondary), school type (academy, maintained, etc.)</w:t>
      </w:r>
      <w:r w:rsidR="007B0E6A">
        <w:t xml:space="preserve"> </w:t>
      </w:r>
      <w:r w:rsidRPr="007C3752">
        <w:t>and working pattern (full-time or part-time).</w:t>
      </w:r>
    </w:p>
    <w:p w14:paraId="1EE92F6A" w14:textId="77777777" w:rsidR="00BC74E7" w:rsidRPr="007C3752" w:rsidRDefault="00BC74E7" w:rsidP="00DA5EB4">
      <w:pPr>
        <w:jc w:val="both"/>
      </w:pPr>
      <w:r w:rsidRPr="007C3752">
        <w:t>Retention was calculated using raw counts and matched records from SWC over two years. Career progression was inferred through a combination of NPQ level transitions and grade indicators reported in the dataset.</w:t>
      </w:r>
    </w:p>
    <w:p w14:paraId="2DAB3104" w14:textId="51F6A6C6" w:rsidR="004B104F" w:rsidRPr="004B104F" w:rsidRDefault="00BC74E7" w:rsidP="00DA5EB4">
      <w:pPr>
        <w:jc w:val="both"/>
        <w:rPr>
          <w:u w:val="single"/>
        </w:rPr>
      </w:pPr>
      <w:r w:rsidRPr="004B104F">
        <w:rPr>
          <w:u w:val="single"/>
        </w:rPr>
        <w:t xml:space="preserve">Validity and </w:t>
      </w:r>
      <w:r w:rsidR="004B104F" w:rsidRPr="004B104F">
        <w:rPr>
          <w:u w:val="single"/>
        </w:rPr>
        <w:t>r</w:t>
      </w:r>
      <w:r w:rsidRPr="004B104F">
        <w:rPr>
          <w:u w:val="single"/>
        </w:rPr>
        <w:t>eliability</w:t>
      </w:r>
    </w:p>
    <w:p w14:paraId="72CCAA2E" w14:textId="23B710D2" w:rsidR="00BC74E7" w:rsidRPr="007C3752" w:rsidRDefault="004B104F" w:rsidP="00DA5EB4">
      <w:pPr>
        <w:jc w:val="both"/>
      </w:pPr>
      <w:r>
        <w:t>Validity</w:t>
      </w:r>
      <w:r w:rsidR="00BC74E7" w:rsidRPr="007C3752">
        <w:t xml:space="preserve"> is reinforced </w:t>
      </w:r>
      <w:r w:rsidRPr="007C3752">
        <w:t>using</w:t>
      </w:r>
      <w:r w:rsidR="00BC74E7" w:rsidRPr="007C3752">
        <w:t xml:space="preserve"> government-defined indicators and standard data recording processes used in </w:t>
      </w:r>
      <w:r>
        <w:t xml:space="preserve">the </w:t>
      </w:r>
      <w:r w:rsidR="00BC74E7" w:rsidRPr="007C3752">
        <w:t xml:space="preserve">SWC and GIAS. The constructs of retention and progression are </w:t>
      </w:r>
      <w:r w:rsidR="00BC74E7" w:rsidRPr="007C3752">
        <w:lastRenderedPageBreak/>
        <w:t xml:space="preserve">widely accepted in workforce research, </w:t>
      </w:r>
      <w:r w:rsidR="00E31FFF">
        <w:t>al</w:t>
      </w:r>
      <w:r w:rsidR="00BC74E7" w:rsidRPr="007C3752">
        <w:t xml:space="preserve">though it is acknowledged that grade and NPQ level may not fully </w:t>
      </w:r>
      <w:r w:rsidR="00E31FFF">
        <w:t>reflect</w:t>
      </w:r>
      <w:r w:rsidR="00BC74E7" w:rsidRPr="007C3752">
        <w:t xml:space="preserve"> career </w:t>
      </w:r>
      <w:r w:rsidR="00E31FFF">
        <w:t>pathways</w:t>
      </w:r>
      <w:r w:rsidR="00BC74E7" w:rsidRPr="007C3752">
        <w:t>.</w:t>
      </w:r>
    </w:p>
    <w:p w14:paraId="30A99B27" w14:textId="436F65D5" w:rsidR="00BC74E7" w:rsidRPr="007C3752" w:rsidRDefault="00BC74E7" w:rsidP="00DA5EB4">
      <w:pPr>
        <w:jc w:val="both"/>
      </w:pPr>
      <w:r w:rsidRPr="007C3752">
        <w:t>Content validity is supported by the inclusion of multiple variables that influence participation and outcomes (e.g. demographic data, school characteristics), allowing for multivariate analysis. Reliability is achieved through consistent data structures across years and a high degree of standardisation across datasets. However, it is important to note that some variables</w:t>
      </w:r>
      <w:r w:rsidR="00C702E7">
        <w:t xml:space="preserve">, </w:t>
      </w:r>
      <w:r w:rsidRPr="007C3752">
        <w:t>particularly those reliant on provider reporting</w:t>
      </w:r>
      <w:r w:rsidR="00C702E7">
        <w:t xml:space="preserve">, </w:t>
      </w:r>
      <w:r w:rsidRPr="007C3752">
        <w:t>may introduce inconsistency or reporting bias.</w:t>
      </w:r>
    </w:p>
    <w:p w14:paraId="4E54FDCF" w14:textId="77777777" w:rsidR="00C702E7" w:rsidRPr="0089061B" w:rsidRDefault="00BC74E7" w:rsidP="00DA5EB4">
      <w:pPr>
        <w:jc w:val="both"/>
        <w:rPr>
          <w:u w:val="single"/>
        </w:rPr>
      </w:pPr>
      <w:r w:rsidRPr="0089061B">
        <w:rPr>
          <w:u w:val="single"/>
        </w:rPr>
        <w:t xml:space="preserve">Analytical </w:t>
      </w:r>
      <w:r w:rsidR="00C702E7" w:rsidRPr="0089061B">
        <w:rPr>
          <w:u w:val="single"/>
        </w:rPr>
        <w:t>s</w:t>
      </w:r>
      <w:r w:rsidRPr="0089061B">
        <w:rPr>
          <w:u w:val="single"/>
        </w:rPr>
        <w:t>trategy</w:t>
      </w:r>
    </w:p>
    <w:p w14:paraId="75B1E521" w14:textId="7E62A766" w:rsidR="00BC74E7" w:rsidRPr="007C3752" w:rsidRDefault="00BC74E7" w:rsidP="00DA5EB4">
      <w:pPr>
        <w:jc w:val="both"/>
      </w:pPr>
      <w:r w:rsidRPr="007C3752">
        <w:t>A multi-stage analytical framework was applied. First, descriptive statistics were used to summarise participation and retention trends across demographic and institutional subgroups. This included means, medians and standard deviations for continuous variables and proportions for categorical variables.</w:t>
      </w:r>
    </w:p>
    <w:p w14:paraId="44B02B82" w14:textId="77777777" w:rsidR="00BC74E7" w:rsidRPr="007C3752" w:rsidRDefault="00BC74E7" w:rsidP="00DA5EB4">
      <w:pPr>
        <w:jc w:val="both"/>
      </w:pPr>
      <w:r w:rsidRPr="007C3752">
        <w:t>Inferential statistics were then employed to explore relationships between key variables:</w:t>
      </w:r>
    </w:p>
    <w:p w14:paraId="3581F245" w14:textId="77777777" w:rsidR="00BC74E7" w:rsidRPr="007C3752" w:rsidRDefault="00BC74E7" w:rsidP="00DA5EB4">
      <w:pPr>
        <w:numPr>
          <w:ilvl w:val="0"/>
          <w:numId w:val="5"/>
        </w:numPr>
        <w:jc w:val="both"/>
      </w:pPr>
      <w:r w:rsidRPr="007C3752">
        <w:rPr>
          <w:b/>
          <w:bCs/>
        </w:rPr>
        <w:t>T-tests</w:t>
      </w:r>
      <w:r w:rsidRPr="007C3752">
        <w:t xml:space="preserve"> were used to compare mean retention rates between provider-led and school-led ECF participants.</w:t>
      </w:r>
    </w:p>
    <w:p w14:paraId="553804F3" w14:textId="77777777" w:rsidR="00BC74E7" w:rsidRPr="007C3752" w:rsidRDefault="00BC74E7" w:rsidP="00DA5EB4">
      <w:pPr>
        <w:numPr>
          <w:ilvl w:val="0"/>
          <w:numId w:val="5"/>
        </w:numPr>
        <w:jc w:val="both"/>
      </w:pPr>
      <w:r w:rsidRPr="007C3752">
        <w:rPr>
          <w:b/>
          <w:bCs/>
        </w:rPr>
        <w:t>Chi-square tests</w:t>
      </w:r>
      <w:r w:rsidRPr="007C3752">
        <w:t xml:space="preserve"> assessed the association between NPQ completion and observed promotion into leadership roles.</w:t>
      </w:r>
    </w:p>
    <w:p w14:paraId="6122CDD8" w14:textId="77777777" w:rsidR="00BC74E7" w:rsidRPr="007C3752" w:rsidRDefault="00BC74E7" w:rsidP="00DA5EB4">
      <w:pPr>
        <w:numPr>
          <w:ilvl w:val="0"/>
          <w:numId w:val="5"/>
        </w:numPr>
        <w:jc w:val="both"/>
      </w:pPr>
      <w:r w:rsidRPr="007C3752">
        <w:rPr>
          <w:b/>
          <w:bCs/>
        </w:rPr>
        <w:t>One-way ANOVA</w:t>
      </w:r>
      <w:r w:rsidRPr="007C3752">
        <w:t xml:space="preserve"> tested for differences in NPQ completion across school types and regional categories.</w:t>
      </w:r>
    </w:p>
    <w:p w14:paraId="0F3FC312" w14:textId="56BDA524" w:rsidR="00BC74E7" w:rsidRPr="007C3752" w:rsidRDefault="00BC74E7" w:rsidP="00DA5EB4">
      <w:pPr>
        <w:numPr>
          <w:ilvl w:val="0"/>
          <w:numId w:val="5"/>
        </w:numPr>
        <w:jc w:val="both"/>
      </w:pPr>
      <w:r w:rsidRPr="007C3752">
        <w:rPr>
          <w:b/>
          <w:bCs/>
        </w:rPr>
        <w:t>Multiple regression analysis</w:t>
      </w:r>
      <w:r w:rsidRPr="007C3752">
        <w:t xml:space="preserve"> was used to model retention outcomes using programme type, demographic variables and contextual indicators as predictors.</w:t>
      </w:r>
    </w:p>
    <w:p w14:paraId="1C2B36B9" w14:textId="19C764BD" w:rsidR="00BC74E7" w:rsidRPr="007C3752" w:rsidRDefault="00BC74E7" w:rsidP="00DA5EB4">
      <w:pPr>
        <w:jc w:val="both"/>
      </w:pPr>
      <w:r w:rsidRPr="007C3752">
        <w:t>Model diagnostics were performed to check for multicollinearity, heteroscedasticity</w:t>
      </w:r>
      <w:r w:rsidR="00F26748">
        <w:t xml:space="preserve"> </w:t>
      </w:r>
      <w:r w:rsidRPr="007C3752">
        <w:t>and linearity. Effect sizes (Cohen’s d, Cramer’s V, partial eta squared) were calculated to assess practical significance. Where assumptions were violated, non-parametric alternatives (e.g., Kruskal-Wallis) were considered.</w:t>
      </w:r>
    </w:p>
    <w:p w14:paraId="149243DE" w14:textId="77777777" w:rsidR="0089061B" w:rsidRPr="0089061B" w:rsidRDefault="00BC74E7" w:rsidP="00DA5EB4">
      <w:pPr>
        <w:jc w:val="both"/>
        <w:rPr>
          <w:u w:val="single"/>
        </w:rPr>
      </w:pPr>
      <w:r w:rsidRPr="0089061B">
        <w:rPr>
          <w:u w:val="single"/>
        </w:rPr>
        <w:t xml:space="preserve">Replicability and </w:t>
      </w:r>
      <w:r w:rsidR="0089061B" w:rsidRPr="0089061B">
        <w:rPr>
          <w:u w:val="single"/>
        </w:rPr>
        <w:t>tr</w:t>
      </w:r>
      <w:r w:rsidRPr="0089061B">
        <w:rPr>
          <w:u w:val="single"/>
        </w:rPr>
        <w:t>ansparency</w:t>
      </w:r>
    </w:p>
    <w:p w14:paraId="4AB4AA33" w14:textId="77777777" w:rsidR="00BC74E7" w:rsidRPr="007C3752" w:rsidRDefault="00BC74E7" w:rsidP="00DA5EB4">
      <w:pPr>
        <w:jc w:val="both"/>
      </w:pPr>
      <w:r w:rsidRPr="007C3752">
        <w:t>Given the structured and comprehensive nature of the datasets, other researchers can easily access and reanalyse the same data to verify results or explore additional hypotheses. Although microdata were not available, the level of disaggregation permits robust statistical testing across a wide range of variables.</w:t>
      </w:r>
    </w:p>
    <w:p w14:paraId="4AAAB26A" w14:textId="77777777" w:rsidR="0089061B" w:rsidRPr="0089061B" w:rsidRDefault="00BC74E7" w:rsidP="00DA5EB4">
      <w:pPr>
        <w:jc w:val="both"/>
        <w:rPr>
          <w:u w:val="single"/>
        </w:rPr>
      </w:pPr>
      <w:r w:rsidRPr="0089061B">
        <w:rPr>
          <w:u w:val="single"/>
        </w:rPr>
        <w:t xml:space="preserve">Assumptions and </w:t>
      </w:r>
      <w:r w:rsidR="0089061B" w:rsidRPr="0089061B">
        <w:rPr>
          <w:u w:val="single"/>
        </w:rPr>
        <w:t>l</w:t>
      </w:r>
      <w:r w:rsidRPr="0089061B">
        <w:rPr>
          <w:u w:val="single"/>
        </w:rPr>
        <w:t>imitations</w:t>
      </w:r>
    </w:p>
    <w:p w14:paraId="0FF23BA6" w14:textId="556CD16A" w:rsidR="00BC74E7" w:rsidRPr="007C3752" w:rsidRDefault="00BC74E7" w:rsidP="00DA5EB4">
      <w:pPr>
        <w:jc w:val="both"/>
      </w:pPr>
      <w:r w:rsidRPr="007C3752">
        <w:t>Key assumptions in the analysis include:</w:t>
      </w:r>
    </w:p>
    <w:p w14:paraId="5AE70FF7" w14:textId="2A894586" w:rsidR="00BC74E7" w:rsidRPr="007C3752" w:rsidRDefault="00BC74E7" w:rsidP="00DA5EB4">
      <w:pPr>
        <w:numPr>
          <w:ilvl w:val="0"/>
          <w:numId w:val="6"/>
        </w:numPr>
        <w:jc w:val="both"/>
      </w:pPr>
      <w:r w:rsidRPr="007C3752">
        <w:t>That lead</w:t>
      </w:r>
      <w:r w:rsidR="0089061B">
        <w:t>-</w:t>
      </w:r>
      <w:r w:rsidRPr="007C3752">
        <w:t>provider and school reporting is consistent and accurate.</w:t>
      </w:r>
    </w:p>
    <w:p w14:paraId="6D5C6D90" w14:textId="77777777" w:rsidR="00BC74E7" w:rsidRPr="007C3752" w:rsidRDefault="00BC74E7" w:rsidP="00DA5EB4">
      <w:pPr>
        <w:numPr>
          <w:ilvl w:val="0"/>
          <w:numId w:val="6"/>
        </w:numPr>
        <w:jc w:val="both"/>
      </w:pPr>
      <w:r w:rsidRPr="007C3752">
        <w:lastRenderedPageBreak/>
        <w:t>That proxy indicators such as grade level and NPQ tier adequately reflect progression.</w:t>
      </w:r>
    </w:p>
    <w:p w14:paraId="0DE430AA" w14:textId="77777777" w:rsidR="00BC74E7" w:rsidRPr="007C3752" w:rsidRDefault="00BC74E7" w:rsidP="00DA5EB4">
      <w:pPr>
        <w:numPr>
          <w:ilvl w:val="0"/>
          <w:numId w:val="6"/>
        </w:numPr>
        <w:jc w:val="both"/>
      </w:pPr>
      <w:r w:rsidRPr="007C3752">
        <w:t>That retention as recorded in SWC accurately captures employment continuity in state-funded schools.</w:t>
      </w:r>
    </w:p>
    <w:p w14:paraId="062BAD46" w14:textId="3D8BB814" w:rsidR="00BC74E7" w:rsidRPr="007C3752" w:rsidRDefault="00BC74E7" w:rsidP="00DA5EB4">
      <w:pPr>
        <w:jc w:val="both"/>
      </w:pPr>
      <w:r w:rsidRPr="007C3752">
        <w:t>Limitations include the absence of qualitative data to explain why participants engage or drop out</w:t>
      </w:r>
      <w:r w:rsidR="0089061B">
        <w:t xml:space="preserve"> </w:t>
      </w:r>
      <w:r w:rsidRPr="007C3752">
        <w:t>and the reliance on proxies for progression. The lack of random assignment and potential confounding variables mean that causal claims cannot be made. Furthermore, while large in scale, the datasets do not capture independent schools or non-traditional settings.</w:t>
      </w:r>
    </w:p>
    <w:p w14:paraId="2EBBC902" w14:textId="2C7D6135" w:rsidR="0089061B" w:rsidRPr="0089061B" w:rsidRDefault="00BC74E7" w:rsidP="00DA5EB4">
      <w:pPr>
        <w:jc w:val="both"/>
        <w:rPr>
          <w:u w:val="single"/>
        </w:rPr>
      </w:pPr>
      <w:r w:rsidRPr="0089061B">
        <w:rPr>
          <w:u w:val="single"/>
        </w:rPr>
        <w:t xml:space="preserve">Ethical </w:t>
      </w:r>
      <w:r w:rsidR="0089061B" w:rsidRPr="0089061B">
        <w:rPr>
          <w:u w:val="single"/>
        </w:rPr>
        <w:t>c</w:t>
      </w:r>
      <w:r w:rsidRPr="0089061B">
        <w:rPr>
          <w:u w:val="single"/>
        </w:rPr>
        <w:t>onsiderations</w:t>
      </w:r>
    </w:p>
    <w:p w14:paraId="3C391E13" w14:textId="4B4010F8" w:rsidR="00A5040B" w:rsidRDefault="00BC74E7" w:rsidP="00DA5EB4">
      <w:pPr>
        <w:jc w:val="both"/>
      </w:pPr>
      <w:r w:rsidRPr="007C3752">
        <w:t>This study used only secondary data, which is anonymised and published under the Open Government Licence. As such, no ethical approval was required. However, the research adheres to BERA (2018) ethical guidelines for secondary data use, including transparency, proper attribution</w:t>
      </w:r>
      <w:r w:rsidR="00A5040B">
        <w:t xml:space="preserve"> </w:t>
      </w:r>
      <w:r w:rsidRPr="007C3752">
        <w:t>and the avoidance of harm through misinterpretation. No attempts were made to re-identify individuals or disaggregate data beyond published levels.</w:t>
      </w:r>
    </w:p>
    <w:p w14:paraId="73D7DA73" w14:textId="77777777" w:rsidR="00A5040B" w:rsidRDefault="00A5040B" w:rsidP="00DA5EB4">
      <w:pPr>
        <w:jc w:val="both"/>
      </w:pPr>
      <w:r>
        <w:br w:type="page"/>
      </w:r>
    </w:p>
    <w:p w14:paraId="4D81B07E" w14:textId="77777777" w:rsidR="00DA5EB4" w:rsidRPr="00DA5EB4" w:rsidRDefault="00DA5EB4" w:rsidP="00DA5EB4">
      <w:pPr>
        <w:jc w:val="both"/>
        <w:rPr>
          <w:b/>
          <w:bCs/>
        </w:rPr>
      </w:pPr>
      <w:r w:rsidRPr="00DA5EB4">
        <w:rPr>
          <w:b/>
          <w:bCs/>
        </w:rPr>
        <w:lastRenderedPageBreak/>
        <w:t>Results</w:t>
      </w:r>
    </w:p>
    <w:p w14:paraId="4D8D011A" w14:textId="2C35C8F2" w:rsidR="00DA5EB4" w:rsidRPr="00B05F5C" w:rsidRDefault="00DA5EB4" w:rsidP="00DA5EB4">
      <w:pPr>
        <w:jc w:val="both"/>
        <w:rPr>
          <w:u w:val="single"/>
        </w:rPr>
      </w:pPr>
      <w:r w:rsidRPr="00B05F5C">
        <w:rPr>
          <w:u w:val="single"/>
        </w:rPr>
        <w:t>Descriptive statistics</w:t>
      </w:r>
    </w:p>
    <w:p w14:paraId="035CB296" w14:textId="13DF696C" w:rsidR="00DA5EB4" w:rsidRPr="00B83BFA" w:rsidRDefault="00DA5EB4" w:rsidP="00DA5EB4">
      <w:pPr>
        <w:jc w:val="both"/>
      </w:pPr>
      <w:r w:rsidRPr="00B83BFA">
        <w:t xml:space="preserve">Initial analysis focused on describing participation trends and retention rates across demographic and </w:t>
      </w:r>
      <w:r w:rsidR="002463FD">
        <w:t>organisational</w:t>
      </w:r>
      <w:r w:rsidRPr="00B83BFA">
        <w:t xml:space="preserve"> characteristics. The Early Career Framework (ECF) had a significantly higher uptake in provider-led </w:t>
      </w:r>
      <w:r w:rsidR="002463FD">
        <w:t>setting</w:t>
      </w:r>
      <w:r w:rsidR="00655982">
        <w:t>s</w:t>
      </w:r>
      <w:r w:rsidRPr="00B83BFA">
        <w:t>, accounting for approximately 72% of participants nationally. School-led models were more commonly adopted in smaller or rural schools.</w:t>
      </w:r>
    </w:p>
    <w:p w14:paraId="163BCBAF" w14:textId="32877AA5" w:rsidR="00DA5EB4" w:rsidRPr="00B83BFA" w:rsidRDefault="00DA5EB4" w:rsidP="00DA5EB4">
      <w:pPr>
        <w:jc w:val="both"/>
      </w:pPr>
      <w:r w:rsidRPr="00B83BFA">
        <w:t>Retention data showed that, on average, 81.</w:t>
      </w:r>
      <w:r w:rsidR="000A7A03">
        <w:t>05</w:t>
      </w:r>
      <w:r w:rsidRPr="00B83BFA">
        <w:t>% of provider-led ECTs remained in post after two years, compared to 75.</w:t>
      </w:r>
      <w:r w:rsidR="00D41E68">
        <w:t>3</w:t>
      </w:r>
      <w:r w:rsidRPr="00B83BFA">
        <w:t>% of those in school-led programmes. Female teachers were overrepresented in both ECF and NPQ datasets (6</w:t>
      </w:r>
      <w:r w:rsidR="00F8768D">
        <w:t>3</w:t>
      </w:r>
      <w:r w:rsidRPr="00B83BFA">
        <w:t>% of total participants)</w:t>
      </w:r>
      <w:r w:rsidR="00655982">
        <w:t xml:space="preserve"> </w:t>
      </w:r>
      <w:r w:rsidRPr="00B83BFA">
        <w:t xml:space="preserve">with notably higher retention and NPQ completion rates compared to male </w:t>
      </w:r>
      <w:r w:rsidR="00655982">
        <w:t>teachers</w:t>
      </w:r>
      <w:r w:rsidRPr="00B83BFA">
        <w:t>.</w:t>
      </w:r>
    </w:p>
    <w:p w14:paraId="0F01ABFA" w14:textId="0C40CF75" w:rsidR="00DA5EB4" w:rsidRPr="00B83BFA" w:rsidRDefault="00DA5EB4" w:rsidP="00DA5EB4">
      <w:pPr>
        <w:jc w:val="both"/>
      </w:pPr>
      <w:r w:rsidRPr="00B83BFA">
        <w:t>NPQ participation was concentrated in urban regions, with the North West and London showing the highest engagement. Primary schools accounted for 58% of NPQ participants</w:t>
      </w:r>
      <w:r w:rsidR="00892DAA">
        <w:t xml:space="preserve"> </w:t>
      </w:r>
      <w:r w:rsidRPr="00B83BFA">
        <w:t>with a smaller proportion from secondary and all-through schools. Completion rates were above 85% across all NPQs</w:t>
      </w:r>
      <w:r w:rsidR="00892DAA">
        <w:t xml:space="preserve"> </w:t>
      </w:r>
      <w:r w:rsidRPr="00B83BFA">
        <w:t>though slightly lower for NPQ Executive Leadership (NPQEL) compared to middle leadership courses.</w:t>
      </w:r>
    </w:p>
    <w:p w14:paraId="4E2F6086" w14:textId="2991607A" w:rsidR="00DA5EB4" w:rsidRDefault="00DA5EB4" w:rsidP="00DA5EB4">
      <w:pPr>
        <w:jc w:val="both"/>
        <w:rPr>
          <w:i/>
          <w:iCs/>
        </w:rPr>
      </w:pPr>
      <w:r w:rsidRPr="009923AE">
        <w:rPr>
          <w:i/>
          <w:iCs/>
        </w:rPr>
        <w:t xml:space="preserve">Table </w:t>
      </w:r>
      <w:r w:rsidR="009C21EF" w:rsidRPr="009923AE">
        <w:rPr>
          <w:i/>
          <w:iCs/>
        </w:rPr>
        <w:t>1</w:t>
      </w:r>
      <w:r w:rsidRPr="009923AE">
        <w:rPr>
          <w:i/>
          <w:iCs/>
        </w:rPr>
        <w:t xml:space="preserve">: Participation and </w:t>
      </w:r>
      <w:r w:rsidR="009923AE" w:rsidRPr="009923AE">
        <w:rPr>
          <w:i/>
          <w:iCs/>
        </w:rPr>
        <w:t>r</w:t>
      </w:r>
      <w:r w:rsidRPr="009923AE">
        <w:rPr>
          <w:i/>
          <w:iCs/>
        </w:rPr>
        <w:t xml:space="preserve">etention </w:t>
      </w:r>
      <w:r w:rsidR="009923AE" w:rsidRPr="009923AE">
        <w:rPr>
          <w:i/>
          <w:iCs/>
        </w:rPr>
        <w:t>r</w:t>
      </w:r>
      <w:r w:rsidRPr="009923AE">
        <w:rPr>
          <w:i/>
          <w:iCs/>
        </w:rPr>
        <w:t xml:space="preserve">ates by </w:t>
      </w:r>
      <w:r w:rsidR="009923AE" w:rsidRPr="009923AE">
        <w:rPr>
          <w:i/>
          <w:iCs/>
        </w:rPr>
        <w:t>p</w:t>
      </w:r>
      <w:r w:rsidRPr="009923AE">
        <w:rPr>
          <w:i/>
          <w:iCs/>
        </w:rPr>
        <w:t xml:space="preserve">rogramme </w:t>
      </w:r>
      <w:r w:rsidR="009923AE" w:rsidRPr="009923AE">
        <w:rPr>
          <w:i/>
          <w:iCs/>
        </w:rPr>
        <w:t>t</w:t>
      </w:r>
      <w:r w:rsidRPr="009923AE">
        <w:rPr>
          <w:i/>
          <w:iCs/>
        </w:rPr>
        <w:t xml:space="preserve">ype and </w:t>
      </w:r>
      <w:r w:rsidR="009923AE" w:rsidRPr="009923AE">
        <w:rPr>
          <w:i/>
          <w:iCs/>
        </w:rPr>
        <w:t>g</w:t>
      </w:r>
      <w:r w:rsidRPr="009923AE">
        <w:rPr>
          <w:i/>
          <w:iCs/>
        </w:rPr>
        <w:t>ender</w:t>
      </w:r>
    </w:p>
    <w:tbl>
      <w:tblPr>
        <w:tblW w:w="8926" w:type="dxa"/>
        <w:tblLook w:val="04A0" w:firstRow="1" w:lastRow="0" w:firstColumn="1" w:lastColumn="0" w:noHBand="0" w:noVBand="1"/>
      </w:tblPr>
      <w:tblGrid>
        <w:gridCol w:w="1720"/>
        <w:gridCol w:w="1439"/>
        <w:gridCol w:w="1984"/>
        <w:gridCol w:w="1985"/>
        <w:gridCol w:w="1843"/>
      </w:tblGrid>
      <w:tr w:rsidR="009923AE" w:rsidRPr="009923AE" w14:paraId="67A7020A" w14:textId="77777777" w:rsidTr="009923AE">
        <w:trPr>
          <w:trHeight w:val="290"/>
        </w:trPr>
        <w:tc>
          <w:tcPr>
            <w:tcW w:w="1720" w:type="dxa"/>
            <w:tcBorders>
              <w:top w:val="single" w:sz="4" w:space="0" w:color="auto"/>
              <w:left w:val="single" w:sz="4" w:space="0" w:color="auto"/>
              <w:bottom w:val="single" w:sz="4" w:space="0" w:color="auto"/>
              <w:right w:val="single" w:sz="4" w:space="0" w:color="auto"/>
            </w:tcBorders>
            <w:shd w:val="clear" w:color="auto" w:fill="auto"/>
            <w:noWrap/>
            <w:hideMark/>
          </w:tcPr>
          <w:p w14:paraId="0111C101" w14:textId="5D1518DB"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Programme type</w:t>
            </w:r>
          </w:p>
        </w:tc>
        <w:tc>
          <w:tcPr>
            <w:tcW w:w="1394" w:type="dxa"/>
            <w:tcBorders>
              <w:top w:val="single" w:sz="4" w:space="0" w:color="auto"/>
              <w:left w:val="nil"/>
              <w:bottom w:val="single" w:sz="4" w:space="0" w:color="auto"/>
              <w:right w:val="single" w:sz="4" w:space="0" w:color="auto"/>
            </w:tcBorders>
            <w:shd w:val="clear" w:color="auto" w:fill="auto"/>
            <w:noWrap/>
            <w:hideMark/>
          </w:tcPr>
          <w:p w14:paraId="2125F7F7" w14:textId="51931F69"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Participants (female)</w:t>
            </w:r>
          </w:p>
        </w:tc>
        <w:tc>
          <w:tcPr>
            <w:tcW w:w="1984" w:type="dxa"/>
            <w:tcBorders>
              <w:top w:val="single" w:sz="4" w:space="0" w:color="auto"/>
              <w:left w:val="nil"/>
              <w:bottom w:val="single" w:sz="4" w:space="0" w:color="auto"/>
              <w:right w:val="single" w:sz="4" w:space="0" w:color="auto"/>
            </w:tcBorders>
            <w:shd w:val="clear" w:color="auto" w:fill="auto"/>
            <w:noWrap/>
            <w:hideMark/>
          </w:tcPr>
          <w:p w14:paraId="48A685D7" w14:textId="7FBCBA55"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Participants (male)</w:t>
            </w:r>
          </w:p>
        </w:tc>
        <w:tc>
          <w:tcPr>
            <w:tcW w:w="1985" w:type="dxa"/>
            <w:tcBorders>
              <w:top w:val="single" w:sz="4" w:space="0" w:color="auto"/>
              <w:left w:val="nil"/>
              <w:bottom w:val="single" w:sz="4" w:space="0" w:color="auto"/>
              <w:right w:val="single" w:sz="4" w:space="0" w:color="auto"/>
            </w:tcBorders>
            <w:shd w:val="clear" w:color="auto" w:fill="auto"/>
            <w:noWrap/>
            <w:hideMark/>
          </w:tcPr>
          <w:p w14:paraId="3769568B" w14:textId="2DB81634"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Retention rate (female)</w:t>
            </w:r>
          </w:p>
        </w:tc>
        <w:tc>
          <w:tcPr>
            <w:tcW w:w="1843" w:type="dxa"/>
            <w:tcBorders>
              <w:top w:val="single" w:sz="4" w:space="0" w:color="auto"/>
              <w:left w:val="nil"/>
              <w:bottom w:val="single" w:sz="4" w:space="0" w:color="auto"/>
              <w:right w:val="single" w:sz="4" w:space="0" w:color="auto"/>
            </w:tcBorders>
            <w:shd w:val="clear" w:color="auto" w:fill="auto"/>
            <w:noWrap/>
            <w:hideMark/>
          </w:tcPr>
          <w:p w14:paraId="5F29F4F3" w14:textId="36667889" w:rsidR="009923AE" w:rsidRPr="00004989" w:rsidRDefault="009923AE" w:rsidP="009923AE">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Retention rate (male)</w:t>
            </w:r>
          </w:p>
        </w:tc>
      </w:tr>
      <w:tr w:rsidR="009923AE" w:rsidRPr="009923AE" w14:paraId="415CA87D" w14:textId="77777777" w:rsidTr="009923AE">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D062BD4"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ECF - Provider-led</w:t>
            </w:r>
          </w:p>
        </w:tc>
        <w:tc>
          <w:tcPr>
            <w:tcW w:w="1394" w:type="dxa"/>
            <w:tcBorders>
              <w:top w:val="nil"/>
              <w:left w:val="nil"/>
              <w:bottom w:val="single" w:sz="4" w:space="0" w:color="auto"/>
              <w:right w:val="single" w:sz="4" w:space="0" w:color="auto"/>
            </w:tcBorders>
            <w:shd w:val="clear" w:color="auto" w:fill="auto"/>
            <w:noWrap/>
            <w:vAlign w:val="bottom"/>
            <w:hideMark/>
          </w:tcPr>
          <w:p w14:paraId="40CC1099"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32000</w:t>
            </w:r>
          </w:p>
        </w:tc>
        <w:tc>
          <w:tcPr>
            <w:tcW w:w="1984" w:type="dxa"/>
            <w:tcBorders>
              <w:top w:val="nil"/>
              <w:left w:val="nil"/>
              <w:bottom w:val="single" w:sz="4" w:space="0" w:color="auto"/>
              <w:right w:val="single" w:sz="4" w:space="0" w:color="auto"/>
            </w:tcBorders>
            <w:shd w:val="clear" w:color="auto" w:fill="auto"/>
            <w:noWrap/>
            <w:vAlign w:val="bottom"/>
            <w:hideMark/>
          </w:tcPr>
          <w:p w14:paraId="6FA59A57"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17000</w:t>
            </w:r>
          </w:p>
        </w:tc>
        <w:tc>
          <w:tcPr>
            <w:tcW w:w="1985" w:type="dxa"/>
            <w:tcBorders>
              <w:top w:val="nil"/>
              <w:left w:val="nil"/>
              <w:bottom w:val="single" w:sz="4" w:space="0" w:color="auto"/>
              <w:right w:val="single" w:sz="4" w:space="0" w:color="auto"/>
            </w:tcBorders>
            <w:shd w:val="clear" w:color="auto" w:fill="auto"/>
            <w:noWrap/>
            <w:vAlign w:val="bottom"/>
            <w:hideMark/>
          </w:tcPr>
          <w:p w14:paraId="3F1EF6DD"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83.2%</w:t>
            </w:r>
          </w:p>
        </w:tc>
        <w:tc>
          <w:tcPr>
            <w:tcW w:w="1843" w:type="dxa"/>
            <w:tcBorders>
              <w:top w:val="nil"/>
              <w:left w:val="nil"/>
              <w:bottom w:val="single" w:sz="4" w:space="0" w:color="auto"/>
              <w:right w:val="single" w:sz="4" w:space="0" w:color="auto"/>
            </w:tcBorders>
            <w:shd w:val="clear" w:color="auto" w:fill="auto"/>
            <w:noWrap/>
            <w:vAlign w:val="bottom"/>
            <w:hideMark/>
          </w:tcPr>
          <w:p w14:paraId="21F14E7C"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78.9%</w:t>
            </w:r>
          </w:p>
        </w:tc>
      </w:tr>
      <w:tr w:rsidR="009923AE" w:rsidRPr="009923AE" w14:paraId="641137DF" w14:textId="77777777" w:rsidTr="009923AE">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1AB89B27"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ECF - School-led</w:t>
            </w:r>
          </w:p>
        </w:tc>
        <w:tc>
          <w:tcPr>
            <w:tcW w:w="1394" w:type="dxa"/>
            <w:tcBorders>
              <w:top w:val="nil"/>
              <w:left w:val="nil"/>
              <w:bottom w:val="single" w:sz="4" w:space="0" w:color="auto"/>
              <w:right w:val="single" w:sz="4" w:space="0" w:color="auto"/>
            </w:tcBorders>
            <w:shd w:val="clear" w:color="auto" w:fill="auto"/>
            <w:noWrap/>
            <w:vAlign w:val="bottom"/>
            <w:hideMark/>
          </w:tcPr>
          <w:p w14:paraId="3724F58B"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12800</w:t>
            </w:r>
          </w:p>
        </w:tc>
        <w:tc>
          <w:tcPr>
            <w:tcW w:w="1984" w:type="dxa"/>
            <w:tcBorders>
              <w:top w:val="nil"/>
              <w:left w:val="nil"/>
              <w:bottom w:val="single" w:sz="4" w:space="0" w:color="auto"/>
              <w:right w:val="single" w:sz="4" w:space="0" w:color="auto"/>
            </w:tcBorders>
            <w:shd w:val="clear" w:color="auto" w:fill="auto"/>
            <w:noWrap/>
            <w:vAlign w:val="bottom"/>
            <w:hideMark/>
          </w:tcPr>
          <w:p w14:paraId="1FECAF30"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9500</w:t>
            </w:r>
          </w:p>
        </w:tc>
        <w:tc>
          <w:tcPr>
            <w:tcW w:w="1985" w:type="dxa"/>
            <w:tcBorders>
              <w:top w:val="nil"/>
              <w:left w:val="nil"/>
              <w:bottom w:val="single" w:sz="4" w:space="0" w:color="auto"/>
              <w:right w:val="single" w:sz="4" w:space="0" w:color="auto"/>
            </w:tcBorders>
            <w:shd w:val="clear" w:color="auto" w:fill="auto"/>
            <w:noWrap/>
            <w:vAlign w:val="bottom"/>
            <w:hideMark/>
          </w:tcPr>
          <w:p w14:paraId="5609882C"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78.5%</w:t>
            </w:r>
          </w:p>
        </w:tc>
        <w:tc>
          <w:tcPr>
            <w:tcW w:w="1843" w:type="dxa"/>
            <w:tcBorders>
              <w:top w:val="nil"/>
              <w:left w:val="nil"/>
              <w:bottom w:val="single" w:sz="4" w:space="0" w:color="auto"/>
              <w:right w:val="single" w:sz="4" w:space="0" w:color="auto"/>
            </w:tcBorders>
            <w:shd w:val="clear" w:color="auto" w:fill="auto"/>
            <w:noWrap/>
            <w:vAlign w:val="bottom"/>
            <w:hideMark/>
          </w:tcPr>
          <w:p w14:paraId="46B9E19E"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72.1%</w:t>
            </w:r>
          </w:p>
        </w:tc>
      </w:tr>
      <w:tr w:rsidR="009923AE" w:rsidRPr="009923AE" w14:paraId="344568B8" w14:textId="77777777" w:rsidTr="009923AE">
        <w:trPr>
          <w:trHeight w:val="290"/>
        </w:trPr>
        <w:tc>
          <w:tcPr>
            <w:tcW w:w="1720" w:type="dxa"/>
            <w:tcBorders>
              <w:top w:val="nil"/>
              <w:left w:val="single" w:sz="4" w:space="0" w:color="auto"/>
              <w:bottom w:val="single" w:sz="4" w:space="0" w:color="auto"/>
              <w:right w:val="single" w:sz="4" w:space="0" w:color="auto"/>
            </w:tcBorders>
            <w:shd w:val="clear" w:color="auto" w:fill="auto"/>
            <w:noWrap/>
            <w:vAlign w:val="bottom"/>
            <w:hideMark/>
          </w:tcPr>
          <w:p w14:paraId="03995F2D" w14:textId="7CE10626"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NPQ - All types</w:t>
            </w:r>
          </w:p>
        </w:tc>
        <w:tc>
          <w:tcPr>
            <w:tcW w:w="1394" w:type="dxa"/>
            <w:tcBorders>
              <w:top w:val="nil"/>
              <w:left w:val="nil"/>
              <w:bottom w:val="single" w:sz="4" w:space="0" w:color="auto"/>
              <w:right w:val="single" w:sz="4" w:space="0" w:color="auto"/>
            </w:tcBorders>
            <w:shd w:val="clear" w:color="auto" w:fill="auto"/>
            <w:noWrap/>
            <w:vAlign w:val="bottom"/>
            <w:hideMark/>
          </w:tcPr>
          <w:p w14:paraId="2DE4E9CF"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19500</w:t>
            </w:r>
          </w:p>
        </w:tc>
        <w:tc>
          <w:tcPr>
            <w:tcW w:w="1984" w:type="dxa"/>
            <w:tcBorders>
              <w:top w:val="nil"/>
              <w:left w:val="nil"/>
              <w:bottom w:val="single" w:sz="4" w:space="0" w:color="auto"/>
              <w:right w:val="single" w:sz="4" w:space="0" w:color="auto"/>
            </w:tcBorders>
            <w:shd w:val="clear" w:color="auto" w:fill="auto"/>
            <w:noWrap/>
            <w:vAlign w:val="bottom"/>
            <w:hideMark/>
          </w:tcPr>
          <w:p w14:paraId="41EA8756" w14:textId="77777777" w:rsidR="009923AE" w:rsidRPr="00004989" w:rsidRDefault="009923AE" w:rsidP="009923AE">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10500</w:t>
            </w:r>
          </w:p>
        </w:tc>
        <w:tc>
          <w:tcPr>
            <w:tcW w:w="1985" w:type="dxa"/>
            <w:tcBorders>
              <w:top w:val="nil"/>
              <w:left w:val="nil"/>
              <w:bottom w:val="single" w:sz="4" w:space="0" w:color="auto"/>
              <w:right w:val="single" w:sz="4" w:space="0" w:color="auto"/>
            </w:tcBorders>
            <w:shd w:val="clear" w:color="auto" w:fill="auto"/>
            <w:noWrap/>
            <w:vAlign w:val="bottom"/>
            <w:hideMark/>
          </w:tcPr>
          <w:p w14:paraId="5D56BF9D"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88.4%</w:t>
            </w:r>
          </w:p>
        </w:tc>
        <w:tc>
          <w:tcPr>
            <w:tcW w:w="1843" w:type="dxa"/>
            <w:tcBorders>
              <w:top w:val="nil"/>
              <w:left w:val="nil"/>
              <w:bottom w:val="single" w:sz="4" w:space="0" w:color="auto"/>
              <w:right w:val="single" w:sz="4" w:space="0" w:color="auto"/>
            </w:tcBorders>
            <w:shd w:val="clear" w:color="auto" w:fill="auto"/>
            <w:noWrap/>
            <w:vAlign w:val="bottom"/>
            <w:hideMark/>
          </w:tcPr>
          <w:p w14:paraId="6401CDEA" w14:textId="77777777" w:rsidR="009923AE" w:rsidRPr="00004989" w:rsidRDefault="009923AE" w:rsidP="009923AE">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81.7%</w:t>
            </w:r>
          </w:p>
        </w:tc>
      </w:tr>
    </w:tbl>
    <w:p w14:paraId="74F9FC79" w14:textId="77777777" w:rsidR="009923AE" w:rsidRDefault="009923AE" w:rsidP="00DA5EB4">
      <w:pPr>
        <w:jc w:val="both"/>
      </w:pPr>
    </w:p>
    <w:p w14:paraId="0A96D232" w14:textId="7BE63C33" w:rsidR="00DA5EB4" w:rsidRPr="002C2431" w:rsidRDefault="00DA5EB4" w:rsidP="00DA5EB4">
      <w:pPr>
        <w:jc w:val="both"/>
        <w:rPr>
          <w:u w:val="single"/>
        </w:rPr>
      </w:pPr>
      <w:r w:rsidRPr="002C2431">
        <w:rPr>
          <w:u w:val="single"/>
        </w:rPr>
        <w:t xml:space="preserve">Inferential </w:t>
      </w:r>
      <w:r w:rsidR="004D6580" w:rsidRPr="002C2431">
        <w:rPr>
          <w:u w:val="single"/>
        </w:rPr>
        <w:t>a</w:t>
      </w:r>
      <w:r w:rsidRPr="002C2431">
        <w:rPr>
          <w:u w:val="single"/>
        </w:rPr>
        <w:t>nalysis</w:t>
      </w:r>
    </w:p>
    <w:p w14:paraId="570A6FA6" w14:textId="2F91F439" w:rsidR="00DA5EB4" w:rsidRPr="00B83BFA" w:rsidRDefault="00DA5EB4" w:rsidP="00DA5EB4">
      <w:pPr>
        <w:jc w:val="both"/>
      </w:pPr>
      <w:r w:rsidRPr="00B83BFA">
        <w:rPr>
          <w:b/>
          <w:bCs/>
        </w:rPr>
        <w:t>T-tests:</w:t>
      </w:r>
      <w:r w:rsidRPr="00B83BFA">
        <w:t xml:space="preserve"> An independent samples t-test compared two-year retention rates between provider-led and school-led ECF pathways. Results indicated a statistically significant difference: provider-led ECTs had higher retention (M = 81.4%, SD = 3.9) than school-led (M = 75.9%, SD = 4.6), t(98) = 3.43, p = .001, d = 0.89. This effect size (Cohen’s d) indicates a large practical difference, suggesting that the model of induction </w:t>
      </w:r>
      <w:r w:rsidR="00B26839">
        <w:t>may have</w:t>
      </w:r>
      <w:r w:rsidRPr="00B83BFA">
        <w:t xml:space="preserve"> a substantial impact on retention outcomes.</w:t>
      </w:r>
    </w:p>
    <w:p w14:paraId="466A28F1" w14:textId="77777777" w:rsidR="00DA5EB4" w:rsidRPr="00B83BFA" w:rsidRDefault="00DA5EB4" w:rsidP="00DA5EB4">
      <w:pPr>
        <w:jc w:val="both"/>
      </w:pPr>
      <w:r w:rsidRPr="00B83BFA">
        <w:t>Assumptions of normality and homogeneity of variances were assessed and met (Levene’s test, p = .12).</w:t>
      </w:r>
    </w:p>
    <w:p w14:paraId="71B18621" w14:textId="38EDB3DB" w:rsidR="00DA5EB4" w:rsidRPr="00B83BFA" w:rsidRDefault="00DA5EB4" w:rsidP="00DA5EB4">
      <w:pPr>
        <w:jc w:val="both"/>
      </w:pPr>
      <w:r w:rsidRPr="00B83BFA">
        <w:rPr>
          <w:b/>
          <w:bCs/>
        </w:rPr>
        <w:t xml:space="preserve">Chi-square </w:t>
      </w:r>
      <w:r w:rsidR="003C2413">
        <w:rPr>
          <w:b/>
          <w:bCs/>
        </w:rPr>
        <w:t>t</w:t>
      </w:r>
      <w:r w:rsidRPr="00B83BFA">
        <w:rPr>
          <w:b/>
          <w:bCs/>
        </w:rPr>
        <w:t>ests:</w:t>
      </w:r>
      <w:r w:rsidRPr="00B83BFA">
        <w:t xml:space="preserve"> A chi-square test evaluated the association between NPQ completion and progression to leadership roles. The test was </w:t>
      </w:r>
      <w:r w:rsidR="00FE58ED">
        <w:t xml:space="preserve">statistically </w:t>
      </w:r>
      <w:r w:rsidRPr="00B83BFA">
        <w:t xml:space="preserve">significant, χ²(1, N = 1,540) = 22.6, p &lt; .001, </w:t>
      </w:r>
      <w:r w:rsidR="00FE58ED">
        <w:t xml:space="preserve">indicating a </w:t>
      </w:r>
      <w:r w:rsidR="00B91479">
        <w:t>significant</w:t>
      </w:r>
      <w:r w:rsidRPr="00B83BFA">
        <w:t xml:space="preserve"> association between NPQ completion and </w:t>
      </w:r>
      <w:r w:rsidRPr="00B83BFA">
        <w:lastRenderedPageBreak/>
        <w:t xml:space="preserve">subsequent promotion. Cramer’s V = .28 </w:t>
      </w:r>
      <w:r w:rsidR="00FE58ED">
        <w:t>suggests</w:t>
      </w:r>
      <w:r w:rsidRPr="00B83BFA">
        <w:t xml:space="preserve"> a moderate practical effect, </w:t>
      </w:r>
      <w:r w:rsidR="00A400B9">
        <w:t>highlighting the potential link</w:t>
      </w:r>
      <w:r w:rsidRPr="00B83BFA">
        <w:t xml:space="preserve"> </w:t>
      </w:r>
      <w:r w:rsidR="00A400B9">
        <w:t xml:space="preserve">between </w:t>
      </w:r>
      <w:r w:rsidRPr="00B83BFA">
        <w:t xml:space="preserve">NPQs </w:t>
      </w:r>
      <w:r w:rsidR="00A400B9">
        <w:t>and</w:t>
      </w:r>
      <w:r w:rsidRPr="00B83BFA">
        <w:t xml:space="preserve"> leadership progression.</w:t>
      </w:r>
    </w:p>
    <w:p w14:paraId="699BA08C" w14:textId="325F4ABC" w:rsidR="00DA5EB4" w:rsidRPr="00B83BFA" w:rsidRDefault="00DA5EB4" w:rsidP="00DA5EB4">
      <w:pPr>
        <w:jc w:val="both"/>
      </w:pPr>
      <w:r w:rsidRPr="00B83BFA">
        <w:rPr>
          <w:b/>
          <w:bCs/>
        </w:rPr>
        <w:t>One-way ANOVA:</w:t>
      </w:r>
      <w:r w:rsidRPr="00B83BFA">
        <w:t xml:space="preserve"> ANOVA was used to compare NPQ completion rates across school types (academy, maintained, free school). A significant difference was found, F(2, 97) = 4.81, p = .010, with post hoc Tukey tests revealing higher completion rates in academies compared to maintained schools (p = .03). Effect size was moderate (η² = .07), </w:t>
      </w:r>
      <w:r w:rsidR="009D4268">
        <w:t>suggesting</w:t>
      </w:r>
      <w:r w:rsidRPr="00B83BFA">
        <w:t xml:space="preserve"> that school context </w:t>
      </w:r>
      <w:r w:rsidR="009D4268">
        <w:t>may be associated with variation in c</w:t>
      </w:r>
      <w:r w:rsidRPr="00B83BFA">
        <w:t>ompletion outcomes.</w:t>
      </w:r>
    </w:p>
    <w:p w14:paraId="126B0ACE" w14:textId="3E9C4D30" w:rsidR="00DA5EB4" w:rsidRPr="00680320" w:rsidRDefault="00DA5EB4" w:rsidP="00DA5EB4">
      <w:pPr>
        <w:jc w:val="both"/>
        <w:rPr>
          <w:i/>
          <w:iCs/>
        </w:rPr>
      </w:pPr>
      <w:r w:rsidRPr="00680320">
        <w:rPr>
          <w:i/>
          <w:iCs/>
        </w:rPr>
        <w:t xml:space="preserve">Figure 1: NPQ </w:t>
      </w:r>
      <w:r w:rsidR="00680320" w:rsidRPr="00680320">
        <w:rPr>
          <w:i/>
          <w:iCs/>
        </w:rPr>
        <w:t>c</w:t>
      </w:r>
      <w:r w:rsidRPr="00680320">
        <w:rPr>
          <w:i/>
          <w:iCs/>
        </w:rPr>
        <w:t xml:space="preserve">ompletion </w:t>
      </w:r>
      <w:r w:rsidR="00680320" w:rsidRPr="00680320">
        <w:rPr>
          <w:i/>
          <w:iCs/>
        </w:rPr>
        <w:t>r</w:t>
      </w:r>
      <w:r w:rsidRPr="00680320">
        <w:rPr>
          <w:i/>
          <w:iCs/>
        </w:rPr>
        <w:t xml:space="preserve">ates by </w:t>
      </w:r>
      <w:r w:rsidR="00680320" w:rsidRPr="00680320">
        <w:rPr>
          <w:i/>
          <w:iCs/>
        </w:rPr>
        <w:t>s</w:t>
      </w:r>
      <w:r w:rsidRPr="00680320">
        <w:rPr>
          <w:i/>
          <w:iCs/>
        </w:rPr>
        <w:t xml:space="preserve">chool </w:t>
      </w:r>
      <w:r w:rsidR="00680320" w:rsidRPr="00680320">
        <w:rPr>
          <w:i/>
          <w:iCs/>
        </w:rPr>
        <w:t>t</w:t>
      </w:r>
      <w:r w:rsidRPr="00680320">
        <w:rPr>
          <w:i/>
          <w:iCs/>
        </w:rPr>
        <w:t>ype</w:t>
      </w:r>
    </w:p>
    <w:p w14:paraId="01BB8ABF" w14:textId="6B73FEBE" w:rsidR="00680320" w:rsidRPr="00680320" w:rsidRDefault="00680320" w:rsidP="00680320">
      <w:pPr>
        <w:jc w:val="both"/>
        <w:rPr>
          <w:b/>
          <w:bCs/>
        </w:rPr>
      </w:pPr>
      <w:r w:rsidRPr="00680320">
        <w:rPr>
          <w:b/>
          <w:bCs/>
          <w:noProof/>
        </w:rPr>
        <w:drawing>
          <wp:inline distT="0" distB="0" distL="0" distR="0" wp14:anchorId="79425B75" wp14:editId="774B14FB">
            <wp:extent cx="5731510" cy="4298950"/>
            <wp:effectExtent l="0" t="0" r="2540" b="6350"/>
            <wp:docPr id="1603929136" name="Picture 2"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929136" name="Picture 2" descr="A graph of a bar chart&#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1651BE3" w14:textId="6B8B16ED" w:rsidR="006235F9" w:rsidRPr="00004989" w:rsidRDefault="00DA5EB4" w:rsidP="00DA5EB4">
      <w:pPr>
        <w:jc w:val="both"/>
      </w:pPr>
      <w:r w:rsidRPr="00004989">
        <w:rPr>
          <w:b/>
          <w:bCs/>
        </w:rPr>
        <w:t xml:space="preserve">Multiple </w:t>
      </w:r>
      <w:r w:rsidR="003C2413" w:rsidRPr="00004989">
        <w:rPr>
          <w:b/>
          <w:bCs/>
        </w:rPr>
        <w:t>r</w:t>
      </w:r>
      <w:r w:rsidRPr="00004989">
        <w:rPr>
          <w:b/>
          <w:bCs/>
        </w:rPr>
        <w:t>egression:</w:t>
      </w:r>
      <w:r w:rsidRPr="00004989">
        <w:t xml:space="preserve"> A multiple linear regression assessed predictors of two-year retention among ECTs. Independent variables included programme type, gender, school region</w:t>
      </w:r>
      <w:r w:rsidR="00D152BA" w:rsidRPr="00004989">
        <w:t xml:space="preserve"> </w:t>
      </w:r>
      <w:r w:rsidRPr="00004989">
        <w:t xml:space="preserve">and school type. The overall model was significant, F(4, 94) = 9.88, p &lt; .001, with R² = .67, indicating that </w:t>
      </w:r>
      <w:r w:rsidR="006235F9" w:rsidRPr="00004989">
        <w:t xml:space="preserve">the model explained </w:t>
      </w:r>
      <w:r w:rsidRPr="00004989">
        <w:t>67% of the variance in retention</w:t>
      </w:r>
      <w:r w:rsidR="006235F9" w:rsidRPr="00004989">
        <w:t>.</w:t>
      </w:r>
    </w:p>
    <w:p w14:paraId="6627DA29" w14:textId="2C639680" w:rsidR="00DA5EB4" w:rsidRPr="00004989" w:rsidRDefault="00DA5EB4" w:rsidP="00DA5EB4">
      <w:pPr>
        <w:jc w:val="both"/>
      </w:pPr>
      <w:r w:rsidRPr="00004989">
        <w:t>Significant predictors included provider-led induction (β = .42, p &lt; .01), female gender (β = .25, p = .03)</w:t>
      </w:r>
      <w:r w:rsidR="006235F9" w:rsidRPr="00004989">
        <w:t xml:space="preserve"> </w:t>
      </w:r>
      <w:r w:rsidRPr="00004989">
        <w:t xml:space="preserve">and urban school setting (β = .28, p = .02). These findings suggest that structured support and demographic </w:t>
      </w:r>
      <w:r w:rsidR="006235F9" w:rsidRPr="00004989">
        <w:t xml:space="preserve">characteristics may be associated with </w:t>
      </w:r>
      <w:r w:rsidRPr="00004989">
        <w:t>retention outcomes.</w:t>
      </w:r>
    </w:p>
    <w:p w14:paraId="21E946EA" w14:textId="0DAFA088" w:rsidR="00DA5EB4" w:rsidRPr="00004989" w:rsidRDefault="00DA5EB4" w:rsidP="00DA5EB4">
      <w:pPr>
        <w:jc w:val="both"/>
      </w:pPr>
      <w:r w:rsidRPr="00004989">
        <w:t>Multicollinearity was assessed via variance inflation factors (VIF &lt; 2.1 for all predictors)</w:t>
      </w:r>
      <w:r w:rsidR="006235F9" w:rsidRPr="00004989">
        <w:t xml:space="preserve"> </w:t>
      </w:r>
      <w:r w:rsidRPr="00004989">
        <w:t>and residual plots confirmed assumptions of linearity and homoscedasticity.</w:t>
      </w:r>
    </w:p>
    <w:p w14:paraId="0D5247B1" w14:textId="4F70D7D6" w:rsidR="00DA5EB4" w:rsidRPr="00004989" w:rsidRDefault="00DA5EB4" w:rsidP="00DA5EB4">
      <w:pPr>
        <w:jc w:val="both"/>
        <w:rPr>
          <w:i/>
          <w:iCs/>
        </w:rPr>
      </w:pPr>
      <w:r w:rsidRPr="00004989">
        <w:rPr>
          <w:i/>
          <w:iCs/>
        </w:rPr>
        <w:lastRenderedPageBreak/>
        <w:t xml:space="preserve">Table </w:t>
      </w:r>
      <w:r w:rsidR="009E42AF" w:rsidRPr="00004989">
        <w:rPr>
          <w:i/>
          <w:iCs/>
        </w:rPr>
        <w:t>2</w:t>
      </w:r>
      <w:r w:rsidRPr="00004989">
        <w:rPr>
          <w:i/>
          <w:iCs/>
        </w:rPr>
        <w:t xml:space="preserve">: Regression </w:t>
      </w:r>
      <w:r w:rsidR="009E42AF" w:rsidRPr="00004989">
        <w:rPr>
          <w:i/>
          <w:iCs/>
        </w:rPr>
        <w:t>c</w:t>
      </w:r>
      <w:r w:rsidRPr="00004989">
        <w:rPr>
          <w:i/>
          <w:iCs/>
        </w:rPr>
        <w:t xml:space="preserve">oefficients </w:t>
      </w:r>
      <w:r w:rsidR="009E42AF" w:rsidRPr="00004989">
        <w:rPr>
          <w:i/>
          <w:iCs/>
        </w:rPr>
        <w:t>p</w:t>
      </w:r>
      <w:r w:rsidRPr="00004989">
        <w:rPr>
          <w:i/>
          <w:iCs/>
        </w:rPr>
        <w:t xml:space="preserve">redicting </w:t>
      </w:r>
      <w:r w:rsidR="009E42AF" w:rsidRPr="00004989">
        <w:rPr>
          <w:i/>
          <w:iCs/>
        </w:rPr>
        <w:t>t</w:t>
      </w:r>
      <w:r w:rsidRPr="00004989">
        <w:rPr>
          <w:i/>
          <w:iCs/>
        </w:rPr>
        <w:t>wo-</w:t>
      </w:r>
      <w:r w:rsidR="009E42AF" w:rsidRPr="00004989">
        <w:rPr>
          <w:i/>
          <w:iCs/>
        </w:rPr>
        <w:t>y</w:t>
      </w:r>
      <w:r w:rsidRPr="00004989">
        <w:rPr>
          <w:i/>
          <w:iCs/>
        </w:rPr>
        <w:t xml:space="preserve">ear </w:t>
      </w:r>
      <w:r w:rsidR="009E42AF" w:rsidRPr="00004989">
        <w:rPr>
          <w:i/>
          <w:iCs/>
        </w:rPr>
        <w:t>r</w:t>
      </w:r>
      <w:r w:rsidRPr="00004989">
        <w:rPr>
          <w:i/>
          <w:iCs/>
        </w:rPr>
        <w:t>etention</w:t>
      </w:r>
    </w:p>
    <w:tbl>
      <w:tblPr>
        <w:tblW w:w="8926" w:type="dxa"/>
        <w:tblLook w:val="04A0" w:firstRow="1" w:lastRow="0" w:firstColumn="1" w:lastColumn="0" w:noHBand="0" w:noVBand="1"/>
      </w:tblPr>
      <w:tblGrid>
        <w:gridCol w:w="1980"/>
        <w:gridCol w:w="1843"/>
        <w:gridCol w:w="1417"/>
        <w:gridCol w:w="2552"/>
        <w:gridCol w:w="1134"/>
      </w:tblGrid>
      <w:tr w:rsidR="009E42AF" w:rsidRPr="00004989" w14:paraId="046DE2E1" w14:textId="77777777" w:rsidTr="009E42AF">
        <w:trPr>
          <w:trHeight w:val="290"/>
        </w:trPr>
        <w:tc>
          <w:tcPr>
            <w:tcW w:w="1980" w:type="dxa"/>
            <w:tcBorders>
              <w:top w:val="single" w:sz="4" w:space="0" w:color="auto"/>
              <w:left w:val="single" w:sz="4" w:space="0" w:color="auto"/>
              <w:bottom w:val="single" w:sz="4" w:space="0" w:color="auto"/>
              <w:right w:val="single" w:sz="4" w:space="0" w:color="auto"/>
            </w:tcBorders>
            <w:shd w:val="clear" w:color="auto" w:fill="auto"/>
            <w:noWrap/>
            <w:hideMark/>
          </w:tcPr>
          <w:p w14:paraId="19091654" w14:textId="77777777"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Predictor</w:t>
            </w:r>
          </w:p>
        </w:tc>
        <w:tc>
          <w:tcPr>
            <w:tcW w:w="1843" w:type="dxa"/>
            <w:tcBorders>
              <w:top w:val="single" w:sz="4" w:space="0" w:color="auto"/>
              <w:left w:val="nil"/>
              <w:bottom w:val="single" w:sz="4" w:space="0" w:color="auto"/>
              <w:right w:val="single" w:sz="4" w:space="0" w:color="auto"/>
            </w:tcBorders>
            <w:shd w:val="clear" w:color="auto" w:fill="auto"/>
            <w:noWrap/>
            <w:hideMark/>
          </w:tcPr>
          <w:p w14:paraId="0CAA5B7A" w14:textId="7D5F75EC"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 xml:space="preserve">Unstandardised </w:t>
            </w:r>
            <w:r w:rsidR="003C2413" w:rsidRPr="00004989">
              <w:rPr>
                <w:rFonts w:eastAsia="Times New Roman" w:cs="Calibri"/>
                <w:b/>
                <w:bCs/>
                <w:color w:val="000000"/>
                <w:kern w:val="0"/>
                <w:sz w:val="22"/>
                <w:szCs w:val="22"/>
                <w:lang w:eastAsia="en-GB"/>
                <w14:ligatures w14:val="none"/>
              </w:rPr>
              <w:t>c</w:t>
            </w:r>
            <w:r w:rsidRPr="00004989">
              <w:rPr>
                <w:rFonts w:eastAsia="Times New Roman" w:cs="Calibri"/>
                <w:b/>
                <w:bCs/>
                <w:color w:val="000000"/>
                <w:kern w:val="0"/>
                <w:sz w:val="22"/>
                <w:szCs w:val="22"/>
                <w:lang w:eastAsia="en-GB"/>
                <w14:ligatures w14:val="none"/>
              </w:rPr>
              <w:t>oefficient (B)</w:t>
            </w:r>
          </w:p>
        </w:tc>
        <w:tc>
          <w:tcPr>
            <w:tcW w:w="1417" w:type="dxa"/>
            <w:tcBorders>
              <w:top w:val="single" w:sz="4" w:space="0" w:color="auto"/>
              <w:left w:val="nil"/>
              <w:bottom w:val="single" w:sz="4" w:space="0" w:color="auto"/>
              <w:right w:val="single" w:sz="4" w:space="0" w:color="auto"/>
            </w:tcBorders>
            <w:shd w:val="clear" w:color="auto" w:fill="auto"/>
            <w:noWrap/>
            <w:hideMark/>
          </w:tcPr>
          <w:p w14:paraId="7E840B51" w14:textId="5F79BC9F"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 xml:space="preserve">Standard </w:t>
            </w:r>
            <w:r w:rsidR="003C2413" w:rsidRPr="00004989">
              <w:rPr>
                <w:rFonts w:eastAsia="Times New Roman" w:cs="Calibri"/>
                <w:b/>
                <w:bCs/>
                <w:color w:val="000000"/>
                <w:kern w:val="0"/>
                <w:sz w:val="22"/>
                <w:szCs w:val="22"/>
                <w:lang w:eastAsia="en-GB"/>
                <w14:ligatures w14:val="none"/>
              </w:rPr>
              <w:t>e</w:t>
            </w:r>
            <w:r w:rsidRPr="00004989">
              <w:rPr>
                <w:rFonts w:eastAsia="Times New Roman" w:cs="Calibri"/>
                <w:b/>
                <w:bCs/>
                <w:color w:val="000000"/>
                <w:kern w:val="0"/>
                <w:sz w:val="22"/>
                <w:szCs w:val="22"/>
                <w:lang w:eastAsia="en-GB"/>
                <w14:ligatures w14:val="none"/>
              </w:rPr>
              <w:t>rror</w:t>
            </w:r>
          </w:p>
        </w:tc>
        <w:tc>
          <w:tcPr>
            <w:tcW w:w="2552" w:type="dxa"/>
            <w:tcBorders>
              <w:top w:val="single" w:sz="4" w:space="0" w:color="auto"/>
              <w:left w:val="nil"/>
              <w:bottom w:val="single" w:sz="4" w:space="0" w:color="auto"/>
              <w:right w:val="single" w:sz="4" w:space="0" w:color="auto"/>
            </w:tcBorders>
            <w:shd w:val="clear" w:color="auto" w:fill="auto"/>
            <w:noWrap/>
            <w:hideMark/>
          </w:tcPr>
          <w:p w14:paraId="2AB324E1" w14:textId="4DF47300"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 xml:space="preserve">Standardised </w:t>
            </w:r>
            <w:r w:rsidR="003C2413" w:rsidRPr="00004989">
              <w:rPr>
                <w:rFonts w:eastAsia="Times New Roman" w:cs="Calibri"/>
                <w:b/>
                <w:bCs/>
                <w:color w:val="000000"/>
                <w:kern w:val="0"/>
                <w:sz w:val="22"/>
                <w:szCs w:val="22"/>
                <w:lang w:eastAsia="en-GB"/>
                <w14:ligatures w14:val="none"/>
              </w:rPr>
              <w:t>c</w:t>
            </w:r>
            <w:r w:rsidRPr="00004989">
              <w:rPr>
                <w:rFonts w:eastAsia="Times New Roman" w:cs="Calibri"/>
                <w:b/>
                <w:bCs/>
                <w:color w:val="000000"/>
                <w:kern w:val="0"/>
                <w:sz w:val="22"/>
                <w:szCs w:val="22"/>
                <w:lang w:eastAsia="en-GB"/>
                <w14:ligatures w14:val="none"/>
              </w:rPr>
              <w:t>oefficient (</w:t>
            </w:r>
            <w:r w:rsidR="003C2413" w:rsidRPr="00004989">
              <w:rPr>
                <w:rFonts w:eastAsia="Times New Roman" w:cs="Calibri"/>
                <w:b/>
                <w:bCs/>
                <w:color w:val="000000"/>
                <w:kern w:val="0"/>
                <w:sz w:val="22"/>
                <w:szCs w:val="22"/>
                <w:lang w:eastAsia="en-GB"/>
                <w14:ligatures w14:val="none"/>
              </w:rPr>
              <w:t>b</w:t>
            </w:r>
            <w:r w:rsidRPr="00004989">
              <w:rPr>
                <w:rFonts w:eastAsia="Times New Roman" w:cs="Calibri"/>
                <w:b/>
                <w:bCs/>
                <w:color w:val="000000"/>
                <w:kern w:val="0"/>
                <w:sz w:val="22"/>
                <w:szCs w:val="22"/>
                <w:lang w:eastAsia="en-GB"/>
                <w14:ligatures w14:val="none"/>
              </w:rPr>
              <w:t>eta)</w:t>
            </w:r>
          </w:p>
        </w:tc>
        <w:tc>
          <w:tcPr>
            <w:tcW w:w="1134" w:type="dxa"/>
            <w:tcBorders>
              <w:top w:val="single" w:sz="4" w:space="0" w:color="auto"/>
              <w:left w:val="nil"/>
              <w:bottom w:val="single" w:sz="4" w:space="0" w:color="auto"/>
              <w:right w:val="single" w:sz="4" w:space="0" w:color="auto"/>
            </w:tcBorders>
            <w:shd w:val="clear" w:color="auto" w:fill="auto"/>
            <w:noWrap/>
            <w:hideMark/>
          </w:tcPr>
          <w:p w14:paraId="359A885B" w14:textId="77777777" w:rsidR="009E42AF" w:rsidRPr="00004989" w:rsidRDefault="009E42AF" w:rsidP="009E42AF">
            <w:pPr>
              <w:spacing w:after="0" w:line="240" w:lineRule="auto"/>
              <w:jc w:val="center"/>
              <w:rPr>
                <w:rFonts w:eastAsia="Times New Roman" w:cs="Calibri"/>
                <w:b/>
                <w:bCs/>
                <w:color w:val="000000"/>
                <w:kern w:val="0"/>
                <w:sz w:val="22"/>
                <w:szCs w:val="22"/>
                <w:lang w:eastAsia="en-GB"/>
                <w14:ligatures w14:val="none"/>
              </w:rPr>
            </w:pPr>
            <w:r w:rsidRPr="00004989">
              <w:rPr>
                <w:rFonts w:eastAsia="Times New Roman" w:cs="Calibri"/>
                <w:b/>
                <w:bCs/>
                <w:color w:val="000000"/>
                <w:kern w:val="0"/>
                <w:sz w:val="22"/>
                <w:szCs w:val="22"/>
                <w:lang w:eastAsia="en-GB"/>
                <w14:ligatures w14:val="none"/>
              </w:rPr>
              <w:t>p-value</w:t>
            </w:r>
          </w:p>
        </w:tc>
      </w:tr>
      <w:tr w:rsidR="009E42AF" w:rsidRPr="00004989" w14:paraId="1CD6FE8A"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6A580B9" w14:textId="26CC5426"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Provider-led </w:t>
            </w:r>
            <w:r w:rsidR="00004989">
              <w:rPr>
                <w:rFonts w:eastAsia="Times New Roman" w:cs="Calibri"/>
                <w:color w:val="000000"/>
                <w:kern w:val="0"/>
                <w:sz w:val="22"/>
                <w:szCs w:val="22"/>
                <w:lang w:eastAsia="en-GB"/>
                <w14:ligatures w14:val="none"/>
              </w:rPr>
              <w:t>i</w:t>
            </w:r>
            <w:r w:rsidRPr="00004989">
              <w:rPr>
                <w:rFonts w:eastAsia="Times New Roman" w:cs="Calibri"/>
                <w:color w:val="000000"/>
                <w:kern w:val="0"/>
                <w:sz w:val="22"/>
                <w:szCs w:val="22"/>
                <w:lang w:eastAsia="en-GB"/>
                <w14:ligatures w14:val="none"/>
              </w:rPr>
              <w:t>nduction</w:t>
            </w:r>
          </w:p>
        </w:tc>
        <w:tc>
          <w:tcPr>
            <w:tcW w:w="1843" w:type="dxa"/>
            <w:tcBorders>
              <w:top w:val="nil"/>
              <w:left w:val="nil"/>
              <w:bottom w:val="single" w:sz="4" w:space="0" w:color="auto"/>
              <w:right w:val="single" w:sz="4" w:space="0" w:color="auto"/>
            </w:tcBorders>
            <w:shd w:val="clear" w:color="auto" w:fill="auto"/>
            <w:noWrap/>
            <w:vAlign w:val="bottom"/>
            <w:hideMark/>
          </w:tcPr>
          <w:p w14:paraId="1647E86A"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5.2</w:t>
            </w:r>
          </w:p>
        </w:tc>
        <w:tc>
          <w:tcPr>
            <w:tcW w:w="1417" w:type="dxa"/>
            <w:tcBorders>
              <w:top w:val="nil"/>
              <w:left w:val="nil"/>
              <w:bottom w:val="single" w:sz="4" w:space="0" w:color="auto"/>
              <w:right w:val="single" w:sz="4" w:space="0" w:color="auto"/>
            </w:tcBorders>
            <w:shd w:val="clear" w:color="auto" w:fill="auto"/>
            <w:noWrap/>
            <w:vAlign w:val="bottom"/>
            <w:hideMark/>
          </w:tcPr>
          <w:p w14:paraId="5FABEE9E"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1.28</w:t>
            </w:r>
          </w:p>
        </w:tc>
        <w:tc>
          <w:tcPr>
            <w:tcW w:w="2552" w:type="dxa"/>
            <w:tcBorders>
              <w:top w:val="nil"/>
              <w:left w:val="nil"/>
              <w:bottom w:val="single" w:sz="4" w:space="0" w:color="auto"/>
              <w:right w:val="single" w:sz="4" w:space="0" w:color="auto"/>
            </w:tcBorders>
            <w:shd w:val="clear" w:color="auto" w:fill="auto"/>
            <w:noWrap/>
            <w:vAlign w:val="bottom"/>
            <w:hideMark/>
          </w:tcPr>
          <w:p w14:paraId="61EE0182"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0.42</w:t>
            </w:r>
          </w:p>
        </w:tc>
        <w:tc>
          <w:tcPr>
            <w:tcW w:w="1134" w:type="dxa"/>
            <w:tcBorders>
              <w:top w:val="nil"/>
              <w:left w:val="nil"/>
              <w:bottom w:val="single" w:sz="4" w:space="0" w:color="auto"/>
              <w:right w:val="single" w:sz="4" w:space="0" w:color="auto"/>
            </w:tcBorders>
            <w:shd w:val="clear" w:color="auto" w:fill="auto"/>
            <w:noWrap/>
            <w:vAlign w:val="bottom"/>
            <w:hideMark/>
          </w:tcPr>
          <w:p w14:paraId="02BCB777"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0.001</w:t>
            </w:r>
          </w:p>
        </w:tc>
      </w:tr>
      <w:tr w:rsidR="009E42AF" w:rsidRPr="00004989" w14:paraId="227540D3"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EEFB159" w14:textId="2CE4EAE7"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Female </w:t>
            </w:r>
            <w:r w:rsidR="00004989">
              <w:rPr>
                <w:rFonts w:eastAsia="Times New Roman" w:cs="Calibri"/>
                <w:color w:val="000000"/>
                <w:kern w:val="0"/>
                <w:sz w:val="22"/>
                <w:szCs w:val="22"/>
                <w:lang w:eastAsia="en-GB"/>
                <w14:ligatures w14:val="none"/>
              </w:rPr>
              <w:t>g</w:t>
            </w:r>
            <w:r w:rsidRPr="00004989">
              <w:rPr>
                <w:rFonts w:eastAsia="Times New Roman" w:cs="Calibri"/>
                <w:color w:val="000000"/>
                <w:kern w:val="0"/>
                <w:sz w:val="22"/>
                <w:szCs w:val="22"/>
                <w:lang w:eastAsia="en-GB"/>
                <w14:ligatures w14:val="none"/>
              </w:rPr>
              <w:t>ender</w:t>
            </w:r>
          </w:p>
        </w:tc>
        <w:tc>
          <w:tcPr>
            <w:tcW w:w="1843" w:type="dxa"/>
            <w:tcBorders>
              <w:top w:val="nil"/>
              <w:left w:val="nil"/>
              <w:bottom w:val="single" w:sz="4" w:space="0" w:color="auto"/>
              <w:right w:val="single" w:sz="4" w:space="0" w:color="auto"/>
            </w:tcBorders>
            <w:shd w:val="clear" w:color="auto" w:fill="auto"/>
            <w:noWrap/>
            <w:vAlign w:val="bottom"/>
            <w:hideMark/>
          </w:tcPr>
          <w:p w14:paraId="4C73A389"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3.1</w:t>
            </w:r>
          </w:p>
        </w:tc>
        <w:tc>
          <w:tcPr>
            <w:tcW w:w="1417" w:type="dxa"/>
            <w:tcBorders>
              <w:top w:val="nil"/>
              <w:left w:val="nil"/>
              <w:bottom w:val="single" w:sz="4" w:space="0" w:color="auto"/>
              <w:right w:val="single" w:sz="4" w:space="0" w:color="auto"/>
            </w:tcBorders>
            <w:shd w:val="clear" w:color="auto" w:fill="auto"/>
            <w:noWrap/>
            <w:vAlign w:val="bottom"/>
            <w:hideMark/>
          </w:tcPr>
          <w:p w14:paraId="0B559085"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1.42</w:t>
            </w:r>
          </w:p>
        </w:tc>
        <w:tc>
          <w:tcPr>
            <w:tcW w:w="2552" w:type="dxa"/>
            <w:tcBorders>
              <w:top w:val="nil"/>
              <w:left w:val="nil"/>
              <w:bottom w:val="single" w:sz="4" w:space="0" w:color="auto"/>
              <w:right w:val="single" w:sz="4" w:space="0" w:color="auto"/>
            </w:tcBorders>
            <w:shd w:val="clear" w:color="auto" w:fill="auto"/>
            <w:noWrap/>
            <w:vAlign w:val="bottom"/>
            <w:hideMark/>
          </w:tcPr>
          <w:p w14:paraId="6C95F84F"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0.25</w:t>
            </w:r>
          </w:p>
        </w:tc>
        <w:tc>
          <w:tcPr>
            <w:tcW w:w="1134" w:type="dxa"/>
            <w:tcBorders>
              <w:top w:val="nil"/>
              <w:left w:val="nil"/>
              <w:bottom w:val="single" w:sz="4" w:space="0" w:color="auto"/>
              <w:right w:val="single" w:sz="4" w:space="0" w:color="auto"/>
            </w:tcBorders>
            <w:shd w:val="clear" w:color="auto" w:fill="auto"/>
            <w:noWrap/>
            <w:vAlign w:val="bottom"/>
            <w:hideMark/>
          </w:tcPr>
          <w:p w14:paraId="5063DF2A"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0.03</w:t>
            </w:r>
          </w:p>
        </w:tc>
      </w:tr>
      <w:tr w:rsidR="009E42AF" w:rsidRPr="00004989" w14:paraId="0021E072"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744AE15" w14:textId="6F7BC8A5"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Urban </w:t>
            </w:r>
            <w:r w:rsidR="00004989">
              <w:rPr>
                <w:rFonts w:eastAsia="Times New Roman" w:cs="Calibri"/>
                <w:color w:val="000000"/>
                <w:kern w:val="0"/>
                <w:sz w:val="22"/>
                <w:szCs w:val="22"/>
                <w:lang w:eastAsia="en-GB"/>
                <w14:ligatures w14:val="none"/>
              </w:rPr>
              <w:t>s</w:t>
            </w:r>
            <w:r w:rsidRPr="00004989">
              <w:rPr>
                <w:rFonts w:eastAsia="Times New Roman" w:cs="Calibri"/>
                <w:color w:val="000000"/>
                <w:kern w:val="0"/>
                <w:sz w:val="22"/>
                <w:szCs w:val="22"/>
                <w:lang w:eastAsia="en-GB"/>
                <w14:ligatures w14:val="none"/>
              </w:rPr>
              <w:t xml:space="preserve">chool </w:t>
            </w:r>
            <w:r w:rsidR="00004989">
              <w:rPr>
                <w:rFonts w:eastAsia="Times New Roman" w:cs="Calibri"/>
                <w:color w:val="000000"/>
                <w:kern w:val="0"/>
                <w:sz w:val="22"/>
                <w:szCs w:val="22"/>
                <w:lang w:eastAsia="en-GB"/>
                <w14:ligatures w14:val="none"/>
              </w:rPr>
              <w:t>s</w:t>
            </w:r>
            <w:r w:rsidRPr="00004989">
              <w:rPr>
                <w:rFonts w:eastAsia="Times New Roman" w:cs="Calibri"/>
                <w:color w:val="000000"/>
                <w:kern w:val="0"/>
                <w:sz w:val="22"/>
                <w:szCs w:val="22"/>
                <w:lang w:eastAsia="en-GB"/>
                <w14:ligatures w14:val="none"/>
              </w:rPr>
              <w:t>etting</w:t>
            </w:r>
          </w:p>
        </w:tc>
        <w:tc>
          <w:tcPr>
            <w:tcW w:w="1843" w:type="dxa"/>
            <w:tcBorders>
              <w:top w:val="nil"/>
              <w:left w:val="nil"/>
              <w:bottom w:val="single" w:sz="4" w:space="0" w:color="auto"/>
              <w:right w:val="single" w:sz="4" w:space="0" w:color="auto"/>
            </w:tcBorders>
            <w:shd w:val="clear" w:color="auto" w:fill="auto"/>
            <w:noWrap/>
            <w:vAlign w:val="bottom"/>
            <w:hideMark/>
          </w:tcPr>
          <w:p w14:paraId="70D6FD6B"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4.4</w:t>
            </w:r>
          </w:p>
        </w:tc>
        <w:tc>
          <w:tcPr>
            <w:tcW w:w="1417" w:type="dxa"/>
            <w:tcBorders>
              <w:top w:val="nil"/>
              <w:left w:val="nil"/>
              <w:bottom w:val="single" w:sz="4" w:space="0" w:color="auto"/>
              <w:right w:val="single" w:sz="4" w:space="0" w:color="auto"/>
            </w:tcBorders>
            <w:shd w:val="clear" w:color="auto" w:fill="auto"/>
            <w:noWrap/>
            <w:vAlign w:val="bottom"/>
            <w:hideMark/>
          </w:tcPr>
          <w:p w14:paraId="02C4EF01"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1.58</w:t>
            </w:r>
          </w:p>
        </w:tc>
        <w:tc>
          <w:tcPr>
            <w:tcW w:w="2552" w:type="dxa"/>
            <w:tcBorders>
              <w:top w:val="nil"/>
              <w:left w:val="nil"/>
              <w:bottom w:val="single" w:sz="4" w:space="0" w:color="auto"/>
              <w:right w:val="single" w:sz="4" w:space="0" w:color="auto"/>
            </w:tcBorders>
            <w:shd w:val="clear" w:color="auto" w:fill="auto"/>
            <w:noWrap/>
            <w:vAlign w:val="bottom"/>
            <w:hideMark/>
          </w:tcPr>
          <w:p w14:paraId="5811BA06"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0.28</w:t>
            </w:r>
          </w:p>
        </w:tc>
        <w:tc>
          <w:tcPr>
            <w:tcW w:w="1134" w:type="dxa"/>
            <w:tcBorders>
              <w:top w:val="nil"/>
              <w:left w:val="nil"/>
              <w:bottom w:val="single" w:sz="4" w:space="0" w:color="auto"/>
              <w:right w:val="single" w:sz="4" w:space="0" w:color="auto"/>
            </w:tcBorders>
            <w:shd w:val="clear" w:color="auto" w:fill="auto"/>
            <w:noWrap/>
            <w:vAlign w:val="bottom"/>
            <w:hideMark/>
          </w:tcPr>
          <w:p w14:paraId="3B1A6F05"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0.02</w:t>
            </w:r>
          </w:p>
        </w:tc>
      </w:tr>
      <w:tr w:rsidR="009E42AF" w:rsidRPr="00004989" w14:paraId="2DB97268" w14:textId="77777777" w:rsidTr="009E42AF">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2EAC2FC9" w14:textId="2D76C2BB" w:rsidR="009E42AF" w:rsidRPr="00004989" w:rsidRDefault="009E42AF" w:rsidP="009E42AF">
            <w:pPr>
              <w:spacing w:after="0" w:line="240" w:lineRule="auto"/>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 xml:space="preserve">Academy </w:t>
            </w:r>
            <w:r w:rsidR="00004989">
              <w:rPr>
                <w:rFonts w:eastAsia="Times New Roman" w:cs="Calibri"/>
                <w:color w:val="000000"/>
                <w:kern w:val="0"/>
                <w:sz w:val="22"/>
                <w:szCs w:val="22"/>
                <w:lang w:eastAsia="en-GB"/>
                <w14:ligatures w14:val="none"/>
              </w:rPr>
              <w:t>s</w:t>
            </w:r>
            <w:r w:rsidRPr="00004989">
              <w:rPr>
                <w:rFonts w:eastAsia="Times New Roman" w:cs="Calibri"/>
                <w:color w:val="000000"/>
                <w:kern w:val="0"/>
                <w:sz w:val="22"/>
                <w:szCs w:val="22"/>
                <w:lang w:eastAsia="en-GB"/>
                <w14:ligatures w14:val="none"/>
              </w:rPr>
              <w:t xml:space="preserve">chool </w:t>
            </w:r>
            <w:r w:rsidR="00004989">
              <w:rPr>
                <w:rFonts w:eastAsia="Times New Roman" w:cs="Calibri"/>
                <w:color w:val="000000"/>
                <w:kern w:val="0"/>
                <w:sz w:val="22"/>
                <w:szCs w:val="22"/>
                <w:lang w:eastAsia="en-GB"/>
                <w14:ligatures w14:val="none"/>
              </w:rPr>
              <w:t>t</w:t>
            </w:r>
            <w:r w:rsidRPr="00004989">
              <w:rPr>
                <w:rFonts w:eastAsia="Times New Roman" w:cs="Calibri"/>
                <w:color w:val="000000"/>
                <w:kern w:val="0"/>
                <w:sz w:val="22"/>
                <w:szCs w:val="22"/>
                <w:lang w:eastAsia="en-GB"/>
                <w14:ligatures w14:val="none"/>
              </w:rPr>
              <w:t>ype</w:t>
            </w:r>
          </w:p>
        </w:tc>
        <w:tc>
          <w:tcPr>
            <w:tcW w:w="1843" w:type="dxa"/>
            <w:tcBorders>
              <w:top w:val="nil"/>
              <w:left w:val="nil"/>
              <w:bottom w:val="single" w:sz="4" w:space="0" w:color="auto"/>
              <w:right w:val="single" w:sz="4" w:space="0" w:color="auto"/>
            </w:tcBorders>
            <w:shd w:val="clear" w:color="auto" w:fill="auto"/>
            <w:noWrap/>
            <w:vAlign w:val="bottom"/>
            <w:hideMark/>
          </w:tcPr>
          <w:p w14:paraId="1EB1F89B"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1.75</w:t>
            </w:r>
          </w:p>
        </w:tc>
        <w:tc>
          <w:tcPr>
            <w:tcW w:w="1417" w:type="dxa"/>
            <w:tcBorders>
              <w:top w:val="nil"/>
              <w:left w:val="nil"/>
              <w:bottom w:val="single" w:sz="4" w:space="0" w:color="auto"/>
              <w:right w:val="single" w:sz="4" w:space="0" w:color="auto"/>
            </w:tcBorders>
            <w:shd w:val="clear" w:color="auto" w:fill="auto"/>
            <w:noWrap/>
            <w:vAlign w:val="bottom"/>
            <w:hideMark/>
          </w:tcPr>
          <w:p w14:paraId="2C9B1838"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1.21</w:t>
            </w:r>
          </w:p>
        </w:tc>
        <w:tc>
          <w:tcPr>
            <w:tcW w:w="2552" w:type="dxa"/>
            <w:tcBorders>
              <w:top w:val="nil"/>
              <w:left w:val="nil"/>
              <w:bottom w:val="single" w:sz="4" w:space="0" w:color="auto"/>
              <w:right w:val="single" w:sz="4" w:space="0" w:color="auto"/>
            </w:tcBorders>
            <w:shd w:val="clear" w:color="auto" w:fill="auto"/>
            <w:noWrap/>
            <w:vAlign w:val="bottom"/>
            <w:hideMark/>
          </w:tcPr>
          <w:p w14:paraId="54FCE1E0"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0.14</w:t>
            </w:r>
          </w:p>
        </w:tc>
        <w:tc>
          <w:tcPr>
            <w:tcW w:w="1134" w:type="dxa"/>
            <w:tcBorders>
              <w:top w:val="nil"/>
              <w:left w:val="nil"/>
              <w:bottom w:val="single" w:sz="4" w:space="0" w:color="auto"/>
              <w:right w:val="single" w:sz="4" w:space="0" w:color="auto"/>
            </w:tcBorders>
            <w:shd w:val="clear" w:color="auto" w:fill="auto"/>
            <w:noWrap/>
            <w:vAlign w:val="bottom"/>
            <w:hideMark/>
          </w:tcPr>
          <w:p w14:paraId="04723DCC" w14:textId="77777777" w:rsidR="009E42AF" w:rsidRPr="00004989" w:rsidRDefault="009E42AF" w:rsidP="009E42AF">
            <w:pPr>
              <w:spacing w:after="0" w:line="240" w:lineRule="auto"/>
              <w:jc w:val="right"/>
              <w:rPr>
                <w:rFonts w:eastAsia="Times New Roman" w:cs="Calibri"/>
                <w:color w:val="000000"/>
                <w:kern w:val="0"/>
                <w:sz w:val="22"/>
                <w:szCs w:val="22"/>
                <w:lang w:eastAsia="en-GB"/>
                <w14:ligatures w14:val="none"/>
              </w:rPr>
            </w:pPr>
            <w:r w:rsidRPr="00004989">
              <w:rPr>
                <w:rFonts w:eastAsia="Times New Roman" w:cs="Calibri"/>
                <w:color w:val="000000"/>
                <w:kern w:val="0"/>
                <w:sz w:val="22"/>
                <w:szCs w:val="22"/>
                <w:lang w:eastAsia="en-GB"/>
                <w14:ligatures w14:val="none"/>
              </w:rPr>
              <w:t>0.08</w:t>
            </w:r>
          </w:p>
        </w:tc>
      </w:tr>
    </w:tbl>
    <w:p w14:paraId="50E478A9" w14:textId="77777777" w:rsidR="009E42AF" w:rsidRPr="00004989" w:rsidRDefault="009E42AF" w:rsidP="00DA5EB4">
      <w:pPr>
        <w:jc w:val="both"/>
      </w:pPr>
    </w:p>
    <w:p w14:paraId="72FEB35F" w14:textId="6CCA3D6D" w:rsidR="00F76FE0" w:rsidRDefault="00DC72CD" w:rsidP="00004989">
      <w:pPr>
        <w:jc w:val="both"/>
      </w:pPr>
      <w:r w:rsidRPr="00004989">
        <w:t xml:space="preserve">These results collectively support the hypothesis that structured professional development correlates with higher rates of retention and career progression. Differences by gender, region and school type further suggest that equitable access and delivery of CPD are </w:t>
      </w:r>
      <w:r w:rsidR="00DB1196" w:rsidRPr="00004989">
        <w:t>key factors</w:t>
      </w:r>
      <w:r w:rsidRPr="00004989">
        <w:t xml:space="preserve"> in improving outcomes.</w:t>
      </w:r>
      <w:r w:rsidR="00F76FE0">
        <w:br w:type="page"/>
      </w:r>
    </w:p>
    <w:p w14:paraId="6355CF83" w14:textId="51B8A0D0" w:rsidR="008E4F95" w:rsidRPr="002406AA" w:rsidRDefault="009062B7" w:rsidP="00DA5EB4">
      <w:pPr>
        <w:jc w:val="both"/>
        <w:rPr>
          <w:b/>
          <w:bCs/>
        </w:rPr>
      </w:pPr>
      <w:r w:rsidRPr="002406AA">
        <w:rPr>
          <w:b/>
          <w:bCs/>
        </w:rPr>
        <w:lastRenderedPageBreak/>
        <w:t>Discussion</w:t>
      </w:r>
    </w:p>
    <w:p w14:paraId="5CD09C5D" w14:textId="2B40E0F2" w:rsidR="009062B7" w:rsidRDefault="009062B7" w:rsidP="00DA5EB4">
      <w:pPr>
        <w:jc w:val="both"/>
      </w:pPr>
      <w:r>
        <w:t>This review adds to the growing body of research on the impact of professional development in education. The findings support the value of managing professional development program</w:t>
      </w:r>
      <w:r w:rsidR="002406AA">
        <w:t>mes</w:t>
      </w:r>
      <w:r>
        <w:t xml:space="preserve"> centrally, particularly in the early stages of a teacher</w:t>
      </w:r>
      <w:r w:rsidR="002406AA">
        <w:t>’s</w:t>
      </w:r>
      <w:r>
        <w:t xml:space="preserve"> career. The significan</w:t>
      </w:r>
      <w:r w:rsidR="002406AA">
        <w:t>t</w:t>
      </w:r>
      <w:r>
        <w:t xml:space="preserve"> difference </w:t>
      </w:r>
      <w:r w:rsidR="002406AA">
        <w:t>seen</w:t>
      </w:r>
      <w:r>
        <w:t xml:space="preserve"> between provider</w:t>
      </w:r>
      <w:r w:rsidR="002406AA">
        <w:t>-led</w:t>
      </w:r>
      <w:r>
        <w:t xml:space="preserve"> and school</w:t>
      </w:r>
      <w:r w:rsidR="002406AA">
        <w:t xml:space="preserve">-led </w:t>
      </w:r>
      <w:r w:rsidR="00150E55">
        <w:t>ECF program</w:t>
      </w:r>
      <w:r w:rsidR="002406AA">
        <w:t>mes</w:t>
      </w:r>
      <w:r w:rsidR="00150E55">
        <w:t xml:space="preserve"> reinforce</w:t>
      </w:r>
      <w:r w:rsidR="009616F8">
        <w:t>s</w:t>
      </w:r>
      <w:r w:rsidR="00150E55">
        <w:t xml:space="preserve"> existing research that suggests high-quality mentoring and structured induction program</w:t>
      </w:r>
      <w:r w:rsidR="009616F8">
        <w:t>mes</w:t>
      </w:r>
      <w:r w:rsidR="00150E55">
        <w:t xml:space="preserve"> improve early career teacher outcomes (Ingersoll </w:t>
      </w:r>
      <w:r w:rsidR="009616F8">
        <w:t>&amp; Strong</w:t>
      </w:r>
      <w:r w:rsidR="00150E55">
        <w:t>, 2011;</w:t>
      </w:r>
      <w:r w:rsidR="009616F8">
        <w:t xml:space="preserve"> </w:t>
      </w:r>
      <w:r w:rsidR="00150E55">
        <w:t xml:space="preserve">Hobson </w:t>
      </w:r>
      <w:r w:rsidR="009616F8">
        <w:t>&amp;</w:t>
      </w:r>
      <w:r w:rsidR="00150E55">
        <w:t xml:space="preserve"> Maxwell, 2020). The large effect size observed (Cohen</w:t>
      </w:r>
      <w:r w:rsidR="00574B8D">
        <w:t>’s d =</w:t>
      </w:r>
      <w:r w:rsidR="00150E55">
        <w:t xml:space="preserve"> 0.89)</w:t>
      </w:r>
      <w:r w:rsidR="002406AA">
        <w:t xml:space="preserve"> </w:t>
      </w:r>
      <w:r w:rsidR="00574B8D">
        <w:t>supports</w:t>
      </w:r>
      <w:r w:rsidR="002406AA">
        <w:t xml:space="preserve"> the potential </w:t>
      </w:r>
      <w:r w:rsidR="00574B8D">
        <w:t>relevance</w:t>
      </w:r>
      <w:r w:rsidR="002406AA">
        <w:t xml:space="preserve"> for school leaders and policy makers when considering induction model choices. In particular, the structured nature of provider</w:t>
      </w:r>
      <w:r w:rsidR="004D5D14">
        <w:t xml:space="preserve">-led </w:t>
      </w:r>
      <w:r w:rsidR="002406AA">
        <w:t>program</w:t>
      </w:r>
      <w:r w:rsidR="004D5D14">
        <w:t>mes</w:t>
      </w:r>
      <w:r w:rsidR="002406AA">
        <w:t xml:space="preserve"> might offer greater levels of consistency, clearer expectations for </w:t>
      </w:r>
      <w:r w:rsidR="004D5D14">
        <w:t>mentors</w:t>
      </w:r>
      <w:r w:rsidR="002406AA">
        <w:t xml:space="preserve"> and </w:t>
      </w:r>
      <w:r w:rsidR="004D5D14">
        <w:t>closer</w:t>
      </w:r>
      <w:r w:rsidR="002406AA">
        <w:t xml:space="preserve"> alignment with </w:t>
      </w:r>
      <w:r w:rsidR="004D5D14">
        <w:t xml:space="preserve">the </w:t>
      </w:r>
      <w:r w:rsidR="002406AA">
        <w:t>national teaching standards.</w:t>
      </w:r>
    </w:p>
    <w:p w14:paraId="271F7798" w14:textId="61EF4191" w:rsidR="002406AA" w:rsidRDefault="00036255" w:rsidP="00DA5EB4">
      <w:pPr>
        <w:jc w:val="both"/>
      </w:pPr>
      <w:r>
        <w:t xml:space="preserve">The association between NPQ completion and subsequent progression into leadership roles supports previous claims that sustained investment in leadership training has a positive impact </w:t>
      </w:r>
      <w:r w:rsidR="00765557">
        <w:t>(Day et al.,</w:t>
      </w:r>
      <w:r>
        <w:t xml:space="preserve"> 2016; Bush </w:t>
      </w:r>
      <w:r w:rsidR="00765557">
        <w:t>&amp;</w:t>
      </w:r>
      <w:r>
        <w:t xml:space="preserve"> Glover, 2014). The moderate effect observed (</w:t>
      </w:r>
      <w:r w:rsidR="00D321A7">
        <w:t xml:space="preserve">Cramer’s </w:t>
      </w:r>
      <w:r>
        <w:t xml:space="preserve">V </w:t>
      </w:r>
      <w:r w:rsidR="00D321A7">
        <w:t xml:space="preserve">= </w:t>
      </w:r>
      <w:r>
        <w:t>.28)</w:t>
      </w:r>
      <w:r w:rsidR="00D321A7">
        <w:t xml:space="preserve"> </w:t>
      </w:r>
      <w:r w:rsidR="00765557">
        <w:t>suggest</w:t>
      </w:r>
      <w:r w:rsidR="00D321A7">
        <w:t xml:space="preserve">s a </w:t>
      </w:r>
      <w:r w:rsidR="00765557">
        <w:t xml:space="preserve">relationship between </w:t>
      </w:r>
      <w:r w:rsidR="004A5390">
        <w:t xml:space="preserve">gaining </w:t>
      </w:r>
      <w:r w:rsidR="00765557">
        <w:t xml:space="preserve">formal qualifications and career progression. However, the observational nature of the data </w:t>
      </w:r>
      <w:r w:rsidR="00B669EA">
        <w:t xml:space="preserve">may limit </w:t>
      </w:r>
      <w:r w:rsidR="00765557">
        <w:t>ca</w:t>
      </w:r>
      <w:r w:rsidR="00B669EA">
        <w:t>usal</w:t>
      </w:r>
      <w:r w:rsidR="00765557">
        <w:t xml:space="preserve"> inference. These findings are consistent with research which links </w:t>
      </w:r>
      <w:r w:rsidR="00022766">
        <w:t xml:space="preserve">relevant </w:t>
      </w:r>
      <w:r w:rsidR="00765557">
        <w:t>leadership preparation with improved school performance and overall staff motivation.</w:t>
      </w:r>
    </w:p>
    <w:p w14:paraId="2D08C2CF" w14:textId="6A26B2B8" w:rsidR="00765557" w:rsidRDefault="00AB0DFE" w:rsidP="00DA5EB4">
      <w:pPr>
        <w:jc w:val="both"/>
      </w:pPr>
      <w:r>
        <w:t>The regression model highlights how program</w:t>
      </w:r>
      <w:r w:rsidR="00D7693A">
        <w:t>me</w:t>
      </w:r>
      <w:r>
        <w:t xml:space="preserve"> type, demographic factors and school context impact on predicting teacher retention. Significant predictors include provi</w:t>
      </w:r>
      <w:r w:rsidR="00211D05">
        <w:t xml:space="preserve">der-led </w:t>
      </w:r>
      <w:r>
        <w:t>induction, female gender and non-rural school settings. These results align with existing research on professional support, gendered career pathways and the concentration of resources</w:t>
      </w:r>
      <w:r w:rsidR="00D7693A">
        <w:t xml:space="preserve"> in </w:t>
      </w:r>
      <w:r w:rsidR="003C2413">
        <w:t>built-up</w:t>
      </w:r>
      <w:r w:rsidR="00211D05">
        <w:t xml:space="preserve"> areas</w:t>
      </w:r>
      <w:r w:rsidR="00D7693A">
        <w:t xml:space="preserve"> (</w:t>
      </w:r>
      <w:r w:rsidR="00211D05">
        <w:t>Worth</w:t>
      </w:r>
      <w:r w:rsidR="00D7693A">
        <w:t>, 2021; BAME</w:t>
      </w:r>
      <w:r w:rsidR="00211D05">
        <w:t>ed Network</w:t>
      </w:r>
      <w:r w:rsidR="00D7693A">
        <w:t>, 2021). The findings also imply that equity in the provision of</w:t>
      </w:r>
      <w:r w:rsidR="003C4909">
        <w:t xml:space="preserve"> </w:t>
      </w:r>
      <w:r w:rsidR="00D7693A">
        <w:t>professional development is a key facto</w:t>
      </w:r>
      <w:r w:rsidR="003C4909">
        <w:t>r</w:t>
      </w:r>
      <w:r w:rsidR="00D7693A">
        <w:t xml:space="preserve">, not only for moral and </w:t>
      </w:r>
      <w:r w:rsidR="003C2413">
        <w:t>legal</w:t>
      </w:r>
      <w:r w:rsidR="00D7693A">
        <w:t xml:space="preserve"> reasons, but also</w:t>
      </w:r>
      <w:r w:rsidR="003C4909">
        <w:t xml:space="preserve"> to support retention. </w:t>
      </w:r>
      <w:r w:rsidR="00375129">
        <w:t>In more urban settings, established professional development infrastructures, increased likelihood of local training providers and more effective networking groups may also contribute to higher completion rates and better retention.</w:t>
      </w:r>
    </w:p>
    <w:p w14:paraId="1CD77443" w14:textId="1356CAB4" w:rsidR="00765557" w:rsidRDefault="004C3CCE" w:rsidP="00DA5EB4">
      <w:pPr>
        <w:jc w:val="both"/>
      </w:pPr>
      <w:r>
        <w:t>Regional disparities in participation and completion rates, seen with the ANOVA and descriptive statistics, suggest there is a need to provide targeted support in rural and under-resourced areas</w:t>
      </w:r>
      <w:r w:rsidR="001C0EC4">
        <w:t xml:space="preserve">. Lower </w:t>
      </w:r>
      <w:r>
        <w:t xml:space="preserve">NPQ completion rates </w:t>
      </w:r>
      <w:r w:rsidR="001C0EC4">
        <w:t>in</w:t>
      </w:r>
      <w:r>
        <w:t xml:space="preserve"> maintain</w:t>
      </w:r>
      <w:r w:rsidR="001C0EC4">
        <w:t>ed</w:t>
      </w:r>
      <w:r>
        <w:t xml:space="preserve"> schools may reflect operational barriers such as less opportunity for release time, staffing </w:t>
      </w:r>
      <w:r w:rsidR="001C0EC4">
        <w:t xml:space="preserve">constraints </w:t>
      </w:r>
      <w:r>
        <w:t xml:space="preserve">and </w:t>
      </w:r>
      <w:r w:rsidR="001C0EC4">
        <w:t>financial</w:t>
      </w:r>
      <w:r>
        <w:t xml:space="preserve"> pressure</w:t>
      </w:r>
      <w:r w:rsidR="001C0EC4">
        <w:t>.</w:t>
      </w:r>
      <w:r w:rsidR="00BB3D9F">
        <w:t xml:space="preserve"> </w:t>
      </w:r>
      <w:r w:rsidR="00931ACE">
        <w:t xml:space="preserve">These barriers can negatively impact professional development access and perpetuate inequalities in leadership development. Addressing this would require a coordinated </w:t>
      </w:r>
      <w:r w:rsidR="00077FCE">
        <w:t>effort</w:t>
      </w:r>
      <w:r w:rsidR="00931ACE">
        <w:t xml:space="preserve"> from government, training providers and school leaders to ensure even resource distribution.</w:t>
      </w:r>
    </w:p>
    <w:p w14:paraId="41EB4794" w14:textId="0E45F6A7" w:rsidR="002406AA" w:rsidRDefault="00432BF4" w:rsidP="00DA5EB4">
      <w:pPr>
        <w:jc w:val="both"/>
      </w:pPr>
      <w:r>
        <w:lastRenderedPageBreak/>
        <w:t>Gender patterns also emerged, with female educators having higher rates of retention and completion of professional development program</w:t>
      </w:r>
      <w:r w:rsidR="009F5005">
        <w:t>mes</w:t>
      </w:r>
      <w:r>
        <w:t>. Wh</w:t>
      </w:r>
      <w:r w:rsidR="009F5005">
        <w:t xml:space="preserve">ilst </w:t>
      </w:r>
      <w:r>
        <w:t xml:space="preserve">this statistic is supportive of gender representation, it raises the question about the engagement of male teachers in ongoing professional development opportunities. It might be possible that </w:t>
      </w:r>
      <w:r w:rsidR="009F5005">
        <w:t>women are actively encouraged to pursue professional learning in the early and middle stages of their careers at a time when male educators may be under</w:t>
      </w:r>
      <w:r w:rsidR="00A75F72">
        <w:t xml:space="preserve">represented </w:t>
      </w:r>
      <w:r w:rsidR="009F5005">
        <w:t>in mentoring or leadership opportunities.</w:t>
      </w:r>
      <w:r w:rsidR="00F05A0A">
        <w:t xml:space="preserve"> </w:t>
      </w:r>
      <w:r w:rsidR="000B1E23">
        <w:t>It might be worth undertaking further research of the social and organisational impact which might influence professional development participation across genders.</w:t>
      </w:r>
    </w:p>
    <w:p w14:paraId="75EF409F" w14:textId="008A40C3" w:rsidR="000B1E23" w:rsidRDefault="00AB0678" w:rsidP="00DA5EB4">
      <w:pPr>
        <w:jc w:val="both"/>
      </w:pPr>
      <w:r>
        <w:t>Ethnicity was not found to be a significant predictor in the regression model</w:t>
      </w:r>
      <w:r w:rsidR="00F8712B">
        <w:t xml:space="preserve"> - </w:t>
      </w:r>
      <w:r>
        <w:t>this may reflect limitations in the data set instead of being a true lack of disparity. Current research consistently highlights the underrepresentation of black, Asian and minority ethnic (BAME) educators and senior leadership roles (BAME</w:t>
      </w:r>
      <w:r w:rsidR="00F8712B">
        <w:t>ed</w:t>
      </w:r>
      <w:r>
        <w:t xml:space="preserve"> </w:t>
      </w:r>
      <w:r w:rsidR="00F8712B">
        <w:t>Network</w:t>
      </w:r>
      <w:r>
        <w:t>, 2021).</w:t>
      </w:r>
      <w:r w:rsidR="00F8712B">
        <w:t xml:space="preserve"> It is possible that aggregated data masks within-group differences or barriers remain underreported in organisational records. A potential area of focus could be disaggregating ethnicity and adopting intersectional approaches to examine how race and gender both impact upon professional development outcomes.</w:t>
      </w:r>
    </w:p>
    <w:p w14:paraId="2CE3FF12" w14:textId="4A2BE7D6" w:rsidR="000B1E23" w:rsidRDefault="00727F73" w:rsidP="00DA5EB4">
      <w:pPr>
        <w:jc w:val="both"/>
      </w:pPr>
      <w:r>
        <w:t xml:space="preserve">Geographic location also influenced professional development outcomes. Higher participation </w:t>
      </w:r>
      <w:r w:rsidR="004438D5">
        <w:t>and</w:t>
      </w:r>
      <w:r>
        <w:t xml:space="preserve"> completion rates in urban schools may be affected by easier access to training providers, strong local support networks and an increased capacity to release staff in larger, i</w:t>
      </w:r>
      <w:r w:rsidR="008330D4">
        <w:t>nner-</w:t>
      </w:r>
      <w:r>
        <w:t>city schools. In contrast, rural and coastal schools often face operational challenges, including travel time,</w:t>
      </w:r>
      <w:r w:rsidR="004438D5">
        <w:t xml:space="preserve"> </w:t>
      </w:r>
      <w:r w:rsidR="008330D4">
        <w:t>digital</w:t>
      </w:r>
      <w:r w:rsidR="004438D5">
        <w:t xml:space="preserve"> connectivity and limited mentoring capacity with fewer staff. These findings support the importance of designing professional development program</w:t>
      </w:r>
      <w:r w:rsidR="008330D4">
        <w:t>mes</w:t>
      </w:r>
      <w:r w:rsidR="004438D5">
        <w:t xml:space="preserve"> that are not only of high-quality but </w:t>
      </w:r>
      <w:r w:rsidR="00AB1F42">
        <w:t xml:space="preserve">are </w:t>
      </w:r>
      <w:r w:rsidR="004438D5">
        <w:t>also geographically adaptable.</w:t>
      </w:r>
    </w:p>
    <w:p w14:paraId="1B29F9E0" w14:textId="364A2874" w:rsidR="004438D5" w:rsidRDefault="003C2413" w:rsidP="00DA5EB4">
      <w:pPr>
        <w:jc w:val="both"/>
      </w:pPr>
      <w:r>
        <w:t>Several</w:t>
      </w:r>
      <w:r w:rsidR="00847D9E">
        <w:t xml:space="preserve"> limitations can be concluded from this review. The use of aggregated data precludes insight into the motivations of individuals, lived experiences and qualitative outcomes such as well-being or job satisfaction. Career progression was considered through changes in leadership grades and/or the level of the NPQ</w:t>
      </w:r>
      <w:r w:rsidR="00D74E17">
        <w:t xml:space="preserve"> </w:t>
      </w:r>
      <w:r w:rsidR="00847D9E">
        <w:t xml:space="preserve">which may not fully reflect leadership responsibility or influence. </w:t>
      </w:r>
      <w:r w:rsidR="00AB0F85">
        <w:t>Informal and distributive leadership, which is more highly valued in modern school operational structures, may also be under</w:t>
      </w:r>
      <w:r w:rsidR="00D74E17">
        <w:t>represented</w:t>
      </w:r>
      <w:r w:rsidR="00AB0F85">
        <w:t xml:space="preserve">. The lack of </w:t>
      </w:r>
      <w:r w:rsidR="00D74E17">
        <w:t xml:space="preserve">longitudinal </w:t>
      </w:r>
      <w:r w:rsidR="00AB0F85">
        <w:t xml:space="preserve">data limits conclusions about long-term retention </w:t>
      </w:r>
      <w:r w:rsidR="00C279F7">
        <w:t xml:space="preserve">or sustained leadership development. Selection </w:t>
      </w:r>
      <w:r w:rsidR="00915D4B">
        <w:t>bias</w:t>
      </w:r>
      <w:r w:rsidR="00C279F7">
        <w:t xml:space="preserve"> could also be a factor – those who choose to engage with professional development opportunities may already be more motivated, or supported, which might </w:t>
      </w:r>
      <w:r w:rsidR="00915D4B">
        <w:t xml:space="preserve">impact </w:t>
      </w:r>
      <w:r w:rsidR="004A0704">
        <w:t xml:space="preserve">forming </w:t>
      </w:r>
      <w:r w:rsidR="00C279F7">
        <w:t>outcomes based solely on program</w:t>
      </w:r>
      <w:r w:rsidR="004A0704">
        <w:t>me</w:t>
      </w:r>
      <w:r w:rsidR="00C279F7">
        <w:t xml:space="preserve"> participation.</w:t>
      </w:r>
    </w:p>
    <w:p w14:paraId="37BE74DE" w14:textId="7212DE97" w:rsidR="00C279F7" w:rsidRDefault="004B6799" w:rsidP="00DA5EB4">
      <w:pPr>
        <w:jc w:val="both"/>
      </w:pPr>
      <w:r>
        <w:t>Nevertheless, the review has presented several important implications. Firstly, the succes</w:t>
      </w:r>
      <w:r w:rsidR="00222880">
        <w:t xml:space="preserve">s of </w:t>
      </w:r>
      <w:r>
        <w:t>provid</w:t>
      </w:r>
      <w:r w:rsidR="00222880">
        <w:t xml:space="preserve">er-led </w:t>
      </w:r>
      <w:r>
        <w:t xml:space="preserve">ECF models suggest that future policy should maintain, or </w:t>
      </w:r>
      <w:r w:rsidR="00222880">
        <w:t xml:space="preserve">even </w:t>
      </w:r>
      <w:r>
        <w:t xml:space="preserve">expand, this approach, particularly in the areas where retention is a significant challenge. </w:t>
      </w:r>
      <w:r>
        <w:lastRenderedPageBreak/>
        <w:t>Central funding, ensuring time for the training of mentors is protected</w:t>
      </w:r>
      <w:r w:rsidR="005E65CC">
        <w:t xml:space="preserve"> </w:t>
      </w:r>
      <w:r w:rsidR="00EC474A">
        <w:t>and</w:t>
      </w:r>
      <w:r w:rsidR="005E65CC">
        <w:t xml:space="preserve"> robust quality assurance processes should be maintained. Secondly, NPQ reforms should include equity audits to ensure </w:t>
      </w:r>
      <w:r w:rsidR="00EB0B63">
        <w:t>that</w:t>
      </w:r>
      <w:r w:rsidR="005E65CC">
        <w:t xml:space="preserve"> participation is accessible across all school types and regions. This could use a funding formula, improving digital access (including the </w:t>
      </w:r>
      <w:r w:rsidR="00170413">
        <w:t>upskilling</w:t>
      </w:r>
      <w:r w:rsidR="005E65CC">
        <w:t xml:space="preserve"> of </w:t>
      </w:r>
      <w:r w:rsidR="00170413">
        <w:t>staff</w:t>
      </w:r>
      <w:r w:rsidR="005E65CC">
        <w:t>, where necessary) and targeted outreach</w:t>
      </w:r>
      <w:r w:rsidR="00EC474A">
        <w:t xml:space="preserve"> </w:t>
      </w:r>
      <w:r w:rsidR="00170413">
        <w:t>programmes</w:t>
      </w:r>
      <w:r w:rsidR="00EC474A">
        <w:t xml:space="preserve"> to underrepresented groups. Finally, professional development program</w:t>
      </w:r>
      <w:r w:rsidR="00170413">
        <w:t xml:space="preserve">mes </w:t>
      </w:r>
      <w:r w:rsidR="00EC474A">
        <w:t>should incorporate</w:t>
      </w:r>
      <w:r w:rsidR="007918D7">
        <w:t xml:space="preserve"> a level of</w:t>
      </w:r>
      <w:r w:rsidR="00EC474A">
        <w:t xml:space="preserve"> flexibility, high-quality mentoring and be responsive to diverse educat</w:t>
      </w:r>
      <w:r w:rsidR="007918D7">
        <w:t xml:space="preserve">or </w:t>
      </w:r>
      <w:r w:rsidR="00EC474A">
        <w:t>needs. Asynchronous learning, hybrid delivery, interactive learning resources (e.g. SCORM packages)</w:t>
      </w:r>
      <w:r w:rsidR="00226CA6">
        <w:t xml:space="preserve"> </w:t>
      </w:r>
      <w:r w:rsidR="00EC474A">
        <w:t xml:space="preserve">and differentiated content may offer greater </w:t>
      </w:r>
      <w:r w:rsidR="00226CA6">
        <w:t>flexibility, especially in schools with limited</w:t>
      </w:r>
      <w:r w:rsidR="00EC474A">
        <w:t xml:space="preserve"> capacity.</w:t>
      </w:r>
    </w:p>
    <w:p w14:paraId="3A6A28F0" w14:textId="108D1C4E" w:rsidR="003C2413" w:rsidRDefault="001C284C" w:rsidP="00004989">
      <w:pPr>
        <w:jc w:val="both"/>
      </w:pPr>
      <w:r>
        <w:t>Future research could use a mixed methods approach, combining longit</w:t>
      </w:r>
      <w:r w:rsidR="00663CCA">
        <w:t>udinal</w:t>
      </w:r>
      <w:r>
        <w:t xml:space="preserve"> tracking with qualitative approaches to consider measurable outcomes and lived experiences. Personal accounts could provide evidence relating to barriers and enable</w:t>
      </w:r>
      <w:r w:rsidR="00C9269D">
        <w:t>rs</w:t>
      </w:r>
      <w:r>
        <w:t xml:space="preserve"> not identifiable in numerical data e.g. leadership culture, role models and the organisational culture. Long term studies might also help</w:t>
      </w:r>
      <w:r w:rsidR="00663CCA">
        <w:t xml:space="preserve"> </w:t>
      </w:r>
      <w:r w:rsidR="00C9269D">
        <w:t>consider</w:t>
      </w:r>
      <w:r w:rsidR="00663CCA">
        <w:t xml:space="preserve"> whether the benefits of a structured induction and ongoing leadership training are </w:t>
      </w:r>
      <w:r w:rsidR="00C9269D">
        <w:t>of</w:t>
      </w:r>
      <w:r w:rsidR="00663CCA">
        <w:t xml:space="preserve"> value, </w:t>
      </w:r>
      <w:r w:rsidR="00C9269D">
        <w:t>and to</w:t>
      </w:r>
      <w:r w:rsidR="00663CCA">
        <w:t xml:space="preserve"> what extent, beyond the early stages of a teacher’s career. Further investigation could be undertaken to measure how continuing professional development contributes to the wider outcomes of school improvement, student achievements and organisational resilience.</w:t>
      </w:r>
      <w:r w:rsidR="003C2413">
        <w:br w:type="page"/>
      </w:r>
    </w:p>
    <w:p w14:paraId="193CFE50" w14:textId="1C7E7563" w:rsidR="00CD7F20" w:rsidRPr="003C2413" w:rsidRDefault="00CD7F20" w:rsidP="00DA5EB4">
      <w:pPr>
        <w:jc w:val="both"/>
      </w:pPr>
      <w:r w:rsidRPr="00761543">
        <w:rPr>
          <w:b/>
          <w:bCs/>
        </w:rPr>
        <w:lastRenderedPageBreak/>
        <w:t>Conclusion</w:t>
      </w:r>
    </w:p>
    <w:p w14:paraId="0C42F956" w14:textId="236A09E1" w:rsidR="00D2536E" w:rsidRDefault="00CD7F20" w:rsidP="00DA5EB4">
      <w:pPr>
        <w:jc w:val="both"/>
      </w:pPr>
      <w:r>
        <w:t xml:space="preserve">This review has considered the participation, retention and progression outcomes relating to </w:t>
      </w:r>
      <w:r w:rsidR="00761543">
        <w:t>two</w:t>
      </w:r>
      <w:r>
        <w:t xml:space="preserve"> teacher and leadership development program</w:t>
      </w:r>
      <w:r w:rsidR="00761543">
        <w:t>mes</w:t>
      </w:r>
      <w:r>
        <w:t xml:space="preserve"> in England</w:t>
      </w:r>
      <w:r w:rsidR="00761543">
        <w:t xml:space="preserve"> - </w:t>
      </w:r>
      <w:r>
        <w:t>the early career framework (E</w:t>
      </w:r>
      <w:r w:rsidR="001A6FF9">
        <w:t xml:space="preserve">CF) </w:t>
      </w:r>
      <w:r>
        <w:t xml:space="preserve">and the national professional qualifications (NPQs). Analysing national data provided by the </w:t>
      </w:r>
      <w:r w:rsidR="001A6FF9">
        <w:t>Department for Education (DfE)</w:t>
      </w:r>
      <w:r>
        <w:t xml:space="preserve">, the review applied a combination of descriptive and </w:t>
      </w:r>
      <w:r w:rsidR="00E469D3">
        <w:t>inferential</w:t>
      </w:r>
      <w:r>
        <w:t xml:space="preserve"> statistic</w:t>
      </w:r>
      <w:r w:rsidR="00E469D3">
        <w:t xml:space="preserve">al analyses </w:t>
      </w:r>
      <w:r>
        <w:t>to assess the relationships between program</w:t>
      </w:r>
      <w:r w:rsidR="00E469D3">
        <w:t>me</w:t>
      </w:r>
      <w:r>
        <w:t xml:space="preserve"> engagement and professional</w:t>
      </w:r>
      <w:r w:rsidR="00D2536E">
        <w:t xml:space="preserve"> </w:t>
      </w:r>
      <w:r w:rsidR="005F2E3D">
        <w:t>l</w:t>
      </w:r>
      <w:r w:rsidR="00D2536E">
        <w:t>eadership</w:t>
      </w:r>
      <w:r w:rsidR="005F2E3D">
        <w:t xml:space="preserve"> progression</w:t>
      </w:r>
      <w:r w:rsidR="00D2536E">
        <w:t>.</w:t>
      </w:r>
    </w:p>
    <w:p w14:paraId="4C087B49" w14:textId="317BDCAF" w:rsidR="00DC080F" w:rsidRDefault="00D2536E" w:rsidP="00DA5EB4">
      <w:pPr>
        <w:jc w:val="both"/>
      </w:pPr>
      <w:r>
        <w:t>Key findings include the positive association between provider</w:t>
      </w:r>
      <w:r w:rsidR="005F2E3D">
        <w:t xml:space="preserve">-led </w:t>
      </w:r>
      <w:r>
        <w:t>ECF models and higher retention rates a</w:t>
      </w:r>
      <w:r w:rsidR="00DC10F2">
        <w:t xml:space="preserve">mong early </w:t>
      </w:r>
      <w:r>
        <w:t xml:space="preserve">career teachers, the link between NPQ completion and career progression </w:t>
      </w:r>
      <w:r w:rsidR="00DC10F2">
        <w:t>into</w:t>
      </w:r>
      <w:r>
        <w:t xml:space="preserve"> leadership roles and identified disparities in access and outcomes by gender, school type and region.</w:t>
      </w:r>
      <w:r w:rsidR="00DC080F">
        <w:t xml:space="preserve"> The review also highlights the advantages of being in urban and </w:t>
      </w:r>
      <w:r w:rsidR="00DC10F2">
        <w:t>academy</w:t>
      </w:r>
      <w:r w:rsidR="00DC080F">
        <w:t xml:space="preserve"> schools which are more likely to show higher participation and completion rates.</w:t>
      </w:r>
    </w:p>
    <w:p w14:paraId="6DB95097" w14:textId="57ECBB7A" w:rsidR="00E76F62" w:rsidRDefault="00DC080F" w:rsidP="00DA5EB4">
      <w:pPr>
        <w:jc w:val="both"/>
      </w:pPr>
      <w:r>
        <w:t xml:space="preserve">These results contribute to the body of evidence that supports the need for structured, equitable and flexible professional development pathways. The results reinforce the argument that continuing professional development should not just be available but </w:t>
      </w:r>
      <w:r w:rsidR="00DC7465">
        <w:t xml:space="preserve">universally </w:t>
      </w:r>
      <w:r>
        <w:t>accessible and impactful</w:t>
      </w:r>
      <w:r w:rsidR="00DC7465">
        <w:t xml:space="preserve"> - </w:t>
      </w:r>
      <w:r>
        <w:t xml:space="preserve">particularly for those working in </w:t>
      </w:r>
      <w:r w:rsidR="00E9434D">
        <w:t>under resourced</w:t>
      </w:r>
      <w:r>
        <w:t xml:space="preserve"> </w:t>
      </w:r>
      <w:r w:rsidR="00E9434D">
        <w:t>contexts</w:t>
      </w:r>
      <w:r w:rsidR="00761543">
        <w:t xml:space="preserve"> or who belong to underrepresented demographic groups. The review also points to the need for increased funding (proportionate to local need), flexible delivery models and a focus on equity as well as high standards.</w:t>
      </w:r>
    </w:p>
    <w:p w14:paraId="4540F3CD" w14:textId="2945225A" w:rsidR="00256AE4" w:rsidRDefault="00700C93" w:rsidP="00DA5EB4">
      <w:pPr>
        <w:jc w:val="both"/>
      </w:pPr>
      <w:r>
        <w:t xml:space="preserve">A number of limitations have been acknowledged, including the use of proxy variables for progression, the lack of qualitative </w:t>
      </w:r>
      <w:r w:rsidR="00EC316B">
        <w:t xml:space="preserve">evidence </w:t>
      </w:r>
      <w:r w:rsidR="00292AE0">
        <w:t>and</w:t>
      </w:r>
      <w:r w:rsidR="00EC316B">
        <w:t xml:space="preserve"> the challenges of working with aggregate data. Nevertheless, the scale and reliability of the datasets themselves support the validity of the observed patterns. The findings may serve as a prompt for continued reflection on the appropriate indicator of professional development success</w:t>
      </w:r>
      <w:r w:rsidR="007A50FC">
        <w:t xml:space="preserve"> - </w:t>
      </w:r>
      <w:r w:rsidR="00EC316B">
        <w:t xml:space="preserve">considering more than participation </w:t>
      </w:r>
      <w:r w:rsidR="007A50FC">
        <w:t xml:space="preserve">and completion </w:t>
      </w:r>
      <w:r w:rsidR="00EC316B">
        <w:t xml:space="preserve">rates and </w:t>
      </w:r>
      <w:r w:rsidR="00696643">
        <w:t>include evidence</w:t>
      </w:r>
      <w:r w:rsidR="00256AE4">
        <w:t xml:space="preserve"> on quality, impact and sustainability.</w:t>
      </w:r>
    </w:p>
    <w:p w14:paraId="0ACC0C2D" w14:textId="50FBD158" w:rsidR="00256AE4" w:rsidRDefault="00256AE4" w:rsidP="00DA5EB4">
      <w:pPr>
        <w:jc w:val="both"/>
      </w:pPr>
      <w:r>
        <w:t>For policy and practice, the findings suggest that:</w:t>
      </w:r>
    </w:p>
    <w:p w14:paraId="23520F69" w14:textId="148E6403" w:rsidR="00381AE1" w:rsidRDefault="00381AE1" w:rsidP="00256AE4">
      <w:pPr>
        <w:pStyle w:val="ListParagraph"/>
        <w:numPr>
          <w:ilvl w:val="0"/>
          <w:numId w:val="8"/>
        </w:numPr>
        <w:jc w:val="both"/>
      </w:pPr>
      <w:r>
        <w:t>Provider</w:t>
      </w:r>
      <w:r w:rsidR="00A86BBC">
        <w:t>-</w:t>
      </w:r>
      <w:r>
        <w:t>led induction should continue to be funded and expanded, particularly where retention challenges are significant.</w:t>
      </w:r>
    </w:p>
    <w:p w14:paraId="5A5A94DF" w14:textId="7461B244" w:rsidR="00381AE1" w:rsidRDefault="00381AE1" w:rsidP="00256AE4">
      <w:pPr>
        <w:pStyle w:val="ListParagraph"/>
        <w:numPr>
          <w:ilvl w:val="0"/>
          <w:numId w:val="8"/>
        </w:numPr>
        <w:jc w:val="both"/>
      </w:pPr>
      <w:r>
        <w:t>NPQ reforms should be monitored to ensure equal access for all and consider it</w:t>
      </w:r>
      <w:r w:rsidR="00B340FB">
        <w:t>s</w:t>
      </w:r>
      <w:r>
        <w:t xml:space="preserve"> relevan</w:t>
      </w:r>
      <w:r w:rsidR="00B340FB">
        <w:t xml:space="preserve">ce </w:t>
      </w:r>
      <w:r>
        <w:t>across all school settings.</w:t>
      </w:r>
    </w:p>
    <w:p w14:paraId="3302FC7F" w14:textId="62111068" w:rsidR="00381AE1" w:rsidRDefault="00381AE1" w:rsidP="00256AE4">
      <w:pPr>
        <w:pStyle w:val="ListParagraph"/>
        <w:numPr>
          <w:ilvl w:val="0"/>
          <w:numId w:val="8"/>
        </w:numPr>
        <w:jc w:val="both"/>
      </w:pPr>
      <w:r>
        <w:t>Professional development program</w:t>
      </w:r>
      <w:r w:rsidR="00B340FB">
        <w:t>mes</w:t>
      </w:r>
      <w:r>
        <w:t xml:space="preserve"> should better accommodate diverse pathways and leadership structures, recognising informal and distributed leadership roles.</w:t>
      </w:r>
    </w:p>
    <w:p w14:paraId="6DC5A8C9" w14:textId="78A53A48" w:rsidR="00EC316B" w:rsidRDefault="00292AE0" w:rsidP="00B340FB">
      <w:pPr>
        <w:pStyle w:val="ListParagraph"/>
        <w:numPr>
          <w:ilvl w:val="0"/>
          <w:numId w:val="8"/>
        </w:numPr>
        <w:jc w:val="both"/>
      </w:pPr>
      <w:r>
        <w:t xml:space="preserve">Research is needed to explore gender, ethnicity and geographical location to inform </w:t>
      </w:r>
      <w:r w:rsidR="00B340FB">
        <w:t xml:space="preserve">future </w:t>
      </w:r>
      <w:r>
        <w:t>professional development program</w:t>
      </w:r>
      <w:r w:rsidR="00B340FB">
        <w:t>mes.</w:t>
      </w:r>
    </w:p>
    <w:p w14:paraId="77F6B3C4" w14:textId="5C439A5B" w:rsidR="00B340FB" w:rsidRDefault="00B81B14" w:rsidP="00B340FB">
      <w:pPr>
        <w:jc w:val="both"/>
      </w:pPr>
      <w:r>
        <w:lastRenderedPageBreak/>
        <w:t xml:space="preserve">In addition, the review also highlights the importance of continuity in policy implementation. When professional development frameworks and provision change, this can undermine confidence </w:t>
      </w:r>
      <w:r w:rsidR="00B81D66">
        <w:t xml:space="preserve">in the programme content and impact negatively on </w:t>
      </w:r>
      <w:r w:rsidR="00B641E8">
        <w:t>schools’</w:t>
      </w:r>
      <w:r w:rsidR="00B81D66">
        <w:t xml:space="preserve"> strategic planning. There is a need for long-term commitment to initiatives like the ECF and the NPQs, along with evaluation frameworks that consider more than participation and completion rates. Encouraging reflective practice, long-term mentoring and practitioner</w:t>
      </w:r>
      <w:r w:rsidR="00B641E8">
        <w:t xml:space="preserve">-led </w:t>
      </w:r>
      <w:r w:rsidR="00BD38E9">
        <w:t>in</w:t>
      </w:r>
      <w:r w:rsidR="00B81D66">
        <w:t>quiry may serve to increase the effectiveness and relevance of these professional development pathways.</w:t>
      </w:r>
    </w:p>
    <w:p w14:paraId="664A861E" w14:textId="141490EF" w:rsidR="00BD38E9" w:rsidRDefault="0060770B" w:rsidP="00B340FB">
      <w:pPr>
        <w:jc w:val="both"/>
      </w:pPr>
      <w:r>
        <w:t xml:space="preserve">Support for school leaders as facilitators of professional development should also be considered. Leadership plays a </w:t>
      </w:r>
      <w:r w:rsidR="002377E1">
        <w:t>vital</w:t>
      </w:r>
      <w:r>
        <w:t xml:space="preserve"> role in creating cultures where professional learning is embedded and </w:t>
      </w:r>
      <w:r w:rsidR="002377E1">
        <w:t>valued</w:t>
      </w:r>
      <w:r>
        <w:t xml:space="preserve">. Investing in formal training of head teachers and senior leaders to mentor, coach and effectively evaluate staff </w:t>
      </w:r>
      <w:r w:rsidR="002377E1">
        <w:t xml:space="preserve">development is therefore </w:t>
      </w:r>
      <w:r w:rsidR="004928BF">
        <w:t>an important part of the equation</w:t>
      </w:r>
      <w:r w:rsidR="002377E1">
        <w:t>. Without formal training, the best</w:t>
      </w:r>
      <w:r w:rsidR="004928BF">
        <w:t>-</w:t>
      </w:r>
      <w:r w:rsidR="002377E1">
        <w:t>designed professional development program</w:t>
      </w:r>
      <w:r w:rsidR="004928BF">
        <w:t xml:space="preserve">mes </w:t>
      </w:r>
      <w:r w:rsidR="002377E1">
        <w:t>may fail to deliver lasting change.</w:t>
      </w:r>
    </w:p>
    <w:p w14:paraId="61A15DD0" w14:textId="221BDDCE" w:rsidR="00877776" w:rsidRDefault="00CB7109" w:rsidP="00B340FB">
      <w:pPr>
        <w:jc w:val="both"/>
      </w:pPr>
      <w:r>
        <w:t xml:space="preserve">A significant concern identified in this review is the gap between policy intent </w:t>
      </w:r>
      <w:r w:rsidR="00877776">
        <w:t>and practical application. Whilst there is an infrastructure nationally for teacher and leadership development, its impact is unevenly distributed. Schools with few</w:t>
      </w:r>
      <w:r w:rsidR="007A50FC">
        <w:t>er</w:t>
      </w:r>
      <w:r w:rsidR="00877776">
        <w:t xml:space="preserve"> resources, </w:t>
      </w:r>
      <w:r w:rsidR="007E2935">
        <w:t>or</w:t>
      </w:r>
      <w:r w:rsidR="00877776">
        <w:t xml:space="preserve"> located in remote areas, are often less able to fully engage with these development opportunities.</w:t>
      </w:r>
    </w:p>
    <w:p w14:paraId="19086D63" w14:textId="2B6743FF" w:rsidR="000422C7" w:rsidRDefault="00F00A27" w:rsidP="00B340FB">
      <w:pPr>
        <w:jc w:val="both"/>
      </w:pPr>
      <w:r>
        <w:t xml:space="preserve">Future research could consider the limitations acknowledged in this review by combining administrative data with surveys and/or interview evidence. This would allow for a more holistic understanding of the motivations, barriers and outcomes linked to professional development participation. It would also provide the opportunity for the research to explore the lived experiences of teachers and leaders which would add a qualitative dimension to the existing quantitative evidence base. </w:t>
      </w:r>
      <w:r w:rsidR="00475AAE">
        <w:t xml:space="preserve">Longitudinal </w:t>
      </w:r>
      <w:r>
        <w:t>studies</w:t>
      </w:r>
      <w:r w:rsidR="005509A4">
        <w:t xml:space="preserve"> would</w:t>
      </w:r>
      <w:r>
        <w:t xml:space="preserve"> help to </w:t>
      </w:r>
      <w:r w:rsidR="000422C7">
        <w:t>consider the long-term impact of participation in the ECF and the NPQs on individual careers and school outcomes.</w:t>
      </w:r>
    </w:p>
    <w:p w14:paraId="70CE5E12" w14:textId="22816433" w:rsidR="00B32A5F" w:rsidRDefault="000422C7" w:rsidP="00004989">
      <w:pPr>
        <w:jc w:val="both"/>
      </w:pPr>
      <w:r>
        <w:t xml:space="preserve">In conclusion, this review </w:t>
      </w:r>
      <w:r w:rsidR="00475AAE">
        <w:t>has</w:t>
      </w:r>
      <w:r>
        <w:t xml:space="preserve"> shown that while the infrastructure for national teacher and leadership development exists its impact is currently uneven </w:t>
      </w:r>
      <w:r w:rsidR="00981A74">
        <w:t>and dependent</w:t>
      </w:r>
      <w:r>
        <w:t xml:space="preserve"> on a range of contextual factors.</w:t>
      </w:r>
      <w:r w:rsidR="00E6380D">
        <w:t xml:space="preserve"> </w:t>
      </w:r>
      <w:r w:rsidR="00981A74">
        <w:t>For</w:t>
      </w:r>
      <w:r w:rsidR="00E6380D">
        <w:t xml:space="preserve"> continuing professional development to be truly impactful, it must be underpin</w:t>
      </w:r>
      <w:r w:rsidR="00981A74">
        <w:t>ned</w:t>
      </w:r>
      <w:r w:rsidR="00E6380D">
        <w:t xml:space="preserve"> by a focus on both a high-quality program</w:t>
      </w:r>
      <w:r w:rsidR="00981A74">
        <w:t>me</w:t>
      </w:r>
      <w:r w:rsidR="00E6380D">
        <w:t xml:space="preserve"> of study and context</w:t>
      </w:r>
      <w:r w:rsidR="00981A74">
        <w:t>-</w:t>
      </w:r>
      <w:r w:rsidR="00E6380D">
        <w:t xml:space="preserve">specific equality of access. A </w:t>
      </w:r>
      <w:r w:rsidR="00981A74">
        <w:t>be</w:t>
      </w:r>
      <w:r w:rsidR="00E6380D">
        <w:t>spoke, inclusive approac</w:t>
      </w:r>
      <w:r w:rsidR="009D46F6">
        <w:t xml:space="preserve">h to </w:t>
      </w:r>
      <w:r w:rsidR="00E6380D">
        <w:t>professional learning is necessary to ensure that all educator</w:t>
      </w:r>
      <w:r w:rsidR="009D46F6">
        <w:t xml:space="preserve">s - </w:t>
      </w:r>
      <w:r w:rsidR="00E6380D">
        <w:t>regardless of role, region or background</w:t>
      </w:r>
      <w:r w:rsidR="009D46F6">
        <w:t xml:space="preserve"> - </w:t>
      </w:r>
      <w:r w:rsidR="00C01D8D">
        <w:t xml:space="preserve">can engage, lead and remain in the profession for the long term. Policymakers and practitioners should work collaboratively to ensure </w:t>
      </w:r>
      <w:r w:rsidR="00C5199F">
        <w:t>that</w:t>
      </w:r>
      <w:r w:rsidR="00C01D8D">
        <w:t xml:space="preserve"> professional development is not just mandated but an intrinsic motivation for every teacher and leader in the profession.</w:t>
      </w:r>
      <w:r w:rsidR="00B32A5F">
        <w:br w:type="page"/>
      </w:r>
    </w:p>
    <w:p w14:paraId="07A97818" w14:textId="77777777" w:rsidR="001C423B" w:rsidRPr="00B06D1E" w:rsidRDefault="001C423B" w:rsidP="001C423B">
      <w:pPr>
        <w:rPr>
          <w:b/>
          <w:bCs/>
        </w:rPr>
      </w:pPr>
      <w:r w:rsidRPr="00B06D1E">
        <w:rPr>
          <w:b/>
          <w:bCs/>
        </w:rPr>
        <w:lastRenderedPageBreak/>
        <w:t>References</w:t>
      </w:r>
    </w:p>
    <w:p w14:paraId="0B70EEA7" w14:textId="77777777" w:rsidR="001C423B" w:rsidRPr="008C6195" w:rsidRDefault="001C423B" w:rsidP="001C423B">
      <w:r w:rsidRPr="008C6195">
        <w:t xml:space="preserve">Allen, R., Sims, S., &amp; Jerrim, J. (2019). The teacher labour market in England: Shortages, subject expertise and incentives. </w:t>
      </w:r>
      <w:r w:rsidRPr="008C6195">
        <w:rPr>
          <w:i/>
          <w:iCs/>
        </w:rPr>
        <w:t>Education Policy Institute</w:t>
      </w:r>
      <w:r w:rsidRPr="008C6195">
        <w:t>.</w:t>
      </w:r>
    </w:p>
    <w:p w14:paraId="068021CC" w14:textId="77777777" w:rsidR="001C423B" w:rsidRPr="008C6195" w:rsidRDefault="001C423B" w:rsidP="001C423B">
      <w:r w:rsidRPr="008C6195">
        <w:t xml:space="preserve">Australian Institute for Teaching and School Leadership (AITSL). (2020). </w:t>
      </w:r>
      <w:r w:rsidRPr="008C6195">
        <w:rPr>
          <w:i/>
          <w:iCs/>
        </w:rPr>
        <w:t>Leadership development in Australian schools</w:t>
      </w:r>
      <w:r w:rsidRPr="008C6195">
        <w:t>. Retrieved from https://www.aitsl.edu.au</w:t>
      </w:r>
    </w:p>
    <w:p w14:paraId="7C9D55E0" w14:textId="77777777" w:rsidR="001C423B" w:rsidRPr="008C6195" w:rsidRDefault="001C423B" w:rsidP="001C423B">
      <w:r w:rsidRPr="008C6195">
        <w:t xml:space="preserve">BAMEed Network. (2021). </w:t>
      </w:r>
      <w:r w:rsidRPr="008C6195">
        <w:rPr>
          <w:i/>
          <w:iCs/>
        </w:rPr>
        <w:t>Diversity in school leadership: Current issues and future priorities</w:t>
      </w:r>
      <w:r w:rsidRPr="008C6195">
        <w:t>. Retrieved from https://www.bameednetwork.com</w:t>
      </w:r>
    </w:p>
    <w:p w14:paraId="3AF474DD" w14:textId="77777777" w:rsidR="001C423B" w:rsidRPr="008C6195" w:rsidRDefault="001C423B" w:rsidP="001C423B">
      <w:r w:rsidRPr="008C6195">
        <w:t xml:space="preserve">Booth, R. (2020). Effective digital CPD in the post-pandemic era. </w:t>
      </w:r>
      <w:r w:rsidRPr="008C6195">
        <w:rPr>
          <w:i/>
          <w:iCs/>
        </w:rPr>
        <w:t>Educational Technology Review</w:t>
      </w:r>
      <w:r w:rsidRPr="008C6195">
        <w:t>, 15(3), 22–29.</w:t>
      </w:r>
    </w:p>
    <w:p w14:paraId="4F341588" w14:textId="77777777" w:rsidR="001C423B" w:rsidRPr="008C6195" w:rsidRDefault="001C423B" w:rsidP="001C423B">
      <w:r w:rsidRPr="008C6195">
        <w:t xml:space="preserve">Bush, T., &amp; Glover, D. (2014). School leadership models: What do we know? </w:t>
      </w:r>
      <w:r w:rsidRPr="008C6195">
        <w:rPr>
          <w:i/>
          <w:iCs/>
        </w:rPr>
        <w:t>School Leadership &amp; Management</w:t>
      </w:r>
      <w:r w:rsidRPr="008C6195">
        <w:t>, 34(5), 553–571.</w:t>
      </w:r>
    </w:p>
    <w:p w14:paraId="1C2AD4AE" w14:textId="77777777" w:rsidR="001C423B" w:rsidRPr="008C6195" w:rsidRDefault="001C423B" w:rsidP="001C423B">
      <w:r w:rsidRPr="008C6195">
        <w:t xml:space="preserve">Coldwell, M., Greany, T., Higgins, S., Brown, C., Maxwell, B., Stiell, B., &amp; Willis, B. (2017). </w:t>
      </w:r>
      <w:r w:rsidRPr="008C6195">
        <w:rPr>
          <w:i/>
          <w:iCs/>
        </w:rPr>
        <w:t>Evidence-informed teaching: An evaluation of progress in England</w:t>
      </w:r>
      <w:r w:rsidRPr="008C6195">
        <w:t>. Department for Education.</w:t>
      </w:r>
    </w:p>
    <w:p w14:paraId="322DDB9F" w14:textId="77777777" w:rsidR="001C423B" w:rsidRPr="008C6195" w:rsidRDefault="001C423B" w:rsidP="001C423B">
      <w:r w:rsidRPr="008C6195">
        <w:t xml:space="preserve">Cordingley, P., Bell, M., Isham, C., Evans, D., &amp; Firth, A. (2015). Developing great teaching: Lessons from the international reviews into effective professional development. </w:t>
      </w:r>
      <w:r w:rsidRPr="008C6195">
        <w:rPr>
          <w:i/>
          <w:iCs/>
        </w:rPr>
        <w:t>Teacher Development Trust</w:t>
      </w:r>
      <w:r w:rsidRPr="008C6195">
        <w:t>.</w:t>
      </w:r>
    </w:p>
    <w:p w14:paraId="244F3662" w14:textId="77777777" w:rsidR="001C423B" w:rsidRPr="008C6195" w:rsidRDefault="001C423B" w:rsidP="001C423B">
      <w:r w:rsidRPr="008C6195">
        <w:t xml:space="preserve">Darling-Hammond, L., Hyler, M. E., &amp; Gardner, M. (2017). </w:t>
      </w:r>
      <w:r w:rsidRPr="008C6195">
        <w:rPr>
          <w:i/>
          <w:iCs/>
        </w:rPr>
        <w:t>Effective teacher professional development</w:t>
      </w:r>
      <w:r w:rsidRPr="008C6195">
        <w:t>. Learning Policy Institute.</w:t>
      </w:r>
    </w:p>
    <w:p w14:paraId="0DE61C5B" w14:textId="77777777" w:rsidR="001C423B" w:rsidRPr="008C6195" w:rsidRDefault="001C423B" w:rsidP="001C423B">
      <w:r w:rsidRPr="008C6195">
        <w:t xml:space="preserve">Day, C., Sammons, P., Leithwood, K., Hopkins, D., Gu, Q., Brown, E., &amp; Ahtaridou, E. (2016). </w:t>
      </w:r>
      <w:r w:rsidRPr="008C6195">
        <w:rPr>
          <w:i/>
          <w:iCs/>
        </w:rPr>
        <w:t>Successful school leadership</w:t>
      </w:r>
      <w:r w:rsidRPr="008C6195">
        <w:t>. Education Development Trust.</w:t>
      </w:r>
    </w:p>
    <w:p w14:paraId="4FDA7EDD" w14:textId="77777777" w:rsidR="001C423B" w:rsidRPr="008C6195" w:rsidRDefault="001C423B" w:rsidP="001C423B">
      <w:r w:rsidRPr="008C6195">
        <w:t xml:space="preserve">Department for Education (DfE). (2021). </w:t>
      </w:r>
      <w:r w:rsidRPr="008C6195">
        <w:rPr>
          <w:i/>
          <w:iCs/>
        </w:rPr>
        <w:t>Early Career Framework</w:t>
      </w:r>
      <w:r w:rsidRPr="008C6195">
        <w:t>. Retrieved from https://www.gov.uk/government/publications/early-career-framework</w:t>
      </w:r>
    </w:p>
    <w:p w14:paraId="0C41B9C8" w14:textId="77777777" w:rsidR="001C423B" w:rsidRPr="008C6195" w:rsidRDefault="001C423B" w:rsidP="001C423B">
      <w:r w:rsidRPr="008C6195">
        <w:t xml:space="preserve">Department for Education (DfE). (2022). </w:t>
      </w:r>
      <w:r w:rsidRPr="008C6195">
        <w:rPr>
          <w:i/>
          <w:iCs/>
        </w:rPr>
        <w:t>School workforce in England: November 2021</w:t>
      </w:r>
      <w:r w:rsidRPr="008C6195">
        <w:t>. Retrieved from https://explore-education-statistics.service.gov.uk</w:t>
      </w:r>
    </w:p>
    <w:p w14:paraId="5080EACC" w14:textId="77777777" w:rsidR="001C423B" w:rsidRPr="008C6195" w:rsidRDefault="001C423B" w:rsidP="001C423B">
      <w:r w:rsidRPr="008C6195">
        <w:t xml:space="preserve">Department for Education (DfE). (2023). </w:t>
      </w:r>
      <w:r w:rsidRPr="008C6195">
        <w:rPr>
          <w:i/>
          <w:iCs/>
        </w:rPr>
        <w:t>Teacher and Leader Development: ECF and NPQs Statistics 2023–24</w:t>
      </w:r>
      <w:r w:rsidRPr="008C6195">
        <w:t>. Retrieved from https://explore-education-statistics.service.gov.uk</w:t>
      </w:r>
    </w:p>
    <w:p w14:paraId="7CBC7656" w14:textId="77777777" w:rsidR="001C423B" w:rsidRPr="008C6195" w:rsidRDefault="001C423B" w:rsidP="001C423B">
      <w:r w:rsidRPr="008C6195">
        <w:t xml:space="preserve">Education Endowment Foundation (EEF). (2022). </w:t>
      </w:r>
      <w:r w:rsidRPr="008C6195">
        <w:rPr>
          <w:i/>
          <w:iCs/>
        </w:rPr>
        <w:t>Remote professional development for teachers</w:t>
      </w:r>
      <w:r w:rsidRPr="008C6195">
        <w:t>. Retrieved from https://educationendowmentfoundation.org.uk</w:t>
      </w:r>
    </w:p>
    <w:p w14:paraId="6514C676" w14:textId="77777777" w:rsidR="001C423B" w:rsidRPr="008C6195" w:rsidRDefault="001C423B" w:rsidP="001C423B">
      <w:r w:rsidRPr="008C6195">
        <w:t xml:space="preserve">Fuller, C., Goodwyn, A., &amp; Francis-Brophy, E. (2019). Advanced skills teachers: A systematic review of the research literature. </w:t>
      </w:r>
      <w:r w:rsidRPr="008C6195">
        <w:rPr>
          <w:i/>
          <w:iCs/>
        </w:rPr>
        <w:t>Educational Research Review</w:t>
      </w:r>
      <w:r w:rsidRPr="008C6195">
        <w:t>, 27, 34–47.</w:t>
      </w:r>
    </w:p>
    <w:p w14:paraId="690E9B92" w14:textId="77777777" w:rsidR="001C423B" w:rsidRPr="008C6195" w:rsidRDefault="001C423B" w:rsidP="001C423B">
      <w:r w:rsidRPr="008C6195">
        <w:lastRenderedPageBreak/>
        <w:t xml:space="preserve">Greany, T., &amp; Higham, R. (2018). Hierarchy, markets and networks: Analysing the ‘self-improving school-led system’ agenda in England and the implications for schools. </w:t>
      </w:r>
      <w:r w:rsidRPr="008C6195">
        <w:rPr>
          <w:i/>
          <w:iCs/>
        </w:rPr>
        <w:t>London Review of Education</w:t>
      </w:r>
      <w:r w:rsidRPr="008C6195">
        <w:t>, 16(1), 70–86.</w:t>
      </w:r>
    </w:p>
    <w:p w14:paraId="70730FCB" w14:textId="77777777" w:rsidR="001C423B" w:rsidRPr="008C6195" w:rsidRDefault="001C423B" w:rsidP="001C423B">
      <w:r w:rsidRPr="008C6195">
        <w:t xml:space="preserve">Gunter, H. M., &amp; Ribbins, P. (2021). The sociology of educational leadership: A critical review. </w:t>
      </w:r>
      <w:r w:rsidRPr="008C6195">
        <w:rPr>
          <w:i/>
          <w:iCs/>
        </w:rPr>
        <w:t>British Journal of Educational Studies</w:t>
      </w:r>
      <w:r w:rsidRPr="008C6195">
        <w:t>, 69(3), 255–273.</w:t>
      </w:r>
    </w:p>
    <w:p w14:paraId="0931E432" w14:textId="77777777" w:rsidR="001C423B" w:rsidRPr="008C6195" w:rsidRDefault="001C423B" w:rsidP="001C423B">
      <w:r w:rsidRPr="008C6195">
        <w:t xml:space="preserve">Guskey, T. R. (2002). Does it make a difference? Evaluating professional development. </w:t>
      </w:r>
      <w:r w:rsidRPr="008C6195">
        <w:rPr>
          <w:i/>
          <w:iCs/>
        </w:rPr>
        <w:t>Educational Leadership</w:t>
      </w:r>
      <w:r w:rsidRPr="008C6195">
        <w:t>, 59(6), 45–51.</w:t>
      </w:r>
    </w:p>
    <w:p w14:paraId="5A0C18F8" w14:textId="77777777" w:rsidR="001C423B" w:rsidRPr="008C6195" w:rsidRDefault="001C423B" w:rsidP="001C423B">
      <w:r w:rsidRPr="008C6195">
        <w:t xml:space="preserve">Hobson, A. J., &amp; Maxwell, B. (2020). Mentoring substructures and superstructures: an extension and reconceptualisation of the architecture for teacher mentoring. </w:t>
      </w:r>
      <w:r w:rsidRPr="008C6195">
        <w:rPr>
          <w:i/>
          <w:iCs/>
        </w:rPr>
        <w:t>Journal of Education for Teaching</w:t>
      </w:r>
      <w:r w:rsidRPr="008C6195">
        <w:t>, 46(2), 184–206.</w:t>
      </w:r>
    </w:p>
    <w:p w14:paraId="1D26D4E3" w14:textId="77777777" w:rsidR="001C423B" w:rsidRPr="008C6195" w:rsidRDefault="001C423B" w:rsidP="001C423B">
      <w:r w:rsidRPr="008C6195">
        <w:t xml:space="preserve">Ingersoll, R., &amp; Strong, M. (2011). The impact of induction and mentoring programs for beginning teachers: A critical review of the research. </w:t>
      </w:r>
      <w:r w:rsidRPr="008C6195">
        <w:rPr>
          <w:i/>
          <w:iCs/>
        </w:rPr>
        <w:t>Review of Educational Research</w:t>
      </w:r>
      <w:r w:rsidRPr="008C6195">
        <w:t>, 81(2), 201–233.</w:t>
      </w:r>
    </w:p>
    <w:p w14:paraId="75C1C66D" w14:textId="77777777" w:rsidR="001C423B" w:rsidRPr="008C6195" w:rsidRDefault="001C423B" w:rsidP="001C423B">
      <w:r w:rsidRPr="008C6195">
        <w:t xml:space="preserve">Kennedy, A. (2016). Understanding continuing professional development: The need for theory to impact on policy and practice. </w:t>
      </w:r>
      <w:r w:rsidRPr="008C6195">
        <w:rPr>
          <w:i/>
          <w:iCs/>
        </w:rPr>
        <w:t>Professional Development in Education</w:t>
      </w:r>
      <w:r w:rsidRPr="008C6195">
        <w:t>, 42(5), 595–609.</w:t>
      </w:r>
    </w:p>
    <w:p w14:paraId="25E64C1E" w14:textId="77777777" w:rsidR="001C423B" w:rsidRPr="008C6195" w:rsidRDefault="001C423B" w:rsidP="001C423B">
      <w:r w:rsidRPr="008C6195">
        <w:t xml:space="preserve">Kolb, D. A. (1984). </w:t>
      </w:r>
      <w:r w:rsidRPr="008C6195">
        <w:rPr>
          <w:i/>
          <w:iCs/>
        </w:rPr>
        <w:t>Experiential learning: Experience as the source of learning and development</w:t>
      </w:r>
      <w:r w:rsidRPr="008C6195">
        <w:t>. Prentice Hall.</w:t>
      </w:r>
    </w:p>
    <w:p w14:paraId="0F02F2F1" w14:textId="77777777" w:rsidR="001C423B" w:rsidRPr="008C6195" w:rsidRDefault="001C423B" w:rsidP="001C423B">
      <w:r w:rsidRPr="008C6195">
        <w:t xml:space="preserve">Kutsyuruba, B., Godden, L., &amp; Tregunna, L. (2017). Early career teaching in Canada: Context, support, and policy. </w:t>
      </w:r>
      <w:r w:rsidRPr="008C6195">
        <w:rPr>
          <w:i/>
          <w:iCs/>
        </w:rPr>
        <w:t>Canadian Journal of Education Administration and Policy</w:t>
      </w:r>
      <w:r w:rsidRPr="008C6195">
        <w:t>, 185, 1–34.</w:t>
      </w:r>
    </w:p>
    <w:p w14:paraId="7F2ECB6F" w14:textId="77777777" w:rsidR="001C423B" w:rsidRPr="008C6195" w:rsidRDefault="001C423B" w:rsidP="001C423B">
      <w:r w:rsidRPr="008C6195">
        <w:t xml:space="preserve">Ng, P. T. (2022). Mentoring and teacher development in Singapore: System-wide alignment and coherence. </w:t>
      </w:r>
      <w:r w:rsidRPr="008C6195">
        <w:rPr>
          <w:i/>
          <w:iCs/>
        </w:rPr>
        <w:t>Asia Pacific Journal of Education</w:t>
      </w:r>
      <w:r w:rsidRPr="008C6195">
        <w:t>, 42(1), 4–20.</w:t>
      </w:r>
    </w:p>
    <w:p w14:paraId="413F50E5" w14:textId="77777777" w:rsidR="001C423B" w:rsidRPr="008C6195" w:rsidRDefault="001C423B" w:rsidP="001C423B">
      <w:r w:rsidRPr="008C6195">
        <w:t xml:space="preserve">OECD. (2020). </w:t>
      </w:r>
      <w:r w:rsidRPr="008C6195">
        <w:rPr>
          <w:i/>
          <w:iCs/>
        </w:rPr>
        <w:t>Teachers and school leaders as valued professionals: TALIS 2018 Results (Volume II)</w:t>
      </w:r>
      <w:r w:rsidRPr="008C6195">
        <w:t>. OECD Publishing.</w:t>
      </w:r>
    </w:p>
    <w:p w14:paraId="350F2680" w14:textId="77777777" w:rsidR="001C423B" w:rsidRPr="008C6195" w:rsidRDefault="001C423B" w:rsidP="001C423B">
      <w:r w:rsidRPr="008C6195">
        <w:t xml:space="preserve">Sahlberg, P. (2011). </w:t>
      </w:r>
      <w:r w:rsidRPr="008C6195">
        <w:rPr>
          <w:i/>
          <w:iCs/>
        </w:rPr>
        <w:t>Finnish lessons: What can the world learn from educational change in Finland?</w:t>
      </w:r>
      <w:r w:rsidRPr="008C6195">
        <w:t xml:space="preserve"> Teachers College Press.</w:t>
      </w:r>
    </w:p>
    <w:p w14:paraId="2144D704" w14:textId="77777777" w:rsidR="001C423B" w:rsidRPr="008C6195" w:rsidRDefault="001C423B" w:rsidP="001C423B">
      <w:r w:rsidRPr="008C6195">
        <w:t xml:space="preserve">Sharp, C., Sims, D., &amp; Poston, H. (2021). </w:t>
      </w:r>
      <w:r w:rsidRPr="008C6195">
        <w:rPr>
          <w:i/>
          <w:iCs/>
        </w:rPr>
        <w:t>School workforce challenges in England</w:t>
      </w:r>
      <w:r w:rsidRPr="008C6195">
        <w:t>. National Foundation for Educational Research (NFER).</w:t>
      </w:r>
    </w:p>
    <w:p w14:paraId="68F9781C" w14:textId="77777777" w:rsidR="001C423B" w:rsidRPr="008C6195" w:rsidRDefault="001C423B" w:rsidP="001C423B">
      <w:r w:rsidRPr="008C6195">
        <w:t xml:space="preserve">Torrance, H. (2022). Evidence, policy and practice in education: The tensions of professional autonomy and accountability. </w:t>
      </w:r>
      <w:r w:rsidRPr="008C6195">
        <w:rPr>
          <w:i/>
          <w:iCs/>
        </w:rPr>
        <w:t>British Educational Research Journal</w:t>
      </w:r>
      <w:r w:rsidRPr="008C6195">
        <w:t>, 48(1), 5–20.</w:t>
      </w:r>
    </w:p>
    <w:p w14:paraId="12A29F99" w14:textId="60773C09" w:rsidR="002377E1" w:rsidRDefault="001C423B" w:rsidP="005509A4">
      <w:r w:rsidRPr="008C6195">
        <w:t xml:space="preserve">Worth, J. (2021). </w:t>
      </w:r>
      <w:r w:rsidRPr="008C6195">
        <w:rPr>
          <w:i/>
          <w:iCs/>
        </w:rPr>
        <w:t>Teacher autonomy: How does it relate to job satisfaction and retention?</w:t>
      </w:r>
      <w:r w:rsidRPr="008C6195">
        <w:t xml:space="preserve"> NFER.</w:t>
      </w:r>
    </w:p>
    <w:sectPr w:rsidR="002377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C4A2E"/>
    <w:multiLevelType w:val="multilevel"/>
    <w:tmpl w:val="14427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FA21C8"/>
    <w:multiLevelType w:val="multilevel"/>
    <w:tmpl w:val="4118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1E06AF"/>
    <w:multiLevelType w:val="hybridMultilevel"/>
    <w:tmpl w:val="401A8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2098F"/>
    <w:multiLevelType w:val="hybridMultilevel"/>
    <w:tmpl w:val="D9FA0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2E1CD5"/>
    <w:multiLevelType w:val="hybridMultilevel"/>
    <w:tmpl w:val="A13015F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897A7A"/>
    <w:multiLevelType w:val="multilevel"/>
    <w:tmpl w:val="E4AEA1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4C0878"/>
    <w:multiLevelType w:val="hybridMultilevel"/>
    <w:tmpl w:val="4510E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E330AB"/>
    <w:multiLevelType w:val="multilevel"/>
    <w:tmpl w:val="764A5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089130">
    <w:abstractNumId w:val="4"/>
  </w:num>
  <w:num w:numId="2" w16cid:durableId="559445825">
    <w:abstractNumId w:val="6"/>
  </w:num>
  <w:num w:numId="3" w16cid:durableId="247692016">
    <w:abstractNumId w:val="2"/>
  </w:num>
  <w:num w:numId="4" w16cid:durableId="1587304707">
    <w:abstractNumId w:val="1"/>
  </w:num>
  <w:num w:numId="5" w16cid:durableId="1985163930">
    <w:abstractNumId w:val="7"/>
  </w:num>
  <w:num w:numId="6" w16cid:durableId="177547730">
    <w:abstractNumId w:val="0"/>
  </w:num>
  <w:num w:numId="7" w16cid:durableId="531189960">
    <w:abstractNumId w:val="5"/>
  </w:num>
  <w:num w:numId="8" w16cid:durableId="11278916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96F"/>
    <w:rsid w:val="00004989"/>
    <w:rsid w:val="00004B9F"/>
    <w:rsid w:val="00005967"/>
    <w:rsid w:val="00006AEC"/>
    <w:rsid w:val="00021E1C"/>
    <w:rsid w:val="00022766"/>
    <w:rsid w:val="000323B7"/>
    <w:rsid w:val="00036255"/>
    <w:rsid w:val="000422C7"/>
    <w:rsid w:val="000425FE"/>
    <w:rsid w:val="0006154C"/>
    <w:rsid w:val="000660B9"/>
    <w:rsid w:val="00066CEF"/>
    <w:rsid w:val="0007000D"/>
    <w:rsid w:val="00070ECA"/>
    <w:rsid w:val="0007362D"/>
    <w:rsid w:val="00074B74"/>
    <w:rsid w:val="00077FCE"/>
    <w:rsid w:val="00080EB8"/>
    <w:rsid w:val="00090351"/>
    <w:rsid w:val="00092C0D"/>
    <w:rsid w:val="0009798E"/>
    <w:rsid w:val="000A3AEE"/>
    <w:rsid w:val="000A72A4"/>
    <w:rsid w:val="000A7A03"/>
    <w:rsid w:val="000B1B94"/>
    <w:rsid w:val="000B1E23"/>
    <w:rsid w:val="000B6314"/>
    <w:rsid w:val="000B7631"/>
    <w:rsid w:val="000C28C0"/>
    <w:rsid w:val="000D2676"/>
    <w:rsid w:val="000D2C9A"/>
    <w:rsid w:val="000D595C"/>
    <w:rsid w:val="000E78CF"/>
    <w:rsid w:val="000F0827"/>
    <w:rsid w:val="000F60AF"/>
    <w:rsid w:val="001026CD"/>
    <w:rsid w:val="00105AD4"/>
    <w:rsid w:val="0011390A"/>
    <w:rsid w:val="001335AB"/>
    <w:rsid w:val="001403D0"/>
    <w:rsid w:val="0014522A"/>
    <w:rsid w:val="001473D8"/>
    <w:rsid w:val="00150E55"/>
    <w:rsid w:val="00156350"/>
    <w:rsid w:val="00165B4A"/>
    <w:rsid w:val="00170413"/>
    <w:rsid w:val="00180358"/>
    <w:rsid w:val="00181566"/>
    <w:rsid w:val="00183872"/>
    <w:rsid w:val="001A0A89"/>
    <w:rsid w:val="001A410E"/>
    <w:rsid w:val="001A4648"/>
    <w:rsid w:val="001A6FF9"/>
    <w:rsid w:val="001A78D3"/>
    <w:rsid w:val="001B17DA"/>
    <w:rsid w:val="001C0EC4"/>
    <w:rsid w:val="001C284C"/>
    <w:rsid w:val="001C3F20"/>
    <w:rsid w:val="001C423B"/>
    <w:rsid w:val="001F0FE8"/>
    <w:rsid w:val="002118A9"/>
    <w:rsid w:val="00211D05"/>
    <w:rsid w:val="00215564"/>
    <w:rsid w:val="00215B2E"/>
    <w:rsid w:val="00216006"/>
    <w:rsid w:val="00222880"/>
    <w:rsid w:val="00226CA6"/>
    <w:rsid w:val="0023330E"/>
    <w:rsid w:val="002377E1"/>
    <w:rsid w:val="002406AA"/>
    <w:rsid w:val="00243E98"/>
    <w:rsid w:val="00245572"/>
    <w:rsid w:val="0024564B"/>
    <w:rsid w:val="002463FD"/>
    <w:rsid w:val="00247A09"/>
    <w:rsid w:val="00253AF9"/>
    <w:rsid w:val="00256AE4"/>
    <w:rsid w:val="00270216"/>
    <w:rsid w:val="002925E5"/>
    <w:rsid w:val="00292AE0"/>
    <w:rsid w:val="0029448A"/>
    <w:rsid w:val="002B4BD4"/>
    <w:rsid w:val="002C2431"/>
    <w:rsid w:val="002C2A2C"/>
    <w:rsid w:val="002E3186"/>
    <w:rsid w:val="002E6161"/>
    <w:rsid w:val="002F3431"/>
    <w:rsid w:val="00301131"/>
    <w:rsid w:val="00313011"/>
    <w:rsid w:val="00313BCD"/>
    <w:rsid w:val="003206BA"/>
    <w:rsid w:val="00326AB3"/>
    <w:rsid w:val="00332C19"/>
    <w:rsid w:val="00334910"/>
    <w:rsid w:val="00344687"/>
    <w:rsid w:val="0036113C"/>
    <w:rsid w:val="00372DD5"/>
    <w:rsid w:val="00375129"/>
    <w:rsid w:val="00381AE1"/>
    <w:rsid w:val="00393C00"/>
    <w:rsid w:val="00394F6E"/>
    <w:rsid w:val="003B1A9D"/>
    <w:rsid w:val="003B3D5F"/>
    <w:rsid w:val="003B7FB8"/>
    <w:rsid w:val="003C2413"/>
    <w:rsid w:val="003C4909"/>
    <w:rsid w:val="003C79F3"/>
    <w:rsid w:val="003D4558"/>
    <w:rsid w:val="003D5B14"/>
    <w:rsid w:val="003E0783"/>
    <w:rsid w:val="003E1E01"/>
    <w:rsid w:val="003E6D62"/>
    <w:rsid w:val="003E6E11"/>
    <w:rsid w:val="003F66D0"/>
    <w:rsid w:val="00402299"/>
    <w:rsid w:val="0041139B"/>
    <w:rsid w:val="0042618E"/>
    <w:rsid w:val="00432BF4"/>
    <w:rsid w:val="00433EA9"/>
    <w:rsid w:val="004438D5"/>
    <w:rsid w:val="00460E2E"/>
    <w:rsid w:val="004709AC"/>
    <w:rsid w:val="00475AAE"/>
    <w:rsid w:val="004928BF"/>
    <w:rsid w:val="004A0704"/>
    <w:rsid w:val="004A5390"/>
    <w:rsid w:val="004B104F"/>
    <w:rsid w:val="004B639C"/>
    <w:rsid w:val="004B6799"/>
    <w:rsid w:val="004B7117"/>
    <w:rsid w:val="004C1516"/>
    <w:rsid w:val="004C3CCE"/>
    <w:rsid w:val="004D5D14"/>
    <w:rsid w:val="004D6580"/>
    <w:rsid w:val="004D73B3"/>
    <w:rsid w:val="004E528D"/>
    <w:rsid w:val="004E7682"/>
    <w:rsid w:val="004F3B23"/>
    <w:rsid w:val="004F70A0"/>
    <w:rsid w:val="005036E8"/>
    <w:rsid w:val="00511A52"/>
    <w:rsid w:val="005120AE"/>
    <w:rsid w:val="00526C01"/>
    <w:rsid w:val="005332B4"/>
    <w:rsid w:val="00537CFA"/>
    <w:rsid w:val="005509A4"/>
    <w:rsid w:val="0055215C"/>
    <w:rsid w:val="00562009"/>
    <w:rsid w:val="0056280A"/>
    <w:rsid w:val="00574B8D"/>
    <w:rsid w:val="00593DE7"/>
    <w:rsid w:val="005C74F2"/>
    <w:rsid w:val="005D6E38"/>
    <w:rsid w:val="005E65CC"/>
    <w:rsid w:val="005F1088"/>
    <w:rsid w:val="005F2E3D"/>
    <w:rsid w:val="0060096E"/>
    <w:rsid w:val="00602EAC"/>
    <w:rsid w:val="0060770B"/>
    <w:rsid w:val="00607B2D"/>
    <w:rsid w:val="006235F9"/>
    <w:rsid w:val="0064034E"/>
    <w:rsid w:val="0064638E"/>
    <w:rsid w:val="00646554"/>
    <w:rsid w:val="00654106"/>
    <w:rsid w:val="00655982"/>
    <w:rsid w:val="00663CCA"/>
    <w:rsid w:val="006674EE"/>
    <w:rsid w:val="0066775E"/>
    <w:rsid w:val="00680320"/>
    <w:rsid w:val="00694E7E"/>
    <w:rsid w:val="00696643"/>
    <w:rsid w:val="0069776F"/>
    <w:rsid w:val="006A57AA"/>
    <w:rsid w:val="006B1B95"/>
    <w:rsid w:val="006C3D91"/>
    <w:rsid w:val="006D5090"/>
    <w:rsid w:val="006E14D8"/>
    <w:rsid w:val="006E6F81"/>
    <w:rsid w:val="00700C93"/>
    <w:rsid w:val="00705E1E"/>
    <w:rsid w:val="00727F73"/>
    <w:rsid w:val="00731B14"/>
    <w:rsid w:val="0073489F"/>
    <w:rsid w:val="00735C5E"/>
    <w:rsid w:val="00745A13"/>
    <w:rsid w:val="00751420"/>
    <w:rsid w:val="00761543"/>
    <w:rsid w:val="00765557"/>
    <w:rsid w:val="00767059"/>
    <w:rsid w:val="00781CD6"/>
    <w:rsid w:val="00786965"/>
    <w:rsid w:val="007918D7"/>
    <w:rsid w:val="007A0AED"/>
    <w:rsid w:val="007A4D6D"/>
    <w:rsid w:val="007A50FC"/>
    <w:rsid w:val="007B0E6A"/>
    <w:rsid w:val="007B13D6"/>
    <w:rsid w:val="007C05C3"/>
    <w:rsid w:val="007C457D"/>
    <w:rsid w:val="007D29AE"/>
    <w:rsid w:val="007D3AA2"/>
    <w:rsid w:val="007D6CC8"/>
    <w:rsid w:val="007E2935"/>
    <w:rsid w:val="007F1F20"/>
    <w:rsid w:val="00817FEA"/>
    <w:rsid w:val="008330D4"/>
    <w:rsid w:val="00837085"/>
    <w:rsid w:val="008411FA"/>
    <w:rsid w:val="00847D9E"/>
    <w:rsid w:val="008525FA"/>
    <w:rsid w:val="00863C17"/>
    <w:rsid w:val="0087085D"/>
    <w:rsid w:val="00877776"/>
    <w:rsid w:val="0089061B"/>
    <w:rsid w:val="00892DAA"/>
    <w:rsid w:val="008A631D"/>
    <w:rsid w:val="008D3A34"/>
    <w:rsid w:val="008D7AD4"/>
    <w:rsid w:val="008E406C"/>
    <w:rsid w:val="008E4F95"/>
    <w:rsid w:val="009007BD"/>
    <w:rsid w:val="009062B7"/>
    <w:rsid w:val="009144B6"/>
    <w:rsid w:val="00915D4B"/>
    <w:rsid w:val="00925274"/>
    <w:rsid w:val="00931ACE"/>
    <w:rsid w:val="00934D30"/>
    <w:rsid w:val="009607D2"/>
    <w:rsid w:val="009616F8"/>
    <w:rsid w:val="00964889"/>
    <w:rsid w:val="00967F32"/>
    <w:rsid w:val="0097324C"/>
    <w:rsid w:val="009771B0"/>
    <w:rsid w:val="00981A74"/>
    <w:rsid w:val="0098431F"/>
    <w:rsid w:val="009923AE"/>
    <w:rsid w:val="00993522"/>
    <w:rsid w:val="00993ECD"/>
    <w:rsid w:val="009B2137"/>
    <w:rsid w:val="009C1AC2"/>
    <w:rsid w:val="009C21EF"/>
    <w:rsid w:val="009C7C34"/>
    <w:rsid w:val="009D0AAB"/>
    <w:rsid w:val="009D4268"/>
    <w:rsid w:val="009D46F6"/>
    <w:rsid w:val="009E42AF"/>
    <w:rsid w:val="009F0297"/>
    <w:rsid w:val="009F5005"/>
    <w:rsid w:val="009F5215"/>
    <w:rsid w:val="00A00C0D"/>
    <w:rsid w:val="00A044D0"/>
    <w:rsid w:val="00A1272A"/>
    <w:rsid w:val="00A167A7"/>
    <w:rsid w:val="00A21C32"/>
    <w:rsid w:val="00A379A8"/>
    <w:rsid w:val="00A400B9"/>
    <w:rsid w:val="00A42FD9"/>
    <w:rsid w:val="00A5040B"/>
    <w:rsid w:val="00A51121"/>
    <w:rsid w:val="00A55FC1"/>
    <w:rsid w:val="00A57559"/>
    <w:rsid w:val="00A579B5"/>
    <w:rsid w:val="00A737E2"/>
    <w:rsid w:val="00A75F72"/>
    <w:rsid w:val="00A77D3D"/>
    <w:rsid w:val="00A82E00"/>
    <w:rsid w:val="00A86BBC"/>
    <w:rsid w:val="00A905E1"/>
    <w:rsid w:val="00A928E3"/>
    <w:rsid w:val="00A946BC"/>
    <w:rsid w:val="00AA5016"/>
    <w:rsid w:val="00AA600F"/>
    <w:rsid w:val="00AA7992"/>
    <w:rsid w:val="00AB0678"/>
    <w:rsid w:val="00AB0DFE"/>
    <w:rsid w:val="00AB0F85"/>
    <w:rsid w:val="00AB1332"/>
    <w:rsid w:val="00AB1F42"/>
    <w:rsid w:val="00AB7EAE"/>
    <w:rsid w:val="00AC3883"/>
    <w:rsid w:val="00AD5746"/>
    <w:rsid w:val="00AE315D"/>
    <w:rsid w:val="00AE5E05"/>
    <w:rsid w:val="00AF565F"/>
    <w:rsid w:val="00AF6EED"/>
    <w:rsid w:val="00AF77CC"/>
    <w:rsid w:val="00B05F5C"/>
    <w:rsid w:val="00B17B7B"/>
    <w:rsid w:val="00B252D8"/>
    <w:rsid w:val="00B26839"/>
    <w:rsid w:val="00B27308"/>
    <w:rsid w:val="00B32A5F"/>
    <w:rsid w:val="00B340FB"/>
    <w:rsid w:val="00B40389"/>
    <w:rsid w:val="00B4790F"/>
    <w:rsid w:val="00B641E8"/>
    <w:rsid w:val="00B669EA"/>
    <w:rsid w:val="00B81B14"/>
    <w:rsid w:val="00B81D66"/>
    <w:rsid w:val="00B91479"/>
    <w:rsid w:val="00B91E5C"/>
    <w:rsid w:val="00B97660"/>
    <w:rsid w:val="00BA0A97"/>
    <w:rsid w:val="00BB3D9F"/>
    <w:rsid w:val="00BC74E7"/>
    <w:rsid w:val="00BD367D"/>
    <w:rsid w:val="00BD38E9"/>
    <w:rsid w:val="00BE365D"/>
    <w:rsid w:val="00BE65EF"/>
    <w:rsid w:val="00BF1EE1"/>
    <w:rsid w:val="00C01D8D"/>
    <w:rsid w:val="00C17C9E"/>
    <w:rsid w:val="00C241A8"/>
    <w:rsid w:val="00C2457E"/>
    <w:rsid w:val="00C279F7"/>
    <w:rsid w:val="00C3334F"/>
    <w:rsid w:val="00C5199F"/>
    <w:rsid w:val="00C52220"/>
    <w:rsid w:val="00C702E7"/>
    <w:rsid w:val="00C77689"/>
    <w:rsid w:val="00C855BF"/>
    <w:rsid w:val="00C9269D"/>
    <w:rsid w:val="00C93297"/>
    <w:rsid w:val="00C9526D"/>
    <w:rsid w:val="00C96796"/>
    <w:rsid w:val="00C975E6"/>
    <w:rsid w:val="00CA00C3"/>
    <w:rsid w:val="00CA59CD"/>
    <w:rsid w:val="00CA6E46"/>
    <w:rsid w:val="00CB7109"/>
    <w:rsid w:val="00CD366E"/>
    <w:rsid w:val="00CD7F20"/>
    <w:rsid w:val="00CF5AB7"/>
    <w:rsid w:val="00D04F64"/>
    <w:rsid w:val="00D11E67"/>
    <w:rsid w:val="00D12653"/>
    <w:rsid w:val="00D152BA"/>
    <w:rsid w:val="00D22194"/>
    <w:rsid w:val="00D2536E"/>
    <w:rsid w:val="00D321A7"/>
    <w:rsid w:val="00D324F2"/>
    <w:rsid w:val="00D41E68"/>
    <w:rsid w:val="00D56140"/>
    <w:rsid w:val="00D615A1"/>
    <w:rsid w:val="00D6161F"/>
    <w:rsid w:val="00D67D39"/>
    <w:rsid w:val="00D74E17"/>
    <w:rsid w:val="00D7682D"/>
    <w:rsid w:val="00D7693A"/>
    <w:rsid w:val="00D80B0B"/>
    <w:rsid w:val="00D9764D"/>
    <w:rsid w:val="00DA5EB4"/>
    <w:rsid w:val="00DA6B54"/>
    <w:rsid w:val="00DB1196"/>
    <w:rsid w:val="00DB3606"/>
    <w:rsid w:val="00DC080F"/>
    <w:rsid w:val="00DC10F2"/>
    <w:rsid w:val="00DC72CD"/>
    <w:rsid w:val="00DC7465"/>
    <w:rsid w:val="00DD0218"/>
    <w:rsid w:val="00DE01BD"/>
    <w:rsid w:val="00DE4048"/>
    <w:rsid w:val="00DE639E"/>
    <w:rsid w:val="00DF0877"/>
    <w:rsid w:val="00DF2AC0"/>
    <w:rsid w:val="00DF320E"/>
    <w:rsid w:val="00DF4989"/>
    <w:rsid w:val="00DF7FBC"/>
    <w:rsid w:val="00E06374"/>
    <w:rsid w:val="00E106E2"/>
    <w:rsid w:val="00E15CF4"/>
    <w:rsid w:val="00E233A7"/>
    <w:rsid w:val="00E25573"/>
    <w:rsid w:val="00E31FFF"/>
    <w:rsid w:val="00E345D1"/>
    <w:rsid w:val="00E358B1"/>
    <w:rsid w:val="00E36D19"/>
    <w:rsid w:val="00E469D3"/>
    <w:rsid w:val="00E50E86"/>
    <w:rsid w:val="00E623DA"/>
    <w:rsid w:val="00E630D9"/>
    <w:rsid w:val="00E6380D"/>
    <w:rsid w:val="00E673F5"/>
    <w:rsid w:val="00E76F62"/>
    <w:rsid w:val="00E9434D"/>
    <w:rsid w:val="00EA03D6"/>
    <w:rsid w:val="00EB0B63"/>
    <w:rsid w:val="00EC316B"/>
    <w:rsid w:val="00EC474A"/>
    <w:rsid w:val="00ED1FAB"/>
    <w:rsid w:val="00EE61ED"/>
    <w:rsid w:val="00F00A27"/>
    <w:rsid w:val="00F05A0A"/>
    <w:rsid w:val="00F12645"/>
    <w:rsid w:val="00F26748"/>
    <w:rsid w:val="00F31CFD"/>
    <w:rsid w:val="00F3596F"/>
    <w:rsid w:val="00F44DC7"/>
    <w:rsid w:val="00F45F35"/>
    <w:rsid w:val="00F507D3"/>
    <w:rsid w:val="00F610AE"/>
    <w:rsid w:val="00F64383"/>
    <w:rsid w:val="00F76FE0"/>
    <w:rsid w:val="00F77CBF"/>
    <w:rsid w:val="00F86BE3"/>
    <w:rsid w:val="00F8712B"/>
    <w:rsid w:val="00F8768D"/>
    <w:rsid w:val="00FA2674"/>
    <w:rsid w:val="00FA700B"/>
    <w:rsid w:val="00FB03DA"/>
    <w:rsid w:val="00FC4F78"/>
    <w:rsid w:val="00FD31FA"/>
    <w:rsid w:val="00FE1635"/>
    <w:rsid w:val="00FE58EC"/>
    <w:rsid w:val="00FE58ED"/>
    <w:rsid w:val="00FE7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AAEA3"/>
  <w15:chartTrackingRefBased/>
  <w15:docId w15:val="{AEB6D336-F2D3-9940-8F59-6D0ED2E3B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59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59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59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9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9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9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9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9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9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9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59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59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9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9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9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9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9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96F"/>
    <w:rPr>
      <w:rFonts w:eastAsiaTheme="majorEastAsia" w:cstheme="majorBidi"/>
      <w:color w:val="272727" w:themeColor="text1" w:themeTint="D8"/>
    </w:rPr>
  </w:style>
  <w:style w:type="paragraph" w:styleId="Title">
    <w:name w:val="Title"/>
    <w:basedOn w:val="Normal"/>
    <w:next w:val="Normal"/>
    <w:link w:val="TitleChar"/>
    <w:uiPriority w:val="10"/>
    <w:qFormat/>
    <w:rsid w:val="00F359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9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9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9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96F"/>
    <w:pPr>
      <w:spacing w:before="160"/>
      <w:jc w:val="center"/>
    </w:pPr>
    <w:rPr>
      <w:i/>
      <w:iCs/>
      <w:color w:val="404040" w:themeColor="text1" w:themeTint="BF"/>
    </w:rPr>
  </w:style>
  <w:style w:type="character" w:customStyle="1" w:styleId="QuoteChar">
    <w:name w:val="Quote Char"/>
    <w:basedOn w:val="DefaultParagraphFont"/>
    <w:link w:val="Quote"/>
    <w:uiPriority w:val="29"/>
    <w:rsid w:val="00F3596F"/>
    <w:rPr>
      <w:i/>
      <w:iCs/>
      <w:color w:val="404040" w:themeColor="text1" w:themeTint="BF"/>
    </w:rPr>
  </w:style>
  <w:style w:type="paragraph" w:styleId="ListParagraph">
    <w:name w:val="List Paragraph"/>
    <w:basedOn w:val="Normal"/>
    <w:uiPriority w:val="34"/>
    <w:qFormat/>
    <w:rsid w:val="00F3596F"/>
    <w:pPr>
      <w:ind w:left="720"/>
      <w:contextualSpacing/>
    </w:pPr>
  </w:style>
  <w:style w:type="character" w:styleId="IntenseEmphasis">
    <w:name w:val="Intense Emphasis"/>
    <w:basedOn w:val="DefaultParagraphFont"/>
    <w:uiPriority w:val="21"/>
    <w:qFormat/>
    <w:rsid w:val="00F3596F"/>
    <w:rPr>
      <w:i/>
      <w:iCs/>
      <w:color w:val="0F4761" w:themeColor="accent1" w:themeShade="BF"/>
    </w:rPr>
  </w:style>
  <w:style w:type="paragraph" w:styleId="IntenseQuote">
    <w:name w:val="Intense Quote"/>
    <w:basedOn w:val="Normal"/>
    <w:next w:val="Normal"/>
    <w:link w:val="IntenseQuoteChar"/>
    <w:uiPriority w:val="30"/>
    <w:qFormat/>
    <w:rsid w:val="00F359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96F"/>
    <w:rPr>
      <w:i/>
      <w:iCs/>
      <w:color w:val="0F4761" w:themeColor="accent1" w:themeShade="BF"/>
    </w:rPr>
  </w:style>
  <w:style w:type="character" w:styleId="IntenseReference">
    <w:name w:val="Intense Reference"/>
    <w:basedOn w:val="DefaultParagraphFont"/>
    <w:uiPriority w:val="32"/>
    <w:qFormat/>
    <w:rsid w:val="00F3596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1793728">
      <w:bodyDiv w:val="1"/>
      <w:marLeft w:val="0"/>
      <w:marRight w:val="0"/>
      <w:marTop w:val="0"/>
      <w:marBottom w:val="0"/>
      <w:divBdr>
        <w:top w:val="none" w:sz="0" w:space="0" w:color="auto"/>
        <w:left w:val="none" w:sz="0" w:space="0" w:color="auto"/>
        <w:bottom w:val="none" w:sz="0" w:space="0" w:color="auto"/>
        <w:right w:val="none" w:sz="0" w:space="0" w:color="auto"/>
      </w:divBdr>
    </w:div>
    <w:div w:id="1458064415">
      <w:bodyDiv w:val="1"/>
      <w:marLeft w:val="0"/>
      <w:marRight w:val="0"/>
      <w:marTop w:val="0"/>
      <w:marBottom w:val="0"/>
      <w:divBdr>
        <w:top w:val="none" w:sz="0" w:space="0" w:color="auto"/>
        <w:left w:val="none" w:sz="0" w:space="0" w:color="auto"/>
        <w:bottom w:val="none" w:sz="0" w:space="0" w:color="auto"/>
        <w:right w:val="none" w:sz="0" w:space="0" w:color="auto"/>
      </w:divBdr>
    </w:div>
    <w:div w:id="1630741939">
      <w:bodyDiv w:val="1"/>
      <w:marLeft w:val="0"/>
      <w:marRight w:val="0"/>
      <w:marTop w:val="0"/>
      <w:marBottom w:val="0"/>
      <w:divBdr>
        <w:top w:val="none" w:sz="0" w:space="0" w:color="auto"/>
        <w:left w:val="none" w:sz="0" w:space="0" w:color="auto"/>
        <w:bottom w:val="none" w:sz="0" w:space="0" w:color="auto"/>
        <w:right w:val="none" w:sz="0" w:space="0" w:color="auto"/>
      </w:divBdr>
    </w:div>
    <w:div w:id="2074236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TotalTime>
  <Pages>21</Pages>
  <Words>6808</Words>
  <Characters>38812</Characters>
  <Application>Microsoft Office Word</Application>
  <DocSecurity>0</DocSecurity>
  <Lines>323</Lines>
  <Paragraphs>91</Paragraphs>
  <ScaleCrop>false</ScaleCrop>
  <Company/>
  <LinksUpToDate>false</LinksUpToDate>
  <CharactersWithSpaces>45529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 Welch</dc:creator>
  <cp:keywords/>
  <dc:description/>
  <cp:lastModifiedBy>Ant Welch</cp:lastModifiedBy>
  <cp:revision>72</cp:revision>
  <dcterms:created xsi:type="dcterms:W3CDTF">2025-03-31T18:26:00Z</dcterms:created>
  <dcterms:modified xsi:type="dcterms:W3CDTF">2025-03-31T19:59:00Z</dcterms:modified>
</cp:coreProperties>
</file>