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E2E2B" w14:textId="2395A57A" w:rsidR="000D1A2B" w:rsidRPr="000D1A2B" w:rsidRDefault="000D1A2B" w:rsidP="000D1A2B">
      <w:pPr>
        <w:spacing w:line="480" w:lineRule="auto"/>
        <w:jc w:val="center"/>
        <w:rPr>
          <w:b/>
          <w:sz w:val="24"/>
          <w:szCs w:val="24"/>
        </w:rPr>
      </w:pPr>
      <w:r>
        <w:rPr>
          <w:b/>
          <w:sz w:val="24"/>
          <w:szCs w:val="24"/>
        </w:rPr>
        <w:t>Sonnet 146</w:t>
      </w:r>
    </w:p>
    <w:p w14:paraId="0CA0A57B" w14:textId="770E2FBF" w:rsidR="00404FD9" w:rsidRDefault="00F25968" w:rsidP="000D1A2B">
      <w:pPr>
        <w:spacing w:line="480" w:lineRule="auto"/>
      </w:pPr>
      <w:r>
        <w:t>Within</w:t>
      </w:r>
      <w:r w:rsidR="007772EF">
        <w:t xml:space="preserve"> </w:t>
      </w:r>
      <w:r>
        <w:t xml:space="preserve">this short essay </w:t>
      </w:r>
      <w:r w:rsidR="007772EF">
        <w:t>I will be discussing Shakespeare’s sonnet 146</w:t>
      </w:r>
      <w:r w:rsidR="00BD2540">
        <w:t xml:space="preserve"> and it’s interpretation of</w:t>
      </w:r>
      <w:r w:rsidR="00E97FDE">
        <w:t xml:space="preserve"> ‘feeding’. </w:t>
      </w:r>
      <w:r w:rsidR="007772EF">
        <w:t xml:space="preserve">Shakespeare had written many plays and sonnets but here I wish to talk about sonnet 146 in greater detail. Sonnets are </w:t>
      </w:r>
      <w:r w:rsidR="003B5C74">
        <w:t>not like other poems where there are no rules as to how long or short a poem can be</w:t>
      </w:r>
      <w:r w:rsidR="007A0331">
        <w:t>. T</w:t>
      </w:r>
      <w:r w:rsidR="003B5C74">
        <w:t>here are rules and laws which writers have to abide by for it to be classed as a sonnet for example, a sonnet must contain no more or less than fourteen decasyllabic lines.</w:t>
      </w:r>
      <w:r w:rsidR="007E7F35">
        <w:rPr>
          <w:rStyle w:val="FootnoteReference"/>
        </w:rPr>
        <w:footnoteReference w:id="1"/>
      </w:r>
      <w:r w:rsidR="00B23700">
        <w:br/>
      </w:r>
      <w:r w:rsidR="00BD23A8">
        <w:t>I will briefly discuss each line of sonnet 146.</w:t>
      </w:r>
      <w:r w:rsidR="003B5C74">
        <w:t xml:space="preserve"> </w:t>
      </w:r>
      <w:r w:rsidR="00404FD9">
        <w:br/>
      </w:r>
      <w:r w:rsidR="00DE4E71">
        <w:rPr>
          <w:rFonts w:ascii="Arial" w:hAnsi="Arial" w:cs="Arial"/>
          <w:color w:val="000000"/>
        </w:rPr>
        <w:t>‘</w:t>
      </w:r>
      <w:r w:rsidR="00C77FD3" w:rsidRPr="00404FD9">
        <w:rPr>
          <w:rFonts w:ascii="Arial" w:hAnsi="Arial" w:cs="Arial"/>
          <w:color w:val="000000"/>
        </w:rPr>
        <w:t>Poor soul, the centre of my sinful earth,</w:t>
      </w:r>
      <w:r w:rsidR="00C77FD3" w:rsidRPr="00404FD9">
        <w:rPr>
          <w:rFonts w:ascii="Arial" w:hAnsi="Arial" w:cs="Arial"/>
          <w:color w:val="000000"/>
        </w:rPr>
        <w:br/>
        <w:t>[Why feed'st] these rebel powers that thee array?</w:t>
      </w:r>
      <w:r w:rsidR="00C77FD3" w:rsidRPr="00404FD9">
        <w:rPr>
          <w:rFonts w:ascii="Arial" w:hAnsi="Arial" w:cs="Arial"/>
          <w:color w:val="000000"/>
        </w:rPr>
        <w:br/>
        <w:t>Why dost thou pine within, and suffer dearth,</w:t>
      </w:r>
      <w:r w:rsidR="00C77FD3" w:rsidRPr="00404FD9">
        <w:rPr>
          <w:rFonts w:ascii="Arial" w:hAnsi="Arial" w:cs="Arial"/>
          <w:color w:val="000000"/>
        </w:rPr>
        <w:br/>
        <w:t>Painting thy outward walls so costly gay?</w:t>
      </w:r>
      <w:r w:rsidR="00C77FD3" w:rsidRPr="00404FD9">
        <w:rPr>
          <w:rFonts w:ascii="Arial" w:hAnsi="Arial" w:cs="Arial"/>
          <w:color w:val="000000"/>
        </w:rPr>
        <w:br/>
        <w:t>Why so large cost, having so short a lease,</w:t>
      </w:r>
      <w:r w:rsidR="00C77FD3" w:rsidRPr="00404FD9">
        <w:rPr>
          <w:rFonts w:ascii="Arial" w:hAnsi="Arial" w:cs="Arial"/>
          <w:color w:val="000000"/>
        </w:rPr>
        <w:br/>
        <w:t>Dost thou upon thy fading mansion spend?</w:t>
      </w:r>
      <w:r w:rsidR="00C77FD3" w:rsidRPr="00404FD9">
        <w:rPr>
          <w:rFonts w:ascii="Arial" w:hAnsi="Arial" w:cs="Arial"/>
          <w:color w:val="000000"/>
        </w:rPr>
        <w:br/>
        <w:t>Shall worms, inheritors of this excess,</w:t>
      </w:r>
      <w:r w:rsidR="00C77FD3" w:rsidRPr="00404FD9">
        <w:rPr>
          <w:rFonts w:ascii="Arial" w:hAnsi="Arial" w:cs="Arial"/>
          <w:color w:val="000000"/>
        </w:rPr>
        <w:br/>
        <w:t>Eat up thy charge? is this thy body's end?</w:t>
      </w:r>
      <w:r w:rsidR="00C77FD3" w:rsidRPr="00404FD9">
        <w:rPr>
          <w:rFonts w:ascii="Arial" w:hAnsi="Arial" w:cs="Arial"/>
          <w:color w:val="000000"/>
        </w:rPr>
        <w:br/>
        <w:t>Then soul, live thou upon thy servant's loss,</w:t>
      </w:r>
      <w:r w:rsidR="00C77FD3" w:rsidRPr="00404FD9">
        <w:rPr>
          <w:rFonts w:ascii="Arial" w:hAnsi="Arial" w:cs="Arial"/>
          <w:color w:val="000000"/>
        </w:rPr>
        <w:br/>
        <w:t>And let that pine to aggravate thy store;</w:t>
      </w:r>
      <w:r w:rsidR="00C77FD3" w:rsidRPr="00404FD9">
        <w:rPr>
          <w:rFonts w:ascii="Arial" w:hAnsi="Arial" w:cs="Arial"/>
          <w:color w:val="000000"/>
        </w:rPr>
        <w:br/>
        <w:t>Buy terms divine in selling hours of dross;</w:t>
      </w:r>
      <w:r w:rsidR="00C77FD3" w:rsidRPr="00404FD9">
        <w:rPr>
          <w:rFonts w:ascii="Arial" w:hAnsi="Arial" w:cs="Arial"/>
          <w:color w:val="000000"/>
        </w:rPr>
        <w:br/>
        <w:t>Within be fed, without be rich no more:</w:t>
      </w:r>
      <w:r w:rsidR="00C77FD3" w:rsidRPr="00404FD9">
        <w:rPr>
          <w:rFonts w:ascii="Arial" w:hAnsi="Arial" w:cs="Arial"/>
          <w:color w:val="000000"/>
        </w:rPr>
        <w:br/>
        <w:t>So shalt thou feed on Death, that feeds on men,</w:t>
      </w:r>
      <w:r w:rsidR="00C77FD3" w:rsidRPr="00404FD9">
        <w:rPr>
          <w:rFonts w:ascii="Arial" w:hAnsi="Arial" w:cs="Arial"/>
          <w:color w:val="000000"/>
        </w:rPr>
        <w:br/>
        <w:t>And, Death once dead, there's no more dying then.</w:t>
      </w:r>
      <w:r w:rsidR="00DE4E71">
        <w:rPr>
          <w:rFonts w:ascii="Arial" w:hAnsi="Arial" w:cs="Arial"/>
          <w:color w:val="000000"/>
        </w:rPr>
        <w:t>’</w:t>
      </w:r>
      <w:r w:rsidR="007E4D6D" w:rsidRPr="00404FD9">
        <w:rPr>
          <w:rStyle w:val="FootnoteReference"/>
        </w:rPr>
        <w:footnoteReference w:id="2"/>
      </w:r>
    </w:p>
    <w:p w14:paraId="4E2926CA" w14:textId="77777777" w:rsidR="00E04986" w:rsidRDefault="00BD23A8" w:rsidP="000D1A2B">
      <w:pPr>
        <w:spacing w:line="480" w:lineRule="auto"/>
      </w:pPr>
      <w:r>
        <w:t xml:space="preserve">I believe that the sinful earth is the body and that the poor soul lives within the centre of the body. </w:t>
      </w:r>
      <w:r w:rsidR="000F4118">
        <w:t>Shakespeare</w:t>
      </w:r>
      <w:r>
        <w:t xml:space="preserve"> is using a dualism to show the relationship between body and soul</w:t>
      </w:r>
      <w:r w:rsidR="000F4118">
        <w:t>. Shakespeare says that the body is sinful</w:t>
      </w:r>
      <w:r w:rsidR="00853BB2">
        <w:t>,</w:t>
      </w:r>
      <w:r w:rsidR="000F4118">
        <w:t xml:space="preserve"> as if it is lesser than the soul. The poem speaks about rebel power which may </w:t>
      </w:r>
      <w:r w:rsidR="000F4118">
        <w:lastRenderedPageBreak/>
        <w:t>be meaning to temptation to the body or maybe</w:t>
      </w:r>
      <w:r w:rsidR="00E111D7">
        <w:t>,</w:t>
      </w:r>
      <w:r w:rsidR="000F4118">
        <w:t xml:space="preserve"> the soul rebelling against the body with the missing text it could be seen in either way.</w:t>
      </w:r>
      <w:r w:rsidR="00E111D7">
        <w:t xml:space="preserve"> With the words</w:t>
      </w:r>
      <w:r w:rsidR="00B07ADD">
        <w:t xml:space="preserve"> </w:t>
      </w:r>
      <w:r w:rsidR="00E111D7">
        <w:t xml:space="preserve">pine within and suffer dearth it seems that Shakespeare is describing the soul </w:t>
      </w:r>
      <w:r w:rsidR="006C371E">
        <w:t>as</w:t>
      </w:r>
      <w:r w:rsidR="00E111D7">
        <w:t xml:space="preserve"> aching from a lack of nourishment. The sonnet brings in a </w:t>
      </w:r>
      <w:r w:rsidR="00A81D83">
        <w:t>metaphor of a house, describing the body like a mansion. With this being said</w:t>
      </w:r>
      <w:r w:rsidR="004626E9">
        <w:t>,</w:t>
      </w:r>
      <w:r w:rsidR="00A81D83">
        <w:t xml:space="preserve"> the soul continues to argue that the body is selfish by lavishing the body needs and ignoring the spiritual needs. The soul then tries to reason with the body as if it</w:t>
      </w:r>
      <w:r w:rsidR="00AC0839">
        <w:t>’</w:t>
      </w:r>
      <w:r w:rsidR="00A81D83">
        <w:t>s asking why</w:t>
      </w:r>
      <w:r w:rsidR="00EB5A1C">
        <w:t xml:space="preserve"> spend</w:t>
      </w:r>
      <w:r w:rsidR="00A81D83">
        <w:t xml:space="preserve"> so much effort on physical pleasures on the body, when the body is like a fading mansion and not going to last. </w:t>
      </w:r>
      <w:r w:rsidR="00EB5A1C">
        <w:t xml:space="preserve">Finally the soul gives the body the conclusion, stating that in the end the only thing what </w:t>
      </w:r>
      <w:r w:rsidR="00645549">
        <w:t>b</w:t>
      </w:r>
      <w:r w:rsidR="00EB5A1C">
        <w:t>en</w:t>
      </w:r>
      <w:r w:rsidR="00645549">
        <w:t>e</w:t>
      </w:r>
      <w:r w:rsidR="00EB5A1C">
        <w:t>fits is the worms</w:t>
      </w:r>
      <w:r w:rsidR="00915A7F">
        <w:t>,</w:t>
      </w:r>
      <w:r w:rsidR="00EB5A1C">
        <w:t xml:space="preserve"> as they will eat the body when you die. Shakespeare uses three rhetorical questions to state the obvious.</w:t>
      </w:r>
      <w:r w:rsidR="00EB5A1C">
        <w:br/>
        <w:t>The second part of the sonnet is where the volta comes in</w:t>
      </w:r>
      <w:r w:rsidR="00915A7F">
        <w:t>,</w:t>
      </w:r>
      <w:r w:rsidR="00EB5A1C">
        <w:t xml:space="preserve"> which means a turn in the sonnet, within the argument.</w:t>
      </w:r>
      <w:r w:rsidR="00EB5A1C">
        <w:rPr>
          <w:rStyle w:val="FootnoteReference"/>
        </w:rPr>
        <w:footnoteReference w:id="3"/>
      </w:r>
      <w:r w:rsidR="007E4D6D">
        <w:t xml:space="preserve"> </w:t>
      </w:r>
      <w:r w:rsidR="00EB5A1C">
        <w:t xml:space="preserve">Shakespeare then </w:t>
      </w:r>
      <w:r w:rsidR="00BA19FB">
        <w:t>encourages</w:t>
      </w:r>
      <w:r w:rsidR="00EB5A1C">
        <w:t xml:space="preserve"> the soul to turn the tables on the body, wanting to make the body suffer and pine for a change, as if the soul is knocking on the door of the body asking </w:t>
      </w:r>
    </w:p>
    <w:p w14:paraId="7B5182E2" w14:textId="77777777" w:rsidR="00E04986" w:rsidRDefault="00E04986">
      <w:r>
        <w:br w:type="page"/>
      </w:r>
    </w:p>
    <w:p w14:paraId="6BE732B5" w14:textId="3F519137" w:rsidR="00E04986" w:rsidRDefault="00E04986" w:rsidP="000D1A2B">
      <w:pPr>
        <w:spacing w:line="480" w:lineRule="auto"/>
        <w:rPr>
          <w:b/>
        </w:rPr>
      </w:pPr>
      <w:r w:rsidRPr="00E04986">
        <w:rPr>
          <w:b/>
        </w:rPr>
        <w:lastRenderedPageBreak/>
        <w:t xml:space="preserve">Bibliography </w:t>
      </w:r>
    </w:p>
    <w:p w14:paraId="373CC56B" w14:textId="016F2E4E" w:rsidR="00E04986" w:rsidRDefault="00B163F3" w:rsidP="000D1A2B">
      <w:pPr>
        <w:spacing w:line="480" w:lineRule="auto"/>
        <w:rPr>
          <w:b/>
        </w:rPr>
      </w:pPr>
      <w:r>
        <w:rPr>
          <w:b/>
        </w:rPr>
        <w:t>Secondary Sources</w:t>
      </w:r>
      <w:r>
        <w:rPr>
          <w:b/>
        </w:rPr>
        <w:br/>
      </w:r>
      <w:r w:rsidR="00865A7F">
        <w:t>Booth, S</w:t>
      </w:r>
      <w:r w:rsidR="00F2365C">
        <w:t xml:space="preserve">. 2000. </w:t>
      </w:r>
      <w:r w:rsidR="00512DB7" w:rsidRPr="00512DB7">
        <w:rPr>
          <w:i/>
        </w:rPr>
        <w:t>Shakespeare's Sonnets</w:t>
      </w:r>
      <w:r w:rsidR="00512DB7">
        <w:t>. New Haven:</w:t>
      </w:r>
      <w:r w:rsidR="00E106FA">
        <w:t xml:space="preserve"> Yale University Press.</w:t>
      </w:r>
      <w:r>
        <w:rPr>
          <w:b/>
        </w:rPr>
        <w:br/>
      </w:r>
    </w:p>
    <w:p w14:paraId="1A11E5B2" w14:textId="737AEC4D" w:rsidR="00E106FA" w:rsidRPr="003D06D4" w:rsidRDefault="00B163F3" w:rsidP="000D1A2B">
      <w:pPr>
        <w:spacing w:line="480" w:lineRule="auto"/>
        <w:rPr>
          <w:b/>
        </w:rPr>
      </w:pPr>
      <w:r>
        <w:rPr>
          <w:b/>
        </w:rPr>
        <w:t>Internet Sources</w:t>
      </w:r>
      <w:r w:rsidR="003D06D4">
        <w:rPr>
          <w:b/>
        </w:rPr>
        <w:br/>
      </w:r>
      <w:r w:rsidR="00027485" w:rsidRPr="00806B04">
        <w:t xml:space="preserve">Britannica </w:t>
      </w:r>
      <w:r w:rsidR="00147795">
        <w:t>O</w:t>
      </w:r>
      <w:r w:rsidR="00F34CF6" w:rsidRPr="00806B04">
        <w:t xml:space="preserve">nline. ‘Volta Poetry’ </w:t>
      </w:r>
      <w:r w:rsidR="00DA5E0C" w:rsidRPr="00806B04">
        <w:t>2018. Britannica</w:t>
      </w:r>
      <w:r w:rsidR="002D16B2" w:rsidRPr="00806B04">
        <w:t xml:space="preserve">. </w:t>
      </w:r>
      <w:hyperlink r:id="rId7" w:history="1">
        <w:r w:rsidR="002D16B2" w:rsidRPr="00806B04">
          <w:rPr>
            <w:rStyle w:val="Hyperlink"/>
          </w:rPr>
          <w:t>https://www.britannica.com/art/volta-poetry</w:t>
        </w:r>
      </w:hyperlink>
      <w:r w:rsidR="002D16B2" w:rsidRPr="00806B04">
        <w:t>. [accessed on 1</w:t>
      </w:r>
      <w:r w:rsidR="002D16B2" w:rsidRPr="00806B04">
        <w:rPr>
          <w:vertAlign w:val="superscript"/>
        </w:rPr>
        <w:t>st</w:t>
      </w:r>
      <w:r w:rsidR="002D16B2" w:rsidRPr="00806B04">
        <w:t xml:space="preserve"> April </w:t>
      </w:r>
      <w:r w:rsidR="00806B04" w:rsidRPr="00806B04">
        <w:t>2018]</w:t>
      </w:r>
      <w:r w:rsidR="00806B04">
        <w:br/>
        <w:t>Shakesp</w:t>
      </w:r>
      <w:r w:rsidR="00147795">
        <w:t>eare Online. ‘</w:t>
      </w:r>
      <w:r w:rsidR="00FE4F75" w:rsidRPr="00FE4F75">
        <w:t>Shakespeare Sonnet 146</w:t>
      </w:r>
      <w:r w:rsidR="00FE4F75">
        <w:t xml:space="preserve">’ 2018. Shakespeare Online. </w:t>
      </w:r>
      <w:hyperlink r:id="rId8" w:history="1">
        <w:r w:rsidR="00FE4F75" w:rsidRPr="00733262">
          <w:rPr>
            <w:rStyle w:val="Hyperlink"/>
          </w:rPr>
          <w:t>http://www.shakespeare-online.com/sonnets/146.html</w:t>
        </w:r>
      </w:hyperlink>
      <w:r w:rsidR="00FE4F75">
        <w:t>. [accessed on 1</w:t>
      </w:r>
      <w:r w:rsidR="00FE4F75" w:rsidRPr="00FE4F75">
        <w:rPr>
          <w:vertAlign w:val="superscript"/>
        </w:rPr>
        <w:t>st</w:t>
      </w:r>
      <w:r w:rsidR="00FE4F75">
        <w:t xml:space="preserve"> April 2018]</w:t>
      </w:r>
      <w:bookmarkStart w:id="0" w:name="_GoBack"/>
      <w:bookmarkEnd w:id="0"/>
    </w:p>
    <w:p w14:paraId="20F7D9F0" w14:textId="77777777" w:rsidR="00E04986" w:rsidRDefault="00E04986">
      <w:r>
        <w:br w:type="page"/>
      </w:r>
    </w:p>
    <w:p w14:paraId="58B5B076" w14:textId="1F913701" w:rsidR="00BD23A8" w:rsidRDefault="00EB5A1C" w:rsidP="000D1A2B">
      <w:pPr>
        <w:spacing w:line="480" w:lineRule="auto"/>
      </w:pPr>
      <w:r>
        <w:lastRenderedPageBreak/>
        <w:t xml:space="preserve">to be fed. The soul is shown to be the master of the body. </w:t>
      </w:r>
      <w:r w:rsidR="000D1A2B">
        <w:t>The soul</w:t>
      </w:r>
      <w:r>
        <w:t xml:space="preserve"> describes the body </w:t>
      </w:r>
      <w:r w:rsidR="000D1A2B">
        <w:t xml:space="preserve">as wasting time spending money on bodily pleasures and should concentrate on buying </w:t>
      </w:r>
      <w:r w:rsidR="00FE2F96">
        <w:t>spiritual</w:t>
      </w:r>
      <w:r w:rsidR="000D1A2B">
        <w:t xml:space="preserve"> things to feed the soul and that hours of dross are worthless. </w:t>
      </w:r>
      <w:r w:rsidR="00231447">
        <w:t>At t</w:t>
      </w:r>
      <w:r w:rsidR="000D1A2B">
        <w:t xml:space="preserve">he end of </w:t>
      </w:r>
      <w:r w:rsidR="00231447">
        <w:t xml:space="preserve">the </w:t>
      </w:r>
      <w:r w:rsidR="000D1A2B">
        <w:t>sonnet Shakespeare uses rhyming couplets and a rhyming pattern. Over come death rather than let death over come you. Once death is dead</w:t>
      </w:r>
      <w:r w:rsidR="00112941">
        <w:t>,</w:t>
      </w:r>
      <w:r w:rsidR="000D1A2B">
        <w:t xml:space="preserve"> </w:t>
      </w:r>
      <w:r w:rsidR="00FE2F96">
        <w:t>there’s</w:t>
      </w:r>
      <w:r w:rsidR="000D1A2B">
        <w:t xml:space="preserve"> no more dying there is </w:t>
      </w:r>
      <w:r w:rsidR="00AB10A8">
        <w:t>eternal</w:t>
      </w:r>
      <w:r w:rsidR="000D1A2B">
        <w:t xml:space="preserve"> life in heaven where the soul leaves the body.</w:t>
      </w:r>
      <w:r w:rsidR="000D1A2B">
        <w:br/>
        <w:t>In this sonnet the soul is dying to be fed and is almost</w:t>
      </w:r>
      <w:r w:rsidR="002737BB">
        <w:t>,</w:t>
      </w:r>
      <w:r w:rsidR="000D1A2B">
        <w:t xml:space="preserve"> at some points</w:t>
      </w:r>
      <w:r w:rsidR="002737BB">
        <w:t>,</w:t>
      </w:r>
      <w:r w:rsidR="000D1A2B">
        <w:t xml:space="preserve"> begging the body to be fed and wishes that the body would ignore physical pleasures and </w:t>
      </w:r>
      <w:r w:rsidR="002737BB">
        <w:t>concentrate</w:t>
      </w:r>
      <w:r w:rsidR="000D1A2B">
        <w:t xml:space="preserve"> more on feeding the soul</w:t>
      </w:r>
      <w:r w:rsidR="004A661D">
        <w:t>,</w:t>
      </w:r>
      <w:r w:rsidR="000D1A2B">
        <w:t xml:space="preserve"> as the soul will live forever. </w:t>
      </w:r>
      <w:r w:rsidR="000F4118">
        <w:br/>
      </w:r>
    </w:p>
    <w:sectPr w:rsidR="00BD23A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C04FE" w14:textId="77777777" w:rsidR="00B1658B" w:rsidRDefault="00B1658B" w:rsidP="00B1658B">
      <w:pPr>
        <w:spacing w:after="0" w:line="240" w:lineRule="auto"/>
      </w:pPr>
      <w:r>
        <w:separator/>
      </w:r>
    </w:p>
  </w:endnote>
  <w:endnote w:type="continuationSeparator" w:id="0">
    <w:p w14:paraId="6605A58F" w14:textId="77777777" w:rsidR="00B1658B" w:rsidRDefault="00B1658B" w:rsidP="00B1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B8BE8" w14:textId="77777777" w:rsidR="00B1658B" w:rsidRDefault="00B1658B" w:rsidP="00B1658B">
      <w:pPr>
        <w:spacing w:after="0" w:line="240" w:lineRule="auto"/>
      </w:pPr>
      <w:r>
        <w:separator/>
      </w:r>
    </w:p>
  </w:footnote>
  <w:footnote w:type="continuationSeparator" w:id="0">
    <w:p w14:paraId="63D921B9" w14:textId="77777777" w:rsidR="00B1658B" w:rsidRDefault="00B1658B" w:rsidP="00B1658B">
      <w:pPr>
        <w:spacing w:after="0" w:line="240" w:lineRule="auto"/>
      </w:pPr>
      <w:r>
        <w:continuationSeparator/>
      </w:r>
    </w:p>
  </w:footnote>
  <w:footnote w:id="1">
    <w:p w14:paraId="51A349BD" w14:textId="1FF371B6" w:rsidR="007E7F35" w:rsidRDefault="007E7F35">
      <w:pPr>
        <w:pStyle w:val="FootnoteText"/>
      </w:pPr>
      <w:r>
        <w:rPr>
          <w:rStyle w:val="FootnoteReference"/>
        </w:rPr>
        <w:footnoteRef/>
      </w:r>
      <w:r>
        <w:t xml:space="preserve"> </w:t>
      </w:r>
      <w:r w:rsidR="007F3AE1">
        <w:t>Booth 2000</w:t>
      </w:r>
    </w:p>
  </w:footnote>
  <w:footnote w:id="2">
    <w:p w14:paraId="43D1B3C8" w14:textId="29332B76" w:rsidR="007E4D6D" w:rsidRDefault="007E4D6D">
      <w:pPr>
        <w:pStyle w:val="FootnoteText"/>
      </w:pPr>
      <w:r>
        <w:rPr>
          <w:rStyle w:val="FootnoteReference"/>
        </w:rPr>
        <w:footnoteRef/>
      </w:r>
      <w:r>
        <w:t xml:space="preserve"> </w:t>
      </w:r>
      <w:r w:rsidR="00D21864">
        <w:t>Shakespeare</w:t>
      </w:r>
      <w:r w:rsidR="00291804">
        <w:t>-online</w:t>
      </w:r>
      <w:r w:rsidR="0067587B">
        <w:t>, Shakespeare Sonnet 146</w:t>
      </w:r>
    </w:p>
    <w:p w14:paraId="3B503DC1" w14:textId="77777777" w:rsidR="00E111D7" w:rsidRDefault="00E111D7">
      <w:pPr>
        <w:pStyle w:val="FootnoteText"/>
      </w:pPr>
    </w:p>
  </w:footnote>
  <w:footnote w:id="3">
    <w:p w14:paraId="2AB76A9E" w14:textId="20C907AF" w:rsidR="00EB5A1C" w:rsidRDefault="00EB5A1C">
      <w:pPr>
        <w:pStyle w:val="FootnoteText"/>
      </w:pPr>
      <w:r>
        <w:rPr>
          <w:rStyle w:val="FootnoteReference"/>
        </w:rPr>
        <w:footnoteRef/>
      </w:r>
      <w:r>
        <w:t xml:space="preserve"> </w:t>
      </w:r>
      <w:r w:rsidR="00953924" w:rsidRPr="00953924">
        <w:t>Encyclopædia Britannica</w:t>
      </w:r>
      <w:r w:rsidR="00953924">
        <w:t xml:space="preserve"> </w:t>
      </w:r>
      <w:r w:rsidR="00387081">
        <w:t>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E9BE0" w14:textId="656704FD" w:rsidR="00B1658B" w:rsidRDefault="00B1658B">
    <w:pPr>
      <w:pStyle w:val="Header"/>
    </w:pPr>
    <w:r>
      <w:t>Lee Perkins</w:t>
    </w:r>
    <w:r>
      <w:tab/>
      <w:t xml:space="preserve">English Literature </w:t>
    </w:r>
    <w:r>
      <w:tab/>
      <w:t>1711094</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58B"/>
    <w:rsid w:val="00027485"/>
    <w:rsid w:val="000D1A2B"/>
    <w:rsid w:val="000F4118"/>
    <w:rsid w:val="00112941"/>
    <w:rsid w:val="00147795"/>
    <w:rsid w:val="002260CB"/>
    <w:rsid w:val="00231447"/>
    <w:rsid w:val="00247285"/>
    <w:rsid w:val="002737BB"/>
    <w:rsid w:val="00291804"/>
    <w:rsid w:val="002D16B2"/>
    <w:rsid w:val="00387081"/>
    <w:rsid w:val="003B5C74"/>
    <w:rsid w:val="003D06D4"/>
    <w:rsid w:val="003F782D"/>
    <w:rsid w:val="00404FD9"/>
    <w:rsid w:val="004626E9"/>
    <w:rsid w:val="004A661D"/>
    <w:rsid w:val="00512DB7"/>
    <w:rsid w:val="00645549"/>
    <w:rsid w:val="0067587B"/>
    <w:rsid w:val="006C371E"/>
    <w:rsid w:val="007772EF"/>
    <w:rsid w:val="007A0331"/>
    <w:rsid w:val="007E4D6D"/>
    <w:rsid w:val="007E7F35"/>
    <w:rsid w:val="007F3AE1"/>
    <w:rsid w:val="00801D45"/>
    <w:rsid w:val="00806B04"/>
    <w:rsid w:val="00853BB2"/>
    <w:rsid w:val="00865A7F"/>
    <w:rsid w:val="00915A7F"/>
    <w:rsid w:val="009449B8"/>
    <w:rsid w:val="00953924"/>
    <w:rsid w:val="00A81D83"/>
    <w:rsid w:val="00AB10A8"/>
    <w:rsid w:val="00AC0839"/>
    <w:rsid w:val="00B07ADD"/>
    <w:rsid w:val="00B163F3"/>
    <w:rsid w:val="00B1658B"/>
    <w:rsid w:val="00B23700"/>
    <w:rsid w:val="00BA19FB"/>
    <w:rsid w:val="00BB598F"/>
    <w:rsid w:val="00BD23A8"/>
    <w:rsid w:val="00BD2540"/>
    <w:rsid w:val="00C77FD3"/>
    <w:rsid w:val="00D21864"/>
    <w:rsid w:val="00DA5E0C"/>
    <w:rsid w:val="00DE4E71"/>
    <w:rsid w:val="00E04986"/>
    <w:rsid w:val="00E106FA"/>
    <w:rsid w:val="00E111D7"/>
    <w:rsid w:val="00E97FDE"/>
    <w:rsid w:val="00EB5A1C"/>
    <w:rsid w:val="00EE5733"/>
    <w:rsid w:val="00F07174"/>
    <w:rsid w:val="00F2365C"/>
    <w:rsid w:val="00F25968"/>
    <w:rsid w:val="00F34CF6"/>
    <w:rsid w:val="00FE2F96"/>
    <w:rsid w:val="00FE4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34742"/>
  <w15:chartTrackingRefBased/>
  <w15:docId w15:val="{D3052A69-602C-4BB5-BCD9-E518E6676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6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58B"/>
  </w:style>
  <w:style w:type="paragraph" w:styleId="Footer">
    <w:name w:val="footer"/>
    <w:basedOn w:val="Normal"/>
    <w:link w:val="FooterChar"/>
    <w:uiPriority w:val="99"/>
    <w:unhideWhenUsed/>
    <w:rsid w:val="00B16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58B"/>
  </w:style>
  <w:style w:type="paragraph" w:styleId="FootnoteText">
    <w:name w:val="footnote text"/>
    <w:basedOn w:val="Normal"/>
    <w:link w:val="FootnoteTextChar"/>
    <w:uiPriority w:val="99"/>
    <w:semiHidden/>
    <w:unhideWhenUsed/>
    <w:rsid w:val="007772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72EF"/>
    <w:rPr>
      <w:sz w:val="20"/>
      <w:szCs w:val="20"/>
    </w:rPr>
  </w:style>
  <w:style w:type="character" w:styleId="FootnoteReference">
    <w:name w:val="footnote reference"/>
    <w:basedOn w:val="DefaultParagraphFont"/>
    <w:uiPriority w:val="99"/>
    <w:semiHidden/>
    <w:unhideWhenUsed/>
    <w:rsid w:val="007772EF"/>
    <w:rPr>
      <w:vertAlign w:val="superscript"/>
    </w:rPr>
  </w:style>
  <w:style w:type="character" w:styleId="Hyperlink">
    <w:name w:val="Hyperlink"/>
    <w:basedOn w:val="DefaultParagraphFont"/>
    <w:uiPriority w:val="99"/>
    <w:unhideWhenUsed/>
    <w:rsid w:val="002D16B2"/>
    <w:rPr>
      <w:color w:val="0563C1" w:themeColor="hyperlink"/>
      <w:u w:val="single"/>
    </w:rPr>
  </w:style>
  <w:style w:type="character" w:styleId="UnresolvedMention">
    <w:name w:val="Unresolved Mention"/>
    <w:basedOn w:val="DefaultParagraphFont"/>
    <w:uiPriority w:val="99"/>
    <w:semiHidden/>
    <w:unhideWhenUsed/>
    <w:rsid w:val="002D16B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akespeare-online.com/sonnets/146.html" TargetMode="External"/><Relationship Id="rId3" Type="http://schemas.openxmlformats.org/officeDocument/2006/relationships/settings" Target="settings.xml"/><Relationship Id="rId7" Type="http://schemas.openxmlformats.org/officeDocument/2006/relationships/hyperlink" Target="https://www.britannica.com/art/volta-poet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42BD1-38EF-446C-8C76-133826F3B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13261</TotalTime>
  <Pages>4</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perkins</dc:creator>
  <cp:keywords/>
  <dc:description/>
  <cp:lastModifiedBy>lee perkins</cp:lastModifiedBy>
  <cp:revision>49</cp:revision>
  <dcterms:created xsi:type="dcterms:W3CDTF">2018-04-02T22:57:00Z</dcterms:created>
  <dcterms:modified xsi:type="dcterms:W3CDTF">2018-04-12T15:56:00Z</dcterms:modified>
</cp:coreProperties>
</file>