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Pr="002A0BDB" w:rsidRDefault="009F64C5" w:rsidP="000E3E68">
      <w:pPr>
        <w:spacing w:after="158"/>
      </w:pPr>
      <w:r w:rsidRPr="002A0BDB">
        <w:rPr>
          <w:rFonts w:ascii="Calibri" w:eastAsia="Calibri" w:hAnsi="Calibri" w:cs="Calibri"/>
        </w:rPr>
        <w:t xml:space="preserve"> </w:t>
      </w:r>
    </w:p>
    <w:p w14:paraId="6D3D663A" w14:textId="77777777" w:rsidR="009F64C5" w:rsidRPr="002A0BDB" w:rsidRDefault="009F64C5">
      <w:pPr>
        <w:ind w:left="49"/>
        <w:jc w:val="center"/>
      </w:pPr>
      <w:r w:rsidRPr="002A0BDB">
        <w:rPr>
          <w:rFonts w:ascii="Calibri" w:eastAsia="Calibri" w:hAnsi="Calibri" w:cs="Calibri"/>
        </w:rPr>
        <w:t xml:space="preserve"> </w:t>
      </w:r>
    </w:p>
    <w:p w14:paraId="6787C14B" w14:textId="01461256" w:rsidR="009F64C5" w:rsidRPr="002A0BDB" w:rsidRDefault="009F64C5" w:rsidP="009C3DC1">
      <w:pPr>
        <w:spacing w:after="158"/>
        <w:ind w:left="49"/>
        <w:jc w:val="center"/>
      </w:pPr>
      <w:r w:rsidRPr="002A0BDB">
        <w:rPr>
          <w:noProof/>
          <w:lang w:val="en-IN" w:eastAsia="en-IN"/>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5E0F4EC2" w14:textId="77777777" w:rsidR="009F64C5" w:rsidRPr="002A0BDB" w:rsidRDefault="009F64C5">
      <w:pPr>
        <w:ind w:left="49"/>
        <w:jc w:val="center"/>
      </w:pPr>
      <w:r w:rsidRPr="002A0BDB">
        <w:rPr>
          <w:rFonts w:ascii="Calibri" w:eastAsia="Calibri" w:hAnsi="Calibri" w:cs="Calibri"/>
        </w:rPr>
        <w:t xml:space="preserve"> </w:t>
      </w:r>
    </w:p>
    <w:p w14:paraId="0C4D53A1" w14:textId="77777777" w:rsidR="009F64C5" w:rsidRPr="002A0BDB" w:rsidRDefault="009F64C5">
      <w:pPr>
        <w:spacing w:after="287"/>
        <w:ind w:left="49"/>
        <w:jc w:val="center"/>
      </w:pPr>
      <w:r w:rsidRPr="002A0BDB">
        <w:rPr>
          <w:rFonts w:ascii="Calibri" w:eastAsia="Calibri" w:hAnsi="Calibri" w:cs="Calibri"/>
        </w:rPr>
        <w:t xml:space="preserve"> </w:t>
      </w:r>
    </w:p>
    <w:p w14:paraId="196BF838" w14:textId="6E401194" w:rsidR="009F64C5" w:rsidRDefault="009F64C5" w:rsidP="005C7592">
      <w:pPr>
        <w:pBdr>
          <w:top w:val="nil"/>
          <w:left w:val="nil"/>
          <w:bottom w:val="nil"/>
          <w:right w:val="nil"/>
          <w:between w:val="nil"/>
        </w:pBdr>
        <w:jc w:val="center"/>
        <w:rPr>
          <w:rFonts w:asciiTheme="minorBidi" w:hAnsiTheme="minorBidi"/>
          <w:sz w:val="36"/>
        </w:rPr>
      </w:pPr>
      <w:r w:rsidRPr="002A0BDB">
        <w:rPr>
          <w:rFonts w:asciiTheme="minorBidi" w:hAnsiTheme="minorBidi"/>
          <w:sz w:val="36"/>
        </w:rPr>
        <w:t xml:space="preserve"> </w:t>
      </w:r>
      <w:r w:rsidR="005C7592" w:rsidRPr="002A0BDB">
        <w:rPr>
          <w:b/>
          <w:bCs/>
          <w:sz w:val="32"/>
          <w:szCs w:val="32"/>
        </w:rPr>
        <w:t>AN INVESTIGATION OF HOW MOLECULAR EPIDEMIOLOGY TOOLS INFORMS PUBLIC HEALTH INTERVENTIONS AIMED AT PREVENTING AND CONTROLLING INDIRECT TRANSMISSION OF CHOLERA: A SYSTEMATIC REVIEW</w:t>
      </w:r>
    </w:p>
    <w:p w14:paraId="1262AAD3" w14:textId="77777777" w:rsidR="000E3E68" w:rsidRPr="002A0BDB" w:rsidRDefault="000E3E68" w:rsidP="005C7592">
      <w:pPr>
        <w:pBdr>
          <w:top w:val="nil"/>
          <w:left w:val="nil"/>
          <w:bottom w:val="nil"/>
          <w:right w:val="nil"/>
          <w:between w:val="nil"/>
        </w:pBdr>
        <w:jc w:val="center"/>
        <w:rPr>
          <w:b/>
          <w:bCs/>
          <w:sz w:val="32"/>
          <w:szCs w:val="32"/>
        </w:rPr>
      </w:pPr>
    </w:p>
    <w:p w14:paraId="5E1E2E05" w14:textId="77777777" w:rsidR="009F64C5" w:rsidRPr="002A0BDB" w:rsidRDefault="009F64C5">
      <w:pPr>
        <w:spacing w:after="42"/>
        <w:ind w:left="89"/>
        <w:jc w:val="center"/>
      </w:pPr>
      <w:r w:rsidRPr="002A0BDB">
        <w:rPr>
          <w:sz w:val="36"/>
        </w:rPr>
        <w:t xml:space="preserve"> </w:t>
      </w:r>
    </w:p>
    <w:p w14:paraId="46D86011" w14:textId="77777777" w:rsidR="009F64C5" w:rsidRPr="002A0BDB" w:rsidRDefault="009F64C5">
      <w:pPr>
        <w:spacing w:after="157"/>
        <w:ind w:left="2367" w:right="2358"/>
        <w:jc w:val="center"/>
        <w:rPr>
          <w:rFonts w:asciiTheme="minorBidi" w:hAnsiTheme="minorBidi"/>
        </w:rPr>
      </w:pPr>
      <w:r w:rsidRPr="002A0BDB">
        <w:rPr>
          <w:rFonts w:asciiTheme="minorBidi" w:hAnsiTheme="minorBidi"/>
        </w:rPr>
        <w:t xml:space="preserve">by </w:t>
      </w:r>
    </w:p>
    <w:p w14:paraId="75EA3561" w14:textId="77777777" w:rsidR="009F64C5" w:rsidRPr="002A0BDB" w:rsidRDefault="009F64C5">
      <w:pPr>
        <w:spacing w:after="158"/>
        <w:ind w:left="59"/>
        <w:jc w:val="center"/>
        <w:rPr>
          <w:rFonts w:asciiTheme="minorBidi" w:hAnsiTheme="minorBidi"/>
        </w:rPr>
      </w:pPr>
      <w:r w:rsidRPr="002A0BDB">
        <w:rPr>
          <w:rFonts w:asciiTheme="minorBidi" w:hAnsiTheme="minorBidi"/>
        </w:rPr>
        <w:t xml:space="preserve"> </w:t>
      </w:r>
    </w:p>
    <w:p w14:paraId="350EB5D6" w14:textId="041EF153" w:rsidR="009F64C5" w:rsidRPr="002A0BDB" w:rsidRDefault="000E3E68">
      <w:pPr>
        <w:spacing w:after="157"/>
        <w:ind w:left="2367" w:right="2359"/>
        <w:jc w:val="center"/>
        <w:rPr>
          <w:rFonts w:asciiTheme="minorBidi" w:hAnsiTheme="minorBidi"/>
        </w:rPr>
      </w:pPr>
      <w:r>
        <w:rPr>
          <w:rFonts w:asciiTheme="minorBidi" w:hAnsiTheme="minorBidi"/>
        </w:rPr>
        <w:t>Paresh Choudhary</w:t>
      </w:r>
    </w:p>
    <w:p w14:paraId="1062A64A" w14:textId="77777777" w:rsidR="009F64C5" w:rsidRPr="002A0BDB" w:rsidRDefault="009F64C5">
      <w:pPr>
        <w:spacing w:after="158"/>
        <w:ind w:left="59"/>
        <w:jc w:val="center"/>
      </w:pPr>
      <w:r w:rsidRPr="002A0BDB">
        <w:t xml:space="preserve"> </w:t>
      </w:r>
    </w:p>
    <w:p w14:paraId="64B3B17A" w14:textId="0840AA0E" w:rsidR="009F64C5" w:rsidRPr="002A0BDB" w:rsidRDefault="009F64C5" w:rsidP="005B04CA">
      <w:pPr>
        <w:spacing w:after="156"/>
        <w:ind w:left="59"/>
        <w:jc w:val="center"/>
      </w:pPr>
      <w:r w:rsidRPr="002A0BDB">
        <w:t xml:space="preserve"> </w:t>
      </w:r>
    </w:p>
    <w:p w14:paraId="5CAC7C58" w14:textId="77777777" w:rsidR="009F64C5" w:rsidRPr="002A0BDB" w:rsidRDefault="009F64C5">
      <w:pPr>
        <w:spacing w:after="158"/>
        <w:ind w:left="59"/>
        <w:jc w:val="center"/>
        <w:rPr>
          <w:rFonts w:asciiTheme="minorBidi" w:hAnsiTheme="minorBidi"/>
        </w:rPr>
      </w:pPr>
      <w:r w:rsidRPr="002A0BDB">
        <w:rPr>
          <w:rFonts w:asciiTheme="minorBidi" w:hAnsiTheme="minorBidi"/>
        </w:rPr>
        <w:t xml:space="preserve"> </w:t>
      </w:r>
    </w:p>
    <w:p w14:paraId="75DE2693" w14:textId="713CCC3C" w:rsidR="009F64C5" w:rsidRPr="002A0BDB" w:rsidRDefault="009F64C5" w:rsidP="009F64C5">
      <w:pPr>
        <w:spacing w:after="156"/>
        <w:ind w:left="59"/>
        <w:jc w:val="center"/>
        <w:rPr>
          <w:rFonts w:asciiTheme="minorBidi" w:hAnsiTheme="minorBidi"/>
          <w:sz w:val="24"/>
          <w:szCs w:val="24"/>
        </w:rPr>
      </w:pPr>
      <w:r w:rsidRPr="002A0BDB">
        <w:rPr>
          <w:rFonts w:asciiTheme="minorBidi" w:hAnsiTheme="minorBidi"/>
          <w:sz w:val="24"/>
          <w:szCs w:val="24"/>
        </w:rPr>
        <w:t>A Dissertation submitted in partial fulfilment of the requirements for the degree of Masters of Science in Public Health and Social Care in Practice</w:t>
      </w:r>
    </w:p>
    <w:p w14:paraId="2678540A" w14:textId="77777777" w:rsidR="009F64C5" w:rsidRPr="002A0BDB" w:rsidRDefault="009F64C5" w:rsidP="009F64C5">
      <w:pPr>
        <w:spacing w:after="156"/>
        <w:ind w:left="59"/>
        <w:rPr>
          <w:rFonts w:asciiTheme="minorBidi" w:hAnsiTheme="minorBidi"/>
        </w:rPr>
      </w:pPr>
    </w:p>
    <w:p w14:paraId="48468714" w14:textId="77777777" w:rsidR="009F64C5" w:rsidRPr="002A0BDB" w:rsidRDefault="009F64C5" w:rsidP="009F64C5">
      <w:pPr>
        <w:spacing w:after="169"/>
        <w:jc w:val="center"/>
        <w:rPr>
          <w:rFonts w:asciiTheme="minorBidi" w:hAnsiTheme="minorBidi"/>
          <w:b/>
          <w:bCs/>
        </w:rPr>
      </w:pPr>
    </w:p>
    <w:p w14:paraId="7C5AA9DE" w14:textId="3566044E" w:rsidR="009F64C5" w:rsidRPr="002A0BDB" w:rsidRDefault="34630932" w:rsidP="009F64C5">
      <w:pPr>
        <w:spacing w:after="169"/>
        <w:jc w:val="center"/>
        <w:rPr>
          <w:rFonts w:asciiTheme="minorBidi" w:hAnsiTheme="minorBidi"/>
          <w:b/>
          <w:bCs/>
          <w:sz w:val="24"/>
          <w:szCs w:val="24"/>
        </w:rPr>
      </w:pPr>
      <w:r w:rsidRPr="002A0BDB">
        <w:rPr>
          <w:rFonts w:asciiTheme="minorBidi" w:hAnsiTheme="minorBidi"/>
          <w:b/>
          <w:bCs/>
          <w:sz w:val="24"/>
          <w:szCs w:val="24"/>
        </w:rPr>
        <w:t>T</w:t>
      </w:r>
      <w:r w:rsidR="009F64C5" w:rsidRPr="002A0BDB">
        <w:rPr>
          <w:rFonts w:asciiTheme="minorBidi" w:hAnsiTheme="minorBidi"/>
          <w:b/>
          <w:bCs/>
          <w:sz w:val="24"/>
          <w:szCs w:val="24"/>
        </w:rPr>
        <w:t>he Institute of Inner</w:t>
      </w:r>
      <w:r w:rsidR="4EFAA9D8" w:rsidRPr="002A0BDB">
        <w:rPr>
          <w:rFonts w:asciiTheme="minorBidi" w:hAnsiTheme="minorBidi"/>
          <w:b/>
          <w:bCs/>
          <w:sz w:val="24"/>
          <w:szCs w:val="24"/>
        </w:rPr>
        <w:t>-</w:t>
      </w:r>
      <w:r w:rsidR="009F64C5" w:rsidRPr="002A0BDB">
        <w:rPr>
          <w:rFonts w:asciiTheme="minorBidi" w:hAnsiTheme="minorBidi"/>
          <w:b/>
          <w:bCs/>
          <w:sz w:val="24"/>
          <w:szCs w:val="24"/>
        </w:rPr>
        <w:t>City Learning</w:t>
      </w:r>
    </w:p>
    <w:p w14:paraId="0A089F1E" w14:textId="7EF44560" w:rsidR="009F64C5" w:rsidRPr="002A0BDB" w:rsidRDefault="009F64C5" w:rsidP="009F64C5">
      <w:pPr>
        <w:spacing w:after="169"/>
        <w:jc w:val="center"/>
        <w:rPr>
          <w:rFonts w:asciiTheme="minorBidi" w:hAnsiTheme="minorBidi"/>
          <w:b/>
          <w:bCs/>
          <w:sz w:val="24"/>
          <w:szCs w:val="24"/>
        </w:rPr>
      </w:pPr>
      <w:r w:rsidRPr="002A0BDB">
        <w:rPr>
          <w:rFonts w:asciiTheme="minorBidi" w:hAnsiTheme="minorBidi"/>
          <w:b/>
          <w:bCs/>
          <w:sz w:val="24"/>
          <w:szCs w:val="24"/>
        </w:rPr>
        <w:t>University of Wales Trinity Saint David – London Campus</w:t>
      </w:r>
    </w:p>
    <w:p w14:paraId="4C4866B4" w14:textId="77777777" w:rsidR="009F64C5" w:rsidRPr="002A0BDB" w:rsidRDefault="009F64C5">
      <w:pPr>
        <w:spacing w:after="157"/>
        <w:ind w:left="2367" w:right="2357"/>
        <w:jc w:val="center"/>
        <w:rPr>
          <w:rFonts w:asciiTheme="minorBidi" w:hAnsiTheme="minorBidi"/>
          <w:b/>
          <w:bCs/>
          <w:sz w:val="24"/>
          <w:szCs w:val="24"/>
        </w:rPr>
      </w:pPr>
    </w:p>
    <w:p w14:paraId="2A5B6455" w14:textId="6306997D" w:rsidR="006B40A3" w:rsidRPr="002A0BDB" w:rsidRDefault="00D96E1F" w:rsidP="00D96E1F">
      <w:pPr>
        <w:spacing w:after="157"/>
        <w:ind w:right="2357"/>
        <w:jc w:val="center"/>
        <w:rPr>
          <w:rFonts w:asciiTheme="minorBidi" w:hAnsiTheme="minorBidi"/>
          <w:b/>
          <w:bCs/>
          <w:sz w:val="24"/>
          <w:szCs w:val="24"/>
        </w:rPr>
      </w:pPr>
      <w:r>
        <w:rPr>
          <w:rFonts w:asciiTheme="minorBidi" w:hAnsiTheme="minorBidi"/>
          <w:b/>
          <w:bCs/>
          <w:sz w:val="24"/>
          <w:szCs w:val="24"/>
        </w:rPr>
        <w:t xml:space="preserve">                              </w:t>
      </w:r>
      <w:r w:rsidR="006B40A3">
        <w:rPr>
          <w:rFonts w:asciiTheme="minorBidi" w:hAnsiTheme="minorBidi"/>
          <w:b/>
          <w:bCs/>
          <w:sz w:val="24"/>
          <w:szCs w:val="24"/>
        </w:rPr>
        <w:t xml:space="preserve">February </w:t>
      </w:r>
      <w:r w:rsidR="00326C87">
        <w:rPr>
          <w:rFonts w:asciiTheme="minorBidi" w:hAnsiTheme="minorBidi"/>
          <w:b/>
          <w:bCs/>
          <w:sz w:val="24"/>
          <w:szCs w:val="24"/>
        </w:rPr>
        <w:t>2026</w:t>
      </w:r>
    </w:p>
    <w:p w14:paraId="46C7FCCD" w14:textId="77777777" w:rsidR="00113366" w:rsidRPr="002A0BDB" w:rsidRDefault="00113366">
      <w:pPr>
        <w:rPr>
          <w:b/>
          <w:bCs/>
        </w:rPr>
      </w:pPr>
      <w:r w:rsidRPr="002A0BDB">
        <w:rPr>
          <w:b/>
          <w:bCs/>
        </w:rPr>
        <w:br w:type="page"/>
      </w:r>
    </w:p>
    <w:p w14:paraId="013A249C" w14:textId="77777777" w:rsidR="00113366" w:rsidRPr="002A0BDB" w:rsidRDefault="00113366" w:rsidP="009C3DC1">
      <w:pPr>
        <w:spacing w:after="200" w:line="276" w:lineRule="auto"/>
        <w:jc w:val="center"/>
        <w:rPr>
          <w:rFonts w:ascii="Arial" w:eastAsia="Times New Roman" w:hAnsi="Arial" w:cs="Arial"/>
          <w:b/>
          <w:bCs/>
          <w:sz w:val="24"/>
          <w:szCs w:val="24"/>
          <w:lang w:val="hr-HR"/>
        </w:rPr>
      </w:pPr>
      <w:r w:rsidRPr="002A0BDB">
        <w:rPr>
          <w:rFonts w:ascii="Arial" w:eastAsia="Times New Roman" w:hAnsi="Arial" w:cs="Arial"/>
          <w:b/>
          <w:bCs/>
          <w:sz w:val="24"/>
          <w:szCs w:val="24"/>
          <w:lang w:val="hr-HR"/>
        </w:rPr>
        <w:lastRenderedPageBreak/>
        <w:t>DECLARATION</w:t>
      </w:r>
    </w:p>
    <w:p w14:paraId="2E9B29DF" w14:textId="77777777" w:rsidR="00113366" w:rsidRPr="002A0BDB" w:rsidRDefault="00113366" w:rsidP="00113366">
      <w:pPr>
        <w:spacing w:after="200" w:line="276" w:lineRule="auto"/>
        <w:rPr>
          <w:rFonts w:ascii="Arial" w:eastAsia="Times New Roman" w:hAnsi="Arial" w:cs="Arial"/>
          <w:sz w:val="24"/>
          <w:szCs w:val="24"/>
          <w:lang w:val="hr-HR"/>
        </w:rPr>
      </w:pPr>
    </w:p>
    <w:p w14:paraId="46A549CB" w14:textId="04231159" w:rsidR="00113366" w:rsidRPr="002A0BDB" w:rsidRDefault="00113366" w:rsidP="001C5965">
      <w:pPr>
        <w:spacing w:after="200" w:line="276" w:lineRule="auto"/>
        <w:rPr>
          <w:rFonts w:ascii="Arial" w:eastAsia="Times New Roman" w:hAnsi="Arial" w:cs="Arial"/>
          <w:sz w:val="24"/>
          <w:szCs w:val="24"/>
          <w:lang w:val="hr-HR"/>
        </w:rPr>
      </w:pPr>
      <w:r w:rsidRPr="002A0BDB">
        <w:rPr>
          <w:noProof/>
          <w:lang w:val="en-IN" w:eastAsia="en-IN"/>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0"/>
                <o:lock v:ext="edit" rotation="t" verticies="t" shapetype="t"/>
              </v:shape>
            </w:pict>
          </mc:Fallback>
        </mc:AlternateContent>
      </w:r>
      <w:r w:rsidRPr="002A0BDB">
        <w:rPr>
          <w:noProof/>
          <w:lang w:val="en-IN" w:eastAsia="en-IN"/>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0"/>
                <o:lock v:ext="edit" rotation="t" verticies="t" shapetype="t"/>
              </v:shape>
            </w:pict>
          </mc:Fallback>
        </mc:AlternateContent>
      </w:r>
      <w:r w:rsidRPr="002A0BDB">
        <w:rPr>
          <w:noProof/>
          <w:lang w:val="en-IN" w:eastAsia="en-IN"/>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0"/>
                <o:lock v:ext="edit" rotation="t" verticies="t" shapetype="t"/>
              </v:shape>
            </w:pict>
          </mc:Fallback>
        </mc:AlternateContent>
      </w:r>
      <w:r w:rsidRPr="002A0BDB">
        <w:rPr>
          <w:noProof/>
          <w:lang w:val="en-IN" w:eastAsia="en-IN"/>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4"/>
                <o:lock v:ext="edit" rotation="t" verticies="t" shapetype="t"/>
              </v:shape>
            </w:pict>
          </mc:Fallback>
        </mc:AlternateContent>
      </w:r>
      <w:r w:rsidR="008A73BC" w:rsidRPr="002A0BDB">
        <w:rPr>
          <w:rFonts w:ascii="Arial" w:eastAsia="Times New Roman" w:hAnsi="Arial" w:cs="Arial"/>
          <w:sz w:val="24"/>
          <w:szCs w:val="24"/>
          <w:lang w:val="hr-HR"/>
        </w:rPr>
        <w:t xml:space="preserve">I, </w:t>
      </w:r>
      <w:r w:rsidR="00326C87">
        <w:rPr>
          <w:rFonts w:ascii="Arial" w:eastAsia="Times New Roman" w:hAnsi="Arial" w:cs="Arial"/>
          <w:sz w:val="24"/>
          <w:szCs w:val="24"/>
          <w:lang w:val="hr-HR"/>
        </w:rPr>
        <w:t>P</w:t>
      </w:r>
      <w:r w:rsidR="00F538CB">
        <w:rPr>
          <w:rFonts w:ascii="Arial" w:eastAsia="Times New Roman" w:hAnsi="Arial" w:cs="Arial"/>
          <w:sz w:val="24"/>
          <w:szCs w:val="24"/>
          <w:lang w:val="hr-HR"/>
        </w:rPr>
        <w:t>a</w:t>
      </w:r>
      <w:r w:rsidR="00326C87">
        <w:rPr>
          <w:rFonts w:ascii="Arial" w:eastAsia="Times New Roman" w:hAnsi="Arial" w:cs="Arial"/>
          <w:sz w:val="24"/>
          <w:szCs w:val="24"/>
          <w:lang w:val="hr-HR"/>
        </w:rPr>
        <w:t>resh</w:t>
      </w:r>
      <w:r w:rsidR="008A73BC" w:rsidRPr="002A0BDB">
        <w:rPr>
          <w:rFonts w:ascii="Arial" w:eastAsia="Times New Roman" w:hAnsi="Arial" w:cs="Arial"/>
          <w:sz w:val="24"/>
          <w:szCs w:val="24"/>
          <w:lang w:val="hr-HR"/>
        </w:rPr>
        <w:t xml:space="preserve"> </w:t>
      </w:r>
      <w:r w:rsidR="00F538CB">
        <w:rPr>
          <w:rFonts w:ascii="Arial" w:eastAsia="Times New Roman" w:hAnsi="Arial" w:cs="Arial"/>
          <w:sz w:val="24"/>
          <w:szCs w:val="24"/>
          <w:lang w:val="hr-HR"/>
        </w:rPr>
        <w:t>Choudhary d</w:t>
      </w:r>
      <w:r w:rsidR="008A73BC" w:rsidRPr="002A0BDB">
        <w:rPr>
          <w:rFonts w:ascii="Arial" w:eastAsia="Times New Roman" w:hAnsi="Arial" w:cs="Arial"/>
          <w:sz w:val="24"/>
          <w:szCs w:val="24"/>
          <w:lang w:val="hr-HR"/>
        </w:rPr>
        <w:t>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2A0BDB">
        <w:rPr>
          <w:rFonts w:ascii="Arial" w:eastAsia="Times New Roman" w:hAnsi="Arial" w:cs="Arial"/>
          <w:sz w:val="24"/>
          <w:szCs w:val="24"/>
          <w:lang w:val="hr-HR"/>
        </w:rPr>
        <w:t>.</w:t>
      </w:r>
    </w:p>
    <w:p w14:paraId="4E0CDA9F" w14:textId="77777777" w:rsidR="00113366" w:rsidRPr="002A0BDB" w:rsidRDefault="00113366" w:rsidP="00113366">
      <w:pPr>
        <w:spacing w:after="200" w:line="276" w:lineRule="auto"/>
        <w:rPr>
          <w:rFonts w:ascii="Arial" w:eastAsia="Times New Roman" w:hAnsi="Arial" w:cs="Arial"/>
          <w:sz w:val="24"/>
          <w:szCs w:val="24"/>
          <w:lang w:val="hr-HR"/>
        </w:rPr>
      </w:pPr>
    </w:p>
    <w:p w14:paraId="5E2BD27D" w14:textId="77777777" w:rsidR="00113366" w:rsidRPr="002A0BDB" w:rsidRDefault="00113366" w:rsidP="00113366">
      <w:pPr>
        <w:spacing w:after="200" w:line="276" w:lineRule="auto"/>
        <w:rPr>
          <w:rFonts w:ascii="Arial" w:eastAsia="Times New Roman" w:hAnsi="Arial" w:cs="Arial"/>
          <w:sz w:val="24"/>
          <w:szCs w:val="24"/>
          <w:lang w:val="hr-HR"/>
        </w:rPr>
      </w:pPr>
    </w:p>
    <w:p w14:paraId="5236DF40" w14:textId="26640984" w:rsidR="00113366" w:rsidRPr="002A0BDB" w:rsidRDefault="00113366" w:rsidP="00113366">
      <w:pPr>
        <w:spacing w:after="200" w:line="276" w:lineRule="auto"/>
        <w:rPr>
          <w:rFonts w:ascii="Arial" w:eastAsia="Times New Roman" w:hAnsi="Arial" w:cs="Arial"/>
          <w:sz w:val="24"/>
          <w:szCs w:val="24"/>
          <w:lang w:val="hr-HR"/>
        </w:rPr>
      </w:pPr>
      <w:r w:rsidRPr="002A0BDB">
        <w:rPr>
          <w:rFonts w:ascii="Arial" w:eastAsia="Times New Roman" w:hAnsi="Arial" w:cs="Arial"/>
          <w:sz w:val="24"/>
          <w:szCs w:val="24"/>
          <w:lang w:val="hr-HR"/>
        </w:rPr>
        <w:t>Signed</w:t>
      </w:r>
      <w:r w:rsidR="008A73BC" w:rsidRPr="002A0BDB">
        <w:rPr>
          <w:rFonts w:ascii="Arial" w:eastAsia="Times New Roman" w:hAnsi="Arial" w:cs="Arial"/>
          <w:sz w:val="24"/>
          <w:szCs w:val="24"/>
          <w:lang w:val="hr-HR"/>
        </w:rPr>
        <w:t>:</w:t>
      </w:r>
      <w:r w:rsidRPr="002A0BDB">
        <w:rPr>
          <w:rFonts w:ascii="Arial" w:eastAsia="Times New Roman" w:hAnsi="Arial" w:cs="Arial"/>
          <w:sz w:val="24"/>
          <w:szCs w:val="24"/>
          <w:lang w:val="hr-HR"/>
        </w:rPr>
        <w:t>…</w:t>
      </w:r>
      <w:r w:rsidR="00F538CB">
        <w:rPr>
          <w:rFonts w:ascii="Arial" w:eastAsia="Times New Roman" w:hAnsi="Arial" w:cs="Arial"/>
          <w:sz w:val="24"/>
          <w:szCs w:val="24"/>
          <w:lang w:val="hr-HR"/>
        </w:rPr>
        <w:t>Paresh Choudhary</w:t>
      </w:r>
      <w:r w:rsidRPr="002A0BDB">
        <w:rPr>
          <w:rFonts w:ascii="Arial" w:eastAsia="Times New Roman" w:hAnsi="Arial" w:cs="Arial"/>
          <w:sz w:val="24"/>
          <w:szCs w:val="24"/>
          <w:lang w:val="hr-HR"/>
        </w:rPr>
        <w:t>……………………………………………</w:t>
      </w:r>
    </w:p>
    <w:p w14:paraId="1E1F6BED" w14:textId="77777777" w:rsidR="00113366" w:rsidRPr="002A0BDB" w:rsidRDefault="00113366" w:rsidP="00113366">
      <w:pPr>
        <w:spacing w:after="200" w:line="276" w:lineRule="auto"/>
        <w:rPr>
          <w:rFonts w:ascii="Arial" w:eastAsia="Times New Roman" w:hAnsi="Arial" w:cs="Arial"/>
          <w:sz w:val="24"/>
          <w:szCs w:val="24"/>
          <w:lang w:val="hr-HR"/>
        </w:rPr>
      </w:pPr>
    </w:p>
    <w:p w14:paraId="367C1620" w14:textId="4693CD21" w:rsidR="00113366" w:rsidRPr="002A0BDB" w:rsidRDefault="00113366" w:rsidP="00113366">
      <w:pPr>
        <w:spacing w:after="200" w:line="276" w:lineRule="auto"/>
        <w:rPr>
          <w:rFonts w:ascii="Arial" w:eastAsia="Times New Roman" w:hAnsi="Arial" w:cs="Arial"/>
          <w:sz w:val="24"/>
          <w:szCs w:val="24"/>
          <w:lang w:val="hr-HR"/>
        </w:rPr>
      </w:pPr>
      <w:r w:rsidRPr="002A0BDB">
        <w:rPr>
          <w:rFonts w:ascii="Arial" w:eastAsia="Times New Roman" w:hAnsi="Arial" w:cs="Arial"/>
          <w:sz w:val="24"/>
          <w:szCs w:val="24"/>
          <w:lang w:val="hr-HR"/>
        </w:rPr>
        <w:t>Date:</w:t>
      </w:r>
      <w:r w:rsidR="008A73BC" w:rsidRPr="002A0BDB">
        <w:rPr>
          <w:rFonts w:ascii="Arial" w:eastAsia="Times New Roman" w:hAnsi="Arial" w:cs="Arial"/>
          <w:sz w:val="24"/>
          <w:szCs w:val="24"/>
          <w:lang w:val="hr-HR"/>
        </w:rPr>
        <w:t>...…</w:t>
      </w:r>
      <w:r w:rsidR="0046222E">
        <w:rPr>
          <w:rFonts w:ascii="Arial" w:eastAsia="Times New Roman" w:hAnsi="Arial" w:cs="Arial"/>
          <w:sz w:val="24"/>
          <w:szCs w:val="24"/>
          <w:lang w:val="hr-HR"/>
        </w:rPr>
        <w:t>28/1/2026</w:t>
      </w:r>
      <w:r w:rsidR="008A73BC" w:rsidRPr="002A0BDB">
        <w:rPr>
          <w:rFonts w:ascii="Arial" w:eastAsia="Times New Roman" w:hAnsi="Arial" w:cs="Arial"/>
          <w:sz w:val="24"/>
          <w:szCs w:val="24"/>
          <w:lang w:val="hr-HR"/>
        </w:rPr>
        <w:t>……………………………………………</w:t>
      </w:r>
    </w:p>
    <w:p w14:paraId="2C702A82" w14:textId="77777777" w:rsidR="009F64C5" w:rsidRPr="002A0BDB" w:rsidRDefault="009F64C5" w:rsidP="00113366">
      <w:pPr>
        <w:spacing w:after="157"/>
        <w:ind w:right="2357"/>
        <w:rPr>
          <w:b/>
          <w:bCs/>
        </w:rPr>
      </w:pPr>
    </w:p>
    <w:p w14:paraId="6AA9D53C" w14:textId="77777777" w:rsidR="009F64C5" w:rsidRPr="002A0BDB" w:rsidRDefault="009F64C5">
      <w:pPr>
        <w:spacing w:after="0"/>
      </w:pPr>
      <w:r w:rsidRPr="002A0BDB">
        <w:t xml:space="preserve"> </w:t>
      </w:r>
      <w:r w:rsidRPr="002A0BDB">
        <w:tab/>
        <w:t xml:space="preserve"> </w:t>
      </w:r>
    </w:p>
    <w:p w14:paraId="02286F32" w14:textId="77777777" w:rsidR="009F64C5" w:rsidRPr="002A0BDB" w:rsidRDefault="009F64C5">
      <w:pPr>
        <w:rPr>
          <w:rFonts w:ascii="Times New Roman" w:eastAsia="Times New Roman" w:hAnsi="Times New Roman" w:cs="Times New Roman"/>
          <w:b/>
          <w:sz w:val="24"/>
        </w:rPr>
      </w:pPr>
      <w:r w:rsidRPr="002A0BDB">
        <w:br w:type="page"/>
      </w:r>
    </w:p>
    <w:p w14:paraId="106641A1" w14:textId="7C1664DD" w:rsidR="009F64C5" w:rsidRPr="002A0BDB" w:rsidRDefault="009F64C5">
      <w:pPr>
        <w:pStyle w:val="Heading2"/>
        <w:ind w:left="12" w:right="4"/>
        <w:rPr>
          <w:rFonts w:asciiTheme="minorBidi" w:hAnsiTheme="minorBidi" w:cstheme="minorBidi"/>
          <w:color w:val="auto"/>
        </w:rPr>
      </w:pPr>
      <w:r w:rsidRPr="002A0BDB">
        <w:rPr>
          <w:rFonts w:asciiTheme="minorBidi" w:hAnsiTheme="minorBidi" w:cstheme="minorBidi"/>
          <w:color w:val="auto"/>
        </w:rPr>
        <w:lastRenderedPageBreak/>
        <w:t xml:space="preserve">Acknowledgements </w:t>
      </w:r>
    </w:p>
    <w:p w14:paraId="3DF0875E" w14:textId="77777777" w:rsidR="009F64C5" w:rsidRPr="002A0BDB" w:rsidRDefault="009F64C5">
      <w:pPr>
        <w:spacing w:after="158"/>
        <w:rPr>
          <w:rFonts w:asciiTheme="minorBidi" w:hAnsiTheme="minorBidi"/>
        </w:rPr>
      </w:pPr>
      <w:r w:rsidRPr="002A0BDB">
        <w:rPr>
          <w:rFonts w:asciiTheme="minorBidi" w:hAnsiTheme="minorBidi"/>
        </w:rPr>
        <w:t xml:space="preserve"> </w:t>
      </w:r>
    </w:p>
    <w:p w14:paraId="6DD7150D" w14:textId="36595DF3" w:rsidR="009F64C5" w:rsidRPr="002A0BDB" w:rsidRDefault="00A2514C">
      <w:pPr>
        <w:spacing w:after="169"/>
        <w:rPr>
          <w:rFonts w:asciiTheme="minorBidi" w:hAnsiTheme="minorBidi"/>
        </w:rPr>
      </w:pPr>
      <w:r w:rsidRPr="00A2514C">
        <w:rPr>
          <w:rFonts w:asciiTheme="minorBidi" w:hAnsiTheme="minorBidi"/>
        </w:rPr>
        <w:t>I,</w:t>
      </w:r>
      <w:r>
        <w:rPr>
          <w:rFonts w:asciiTheme="minorBidi" w:hAnsiTheme="minorBidi"/>
        </w:rPr>
        <w:t xml:space="preserve"> Paresh Choudhary</w:t>
      </w:r>
      <w:r w:rsidRPr="00A2514C">
        <w:rPr>
          <w:rFonts w:asciiTheme="minorBidi" w:hAnsiTheme="minorBidi"/>
        </w:rPr>
        <w:t>, the undersigned would like to express my gratitude towards the concerned University and professors for granting me a prestigious opportunity to carry out the project . I am also grateful to my classmates and cohort members, especially my office mates, for their editing help, late-night feedback sessions, and moral support. I am also obliged to the constant patience and guidance of my parents and family throughout the course of this project.</w:t>
      </w:r>
    </w:p>
    <w:p w14:paraId="6F4F74AD" w14:textId="77777777" w:rsidR="009F64C5" w:rsidRPr="002A0BDB" w:rsidRDefault="009F64C5">
      <w:pPr>
        <w:spacing w:after="0"/>
        <w:rPr>
          <w:rFonts w:asciiTheme="minorBidi" w:hAnsiTheme="minorBidi"/>
        </w:rPr>
      </w:pPr>
      <w:r w:rsidRPr="002A0BDB">
        <w:rPr>
          <w:rFonts w:asciiTheme="minorBidi" w:hAnsiTheme="minorBidi"/>
        </w:rPr>
        <w:t xml:space="preserve"> </w:t>
      </w:r>
      <w:r w:rsidRPr="002A0BDB">
        <w:rPr>
          <w:rFonts w:asciiTheme="minorBidi" w:hAnsiTheme="minorBidi"/>
        </w:rPr>
        <w:tab/>
        <w:t xml:space="preserve"> </w:t>
      </w:r>
      <w:r w:rsidRPr="002A0BDB">
        <w:rPr>
          <w:rFonts w:asciiTheme="minorBidi" w:hAnsiTheme="minorBidi"/>
        </w:rPr>
        <w:br w:type="page"/>
      </w:r>
    </w:p>
    <w:p w14:paraId="266C6CB1" w14:textId="2CBA5C8D" w:rsidR="007907BB" w:rsidRPr="002A0BDB" w:rsidRDefault="007907BB" w:rsidP="007907BB">
      <w:pPr>
        <w:spacing w:after="184"/>
        <w:ind w:left="-5"/>
        <w:jc w:val="center"/>
        <w:rPr>
          <w:rFonts w:ascii="Arial" w:eastAsia="Times New Roman" w:hAnsi="Arial" w:cs="Arial"/>
          <w:b/>
          <w:bCs/>
          <w:i/>
          <w:sz w:val="24"/>
          <w:szCs w:val="24"/>
        </w:rPr>
      </w:pPr>
      <w:r w:rsidRPr="002A0BDB">
        <w:rPr>
          <w:rFonts w:ascii="Arial" w:eastAsia="Times New Roman" w:hAnsi="Arial" w:cs="Arial"/>
          <w:b/>
          <w:bCs/>
          <w:i/>
          <w:sz w:val="24"/>
          <w:szCs w:val="24"/>
        </w:rPr>
        <w:lastRenderedPageBreak/>
        <w:t>Abstract</w:t>
      </w:r>
    </w:p>
    <w:p w14:paraId="12E4CB44" w14:textId="77777777" w:rsidR="0046222E" w:rsidRDefault="0046222E">
      <w:pPr>
        <w:spacing w:after="184"/>
        <w:ind w:left="-5"/>
        <w:rPr>
          <w:rFonts w:asciiTheme="minorBidi" w:eastAsia="Times New Roman" w:hAnsiTheme="minorBidi"/>
          <w:i/>
        </w:rPr>
      </w:pPr>
    </w:p>
    <w:p w14:paraId="34BAF65F" w14:textId="2F315709" w:rsidR="009F64C5" w:rsidRPr="002A0BDB" w:rsidRDefault="005C7592">
      <w:pPr>
        <w:spacing w:after="184"/>
        <w:ind w:left="-5"/>
        <w:rPr>
          <w:rFonts w:asciiTheme="minorBidi" w:hAnsiTheme="minorBidi"/>
        </w:rPr>
      </w:pPr>
      <w:r w:rsidRPr="002A0BDB">
        <w:rPr>
          <w:rFonts w:asciiTheme="minorBidi" w:eastAsia="Times New Roman" w:hAnsiTheme="minorBidi"/>
          <w:i/>
        </w:rPr>
        <w:t>R</w:t>
      </w:r>
      <w:r w:rsidR="009F64C5" w:rsidRPr="002A0BDB">
        <w:rPr>
          <w:rFonts w:asciiTheme="minorBidi" w:eastAsia="Times New Roman" w:hAnsiTheme="minorBidi"/>
          <w:i/>
        </w:rPr>
        <w:t xml:space="preserve">esearch problem and objectives: </w:t>
      </w:r>
    </w:p>
    <w:p w14:paraId="6C7EADBE" w14:textId="064B8CC3" w:rsidR="009F64C5"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 systematic review design offers a system that is organised and repeatable, hence increasing the transparency and reducing the bias. The review also synthesises the available study findings on the ways through which genomic and molecular studies will be used to monitor the dynamics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transmission. The current systematic review has set the pace by providing a vivid introduction of molecular epidemiology tools in preventing and controlling in-direct transmission of Cholera. Along with research background, aim, objectives, research questions and research summary has also been added to provide a structured introduction chapter. In the literature review, from molecular epidemiological tools to genomic sequencing, phylogenetic analysis and molecular and environmental factors, every aspect has been clearly recognised. </w:t>
      </w:r>
    </w:p>
    <w:p w14:paraId="0C155504" w14:textId="77777777" w:rsidR="0046222E" w:rsidRDefault="0046222E" w:rsidP="005C7592">
      <w:pPr>
        <w:spacing w:after="184"/>
        <w:ind w:left="-5"/>
        <w:rPr>
          <w:rFonts w:asciiTheme="minorBidi" w:eastAsia="Times New Roman" w:hAnsiTheme="minorBidi"/>
          <w:i/>
        </w:rPr>
      </w:pPr>
    </w:p>
    <w:p w14:paraId="610D73B1" w14:textId="6E569EC1" w:rsidR="009F64C5" w:rsidRPr="002A0BDB" w:rsidRDefault="009F64C5" w:rsidP="005C7592">
      <w:pPr>
        <w:spacing w:after="184"/>
        <w:ind w:left="-5"/>
        <w:rPr>
          <w:rFonts w:asciiTheme="minorBidi" w:hAnsiTheme="minorBidi"/>
        </w:rPr>
      </w:pPr>
      <w:r w:rsidRPr="002A0BDB">
        <w:rPr>
          <w:rFonts w:asciiTheme="minorBidi" w:eastAsia="Times New Roman" w:hAnsiTheme="minorBidi"/>
          <w:i/>
        </w:rPr>
        <w:t xml:space="preserve">Describe your methods: </w:t>
      </w:r>
    </w:p>
    <w:p w14:paraId="5B3E2DBF" w14:textId="5DFFFD7C"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Methodology has given validation of research paradigm, a key outlook of ethical considerations, criteria of inclusion, exclusion, database searching procedure, data analysis technique and limitations of study and so on.</w:t>
      </w:r>
    </w:p>
    <w:p w14:paraId="11B0BF69" w14:textId="77777777" w:rsidR="0046222E" w:rsidRDefault="0046222E">
      <w:pPr>
        <w:spacing w:after="184"/>
        <w:ind w:left="-5"/>
        <w:rPr>
          <w:rFonts w:asciiTheme="minorBidi" w:eastAsia="Times New Roman" w:hAnsiTheme="minorBidi"/>
          <w:i/>
        </w:rPr>
      </w:pPr>
    </w:p>
    <w:p w14:paraId="5C1C2783" w14:textId="296B3A85" w:rsidR="009F64C5" w:rsidRPr="002A0BDB" w:rsidRDefault="009F64C5">
      <w:pPr>
        <w:spacing w:after="184"/>
        <w:ind w:left="-5"/>
        <w:rPr>
          <w:rFonts w:asciiTheme="minorBidi" w:hAnsiTheme="minorBidi"/>
        </w:rPr>
      </w:pPr>
      <w:r w:rsidRPr="002A0BDB">
        <w:rPr>
          <w:rFonts w:asciiTheme="minorBidi" w:eastAsia="Times New Roman" w:hAnsiTheme="minorBidi"/>
          <w:i/>
        </w:rPr>
        <w:t xml:space="preserve">Summarize your key results or arguments: </w:t>
      </w:r>
    </w:p>
    <w:p w14:paraId="2477B052" w14:textId="24419448" w:rsidR="009F64C5" w:rsidRPr="002A0BDB" w:rsidRDefault="005C7592" w:rsidP="005C7592">
      <w:pPr>
        <w:spacing w:line="360" w:lineRule="auto"/>
        <w:jc w:val="both"/>
        <w:rPr>
          <w:rFonts w:ascii="Arial" w:hAnsi="Arial" w:cs="Arial"/>
        </w:rPr>
      </w:pPr>
      <w:r w:rsidRPr="002A0BDB">
        <w:rPr>
          <w:rFonts w:ascii="Arial" w:hAnsi="Arial" w:cs="Arial"/>
        </w:rPr>
        <w:t xml:space="preserve">The major results of the research, showing that molecular epidemiological methods are efficient in identifying Vibrio </w:t>
      </w:r>
      <w:proofErr w:type="spellStart"/>
      <w:r w:rsidRPr="002A0BDB">
        <w:rPr>
          <w:rFonts w:ascii="Arial" w:hAnsi="Arial" w:cs="Arial"/>
        </w:rPr>
        <w:t>cholerae</w:t>
      </w:r>
      <w:proofErr w:type="spellEnd"/>
      <w:r w:rsidRPr="002A0BDB">
        <w:rPr>
          <w:rFonts w:ascii="Arial" w:hAnsi="Arial" w:cs="Arial"/>
        </w:rPr>
        <w:t>, indirect routes of transmission, and environmental and sanitation factors. The section has enlightened the representation of themes in terms of interpreting the acquired data in an effective manner. It has also focused on illustrating the core characteristics of the chosen articles and journals. Another aspect that was emphasized in the chapter is how genomic evidence is used to guide specific public health intervention to enhance cholera prevention and control.</w:t>
      </w:r>
    </w:p>
    <w:p w14:paraId="0E65B351" w14:textId="77777777" w:rsidR="0046222E" w:rsidRDefault="0046222E">
      <w:pPr>
        <w:spacing w:after="184"/>
        <w:ind w:left="-5"/>
        <w:rPr>
          <w:rFonts w:asciiTheme="minorBidi" w:eastAsia="Times New Roman" w:hAnsiTheme="minorBidi"/>
          <w:i/>
        </w:rPr>
      </w:pPr>
    </w:p>
    <w:p w14:paraId="1EB3F3F0" w14:textId="44ABD05F" w:rsidR="009F64C5" w:rsidRPr="002A0BDB" w:rsidRDefault="009F64C5">
      <w:pPr>
        <w:spacing w:after="184"/>
        <w:ind w:left="-5"/>
        <w:rPr>
          <w:rFonts w:asciiTheme="minorBidi" w:hAnsiTheme="minorBidi"/>
        </w:rPr>
      </w:pPr>
      <w:r w:rsidRPr="002A0BDB">
        <w:rPr>
          <w:rFonts w:asciiTheme="minorBidi" w:eastAsia="Times New Roman" w:hAnsiTheme="minorBidi"/>
          <w:i/>
        </w:rPr>
        <w:t xml:space="preserve">Present your conclusion: </w:t>
      </w:r>
    </w:p>
    <w:p w14:paraId="4BB12813" w14:textId="772C349B" w:rsidR="000555DE" w:rsidRPr="002A0BDB" w:rsidRDefault="005C7592" w:rsidP="005C7592">
      <w:pPr>
        <w:spacing w:line="360" w:lineRule="auto"/>
        <w:jc w:val="both"/>
        <w:rPr>
          <w:rFonts w:ascii="Arial" w:hAnsi="Arial" w:cs="Arial"/>
        </w:rPr>
      </w:pPr>
      <w:r w:rsidRPr="002A0BDB">
        <w:rPr>
          <w:rFonts w:ascii="Arial" w:hAnsi="Arial" w:cs="Arial"/>
        </w:rPr>
        <w:t xml:space="preserve">The results were critically analysed based on the literature that is available and the impact of molecular epidemiology, environmental factors, and public health interventions were evaluated collectively in the transmission of cholera indirectly. The chapter presented a comparison of study </w:t>
      </w:r>
      <w:r w:rsidRPr="002A0BDB">
        <w:rPr>
          <w:rFonts w:ascii="Arial" w:hAnsi="Arial" w:cs="Arial"/>
        </w:rPr>
        <w:lastRenderedPageBreak/>
        <w:t>themes with previous studies illustrating similarities, differences, and implications of preventing and controlling the occurrence of cholera.</w:t>
      </w:r>
      <w:r w:rsidR="009F64C5" w:rsidRPr="002A0BDB">
        <w:rPr>
          <w:rFonts w:asciiTheme="minorBidi" w:hAnsiTheme="minorBidi"/>
        </w:rPr>
        <w:tab/>
        <w:t xml:space="preserve"> </w:t>
      </w:r>
    </w:p>
    <w:p w14:paraId="14302AA0" w14:textId="77777777" w:rsidR="0046222E" w:rsidRDefault="0046222E" w:rsidP="005C7592">
      <w:pPr>
        <w:spacing w:line="360" w:lineRule="auto"/>
        <w:jc w:val="both"/>
        <w:rPr>
          <w:rFonts w:ascii="Arial" w:hAnsi="Arial" w:cs="Arial"/>
          <w:b/>
          <w:i/>
        </w:rPr>
      </w:pPr>
    </w:p>
    <w:p w14:paraId="5D882A16" w14:textId="6E9CE5FE" w:rsidR="005C7592" w:rsidRPr="002A0BDB" w:rsidRDefault="005C7592" w:rsidP="005C7592">
      <w:pPr>
        <w:spacing w:line="360" w:lineRule="auto"/>
        <w:jc w:val="both"/>
        <w:rPr>
          <w:rFonts w:ascii="Arial" w:hAnsi="Arial" w:cs="Arial"/>
        </w:rPr>
      </w:pPr>
      <w:r w:rsidRPr="002A0BDB">
        <w:rPr>
          <w:rFonts w:ascii="Arial" w:hAnsi="Arial" w:cs="Arial"/>
          <w:b/>
          <w:i/>
        </w:rPr>
        <w:t>Keywords</w:t>
      </w:r>
      <w:r w:rsidRPr="002A0BDB">
        <w:rPr>
          <w:rFonts w:ascii="Arial" w:hAnsi="Arial" w:cs="Arial"/>
        </w:rPr>
        <w:t xml:space="preserve">: Molecular epidemiology tools, public health interventions, indirect routes of transmission, environmental and sanitation factors,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transmission. </w:t>
      </w:r>
    </w:p>
    <w:p w14:paraId="361B4A4C" w14:textId="4449F94C" w:rsidR="000555DE" w:rsidRPr="002A0BDB" w:rsidRDefault="000555DE">
      <w:pPr>
        <w:rPr>
          <w:rFonts w:asciiTheme="minorBidi" w:hAnsiTheme="minorBidi"/>
        </w:rPr>
      </w:pPr>
    </w:p>
    <w:p w14:paraId="7CDD196C" w14:textId="77777777" w:rsidR="009F64C5" w:rsidRPr="002A0BDB" w:rsidRDefault="009F64C5" w:rsidP="000555DE">
      <w:pPr>
        <w:spacing w:after="14" w:line="249" w:lineRule="auto"/>
        <w:ind w:left="705"/>
        <w:rPr>
          <w:rFonts w:asciiTheme="minorBidi" w:hAnsiTheme="minorBidi"/>
        </w:rPr>
      </w:pPr>
    </w:p>
    <w:sdt>
      <w:sdtPr>
        <w:rPr>
          <w:rFonts w:asciiTheme="minorBidi" w:eastAsiaTheme="minorEastAsia" w:hAnsiTheme="minorBidi" w:cstheme="minorBidi"/>
          <w:b w:val="0"/>
          <w:color w:val="auto"/>
          <w:sz w:val="22"/>
        </w:rPr>
        <w:id w:val="1513028152"/>
        <w:docPartObj>
          <w:docPartGallery w:val="Table of Contents"/>
        </w:docPartObj>
      </w:sdtPr>
      <w:sdtEndPr/>
      <w:sdtContent>
        <w:p w14:paraId="2A30DF03" w14:textId="77777777" w:rsidR="0046222E" w:rsidRDefault="0046222E" w:rsidP="00B40841">
          <w:pPr>
            <w:pStyle w:val="Heading2"/>
            <w:ind w:left="12"/>
            <w:rPr>
              <w:rFonts w:asciiTheme="minorBidi" w:eastAsiaTheme="minorEastAsia" w:hAnsiTheme="minorBidi" w:cstheme="minorBidi"/>
              <w:b w:val="0"/>
              <w:color w:val="auto"/>
              <w:sz w:val="22"/>
            </w:rPr>
          </w:pPr>
        </w:p>
        <w:p w14:paraId="7CB141C1" w14:textId="77777777" w:rsidR="0046222E" w:rsidRDefault="0046222E" w:rsidP="00B40841">
          <w:pPr>
            <w:pStyle w:val="Heading2"/>
            <w:ind w:left="12"/>
            <w:rPr>
              <w:rFonts w:asciiTheme="minorBidi" w:eastAsiaTheme="minorEastAsia" w:hAnsiTheme="minorBidi" w:cstheme="minorBidi"/>
              <w:b w:val="0"/>
              <w:color w:val="auto"/>
              <w:sz w:val="22"/>
            </w:rPr>
          </w:pPr>
        </w:p>
        <w:p w14:paraId="72659E1F" w14:textId="77777777" w:rsidR="0046222E" w:rsidRDefault="0046222E" w:rsidP="00B40841">
          <w:pPr>
            <w:pStyle w:val="Heading2"/>
            <w:ind w:left="12"/>
            <w:rPr>
              <w:rFonts w:asciiTheme="minorBidi" w:eastAsiaTheme="minorEastAsia" w:hAnsiTheme="minorBidi" w:cstheme="minorBidi"/>
              <w:b w:val="0"/>
              <w:color w:val="auto"/>
              <w:sz w:val="22"/>
            </w:rPr>
          </w:pPr>
        </w:p>
        <w:p w14:paraId="48A583B4" w14:textId="77777777" w:rsidR="0046222E" w:rsidRDefault="0046222E" w:rsidP="00B40841">
          <w:pPr>
            <w:pStyle w:val="Heading2"/>
            <w:ind w:left="12"/>
            <w:rPr>
              <w:rFonts w:asciiTheme="minorBidi" w:eastAsiaTheme="minorEastAsia" w:hAnsiTheme="minorBidi" w:cstheme="minorBidi"/>
              <w:b w:val="0"/>
              <w:color w:val="auto"/>
              <w:sz w:val="22"/>
            </w:rPr>
          </w:pPr>
        </w:p>
        <w:p w14:paraId="5B78C05F" w14:textId="77777777" w:rsidR="0046222E" w:rsidRDefault="0046222E" w:rsidP="00B40841">
          <w:pPr>
            <w:pStyle w:val="Heading2"/>
            <w:ind w:left="12"/>
            <w:rPr>
              <w:rFonts w:asciiTheme="minorBidi" w:eastAsiaTheme="minorEastAsia" w:hAnsiTheme="minorBidi" w:cstheme="minorBidi"/>
              <w:b w:val="0"/>
              <w:color w:val="auto"/>
              <w:sz w:val="22"/>
            </w:rPr>
          </w:pPr>
        </w:p>
        <w:p w14:paraId="312E6795" w14:textId="77777777" w:rsidR="0046222E" w:rsidRDefault="0046222E" w:rsidP="00B40841">
          <w:pPr>
            <w:pStyle w:val="Heading2"/>
            <w:ind w:left="12"/>
            <w:rPr>
              <w:rFonts w:asciiTheme="minorBidi" w:eastAsiaTheme="minorEastAsia" w:hAnsiTheme="minorBidi" w:cstheme="minorBidi"/>
              <w:b w:val="0"/>
              <w:color w:val="auto"/>
              <w:sz w:val="22"/>
            </w:rPr>
          </w:pPr>
        </w:p>
        <w:p w14:paraId="683552DC" w14:textId="77777777" w:rsidR="0046222E" w:rsidRDefault="0046222E" w:rsidP="00B40841">
          <w:pPr>
            <w:pStyle w:val="Heading2"/>
            <w:ind w:left="12"/>
            <w:rPr>
              <w:rFonts w:asciiTheme="minorBidi" w:eastAsiaTheme="minorEastAsia" w:hAnsiTheme="minorBidi" w:cstheme="minorBidi"/>
              <w:b w:val="0"/>
              <w:color w:val="auto"/>
              <w:sz w:val="22"/>
            </w:rPr>
          </w:pPr>
        </w:p>
        <w:p w14:paraId="269829DD" w14:textId="77777777" w:rsidR="0046222E" w:rsidRDefault="0046222E" w:rsidP="00B40841">
          <w:pPr>
            <w:pStyle w:val="Heading2"/>
            <w:ind w:left="12"/>
            <w:rPr>
              <w:rFonts w:asciiTheme="minorBidi" w:eastAsiaTheme="minorEastAsia" w:hAnsiTheme="minorBidi" w:cstheme="minorBidi"/>
              <w:b w:val="0"/>
              <w:color w:val="auto"/>
              <w:sz w:val="22"/>
            </w:rPr>
          </w:pPr>
        </w:p>
        <w:p w14:paraId="084386F2" w14:textId="77777777" w:rsidR="0046222E" w:rsidRDefault="0046222E" w:rsidP="00B40841">
          <w:pPr>
            <w:pStyle w:val="Heading2"/>
            <w:ind w:left="12"/>
            <w:rPr>
              <w:rFonts w:asciiTheme="minorBidi" w:eastAsiaTheme="minorEastAsia" w:hAnsiTheme="minorBidi" w:cstheme="minorBidi"/>
              <w:b w:val="0"/>
              <w:color w:val="auto"/>
              <w:sz w:val="22"/>
            </w:rPr>
          </w:pPr>
        </w:p>
        <w:p w14:paraId="1486FC37" w14:textId="77777777" w:rsidR="0046222E" w:rsidRDefault="0046222E" w:rsidP="00B40841">
          <w:pPr>
            <w:pStyle w:val="Heading2"/>
            <w:ind w:left="12"/>
            <w:rPr>
              <w:rFonts w:asciiTheme="minorBidi" w:eastAsiaTheme="minorEastAsia" w:hAnsiTheme="minorBidi" w:cstheme="minorBidi"/>
              <w:b w:val="0"/>
              <w:color w:val="auto"/>
              <w:sz w:val="22"/>
            </w:rPr>
          </w:pPr>
        </w:p>
        <w:p w14:paraId="580EDD19" w14:textId="77777777" w:rsidR="0046222E" w:rsidRDefault="0046222E" w:rsidP="00B40841">
          <w:pPr>
            <w:pStyle w:val="Heading2"/>
            <w:ind w:left="12"/>
            <w:rPr>
              <w:rFonts w:asciiTheme="minorBidi" w:eastAsiaTheme="minorEastAsia" w:hAnsiTheme="minorBidi" w:cstheme="minorBidi"/>
              <w:b w:val="0"/>
              <w:color w:val="auto"/>
              <w:sz w:val="22"/>
            </w:rPr>
          </w:pPr>
        </w:p>
        <w:p w14:paraId="6642D06A" w14:textId="77777777" w:rsidR="0046222E" w:rsidRDefault="0046222E" w:rsidP="00B40841">
          <w:pPr>
            <w:pStyle w:val="Heading2"/>
            <w:ind w:left="12"/>
            <w:rPr>
              <w:rFonts w:asciiTheme="minorBidi" w:eastAsiaTheme="minorEastAsia" w:hAnsiTheme="minorBidi" w:cstheme="minorBidi"/>
              <w:b w:val="0"/>
              <w:color w:val="auto"/>
              <w:sz w:val="22"/>
            </w:rPr>
          </w:pPr>
        </w:p>
        <w:p w14:paraId="084C4EED" w14:textId="77777777" w:rsidR="0046222E" w:rsidRDefault="0046222E" w:rsidP="00B40841">
          <w:pPr>
            <w:pStyle w:val="Heading2"/>
            <w:ind w:left="12"/>
            <w:rPr>
              <w:rFonts w:asciiTheme="minorBidi" w:eastAsiaTheme="minorEastAsia" w:hAnsiTheme="minorBidi" w:cstheme="minorBidi"/>
              <w:b w:val="0"/>
              <w:color w:val="auto"/>
              <w:sz w:val="22"/>
            </w:rPr>
          </w:pPr>
        </w:p>
        <w:p w14:paraId="32105264" w14:textId="77777777" w:rsidR="0046222E" w:rsidRDefault="0046222E" w:rsidP="00B40841">
          <w:pPr>
            <w:pStyle w:val="Heading2"/>
            <w:ind w:left="12"/>
            <w:rPr>
              <w:rFonts w:asciiTheme="minorBidi" w:eastAsiaTheme="minorEastAsia" w:hAnsiTheme="minorBidi" w:cstheme="minorBidi"/>
              <w:b w:val="0"/>
              <w:color w:val="auto"/>
              <w:sz w:val="22"/>
            </w:rPr>
          </w:pPr>
        </w:p>
        <w:p w14:paraId="1D6B7906" w14:textId="77777777" w:rsidR="0046222E" w:rsidRDefault="0046222E" w:rsidP="00B40841">
          <w:pPr>
            <w:pStyle w:val="Heading2"/>
            <w:ind w:left="12"/>
            <w:rPr>
              <w:rFonts w:asciiTheme="minorBidi" w:eastAsiaTheme="minorEastAsia" w:hAnsiTheme="minorBidi" w:cstheme="minorBidi"/>
              <w:b w:val="0"/>
              <w:color w:val="auto"/>
              <w:sz w:val="22"/>
            </w:rPr>
          </w:pPr>
        </w:p>
        <w:p w14:paraId="2CB75260" w14:textId="77777777" w:rsidR="0046222E" w:rsidRDefault="0046222E" w:rsidP="00B40841">
          <w:pPr>
            <w:pStyle w:val="Heading2"/>
            <w:ind w:left="12"/>
            <w:rPr>
              <w:rFonts w:asciiTheme="minorBidi" w:eastAsiaTheme="minorEastAsia" w:hAnsiTheme="minorBidi" w:cstheme="minorBidi"/>
              <w:b w:val="0"/>
              <w:color w:val="auto"/>
              <w:sz w:val="22"/>
            </w:rPr>
          </w:pPr>
        </w:p>
        <w:p w14:paraId="20BEE889" w14:textId="77777777" w:rsidR="0046222E" w:rsidRDefault="0046222E" w:rsidP="00B40841">
          <w:pPr>
            <w:pStyle w:val="Heading2"/>
            <w:ind w:left="12"/>
            <w:rPr>
              <w:rFonts w:asciiTheme="minorBidi" w:eastAsiaTheme="minorEastAsia" w:hAnsiTheme="minorBidi" w:cstheme="minorBidi"/>
              <w:b w:val="0"/>
              <w:color w:val="auto"/>
              <w:sz w:val="22"/>
            </w:rPr>
          </w:pPr>
        </w:p>
        <w:p w14:paraId="23FA1ADB" w14:textId="77777777" w:rsidR="0046222E" w:rsidRDefault="0046222E" w:rsidP="00B40841">
          <w:pPr>
            <w:pStyle w:val="Heading2"/>
            <w:ind w:left="12"/>
            <w:rPr>
              <w:rFonts w:asciiTheme="minorBidi" w:eastAsiaTheme="minorEastAsia" w:hAnsiTheme="minorBidi" w:cstheme="minorBidi"/>
              <w:b w:val="0"/>
              <w:color w:val="auto"/>
              <w:sz w:val="22"/>
            </w:rPr>
          </w:pPr>
        </w:p>
        <w:p w14:paraId="0741E1CF" w14:textId="77777777" w:rsidR="0046222E" w:rsidRDefault="0046222E" w:rsidP="00B40841">
          <w:pPr>
            <w:pStyle w:val="Heading2"/>
            <w:ind w:left="12"/>
            <w:rPr>
              <w:rFonts w:asciiTheme="minorBidi" w:eastAsiaTheme="minorEastAsia" w:hAnsiTheme="minorBidi" w:cstheme="minorBidi"/>
              <w:b w:val="0"/>
              <w:color w:val="auto"/>
              <w:sz w:val="22"/>
            </w:rPr>
          </w:pPr>
        </w:p>
        <w:p w14:paraId="299A1D44" w14:textId="77777777" w:rsidR="0046222E" w:rsidRDefault="0046222E" w:rsidP="00B40841">
          <w:pPr>
            <w:pStyle w:val="Heading2"/>
            <w:ind w:left="12"/>
            <w:rPr>
              <w:rFonts w:asciiTheme="minorBidi" w:eastAsiaTheme="minorEastAsia" w:hAnsiTheme="minorBidi" w:cstheme="minorBidi"/>
              <w:b w:val="0"/>
              <w:color w:val="auto"/>
              <w:sz w:val="22"/>
            </w:rPr>
          </w:pPr>
        </w:p>
        <w:p w14:paraId="70A5A157" w14:textId="77777777" w:rsidR="0046222E" w:rsidRDefault="0046222E" w:rsidP="00B40841">
          <w:pPr>
            <w:pStyle w:val="Heading2"/>
            <w:ind w:left="12"/>
            <w:rPr>
              <w:rFonts w:asciiTheme="minorBidi" w:eastAsiaTheme="minorEastAsia" w:hAnsiTheme="minorBidi" w:cstheme="minorBidi"/>
              <w:b w:val="0"/>
              <w:color w:val="auto"/>
              <w:sz w:val="22"/>
            </w:rPr>
          </w:pPr>
        </w:p>
        <w:p w14:paraId="4052F156" w14:textId="77777777" w:rsidR="001711AB" w:rsidRDefault="001711AB" w:rsidP="00B40841">
          <w:pPr>
            <w:pStyle w:val="Heading2"/>
            <w:ind w:left="12"/>
            <w:rPr>
              <w:rFonts w:asciiTheme="minorBidi" w:eastAsiaTheme="minorEastAsia" w:hAnsiTheme="minorBidi" w:cstheme="minorBidi"/>
              <w:b w:val="0"/>
              <w:color w:val="auto"/>
              <w:sz w:val="22"/>
            </w:rPr>
          </w:pPr>
        </w:p>
        <w:p w14:paraId="076AAA75" w14:textId="7C616B01" w:rsidR="009F64C5" w:rsidRPr="002A0BDB" w:rsidRDefault="009F64C5" w:rsidP="00B40841">
          <w:pPr>
            <w:pStyle w:val="Heading2"/>
            <w:ind w:left="12"/>
            <w:rPr>
              <w:rFonts w:asciiTheme="minorBidi" w:hAnsiTheme="minorBidi" w:cstheme="minorBidi"/>
              <w:color w:val="auto"/>
            </w:rPr>
          </w:pPr>
          <w:r w:rsidRPr="002A0BDB">
            <w:rPr>
              <w:rFonts w:asciiTheme="minorBidi" w:hAnsiTheme="minorBidi" w:cstheme="minorBidi"/>
              <w:color w:val="auto"/>
            </w:rPr>
            <w:t xml:space="preserve">Table of contents </w:t>
          </w:r>
        </w:p>
        <w:p w14:paraId="30973DCC" w14:textId="03CCD43A" w:rsidR="00B40841" w:rsidRPr="002A0BDB" w:rsidRDefault="009F64C5">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r w:rsidRPr="002A0BDB">
            <w:rPr>
              <w:rFonts w:asciiTheme="minorBidi" w:hAnsiTheme="minorBidi" w:cstheme="minorBidi"/>
              <w:color w:val="auto"/>
            </w:rPr>
            <w:fldChar w:fldCharType="begin"/>
          </w:r>
          <w:r w:rsidRPr="002A0BDB">
            <w:rPr>
              <w:rFonts w:asciiTheme="minorBidi" w:hAnsiTheme="minorBidi" w:cstheme="minorBidi"/>
              <w:color w:val="auto"/>
            </w:rPr>
            <w:instrText xml:space="preserve"> TOC \o "1-1" \h \z \u </w:instrText>
          </w:r>
          <w:r w:rsidRPr="002A0BDB">
            <w:rPr>
              <w:rFonts w:asciiTheme="minorBidi" w:hAnsiTheme="minorBidi" w:cstheme="minorBidi"/>
              <w:color w:val="auto"/>
            </w:rPr>
            <w:fldChar w:fldCharType="separate"/>
          </w:r>
          <w:hyperlink w:anchor="_Toc220498165" w:history="1">
            <w:r w:rsidR="00B40841" w:rsidRPr="002A0BDB">
              <w:rPr>
                <w:rStyle w:val="Hyperlink"/>
                <w:rFonts w:asciiTheme="minorBidi" w:hAnsiTheme="minorBidi"/>
                <w:noProof/>
                <w:color w:val="auto"/>
              </w:rPr>
              <w:t>List of figures</w:t>
            </w:r>
            <w:r w:rsidR="00B40841" w:rsidRPr="002A0BDB">
              <w:rPr>
                <w:noProof/>
                <w:webHidden/>
                <w:color w:val="auto"/>
              </w:rPr>
              <w:tab/>
            </w:r>
            <w:r w:rsidR="00B40841" w:rsidRPr="002A0BDB">
              <w:rPr>
                <w:noProof/>
                <w:webHidden/>
                <w:color w:val="auto"/>
              </w:rPr>
              <w:fldChar w:fldCharType="begin"/>
            </w:r>
            <w:r w:rsidR="00B40841" w:rsidRPr="002A0BDB">
              <w:rPr>
                <w:noProof/>
                <w:webHidden/>
                <w:color w:val="auto"/>
              </w:rPr>
              <w:instrText xml:space="preserve"> PAGEREF _Toc220498165 \h </w:instrText>
            </w:r>
            <w:r w:rsidR="00B40841" w:rsidRPr="002A0BDB">
              <w:rPr>
                <w:noProof/>
                <w:webHidden/>
                <w:color w:val="auto"/>
              </w:rPr>
            </w:r>
            <w:r w:rsidR="00B40841" w:rsidRPr="002A0BDB">
              <w:rPr>
                <w:noProof/>
                <w:webHidden/>
                <w:color w:val="auto"/>
              </w:rPr>
              <w:fldChar w:fldCharType="separate"/>
            </w:r>
            <w:r w:rsidR="00B40841" w:rsidRPr="002A0BDB">
              <w:rPr>
                <w:noProof/>
                <w:webHidden/>
                <w:color w:val="auto"/>
              </w:rPr>
              <w:t>6</w:t>
            </w:r>
            <w:r w:rsidR="00B40841" w:rsidRPr="002A0BDB">
              <w:rPr>
                <w:noProof/>
                <w:webHidden/>
                <w:color w:val="auto"/>
              </w:rPr>
              <w:fldChar w:fldCharType="end"/>
            </w:r>
          </w:hyperlink>
        </w:p>
        <w:p w14:paraId="352A84FD" w14:textId="668018EB"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66" w:history="1">
            <w:r w:rsidRPr="002A0BDB">
              <w:rPr>
                <w:rStyle w:val="Hyperlink"/>
                <w:rFonts w:asciiTheme="minorBidi" w:hAnsiTheme="minorBidi"/>
                <w:noProof/>
                <w:color w:val="auto"/>
              </w:rPr>
              <w:t>List of tables</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_Toc220498166 \h </w:instrText>
            </w:r>
            <w:r w:rsidRPr="002A0BDB">
              <w:rPr>
                <w:noProof/>
                <w:webHidden/>
                <w:color w:val="auto"/>
              </w:rPr>
            </w:r>
            <w:r w:rsidRPr="002A0BDB">
              <w:rPr>
                <w:noProof/>
                <w:webHidden/>
                <w:color w:val="auto"/>
              </w:rPr>
              <w:fldChar w:fldCharType="separate"/>
            </w:r>
            <w:r w:rsidRPr="002A0BDB">
              <w:rPr>
                <w:noProof/>
                <w:webHidden/>
                <w:color w:val="auto"/>
              </w:rPr>
              <w:t>7</w:t>
            </w:r>
            <w:r w:rsidRPr="002A0BDB">
              <w:rPr>
                <w:noProof/>
                <w:webHidden/>
                <w:color w:val="auto"/>
              </w:rPr>
              <w:fldChar w:fldCharType="end"/>
            </w:r>
          </w:hyperlink>
        </w:p>
        <w:p w14:paraId="3B3CBB7F" w14:textId="3D5545CE"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67" w:history="1">
            <w:r w:rsidRPr="002A0BDB">
              <w:rPr>
                <w:rStyle w:val="Hyperlink"/>
                <w:rFonts w:asciiTheme="minorBidi" w:hAnsiTheme="minorBidi"/>
                <w:noProof/>
                <w:color w:val="auto"/>
              </w:rPr>
              <w:t>List of abbreviations</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_Toc220498167 \h </w:instrText>
            </w:r>
            <w:r w:rsidRPr="002A0BDB">
              <w:rPr>
                <w:noProof/>
                <w:webHidden/>
                <w:color w:val="auto"/>
              </w:rPr>
            </w:r>
            <w:r w:rsidRPr="002A0BDB">
              <w:rPr>
                <w:noProof/>
                <w:webHidden/>
                <w:color w:val="auto"/>
              </w:rPr>
              <w:fldChar w:fldCharType="separate"/>
            </w:r>
            <w:r w:rsidRPr="002A0BDB">
              <w:rPr>
                <w:noProof/>
                <w:webHidden/>
                <w:color w:val="auto"/>
              </w:rPr>
              <w:t>8</w:t>
            </w:r>
            <w:r w:rsidRPr="002A0BDB">
              <w:rPr>
                <w:noProof/>
                <w:webHidden/>
                <w:color w:val="auto"/>
              </w:rPr>
              <w:fldChar w:fldCharType="end"/>
            </w:r>
          </w:hyperlink>
        </w:p>
        <w:p w14:paraId="23F1CBF5" w14:textId="5E92FE1B"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68" w:history="1">
            <w:r w:rsidRPr="002A0BDB">
              <w:rPr>
                <w:rStyle w:val="Hyperlink"/>
                <w:rFonts w:asciiTheme="minorBidi" w:hAnsiTheme="minorBidi"/>
                <w:noProof/>
                <w:color w:val="auto"/>
              </w:rPr>
              <w:t>Chapter 1: Introduction</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_Toc220498168 \h </w:instrText>
            </w:r>
            <w:r w:rsidRPr="002A0BDB">
              <w:rPr>
                <w:noProof/>
                <w:webHidden/>
                <w:color w:val="auto"/>
              </w:rPr>
            </w:r>
            <w:r w:rsidRPr="002A0BDB">
              <w:rPr>
                <w:noProof/>
                <w:webHidden/>
                <w:color w:val="auto"/>
              </w:rPr>
              <w:fldChar w:fldCharType="separate"/>
            </w:r>
            <w:r w:rsidRPr="002A0BDB">
              <w:rPr>
                <w:noProof/>
                <w:webHidden/>
                <w:color w:val="auto"/>
              </w:rPr>
              <w:t>9</w:t>
            </w:r>
            <w:r w:rsidRPr="002A0BDB">
              <w:rPr>
                <w:noProof/>
                <w:webHidden/>
                <w:color w:val="auto"/>
              </w:rPr>
              <w:fldChar w:fldCharType="end"/>
            </w:r>
          </w:hyperlink>
        </w:p>
        <w:p w14:paraId="0E2A4129" w14:textId="5239F9C5"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69" w:history="1">
            <w:r w:rsidRPr="002A0BDB">
              <w:rPr>
                <w:rStyle w:val="Hyperlink"/>
                <w:rFonts w:asciiTheme="minorBidi" w:hAnsiTheme="minorBidi"/>
                <w:noProof/>
                <w:color w:val="auto"/>
              </w:rPr>
              <w:t>Chapter 2: Literature review/theoretical framework</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_Toc220498169 \h </w:instrText>
            </w:r>
            <w:r w:rsidRPr="002A0BDB">
              <w:rPr>
                <w:noProof/>
                <w:webHidden/>
                <w:color w:val="auto"/>
              </w:rPr>
            </w:r>
            <w:r w:rsidRPr="002A0BDB">
              <w:rPr>
                <w:noProof/>
                <w:webHidden/>
                <w:color w:val="auto"/>
              </w:rPr>
              <w:fldChar w:fldCharType="separate"/>
            </w:r>
            <w:r w:rsidRPr="002A0BDB">
              <w:rPr>
                <w:noProof/>
                <w:webHidden/>
                <w:color w:val="auto"/>
              </w:rPr>
              <w:t>15</w:t>
            </w:r>
            <w:r w:rsidRPr="002A0BDB">
              <w:rPr>
                <w:noProof/>
                <w:webHidden/>
                <w:color w:val="auto"/>
              </w:rPr>
              <w:fldChar w:fldCharType="end"/>
            </w:r>
          </w:hyperlink>
        </w:p>
        <w:p w14:paraId="06127C7E" w14:textId="4CADEE11"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70" w:history="1">
            <w:r w:rsidRPr="002A0BDB">
              <w:rPr>
                <w:rStyle w:val="Hyperlink"/>
                <w:rFonts w:asciiTheme="minorBidi" w:hAnsiTheme="minorBidi"/>
                <w:noProof/>
                <w:color w:val="auto"/>
              </w:rPr>
              <w:t>Chapter 3: Research Methodology</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_Toc220498170 \h </w:instrText>
            </w:r>
            <w:r w:rsidRPr="002A0BDB">
              <w:rPr>
                <w:noProof/>
                <w:webHidden/>
                <w:color w:val="auto"/>
              </w:rPr>
            </w:r>
            <w:r w:rsidRPr="002A0BDB">
              <w:rPr>
                <w:noProof/>
                <w:webHidden/>
                <w:color w:val="auto"/>
              </w:rPr>
              <w:fldChar w:fldCharType="separate"/>
            </w:r>
            <w:r w:rsidRPr="002A0BDB">
              <w:rPr>
                <w:noProof/>
                <w:webHidden/>
                <w:color w:val="auto"/>
              </w:rPr>
              <w:t>29</w:t>
            </w:r>
            <w:r w:rsidRPr="002A0BDB">
              <w:rPr>
                <w:noProof/>
                <w:webHidden/>
                <w:color w:val="auto"/>
              </w:rPr>
              <w:fldChar w:fldCharType="end"/>
            </w:r>
          </w:hyperlink>
        </w:p>
        <w:p w14:paraId="0E3EA2E7" w14:textId="5EDB4529"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71" w:history="1">
            <w:r w:rsidRPr="002A0BDB">
              <w:rPr>
                <w:rStyle w:val="Hyperlink"/>
                <w:rFonts w:asciiTheme="minorBidi" w:hAnsiTheme="minorBidi"/>
                <w:noProof/>
                <w:color w:val="auto"/>
              </w:rPr>
              <w:t>Chapter 4: Results</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_Toc220498171 \h </w:instrText>
            </w:r>
            <w:r w:rsidRPr="002A0BDB">
              <w:rPr>
                <w:noProof/>
                <w:webHidden/>
                <w:color w:val="auto"/>
              </w:rPr>
            </w:r>
            <w:r w:rsidRPr="002A0BDB">
              <w:rPr>
                <w:noProof/>
                <w:webHidden/>
                <w:color w:val="auto"/>
              </w:rPr>
              <w:fldChar w:fldCharType="separate"/>
            </w:r>
            <w:r w:rsidRPr="002A0BDB">
              <w:rPr>
                <w:noProof/>
                <w:webHidden/>
                <w:color w:val="auto"/>
              </w:rPr>
              <w:t>39</w:t>
            </w:r>
            <w:r w:rsidRPr="002A0BDB">
              <w:rPr>
                <w:noProof/>
                <w:webHidden/>
                <w:color w:val="auto"/>
              </w:rPr>
              <w:fldChar w:fldCharType="end"/>
            </w:r>
          </w:hyperlink>
        </w:p>
        <w:p w14:paraId="13FC2314" w14:textId="2097D863"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72" w:history="1">
            <w:r w:rsidRPr="002A0BDB">
              <w:rPr>
                <w:rStyle w:val="Hyperlink"/>
                <w:rFonts w:asciiTheme="minorBidi" w:hAnsiTheme="minorBidi"/>
                <w:noProof/>
                <w:color w:val="auto"/>
              </w:rPr>
              <w:t>Chapter 5: Discussion</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_Toc220498172 \h </w:instrText>
            </w:r>
            <w:r w:rsidRPr="002A0BDB">
              <w:rPr>
                <w:noProof/>
                <w:webHidden/>
                <w:color w:val="auto"/>
              </w:rPr>
            </w:r>
            <w:r w:rsidRPr="002A0BDB">
              <w:rPr>
                <w:noProof/>
                <w:webHidden/>
                <w:color w:val="auto"/>
              </w:rPr>
              <w:fldChar w:fldCharType="separate"/>
            </w:r>
            <w:r w:rsidRPr="002A0BDB">
              <w:rPr>
                <w:noProof/>
                <w:webHidden/>
                <w:color w:val="auto"/>
              </w:rPr>
              <w:t>62</w:t>
            </w:r>
            <w:r w:rsidRPr="002A0BDB">
              <w:rPr>
                <w:noProof/>
                <w:webHidden/>
                <w:color w:val="auto"/>
              </w:rPr>
              <w:fldChar w:fldCharType="end"/>
            </w:r>
          </w:hyperlink>
        </w:p>
        <w:p w14:paraId="4ADA81B8" w14:textId="7E19D057"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73" w:history="1">
            <w:r w:rsidRPr="002A0BDB">
              <w:rPr>
                <w:rStyle w:val="Hyperlink"/>
                <w:rFonts w:asciiTheme="minorBidi" w:hAnsiTheme="minorBidi"/>
                <w:noProof/>
                <w:color w:val="auto"/>
              </w:rPr>
              <w:t>Chapter 6: Conclusion</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_Toc220498173 \h </w:instrText>
            </w:r>
            <w:r w:rsidRPr="002A0BDB">
              <w:rPr>
                <w:noProof/>
                <w:webHidden/>
                <w:color w:val="auto"/>
              </w:rPr>
            </w:r>
            <w:r w:rsidRPr="002A0BDB">
              <w:rPr>
                <w:noProof/>
                <w:webHidden/>
                <w:color w:val="auto"/>
              </w:rPr>
              <w:fldChar w:fldCharType="separate"/>
            </w:r>
            <w:r w:rsidRPr="002A0BDB">
              <w:rPr>
                <w:noProof/>
                <w:webHidden/>
                <w:color w:val="auto"/>
              </w:rPr>
              <w:t>66</w:t>
            </w:r>
            <w:r w:rsidRPr="002A0BDB">
              <w:rPr>
                <w:noProof/>
                <w:webHidden/>
                <w:color w:val="auto"/>
              </w:rPr>
              <w:fldChar w:fldCharType="end"/>
            </w:r>
          </w:hyperlink>
        </w:p>
        <w:p w14:paraId="3BAF4650" w14:textId="7786328D"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74" w:history="1">
            <w:r w:rsidRPr="002A0BDB">
              <w:rPr>
                <w:rStyle w:val="Hyperlink"/>
                <w:rFonts w:asciiTheme="minorBidi" w:hAnsiTheme="minorBidi"/>
                <w:noProof/>
                <w:color w:val="auto"/>
              </w:rPr>
              <w:t>Reference list</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_Toc220498174 \h </w:instrText>
            </w:r>
            <w:r w:rsidRPr="002A0BDB">
              <w:rPr>
                <w:noProof/>
                <w:webHidden/>
                <w:color w:val="auto"/>
              </w:rPr>
            </w:r>
            <w:r w:rsidRPr="002A0BDB">
              <w:rPr>
                <w:noProof/>
                <w:webHidden/>
                <w:color w:val="auto"/>
              </w:rPr>
              <w:fldChar w:fldCharType="separate"/>
            </w:r>
            <w:r w:rsidRPr="002A0BDB">
              <w:rPr>
                <w:noProof/>
                <w:webHidden/>
                <w:color w:val="auto"/>
              </w:rPr>
              <w:t>68</w:t>
            </w:r>
            <w:r w:rsidRPr="002A0BDB">
              <w:rPr>
                <w:noProof/>
                <w:webHidden/>
                <w:color w:val="auto"/>
              </w:rPr>
              <w:fldChar w:fldCharType="end"/>
            </w:r>
          </w:hyperlink>
        </w:p>
        <w:p w14:paraId="4E293611" w14:textId="60413F70" w:rsidR="00B40841" w:rsidRPr="002A0BDB" w:rsidRDefault="00B40841">
          <w:pPr>
            <w:pStyle w:val="TOC1"/>
            <w:tabs>
              <w:tab w:val="right" w:leader="dot" w:pos="9350"/>
            </w:tabs>
            <w:rPr>
              <w:rFonts w:asciiTheme="minorHAnsi" w:eastAsiaTheme="minorEastAsia" w:hAnsiTheme="minorHAnsi" w:cstheme="minorBidi"/>
              <w:noProof/>
              <w:color w:val="auto"/>
              <w:kern w:val="0"/>
              <w:sz w:val="22"/>
              <w:lang w:val="en-IN" w:eastAsia="en-IN"/>
              <w14:ligatures w14:val="none"/>
            </w:rPr>
          </w:pPr>
          <w:hyperlink w:anchor="_Toc220498175" w:history="1">
            <w:r w:rsidRPr="002A0BDB">
              <w:rPr>
                <w:rStyle w:val="Hyperlink"/>
                <w:rFonts w:asciiTheme="minorBidi" w:hAnsiTheme="minorBidi"/>
                <w:noProof/>
                <w:color w:val="auto"/>
              </w:rPr>
              <w:t>Appendix 1: Check-list (CASP-JBI)</w:t>
            </w:r>
            <w:r w:rsidRPr="002A0BDB">
              <w:rPr>
                <w:noProof/>
                <w:webHidden/>
                <w:color w:val="auto"/>
              </w:rPr>
              <w:tab/>
            </w:r>
            <w:r w:rsidRPr="002A0BDB">
              <w:rPr>
                <w:noProof/>
                <w:webHidden/>
                <w:color w:val="auto"/>
              </w:rPr>
              <w:fldChar w:fldCharType="begin"/>
            </w:r>
            <w:r w:rsidRPr="002A0BDB">
              <w:rPr>
                <w:noProof/>
                <w:webHidden/>
                <w:color w:val="auto"/>
              </w:rPr>
              <w:instrText xml:space="preserve"> PAGEREF _Toc220498175 \h </w:instrText>
            </w:r>
            <w:r w:rsidRPr="002A0BDB">
              <w:rPr>
                <w:noProof/>
                <w:webHidden/>
                <w:color w:val="auto"/>
              </w:rPr>
            </w:r>
            <w:r w:rsidRPr="002A0BDB">
              <w:rPr>
                <w:noProof/>
                <w:webHidden/>
                <w:color w:val="auto"/>
              </w:rPr>
              <w:fldChar w:fldCharType="separate"/>
            </w:r>
            <w:r w:rsidRPr="002A0BDB">
              <w:rPr>
                <w:noProof/>
                <w:webHidden/>
                <w:color w:val="auto"/>
              </w:rPr>
              <w:t>77</w:t>
            </w:r>
            <w:r w:rsidRPr="002A0BDB">
              <w:rPr>
                <w:noProof/>
                <w:webHidden/>
                <w:color w:val="auto"/>
              </w:rPr>
              <w:fldChar w:fldCharType="end"/>
            </w:r>
          </w:hyperlink>
        </w:p>
        <w:p w14:paraId="39834B8B" w14:textId="1E0BFD33" w:rsidR="009F64C5" w:rsidRPr="002A0BDB" w:rsidRDefault="009F64C5">
          <w:pPr>
            <w:rPr>
              <w:rFonts w:asciiTheme="minorBidi" w:hAnsiTheme="minorBidi"/>
            </w:rPr>
          </w:pPr>
          <w:r w:rsidRPr="002A0BDB">
            <w:rPr>
              <w:rFonts w:asciiTheme="minorBidi" w:hAnsiTheme="minorBidi"/>
            </w:rPr>
            <w:fldChar w:fldCharType="end"/>
          </w:r>
        </w:p>
      </w:sdtContent>
    </w:sdt>
    <w:p w14:paraId="617F822A" w14:textId="77777777" w:rsidR="000555DE" w:rsidRPr="002A0BDB" w:rsidRDefault="000555DE">
      <w:pPr>
        <w:rPr>
          <w:rFonts w:asciiTheme="minorBidi" w:eastAsia="Times New Roman" w:hAnsiTheme="minorBidi"/>
          <w:b/>
          <w:sz w:val="24"/>
        </w:rPr>
      </w:pPr>
      <w:r w:rsidRPr="002A0BDB">
        <w:rPr>
          <w:rFonts w:asciiTheme="minorBidi" w:hAnsiTheme="minorBidi"/>
        </w:rPr>
        <w:br w:type="page"/>
      </w:r>
    </w:p>
    <w:p w14:paraId="7CF5D8CD" w14:textId="22E191F6" w:rsidR="009F64C5" w:rsidRPr="002A0BDB" w:rsidRDefault="009F64C5" w:rsidP="002B523E">
      <w:pPr>
        <w:pStyle w:val="Heading1"/>
        <w:spacing w:after="158" w:line="342" w:lineRule="auto"/>
        <w:ind w:left="0" w:right="0" w:firstLine="0"/>
        <w:rPr>
          <w:rFonts w:asciiTheme="minorBidi" w:hAnsiTheme="minorBidi" w:cstheme="minorBidi"/>
          <w:color w:val="auto"/>
        </w:rPr>
      </w:pPr>
      <w:bookmarkStart w:id="0" w:name="_Toc220498165"/>
      <w:r w:rsidRPr="002A0BDB">
        <w:rPr>
          <w:rFonts w:asciiTheme="minorBidi" w:hAnsiTheme="minorBidi" w:cstheme="minorBidi"/>
          <w:color w:val="auto"/>
        </w:rPr>
        <w:lastRenderedPageBreak/>
        <w:t>List of figures</w:t>
      </w:r>
      <w:bookmarkEnd w:id="0"/>
    </w:p>
    <w:p w14:paraId="312B01D0" w14:textId="4405D6DF" w:rsidR="00B40841" w:rsidRPr="002A0BDB" w:rsidRDefault="00B40841" w:rsidP="00B40841">
      <w:pPr>
        <w:pStyle w:val="TableofFigures"/>
        <w:tabs>
          <w:tab w:val="right" w:leader="dot" w:pos="9350"/>
        </w:tabs>
        <w:spacing w:line="360" w:lineRule="auto"/>
        <w:jc w:val="both"/>
        <w:rPr>
          <w:rFonts w:ascii="Arial" w:hAnsi="Arial" w:cs="Arial"/>
          <w:noProof/>
        </w:rPr>
      </w:pPr>
      <w:r w:rsidRPr="002A0BDB">
        <w:rPr>
          <w:rFonts w:ascii="Arial" w:hAnsi="Arial" w:cs="Arial"/>
        </w:rPr>
        <w:fldChar w:fldCharType="begin"/>
      </w:r>
      <w:r w:rsidRPr="002A0BDB">
        <w:rPr>
          <w:rFonts w:ascii="Arial" w:hAnsi="Arial" w:cs="Arial"/>
        </w:rPr>
        <w:instrText xml:space="preserve"> TOC \h \z \t "Heading 4" \c </w:instrText>
      </w:r>
      <w:r w:rsidRPr="002A0BDB">
        <w:rPr>
          <w:rFonts w:ascii="Arial" w:hAnsi="Arial" w:cs="Arial"/>
        </w:rPr>
        <w:fldChar w:fldCharType="separate"/>
      </w:r>
      <w:hyperlink w:anchor="_Toc220498182" w:history="1">
        <w:r w:rsidRPr="002A0BDB">
          <w:rPr>
            <w:rStyle w:val="Hyperlink"/>
            <w:rFonts w:ascii="Arial" w:hAnsi="Arial" w:cs="Arial"/>
            <w:noProof/>
            <w:color w:val="auto"/>
          </w:rPr>
          <w:t>Figure 2.1: Whole Genome Sequencing (WGS)</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_Toc220498182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17</w:t>
        </w:r>
        <w:r w:rsidRPr="002A0BDB">
          <w:rPr>
            <w:rFonts w:ascii="Arial" w:hAnsi="Arial" w:cs="Arial"/>
            <w:noProof/>
            <w:webHidden/>
          </w:rPr>
          <w:fldChar w:fldCharType="end"/>
        </w:r>
      </w:hyperlink>
    </w:p>
    <w:p w14:paraId="59F1506B" w14:textId="3D1CBD1C" w:rsidR="00B40841" w:rsidRPr="002A0BDB" w:rsidRDefault="00B40841" w:rsidP="00B40841">
      <w:pPr>
        <w:pStyle w:val="TableofFigures"/>
        <w:tabs>
          <w:tab w:val="right" w:leader="dot" w:pos="9350"/>
        </w:tabs>
        <w:spacing w:line="360" w:lineRule="auto"/>
        <w:jc w:val="both"/>
        <w:rPr>
          <w:rFonts w:ascii="Arial" w:hAnsi="Arial" w:cs="Arial"/>
          <w:noProof/>
        </w:rPr>
      </w:pPr>
      <w:hyperlink w:anchor="_Toc220498183" w:history="1">
        <w:r w:rsidRPr="002A0BDB">
          <w:rPr>
            <w:rStyle w:val="Hyperlink"/>
            <w:rFonts w:ascii="Arial" w:hAnsi="Arial" w:cs="Arial"/>
            <w:noProof/>
            <w:color w:val="auto"/>
          </w:rPr>
          <w:t>Figure 2.2: Phylogenetic analysis of Vibrio cholerae</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_Toc220498183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18</w:t>
        </w:r>
        <w:r w:rsidRPr="002A0BDB">
          <w:rPr>
            <w:rFonts w:ascii="Arial" w:hAnsi="Arial" w:cs="Arial"/>
            <w:noProof/>
            <w:webHidden/>
          </w:rPr>
          <w:fldChar w:fldCharType="end"/>
        </w:r>
      </w:hyperlink>
    </w:p>
    <w:p w14:paraId="19A6FA21" w14:textId="370FA3E5" w:rsidR="00B40841" w:rsidRPr="002A0BDB" w:rsidRDefault="00B40841" w:rsidP="00B40841">
      <w:pPr>
        <w:pStyle w:val="TableofFigures"/>
        <w:tabs>
          <w:tab w:val="right" w:leader="dot" w:pos="9350"/>
        </w:tabs>
        <w:spacing w:line="360" w:lineRule="auto"/>
        <w:jc w:val="both"/>
        <w:rPr>
          <w:rFonts w:ascii="Arial" w:hAnsi="Arial" w:cs="Arial"/>
          <w:noProof/>
        </w:rPr>
      </w:pPr>
      <w:hyperlink w:anchor="_Toc220498184" w:history="1">
        <w:r w:rsidRPr="002A0BDB">
          <w:rPr>
            <w:rStyle w:val="Hyperlink"/>
            <w:rFonts w:ascii="Arial" w:hAnsi="Arial" w:cs="Arial"/>
            <w:noProof/>
            <w:color w:val="auto"/>
          </w:rPr>
          <w:t>Figure 2.3: AMR mechanism</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_Toc220498184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19</w:t>
        </w:r>
        <w:r w:rsidRPr="002A0BDB">
          <w:rPr>
            <w:rFonts w:ascii="Arial" w:hAnsi="Arial" w:cs="Arial"/>
            <w:noProof/>
            <w:webHidden/>
          </w:rPr>
          <w:fldChar w:fldCharType="end"/>
        </w:r>
      </w:hyperlink>
    </w:p>
    <w:p w14:paraId="35D694FD" w14:textId="73E4521C" w:rsidR="00B40841" w:rsidRPr="002A0BDB" w:rsidRDefault="00B40841" w:rsidP="00B40841">
      <w:pPr>
        <w:pStyle w:val="TableofFigures"/>
        <w:tabs>
          <w:tab w:val="right" w:leader="dot" w:pos="9350"/>
        </w:tabs>
        <w:spacing w:line="360" w:lineRule="auto"/>
        <w:jc w:val="both"/>
        <w:rPr>
          <w:rFonts w:ascii="Arial" w:hAnsi="Arial" w:cs="Arial"/>
          <w:noProof/>
        </w:rPr>
      </w:pPr>
      <w:hyperlink w:anchor="_Toc220498185" w:history="1">
        <w:r w:rsidRPr="002A0BDB">
          <w:rPr>
            <w:rStyle w:val="Hyperlink"/>
            <w:rFonts w:ascii="Arial" w:hAnsi="Arial" w:cs="Arial"/>
            <w:noProof/>
            <w:color w:val="auto"/>
            <w:lang w:eastAsia="en-US"/>
          </w:rPr>
          <w:t>Figure 3.1: PRISMA Framework</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_Toc220498185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35</w:t>
        </w:r>
        <w:r w:rsidRPr="002A0BDB">
          <w:rPr>
            <w:rFonts w:ascii="Arial" w:hAnsi="Arial" w:cs="Arial"/>
            <w:noProof/>
            <w:webHidden/>
          </w:rPr>
          <w:fldChar w:fldCharType="end"/>
        </w:r>
      </w:hyperlink>
    </w:p>
    <w:p w14:paraId="041E6EF4" w14:textId="6FCE5A89" w:rsidR="00B40841" w:rsidRPr="002A0BDB" w:rsidRDefault="00B40841" w:rsidP="00B40841">
      <w:pPr>
        <w:pStyle w:val="TableofFigures"/>
        <w:tabs>
          <w:tab w:val="right" w:leader="dot" w:pos="9350"/>
        </w:tabs>
        <w:spacing w:line="360" w:lineRule="auto"/>
        <w:jc w:val="both"/>
        <w:rPr>
          <w:rFonts w:ascii="Arial" w:hAnsi="Arial" w:cs="Arial"/>
          <w:noProof/>
        </w:rPr>
      </w:pPr>
      <w:hyperlink w:anchor="_Toc220498186" w:history="1">
        <w:r w:rsidRPr="002A0BDB">
          <w:rPr>
            <w:rStyle w:val="Hyperlink"/>
            <w:rFonts w:ascii="Arial" w:hAnsi="Arial" w:cs="Arial"/>
            <w:noProof/>
            <w:color w:val="auto"/>
          </w:rPr>
          <w:t>Figure 4.1: PRISMA Table</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_Toc220498186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40</w:t>
        </w:r>
        <w:r w:rsidRPr="002A0BDB">
          <w:rPr>
            <w:rFonts w:ascii="Arial" w:hAnsi="Arial" w:cs="Arial"/>
            <w:noProof/>
            <w:webHidden/>
          </w:rPr>
          <w:fldChar w:fldCharType="end"/>
        </w:r>
      </w:hyperlink>
    </w:p>
    <w:p w14:paraId="4D71BB86" w14:textId="1E932D3B" w:rsidR="009F64C5" w:rsidRPr="002A0BDB" w:rsidRDefault="00B40841" w:rsidP="00B40841">
      <w:pPr>
        <w:spacing w:after="179" w:line="360" w:lineRule="auto"/>
        <w:ind w:left="59"/>
        <w:jc w:val="both"/>
        <w:rPr>
          <w:rFonts w:asciiTheme="minorBidi" w:hAnsiTheme="minorBidi"/>
        </w:rPr>
      </w:pPr>
      <w:r w:rsidRPr="002A0BDB">
        <w:rPr>
          <w:rFonts w:ascii="Arial" w:hAnsi="Arial" w:cs="Arial"/>
        </w:rPr>
        <w:fldChar w:fldCharType="end"/>
      </w:r>
    </w:p>
    <w:p w14:paraId="1F33F1E7" w14:textId="77777777" w:rsidR="009F64C5" w:rsidRPr="002A0BDB" w:rsidRDefault="009F64C5">
      <w:pPr>
        <w:spacing w:after="156"/>
        <w:ind w:left="59"/>
        <w:jc w:val="center"/>
        <w:rPr>
          <w:rFonts w:asciiTheme="minorBidi" w:hAnsiTheme="minorBidi"/>
        </w:rPr>
      </w:pPr>
      <w:r w:rsidRPr="002A0BDB">
        <w:rPr>
          <w:rFonts w:asciiTheme="minorBidi" w:eastAsia="Times New Roman" w:hAnsiTheme="minorBidi"/>
          <w:b/>
        </w:rPr>
        <w:t xml:space="preserve"> </w:t>
      </w:r>
    </w:p>
    <w:p w14:paraId="1028A266" w14:textId="77777777" w:rsidR="000555DE" w:rsidRPr="002A0BDB" w:rsidRDefault="000555DE">
      <w:pPr>
        <w:rPr>
          <w:rFonts w:asciiTheme="minorBidi" w:eastAsia="Times New Roman" w:hAnsiTheme="minorBidi"/>
          <w:b/>
          <w:sz w:val="24"/>
        </w:rPr>
      </w:pPr>
      <w:r w:rsidRPr="002A0BDB">
        <w:rPr>
          <w:rFonts w:asciiTheme="minorBidi" w:hAnsiTheme="minorBidi"/>
        </w:rPr>
        <w:br w:type="page"/>
      </w:r>
    </w:p>
    <w:p w14:paraId="18897C43" w14:textId="77777777" w:rsidR="00B40841" w:rsidRPr="002A0BDB" w:rsidRDefault="009F64C5" w:rsidP="00B40841">
      <w:pPr>
        <w:pStyle w:val="Heading1"/>
        <w:ind w:left="12" w:right="4"/>
        <w:rPr>
          <w:rFonts w:asciiTheme="minorBidi" w:hAnsiTheme="minorBidi" w:cstheme="minorBidi"/>
          <w:color w:val="auto"/>
        </w:rPr>
      </w:pPr>
      <w:bookmarkStart w:id="1" w:name="_Toc220498166"/>
      <w:r w:rsidRPr="002A0BDB">
        <w:rPr>
          <w:rFonts w:asciiTheme="minorBidi" w:hAnsiTheme="minorBidi" w:cstheme="minorBidi"/>
          <w:color w:val="auto"/>
        </w:rPr>
        <w:lastRenderedPageBreak/>
        <w:t>List of tables</w:t>
      </w:r>
      <w:bookmarkEnd w:id="1"/>
      <w:r w:rsidRPr="002A0BDB">
        <w:rPr>
          <w:rFonts w:asciiTheme="minorBidi" w:hAnsiTheme="minorBidi" w:cstheme="minorBidi"/>
          <w:color w:val="auto"/>
        </w:rPr>
        <w:t xml:space="preserve"> </w:t>
      </w:r>
    </w:p>
    <w:p w14:paraId="3C1FCBEB" w14:textId="58B1B9FE" w:rsidR="00B40841" w:rsidRPr="002A0BDB" w:rsidRDefault="00B40841" w:rsidP="00B40841">
      <w:pPr>
        <w:pStyle w:val="TableofFigures"/>
        <w:tabs>
          <w:tab w:val="right" w:leader="dot" w:pos="9350"/>
        </w:tabs>
        <w:spacing w:line="360" w:lineRule="auto"/>
        <w:jc w:val="both"/>
        <w:rPr>
          <w:rFonts w:ascii="Arial" w:hAnsi="Arial" w:cs="Arial"/>
          <w:noProof/>
          <w:kern w:val="0"/>
          <w:lang w:val="en-IN" w:eastAsia="en-IN"/>
          <w14:ligatures w14:val="none"/>
        </w:rPr>
      </w:pPr>
      <w:r w:rsidRPr="002A0BDB">
        <w:rPr>
          <w:rFonts w:ascii="Arial" w:hAnsi="Arial" w:cs="Arial"/>
        </w:rPr>
        <w:fldChar w:fldCharType="begin"/>
      </w:r>
      <w:r w:rsidRPr="002A0BDB">
        <w:rPr>
          <w:rFonts w:ascii="Arial" w:hAnsi="Arial" w:cs="Arial"/>
        </w:rPr>
        <w:instrText xml:space="preserve"> TOC \h \z \t "Heading 5" \c </w:instrText>
      </w:r>
      <w:r w:rsidRPr="002A0BDB">
        <w:rPr>
          <w:rFonts w:ascii="Arial" w:hAnsi="Arial" w:cs="Arial"/>
        </w:rPr>
        <w:fldChar w:fldCharType="separate"/>
      </w:r>
      <w:hyperlink w:anchor="_Toc220498205" w:history="1">
        <w:r w:rsidRPr="002A0BDB">
          <w:rPr>
            <w:rStyle w:val="Hyperlink"/>
            <w:rFonts w:ascii="Arial" w:hAnsi="Arial" w:cs="Arial"/>
            <w:noProof/>
            <w:color w:val="auto"/>
          </w:rPr>
          <w:t>Table 3.1: PICO framework</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_Toc220498205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32</w:t>
        </w:r>
        <w:r w:rsidRPr="002A0BDB">
          <w:rPr>
            <w:rFonts w:ascii="Arial" w:hAnsi="Arial" w:cs="Arial"/>
            <w:noProof/>
            <w:webHidden/>
          </w:rPr>
          <w:fldChar w:fldCharType="end"/>
        </w:r>
      </w:hyperlink>
    </w:p>
    <w:p w14:paraId="2ADEDCBA" w14:textId="15A985C2" w:rsidR="00B40841" w:rsidRPr="002A0BDB" w:rsidRDefault="00B40841" w:rsidP="00B40841">
      <w:pPr>
        <w:pStyle w:val="TableofFigures"/>
        <w:tabs>
          <w:tab w:val="right" w:leader="dot" w:pos="9350"/>
        </w:tabs>
        <w:spacing w:line="360" w:lineRule="auto"/>
        <w:jc w:val="both"/>
        <w:rPr>
          <w:rFonts w:ascii="Arial" w:hAnsi="Arial" w:cs="Arial"/>
          <w:noProof/>
          <w:kern w:val="0"/>
          <w:lang w:val="en-IN" w:eastAsia="en-IN"/>
          <w14:ligatures w14:val="none"/>
        </w:rPr>
      </w:pPr>
      <w:hyperlink w:anchor="_Toc220498206" w:history="1">
        <w:r w:rsidRPr="002A0BDB">
          <w:rPr>
            <w:rStyle w:val="Hyperlink"/>
            <w:rFonts w:ascii="Arial" w:hAnsi="Arial" w:cs="Arial"/>
            <w:noProof/>
            <w:color w:val="auto"/>
          </w:rPr>
          <w:t>Table 3.2: Inclusion and exclusion criteria</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_Toc220498206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34</w:t>
        </w:r>
        <w:r w:rsidRPr="002A0BDB">
          <w:rPr>
            <w:rFonts w:ascii="Arial" w:hAnsi="Arial" w:cs="Arial"/>
            <w:noProof/>
            <w:webHidden/>
          </w:rPr>
          <w:fldChar w:fldCharType="end"/>
        </w:r>
      </w:hyperlink>
    </w:p>
    <w:p w14:paraId="42C683B1" w14:textId="3535143F" w:rsidR="00B40841" w:rsidRPr="002A0BDB" w:rsidRDefault="00B40841" w:rsidP="00B40841">
      <w:pPr>
        <w:pStyle w:val="TableofFigures"/>
        <w:tabs>
          <w:tab w:val="right" w:leader="dot" w:pos="9350"/>
        </w:tabs>
        <w:spacing w:line="360" w:lineRule="auto"/>
        <w:jc w:val="both"/>
        <w:rPr>
          <w:rFonts w:ascii="Arial" w:hAnsi="Arial" w:cs="Arial"/>
          <w:noProof/>
          <w:kern w:val="0"/>
          <w:lang w:val="en-IN" w:eastAsia="en-IN"/>
          <w14:ligatures w14:val="none"/>
        </w:rPr>
      </w:pPr>
      <w:hyperlink w:anchor="_Toc220498207" w:history="1">
        <w:r w:rsidRPr="002A0BDB">
          <w:rPr>
            <w:rStyle w:val="Hyperlink"/>
            <w:rFonts w:ascii="Arial" w:hAnsi="Arial" w:cs="Arial"/>
            <w:noProof/>
            <w:color w:val="auto"/>
          </w:rPr>
          <w:t>Table 4.1: Characteristics Table</w:t>
        </w:r>
        <w:r w:rsidRPr="002A0BDB">
          <w:rPr>
            <w:rFonts w:ascii="Arial" w:hAnsi="Arial" w:cs="Arial"/>
            <w:noProof/>
            <w:webHidden/>
          </w:rPr>
          <w:tab/>
        </w:r>
        <w:r w:rsidRPr="002A0BDB">
          <w:rPr>
            <w:rFonts w:ascii="Arial" w:hAnsi="Arial" w:cs="Arial"/>
            <w:noProof/>
            <w:webHidden/>
          </w:rPr>
          <w:fldChar w:fldCharType="begin"/>
        </w:r>
        <w:r w:rsidRPr="002A0BDB">
          <w:rPr>
            <w:rFonts w:ascii="Arial" w:hAnsi="Arial" w:cs="Arial"/>
            <w:noProof/>
            <w:webHidden/>
          </w:rPr>
          <w:instrText xml:space="preserve"> PAGEREF _Toc220498207 \h </w:instrText>
        </w:r>
        <w:r w:rsidRPr="002A0BDB">
          <w:rPr>
            <w:rFonts w:ascii="Arial" w:hAnsi="Arial" w:cs="Arial"/>
            <w:noProof/>
            <w:webHidden/>
          </w:rPr>
        </w:r>
        <w:r w:rsidRPr="002A0BDB">
          <w:rPr>
            <w:rFonts w:ascii="Arial" w:hAnsi="Arial" w:cs="Arial"/>
            <w:noProof/>
            <w:webHidden/>
          </w:rPr>
          <w:fldChar w:fldCharType="separate"/>
        </w:r>
        <w:r w:rsidRPr="002A0BDB">
          <w:rPr>
            <w:rFonts w:ascii="Arial" w:hAnsi="Arial" w:cs="Arial"/>
            <w:noProof/>
            <w:webHidden/>
          </w:rPr>
          <w:t>51</w:t>
        </w:r>
        <w:r w:rsidRPr="002A0BDB">
          <w:rPr>
            <w:rFonts w:ascii="Arial" w:hAnsi="Arial" w:cs="Arial"/>
            <w:noProof/>
            <w:webHidden/>
          </w:rPr>
          <w:fldChar w:fldCharType="end"/>
        </w:r>
      </w:hyperlink>
    </w:p>
    <w:p w14:paraId="279143F6" w14:textId="54B6F903" w:rsidR="000555DE" w:rsidRPr="002A0BDB" w:rsidRDefault="00B40841" w:rsidP="00B40841">
      <w:pPr>
        <w:pStyle w:val="Heading1"/>
        <w:spacing w:line="360" w:lineRule="auto"/>
        <w:ind w:left="12" w:right="4"/>
        <w:jc w:val="both"/>
        <w:rPr>
          <w:rFonts w:asciiTheme="minorBidi" w:hAnsiTheme="minorBidi" w:cstheme="minorBidi"/>
          <w:color w:val="auto"/>
        </w:rPr>
      </w:pPr>
      <w:r w:rsidRPr="002A0BDB">
        <w:rPr>
          <w:rFonts w:ascii="Arial" w:hAnsi="Arial" w:cs="Arial"/>
          <w:color w:val="auto"/>
          <w:sz w:val="22"/>
        </w:rPr>
        <w:lastRenderedPageBreak/>
        <w:fldChar w:fldCharType="end"/>
      </w:r>
      <w:r w:rsidR="000555DE" w:rsidRPr="002A0BDB">
        <w:rPr>
          <w:rFonts w:asciiTheme="minorBidi" w:hAnsiTheme="minorBidi"/>
          <w:color w:val="auto"/>
        </w:rPr>
        <w:br w:type="page"/>
      </w:r>
    </w:p>
    <w:p w14:paraId="2E0F49DC" w14:textId="121D8644" w:rsidR="009F64C5" w:rsidRPr="002A0BDB" w:rsidRDefault="009F64C5" w:rsidP="00F23575">
      <w:pPr>
        <w:pStyle w:val="Heading1"/>
        <w:spacing w:after="169" w:line="249" w:lineRule="auto"/>
        <w:ind w:right="0"/>
        <w:rPr>
          <w:rFonts w:asciiTheme="minorBidi" w:hAnsiTheme="minorBidi" w:cstheme="minorBidi"/>
          <w:color w:val="auto"/>
        </w:rPr>
      </w:pPr>
      <w:bookmarkStart w:id="2" w:name="_Toc220498167"/>
      <w:r w:rsidRPr="002A0BDB">
        <w:rPr>
          <w:rFonts w:asciiTheme="minorBidi" w:hAnsiTheme="minorBidi" w:cstheme="minorBidi"/>
          <w:color w:val="auto"/>
        </w:rPr>
        <w:lastRenderedPageBreak/>
        <w:t>List of abbreviations</w:t>
      </w:r>
      <w:bookmarkEnd w:id="2"/>
      <w:r w:rsidRPr="002A0BDB">
        <w:rPr>
          <w:rFonts w:asciiTheme="minorBidi" w:hAnsiTheme="minorBidi"/>
          <w:color w:val="auto"/>
        </w:rPr>
        <w:t xml:space="preserve"> </w:t>
      </w:r>
    </w:p>
    <w:p w14:paraId="31F6A5CC" w14:textId="7B6A8F29" w:rsidR="009F64C5" w:rsidRPr="002A0BDB" w:rsidRDefault="009F64C5">
      <w:pPr>
        <w:spacing w:after="158"/>
        <w:rPr>
          <w:rFonts w:asciiTheme="minorBidi" w:hAnsiTheme="minorBidi"/>
        </w:rPr>
      </w:pPr>
    </w:p>
    <w:p w14:paraId="5E4352AF" w14:textId="6A8ED636" w:rsidR="009F64C5" w:rsidRPr="002A0BDB" w:rsidRDefault="00B40841">
      <w:pPr>
        <w:tabs>
          <w:tab w:val="center" w:pos="720"/>
          <w:tab w:val="center" w:pos="3222"/>
        </w:tabs>
        <w:spacing w:after="175"/>
        <w:rPr>
          <w:rFonts w:asciiTheme="minorBidi" w:hAnsiTheme="minorBidi"/>
          <w:b/>
          <w:bCs/>
          <w:i/>
          <w:iCs/>
        </w:rPr>
      </w:pPr>
      <w:r w:rsidRPr="002A0BDB">
        <w:rPr>
          <w:rFonts w:ascii="Arial" w:hAnsi="Arial" w:cs="Arial"/>
          <w:b/>
          <w:bCs/>
          <w:i/>
          <w:iCs/>
        </w:rPr>
        <w:t>WHO</w:t>
      </w:r>
      <w:r w:rsidR="009F64C5" w:rsidRPr="002A0BDB">
        <w:rPr>
          <w:rFonts w:asciiTheme="minorBidi" w:eastAsia="Times New Roman" w:hAnsiTheme="minorBidi"/>
          <w:b/>
          <w:bCs/>
          <w:i/>
          <w:iCs/>
        </w:rPr>
        <w:t xml:space="preserve"> </w:t>
      </w:r>
      <w:r w:rsidR="009F64C5" w:rsidRPr="002A0BDB">
        <w:rPr>
          <w:rFonts w:asciiTheme="minorBidi" w:eastAsia="Times New Roman" w:hAnsiTheme="minorBidi"/>
          <w:b/>
          <w:bCs/>
          <w:i/>
          <w:iCs/>
        </w:rPr>
        <w:tab/>
      </w:r>
      <w:r w:rsidR="009F64C5" w:rsidRPr="002A0BDB">
        <w:rPr>
          <w:rFonts w:asciiTheme="minorBidi" w:eastAsia="Times New Roman" w:hAnsiTheme="minorBidi"/>
        </w:rPr>
        <w:t xml:space="preserve"> </w:t>
      </w:r>
      <w:r w:rsidRPr="002A0BDB">
        <w:rPr>
          <w:rFonts w:asciiTheme="minorBidi" w:eastAsia="Times New Roman" w:hAnsiTheme="minorBidi"/>
        </w:rPr>
        <w:t xml:space="preserve">             </w:t>
      </w:r>
      <w:r w:rsidRPr="002A0BDB">
        <w:rPr>
          <w:rFonts w:asciiTheme="minorBidi" w:hAnsiTheme="minorBidi"/>
        </w:rPr>
        <w:t>World Health Organisation</w:t>
      </w:r>
      <w:r w:rsidR="009F64C5" w:rsidRPr="002A0BDB">
        <w:rPr>
          <w:rFonts w:asciiTheme="minorBidi" w:hAnsiTheme="minorBidi"/>
          <w:b/>
          <w:bCs/>
          <w:i/>
          <w:iCs/>
        </w:rPr>
        <w:t xml:space="preserve"> </w:t>
      </w:r>
    </w:p>
    <w:p w14:paraId="04BCB980" w14:textId="5D31126C" w:rsidR="00BE43A9" w:rsidRPr="002A0BDB" w:rsidRDefault="00BE43A9">
      <w:pPr>
        <w:tabs>
          <w:tab w:val="center" w:pos="720"/>
          <w:tab w:val="center" w:pos="3222"/>
        </w:tabs>
        <w:spacing w:after="175"/>
        <w:rPr>
          <w:rFonts w:asciiTheme="minorBidi" w:hAnsiTheme="minorBidi"/>
        </w:rPr>
      </w:pPr>
      <w:r w:rsidRPr="002A0BDB">
        <w:rPr>
          <w:rFonts w:ascii="Arial" w:hAnsi="Arial" w:cs="Arial"/>
          <w:b/>
          <w:bCs/>
          <w:i/>
          <w:iCs/>
        </w:rPr>
        <w:t>WGS</w:t>
      </w:r>
      <w:r w:rsidRPr="002A0BDB">
        <w:rPr>
          <w:rFonts w:ascii="Arial" w:hAnsi="Arial" w:cs="Arial"/>
        </w:rPr>
        <w:t xml:space="preserve">               Whole genome sequencing </w:t>
      </w:r>
    </w:p>
    <w:p w14:paraId="0A8DF892" w14:textId="1DCB0D6E" w:rsidR="009F64C5" w:rsidRPr="002A0BDB" w:rsidRDefault="00BE43A9">
      <w:pPr>
        <w:spacing w:after="0"/>
        <w:rPr>
          <w:rFonts w:asciiTheme="minorBidi" w:hAnsiTheme="minorBidi"/>
        </w:rPr>
      </w:pPr>
      <w:r w:rsidRPr="002A0BDB">
        <w:rPr>
          <w:rFonts w:asciiTheme="minorBidi" w:eastAsia="Times New Roman" w:hAnsiTheme="minorBidi"/>
          <w:b/>
          <w:i/>
        </w:rPr>
        <w:t xml:space="preserve">AMR               </w:t>
      </w:r>
      <w:r w:rsidRPr="002A0BDB">
        <w:rPr>
          <w:rFonts w:asciiTheme="minorBidi" w:eastAsia="Times New Roman" w:hAnsiTheme="minorBidi"/>
          <w:bCs/>
          <w:iCs/>
        </w:rPr>
        <w:t>Antimicrobial Resistance</w:t>
      </w:r>
      <w:r w:rsidR="009F64C5" w:rsidRPr="002A0BDB">
        <w:rPr>
          <w:rFonts w:asciiTheme="minorBidi" w:eastAsia="Times New Roman" w:hAnsiTheme="minorBidi"/>
          <w:b/>
          <w:i/>
        </w:rPr>
        <w:tab/>
        <w:t xml:space="preserve"> </w:t>
      </w:r>
    </w:p>
    <w:p w14:paraId="27F005A8" w14:textId="77777777" w:rsidR="000555DE" w:rsidRPr="002A0BDB" w:rsidRDefault="000555DE">
      <w:pPr>
        <w:rPr>
          <w:rFonts w:asciiTheme="minorBidi" w:eastAsia="Times New Roman" w:hAnsiTheme="minorBidi"/>
          <w:b/>
          <w:sz w:val="24"/>
        </w:rPr>
      </w:pPr>
      <w:r w:rsidRPr="002A0BDB">
        <w:rPr>
          <w:rFonts w:asciiTheme="minorBidi" w:hAnsiTheme="minorBidi"/>
        </w:rPr>
        <w:br w:type="page"/>
      </w:r>
    </w:p>
    <w:p w14:paraId="53439232" w14:textId="48C694FA" w:rsidR="009F64C5" w:rsidRPr="002A0BDB" w:rsidRDefault="009F64C5">
      <w:pPr>
        <w:spacing w:after="0"/>
        <w:rPr>
          <w:rFonts w:asciiTheme="minorBidi" w:hAnsiTheme="minorBidi"/>
        </w:rPr>
      </w:pPr>
    </w:p>
    <w:p w14:paraId="624C71A9" w14:textId="3180CA0B" w:rsidR="009F64C5" w:rsidRPr="002A0BDB" w:rsidRDefault="00BC67C0">
      <w:pPr>
        <w:pStyle w:val="Heading1"/>
        <w:spacing w:after="649"/>
        <w:ind w:left="12" w:right="3"/>
        <w:rPr>
          <w:rFonts w:asciiTheme="minorBidi" w:hAnsiTheme="minorBidi" w:cstheme="minorBidi"/>
          <w:color w:val="auto"/>
        </w:rPr>
      </w:pPr>
      <w:bookmarkStart w:id="3" w:name="_Toc220498168"/>
      <w:r w:rsidRPr="002A0BDB">
        <w:rPr>
          <w:rFonts w:asciiTheme="minorBidi" w:hAnsiTheme="minorBidi" w:cstheme="minorBidi"/>
          <w:color w:val="auto"/>
        </w:rPr>
        <w:t xml:space="preserve">Chapter 1: </w:t>
      </w:r>
      <w:r w:rsidR="009F64C5" w:rsidRPr="002A0BDB">
        <w:rPr>
          <w:rFonts w:asciiTheme="minorBidi" w:hAnsiTheme="minorBidi" w:cstheme="minorBidi"/>
          <w:color w:val="auto"/>
        </w:rPr>
        <w:t>Introduction</w:t>
      </w:r>
      <w:bookmarkEnd w:id="3"/>
      <w:r w:rsidR="009F64C5" w:rsidRPr="002A0BDB">
        <w:rPr>
          <w:rFonts w:asciiTheme="minorBidi" w:hAnsiTheme="minorBidi" w:cstheme="minorBidi"/>
          <w:color w:val="auto"/>
        </w:rPr>
        <w:t xml:space="preserve"> </w:t>
      </w:r>
    </w:p>
    <w:p w14:paraId="60466DE9" w14:textId="11B48CA3" w:rsidR="005C7592" w:rsidRPr="002A0BDB" w:rsidRDefault="005C7592" w:rsidP="00F23575">
      <w:pPr>
        <w:pStyle w:val="Heading2"/>
        <w:spacing w:line="360" w:lineRule="auto"/>
        <w:jc w:val="both"/>
        <w:rPr>
          <w:rFonts w:ascii="Arial" w:hAnsi="Arial" w:cs="Arial"/>
          <w:color w:val="auto"/>
          <w:sz w:val="22"/>
        </w:rPr>
      </w:pPr>
      <w:bookmarkStart w:id="4" w:name="_Toc220494118"/>
      <w:r w:rsidRPr="002A0BDB">
        <w:rPr>
          <w:rFonts w:ascii="Arial" w:hAnsi="Arial" w:cs="Arial"/>
          <w:color w:val="auto"/>
          <w:sz w:val="22"/>
        </w:rPr>
        <w:t>1.1 Chapter Introduction</w:t>
      </w:r>
      <w:bookmarkEnd w:id="4"/>
    </w:p>
    <w:p w14:paraId="08F37F6E"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Cholera continues to show major global public health threats especially in the regions with insufficient water, sanitisation and hygiene systems (Mohamed </w:t>
      </w:r>
      <w:r w:rsidRPr="002A0BDB">
        <w:rPr>
          <w:rFonts w:ascii="Arial" w:hAnsi="Arial" w:cs="Arial"/>
          <w:i/>
          <w:iCs/>
        </w:rPr>
        <w:t>et al.</w:t>
      </w:r>
      <w:r w:rsidRPr="002A0BDB">
        <w:rPr>
          <w:rFonts w:ascii="Arial" w:hAnsi="Arial" w:cs="Arial"/>
        </w:rPr>
        <w:t xml:space="preserve"> 2025). However, direct faecal-oral transmission is well-recognised, indirect transmission by environmental reservoirs, aquatic ecosystems and contaminated water sources remains challenging to detect and control (</w:t>
      </w:r>
      <w:proofErr w:type="spellStart"/>
      <w:r w:rsidRPr="002A0BDB">
        <w:rPr>
          <w:rFonts w:ascii="Arial" w:hAnsi="Arial" w:cs="Arial"/>
        </w:rPr>
        <w:t>Salamé</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The advance in molecular epidemiology provides powerful tools for comprehending these challenges of transmission dynamics. There are several technologies such as genomic sequencing, whole genome analysis and </w:t>
      </w:r>
      <w:proofErr w:type="spellStart"/>
      <w:r w:rsidRPr="002A0BDB">
        <w:rPr>
          <w:rFonts w:ascii="Arial" w:hAnsi="Arial" w:cs="Arial"/>
        </w:rPr>
        <w:t>phylogenetics</w:t>
      </w:r>
      <w:proofErr w:type="spellEnd"/>
      <w:r w:rsidRPr="002A0BDB">
        <w:rPr>
          <w:rFonts w:ascii="Arial" w:hAnsi="Arial" w:cs="Arial"/>
        </w:rPr>
        <w:t xml:space="preserve"> that help to trace the details of </w:t>
      </w:r>
      <w:r w:rsidRPr="002A0BDB">
        <w:rPr>
          <w:rFonts w:ascii="Arial" w:hAnsi="Arial" w:cs="Arial"/>
          <w:i/>
          <w:iCs/>
        </w:rPr>
        <w:t xml:space="preserve">Vibrio cholera </w:t>
      </w:r>
      <w:r w:rsidRPr="002A0BDB">
        <w:rPr>
          <w:rFonts w:ascii="Arial" w:hAnsi="Arial" w:cs="Arial"/>
        </w:rPr>
        <w:t>evolution and movements. This chapter will focus on the research to outline the context, background, significance, and the exploration of molecular evidence to guide cholera prevention in controlling the efforts.</w:t>
      </w:r>
    </w:p>
    <w:p w14:paraId="006C5523"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5734DAE0" w14:textId="1EBF738C" w:rsidR="005C7592" w:rsidRPr="002A0BDB" w:rsidRDefault="005C7592" w:rsidP="00A56395">
      <w:pPr>
        <w:pStyle w:val="Heading2"/>
        <w:spacing w:line="360" w:lineRule="auto"/>
        <w:jc w:val="both"/>
        <w:rPr>
          <w:rFonts w:ascii="Arial" w:hAnsi="Arial" w:cs="Arial"/>
          <w:color w:val="auto"/>
          <w:sz w:val="22"/>
        </w:rPr>
      </w:pPr>
      <w:bookmarkStart w:id="5" w:name="_Toc220494119"/>
      <w:r w:rsidRPr="002A0BDB">
        <w:rPr>
          <w:rFonts w:ascii="Arial" w:hAnsi="Arial" w:cs="Arial"/>
          <w:color w:val="auto"/>
          <w:sz w:val="22"/>
        </w:rPr>
        <w:t>1.2 Research Background</w:t>
      </w:r>
      <w:bookmarkEnd w:id="5"/>
    </w:p>
    <w:p w14:paraId="21BDAA8E"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Cholera is a major global public health challenge with recurrent outbreaks influencing the vulnerable populations where water, sanitation and hygiene conditions are insufficient. As per the reports of WHO (2024), the number of cholera cases increased by 13% and deaths increased by 71% in 2022 and over 4,000 died in 2023 (WHO, 2024). This represented one of the largest enhancements in decades with significant transmission occurring in several regions such as Africa (increasing rate 125%), Middle East and Asia (both decreasing with 32%). The countries including Malawi, Mozambique and Cameroon experienced widespread outbreaks enhancing the continued instability of cholera epidemiology and the persistent influence of environmental reservoirs (Ebenezer </w:t>
      </w:r>
      <w:r w:rsidRPr="002A0BDB">
        <w:rPr>
          <w:rFonts w:ascii="Arial" w:hAnsi="Arial" w:cs="Arial"/>
          <w:i/>
          <w:iCs/>
        </w:rPr>
        <w:t>et al.</w:t>
      </w:r>
      <w:r w:rsidRPr="002A0BDB">
        <w:rPr>
          <w:rFonts w:ascii="Arial" w:hAnsi="Arial" w:cs="Arial"/>
        </w:rPr>
        <w:t xml:space="preserve"> 2025). These global patterns show that Cholera remains deeply connected with the climate events, conflict, displacement and poor WASH infrastructures.</w:t>
      </w:r>
    </w:p>
    <w:p w14:paraId="0444C1A3"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5CC53898"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However, cholera is not endemic in the UK, the investigation indicates relevance for national public health preparedness. The European government records 29 confirmed imported cholera cases from 9 countries in 2022, especially associated with the travellers returning from endemic places such as India, Bangladesh and Pakistan (ECDC, 2022). There have been occasional </w:t>
      </w:r>
      <w:r w:rsidRPr="002A0BDB">
        <w:rPr>
          <w:rFonts w:ascii="Arial" w:hAnsi="Arial" w:cs="Arial"/>
        </w:rPr>
        <w:lastRenderedPageBreak/>
        <w:t xml:space="preserve">detections of toxigenic </w:t>
      </w:r>
      <w:r w:rsidRPr="002A0BDB">
        <w:rPr>
          <w:rFonts w:ascii="Arial" w:hAnsi="Arial" w:cs="Arial"/>
          <w:i/>
          <w:iCs/>
        </w:rPr>
        <w:t xml:space="preserve">Vibrio spp. </w:t>
      </w:r>
      <w:r w:rsidRPr="002A0BDB">
        <w:rPr>
          <w:rFonts w:ascii="Arial" w:hAnsi="Arial" w:cs="Arial"/>
        </w:rPr>
        <w:t xml:space="preserve">in the UK coastal waters during unusually warm periods suggesting climate change (Brumfield </w:t>
      </w:r>
      <w:r w:rsidRPr="002A0BDB">
        <w:rPr>
          <w:rFonts w:ascii="Arial" w:hAnsi="Arial" w:cs="Arial"/>
          <w:i/>
          <w:iCs/>
        </w:rPr>
        <w:t>et al.</w:t>
      </w:r>
      <w:r w:rsidRPr="002A0BDB">
        <w:rPr>
          <w:rFonts w:ascii="Arial" w:hAnsi="Arial" w:cs="Arial"/>
        </w:rPr>
        <w:t xml:space="preserve"> 2021). This could facilitate the environmental suitability for </w:t>
      </w:r>
      <w:r w:rsidRPr="002A0BDB">
        <w:rPr>
          <w:rFonts w:ascii="Arial" w:hAnsi="Arial" w:cs="Arial"/>
          <w:i/>
          <w:iCs/>
        </w:rPr>
        <w:t>Vibrio spp.</w:t>
      </w:r>
      <w:r w:rsidRPr="002A0BDB">
        <w:rPr>
          <w:rFonts w:ascii="Arial" w:hAnsi="Arial" w:cs="Arial"/>
        </w:rPr>
        <w:t xml:space="preserve"> proliferation. The UK’s increasing focus on genomic surveillance especially by the UKHSA’s Vibrio monitoring programs has shown a precautionary strategy to track imported strains to understand pathogen evolution for strengthening infection control mechanisms (UK Health Security Agency, 2024).</w:t>
      </w:r>
    </w:p>
    <w:p w14:paraId="151909C5"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7C988947"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 indirect environmental transmission poses a major role in sustaining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in global perspectives. The bacteria persist in rivers, estuaries, coastal waters and planktonic communities to enable survival as aquatic ecosystems even when the human case numbers are low.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 xml:space="preserve"> </w:t>
      </w:r>
      <w:r w:rsidRPr="002A0BDB">
        <w:rPr>
          <w:rFonts w:ascii="Arial" w:hAnsi="Arial" w:cs="Arial"/>
        </w:rPr>
        <w:t>can enter a viable-but-non-</w:t>
      </w:r>
      <w:proofErr w:type="spellStart"/>
      <w:r w:rsidRPr="002A0BDB">
        <w:rPr>
          <w:rFonts w:ascii="Arial" w:hAnsi="Arial" w:cs="Arial"/>
        </w:rPr>
        <w:t>culturable</w:t>
      </w:r>
      <w:proofErr w:type="spellEnd"/>
      <w:r w:rsidRPr="002A0BDB">
        <w:rPr>
          <w:rFonts w:ascii="Arial" w:hAnsi="Arial" w:cs="Arial"/>
        </w:rPr>
        <w:t xml:space="preserve"> (VBNC) state allowing environmental persistence and fast reactivation during the favourable conditions (</w:t>
      </w:r>
      <w:proofErr w:type="spellStart"/>
      <w:r w:rsidRPr="002A0BDB">
        <w:rPr>
          <w:rFonts w:ascii="Arial" w:hAnsi="Arial" w:cs="Arial"/>
        </w:rPr>
        <w:t>Lotoux</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2023). The climate fluctuations especially enhance sea-surface temperatures, flooding, monsoon variabilities and EI Niño cycles to make ecological opportunities for pathogen amplification (</w:t>
      </w:r>
      <w:proofErr w:type="spellStart"/>
      <w:r w:rsidRPr="002A0BDB">
        <w:rPr>
          <w:rFonts w:ascii="Arial" w:hAnsi="Arial" w:cs="Arial"/>
        </w:rPr>
        <w:t>Jin</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These environmental drivers have been aligned with the outbreaks in several regions including Bangladesh, South Sudan and Yemen reinforcing the interconnectedness between climate, environment and disease transmissions.</w:t>
      </w:r>
    </w:p>
    <w:p w14:paraId="02D76A46"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1D14AE1D"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 traditional surveillance methods often fail to understand the complexity of these indirect pathways. The classical epidemiology depends on clinical reporting which identifies outbreaks only after the human transmission increases (Chowdhury </w:t>
      </w:r>
      <w:r w:rsidRPr="002A0BDB">
        <w:rPr>
          <w:rFonts w:ascii="Arial" w:hAnsi="Arial" w:cs="Arial"/>
          <w:i/>
          <w:iCs/>
        </w:rPr>
        <w:t>et al.</w:t>
      </w:r>
      <w:r w:rsidRPr="002A0BDB">
        <w:rPr>
          <w:rFonts w:ascii="Arial" w:hAnsi="Arial" w:cs="Arial"/>
        </w:rPr>
        <w:t xml:space="preserve"> 2022). On the other hand, molecular epidemiology enables strong investigation of pathogen origins and movements. The techniques such as whole genome sequencing, </w:t>
      </w:r>
      <w:proofErr w:type="spellStart"/>
      <w:r w:rsidRPr="002A0BDB">
        <w:rPr>
          <w:rFonts w:ascii="Arial" w:hAnsi="Arial" w:cs="Arial"/>
        </w:rPr>
        <w:t>multilocal</w:t>
      </w:r>
      <w:proofErr w:type="spellEnd"/>
      <w:r w:rsidRPr="002A0BDB">
        <w:rPr>
          <w:rFonts w:ascii="Arial" w:hAnsi="Arial" w:cs="Arial"/>
        </w:rPr>
        <w:t xml:space="preserve"> sequence typing and phylogenetic mapping allow detailed characterization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 xml:space="preserve"> </w:t>
      </w:r>
      <w:r w:rsidRPr="002A0BDB">
        <w:rPr>
          <w:rFonts w:ascii="Arial" w:hAnsi="Arial" w:cs="Arial"/>
        </w:rPr>
        <w:t>strains to provide insights on whether the outbreaks arise from persistent local reservoirs or newly introduced external lineages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For example, the genomic studies during the Haiti and Yemen outbreaks revealed strong evidence of international strain introduction to shape the direction of subsequent public health responses (GOV UK, 2025).</w:t>
      </w:r>
    </w:p>
    <w:p w14:paraId="3D68483C"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64A7EB07"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Molecular surveillance is identified as a crucial component of national readiness for imported infectious diseases in the UK (UK Health and Security Agency, 2023). Genomic characterisation </w:t>
      </w:r>
      <w:r w:rsidRPr="002A0BDB">
        <w:rPr>
          <w:rFonts w:ascii="Arial" w:hAnsi="Arial" w:cs="Arial"/>
        </w:rPr>
        <w:lastRenderedPageBreak/>
        <w:t xml:space="preserve">of </w:t>
      </w:r>
      <w:r w:rsidRPr="002A0BDB">
        <w:rPr>
          <w:rFonts w:ascii="Arial" w:hAnsi="Arial" w:cs="Arial"/>
          <w:i/>
          <w:iCs/>
        </w:rPr>
        <w:t>Vibrio sp.</w:t>
      </w:r>
      <w:r w:rsidRPr="002A0BDB">
        <w:rPr>
          <w:rFonts w:ascii="Arial" w:hAnsi="Arial" w:cs="Arial"/>
        </w:rPr>
        <w:t xml:space="preserve"> isolates to enable rapid identification of antimicrobial resistance patterns by assessing potential environmental risks linking to warming coastal waters. The molecular tools support early detection, environmental monitoring and precise outbreak tracing to make them essential in cholera-endemic regions. This research background focuses on the significance of understanding cholera’s indirect environmental transmission by the growing role of molecular epidemiology in strengthening national and global public health systems.</w:t>
      </w:r>
    </w:p>
    <w:p w14:paraId="18F06574"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bookmarkStart w:id="6" w:name="_heading=h.biucfan29wbm" w:colFirst="0" w:colLast="0"/>
      <w:bookmarkEnd w:id="6"/>
    </w:p>
    <w:p w14:paraId="5970DAEC" w14:textId="77777777" w:rsidR="005C7592" w:rsidRPr="002A0BDB" w:rsidRDefault="005C7592" w:rsidP="005C7592">
      <w:pPr>
        <w:pStyle w:val="Heading2"/>
        <w:spacing w:line="360" w:lineRule="auto"/>
        <w:jc w:val="both"/>
        <w:rPr>
          <w:rFonts w:ascii="Arial" w:hAnsi="Arial" w:cs="Arial"/>
          <w:color w:val="auto"/>
          <w:sz w:val="22"/>
        </w:rPr>
      </w:pPr>
      <w:bookmarkStart w:id="7" w:name="_Toc220494120"/>
      <w:r w:rsidRPr="002A0BDB">
        <w:rPr>
          <w:rFonts w:ascii="Arial" w:hAnsi="Arial" w:cs="Arial"/>
          <w:color w:val="auto"/>
          <w:sz w:val="22"/>
        </w:rPr>
        <w:t>1.3 Problem Statement</w:t>
      </w:r>
      <w:bookmarkEnd w:id="7"/>
    </w:p>
    <w:p w14:paraId="598B6A06"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546F3D4C"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There is limited consolidated comprehension of the way these tools directly inform public health interventions targeting cholera’s indirect transmission pathways despite major advances in molecular epidemiology. The existing literature is fragmented with associating several studies focusing separately on genomics, environmental reservoirs or outbreak investigation. As a result, the translation of molecular findings into the practical surveillance and prevention strategies remains inconsistent.  Furthermore, the environmental reservoirs continue to sustain </w:t>
      </w:r>
      <w:r w:rsidRPr="002A0BDB">
        <w:rPr>
          <w:rFonts w:ascii="Arial" w:hAnsi="Arial" w:cs="Arial"/>
          <w:i/>
          <w:iCs/>
        </w:rPr>
        <w:t xml:space="preserve">Vibrio cholera </w:t>
      </w:r>
      <w:r w:rsidRPr="002A0BDB">
        <w:rPr>
          <w:rFonts w:ascii="Arial" w:hAnsi="Arial" w:cs="Arial"/>
        </w:rPr>
        <w:t>between outbreaks, however, their molecular characteristics to impact on transmission remain insufficiently synthesised. This gap limits the ability of health systems to develop targeted approaches for early detection, risk prediction and prevention of cholera transmissions.</w:t>
      </w:r>
    </w:p>
    <w:p w14:paraId="4A8F73A3" w14:textId="77777777" w:rsidR="005C7592" w:rsidRPr="002A0BDB" w:rsidRDefault="005C7592" w:rsidP="005C7592">
      <w:pPr>
        <w:spacing w:line="360" w:lineRule="auto"/>
        <w:jc w:val="both"/>
        <w:rPr>
          <w:rFonts w:ascii="Arial" w:hAnsi="Arial" w:cs="Arial"/>
        </w:rPr>
      </w:pPr>
    </w:p>
    <w:p w14:paraId="7C5404AF" w14:textId="77777777" w:rsidR="005C7592" w:rsidRPr="002A0BDB" w:rsidRDefault="005C7592" w:rsidP="005C7592">
      <w:pPr>
        <w:pStyle w:val="Heading2"/>
        <w:spacing w:line="360" w:lineRule="auto"/>
        <w:jc w:val="both"/>
        <w:rPr>
          <w:rFonts w:ascii="Arial" w:hAnsi="Arial" w:cs="Arial"/>
          <w:color w:val="auto"/>
          <w:sz w:val="22"/>
        </w:rPr>
      </w:pPr>
      <w:bookmarkStart w:id="8" w:name="_Toc220494121"/>
      <w:r w:rsidRPr="002A0BDB">
        <w:rPr>
          <w:rFonts w:ascii="Arial" w:hAnsi="Arial" w:cs="Arial"/>
          <w:color w:val="auto"/>
          <w:sz w:val="22"/>
        </w:rPr>
        <w:t>1.4 Research question, Aims, and Objectives</w:t>
      </w:r>
      <w:bookmarkEnd w:id="8"/>
    </w:p>
    <w:p w14:paraId="3E44B0ED"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rPr>
      </w:pPr>
    </w:p>
    <w:p w14:paraId="6C44379B"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rPr>
      </w:pPr>
      <w:r w:rsidRPr="002A0BDB">
        <w:rPr>
          <w:rFonts w:ascii="Arial" w:hAnsi="Arial" w:cs="Arial"/>
          <w:b/>
          <w:bCs/>
        </w:rPr>
        <w:t>Research Question</w:t>
      </w:r>
    </w:p>
    <w:p w14:paraId="10162867"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How molecular epidemiology tools inform public health interventions aimed at preventing and</w:t>
      </w:r>
    </w:p>
    <w:p w14:paraId="3D18AAE5"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Controlling indirect transmission of Cholera?</w:t>
      </w:r>
    </w:p>
    <w:p w14:paraId="7660E4DC"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rPr>
      </w:pPr>
    </w:p>
    <w:p w14:paraId="7E38CBAC"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rPr>
      </w:pPr>
      <w:r w:rsidRPr="002A0BDB">
        <w:rPr>
          <w:rFonts w:ascii="Arial" w:hAnsi="Arial" w:cs="Arial"/>
          <w:b/>
          <w:bCs/>
        </w:rPr>
        <w:t>Aim</w:t>
      </w:r>
    </w:p>
    <w:p w14:paraId="63EA7A25" w14:textId="12B51610" w:rsidR="005C7592" w:rsidRPr="002A0BDB" w:rsidRDefault="00F90B9A"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The aim is to</w:t>
      </w:r>
      <w:r w:rsidR="005C7592" w:rsidRPr="002A0BDB">
        <w:rPr>
          <w:rFonts w:ascii="Arial" w:hAnsi="Arial" w:cs="Arial"/>
        </w:rPr>
        <w:t xml:space="preserve"> explore in the literature the molecular epidemiology technologies that investigate the transmission dynamics of cholera, informing public health interventions and strategies for disease prevention and control.</w:t>
      </w:r>
    </w:p>
    <w:p w14:paraId="355CD69A"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rPr>
      </w:pPr>
    </w:p>
    <w:p w14:paraId="45A1A0C5"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rPr>
      </w:pPr>
      <w:r w:rsidRPr="002A0BDB">
        <w:rPr>
          <w:rFonts w:ascii="Arial" w:hAnsi="Arial" w:cs="Arial"/>
          <w:b/>
          <w:bCs/>
        </w:rPr>
        <w:t>Objectives</w:t>
      </w:r>
    </w:p>
    <w:p w14:paraId="64A182B3" w14:textId="77777777" w:rsidR="005C7592" w:rsidRPr="002A0BDB" w:rsidRDefault="005C7592" w:rsidP="005C7592">
      <w:pPr>
        <w:numPr>
          <w:ilvl w:val="0"/>
          <w:numId w:val="9"/>
        </w:numPr>
        <w:pBdr>
          <w:top w:val="nil"/>
          <w:left w:val="nil"/>
          <w:bottom w:val="nil"/>
          <w:right w:val="nil"/>
          <w:between w:val="nil"/>
        </w:pBdr>
        <w:spacing w:after="0" w:line="360" w:lineRule="auto"/>
        <w:jc w:val="both"/>
        <w:rPr>
          <w:rFonts w:ascii="Arial" w:hAnsi="Arial" w:cs="Arial"/>
        </w:rPr>
      </w:pPr>
      <w:r w:rsidRPr="002A0BDB">
        <w:rPr>
          <w:rFonts w:ascii="Arial" w:hAnsi="Arial" w:cs="Arial"/>
        </w:rPr>
        <w:t xml:space="preserve">To evaluate the effectiveness of molecular techniques (e.g., genomic sequencing and phylogenetic analysis) in detecting and characterising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within environmental reservoirs and indirect transmission routes</w:t>
      </w:r>
    </w:p>
    <w:p w14:paraId="232004C4" w14:textId="77777777" w:rsidR="005C7592" w:rsidRPr="002A0BDB" w:rsidRDefault="005C7592" w:rsidP="005C7592">
      <w:pPr>
        <w:numPr>
          <w:ilvl w:val="0"/>
          <w:numId w:val="9"/>
        </w:numPr>
        <w:pBdr>
          <w:top w:val="nil"/>
          <w:left w:val="nil"/>
          <w:bottom w:val="nil"/>
          <w:right w:val="nil"/>
          <w:between w:val="nil"/>
        </w:pBdr>
        <w:spacing w:after="0" w:line="360" w:lineRule="auto"/>
        <w:jc w:val="both"/>
        <w:rPr>
          <w:rFonts w:ascii="Arial" w:hAnsi="Arial" w:cs="Arial"/>
        </w:rPr>
      </w:pPr>
      <w:r w:rsidRPr="002A0BDB">
        <w:rPr>
          <w:rFonts w:ascii="Arial" w:hAnsi="Arial" w:cs="Arial"/>
        </w:rPr>
        <w:t>To explore the molecular and environmental factors that influence indirect transmission of cholera, including water sources sanitation, and vector pathways.</w:t>
      </w:r>
    </w:p>
    <w:p w14:paraId="1E6390B9" w14:textId="77777777" w:rsidR="005C7592" w:rsidRPr="002A0BDB" w:rsidRDefault="005C7592" w:rsidP="005C7592">
      <w:pPr>
        <w:numPr>
          <w:ilvl w:val="0"/>
          <w:numId w:val="9"/>
        </w:numPr>
        <w:pBdr>
          <w:top w:val="nil"/>
          <w:left w:val="nil"/>
          <w:bottom w:val="nil"/>
          <w:right w:val="nil"/>
          <w:between w:val="nil"/>
        </w:pBdr>
        <w:spacing w:after="0" w:line="360" w:lineRule="auto"/>
        <w:jc w:val="both"/>
        <w:rPr>
          <w:rFonts w:ascii="Arial" w:hAnsi="Arial" w:cs="Arial"/>
        </w:rPr>
      </w:pPr>
      <w:r w:rsidRPr="002A0BDB">
        <w:rPr>
          <w:rFonts w:ascii="Arial" w:hAnsi="Arial" w:cs="Arial"/>
        </w:rPr>
        <w:t xml:space="preserve">To provide recommendations regarding molecular epidemiology findings that target public health interventions aimed at improving outbreak detection, prevention, and control of cholera       </w:t>
      </w:r>
    </w:p>
    <w:p w14:paraId="6CB3C18D" w14:textId="77777777" w:rsidR="005C7592" w:rsidRPr="002A0BDB" w:rsidRDefault="005C7592" w:rsidP="005C7592">
      <w:pPr>
        <w:pBdr>
          <w:top w:val="nil"/>
          <w:left w:val="nil"/>
          <w:bottom w:val="nil"/>
          <w:right w:val="nil"/>
          <w:between w:val="nil"/>
        </w:pBdr>
        <w:spacing w:line="360" w:lineRule="auto"/>
        <w:ind w:left="720"/>
        <w:jc w:val="both"/>
        <w:rPr>
          <w:rFonts w:ascii="Arial" w:hAnsi="Arial" w:cs="Arial"/>
        </w:rPr>
      </w:pPr>
    </w:p>
    <w:p w14:paraId="47152ED7" w14:textId="77777777" w:rsidR="005C7592" w:rsidRPr="002A0BDB" w:rsidRDefault="005C7592" w:rsidP="005C7592">
      <w:pPr>
        <w:pStyle w:val="Heading2"/>
        <w:spacing w:line="360" w:lineRule="auto"/>
        <w:jc w:val="both"/>
        <w:rPr>
          <w:rFonts w:ascii="Arial" w:hAnsi="Arial" w:cs="Arial"/>
          <w:color w:val="auto"/>
          <w:sz w:val="22"/>
        </w:rPr>
      </w:pPr>
      <w:bookmarkStart w:id="9" w:name="_heading=h.uglbxfy5se3a" w:colFirst="0" w:colLast="0"/>
      <w:bookmarkStart w:id="10" w:name="_Toc220494122"/>
      <w:bookmarkEnd w:id="9"/>
      <w:r w:rsidRPr="002A0BDB">
        <w:rPr>
          <w:rFonts w:ascii="Arial" w:hAnsi="Arial" w:cs="Arial"/>
          <w:color w:val="auto"/>
          <w:sz w:val="22"/>
        </w:rPr>
        <w:t>1.5. Dissertation Structure</w:t>
      </w:r>
      <w:bookmarkEnd w:id="10"/>
    </w:p>
    <w:p w14:paraId="12B2C83F" w14:textId="77777777" w:rsidR="005C7592" w:rsidRPr="002A0BDB" w:rsidRDefault="005C7592" w:rsidP="005C7592">
      <w:pPr>
        <w:spacing w:line="360" w:lineRule="auto"/>
        <w:jc w:val="both"/>
        <w:rPr>
          <w:rFonts w:ascii="Arial" w:hAnsi="Arial" w:cs="Arial"/>
        </w:rPr>
      </w:pPr>
    </w:p>
    <w:p w14:paraId="6FB8E011" w14:textId="77777777" w:rsidR="005C7592" w:rsidRPr="002A0BDB" w:rsidRDefault="005C7592" w:rsidP="005C7592">
      <w:pPr>
        <w:spacing w:line="360" w:lineRule="auto"/>
        <w:jc w:val="both"/>
        <w:rPr>
          <w:rFonts w:ascii="Arial" w:hAnsi="Arial" w:cs="Arial"/>
        </w:rPr>
      </w:pPr>
      <w:r w:rsidRPr="002A0BDB">
        <w:rPr>
          <w:rFonts w:ascii="Arial" w:hAnsi="Arial" w:cs="Arial"/>
        </w:rPr>
        <w:t>This dissertation has developed with five chapters in which chapter one has introduced the research context, problem statement, aims, objectives and significance and rationale underpinning the research. The chapter two will present a critical literature review on cholera transmission, molecular epidemiology tools and theoretical frameworks identifying the key knowledge gaps. Furthermore, chapter three will outline the systematic review methodology including research philosophy, design, data collection, analysis, and ethical considerations. The chapter four will report and synthesise the findings from the selected studies. Chapter five will discuss the findings, implications for public health practice, study limitations and conclude with recommendations for future research. The structure will ensure strategic coherence. Clarity and logical progression as well.</w:t>
      </w:r>
    </w:p>
    <w:p w14:paraId="2278DB72"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11877437" w14:textId="77777777" w:rsidR="005C7592" w:rsidRPr="002A0BDB" w:rsidRDefault="005C7592" w:rsidP="005C7592">
      <w:pPr>
        <w:pStyle w:val="Heading2"/>
        <w:spacing w:line="360" w:lineRule="auto"/>
        <w:jc w:val="both"/>
        <w:rPr>
          <w:rFonts w:ascii="Arial" w:hAnsi="Arial" w:cs="Arial"/>
          <w:color w:val="auto"/>
          <w:sz w:val="22"/>
        </w:rPr>
      </w:pPr>
      <w:bookmarkStart w:id="11" w:name="_Toc220494123"/>
      <w:r w:rsidRPr="002A0BDB">
        <w:rPr>
          <w:rFonts w:ascii="Arial" w:hAnsi="Arial" w:cs="Arial"/>
          <w:color w:val="auto"/>
          <w:sz w:val="22"/>
        </w:rPr>
        <w:t>1.6 Research significance and rationale</w:t>
      </w:r>
      <w:bookmarkEnd w:id="11"/>
    </w:p>
    <w:p w14:paraId="1482269E" w14:textId="77777777" w:rsidR="005C7592" w:rsidRPr="002A0BDB" w:rsidRDefault="005C7592" w:rsidP="005C7592">
      <w:pPr>
        <w:spacing w:line="360" w:lineRule="auto"/>
        <w:jc w:val="both"/>
        <w:rPr>
          <w:rFonts w:ascii="Arial" w:hAnsi="Arial" w:cs="Arial"/>
          <w:b/>
          <w:bCs/>
          <w:i/>
          <w:iCs/>
        </w:rPr>
      </w:pPr>
    </w:p>
    <w:p w14:paraId="60103D8F" w14:textId="77777777" w:rsidR="005C7592" w:rsidRPr="002A0BDB" w:rsidRDefault="005C7592" w:rsidP="005C7592">
      <w:pPr>
        <w:spacing w:line="360" w:lineRule="auto"/>
        <w:jc w:val="both"/>
        <w:rPr>
          <w:rFonts w:ascii="Arial" w:hAnsi="Arial" w:cs="Arial"/>
          <w:b/>
          <w:bCs/>
          <w:i/>
          <w:iCs/>
        </w:rPr>
      </w:pPr>
      <w:r w:rsidRPr="002A0BDB">
        <w:rPr>
          <w:rFonts w:ascii="Arial" w:hAnsi="Arial" w:cs="Arial"/>
          <w:b/>
          <w:bCs/>
          <w:i/>
          <w:iCs/>
        </w:rPr>
        <w:t>Significance</w:t>
      </w:r>
    </w:p>
    <w:p w14:paraId="6A167FB2" w14:textId="77777777" w:rsidR="005C7592" w:rsidRPr="002A0BDB" w:rsidRDefault="005C7592" w:rsidP="005C7592">
      <w:pPr>
        <w:spacing w:line="360" w:lineRule="auto"/>
        <w:jc w:val="both"/>
        <w:rPr>
          <w:rFonts w:ascii="Arial" w:hAnsi="Arial" w:cs="Arial"/>
        </w:rPr>
      </w:pPr>
    </w:p>
    <w:p w14:paraId="7C2DCD51" w14:textId="77777777" w:rsidR="005C7592" w:rsidRPr="002A0BDB" w:rsidRDefault="005C7592" w:rsidP="005C7592">
      <w:pPr>
        <w:spacing w:line="360" w:lineRule="auto"/>
        <w:jc w:val="both"/>
        <w:rPr>
          <w:rFonts w:ascii="Arial" w:hAnsi="Arial" w:cs="Arial"/>
        </w:rPr>
      </w:pPr>
      <w:r w:rsidRPr="002A0BDB">
        <w:rPr>
          <w:rFonts w:ascii="Arial" w:hAnsi="Arial" w:cs="Arial"/>
        </w:rPr>
        <w:lastRenderedPageBreak/>
        <w:t xml:space="preserve">Cholera causes global fatality with several cases reflected globally and UK specific outcomes. This disease enhances in several world countries characterised with poor health systems, unhygienic water sources and climate issues. However, the European government reports 29 imported cases from 9 countries with rise in global travel, warming seas and emerging </w:t>
      </w:r>
      <w:r w:rsidRPr="002A0BDB">
        <w:rPr>
          <w:rFonts w:ascii="Arial" w:hAnsi="Arial" w:cs="Arial"/>
          <w:i/>
          <w:iCs/>
        </w:rPr>
        <w:t xml:space="preserve">Vibrio </w:t>
      </w:r>
      <w:r w:rsidRPr="002A0BDB">
        <w:rPr>
          <w:rFonts w:ascii="Arial" w:hAnsi="Arial" w:cs="Arial"/>
        </w:rPr>
        <w:t>detections in 2022 (ECDC, 2022) The coastal waters undermine the significance of maintaining effective surveillance and preparedness frameworks. The comprehension of the disease from molecular aspects is highly crucial for endemic regions as well as for the country specific outcomes which remain vulnerable to important pathogenic and environmental shifts.</w:t>
      </w:r>
    </w:p>
    <w:p w14:paraId="042A8DB9"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The significance of this research lies in the focus on the indirect environmental transmission pathways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 xml:space="preserve"> </w:t>
      </w:r>
      <w:r w:rsidRPr="002A0BDB">
        <w:rPr>
          <w:rFonts w:ascii="Arial" w:hAnsi="Arial" w:cs="Arial"/>
        </w:rPr>
        <w:t xml:space="preserve">which are often overlooked in classical epidemiology. Molecular epidemiology tools including whole-genome sequencing, </w:t>
      </w:r>
      <w:proofErr w:type="spellStart"/>
      <w:r w:rsidRPr="002A0BDB">
        <w:rPr>
          <w:rFonts w:ascii="Arial" w:hAnsi="Arial" w:cs="Arial"/>
        </w:rPr>
        <w:t>phylogenetics</w:t>
      </w:r>
      <w:proofErr w:type="spellEnd"/>
      <w:r w:rsidRPr="002A0BDB">
        <w:rPr>
          <w:rFonts w:ascii="Arial" w:hAnsi="Arial" w:cs="Arial"/>
        </w:rPr>
        <w:t xml:space="preserve"> and environmental genomic surveillance providing essential insights into pathogen evolution, ecological persistence and transmission dynamics. These techniques allow public health systems to trace outbreak origins to find high-risk environmental reservoirs by detecting emerging antimicrobial-resistant lineages. The research improves understanding of the way early detection, risk assessment and targeted interventions could be enhanced to synthesise the literature on these molecular methods.</w:t>
      </w:r>
    </w:p>
    <w:p w14:paraId="6F8B97E5" w14:textId="77777777" w:rsidR="005C7592" w:rsidRPr="002A0BDB" w:rsidRDefault="005C7592" w:rsidP="005C7592">
      <w:pPr>
        <w:spacing w:line="360" w:lineRule="auto"/>
        <w:jc w:val="both"/>
        <w:rPr>
          <w:rFonts w:ascii="Arial" w:hAnsi="Arial" w:cs="Arial"/>
        </w:rPr>
      </w:pPr>
    </w:p>
    <w:p w14:paraId="594F140A" w14:textId="77777777" w:rsidR="005C7592" w:rsidRPr="002A0BDB" w:rsidRDefault="005C7592" w:rsidP="005C7592">
      <w:pPr>
        <w:spacing w:line="360" w:lineRule="auto"/>
        <w:jc w:val="both"/>
        <w:rPr>
          <w:rFonts w:ascii="Arial" w:hAnsi="Arial" w:cs="Arial"/>
        </w:rPr>
      </w:pPr>
      <w:r w:rsidRPr="002A0BDB">
        <w:rPr>
          <w:rFonts w:ascii="Arial" w:hAnsi="Arial" w:cs="Arial"/>
        </w:rPr>
        <w:t>Moreover, the global health guidelines including WHO Global Task Force on Cholera Control (GTFCC) focus on the integration of genomic data into national surveillance systems (GTFCC, 2025). This research will contribute to those objectives by using the molecular findings as well. This will support timely outbreak responses with informed WASH interventions and high environmental monitoring by enhancing strengths of national and international public health capabilities.</w:t>
      </w:r>
    </w:p>
    <w:p w14:paraId="49C0BA8B" w14:textId="77777777" w:rsidR="005C7592" w:rsidRPr="002A0BDB" w:rsidRDefault="005C7592" w:rsidP="005C7592">
      <w:pPr>
        <w:spacing w:line="360" w:lineRule="auto"/>
        <w:jc w:val="both"/>
        <w:rPr>
          <w:rFonts w:ascii="Arial" w:hAnsi="Arial" w:cs="Arial"/>
          <w:b/>
          <w:bCs/>
          <w:i/>
          <w:iCs/>
        </w:rPr>
      </w:pPr>
    </w:p>
    <w:p w14:paraId="01C14A74" w14:textId="77777777" w:rsidR="005C7592" w:rsidRPr="002A0BDB" w:rsidRDefault="005C7592" w:rsidP="005C7592">
      <w:pPr>
        <w:spacing w:line="360" w:lineRule="auto"/>
        <w:jc w:val="both"/>
        <w:rPr>
          <w:rFonts w:ascii="Arial" w:hAnsi="Arial" w:cs="Arial"/>
          <w:b/>
          <w:bCs/>
          <w:i/>
          <w:iCs/>
        </w:rPr>
      </w:pPr>
      <w:r w:rsidRPr="002A0BDB">
        <w:rPr>
          <w:rFonts w:ascii="Arial" w:hAnsi="Arial" w:cs="Arial"/>
          <w:b/>
          <w:bCs/>
          <w:i/>
          <w:iCs/>
        </w:rPr>
        <w:t>Rationale</w:t>
      </w:r>
    </w:p>
    <w:p w14:paraId="6F520374" w14:textId="77777777" w:rsidR="005C7592" w:rsidRPr="002A0BDB" w:rsidRDefault="005C7592" w:rsidP="005C7592">
      <w:pPr>
        <w:spacing w:line="360" w:lineRule="auto"/>
        <w:jc w:val="both"/>
        <w:rPr>
          <w:rFonts w:ascii="Arial" w:hAnsi="Arial" w:cs="Arial"/>
        </w:rPr>
      </w:pPr>
    </w:p>
    <w:p w14:paraId="385B65A4"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The rationale for conducting this research showcases the requirements to close the gap between rapidly advancing molecular technologies and their practical application in cholera control, particularly in relation to indirect transmission. The translation of this evidence into public health decision-making remains insufficient while genomic and phylogenetic data on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 xml:space="preserve"> </w:t>
      </w:r>
      <w:r w:rsidRPr="002A0BDB">
        <w:rPr>
          <w:rFonts w:ascii="Arial" w:hAnsi="Arial" w:cs="Arial"/>
        </w:rPr>
        <w:t>O1</w:t>
      </w:r>
      <w:r w:rsidRPr="002A0BDB">
        <w:rPr>
          <w:rFonts w:ascii="Arial" w:hAnsi="Arial" w:cs="Arial"/>
          <w:i/>
          <w:iCs/>
        </w:rPr>
        <w:t xml:space="preserve"> </w:t>
      </w:r>
      <w:r w:rsidRPr="002A0BDB">
        <w:rPr>
          <w:rFonts w:ascii="Arial" w:hAnsi="Arial" w:cs="Arial"/>
        </w:rPr>
        <w:t>(</w:t>
      </w:r>
      <w:proofErr w:type="spellStart"/>
      <w:r w:rsidRPr="002A0BDB">
        <w:rPr>
          <w:rFonts w:ascii="Arial" w:hAnsi="Arial" w:cs="Arial"/>
        </w:rPr>
        <w:t>Rouard</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 xml:space="preserve">2024). The outbreak management strategies sometimes depend highly on </w:t>
      </w:r>
      <w:r w:rsidRPr="002A0BDB">
        <w:rPr>
          <w:rFonts w:ascii="Arial" w:hAnsi="Arial" w:cs="Arial"/>
        </w:rPr>
        <w:lastRenderedPageBreak/>
        <w:t>traditional clinical surveillance which can fail to recognise early environmental signals or the molecular characteristics which shape disease spread (Montero</w:t>
      </w:r>
      <w:r w:rsidRPr="002A0BDB">
        <w:rPr>
          <w:rFonts w:ascii="Arial" w:hAnsi="Arial" w:cs="Arial"/>
          <w:i/>
          <w:iCs/>
        </w:rPr>
        <w:t xml:space="preserve"> et al.</w:t>
      </w:r>
      <w:r w:rsidRPr="002A0BDB">
        <w:rPr>
          <w:rFonts w:ascii="Arial" w:hAnsi="Arial" w:cs="Arial"/>
        </w:rPr>
        <w:t xml:space="preserve"> 2023). This limits the effectiveness of prevention efforts especially in regions where environmental reservoirs sustain the pathogen between epidemics (Montero</w:t>
      </w:r>
      <w:r w:rsidRPr="002A0BDB">
        <w:rPr>
          <w:rFonts w:ascii="Arial" w:hAnsi="Arial" w:cs="Arial"/>
          <w:i/>
          <w:iCs/>
        </w:rPr>
        <w:t xml:space="preserve"> et al.</w:t>
      </w:r>
      <w:r w:rsidRPr="002A0BDB">
        <w:rPr>
          <w:rFonts w:ascii="Arial" w:hAnsi="Arial" w:cs="Arial"/>
        </w:rPr>
        <w:t xml:space="preserve"> 2023). The systematic review is necessary to consolidate the dispersed evidence on the way molecular epidemiology improves comprehending of cholera ecology, environmental persistence and outbreak dynamics. The findings will support proper interpretation of genomic data for public health usage including risk prediction, detection of emerging strains and identification of transmission pathways. Policymakers and practitioners will be required to learn from the evidence for integrating molecular surveillance into routine cholera control approaches. Climate change and higher global mobility are altering the cholera risk landscapes (</w:t>
      </w:r>
      <w:proofErr w:type="spellStart"/>
      <w:r w:rsidRPr="002A0BDB">
        <w:rPr>
          <w:rFonts w:ascii="Arial" w:hAnsi="Arial" w:cs="Arial"/>
        </w:rPr>
        <w:t>Bastin</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Rising sea temperatures and extreme weather events have expanded the ecological niches where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 xml:space="preserve"> </w:t>
      </w:r>
      <w:r w:rsidRPr="002A0BDB">
        <w:rPr>
          <w:rFonts w:ascii="Arial" w:hAnsi="Arial" w:cs="Arial"/>
        </w:rPr>
        <w:t xml:space="preserve">can survive such as in non-endemic regions (Archer </w:t>
      </w:r>
      <w:r w:rsidRPr="002A0BDB">
        <w:rPr>
          <w:rFonts w:ascii="Arial" w:hAnsi="Arial" w:cs="Arial"/>
          <w:i/>
          <w:iCs/>
        </w:rPr>
        <w:t>et al.</w:t>
      </w:r>
      <w:r w:rsidRPr="002A0BDB">
        <w:rPr>
          <w:rFonts w:ascii="Arial" w:hAnsi="Arial" w:cs="Arial"/>
        </w:rPr>
        <w:t xml:space="preserve"> 2023). This changes the urgency of comprehending molecular mechanisms which allow environmental persistence. The rationale aligns with the growing need for antimicrobial resistance monitoring as resistant strains threaten global treatment effectiveness. Thus, this research will address a timely and important need to analyse the way molecular tools can support the modern, predictive and environmentally informed cholera prevention strategies.</w:t>
      </w:r>
    </w:p>
    <w:p w14:paraId="25570FBC" w14:textId="77777777" w:rsidR="005C7592" w:rsidRPr="002A0BDB" w:rsidRDefault="005C7592" w:rsidP="005C7592">
      <w:pPr>
        <w:spacing w:line="360" w:lineRule="auto"/>
        <w:jc w:val="both"/>
        <w:rPr>
          <w:rFonts w:ascii="Arial" w:hAnsi="Arial" w:cs="Arial"/>
        </w:rPr>
      </w:pPr>
    </w:p>
    <w:p w14:paraId="180359E5" w14:textId="77777777" w:rsidR="005C7592" w:rsidRPr="002A0BDB" w:rsidRDefault="005C7592" w:rsidP="005C7592">
      <w:pPr>
        <w:pStyle w:val="Heading2"/>
        <w:spacing w:line="360" w:lineRule="auto"/>
        <w:jc w:val="both"/>
        <w:rPr>
          <w:rFonts w:ascii="Arial" w:hAnsi="Arial" w:cs="Arial"/>
          <w:color w:val="auto"/>
          <w:sz w:val="22"/>
        </w:rPr>
      </w:pPr>
      <w:bookmarkStart w:id="12" w:name="_Toc220494124"/>
      <w:r w:rsidRPr="002A0BDB">
        <w:rPr>
          <w:rFonts w:ascii="Arial" w:hAnsi="Arial" w:cs="Arial"/>
          <w:color w:val="auto"/>
          <w:sz w:val="22"/>
        </w:rPr>
        <w:t>1.7 Chapter summary</w:t>
      </w:r>
      <w:bookmarkEnd w:id="12"/>
    </w:p>
    <w:p w14:paraId="539C5B51"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306803F3"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This chapter has introduced the research by outlining the global and UK relevance of cholera with the focus on indirect environmental transmission and the growing role of molecular epidemiology. This has shown the research background, identified research problems and highlighted the requirements for improved understanding of molecular tools in public health decision-making. This chapter has also outlined the research aim, objectives and question and provided the significance and rationale supporting the research. </w:t>
      </w:r>
    </w:p>
    <w:p w14:paraId="7D53C797" w14:textId="13DA31FE" w:rsidR="009F64C5" w:rsidRPr="002A0BDB" w:rsidRDefault="009F64C5">
      <w:pPr>
        <w:spacing w:after="0"/>
        <w:rPr>
          <w:rFonts w:asciiTheme="minorBidi" w:hAnsiTheme="minorBidi"/>
        </w:rPr>
      </w:pPr>
      <w:r w:rsidRPr="002A0BDB">
        <w:rPr>
          <w:rFonts w:asciiTheme="minorBidi" w:hAnsiTheme="minorBidi"/>
        </w:rPr>
        <w:tab/>
        <w:t xml:space="preserve"> </w:t>
      </w:r>
    </w:p>
    <w:p w14:paraId="0F28B479" w14:textId="77777777" w:rsidR="009706D0" w:rsidRPr="002A0BDB" w:rsidRDefault="009706D0">
      <w:pPr>
        <w:rPr>
          <w:rFonts w:asciiTheme="minorBidi" w:eastAsia="Times New Roman" w:hAnsiTheme="minorBidi"/>
          <w:b/>
          <w:sz w:val="24"/>
        </w:rPr>
      </w:pPr>
      <w:r w:rsidRPr="002A0BDB">
        <w:rPr>
          <w:rFonts w:asciiTheme="minorBidi" w:hAnsiTheme="minorBidi"/>
        </w:rPr>
        <w:br w:type="page"/>
      </w:r>
    </w:p>
    <w:p w14:paraId="121CDA14" w14:textId="2D0DF02A" w:rsidR="009F64C5" w:rsidRPr="002A0BDB" w:rsidRDefault="008D6BF7">
      <w:pPr>
        <w:pStyle w:val="Heading1"/>
        <w:spacing w:after="610"/>
        <w:ind w:left="12" w:right="6"/>
        <w:rPr>
          <w:rFonts w:asciiTheme="minorBidi" w:hAnsiTheme="minorBidi" w:cstheme="minorBidi"/>
          <w:color w:val="auto"/>
        </w:rPr>
      </w:pPr>
      <w:bookmarkStart w:id="13" w:name="_Toc220498169"/>
      <w:r w:rsidRPr="002A0BDB">
        <w:rPr>
          <w:rFonts w:asciiTheme="minorBidi" w:hAnsiTheme="minorBidi" w:cstheme="minorBidi"/>
          <w:color w:val="auto"/>
        </w:rPr>
        <w:lastRenderedPageBreak/>
        <w:t>Chapter</w:t>
      </w:r>
      <w:r w:rsidR="00DD7AA5" w:rsidRPr="002A0BDB">
        <w:rPr>
          <w:rFonts w:asciiTheme="minorBidi" w:hAnsiTheme="minorBidi" w:cstheme="minorBidi"/>
          <w:color w:val="auto"/>
        </w:rPr>
        <w:t xml:space="preserve"> 2</w:t>
      </w:r>
      <w:r w:rsidRPr="002A0BDB">
        <w:rPr>
          <w:rFonts w:asciiTheme="minorBidi" w:hAnsiTheme="minorBidi" w:cstheme="minorBidi"/>
          <w:color w:val="auto"/>
        </w:rPr>
        <w:t xml:space="preserve">: </w:t>
      </w:r>
      <w:r w:rsidR="009F64C5" w:rsidRPr="002A0BDB">
        <w:rPr>
          <w:rFonts w:asciiTheme="minorBidi" w:hAnsiTheme="minorBidi" w:cstheme="minorBidi"/>
          <w:color w:val="auto"/>
        </w:rPr>
        <w:t>Literature review/theoretical framework</w:t>
      </w:r>
      <w:bookmarkEnd w:id="13"/>
      <w:r w:rsidR="009F64C5" w:rsidRPr="002A0BDB">
        <w:rPr>
          <w:rFonts w:asciiTheme="minorBidi" w:hAnsiTheme="minorBidi" w:cstheme="minorBidi"/>
          <w:color w:val="auto"/>
        </w:rPr>
        <w:t xml:space="preserve"> </w:t>
      </w:r>
    </w:p>
    <w:p w14:paraId="5C05DF20" w14:textId="77777777" w:rsidR="005C7592" w:rsidRPr="002A0BDB" w:rsidRDefault="005C7592" w:rsidP="005C7592">
      <w:pPr>
        <w:pStyle w:val="Heading2"/>
        <w:spacing w:line="360" w:lineRule="auto"/>
        <w:jc w:val="both"/>
        <w:rPr>
          <w:rFonts w:ascii="Arial" w:hAnsi="Arial" w:cs="Arial"/>
          <w:color w:val="auto"/>
          <w:sz w:val="22"/>
        </w:rPr>
      </w:pPr>
      <w:bookmarkStart w:id="14" w:name="_Toc220494126"/>
      <w:r w:rsidRPr="002A0BDB">
        <w:rPr>
          <w:rFonts w:ascii="Arial" w:hAnsi="Arial" w:cs="Arial"/>
          <w:color w:val="auto"/>
          <w:sz w:val="22"/>
        </w:rPr>
        <w:t>2.1 Introduction</w:t>
      </w:r>
      <w:bookmarkEnd w:id="14"/>
    </w:p>
    <w:p w14:paraId="684DB340"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07E29C48"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This chapter critically reviews current literature on the molecular epidemiology of cholera with a specific focus on technologies used to investigate indirect transmission routes and environmental reservoirs. This chapter will discuss and evaluate the role of genomic sequencing and molecular roles in detecting, characterising and tracking Vibrio </w:t>
      </w:r>
      <w:proofErr w:type="spellStart"/>
      <w:r w:rsidRPr="002A0BDB">
        <w:rPr>
          <w:rFonts w:ascii="Arial" w:hAnsi="Arial" w:cs="Arial"/>
        </w:rPr>
        <w:t>cholerae</w:t>
      </w:r>
      <w:proofErr w:type="spellEnd"/>
      <w:r w:rsidRPr="002A0BDB">
        <w:rPr>
          <w:rFonts w:ascii="Arial" w:hAnsi="Arial" w:cs="Arial"/>
        </w:rPr>
        <w:t>. The emphasis will be on the way these techniques improve comprehension of environmental persistence by informing public health interventions. This chapter concluded to find the literature gap and theories with exciting research to summarise the recommendation for future research.</w:t>
      </w:r>
    </w:p>
    <w:p w14:paraId="1B923D91"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54509B1F" w14:textId="77777777" w:rsidR="005C7592" w:rsidRPr="002A0BDB" w:rsidRDefault="005C7592" w:rsidP="005C7592">
      <w:pPr>
        <w:pStyle w:val="Heading2"/>
        <w:spacing w:line="360" w:lineRule="auto"/>
        <w:jc w:val="both"/>
        <w:rPr>
          <w:rFonts w:ascii="Arial" w:hAnsi="Arial" w:cs="Arial"/>
          <w:color w:val="auto"/>
          <w:sz w:val="22"/>
        </w:rPr>
      </w:pPr>
      <w:bookmarkStart w:id="15" w:name="_Toc220494127"/>
      <w:r w:rsidRPr="002A0BDB">
        <w:rPr>
          <w:rFonts w:ascii="Arial" w:hAnsi="Arial" w:cs="Arial"/>
          <w:color w:val="auto"/>
          <w:sz w:val="22"/>
        </w:rPr>
        <w:t>2.2 Molecular epidemiological tools introduced</w:t>
      </w:r>
      <w:bookmarkEnd w:id="15"/>
    </w:p>
    <w:p w14:paraId="335BDDFD"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665FF1B3"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Molecular tools provide the ability to sub-classify organisms into meaningful groups, and to detect (e.g., genomic sequencing), and to trace living organisms in the human body or in the environment, and to detect diseases’ symptoms early (</w:t>
      </w:r>
      <w:proofErr w:type="spellStart"/>
      <w:r w:rsidRPr="002A0BDB">
        <w:rPr>
          <w:rFonts w:ascii="Arial" w:hAnsi="Arial" w:cs="Arial"/>
        </w:rPr>
        <w:t>Eybpoos</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2017).</w:t>
      </w:r>
    </w:p>
    <w:p w14:paraId="09C8421D"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 epidemiological investigation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the causative agent of cholera, starts with traditional microbiological tools including culture, biochemical identification and serotyping that serve as the foundation for confirming suspected clinical areas. As per </w:t>
      </w:r>
      <w:proofErr w:type="spellStart"/>
      <w:r w:rsidRPr="002A0BDB">
        <w:rPr>
          <w:rFonts w:ascii="Arial" w:hAnsi="Arial" w:cs="Arial"/>
        </w:rPr>
        <w:t>Eybpoos</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(2017), these methods allow laboratories to isolate by identifying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 xml:space="preserve"> </w:t>
      </w:r>
      <w:r w:rsidRPr="002A0BDB">
        <w:rPr>
          <w:rFonts w:ascii="Arial" w:hAnsi="Arial" w:cs="Arial"/>
        </w:rPr>
        <w:t>from patient stool samples and environmental sources supporting outbreak response and case confirmations. However, while conventional techniques are essential for initial detection and public health surveillance, they lack adequate resolution to differentiate between closely related strains or to track the transmission dynamics across and between the outbreaks.</w:t>
      </w:r>
    </w:p>
    <w:p w14:paraId="629CFD18" w14:textId="16C9FCB6"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Furthermore, the molecular epidemiological tools including multi</w:t>
      </w:r>
      <w:r w:rsidR="008244BA" w:rsidRPr="002A0BDB">
        <w:rPr>
          <w:rFonts w:ascii="Arial" w:hAnsi="Arial" w:cs="Arial"/>
        </w:rPr>
        <w:t>-</w:t>
      </w:r>
      <w:r w:rsidRPr="002A0BDB">
        <w:rPr>
          <w:rFonts w:ascii="Arial" w:hAnsi="Arial" w:cs="Arial"/>
        </w:rPr>
        <w:t xml:space="preserve">locus variable-number tandem-repeat analysis (MLVA) and whole-genome sequencing (WGS) provide the ability to sub-classify </w:t>
      </w:r>
      <w:r w:rsidRPr="002A0BDB">
        <w:rPr>
          <w:rFonts w:ascii="Arial" w:hAnsi="Arial" w:cs="Arial"/>
          <w:i/>
          <w:iCs/>
        </w:rPr>
        <w:t xml:space="preserve">Vibrio cholera </w:t>
      </w:r>
      <w:r w:rsidRPr="002A0BDB">
        <w:rPr>
          <w:rFonts w:ascii="Arial" w:hAnsi="Arial" w:cs="Arial"/>
        </w:rPr>
        <w:t>isolated into different genetic lineages (</w:t>
      </w:r>
      <w:proofErr w:type="spellStart"/>
      <w:r w:rsidRPr="002A0BDB">
        <w:rPr>
          <w:rFonts w:ascii="Arial" w:hAnsi="Arial" w:cs="Arial"/>
        </w:rPr>
        <w:t>Jalalizadeh</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These strategies develop high-resolution genetic fingerprints which reveal clonal relationships and transmission pathways across spatial and temporal scales. For example, the genotyping approach has </w:t>
      </w:r>
      <w:r w:rsidRPr="002A0BDB">
        <w:rPr>
          <w:rFonts w:ascii="Arial" w:hAnsi="Arial" w:cs="Arial"/>
        </w:rPr>
        <w:lastRenderedPageBreak/>
        <w:t>identified 31 multi</w:t>
      </w:r>
      <w:r w:rsidR="008244BA" w:rsidRPr="002A0BDB">
        <w:rPr>
          <w:rFonts w:ascii="Arial" w:hAnsi="Arial" w:cs="Arial"/>
        </w:rPr>
        <w:t>-</w:t>
      </w:r>
      <w:r w:rsidRPr="002A0BDB">
        <w:rPr>
          <w:rFonts w:ascii="Arial" w:hAnsi="Arial" w:cs="Arial"/>
        </w:rPr>
        <w:t xml:space="preserve">locus haplotypes which grouped into three clusters of single-locus variants plus one unique lineage based on analysis of 93 </w:t>
      </w:r>
      <w:proofErr w:type="spellStart"/>
      <w:r w:rsidRPr="002A0BDB">
        <w:rPr>
          <w:rFonts w:ascii="Arial" w:hAnsi="Arial" w:cs="Arial"/>
        </w:rPr>
        <w:t>Xpm</w:t>
      </w:r>
      <w:proofErr w:type="spellEnd"/>
      <w:r w:rsidRPr="002A0BDB">
        <w:rPr>
          <w:rFonts w:ascii="Arial" w:hAnsi="Arial" w:cs="Arial"/>
        </w:rPr>
        <w:t xml:space="preserve"> strains collected globally one five decades (</w:t>
      </w:r>
      <w:proofErr w:type="spellStart"/>
      <w:r w:rsidRPr="002A0BDB">
        <w:rPr>
          <w:rFonts w:ascii="Arial" w:hAnsi="Arial" w:cs="Arial"/>
        </w:rPr>
        <w:t>Rache</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2023). These molecular methods also uncover genotype changes in virulence and resistance determinants which traditional epidemiology would exclude by improving outbreak investigation, source tracking and surveillance strategic planning prior to application of genomic sequencing in broader epidemiological frameworks.</w:t>
      </w:r>
    </w:p>
    <w:p w14:paraId="3BA66227"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7910433D" w14:textId="77777777" w:rsidR="005C7592" w:rsidRPr="002A0BDB" w:rsidRDefault="005C7592" w:rsidP="00CB67F7">
      <w:pPr>
        <w:pStyle w:val="Heading3"/>
      </w:pPr>
      <w:bookmarkStart w:id="16" w:name="_Toc220494128"/>
      <w:r w:rsidRPr="002A0BDB">
        <w:t xml:space="preserve">2.2.1 Genomic sequencing of Vibrio </w:t>
      </w:r>
      <w:proofErr w:type="spellStart"/>
      <w:r w:rsidRPr="002A0BDB">
        <w:t>cholerae</w:t>
      </w:r>
      <w:bookmarkEnd w:id="16"/>
      <w:proofErr w:type="spellEnd"/>
    </w:p>
    <w:p w14:paraId="7FF06987"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450D4F50"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Genomic sequencing has transformed the understanding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 xml:space="preserve"> </w:t>
      </w:r>
      <w:r w:rsidRPr="002A0BDB">
        <w:rPr>
          <w:rFonts w:ascii="Arial" w:hAnsi="Arial" w:cs="Arial"/>
        </w:rPr>
        <w:t xml:space="preserve">ecology to enable researchers tracing the bacterium’s genetic evolutions, environmental persistence and transmission pathways with unprecedented precision. Whole genome sequencing (WGS) (see Figure 2.2) enables highly thorough analysis capable of discriminating between closely related strains, identifying </w:t>
      </w:r>
      <w:proofErr w:type="spellStart"/>
      <w:r w:rsidRPr="002A0BDB">
        <w:rPr>
          <w:rFonts w:ascii="Arial" w:hAnsi="Arial" w:cs="Arial"/>
        </w:rPr>
        <w:t>serogroups</w:t>
      </w:r>
      <w:proofErr w:type="spellEnd"/>
      <w:r w:rsidRPr="002A0BDB">
        <w:rPr>
          <w:rFonts w:ascii="Arial" w:hAnsi="Arial" w:cs="Arial"/>
        </w:rPr>
        <w:t>, tracking antibiotic resistance markets, and revealing lineage-specific modifications (</w:t>
      </w:r>
      <w:proofErr w:type="spellStart"/>
      <w:r w:rsidRPr="002A0BDB">
        <w:rPr>
          <w:rFonts w:ascii="Arial" w:hAnsi="Arial" w:cs="Arial"/>
        </w:rPr>
        <w:t>Odoi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These insights have provided valuable insights for comprehending indirect transmission of </w:t>
      </w:r>
      <w:r w:rsidRPr="002A0BDB">
        <w:rPr>
          <w:rFonts w:ascii="Arial" w:hAnsi="Arial" w:cs="Arial"/>
          <w:i/>
          <w:iCs/>
        </w:rPr>
        <w:t xml:space="preserve">Vibrio cholera </w:t>
      </w:r>
      <w:r w:rsidRPr="002A0BDB">
        <w:rPr>
          <w:rFonts w:ascii="Arial" w:hAnsi="Arial" w:cs="Arial"/>
        </w:rPr>
        <w:t>cycles through aquatic reservoirs, sediments, biofilms and planktonic systems before re-infecting human populations.</w:t>
      </w:r>
    </w:p>
    <w:p w14:paraId="2AA87FDD" w14:textId="77777777" w:rsidR="005C7592" w:rsidRPr="002A0BDB" w:rsidRDefault="005C7592" w:rsidP="005C7592">
      <w:pPr>
        <w:pBdr>
          <w:top w:val="nil"/>
          <w:left w:val="nil"/>
          <w:bottom w:val="nil"/>
          <w:right w:val="nil"/>
          <w:between w:val="nil"/>
        </w:pBdr>
        <w:spacing w:line="360" w:lineRule="auto"/>
        <w:jc w:val="center"/>
        <w:rPr>
          <w:rFonts w:ascii="Arial" w:hAnsi="Arial" w:cs="Arial"/>
        </w:rPr>
      </w:pPr>
      <w:r w:rsidRPr="002A0BDB">
        <w:rPr>
          <w:rFonts w:ascii="Arial" w:hAnsi="Arial" w:cs="Arial"/>
          <w:noProof/>
          <w:lang w:val="en-IN" w:eastAsia="en-IN"/>
        </w:rPr>
        <w:lastRenderedPageBreak/>
        <w:drawing>
          <wp:inline distT="114300" distB="114300" distL="114300" distR="114300" wp14:anchorId="6D0AB825" wp14:editId="4F474825">
            <wp:extent cx="3719513" cy="3767199"/>
            <wp:effectExtent l="25400" t="25400" r="25400" b="254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719513" cy="3767199"/>
                    </a:xfrm>
                    <a:prstGeom prst="rect">
                      <a:avLst/>
                    </a:prstGeom>
                    <a:ln w="25400">
                      <a:solidFill>
                        <a:srgbClr val="000000"/>
                      </a:solidFill>
                      <a:prstDash val="solid"/>
                    </a:ln>
                  </pic:spPr>
                </pic:pic>
              </a:graphicData>
            </a:graphic>
          </wp:inline>
        </w:drawing>
      </w:r>
    </w:p>
    <w:p w14:paraId="1D3E05EC" w14:textId="77777777" w:rsidR="005C7592" w:rsidRPr="002A0BDB" w:rsidRDefault="005C7592" w:rsidP="005C7592">
      <w:pPr>
        <w:pStyle w:val="Heading4"/>
        <w:rPr>
          <w:rFonts w:ascii="Arial" w:hAnsi="Arial" w:cs="Arial"/>
          <w:color w:val="auto"/>
        </w:rPr>
      </w:pPr>
      <w:bookmarkStart w:id="17" w:name="_heading=h.nsrzzp4slne4" w:colFirst="0" w:colLast="0"/>
      <w:bookmarkStart w:id="18" w:name="_Toc220494271"/>
      <w:bookmarkStart w:id="19" w:name="_Toc220498182"/>
      <w:bookmarkEnd w:id="17"/>
      <w:r w:rsidRPr="002A0BDB">
        <w:rPr>
          <w:rFonts w:ascii="Arial" w:hAnsi="Arial" w:cs="Arial"/>
          <w:color w:val="auto"/>
        </w:rPr>
        <w:t>Figure 2.1: Whole Genome Sequencing (WGS)</w:t>
      </w:r>
      <w:bookmarkEnd w:id="18"/>
      <w:bookmarkEnd w:id="19"/>
    </w:p>
    <w:p w14:paraId="1AA769F2" w14:textId="2542B63B" w:rsidR="005C7592" w:rsidRPr="002A0BDB" w:rsidRDefault="005C7592" w:rsidP="00E6798F">
      <w:pPr>
        <w:pBdr>
          <w:top w:val="nil"/>
          <w:left w:val="nil"/>
          <w:bottom w:val="nil"/>
          <w:right w:val="nil"/>
          <w:between w:val="nil"/>
        </w:pBdr>
        <w:spacing w:line="360" w:lineRule="auto"/>
        <w:jc w:val="center"/>
        <w:rPr>
          <w:rFonts w:ascii="Arial" w:hAnsi="Arial" w:cs="Arial"/>
        </w:rPr>
      </w:pPr>
      <w:r w:rsidRPr="002A0BDB">
        <w:rPr>
          <w:rFonts w:ascii="Arial" w:hAnsi="Arial" w:cs="Arial"/>
        </w:rPr>
        <w:t>(</w:t>
      </w:r>
      <w:r w:rsidR="00514120" w:rsidRPr="002A0BDB">
        <w:rPr>
          <w:rFonts w:ascii="Arial" w:hAnsi="Arial" w:cs="Arial"/>
        </w:rPr>
        <w:t xml:space="preserve">Source: </w:t>
      </w:r>
      <w:proofErr w:type="spellStart"/>
      <w:r w:rsidRPr="002A0BDB">
        <w:rPr>
          <w:rFonts w:ascii="Arial" w:hAnsi="Arial" w:cs="Arial"/>
        </w:rPr>
        <w:t>Mevada</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2023)</w:t>
      </w:r>
    </w:p>
    <w:p w14:paraId="239819FF"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 major contribution of genomic sequencing shows their capacity on environmental origins of outbreaks. </w:t>
      </w:r>
      <w:r w:rsidRPr="002A0BDB">
        <w:rPr>
          <w:rFonts w:ascii="Arial" w:hAnsi="Arial" w:cs="Arial"/>
          <w:i/>
          <w:iCs/>
        </w:rPr>
        <w:t>Vibrio cholerae</w:t>
      </w:r>
      <w:r w:rsidRPr="002A0BDB">
        <w:rPr>
          <w:rFonts w:ascii="Arial" w:hAnsi="Arial" w:cs="Arial"/>
        </w:rPr>
        <w:t>O1 and O139 strains often persist in estuarine and brackish waters undergoing the genetic modifications influenced by salinity, temperature and nutrient availability (</w:t>
      </w:r>
      <w:proofErr w:type="spellStart"/>
      <w:r w:rsidRPr="002A0BDB">
        <w:rPr>
          <w:rFonts w:ascii="Arial" w:hAnsi="Arial" w:cs="Arial"/>
        </w:rPr>
        <w:t>Mevada</w:t>
      </w:r>
      <w:proofErr w:type="spellEnd"/>
      <w:r w:rsidRPr="002A0BDB">
        <w:rPr>
          <w:rFonts w:ascii="Arial" w:hAnsi="Arial" w:cs="Arial"/>
          <w:i/>
          <w:iCs/>
        </w:rPr>
        <w:t xml:space="preserve"> et al.</w:t>
      </w:r>
      <w:r w:rsidRPr="002A0BDB">
        <w:rPr>
          <w:rFonts w:ascii="Arial" w:hAnsi="Arial" w:cs="Arial"/>
        </w:rPr>
        <w:t xml:space="preserve"> 2023). WGS analysis describes that the environmental isolation often shares core genomic similarities with clinical strains detected during the outbreaks. This suggests that the environmental reservoirs act as persistent sources of infection rather than passive habitats. In line with this, Islam </w:t>
      </w:r>
      <w:r w:rsidRPr="002A0BDB">
        <w:rPr>
          <w:rFonts w:ascii="Arial" w:hAnsi="Arial" w:cs="Arial"/>
          <w:i/>
          <w:iCs/>
        </w:rPr>
        <w:t>et al.</w:t>
      </w:r>
      <w:r w:rsidRPr="002A0BDB">
        <w:rPr>
          <w:rFonts w:ascii="Arial" w:hAnsi="Arial" w:cs="Arial"/>
        </w:rPr>
        <w:t xml:space="preserve"> (2021) stated that the phylogenetic trees need to identify whether cases start from the local environmental persistence or external introductions for comparing genomes across the large sample sets. For example, genomic research of outbreaks in Yemen, Haiti, and Africa found that the causal strains were genetically linked to Asian lineages to promote long-distance transmission by human movement or environmental dispersal (Kang </w:t>
      </w:r>
      <w:r w:rsidRPr="002A0BDB">
        <w:rPr>
          <w:rFonts w:ascii="Arial" w:hAnsi="Arial" w:cs="Arial"/>
          <w:i/>
          <w:iCs/>
        </w:rPr>
        <w:t xml:space="preserve">et al. </w:t>
      </w:r>
      <w:r w:rsidRPr="002A0BDB">
        <w:rPr>
          <w:rFonts w:ascii="Arial" w:hAnsi="Arial" w:cs="Arial"/>
        </w:rPr>
        <w:t xml:space="preserve">2024). In contrast, sequencing has shown environmental reservoirs that contribute to recurring outbreaks in Bangladesh, India, and other countries (Hossain </w:t>
      </w:r>
      <w:r w:rsidRPr="002A0BDB">
        <w:rPr>
          <w:rFonts w:ascii="Arial" w:hAnsi="Arial" w:cs="Arial"/>
          <w:i/>
          <w:iCs/>
        </w:rPr>
        <w:t>et al.</w:t>
      </w:r>
      <w:r w:rsidRPr="002A0BDB">
        <w:rPr>
          <w:rFonts w:ascii="Arial" w:hAnsi="Arial" w:cs="Arial"/>
        </w:rPr>
        <w:t xml:space="preserve"> 2025). </w:t>
      </w:r>
    </w:p>
    <w:p w14:paraId="1D29FE24" w14:textId="77777777" w:rsidR="005C7592" w:rsidRPr="002A0BDB" w:rsidRDefault="005C7592" w:rsidP="005C7592">
      <w:pPr>
        <w:pBdr>
          <w:top w:val="nil"/>
          <w:left w:val="nil"/>
          <w:bottom w:val="nil"/>
          <w:right w:val="nil"/>
          <w:between w:val="nil"/>
        </w:pBdr>
        <w:spacing w:line="360" w:lineRule="auto"/>
        <w:jc w:val="center"/>
        <w:rPr>
          <w:rFonts w:ascii="Arial" w:hAnsi="Arial" w:cs="Arial"/>
          <w:b/>
          <w:bCs/>
        </w:rPr>
      </w:pPr>
      <w:bookmarkStart w:id="20" w:name="_heading=h.fanm3y7nz46t" w:colFirst="0" w:colLast="0"/>
      <w:bookmarkEnd w:id="20"/>
      <w:r w:rsidRPr="002A0BDB">
        <w:rPr>
          <w:rFonts w:ascii="Arial" w:hAnsi="Arial" w:cs="Arial"/>
          <w:noProof/>
          <w:lang w:val="en-IN" w:eastAsia="en-IN"/>
        </w:rPr>
        <w:lastRenderedPageBreak/>
        <w:drawing>
          <wp:inline distT="114300" distB="114300" distL="114300" distR="114300" wp14:anchorId="7CA79213" wp14:editId="439BCC8D">
            <wp:extent cx="5943600" cy="3365500"/>
            <wp:effectExtent l="25400" t="25400" r="25400" b="2540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6F076EE3" w14:textId="77777777" w:rsidR="005C7592" w:rsidRPr="002A0BDB" w:rsidRDefault="005C7592" w:rsidP="005C7592">
      <w:pPr>
        <w:pStyle w:val="Heading4"/>
        <w:rPr>
          <w:rFonts w:ascii="Arial" w:hAnsi="Arial" w:cs="Arial"/>
          <w:i w:val="0"/>
          <w:iCs w:val="0"/>
          <w:color w:val="auto"/>
        </w:rPr>
      </w:pPr>
      <w:bookmarkStart w:id="21" w:name="_heading=h.w7luqf6re78h" w:colFirst="0" w:colLast="0"/>
      <w:bookmarkStart w:id="22" w:name="_Toc220494272"/>
      <w:bookmarkStart w:id="23" w:name="_Toc220498183"/>
      <w:bookmarkEnd w:id="21"/>
      <w:r w:rsidRPr="002A0BDB">
        <w:rPr>
          <w:rFonts w:ascii="Arial" w:hAnsi="Arial" w:cs="Arial"/>
          <w:color w:val="auto"/>
        </w:rPr>
        <w:t xml:space="preserve">Figure 2.2: Phylogenetic analysis of Vibrio </w:t>
      </w:r>
      <w:proofErr w:type="spellStart"/>
      <w:r w:rsidRPr="002A0BDB">
        <w:rPr>
          <w:rFonts w:ascii="Arial" w:hAnsi="Arial" w:cs="Arial"/>
          <w:color w:val="auto"/>
        </w:rPr>
        <w:t>cholerae</w:t>
      </w:r>
      <w:bookmarkEnd w:id="22"/>
      <w:bookmarkEnd w:id="23"/>
      <w:proofErr w:type="spellEnd"/>
    </w:p>
    <w:p w14:paraId="0B35E311" w14:textId="49870659" w:rsidR="005C7592" w:rsidRPr="002A0BDB" w:rsidRDefault="005C7592" w:rsidP="005C7592">
      <w:pPr>
        <w:pBdr>
          <w:top w:val="nil"/>
          <w:left w:val="nil"/>
          <w:bottom w:val="nil"/>
          <w:right w:val="nil"/>
          <w:between w:val="nil"/>
        </w:pBdr>
        <w:spacing w:line="360" w:lineRule="auto"/>
        <w:jc w:val="center"/>
        <w:rPr>
          <w:rFonts w:ascii="Arial" w:hAnsi="Arial" w:cs="Arial"/>
        </w:rPr>
      </w:pPr>
      <w:r w:rsidRPr="002A0BDB">
        <w:rPr>
          <w:rFonts w:ascii="Arial" w:hAnsi="Arial" w:cs="Arial"/>
        </w:rPr>
        <w:t>(</w:t>
      </w:r>
      <w:r w:rsidR="00F01061" w:rsidRPr="002A0BDB">
        <w:rPr>
          <w:rFonts w:ascii="Arial" w:hAnsi="Arial" w:cs="Arial"/>
        </w:rPr>
        <w:t xml:space="preserve">Source: </w:t>
      </w:r>
      <w:proofErr w:type="spellStart"/>
      <w:r w:rsidRPr="002A0BDB">
        <w:rPr>
          <w:rFonts w:ascii="Arial" w:hAnsi="Arial" w:cs="Arial"/>
        </w:rPr>
        <w:t>Vezzulli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w:t>
      </w:r>
    </w:p>
    <w:p w14:paraId="2D54CC88"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29375094"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Furthermore, </w:t>
      </w:r>
      <w:proofErr w:type="spellStart"/>
      <w:r w:rsidRPr="002A0BDB">
        <w:rPr>
          <w:rFonts w:ascii="Arial" w:hAnsi="Arial" w:cs="Arial"/>
        </w:rPr>
        <w:t>Vezzulli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mentioned that the metagenomics sequencing could improve the detection by allowing the identification of </w:t>
      </w:r>
      <w:r w:rsidRPr="002A0BDB">
        <w:rPr>
          <w:rFonts w:ascii="Arial" w:hAnsi="Arial" w:cs="Arial"/>
          <w:i/>
          <w:iCs/>
        </w:rPr>
        <w:t xml:space="preserve">Vibrio cholera </w:t>
      </w:r>
      <w:r w:rsidRPr="002A0BDB">
        <w:rPr>
          <w:rFonts w:ascii="Arial" w:hAnsi="Arial" w:cs="Arial"/>
        </w:rPr>
        <w:t xml:space="preserve">directly from water, sediment and plankton samples without the prior culture. This method detects the genomic composition of entire microbial communities showing the presence of both toxigenic and non-toxigenic strains (see Figure 2.3). As opined by Hassan </w:t>
      </w:r>
      <w:r w:rsidRPr="002A0BDB">
        <w:rPr>
          <w:rFonts w:ascii="Arial" w:hAnsi="Arial" w:cs="Arial"/>
          <w:i/>
          <w:iCs/>
        </w:rPr>
        <w:t xml:space="preserve">et al. </w:t>
      </w:r>
      <w:r w:rsidRPr="002A0BDB">
        <w:rPr>
          <w:rFonts w:ascii="Arial" w:hAnsi="Arial" w:cs="Arial"/>
        </w:rPr>
        <w:t xml:space="preserve">(2025), 2.86 million cholera cases are observed within the countries worldwide and the case fatality rate ranging from 0% to 6.8%.Environmental metagenomics has revealed the roles of zooplankton and phytoplankton as protective reservoirs which facilitate bacterial survival during inter-epidemic periods. The sequencing allows detection of virulence genes such as </w:t>
      </w:r>
      <w:proofErr w:type="spellStart"/>
      <w:r w:rsidRPr="002A0BDB">
        <w:rPr>
          <w:rFonts w:ascii="Arial" w:hAnsi="Arial" w:cs="Arial"/>
        </w:rPr>
        <w:t>ctxAB</w:t>
      </w:r>
      <w:proofErr w:type="spellEnd"/>
      <w:r w:rsidRPr="002A0BDB">
        <w:rPr>
          <w:rFonts w:ascii="Arial" w:hAnsi="Arial" w:cs="Arial"/>
        </w:rPr>
        <w:t xml:space="preserve">, </w:t>
      </w:r>
      <w:proofErr w:type="spellStart"/>
      <w:r w:rsidRPr="002A0BDB">
        <w:rPr>
          <w:rFonts w:ascii="Arial" w:hAnsi="Arial" w:cs="Arial"/>
        </w:rPr>
        <w:t>tcpA</w:t>
      </w:r>
      <w:proofErr w:type="spellEnd"/>
      <w:r w:rsidRPr="002A0BDB">
        <w:rPr>
          <w:rFonts w:ascii="Arial" w:hAnsi="Arial" w:cs="Arial"/>
        </w:rPr>
        <w:t xml:space="preserve"> and </w:t>
      </w:r>
      <w:proofErr w:type="spellStart"/>
      <w:r w:rsidRPr="002A0BDB">
        <w:rPr>
          <w:rFonts w:ascii="Arial" w:hAnsi="Arial" w:cs="Arial"/>
        </w:rPr>
        <w:t>rtx</w:t>
      </w:r>
      <w:proofErr w:type="spellEnd"/>
      <w:r w:rsidRPr="002A0BDB">
        <w:rPr>
          <w:rFonts w:ascii="Arial" w:hAnsi="Arial" w:cs="Arial"/>
        </w:rPr>
        <w:t xml:space="preserve"> (see Figure 2.3) that contribute to pathogenicity by emerging through horizontal gene transfer in an environmental context (Pal </w:t>
      </w:r>
      <w:r w:rsidRPr="002A0BDB">
        <w:rPr>
          <w:rFonts w:ascii="Arial" w:hAnsi="Arial" w:cs="Arial"/>
          <w:i/>
          <w:iCs/>
        </w:rPr>
        <w:t>et al.</w:t>
      </w:r>
      <w:r w:rsidRPr="002A0BDB">
        <w:rPr>
          <w:rFonts w:ascii="Arial" w:hAnsi="Arial" w:cs="Arial"/>
        </w:rPr>
        <w:t xml:space="preserve"> 2023).</w:t>
      </w:r>
    </w:p>
    <w:p w14:paraId="4A1B0911" w14:textId="77777777" w:rsidR="005C7592" w:rsidRPr="002A0BDB" w:rsidRDefault="005C7592" w:rsidP="005C7592">
      <w:pPr>
        <w:spacing w:line="360" w:lineRule="auto"/>
        <w:jc w:val="both"/>
        <w:rPr>
          <w:rFonts w:ascii="Arial" w:hAnsi="Arial" w:cs="Arial"/>
        </w:rPr>
      </w:pPr>
    </w:p>
    <w:p w14:paraId="0A37C013" w14:textId="77777777" w:rsidR="005C7592" w:rsidRPr="002A0BDB" w:rsidRDefault="005C7592" w:rsidP="00CB67F7">
      <w:pPr>
        <w:pStyle w:val="Heading3"/>
      </w:pPr>
      <w:bookmarkStart w:id="24" w:name="_Toc220494129"/>
      <w:r w:rsidRPr="002A0BDB">
        <w:t>2.2.2. AMR mechanism</w:t>
      </w:r>
      <w:bookmarkEnd w:id="24"/>
    </w:p>
    <w:p w14:paraId="17D045CA"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2C12024B"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The genomic tools support the understanding of antimicrobial resistance (AMR) in cholera. WGS has identified the spread of resistant genes including encoding tetracycline, macrolide and </w:t>
      </w:r>
      <w:proofErr w:type="spellStart"/>
      <w:r w:rsidRPr="002A0BDB">
        <w:rPr>
          <w:rFonts w:ascii="Arial" w:hAnsi="Arial" w:cs="Arial"/>
        </w:rPr>
        <w:t>fluoroquinolone</w:t>
      </w:r>
      <w:proofErr w:type="spellEnd"/>
      <w:r w:rsidRPr="002A0BDB">
        <w:rPr>
          <w:rFonts w:ascii="Arial" w:hAnsi="Arial" w:cs="Arial"/>
        </w:rPr>
        <w:t xml:space="preserve"> resistance often carried on mobile genetic elements (</w:t>
      </w:r>
      <w:proofErr w:type="spellStart"/>
      <w:r w:rsidRPr="002A0BDB">
        <w:rPr>
          <w:rFonts w:ascii="Arial" w:hAnsi="Arial" w:cs="Arial"/>
        </w:rPr>
        <w:t>Yaqub</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2024). The environmental reservoirs have been reflected to harbour AMR determinants which might further appear in clinical isolation resulting in the need for integrated genomic surveillance connecting environmental and clinical data.</w:t>
      </w:r>
    </w:p>
    <w:p w14:paraId="49EEBBA8"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66A1EFA6" w14:textId="77777777" w:rsidR="005C7592" w:rsidRPr="002A0BDB" w:rsidRDefault="005C7592" w:rsidP="005C7592">
      <w:pPr>
        <w:pBdr>
          <w:top w:val="nil"/>
          <w:left w:val="nil"/>
          <w:bottom w:val="nil"/>
          <w:right w:val="nil"/>
          <w:between w:val="nil"/>
        </w:pBdr>
        <w:spacing w:line="360" w:lineRule="auto"/>
        <w:jc w:val="center"/>
        <w:rPr>
          <w:rFonts w:ascii="Arial" w:hAnsi="Arial" w:cs="Arial"/>
        </w:rPr>
      </w:pPr>
      <w:r w:rsidRPr="002A0BDB">
        <w:rPr>
          <w:rFonts w:ascii="Arial" w:hAnsi="Arial" w:cs="Arial"/>
          <w:noProof/>
          <w:lang w:val="en-IN" w:eastAsia="en-IN"/>
        </w:rPr>
        <w:drawing>
          <wp:inline distT="114300" distB="114300" distL="114300" distR="114300" wp14:anchorId="4B031B8F" wp14:editId="51450AB9">
            <wp:extent cx="5238750" cy="3429000"/>
            <wp:effectExtent l="25400" t="25400" r="25400" b="254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238750" cy="3429000"/>
                    </a:xfrm>
                    <a:prstGeom prst="rect">
                      <a:avLst/>
                    </a:prstGeom>
                    <a:ln w="25400">
                      <a:solidFill>
                        <a:srgbClr val="000000"/>
                      </a:solidFill>
                      <a:prstDash val="solid"/>
                    </a:ln>
                  </pic:spPr>
                </pic:pic>
              </a:graphicData>
            </a:graphic>
          </wp:inline>
        </w:drawing>
      </w:r>
    </w:p>
    <w:p w14:paraId="6D73A86A" w14:textId="77777777" w:rsidR="005C7592" w:rsidRPr="002A0BDB" w:rsidRDefault="005C7592" w:rsidP="005C7592">
      <w:pPr>
        <w:pStyle w:val="Heading4"/>
        <w:rPr>
          <w:rFonts w:ascii="Arial" w:hAnsi="Arial" w:cs="Arial"/>
          <w:color w:val="auto"/>
        </w:rPr>
      </w:pPr>
      <w:bookmarkStart w:id="25" w:name="_heading=h.qkk8mefr7mhu" w:colFirst="0" w:colLast="0"/>
      <w:bookmarkStart w:id="26" w:name="_Toc220494273"/>
      <w:bookmarkStart w:id="27" w:name="_Toc220498184"/>
      <w:bookmarkEnd w:id="25"/>
      <w:r w:rsidRPr="002A0BDB">
        <w:rPr>
          <w:rFonts w:ascii="Arial" w:hAnsi="Arial" w:cs="Arial"/>
          <w:color w:val="auto"/>
        </w:rPr>
        <w:t>Figure 2.3: AMR mechanism</w:t>
      </w:r>
      <w:bookmarkEnd w:id="26"/>
      <w:bookmarkEnd w:id="27"/>
    </w:p>
    <w:p w14:paraId="0910E70B" w14:textId="6BD36037" w:rsidR="005C7592" w:rsidRPr="002A0BDB" w:rsidRDefault="005C7592" w:rsidP="005C7592">
      <w:pPr>
        <w:pBdr>
          <w:top w:val="nil"/>
          <w:left w:val="nil"/>
          <w:bottom w:val="nil"/>
          <w:right w:val="nil"/>
          <w:between w:val="nil"/>
        </w:pBdr>
        <w:spacing w:line="360" w:lineRule="auto"/>
        <w:jc w:val="center"/>
        <w:rPr>
          <w:rFonts w:ascii="Arial" w:hAnsi="Arial" w:cs="Arial"/>
        </w:rPr>
      </w:pPr>
      <w:r w:rsidRPr="002A0BDB">
        <w:rPr>
          <w:rFonts w:ascii="Arial" w:hAnsi="Arial" w:cs="Arial"/>
        </w:rPr>
        <w:t>(</w:t>
      </w:r>
      <w:r w:rsidR="009102D2" w:rsidRPr="002A0BDB">
        <w:rPr>
          <w:rFonts w:ascii="Arial" w:hAnsi="Arial" w:cs="Arial"/>
        </w:rPr>
        <w:t xml:space="preserve">Source: </w:t>
      </w:r>
      <w:proofErr w:type="spellStart"/>
      <w:r w:rsidRPr="002A0BDB">
        <w:rPr>
          <w:rFonts w:ascii="Arial" w:hAnsi="Arial" w:cs="Arial"/>
        </w:rPr>
        <w:t>Yaqub</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w:t>
      </w:r>
    </w:p>
    <w:p w14:paraId="687C4046"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01BAAEE0"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Thus, the genomic sequencing could provide comprehensive insights into environmental persistence, lineage evolution, AMR patterns and ecological diversity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These outcomes significantly enhance the public health interventions by enabling early detection, target WASH strategies, environmental monitoring and prediction of higher risk periods for outbreak emergence.</w:t>
      </w:r>
    </w:p>
    <w:p w14:paraId="71D37AFF"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59228E9C"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Hence, the genomic sequencing is able to precisely track </w:t>
      </w:r>
      <w:r w:rsidRPr="002A0BDB">
        <w:rPr>
          <w:rFonts w:ascii="Arial" w:hAnsi="Arial" w:cs="Arial"/>
          <w:i/>
          <w:iCs/>
        </w:rPr>
        <w:t xml:space="preserve">Vibrio cholera </w:t>
      </w:r>
      <w:r w:rsidRPr="002A0BDB">
        <w:rPr>
          <w:rFonts w:ascii="Arial" w:hAnsi="Arial" w:cs="Arial"/>
        </w:rPr>
        <w:t>evolution. Environmental persistence and indirect transmission. WGS connects environmental and clinical strains showing global lineage movement. Thai helps to detect virulence and SMR genes by supporting metagenomics identification to enhance strengths of early detection, environmental monitoring and targeted public health interventions.</w:t>
      </w:r>
    </w:p>
    <w:p w14:paraId="1DC5DEE6" w14:textId="77777777" w:rsidR="005C7592" w:rsidRPr="002A0BDB" w:rsidRDefault="005C7592" w:rsidP="00CB67F7">
      <w:pPr>
        <w:pStyle w:val="Heading3"/>
      </w:pPr>
      <w:bookmarkStart w:id="28" w:name="_heading=h.6poair9a3yy1" w:colFirst="0" w:colLast="0"/>
      <w:bookmarkStart w:id="29" w:name="_Toc220494130"/>
      <w:bookmarkEnd w:id="28"/>
      <w:r w:rsidRPr="002A0BDB">
        <w:t xml:space="preserve">2.2.3 Phylogenetic analysis in detecting and characterising Vibrio </w:t>
      </w:r>
      <w:proofErr w:type="spellStart"/>
      <w:r w:rsidRPr="002A0BDB">
        <w:t>Cholerae</w:t>
      </w:r>
      <w:bookmarkEnd w:id="29"/>
      <w:proofErr w:type="spellEnd"/>
    </w:p>
    <w:p w14:paraId="4B04EA6E" w14:textId="77777777" w:rsidR="005C7592" w:rsidRPr="002A0BDB" w:rsidRDefault="005C7592" w:rsidP="005C7592">
      <w:pPr>
        <w:spacing w:line="360" w:lineRule="auto"/>
        <w:jc w:val="both"/>
        <w:rPr>
          <w:rFonts w:ascii="Arial" w:hAnsi="Arial" w:cs="Arial"/>
        </w:rPr>
      </w:pPr>
    </w:p>
    <w:p w14:paraId="16A265BD" w14:textId="77777777" w:rsidR="005C7592" w:rsidRPr="002A0BDB" w:rsidRDefault="005C7592" w:rsidP="005C7592">
      <w:pPr>
        <w:spacing w:line="360" w:lineRule="auto"/>
        <w:jc w:val="both"/>
        <w:rPr>
          <w:rFonts w:ascii="Arial" w:hAnsi="Arial" w:cs="Arial"/>
          <w:b/>
          <w:bCs/>
        </w:rPr>
      </w:pPr>
      <w:r w:rsidRPr="002A0BDB">
        <w:rPr>
          <w:rFonts w:ascii="Arial" w:hAnsi="Arial" w:cs="Arial"/>
          <w:b/>
          <w:bCs/>
        </w:rPr>
        <w:t>Informing public health Surveillance</w:t>
      </w:r>
    </w:p>
    <w:p w14:paraId="6F25CD16" w14:textId="77777777" w:rsidR="005C7592" w:rsidRPr="002A0BDB" w:rsidRDefault="005C7592" w:rsidP="005C7592">
      <w:pPr>
        <w:spacing w:line="360" w:lineRule="auto"/>
        <w:jc w:val="both"/>
        <w:rPr>
          <w:rFonts w:ascii="Arial" w:hAnsi="Arial" w:cs="Arial"/>
          <w:b/>
          <w:bCs/>
        </w:rPr>
      </w:pPr>
    </w:p>
    <w:p w14:paraId="1839C57F"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The public health surveillance program is critical for determining the key characteristics of </w:t>
      </w:r>
      <w:r w:rsidRPr="002A0BDB">
        <w:rPr>
          <w:rFonts w:ascii="Arial" w:hAnsi="Arial" w:cs="Arial"/>
          <w:b/>
          <w:bCs/>
          <w:i/>
          <w:iCs/>
        </w:rPr>
        <w:t xml:space="preserve">Vibrio Cholera </w:t>
      </w:r>
      <w:r w:rsidRPr="002A0BDB">
        <w:rPr>
          <w:rFonts w:ascii="Arial" w:hAnsi="Arial" w:cs="Arial"/>
        </w:rPr>
        <w:t xml:space="preserve">and exploring its phylogenetic nature of occurrence. Determining the whole genome sequence of 66 V. </w:t>
      </w:r>
      <w:proofErr w:type="spellStart"/>
      <w:r w:rsidRPr="002A0BDB">
        <w:rPr>
          <w:rFonts w:ascii="Arial" w:hAnsi="Arial" w:cs="Arial"/>
        </w:rPr>
        <w:t>cholerae</w:t>
      </w:r>
      <w:proofErr w:type="spellEnd"/>
      <w:r w:rsidRPr="002A0BDB">
        <w:rPr>
          <w:rFonts w:ascii="Arial" w:hAnsi="Arial" w:cs="Arial"/>
        </w:rPr>
        <w:t xml:space="preserve"> strains through intervention of factors in the public health intervention must be developed through generation sequencing technology (</w:t>
      </w:r>
      <w:proofErr w:type="spellStart"/>
      <w:r w:rsidRPr="002A0BDB">
        <w:rPr>
          <w:rFonts w:ascii="Arial" w:hAnsi="Arial" w:cs="Arial"/>
        </w:rPr>
        <w:t>Ke</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2022).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consists of more than 200 </w:t>
      </w:r>
      <w:proofErr w:type="spellStart"/>
      <w:r w:rsidRPr="002A0BDB">
        <w:rPr>
          <w:rFonts w:ascii="Arial" w:hAnsi="Arial" w:cs="Arial"/>
        </w:rPr>
        <w:t>serogroups</w:t>
      </w:r>
      <w:proofErr w:type="spellEnd"/>
      <w:r w:rsidRPr="002A0BDB">
        <w:rPr>
          <w:rFonts w:ascii="Arial" w:hAnsi="Arial" w:cs="Arial"/>
        </w:rPr>
        <w:t xml:space="preserve"> that help to determine the molecular mechanisms and phylogenetic nature in the disease occurrence (Montero </w:t>
      </w:r>
      <w:r w:rsidRPr="002A0BDB">
        <w:rPr>
          <w:rFonts w:ascii="Arial" w:hAnsi="Arial" w:cs="Arial"/>
          <w:i/>
          <w:iCs/>
        </w:rPr>
        <w:t>et al.</w:t>
      </w:r>
      <w:r w:rsidRPr="002A0BDB">
        <w:rPr>
          <w:rFonts w:ascii="Arial" w:hAnsi="Arial" w:cs="Arial"/>
        </w:rPr>
        <w:t xml:space="preserve"> 2023).  Phylogenetic analysis can be possible through the information of public health surveillance in the characterisation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i/>
          <w:iCs/>
        </w:rPr>
        <w:t>.</w:t>
      </w:r>
      <w:r w:rsidRPr="002A0BDB">
        <w:rPr>
          <w:rFonts w:ascii="Arial" w:hAnsi="Arial" w:cs="Arial"/>
        </w:rPr>
        <w:t xml:space="preserve">  Moreover, the genome-based phylogenetic data provides insights to the transmission and clustering of the outbreak for removing the risk of local </w:t>
      </w:r>
      <w:proofErr w:type="spellStart"/>
      <w:r w:rsidRPr="002A0BDB">
        <w:rPr>
          <w:rFonts w:ascii="Arial" w:hAnsi="Arial" w:cs="Arial"/>
        </w:rPr>
        <w:t>endemicity</w:t>
      </w:r>
      <w:proofErr w:type="spellEnd"/>
      <w:r w:rsidRPr="002A0BDB">
        <w:rPr>
          <w:rFonts w:ascii="Arial" w:hAnsi="Arial" w:cs="Arial"/>
        </w:rPr>
        <w:t xml:space="preserve"> (</w:t>
      </w:r>
      <w:proofErr w:type="spellStart"/>
      <w:r w:rsidRPr="002A0BDB">
        <w:rPr>
          <w:rFonts w:ascii="Arial" w:hAnsi="Arial" w:cs="Arial"/>
        </w:rPr>
        <w:t>Duault</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2022). Phylogenetic data also helps to reduce the outbreaks by importing cases in a clustered pathogenesis for recognition of transmission rate within the groups.</w:t>
      </w:r>
    </w:p>
    <w:p w14:paraId="7B5A6064" w14:textId="77777777" w:rsidR="005C7592" w:rsidRPr="002A0BDB" w:rsidRDefault="005C7592" w:rsidP="005C7592">
      <w:pPr>
        <w:spacing w:line="360" w:lineRule="auto"/>
        <w:jc w:val="both"/>
        <w:rPr>
          <w:rFonts w:ascii="Arial" w:hAnsi="Arial" w:cs="Arial"/>
          <w:b/>
          <w:bCs/>
        </w:rPr>
      </w:pPr>
      <w:r w:rsidRPr="002A0BDB">
        <w:rPr>
          <w:rFonts w:ascii="Arial" w:hAnsi="Arial" w:cs="Arial"/>
          <w:b/>
          <w:bCs/>
        </w:rPr>
        <w:t>Guiding prevention and control</w:t>
      </w:r>
    </w:p>
    <w:p w14:paraId="5530D290"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Guiding prevention and control can be achieved by the phylogenetic analysis and detecting characteristics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in the infected body. However, </w:t>
      </w:r>
      <w:proofErr w:type="spellStart"/>
      <w:r w:rsidRPr="002A0BDB">
        <w:rPr>
          <w:rFonts w:ascii="Arial" w:hAnsi="Arial" w:cs="Arial"/>
        </w:rPr>
        <w:t>cholerae</w:t>
      </w:r>
      <w:proofErr w:type="spellEnd"/>
      <w:r w:rsidRPr="002A0BDB">
        <w:rPr>
          <w:rFonts w:ascii="Arial" w:hAnsi="Arial" w:cs="Arial"/>
        </w:rPr>
        <w:t xml:space="preserve"> infection and offer recommendations for the avoidance and management of associated diseases (Devi </w:t>
      </w:r>
      <w:r w:rsidRPr="002A0BDB">
        <w:rPr>
          <w:rFonts w:ascii="Arial" w:hAnsi="Arial" w:cs="Arial"/>
          <w:i/>
          <w:iCs/>
        </w:rPr>
        <w:t>et al.</w:t>
      </w:r>
      <w:r w:rsidRPr="002A0BDB">
        <w:rPr>
          <w:rFonts w:ascii="Arial" w:hAnsi="Arial" w:cs="Arial"/>
        </w:rPr>
        <w:t xml:space="preserve"> 2021). Guiding prevention and control through phylogenetic analysis can help to create awareness about the disease contamination and enteric-borne pathogen nature.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the main causative agent of cholera, is highly contagious and proper recognition through guiding prevention is critical in managing severity (Montero </w:t>
      </w:r>
      <w:r w:rsidRPr="002A0BDB">
        <w:rPr>
          <w:rFonts w:ascii="Arial" w:hAnsi="Arial" w:cs="Arial"/>
          <w:i/>
          <w:iCs/>
        </w:rPr>
        <w:t>et al.</w:t>
      </w:r>
      <w:r w:rsidRPr="002A0BDB">
        <w:rPr>
          <w:rFonts w:ascii="Arial" w:hAnsi="Arial" w:cs="Arial"/>
        </w:rPr>
        <w:t xml:space="preserve"> 2023). In poor economic countries cholera is the major health issue due to lack of sanitation and hygiene in the food and water transport facility (Montero</w:t>
      </w:r>
      <w:r w:rsidRPr="002A0BDB">
        <w:rPr>
          <w:rFonts w:ascii="Arial" w:hAnsi="Arial" w:cs="Arial"/>
          <w:i/>
          <w:iCs/>
        </w:rPr>
        <w:t xml:space="preserve"> et al. </w:t>
      </w:r>
      <w:r w:rsidRPr="002A0BDB">
        <w:rPr>
          <w:rFonts w:ascii="Arial" w:hAnsi="Arial" w:cs="Arial"/>
        </w:rPr>
        <w:t>2023). Knowledge of lineage emergence spread of the genetic traits such as antibiotic resistance can help to develop strategic responses in the cholera intervention (</w:t>
      </w:r>
      <w:proofErr w:type="spellStart"/>
      <w:r w:rsidRPr="002A0BDB">
        <w:rPr>
          <w:rFonts w:ascii="Arial" w:hAnsi="Arial" w:cs="Arial"/>
        </w:rPr>
        <w:t>Debasish</w:t>
      </w:r>
      <w:proofErr w:type="spellEnd"/>
      <w:r w:rsidRPr="002A0BDB">
        <w:rPr>
          <w:rFonts w:ascii="Arial" w:hAnsi="Arial" w:cs="Arial"/>
        </w:rPr>
        <w:t xml:space="preserve"> </w:t>
      </w:r>
      <w:proofErr w:type="spellStart"/>
      <w:r w:rsidRPr="002A0BDB">
        <w:rPr>
          <w:rFonts w:ascii="Arial" w:hAnsi="Arial" w:cs="Arial"/>
        </w:rPr>
        <w:lastRenderedPageBreak/>
        <w:t>Samal</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The phylogenetic analysis has taken a dominant position of detecting and determining the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in the environmental reservoirs and indirect transmission routes. Recent reports are the manner through which the human cases and path and direction of spread can be linked to environmental isolates through sequencing of environmental isolates. Ismail </w:t>
      </w:r>
      <w:r w:rsidRPr="002A0BDB">
        <w:rPr>
          <w:rFonts w:ascii="Arial" w:hAnsi="Arial" w:cs="Arial"/>
          <w:i/>
          <w:iCs/>
        </w:rPr>
        <w:t xml:space="preserve">et al. </w:t>
      </w:r>
      <w:r w:rsidRPr="002A0BDB">
        <w:rPr>
          <w:rFonts w:ascii="Arial" w:hAnsi="Arial" w:cs="Arial"/>
        </w:rPr>
        <w:t xml:space="preserve">(2021) demonstrated that it was possible to map the interpersonal, animal-to-animal, and water-to-human transmission of the endemics by applying molecular </w:t>
      </w:r>
      <w:proofErr w:type="spellStart"/>
      <w:r w:rsidRPr="002A0BDB">
        <w:rPr>
          <w:rFonts w:ascii="Arial" w:hAnsi="Arial" w:cs="Arial"/>
        </w:rPr>
        <w:t>ecoepidemiology</w:t>
      </w:r>
      <w:proofErr w:type="spellEnd"/>
      <w:r w:rsidRPr="002A0BDB">
        <w:rPr>
          <w:rFonts w:ascii="Arial" w:hAnsi="Arial" w:cs="Arial"/>
        </w:rPr>
        <w:t xml:space="preserve">. Whole-genome approaches allow the correct clustering of isolates and can show patterns of transmission that classical typing is incapable of. This has been made possible by the genomic studies, which have differentiated environmental and clinical strains that have given rise to reservoirs that are utilized in preserving inter-outbreak transmission (Pérez-Duque </w:t>
      </w:r>
      <w:r w:rsidRPr="002A0BDB">
        <w:rPr>
          <w:rFonts w:ascii="Arial" w:hAnsi="Arial" w:cs="Arial"/>
          <w:i/>
          <w:iCs/>
        </w:rPr>
        <w:t xml:space="preserve">et al. </w:t>
      </w:r>
      <w:r w:rsidRPr="002A0BDB">
        <w:rPr>
          <w:rFonts w:ascii="Arial" w:hAnsi="Arial" w:cs="Arial"/>
        </w:rPr>
        <w:t>2021).  The pan-genomic research presents the availability of the accessory genes and factors of transport that enable the survival and indirect transmission within the environment.</w:t>
      </w:r>
    </w:p>
    <w:p w14:paraId="4D0AD06E" w14:textId="77777777" w:rsidR="005C7592" w:rsidRPr="002A0BDB" w:rsidRDefault="005C7592" w:rsidP="005C7592">
      <w:pPr>
        <w:spacing w:line="360" w:lineRule="auto"/>
        <w:jc w:val="both"/>
        <w:rPr>
          <w:rFonts w:ascii="Arial" w:hAnsi="Arial" w:cs="Arial"/>
        </w:rPr>
      </w:pPr>
      <w:proofErr w:type="spellStart"/>
      <w:r w:rsidRPr="002A0BDB">
        <w:rPr>
          <w:rFonts w:ascii="Arial" w:hAnsi="Arial" w:cs="Arial"/>
        </w:rPr>
        <w:t>Mevada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(2023) have outlined the sporadic clinical strains by using the methods of whole-genome and pan-genome analysis and placed them in perspective with the environmental genomes.  The non-O1/non-O139 lineages in the aquatic animals and fish were identified through environmental sequencing. It identified the non-adaptive genomic features of survival despite human beings. Qin </w:t>
      </w:r>
      <w:r w:rsidRPr="002A0BDB">
        <w:rPr>
          <w:rFonts w:ascii="Arial" w:hAnsi="Arial" w:cs="Arial"/>
          <w:i/>
          <w:iCs/>
        </w:rPr>
        <w:t xml:space="preserve">et al. </w:t>
      </w:r>
      <w:r w:rsidRPr="002A0BDB">
        <w:rPr>
          <w:rFonts w:ascii="Arial" w:hAnsi="Arial" w:cs="Arial"/>
        </w:rPr>
        <w:t>(2024) mention that the genome characteristics of non-O1/non-O139 isolates of freshwater fish, the environment was flexible and transferred to others indirectly, which is hazardous. The synthesized evidence that the environmental drivers and the genomic diversity influence the risk of an outbreak and the movement of pathogens has been collectively found. The integration of the surveillance along with the molecular data would be emphasized, and the environmental stimuli and dynamics of the transmission would be emphasized (</w:t>
      </w:r>
      <w:proofErr w:type="spellStart"/>
      <w:r w:rsidRPr="002A0BDB">
        <w:rPr>
          <w:rFonts w:ascii="Arial" w:hAnsi="Arial" w:cs="Arial"/>
        </w:rPr>
        <w:t>Usmani</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 xml:space="preserve">2021). Environmental persistence </w:t>
      </w:r>
      <w:proofErr w:type="spellStart"/>
      <w:r w:rsidRPr="002A0BDB">
        <w:rPr>
          <w:rFonts w:ascii="Arial" w:hAnsi="Arial" w:cs="Arial"/>
        </w:rPr>
        <w:t>microevolutionary</w:t>
      </w:r>
      <w:proofErr w:type="spellEnd"/>
      <w:r w:rsidRPr="002A0BDB">
        <w:rPr>
          <w:rFonts w:ascii="Arial" w:hAnsi="Arial" w:cs="Arial"/>
        </w:rPr>
        <w:t xml:space="preserve"> changes are shown in single-nucleotide polymorphic phylogenetic trees (</w:t>
      </w:r>
      <w:proofErr w:type="spellStart"/>
      <w:r w:rsidRPr="002A0BDB">
        <w:rPr>
          <w:rFonts w:ascii="Arial" w:hAnsi="Arial" w:cs="Arial"/>
        </w:rPr>
        <w:t>Zhong</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Such trees can distinguish the populations in the local settings and clones of epidemics that were imported. SNP phylogenies give more examples of recombination and horizontal gene transfer that make the task of establishing the lineage more complex. The high-resolution </w:t>
      </w:r>
      <w:proofErr w:type="spellStart"/>
      <w:r w:rsidRPr="002A0BDB">
        <w:rPr>
          <w:rFonts w:ascii="Arial" w:hAnsi="Arial" w:cs="Arial"/>
        </w:rPr>
        <w:t>phylogenomic</w:t>
      </w:r>
      <w:proofErr w:type="spellEnd"/>
      <w:r w:rsidRPr="002A0BDB">
        <w:rPr>
          <w:rFonts w:ascii="Arial" w:hAnsi="Arial" w:cs="Arial"/>
        </w:rPr>
        <w:t xml:space="preserve"> can thus have the luxury of sampling the environment where there are high probabilities of inoculation of human infections.</w:t>
      </w:r>
    </w:p>
    <w:p w14:paraId="32EAD7F0"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The addition of hydrological and ecological metadata in the form of genomics data complements inferences concerning the indirect transmission routes. The relationship between </w:t>
      </w:r>
      <w:proofErr w:type="spellStart"/>
      <w:r w:rsidRPr="002A0BDB">
        <w:rPr>
          <w:rFonts w:ascii="Arial" w:hAnsi="Arial" w:cs="Arial"/>
        </w:rPr>
        <w:t>waterbird</w:t>
      </w:r>
      <w:proofErr w:type="spellEnd"/>
      <w:r w:rsidRPr="002A0BDB">
        <w:rPr>
          <w:rFonts w:ascii="Arial" w:hAnsi="Arial" w:cs="Arial"/>
        </w:rPr>
        <w:t xml:space="preserve"> movement and seafood contamination and seasonal bloom was examined using combined datasets to provide a connection between these two aspects as a connecting environmental niche. The particular pathogenicity islands are the predictors of the environmental strains that are </w:t>
      </w:r>
      <w:r w:rsidRPr="002A0BDB">
        <w:rPr>
          <w:rFonts w:ascii="Arial" w:hAnsi="Arial" w:cs="Arial"/>
        </w:rPr>
        <w:lastRenderedPageBreak/>
        <w:t xml:space="preserve">harmful to human health, the genomic epidemiology implies (Watanabe </w:t>
      </w:r>
      <w:r w:rsidRPr="002A0BDB">
        <w:rPr>
          <w:rFonts w:ascii="Arial" w:hAnsi="Arial" w:cs="Arial"/>
          <w:i/>
          <w:iCs/>
        </w:rPr>
        <w:t>et al.</w:t>
      </w:r>
      <w:r w:rsidRPr="002A0BDB">
        <w:rPr>
          <w:rFonts w:ascii="Arial" w:hAnsi="Arial" w:cs="Arial"/>
        </w:rPr>
        <w:t xml:space="preserve"> 2025). Monitoring of these traces in reservoirs can be performed to make it easy to designate the process of specific interventions, including monitoring and treatment of water and shellfish. Narrowing down attribution of outbreak sources and warranting risk-oriented response to public health is also achieved by phylogenetic surveillance. This combination of articles points towards the promotion of the early detection and management of indirect transmission by routine environmental genomics. The processes of prevention of cholera at the international level will be reinforced through the additional environmental sequencing, open-data sharing, and usage of standard phylogenetic pipelines.</w:t>
      </w:r>
    </w:p>
    <w:p w14:paraId="766AF311"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Driving strategic response to the strong surveillance can help to create an effective antibiotic resistance within the body for protecting cells from the pathogens attack and mutation within the gut. Thus, guiding prevention and control mechanisms can help to control the disease intention rate in the community groups. The phylogenetic analysis of Vibrio </w:t>
      </w:r>
      <w:proofErr w:type="spellStart"/>
      <w:r w:rsidRPr="002A0BDB">
        <w:rPr>
          <w:rFonts w:ascii="Arial" w:hAnsi="Arial" w:cs="Arial"/>
        </w:rPr>
        <w:t>Cholerae</w:t>
      </w:r>
      <w:proofErr w:type="spellEnd"/>
      <w:r w:rsidRPr="002A0BDB">
        <w:rPr>
          <w:rFonts w:ascii="Arial" w:hAnsi="Arial" w:cs="Arial"/>
        </w:rPr>
        <w:t xml:space="preserve"> is critical for determining its transmission capacity in the water borne body and creating awareness for hygiene and sanitation.</w:t>
      </w:r>
    </w:p>
    <w:p w14:paraId="7FFBCE0E" w14:textId="77777777" w:rsidR="005C7592" w:rsidRPr="002A0BDB" w:rsidRDefault="005C7592" w:rsidP="00CB67F7">
      <w:pPr>
        <w:pStyle w:val="Heading3"/>
      </w:pPr>
      <w:bookmarkStart w:id="30" w:name="_heading=h.xp631kwqcsyn" w:colFirst="0" w:colLast="0"/>
      <w:bookmarkStart w:id="31" w:name="_Toc220494131"/>
      <w:bookmarkEnd w:id="30"/>
      <w:r w:rsidRPr="002A0BDB">
        <w:t>2.2.4 Molecular and environmental factors influencing indirect transmission of cholera</w:t>
      </w:r>
      <w:bookmarkEnd w:id="31"/>
    </w:p>
    <w:p w14:paraId="7A1CEB17" w14:textId="77777777" w:rsidR="005C7592" w:rsidRPr="002A0BDB" w:rsidRDefault="005C7592" w:rsidP="005C7592">
      <w:pPr>
        <w:spacing w:line="360" w:lineRule="auto"/>
        <w:jc w:val="both"/>
        <w:rPr>
          <w:rFonts w:ascii="Arial" w:hAnsi="Arial" w:cs="Arial"/>
        </w:rPr>
      </w:pPr>
    </w:p>
    <w:p w14:paraId="4273C2DF" w14:textId="77777777" w:rsidR="005C7592" w:rsidRPr="002A0BDB" w:rsidRDefault="005C7592" w:rsidP="005C7592">
      <w:pPr>
        <w:spacing w:line="360" w:lineRule="auto"/>
        <w:jc w:val="both"/>
        <w:rPr>
          <w:rFonts w:ascii="Arial" w:hAnsi="Arial" w:cs="Arial"/>
          <w:b/>
          <w:bCs/>
          <w:i/>
          <w:iCs/>
        </w:rPr>
      </w:pPr>
      <w:r w:rsidRPr="002A0BDB">
        <w:rPr>
          <w:rFonts w:ascii="Arial" w:hAnsi="Arial" w:cs="Arial"/>
          <w:b/>
          <w:bCs/>
          <w:i/>
          <w:iCs/>
        </w:rPr>
        <w:t>Outbreak sources and a public health priority</w:t>
      </w:r>
    </w:p>
    <w:p w14:paraId="6E07C60B" w14:textId="77777777" w:rsidR="005C7592" w:rsidRPr="002A0BDB" w:rsidRDefault="005C7592" w:rsidP="005C7592">
      <w:pPr>
        <w:spacing w:line="360" w:lineRule="auto"/>
        <w:jc w:val="both"/>
        <w:rPr>
          <w:rFonts w:ascii="Arial" w:hAnsi="Arial" w:cs="Arial"/>
          <w:b/>
          <w:bCs/>
          <w:i/>
          <w:iCs/>
        </w:rPr>
      </w:pPr>
    </w:p>
    <w:p w14:paraId="3B457674"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The indirect transmission of </w:t>
      </w:r>
      <w:r w:rsidRPr="002A0BDB">
        <w:rPr>
          <w:rFonts w:ascii="Arial" w:hAnsi="Arial" w:cs="Arial"/>
          <w:i/>
          <w:iCs/>
        </w:rPr>
        <w:t xml:space="preserve">Vibrio cholera </w:t>
      </w:r>
      <w:r w:rsidRPr="002A0BDB">
        <w:rPr>
          <w:rFonts w:ascii="Arial" w:hAnsi="Arial" w:cs="Arial"/>
        </w:rPr>
        <w:t>shows a major public health priority due to the persistent role of environmental reservoirs such as rivers, brackish water and aquatic biofilms. These reservoirs enable the bacterium to survive between epidemics and re-emerge when ecological conditions become favourable. Pathogens need reservoirs to survive for extended periods of time. These reservoirs can be either living things or inanimate objects, however non-living reservoirs might include soil and water in the environment (</w:t>
      </w:r>
      <w:proofErr w:type="spellStart"/>
      <w:r w:rsidRPr="002A0BDB">
        <w:rPr>
          <w:rFonts w:ascii="Arial" w:hAnsi="Arial" w:cs="Arial"/>
        </w:rPr>
        <w:t>Meradji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2025). Water contamination is the main source of the spread of the infection among various countries (</w:t>
      </w:r>
      <w:proofErr w:type="spellStart"/>
      <w:r w:rsidRPr="002A0BDB">
        <w:rPr>
          <w:rFonts w:ascii="Arial" w:hAnsi="Arial" w:cs="Arial"/>
        </w:rPr>
        <w:t>Asantewaa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Poor water, sanitisation and hygiene (WASH) infrastructure reflect contamination by allowing faecal matter to enter drinking-water networks and surface-water systems. Environmental epidemiology employed the use of molecular instruments to monitor the disease between water, animals, and humans (Ismail </w:t>
      </w:r>
      <w:r w:rsidRPr="002A0BDB">
        <w:rPr>
          <w:rFonts w:ascii="Arial" w:hAnsi="Arial" w:cs="Arial"/>
          <w:i/>
          <w:iCs/>
        </w:rPr>
        <w:t>et al.</w:t>
      </w:r>
      <w:r w:rsidRPr="002A0BDB">
        <w:rPr>
          <w:rFonts w:ascii="Arial" w:hAnsi="Arial" w:cs="Arial"/>
        </w:rPr>
        <w:t xml:space="preserve"> 2021). Molecular profiling has described that environmental isolation often harbours virulence and antimicrobial resistance </w:t>
      </w:r>
      <w:r w:rsidRPr="002A0BDB">
        <w:rPr>
          <w:rFonts w:ascii="Arial" w:hAnsi="Arial" w:cs="Arial"/>
        </w:rPr>
        <w:lastRenderedPageBreak/>
        <w:t>determinants by showing their pathogenic potential. These reinforce the need to prioritise environmental sources as part of national and global cholera preparedness strategies.</w:t>
      </w:r>
    </w:p>
    <w:p w14:paraId="72DE0DB0" w14:textId="77777777" w:rsidR="005C7592" w:rsidRPr="002A0BDB" w:rsidRDefault="005C7592" w:rsidP="005C7592">
      <w:pPr>
        <w:spacing w:line="360" w:lineRule="auto"/>
        <w:jc w:val="both"/>
        <w:rPr>
          <w:rFonts w:ascii="Arial" w:hAnsi="Arial" w:cs="Arial"/>
        </w:rPr>
      </w:pPr>
    </w:p>
    <w:p w14:paraId="4BC01911" w14:textId="77777777" w:rsidR="005C7592" w:rsidRPr="002A0BDB" w:rsidRDefault="005C7592" w:rsidP="005C7592">
      <w:pPr>
        <w:spacing w:line="360" w:lineRule="auto"/>
        <w:jc w:val="both"/>
        <w:rPr>
          <w:rFonts w:ascii="Arial" w:hAnsi="Arial" w:cs="Arial"/>
          <w:b/>
          <w:bCs/>
          <w:i/>
          <w:iCs/>
        </w:rPr>
      </w:pPr>
      <w:r w:rsidRPr="002A0BDB">
        <w:rPr>
          <w:rFonts w:ascii="Arial" w:hAnsi="Arial" w:cs="Arial"/>
          <w:b/>
          <w:bCs/>
          <w:i/>
          <w:iCs/>
        </w:rPr>
        <w:t>Use of patterns for early warning systems</w:t>
      </w:r>
    </w:p>
    <w:p w14:paraId="238E6C08" w14:textId="77777777" w:rsidR="005C7592" w:rsidRPr="002A0BDB" w:rsidRDefault="005C7592" w:rsidP="005C7592">
      <w:pPr>
        <w:spacing w:line="360" w:lineRule="auto"/>
        <w:jc w:val="both"/>
        <w:rPr>
          <w:rFonts w:ascii="Arial" w:hAnsi="Arial" w:cs="Arial"/>
          <w:b/>
          <w:bCs/>
          <w:i/>
          <w:iCs/>
        </w:rPr>
      </w:pPr>
    </w:p>
    <w:p w14:paraId="29D333FE" w14:textId="77777777" w:rsidR="005C7592" w:rsidRPr="002A0BDB" w:rsidRDefault="005C7592" w:rsidP="005C7592">
      <w:pPr>
        <w:spacing w:line="360" w:lineRule="auto"/>
        <w:jc w:val="both"/>
        <w:rPr>
          <w:rFonts w:ascii="Arial" w:hAnsi="Arial" w:cs="Arial"/>
        </w:rPr>
      </w:pPr>
      <w:r w:rsidRPr="002A0BDB">
        <w:rPr>
          <w:rFonts w:ascii="Arial" w:hAnsi="Arial" w:cs="Arial"/>
        </w:rPr>
        <w:t>Environmental and climate patterns strongly influence cholera dynamics making them critical components of early warning systems. Seasonal plankton blooms have been blamed for the Bengal Delta region's recurring seasonal cholera outbreaks over the past few decades (</w:t>
      </w:r>
      <w:proofErr w:type="spellStart"/>
      <w:r w:rsidRPr="002A0BDB">
        <w:rPr>
          <w:rFonts w:ascii="Arial" w:hAnsi="Arial" w:cs="Arial"/>
        </w:rPr>
        <w:t>Biplab</w:t>
      </w:r>
      <w:proofErr w:type="spellEnd"/>
      <w:r w:rsidRPr="002A0BDB">
        <w:rPr>
          <w:rFonts w:ascii="Arial" w:hAnsi="Arial" w:cs="Arial"/>
        </w:rPr>
        <w:t xml:space="preserve"> </w:t>
      </w:r>
      <w:proofErr w:type="spellStart"/>
      <w:r w:rsidRPr="002A0BDB">
        <w:rPr>
          <w:rFonts w:ascii="Arial" w:hAnsi="Arial" w:cs="Arial"/>
        </w:rPr>
        <w:t>Maity</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The seasonal warming, monsoon rainfall and flooding events frequently coincide with spikes in bacterial abundance resulting in enhanced risk of waterborne transmission. According to </w:t>
      </w:r>
      <w:proofErr w:type="spellStart"/>
      <w:r w:rsidRPr="002A0BDB">
        <w:rPr>
          <w:rFonts w:ascii="Arial" w:hAnsi="Arial" w:cs="Arial"/>
        </w:rPr>
        <w:t>Shafii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(2023) the direct effects of floodwater, an unforeseen large-scale flood disaster is typically linked to a higher risk of waterborne infectious diseases. The molecular surveillance improves early warning capacity by linking environmental cues with genomic signals like emergence of specific virulence genes or shifts in strain clusters. Inclusion of the genomic data into the environmental measurement would help to predict outbreaks and intervene more closely. For example, enhance WASH and use outcomes in genomic surveillance to manage cholera (</w:t>
      </w:r>
      <w:proofErr w:type="spellStart"/>
      <w:r w:rsidRPr="002A0BDB">
        <w:rPr>
          <w:rFonts w:ascii="Arial" w:hAnsi="Arial" w:cs="Arial"/>
        </w:rPr>
        <w:t>Usmani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This has integrated these patterns allowing public health authorities to anticipate outbreaks, initiate rapid field assessment and target WASH reinforcement before high transmission.</w:t>
      </w:r>
    </w:p>
    <w:p w14:paraId="267E5CE2" w14:textId="77777777" w:rsidR="005C7592" w:rsidRPr="002A0BDB" w:rsidRDefault="005C7592" w:rsidP="005C7592">
      <w:pPr>
        <w:spacing w:line="360" w:lineRule="auto"/>
        <w:jc w:val="both"/>
        <w:rPr>
          <w:rFonts w:ascii="Arial" w:hAnsi="Arial" w:cs="Arial"/>
        </w:rPr>
      </w:pPr>
    </w:p>
    <w:p w14:paraId="58BE1A20" w14:textId="77777777" w:rsidR="005C7592" w:rsidRPr="002A0BDB" w:rsidRDefault="005C7592" w:rsidP="005C7592">
      <w:pPr>
        <w:spacing w:line="360" w:lineRule="auto"/>
        <w:jc w:val="both"/>
        <w:rPr>
          <w:rFonts w:ascii="Arial" w:hAnsi="Arial" w:cs="Arial"/>
          <w:b/>
          <w:bCs/>
          <w:i/>
          <w:iCs/>
        </w:rPr>
      </w:pPr>
      <w:r w:rsidRPr="002A0BDB">
        <w:rPr>
          <w:rFonts w:ascii="Arial" w:hAnsi="Arial" w:cs="Arial"/>
          <w:b/>
          <w:bCs/>
          <w:i/>
          <w:iCs/>
        </w:rPr>
        <w:t>Genomic surveillance for detection</w:t>
      </w:r>
    </w:p>
    <w:p w14:paraId="0FFD172B" w14:textId="77777777" w:rsidR="005C7592" w:rsidRPr="002A0BDB" w:rsidRDefault="005C7592" w:rsidP="005C7592">
      <w:pPr>
        <w:spacing w:line="360" w:lineRule="auto"/>
        <w:jc w:val="both"/>
        <w:rPr>
          <w:rFonts w:ascii="Arial" w:hAnsi="Arial" w:cs="Arial"/>
          <w:b/>
          <w:bCs/>
          <w:i/>
          <w:iCs/>
        </w:rPr>
      </w:pPr>
    </w:p>
    <w:p w14:paraId="7B6E826B"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Genomic surveillance plays a major role in detecting indirect transmission pathways and comprehending the ecological persistence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WGS, MLST and metagenomics provide high-resolution data on strain relatedness, antimicrobial resistance markers and environmental adaptation. As opined by </w:t>
      </w:r>
      <w:proofErr w:type="spellStart"/>
      <w:r w:rsidRPr="002A0BDB">
        <w:rPr>
          <w:rFonts w:ascii="Arial" w:hAnsi="Arial" w:cs="Arial"/>
        </w:rPr>
        <w:t>Usmani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is one of the most significant health issues creating bacteria which is contaminated through the primary ingestion of water with the bacteria contamination. In contrast </w:t>
      </w:r>
      <w:proofErr w:type="spellStart"/>
      <w:r w:rsidRPr="002A0BDB">
        <w:rPr>
          <w:rFonts w:ascii="Arial" w:hAnsi="Arial" w:cs="Arial"/>
        </w:rPr>
        <w:t>Shackleton</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stated that Cholera remains a significant public health issue due to changing nature of the bacterial transformation system and influencing from the direct transmission. These techniques distinguish between locally sustained environmental strains and newly introduced lineages by enabling accurate source </w:t>
      </w:r>
      <w:r w:rsidRPr="002A0BDB">
        <w:rPr>
          <w:rFonts w:ascii="Arial" w:hAnsi="Arial" w:cs="Arial"/>
        </w:rPr>
        <w:lastRenderedPageBreak/>
        <w:t xml:space="preserve">attribution. The genomic evidence from several regions has depicted the way environmental reservoirs can act as continuous sources of infections while international movement can also show outbreaks. The detection of virulence genes such as </w:t>
      </w:r>
      <w:proofErr w:type="spellStart"/>
      <w:r w:rsidRPr="002A0BDB">
        <w:rPr>
          <w:rFonts w:ascii="Arial" w:hAnsi="Arial" w:cs="Arial"/>
        </w:rPr>
        <w:t>ctxAB</w:t>
      </w:r>
      <w:proofErr w:type="spellEnd"/>
      <w:r w:rsidRPr="002A0BDB">
        <w:rPr>
          <w:rFonts w:ascii="Arial" w:hAnsi="Arial" w:cs="Arial"/>
        </w:rPr>
        <w:t xml:space="preserve"> and </w:t>
      </w:r>
      <w:proofErr w:type="spellStart"/>
      <w:r w:rsidRPr="002A0BDB">
        <w:rPr>
          <w:rFonts w:ascii="Arial" w:hAnsi="Arial" w:cs="Arial"/>
        </w:rPr>
        <w:t>rtx</w:t>
      </w:r>
      <w:proofErr w:type="spellEnd"/>
      <w:r w:rsidRPr="002A0BDB">
        <w:rPr>
          <w:rFonts w:ascii="Arial" w:hAnsi="Arial" w:cs="Arial"/>
        </w:rPr>
        <w:t xml:space="preserve"> plankton, sediment and untreated water enhances understanding of the way environmental transmission occurs before human exposure is detected. Clinically, this integration of genomic data with environmental monitoring supports more precise surveillance frameworks.</w:t>
      </w:r>
    </w:p>
    <w:p w14:paraId="598E2CBE" w14:textId="77777777" w:rsidR="005C7592" w:rsidRPr="002A0BDB" w:rsidRDefault="005C7592" w:rsidP="005C7592">
      <w:pPr>
        <w:spacing w:line="360" w:lineRule="auto"/>
        <w:jc w:val="both"/>
        <w:rPr>
          <w:rFonts w:ascii="Arial" w:hAnsi="Arial" w:cs="Arial"/>
        </w:rPr>
      </w:pPr>
    </w:p>
    <w:p w14:paraId="3E576830" w14:textId="77777777" w:rsidR="005C7592" w:rsidRPr="002A0BDB" w:rsidRDefault="005C7592" w:rsidP="005C7592">
      <w:pPr>
        <w:spacing w:line="360" w:lineRule="auto"/>
        <w:jc w:val="both"/>
        <w:rPr>
          <w:rFonts w:ascii="Arial" w:hAnsi="Arial" w:cs="Arial"/>
          <w:b/>
          <w:bCs/>
          <w:i/>
          <w:iCs/>
        </w:rPr>
      </w:pPr>
      <w:r w:rsidRPr="002A0BDB">
        <w:rPr>
          <w:rFonts w:ascii="Arial" w:hAnsi="Arial" w:cs="Arial"/>
          <w:b/>
          <w:bCs/>
          <w:i/>
          <w:iCs/>
        </w:rPr>
        <w:t>Major pathways and public health interventions</w:t>
      </w:r>
    </w:p>
    <w:p w14:paraId="3A44DA3F" w14:textId="77777777" w:rsidR="005C7592" w:rsidRPr="002A0BDB" w:rsidRDefault="005C7592" w:rsidP="005C7592">
      <w:pPr>
        <w:spacing w:line="360" w:lineRule="auto"/>
        <w:jc w:val="both"/>
        <w:rPr>
          <w:rFonts w:ascii="Arial" w:hAnsi="Arial" w:cs="Arial"/>
          <w:b/>
          <w:bCs/>
          <w:i/>
          <w:iCs/>
        </w:rPr>
      </w:pPr>
    </w:p>
    <w:p w14:paraId="7E75706F" w14:textId="77777777" w:rsidR="005C7592" w:rsidRPr="002A0BDB" w:rsidRDefault="005C7592" w:rsidP="005C7592">
      <w:pPr>
        <w:spacing w:line="360" w:lineRule="auto"/>
        <w:jc w:val="both"/>
        <w:rPr>
          <w:rFonts w:ascii="Arial" w:hAnsi="Arial" w:cs="Arial"/>
        </w:rPr>
      </w:pPr>
      <w:r w:rsidRPr="002A0BDB">
        <w:rPr>
          <w:rFonts w:ascii="Arial" w:hAnsi="Arial" w:cs="Arial"/>
        </w:rPr>
        <w:t xml:space="preserve">The major pathways of indirect cholera transmission involve contaminated drinking water wastewater intrusion, aquatic reservoir exposure, consumption of raw or undercooked aquatic products and contact with </w:t>
      </w:r>
      <w:proofErr w:type="spellStart"/>
      <w:r w:rsidRPr="002A0BDB">
        <w:rPr>
          <w:rFonts w:ascii="Arial" w:hAnsi="Arial" w:cs="Arial"/>
        </w:rPr>
        <w:t>faecally</w:t>
      </w:r>
      <w:proofErr w:type="spellEnd"/>
      <w:r w:rsidRPr="002A0BDB">
        <w:rPr>
          <w:rFonts w:ascii="Arial" w:hAnsi="Arial" w:cs="Arial"/>
        </w:rPr>
        <w:t xml:space="preserve"> polluted environments. The polluted environment helped the pathogen to developed different phage in sewage and contaminated water habitats are comparatively low (World Health Organisation, 2022). The molecular profiling confirms that these pathways are influenced by climate change, pollution, overcrowding, population displacement and poor sanitisation. As indicated by </w:t>
      </w:r>
      <w:proofErr w:type="spellStart"/>
      <w:r w:rsidRPr="002A0BDB">
        <w:rPr>
          <w:rFonts w:ascii="Arial" w:hAnsi="Arial" w:cs="Arial"/>
        </w:rPr>
        <w:t>Lanrewaju</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(2022), a negative attitude towards boiled or treated water may increase contamination rate within the population group and directly increase the pathogenesis transmission. The public health intervention needs to target WASH improvements, including provision of safe water, chlorination, sanitation infrastructure upgrades and community hygiene education (World Health Organisation, 2023). The genomic surveillance needs to be implemented into routine monitoring to identify high-risk reservoirs, detect antimicrobial resistance patterns and guide rapid outbreak responses. This has strengthened environmental microbiological testing, regulated water quality and incorporating climate-based predictive tools can further enhance prevention efforts. These strategies make a proactive framework for minimising transmission to enhance long-term cholera control.</w:t>
      </w:r>
    </w:p>
    <w:p w14:paraId="7A675273" w14:textId="77777777" w:rsidR="005C7592" w:rsidRPr="002A0BDB" w:rsidRDefault="005C7592" w:rsidP="005C7592">
      <w:pPr>
        <w:spacing w:line="360" w:lineRule="auto"/>
        <w:jc w:val="both"/>
        <w:rPr>
          <w:rFonts w:ascii="Arial" w:hAnsi="Arial" w:cs="Arial"/>
        </w:rPr>
      </w:pPr>
    </w:p>
    <w:p w14:paraId="68D2F6FE" w14:textId="77777777" w:rsidR="005C7592" w:rsidRPr="002A0BDB" w:rsidRDefault="005C7592" w:rsidP="005C7592">
      <w:pPr>
        <w:pStyle w:val="Heading2"/>
        <w:spacing w:line="360" w:lineRule="auto"/>
        <w:jc w:val="both"/>
        <w:rPr>
          <w:rFonts w:ascii="Arial" w:hAnsi="Arial" w:cs="Arial"/>
          <w:color w:val="auto"/>
          <w:sz w:val="22"/>
        </w:rPr>
      </w:pPr>
      <w:bookmarkStart w:id="32" w:name="_Toc220494132"/>
      <w:r w:rsidRPr="002A0BDB">
        <w:rPr>
          <w:rFonts w:ascii="Arial" w:hAnsi="Arial" w:cs="Arial"/>
          <w:color w:val="auto"/>
          <w:sz w:val="22"/>
        </w:rPr>
        <w:t>2.3 Theoretical Framework</w:t>
      </w:r>
      <w:bookmarkEnd w:id="32"/>
    </w:p>
    <w:p w14:paraId="4B8132D7"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i/>
          <w:iCs/>
        </w:rPr>
      </w:pPr>
      <w:r w:rsidRPr="002A0BDB">
        <w:rPr>
          <w:rFonts w:ascii="Arial" w:hAnsi="Arial" w:cs="Arial"/>
          <w:b/>
          <w:bCs/>
          <w:i/>
          <w:iCs/>
        </w:rPr>
        <w:t>Germ theory of disease</w:t>
      </w:r>
    </w:p>
    <w:p w14:paraId="36884A68" w14:textId="77777777" w:rsidR="005C7592" w:rsidRPr="002A0BDB" w:rsidRDefault="005C7592" w:rsidP="005C7592">
      <w:pPr>
        <w:pBdr>
          <w:top w:val="nil"/>
          <w:left w:val="nil"/>
          <w:bottom w:val="nil"/>
          <w:right w:val="nil"/>
          <w:between w:val="nil"/>
        </w:pBdr>
        <w:spacing w:line="360" w:lineRule="auto"/>
        <w:jc w:val="both"/>
        <w:rPr>
          <w:rFonts w:ascii="Arial" w:hAnsi="Arial" w:cs="Arial"/>
          <w:b/>
          <w:bCs/>
          <w:i/>
          <w:iCs/>
        </w:rPr>
      </w:pPr>
    </w:p>
    <w:p w14:paraId="259B4BA1" w14:textId="77777777" w:rsidR="005C7592" w:rsidRPr="002A0BDB" w:rsidRDefault="005C7592" w:rsidP="005C7592">
      <w:pPr>
        <w:spacing w:line="360" w:lineRule="auto"/>
        <w:jc w:val="both"/>
        <w:rPr>
          <w:rFonts w:ascii="Arial" w:hAnsi="Arial" w:cs="Arial"/>
        </w:rPr>
      </w:pPr>
    </w:p>
    <w:p w14:paraId="12A9EE77" w14:textId="77EEDF31" w:rsidR="005C7592" w:rsidRPr="002A0BDB" w:rsidRDefault="005C7592" w:rsidP="00A87AD7">
      <w:pPr>
        <w:spacing w:line="360" w:lineRule="auto"/>
        <w:jc w:val="both"/>
        <w:rPr>
          <w:rFonts w:ascii="Arial" w:hAnsi="Arial" w:cs="Arial"/>
        </w:rPr>
      </w:pPr>
      <w:r w:rsidRPr="002A0BDB">
        <w:rPr>
          <w:rFonts w:ascii="Arial" w:hAnsi="Arial" w:cs="Arial"/>
        </w:rPr>
        <w:lastRenderedPageBreak/>
        <w:t xml:space="preserve">The germ theory of disease (mid-to-late 19th century) is the modern scientific theory that specialises the operation of key microorganisms that are called pathogens which have created many diseases. The germ theory has highlighted that invasion of the body due to contamination from the microorganisms </w:t>
      </w:r>
      <w:r w:rsidR="000018D1" w:rsidRPr="002A0BDB">
        <w:rPr>
          <w:rFonts w:ascii="Arial" w:hAnsi="Arial" w:cs="Arial"/>
        </w:rPr>
        <w:t>especially</w:t>
      </w:r>
      <w:r w:rsidRPr="002A0BDB">
        <w:rPr>
          <w:rFonts w:ascii="Arial" w:hAnsi="Arial" w:cs="Arial"/>
        </w:rPr>
        <w:t xml:space="preserve"> from the pathogens (</w:t>
      </w:r>
      <w:r w:rsidR="00D6053C" w:rsidRPr="002A0BDB">
        <w:rPr>
          <w:rFonts w:ascii="Arial" w:hAnsi="Arial" w:cs="Arial"/>
        </w:rPr>
        <w:t>Casanova</w:t>
      </w:r>
      <w:r w:rsidRPr="002A0BDB">
        <w:rPr>
          <w:rFonts w:ascii="Arial" w:hAnsi="Arial" w:cs="Arial"/>
        </w:rPr>
        <w:t>, 202</w:t>
      </w:r>
      <w:r w:rsidR="00D6053C" w:rsidRPr="002A0BDB">
        <w:rPr>
          <w:rFonts w:ascii="Arial" w:hAnsi="Arial" w:cs="Arial"/>
        </w:rPr>
        <w:t>3</w:t>
      </w:r>
      <w:r w:rsidRPr="002A0BDB">
        <w:rPr>
          <w:rFonts w:ascii="Arial" w:hAnsi="Arial" w:cs="Arial"/>
        </w:rPr>
        <w:t xml:space="preserve">). The full implication of germ theory in the medical practices were not directly informed from the recognition of the pathogens in the body. Germ theory denotes the cause and effects of disease due to contamination from pathogens and microorganisms. As stated by </w:t>
      </w:r>
      <w:proofErr w:type="spellStart"/>
      <w:r w:rsidRPr="002A0BDB">
        <w:rPr>
          <w:rFonts w:ascii="Arial" w:hAnsi="Arial" w:cs="Arial"/>
        </w:rPr>
        <w:t>Carlsson</w:t>
      </w:r>
      <w:proofErr w:type="spellEnd"/>
      <w:r w:rsidRPr="002A0BDB">
        <w:rPr>
          <w:rFonts w:ascii="Arial" w:hAnsi="Arial" w:cs="Arial"/>
        </w:rPr>
        <w:t xml:space="preserve"> and </w:t>
      </w:r>
      <w:proofErr w:type="spellStart"/>
      <w:r w:rsidRPr="002A0BDB">
        <w:rPr>
          <w:rFonts w:ascii="Arial" w:hAnsi="Arial" w:cs="Arial"/>
        </w:rPr>
        <w:t>Råberg</w:t>
      </w:r>
      <w:proofErr w:type="spellEnd"/>
      <w:r w:rsidRPr="002A0BDB">
        <w:rPr>
          <w:rFonts w:ascii="Arial" w:hAnsi="Arial" w:cs="Arial"/>
        </w:rPr>
        <w:t xml:space="preserve"> (2024), germ theory coincides with the factors responsible for the severity of disease such as “evolutionary biology, microbial pathogenesis, and host–pathogen interactions”.  Application of germ theory in the treatment of Cholera is to determine the key specific vector pathogens and use antibiotics for prevention of contamination within the body. However, the virulence nature of the pathogens and transition within the cell cannot be determined by the implication of germ theory. On the other hand, Casanova and Abel (2021), stated that the clinical phenotypes of PIDs help to determine the recurrence infection in the body in the form of viral, bacterial and parasitic infections. The germ theory helps to increase the natural phenotypes for inclusion of benefits through medication and public health intervention. For example, it has wider benefits for determination of clinical phenotype in the development of autoimmune systems for protecting the body from pathogens. Thus, germ theory can be implied effectively in the application of intervention for prevention of Cholera.</w:t>
      </w:r>
    </w:p>
    <w:p w14:paraId="1C2DFB7D"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The germ theory of disease explicitly recognises the infection caused by the interaction of microbial pathogens and explores their host in the contaminated body (Acharya, 2023). Germ theory helps to make a strong cause and effect relationship between infection and illness to determine the transmission rate and pathogenesis activity in the contaminated body. As opined by Casanova and Abel (2021), germ theory advanced as the possible recognition of illness due to pathogenesis and the nature of mutation within the cellular structure. It involves the benefits of disease recognition from the contamination of pathogens in the participating body (</w:t>
      </w:r>
      <w:proofErr w:type="spellStart"/>
      <w:r w:rsidRPr="002A0BDB">
        <w:rPr>
          <w:rFonts w:ascii="Arial" w:hAnsi="Arial" w:cs="Arial"/>
        </w:rPr>
        <w:t>Horgan</w:t>
      </w:r>
      <w:proofErr w:type="spellEnd"/>
      <w:r w:rsidRPr="002A0BDB">
        <w:rPr>
          <w:rFonts w:ascii="Arial" w:hAnsi="Arial" w:cs="Arial"/>
        </w:rPr>
        <w:t xml:space="preserve">, 2023). Bacterial pathogens pose an array of specific infection through virulence of propagation within a host.  Germ theory has identified that the first stage of the infection is attachments of bacteria to the cell surface. Most essential causes of the cholera are the higher rate of transmission of </w:t>
      </w:r>
      <w:r w:rsidRPr="002A0BDB">
        <w:rPr>
          <w:rFonts w:ascii="Arial" w:hAnsi="Arial" w:cs="Arial"/>
          <w:i/>
          <w:iCs/>
        </w:rPr>
        <w:t xml:space="preserve">Vibrio </w:t>
      </w:r>
      <w:proofErr w:type="spellStart"/>
      <w:r w:rsidRPr="002A0BDB">
        <w:rPr>
          <w:rFonts w:ascii="Arial" w:hAnsi="Arial" w:cs="Arial"/>
          <w:i/>
          <w:iCs/>
        </w:rPr>
        <w:t>Cholereae</w:t>
      </w:r>
      <w:proofErr w:type="spellEnd"/>
      <w:r w:rsidRPr="002A0BDB">
        <w:rPr>
          <w:rFonts w:ascii="Arial" w:hAnsi="Arial" w:cs="Arial"/>
          <w:i/>
          <w:iCs/>
        </w:rPr>
        <w:t xml:space="preserve"> </w:t>
      </w:r>
      <w:r w:rsidRPr="002A0BDB">
        <w:rPr>
          <w:rFonts w:ascii="Arial" w:hAnsi="Arial" w:cs="Arial"/>
        </w:rPr>
        <w:t>and its pathogenesis nature of mutation within the cell body (</w:t>
      </w:r>
      <w:proofErr w:type="spellStart"/>
      <w:r w:rsidRPr="002A0BDB">
        <w:rPr>
          <w:rFonts w:ascii="Arial" w:hAnsi="Arial" w:cs="Arial"/>
        </w:rPr>
        <w:t>Filik</w:t>
      </w:r>
      <w:proofErr w:type="spellEnd"/>
      <w:r w:rsidRPr="002A0BDB">
        <w:rPr>
          <w:rFonts w:ascii="Arial" w:hAnsi="Arial" w:cs="Arial"/>
        </w:rPr>
        <w:t xml:space="preserve"> and </w:t>
      </w:r>
      <w:proofErr w:type="spellStart"/>
      <w:r w:rsidRPr="002A0BDB">
        <w:rPr>
          <w:rFonts w:ascii="Arial" w:hAnsi="Arial" w:cs="Arial"/>
        </w:rPr>
        <w:t>Filik</w:t>
      </w:r>
      <w:proofErr w:type="spellEnd"/>
      <w:r w:rsidRPr="002A0BDB">
        <w:rPr>
          <w:rFonts w:ascii="Arial" w:hAnsi="Arial" w:cs="Arial"/>
        </w:rPr>
        <w:t xml:space="preserve">, 2023). Germ theory of disease helps to underline the cause of epidemiology in the prevention and determination of epidemiology due to specific transmission of pathogenesis. Germ theory helps to determine the careful observation of diligent epidemiology through evidence-based data collection and population intervention (Paul </w:t>
      </w:r>
      <w:r w:rsidRPr="002A0BDB">
        <w:rPr>
          <w:rFonts w:ascii="Arial" w:hAnsi="Arial" w:cs="Arial"/>
          <w:i/>
          <w:iCs/>
        </w:rPr>
        <w:t xml:space="preserve">et al. </w:t>
      </w:r>
      <w:r w:rsidRPr="002A0BDB">
        <w:rPr>
          <w:rFonts w:ascii="Arial" w:hAnsi="Arial" w:cs="Arial"/>
        </w:rPr>
        <w:t>2024).</w:t>
      </w:r>
    </w:p>
    <w:p w14:paraId="2B159CFD"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2F6E246B" w14:textId="4E28992A"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In this research cholera outbreak can be determined by successful implication germ theory within the population group and reduce risk of epidemiology. Germ theory helps to determine the key medication facility through exploring the current transmission rate and its antibiotic resistance. The higher level of cholera outbreak has made it necessary for the determination of molecular epidemiology tools in the prevention and control mechanism of cholera. Public health intervention strategy helps to reduce the outbreak of Cholera by adoption of early diagnosis and control mechanism through implication of germ theory. Determination of the pattern of Vibrio </w:t>
      </w:r>
      <w:proofErr w:type="spellStart"/>
      <w:r w:rsidRPr="002A0BDB">
        <w:rPr>
          <w:rFonts w:ascii="Arial" w:hAnsi="Arial" w:cs="Arial"/>
        </w:rPr>
        <w:t>Cholerae</w:t>
      </w:r>
      <w:proofErr w:type="spellEnd"/>
      <w:r w:rsidRPr="002A0BDB">
        <w:rPr>
          <w:rFonts w:ascii="Arial" w:hAnsi="Arial" w:cs="Arial"/>
        </w:rPr>
        <w:t xml:space="preserve"> in evolutionary genomics is critical for determination of transmission rate in the infected area. Cholera is an acute diarrheal disease with 2.9 million cases and 95,000 deaths observed in the global world each across 47 countries (Walton </w:t>
      </w:r>
      <w:r w:rsidRPr="002A0BDB">
        <w:rPr>
          <w:rFonts w:ascii="Arial" w:hAnsi="Arial" w:cs="Arial"/>
          <w:i/>
          <w:iCs/>
        </w:rPr>
        <w:t xml:space="preserve">et al. </w:t>
      </w:r>
      <w:r w:rsidRPr="002A0BDB">
        <w:rPr>
          <w:rFonts w:ascii="Arial" w:hAnsi="Arial" w:cs="Arial"/>
        </w:rPr>
        <w:t xml:space="preserve">2023). Moreover, implication of germ theory in the infected species can help to determine the antimicrobial pathogenesis and explore key medication by determination of antimicrobial resistance. In comparison to it, </w:t>
      </w:r>
      <w:proofErr w:type="spellStart"/>
      <w:r w:rsidRPr="002A0BDB">
        <w:rPr>
          <w:rFonts w:ascii="Arial" w:hAnsi="Arial" w:cs="Arial"/>
        </w:rPr>
        <w:t>Igere</w:t>
      </w:r>
      <w:proofErr w:type="spellEnd"/>
      <w:r w:rsidRPr="002A0BDB">
        <w:rPr>
          <w:rFonts w:ascii="Arial" w:hAnsi="Arial" w:cs="Arial"/>
        </w:rPr>
        <w:t xml:space="preserve"> and </w:t>
      </w:r>
      <w:proofErr w:type="spellStart"/>
      <w:r w:rsidRPr="002A0BDB">
        <w:rPr>
          <w:rFonts w:ascii="Arial" w:hAnsi="Arial" w:cs="Arial"/>
        </w:rPr>
        <w:t>Nwodo</w:t>
      </w:r>
      <w:proofErr w:type="spellEnd"/>
      <w:r w:rsidRPr="002A0BDB">
        <w:rPr>
          <w:rFonts w:ascii="Arial" w:hAnsi="Arial" w:cs="Arial"/>
        </w:rPr>
        <w:t xml:space="preserve"> (2024), expressed information that molecular epidemiology helps in genotypic determination of targeted pathogens for exploring its nature, virulence and plasmid DNA composition. </w:t>
      </w:r>
    </w:p>
    <w:p w14:paraId="2F77E6AD"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Germ theory helps to integrate better activity in the use of molecular technology for identifying pathogens virulent pattern and contamination rate in the infectious group. It helps to provide benefits for determination of current sources of infection and its link to the external factors to control the transmission rate in the contaminated body. Disease prevention and control mechanisms are essential for intervention and control of cholera outbreak by estimating the current transmission rate of Cholera bacteria in the water borne microorganisms. It is essential to understand the emergence of cholera prevention within the vector body for reducing chances of epidemiology and current progression of cholera outbreaks (</w:t>
      </w:r>
      <w:proofErr w:type="spellStart"/>
      <w:r w:rsidRPr="002A0BDB">
        <w:rPr>
          <w:rFonts w:ascii="Arial" w:hAnsi="Arial" w:cs="Arial"/>
        </w:rPr>
        <w:t>Adeniyi</w:t>
      </w:r>
      <w:proofErr w:type="spellEnd"/>
      <w:r w:rsidRPr="002A0BDB">
        <w:rPr>
          <w:rFonts w:ascii="Arial" w:hAnsi="Arial" w:cs="Arial"/>
        </w:rPr>
        <w:t xml:space="preserve">, 2024). External environmental factors such as socio-economic relevance and cultural inclusion have illustrated key risk factors for the cholera outbreaks within vulnerable communities. The application of germ theory can help to identify the key factor and cause of microbial transmission within the vector body to explore better prevention in the cholera outbreaks. Thus, application of Germ theory helps to provide key observation facilities within the healthcare groups to explore the nature of pathogenesis of microorganisms.  </w:t>
      </w:r>
    </w:p>
    <w:p w14:paraId="1D171B2C" w14:textId="77777777" w:rsidR="005C7592" w:rsidRPr="002A0BDB" w:rsidRDefault="005C7592" w:rsidP="00A87AD7">
      <w:pPr>
        <w:pStyle w:val="Heading2"/>
        <w:spacing w:line="360" w:lineRule="auto"/>
        <w:ind w:left="0" w:firstLine="0"/>
        <w:jc w:val="both"/>
        <w:rPr>
          <w:rFonts w:ascii="Arial" w:hAnsi="Arial" w:cs="Arial"/>
          <w:color w:val="auto"/>
          <w:sz w:val="22"/>
        </w:rPr>
      </w:pPr>
      <w:bookmarkStart w:id="33" w:name="_Toc220494133"/>
      <w:r w:rsidRPr="002A0BDB">
        <w:rPr>
          <w:rFonts w:ascii="Arial" w:hAnsi="Arial" w:cs="Arial"/>
          <w:color w:val="auto"/>
          <w:sz w:val="22"/>
        </w:rPr>
        <w:t>2.4 Gaps in Literature</w:t>
      </w:r>
      <w:bookmarkEnd w:id="33"/>
    </w:p>
    <w:p w14:paraId="1A7A31C4"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p>
    <w:p w14:paraId="5CD3EA51"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The several critical gaps persist in understanding the indirect transmission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despite the extensive growth of molecular epidemiology research. The available genomic literature emphasises primarily on the outbreak periods with limited investigation into inter-epidemic environmental dynamics. Longitudinal environmental genomic surveillance remains a gap, especially studies which track </w:t>
      </w:r>
      <w:r w:rsidRPr="002A0BDB">
        <w:rPr>
          <w:rFonts w:ascii="Arial" w:hAnsi="Arial" w:cs="Arial"/>
          <w:i/>
          <w:iCs/>
        </w:rPr>
        <w:t xml:space="preserve">Vibrio cholera </w:t>
      </w:r>
      <w:r w:rsidRPr="002A0BDB">
        <w:rPr>
          <w:rFonts w:ascii="Arial" w:hAnsi="Arial" w:cs="Arial"/>
        </w:rPr>
        <w:t>across multiple seasons to find early ecological triggers preceding human cases (</w:t>
      </w:r>
      <w:proofErr w:type="spellStart"/>
      <w:r w:rsidRPr="002A0BDB">
        <w:rPr>
          <w:rFonts w:ascii="Arial" w:hAnsi="Arial" w:cs="Arial"/>
        </w:rPr>
        <w:t>Usmani</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2021). This gap restricts understanding of the way pathogens persist, adapt and reactivate in complex aquatic ecosystems.</w:t>
      </w:r>
    </w:p>
    <w:p w14:paraId="18335EF8" w14:textId="0688CFE8"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The global distribution of research might be uneven in which majority of the molecular studies originate from the Asian, African where cholera is highly endemic and other nations remain significantly underrepresented. Therefore, the broader ecological and climatic variations influencing indirect transmission are poorly captured with limiting generalisability across the diverse geographic contexts. The under-resourced regions might experience substantial outbreaks, however the poor genomic capacity to develop molecular data informs local public health strategies.</w:t>
      </w:r>
    </w:p>
    <w:p w14:paraId="72446426" w14:textId="499C9D1F"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However, the molecular methods detect VBNC forms of </w:t>
      </w:r>
      <w:r w:rsidRPr="002A0BDB">
        <w:rPr>
          <w:rFonts w:ascii="Arial" w:hAnsi="Arial" w:cs="Arial"/>
          <w:i/>
          <w:iCs/>
        </w:rPr>
        <w:t xml:space="preserve">Vibrio cholera </w:t>
      </w:r>
      <w:r w:rsidRPr="002A0BDB">
        <w:rPr>
          <w:rFonts w:ascii="Arial" w:hAnsi="Arial" w:cs="Arial"/>
        </w:rPr>
        <w:t xml:space="preserve">which might lack understanding of the way these states contribute to the environmental persistence and transmission risks (Zhang </w:t>
      </w:r>
      <w:r w:rsidRPr="002A0BDB">
        <w:rPr>
          <w:rFonts w:ascii="Arial" w:hAnsi="Arial" w:cs="Arial"/>
          <w:i/>
          <w:iCs/>
        </w:rPr>
        <w:t>et al.</w:t>
      </w:r>
      <w:r w:rsidRPr="002A0BDB">
        <w:rPr>
          <w:rFonts w:ascii="Arial" w:hAnsi="Arial" w:cs="Arial"/>
        </w:rPr>
        <w:t xml:space="preserve"> 2023). The minimal studies integrate VBNC detection with hydrological modelling, climate data or risk prediction frameworks. Hence, the public health authorities face issues in interpreting the genomic results for practical environmental risk assessments.</w:t>
      </w:r>
    </w:p>
    <w:p w14:paraId="44C2EDCE" w14:textId="67A61D9C"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 literature has also described the insufficient translation of molecular findings into actionable public health interventions. Many countries lack structured frameworks for integrating genomic data with traditional surveillance, WASH planning or outbreak response mechanisms. This disconnect limits the operational utilization of sequencing evidence on guiding early detection, source attribution, environmental monitoring and targeted prevention efforts. The limited research analyses the cost-effectiveness, feasibility and sustainability to incorporate genomic surveillance in the lower- and middle-income countries (Price </w:t>
      </w:r>
      <w:r w:rsidRPr="002A0BDB">
        <w:rPr>
          <w:rFonts w:ascii="Arial" w:hAnsi="Arial" w:cs="Arial"/>
          <w:i/>
          <w:iCs/>
        </w:rPr>
        <w:t xml:space="preserve">et al. </w:t>
      </w:r>
      <w:r w:rsidRPr="002A0BDB">
        <w:rPr>
          <w:rFonts w:ascii="Arial" w:hAnsi="Arial" w:cs="Arial"/>
        </w:rPr>
        <w:t xml:space="preserve">2023). High resource requirements, technical expertise and laboratory infrastructure remain challenges; however, few comparative studies assess which molecular tools are highly practical for endemic contexts. The insufficient multidisciplinary integration persists in crucial molecular studies that often operate independently of environmental science, hydrology, </w:t>
      </w:r>
      <w:r w:rsidR="000018D1" w:rsidRPr="002A0BDB">
        <w:rPr>
          <w:rFonts w:ascii="Arial" w:hAnsi="Arial" w:cs="Arial"/>
        </w:rPr>
        <w:t>and climate</w:t>
      </w:r>
      <w:r w:rsidRPr="002A0BDB">
        <w:rPr>
          <w:rFonts w:ascii="Arial" w:hAnsi="Arial" w:cs="Arial"/>
        </w:rPr>
        <w:t xml:space="preserve"> modelling and social epidemiology, despite cholera’s strong environmental drivers. These gaps have been optimised essentially with full potential of molecular epidemiology in cholera prevention, prediction and control.</w:t>
      </w:r>
    </w:p>
    <w:p w14:paraId="0529D62D" w14:textId="77777777" w:rsidR="005C7592" w:rsidRPr="002A0BDB" w:rsidRDefault="005C7592" w:rsidP="005C7592">
      <w:pPr>
        <w:pStyle w:val="Heading2"/>
        <w:spacing w:line="360" w:lineRule="auto"/>
        <w:jc w:val="both"/>
        <w:rPr>
          <w:rFonts w:ascii="Arial" w:hAnsi="Arial" w:cs="Arial"/>
          <w:color w:val="auto"/>
          <w:sz w:val="22"/>
        </w:rPr>
      </w:pPr>
      <w:bookmarkStart w:id="34" w:name="_Toc220494134"/>
      <w:r w:rsidRPr="002A0BDB">
        <w:rPr>
          <w:rFonts w:ascii="Arial" w:hAnsi="Arial" w:cs="Arial"/>
          <w:color w:val="auto"/>
          <w:sz w:val="22"/>
        </w:rPr>
        <w:lastRenderedPageBreak/>
        <w:t>2.5 Summary of the Chapter</w:t>
      </w:r>
      <w:bookmarkEnd w:id="34"/>
    </w:p>
    <w:p w14:paraId="310A23C3" w14:textId="77777777" w:rsidR="005C7592" w:rsidRPr="002A0BDB" w:rsidRDefault="005C7592" w:rsidP="005C7592">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This chapter has presented a structured review using current evidence on molecular epidemiology in investigating cholera’s indirect transmission. This has outlined the systematic search strategy, reviewed genomic sequencing techniques by highlighting their role for detecting and characterizing </w:t>
      </w:r>
      <w:r w:rsidRPr="002A0BDB">
        <w:rPr>
          <w:rFonts w:ascii="Arial" w:hAnsi="Arial" w:cs="Arial"/>
          <w:i/>
          <w:iCs/>
        </w:rPr>
        <w:t xml:space="preserve">Vibrio cholera </w:t>
      </w:r>
      <w:r w:rsidRPr="002A0BDB">
        <w:rPr>
          <w:rFonts w:ascii="Arial" w:hAnsi="Arial" w:cs="Arial"/>
        </w:rPr>
        <w:t xml:space="preserve">in environmental reservoirs. This chapter has also described that the molecular tools significantly strengthen comprehension of pathogen evolution, environmental persistence and outbreak origins with recommendations. This has identified the major gaps including limited environmental surveillance, geographic bias and challenges integrating genomic data into practices. These insights have provided the foundation for discussing the way molecular findings could inform public health interventions. Thus, literature review helps to evaluate the current factors responsible for the prevalence of Cholera due to close contamination. </w:t>
      </w:r>
    </w:p>
    <w:p w14:paraId="0FABF09F" w14:textId="76E70D69" w:rsidR="009F64C5" w:rsidRPr="002A0BDB" w:rsidRDefault="009F64C5" w:rsidP="005C7592">
      <w:pPr>
        <w:spacing w:after="14" w:line="249" w:lineRule="auto"/>
        <w:rPr>
          <w:rFonts w:asciiTheme="minorBidi" w:hAnsiTheme="minorBidi"/>
        </w:rPr>
      </w:pPr>
      <w:r w:rsidRPr="002A0BDB">
        <w:rPr>
          <w:rFonts w:asciiTheme="minorBidi" w:hAnsiTheme="minorBidi"/>
        </w:rPr>
        <w:tab/>
        <w:t xml:space="preserve"> </w:t>
      </w:r>
    </w:p>
    <w:p w14:paraId="4C5FFF9D" w14:textId="77777777" w:rsidR="009706D0" w:rsidRPr="002A0BDB" w:rsidRDefault="009706D0">
      <w:pPr>
        <w:rPr>
          <w:rFonts w:asciiTheme="minorBidi" w:eastAsia="Times New Roman" w:hAnsiTheme="minorBidi"/>
          <w:b/>
          <w:sz w:val="24"/>
        </w:rPr>
      </w:pPr>
      <w:r w:rsidRPr="002A0BDB">
        <w:rPr>
          <w:rFonts w:asciiTheme="minorBidi" w:hAnsiTheme="minorBidi"/>
        </w:rPr>
        <w:br w:type="page"/>
      </w:r>
    </w:p>
    <w:p w14:paraId="523AB4EA" w14:textId="2C1EA36D" w:rsidR="009F64C5" w:rsidRPr="002A0BDB" w:rsidRDefault="00DD7AA5">
      <w:pPr>
        <w:pStyle w:val="Heading1"/>
        <w:ind w:left="12" w:right="4"/>
        <w:rPr>
          <w:rFonts w:asciiTheme="minorBidi" w:hAnsiTheme="minorBidi" w:cstheme="minorBidi"/>
          <w:color w:val="auto"/>
        </w:rPr>
      </w:pPr>
      <w:bookmarkStart w:id="35" w:name="_Toc220498170"/>
      <w:r w:rsidRPr="002A0BDB">
        <w:rPr>
          <w:rFonts w:asciiTheme="minorBidi" w:hAnsiTheme="minorBidi" w:cstheme="minorBidi"/>
          <w:color w:val="auto"/>
        </w:rPr>
        <w:lastRenderedPageBreak/>
        <w:t xml:space="preserve">Chapter 3: </w:t>
      </w:r>
      <w:r w:rsidR="009F64C5" w:rsidRPr="002A0BDB">
        <w:rPr>
          <w:rFonts w:asciiTheme="minorBidi" w:hAnsiTheme="minorBidi" w:cstheme="minorBidi"/>
          <w:color w:val="auto"/>
        </w:rPr>
        <w:t>Research Methodology</w:t>
      </w:r>
      <w:bookmarkEnd w:id="35"/>
      <w:r w:rsidR="009F64C5" w:rsidRPr="002A0BDB">
        <w:rPr>
          <w:rFonts w:asciiTheme="minorBidi" w:hAnsiTheme="minorBidi" w:cstheme="minorBidi"/>
          <w:color w:val="auto"/>
        </w:rPr>
        <w:t xml:space="preserve"> </w:t>
      </w:r>
    </w:p>
    <w:p w14:paraId="313B54D8" w14:textId="77777777" w:rsidR="009F64C5" w:rsidRPr="002A0BDB" w:rsidRDefault="009F64C5">
      <w:pPr>
        <w:spacing w:after="158"/>
        <w:rPr>
          <w:rFonts w:asciiTheme="minorBidi" w:hAnsiTheme="minorBidi"/>
        </w:rPr>
      </w:pPr>
      <w:r w:rsidRPr="002A0BDB">
        <w:rPr>
          <w:rFonts w:asciiTheme="minorBidi" w:eastAsia="Times New Roman" w:hAnsiTheme="minorBidi"/>
          <w:b/>
        </w:rPr>
        <w:t xml:space="preserve"> </w:t>
      </w:r>
    </w:p>
    <w:p w14:paraId="5CA00411" w14:textId="18447DB0" w:rsidR="00633AD5" w:rsidRPr="002A0BDB" w:rsidRDefault="00633AD5" w:rsidP="00A87AD7">
      <w:pPr>
        <w:pStyle w:val="Heading2"/>
        <w:spacing w:line="360" w:lineRule="auto"/>
        <w:jc w:val="both"/>
        <w:rPr>
          <w:rFonts w:ascii="Arial" w:hAnsi="Arial" w:cs="Arial"/>
          <w:color w:val="auto"/>
          <w:sz w:val="22"/>
        </w:rPr>
      </w:pPr>
      <w:bookmarkStart w:id="36" w:name="_Toc218687784"/>
      <w:bookmarkStart w:id="37" w:name="_Toc220494136"/>
      <w:r w:rsidRPr="002A0BDB">
        <w:rPr>
          <w:rFonts w:ascii="Arial" w:hAnsi="Arial" w:cs="Arial"/>
          <w:color w:val="auto"/>
          <w:sz w:val="22"/>
        </w:rPr>
        <w:t>3.1 Introduction to the Research</w:t>
      </w:r>
      <w:bookmarkEnd w:id="36"/>
      <w:bookmarkEnd w:id="37"/>
    </w:p>
    <w:p w14:paraId="01C8F66B" w14:textId="77777777" w:rsidR="00633AD5" w:rsidRPr="002A0BDB" w:rsidRDefault="00633AD5" w:rsidP="00633AD5">
      <w:pPr>
        <w:spacing w:line="360" w:lineRule="auto"/>
        <w:jc w:val="both"/>
        <w:rPr>
          <w:rFonts w:ascii="Arial" w:hAnsi="Arial" w:cs="Arial"/>
        </w:rPr>
      </w:pPr>
      <w:r w:rsidRPr="002A0BDB">
        <w:rPr>
          <w:rFonts w:ascii="Arial" w:hAnsi="Arial" w:cs="Arial"/>
        </w:rPr>
        <w:t xml:space="preserve">The systematic review methodology has been instrumental in the collection of existing strong literature on the perception of how the molecular epidemiology tool can be applied by a public health-interventions to reduce cholera. The genomic epidemiologic studies have made possible the phylogenetic distribution visualisation and dynamics of transmission of a single V. </w:t>
      </w:r>
      <w:proofErr w:type="spellStart"/>
      <w:r w:rsidRPr="002A0BDB">
        <w:rPr>
          <w:rFonts w:ascii="Arial" w:hAnsi="Arial" w:cs="Arial"/>
        </w:rPr>
        <w:t>cholerae</w:t>
      </w:r>
      <w:proofErr w:type="spellEnd"/>
      <w:r w:rsidRPr="002A0BDB">
        <w:rPr>
          <w:rFonts w:ascii="Arial" w:hAnsi="Arial" w:cs="Arial"/>
        </w:rPr>
        <w:t xml:space="preserve"> (Jiang </w:t>
      </w:r>
      <w:r w:rsidRPr="002A0BDB">
        <w:rPr>
          <w:rFonts w:ascii="Arial" w:hAnsi="Arial" w:cs="Arial"/>
          <w:i/>
          <w:iCs/>
        </w:rPr>
        <w:t>et al.</w:t>
      </w:r>
      <w:r w:rsidRPr="002A0BDB">
        <w:rPr>
          <w:rFonts w:ascii="Arial" w:hAnsi="Arial" w:cs="Arial"/>
        </w:rPr>
        <w:t xml:space="preserve"> 2025). The source of the outbreaks can be tracked, and the public health interventions are used. The molecular epidemiology tools outlined the transmission pathways that are crucial during the intervention and surveillance of the public health strategies (Ismail </w:t>
      </w:r>
      <w:r w:rsidRPr="002A0BDB">
        <w:rPr>
          <w:rFonts w:ascii="Arial" w:hAnsi="Arial" w:cs="Arial"/>
          <w:i/>
          <w:iCs/>
        </w:rPr>
        <w:t>et al.</w:t>
      </w:r>
      <w:r w:rsidRPr="002A0BDB">
        <w:rPr>
          <w:rFonts w:ascii="Arial" w:hAnsi="Arial" w:cs="Arial"/>
        </w:rPr>
        <w:t xml:space="preserve"> 2021). This chapter will discuss the method used to capture the evidence that is utilized in this review, including the extensive database searches that allow one to </w:t>
      </w:r>
      <w:r w:rsidRPr="002A0BDB">
        <w:rPr>
          <w:rFonts w:ascii="Arial" w:eastAsia="Times New Roman" w:hAnsi="Arial" w:cs="Arial"/>
        </w:rPr>
        <w:t>identify existing literature on</w:t>
      </w:r>
      <w:r w:rsidRPr="002A0BDB">
        <w:rPr>
          <w:rFonts w:ascii="Arial" w:hAnsi="Arial" w:cs="Arial"/>
        </w:rPr>
        <w:t xml:space="preserve"> the molecular tools in the prevention of cholera. Moreover, the chapter discussed the data management, analysis and ethical considerations in details.</w:t>
      </w:r>
    </w:p>
    <w:p w14:paraId="04B77295" w14:textId="16969119" w:rsidR="00633AD5" w:rsidRPr="002A0BDB" w:rsidRDefault="00633AD5" w:rsidP="00A87AD7">
      <w:pPr>
        <w:pStyle w:val="Heading2"/>
        <w:spacing w:line="360" w:lineRule="auto"/>
        <w:jc w:val="both"/>
        <w:rPr>
          <w:rFonts w:ascii="Arial" w:hAnsi="Arial" w:cs="Arial"/>
          <w:color w:val="auto"/>
          <w:sz w:val="22"/>
        </w:rPr>
      </w:pPr>
      <w:bookmarkStart w:id="38" w:name="_Toc218687785"/>
      <w:bookmarkStart w:id="39" w:name="_Toc220494137"/>
      <w:r w:rsidRPr="002A0BDB">
        <w:rPr>
          <w:rFonts w:ascii="Arial" w:hAnsi="Arial" w:cs="Arial"/>
          <w:color w:val="auto"/>
          <w:sz w:val="22"/>
        </w:rPr>
        <w:t>3.2 Research paradigm/ philosophy</w:t>
      </w:r>
      <w:bookmarkEnd w:id="38"/>
      <w:bookmarkEnd w:id="39"/>
    </w:p>
    <w:p w14:paraId="0CB37188" w14:textId="77777777" w:rsidR="00633AD5" w:rsidRPr="002A0BDB" w:rsidRDefault="00633AD5" w:rsidP="00633AD5">
      <w:pPr>
        <w:spacing w:line="360" w:lineRule="auto"/>
        <w:jc w:val="both"/>
        <w:rPr>
          <w:rFonts w:ascii="Arial" w:hAnsi="Arial" w:cs="Arial"/>
        </w:rPr>
      </w:pPr>
      <w:r w:rsidRPr="002A0BDB">
        <w:rPr>
          <w:rFonts w:ascii="Arial" w:hAnsi="Arial" w:cs="Arial"/>
        </w:rPr>
        <w:t xml:space="preserve">The philosophy that is employed in the research is </w:t>
      </w:r>
      <w:proofErr w:type="spellStart"/>
      <w:r w:rsidRPr="002A0BDB">
        <w:rPr>
          <w:rFonts w:ascii="Arial" w:hAnsi="Arial" w:cs="Arial"/>
        </w:rPr>
        <w:t>interpretivism</w:t>
      </w:r>
      <w:proofErr w:type="spellEnd"/>
      <w:r w:rsidRPr="002A0BDB">
        <w:rPr>
          <w:rFonts w:ascii="Arial" w:hAnsi="Arial" w:cs="Arial"/>
        </w:rPr>
        <w:t xml:space="preserve">, which views reality as a social construct based on human experience. </w:t>
      </w:r>
      <w:proofErr w:type="spellStart"/>
      <w:r w:rsidRPr="002A0BDB">
        <w:rPr>
          <w:rFonts w:ascii="Arial" w:hAnsi="Arial" w:cs="Arial"/>
        </w:rPr>
        <w:t>Interpretivism</w:t>
      </w:r>
      <w:proofErr w:type="spellEnd"/>
      <w:r w:rsidRPr="002A0BDB">
        <w:rPr>
          <w:rFonts w:ascii="Arial" w:hAnsi="Arial" w:cs="Arial"/>
        </w:rPr>
        <w:t xml:space="preserve"> also presupposes the existence of various realities and meanings that are created based on a contextual understanding and constructed nature of reality, elaborate the significance of personal experiences (Salzmann-Erikson, 2024). Improved comprehension of the intricate phenomena is in accord with such a philosophical approach as the qualitative inquiry that aims to measure variables. Interpretive research has been incorporated into the study as a means of on the perceptions on the molecular epidemiology tools utilised as public health interventions to reduce cholera. </w:t>
      </w:r>
      <w:proofErr w:type="spellStart"/>
      <w:r w:rsidRPr="002A0BDB">
        <w:rPr>
          <w:rFonts w:ascii="Arial" w:hAnsi="Arial" w:cs="Arial"/>
        </w:rPr>
        <w:t>Interpretivism</w:t>
      </w:r>
      <w:proofErr w:type="spellEnd"/>
      <w:r w:rsidRPr="002A0BDB">
        <w:rPr>
          <w:rFonts w:ascii="Arial" w:hAnsi="Arial" w:cs="Arial"/>
        </w:rPr>
        <w:t xml:space="preserve"> as a paradigm, which responds to the perceptions of the participants in order to comprehend the phenomena based on the contextual environment (Arias and Li, 2025). The </w:t>
      </w:r>
      <w:proofErr w:type="spellStart"/>
      <w:r w:rsidRPr="002A0BDB">
        <w:rPr>
          <w:rFonts w:ascii="Arial" w:hAnsi="Arial" w:cs="Arial"/>
        </w:rPr>
        <w:t>interpretivism</w:t>
      </w:r>
      <w:proofErr w:type="spellEnd"/>
      <w:r w:rsidRPr="002A0BDB">
        <w:rPr>
          <w:rFonts w:ascii="Arial" w:hAnsi="Arial" w:cs="Arial"/>
        </w:rPr>
        <w:t xml:space="preserve"> application was enable this systematic review to understand how the instruments of molecular epidemiology are perceived in various circumstances of public health to reverse the transmission of cholera. In addition, the </w:t>
      </w:r>
      <w:proofErr w:type="spellStart"/>
      <w:r w:rsidRPr="002A0BDB">
        <w:rPr>
          <w:rFonts w:ascii="Arial" w:hAnsi="Arial" w:cs="Arial"/>
        </w:rPr>
        <w:t>interpretivism</w:t>
      </w:r>
      <w:proofErr w:type="spellEnd"/>
      <w:r w:rsidRPr="002A0BDB">
        <w:rPr>
          <w:rFonts w:ascii="Arial" w:hAnsi="Arial" w:cs="Arial"/>
        </w:rPr>
        <w:t xml:space="preserve"> approach places a researcher as an active intruder of evidence, and not a viewer of a distinct reality (Clare and </w:t>
      </w:r>
      <w:proofErr w:type="spellStart"/>
      <w:r w:rsidRPr="002A0BDB">
        <w:rPr>
          <w:rFonts w:ascii="Arial" w:hAnsi="Arial" w:cs="Arial"/>
        </w:rPr>
        <w:t>Kourousis</w:t>
      </w:r>
      <w:proofErr w:type="spellEnd"/>
      <w:r w:rsidRPr="002A0BDB">
        <w:rPr>
          <w:rFonts w:ascii="Arial" w:hAnsi="Arial" w:cs="Arial"/>
        </w:rPr>
        <w:t xml:space="preserve">, 2021). This review is supported by </w:t>
      </w:r>
      <w:proofErr w:type="spellStart"/>
      <w:r w:rsidRPr="002A0BDB">
        <w:rPr>
          <w:rFonts w:ascii="Arial" w:hAnsi="Arial" w:cs="Arial"/>
        </w:rPr>
        <w:t>interpretivism</w:t>
      </w:r>
      <w:proofErr w:type="spellEnd"/>
      <w:r w:rsidRPr="002A0BDB">
        <w:rPr>
          <w:rFonts w:ascii="Arial" w:hAnsi="Arial" w:cs="Arial"/>
        </w:rPr>
        <w:t xml:space="preserve"> because it allows us to understand the context of application of molecular epidemiology in the context of its influence on the preventive measures of cholera.</w:t>
      </w:r>
    </w:p>
    <w:p w14:paraId="24F6C4AF" w14:textId="29491C7D" w:rsidR="00633AD5" w:rsidRPr="002A0BDB" w:rsidRDefault="00633AD5" w:rsidP="00A87AD7">
      <w:pPr>
        <w:pStyle w:val="Heading2"/>
        <w:spacing w:line="360" w:lineRule="auto"/>
        <w:jc w:val="both"/>
        <w:rPr>
          <w:rFonts w:ascii="Arial" w:hAnsi="Arial" w:cs="Arial"/>
          <w:color w:val="auto"/>
          <w:sz w:val="22"/>
        </w:rPr>
      </w:pPr>
      <w:bookmarkStart w:id="40" w:name="_Toc218687788"/>
      <w:bookmarkStart w:id="41" w:name="_Toc220494138"/>
      <w:r w:rsidRPr="002A0BDB">
        <w:rPr>
          <w:rFonts w:ascii="Arial" w:hAnsi="Arial" w:cs="Arial"/>
          <w:color w:val="auto"/>
          <w:sz w:val="22"/>
        </w:rPr>
        <w:lastRenderedPageBreak/>
        <w:t>3.3 Research strategy</w:t>
      </w:r>
      <w:bookmarkEnd w:id="40"/>
      <w:bookmarkEnd w:id="41"/>
    </w:p>
    <w:p w14:paraId="29E43B6D" w14:textId="77777777" w:rsidR="00633AD5" w:rsidRPr="002A0BDB" w:rsidRDefault="00633AD5" w:rsidP="00633AD5">
      <w:pPr>
        <w:spacing w:line="360" w:lineRule="auto"/>
        <w:jc w:val="both"/>
        <w:rPr>
          <w:rFonts w:ascii="Arial" w:hAnsi="Arial" w:cs="Arial"/>
        </w:rPr>
      </w:pPr>
      <w:r w:rsidRPr="002A0BDB">
        <w:rPr>
          <w:rFonts w:ascii="Arial" w:hAnsi="Arial" w:cs="Arial"/>
        </w:rPr>
        <w:t>The research study adopts the systematic review research strategy; the researcher developed interpretations and insights on the exact patterns that arise in the literature. An inductive strategy begins with certain evidence of a certain nature and generates broad conceptual knowledge, and a variable of interest follows an ordinal distribution (</w:t>
      </w:r>
      <w:proofErr w:type="spellStart"/>
      <w:r w:rsidRPr="002A0BDB">
        <w:rPr>
          <w:rFonts w:ascii="Arial" w:hAnsi="Arial" w:cs="Arial"/>
        </w:rPr>
        <w:t>Grek</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This methodology is appropriate when it comes to studying a complex situation related to the cholera control efforts implemented by the use of molecular epidemiology tools in population health. In cases where the likelihood exists that the pre-determined theories are constrained. One of the techniques is qualitative inductive reasoning in which the themes and insights can be directly inferred from the review data instead of testing a hypothesis (</w:t>
      </w:r>
      <w:proofErr w:type="spellStart"/>
      <w:r w:rsidRPr="002A0BDB">
        <w:rPr>
          <w:rFonts w:ascii="Arial" w:hAnsi="Arial" w:cs="Arial"/>
        </w:rPr>
        <w:t>Rana</w:t>
      </w:r>
      <w:proofErr w:type="spellEnd"/>
      <w:r w:rsidRPr="002A0BDB">
        <w:rPr>
          <w:rFonts w:ascii="Arial" w:hAnsi="Arial" w:cs="Arial"/>
        </w:rPr>
        <w:t xml:space="preserve">, </w:t>
      </w:r>
      <w:proofErr w:type="spellStart"/>
      <w:r w:rsidRPr="002A0BDB">
        <w:rPr>
          <w:rFonts w:ascii="Arial" w:hAnsi="Arial" w:cs="Arial"/>
        </w:rPr>
        <w:t>Poudel</w:t>
      </w:r>
      <w:proofErr w:type="spellEnd"/>
      <w:r w:rsidRPr="002A0BDB">
        <w:rPr>
          <w:rFonts w:ascii="Arial" w:hAnsi="Arial" w:cs="Arial"/>
        </w:rPr>
        <w:t xml:space="preserve">, and </w:t>
      </w:r>
      <w:proofErr w:type="spellStart"/>
      <w:r w:rsidRPr="002A0BDB">
        <w:rPr>
          <w:rFonts w:ascii="Arial" w:hAnsi="Arial" w:cs="Arial"/>
        </w:rPr>
        <w:t>Chimoriya</w:t>
      </w:r>
      <w:proofErr w:type="spellEnd"/>
      <w:r w:rsidRPr="002A0BDB">
        <w:rPr>
          <w:rFonts w:ascii="Arial" w:hAnsi="Arial" w:cs="Arial"/>
        </w:rPr>
        <w:t>, 2023). A study that involves inductive interpretation of evidence between studies can be carried out using methods of narrative and thematic synthesis (</w:t>
      </w:r>
      <w:proofErr w:type="spellStart"/>
      <w:r w:rsidRPr="002A0BDB">
        <w:rPr>
          <w:rFonts w:ascii="Arial" w:hAnsi="Arial" w:cs="Arial"/>
        </w:rPr>
        <w:t>MajaGaborov</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The deductive approaches are not relevant in this case because they assume the application of past theories in order to test them, which is not the aim of this exploratory review.</w:t>
      </w:r>
    </w:p>
    <w:p w14:paraId="30DDB298" w14:textId="74D6A7EC" w:rsidR="00633AD5" w:rsidRPr="002A0BDB" w:rsidRDefault="00633AD5" w:rsidP="00A87AD7">
      <w:pPr>
        <w:pStyle w:val="Heading2"/>
        <w:spacing w:line="360" w:lineRule="auto"/>
        <w:jc w:val="both"/>
        <w:rPr>
          <w:rFonts w:ascii="Arial" w:hAnsi="Arial" w:cs="Arial"/>
          <w:color w:val="auto"/>
          <w:sz w:val="22"/>
        </w:rPr>
      </w:pPr>
      <w:bookmarkStart w:id="42" w:name="_Toc218687789"/>
      <w:bookmarkStart w:id="43" w:name="_Toc220494139"/>
      <w:r w:rsidRPr="002A0BDB">
        <w:rPr>
          <w:rFonts w:ascii="Arial" w:hAnsi="Arial" w:cs="Arial"/>
          <w:color w:val="auto"/>
          <w:sz w:val="22"/>
        </w:rPr>
        <w:t>3.4 Research Design</w:t>
      </w:r>
      <w:bookmarkEnd w:id="42"/>
      <w:bookmarkEnd w:id="43"/>
    </w:p>
    <w:p w14:paraId="4419503A" w14:textId="77777777" w:rsidR="00633AD5" w:rsidRPr="002A0BDB" w:rsidRDefault="00633AD5" w:rsidP="00633AD5">
      <w:pPr>
        <w:spacing w:line="360" w:lineRule="auto"/>
        <w:jc w:val="both"/>
        <w:rPr>
          <w:rFonts w:ascii="Arial" w:hAnsi="Arial" w:cs="Arial"/>
        </w:rPr>
      </w:pPr>
      <w:r w:rsidRPr="002A0BDB">
        <w:rPr>
          <w:rFonts w:ascii="Arial" w:hAnsi="Arial" w:cs="Arial"/>
        </w:rPr>
        <w:t>The research design that should be used in this research is a systematic review because the kind of research design has been chosen due to the need to conduct methodologically viable and transparent research. A systematic review process is conducted with respect to a series of steps that allow identifying, assessing, and synthesizing the available evidence using the conventional methods of molecular epidemiology tools in cholera control (</w:t>
      </w:r>
      <w:proofErr w:type="spellStart"/>
      <w:r w:rsidRPr="002A0BDB">
        <w:rPr>
          <w:rFonts w:ascii="Arial" w:hAnsi="Arial" w:cs="Arial"/>
        </w:rPr>
        <w:t>Nur</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It enables ordered research to be conducted regarding the contributions of the molecular data on the process of informing professionals on the best intervention strategies against the indirect mode of transmission. The systematic reviews allow the comparison of various molecular tools in the prism of the outbreaks that cannot be considered through the narrative review (Bae </w:t>
      </w:r>
      <w:r w:rsidRPr="002A0BDB">
        <w:rPr>
          <w:rFonts w:ascii="Arial" w:hAnsi="Arial" w:cs="Arial"/>
          <w:i/>
          <w:iCs/>
        </w:rPr>
        <w:t>et al.</w:t>
      </w:r>
      <w:r w:rsidRPr="002A0BDB">
        <w:rPr>
          <w:rFonts w:ascii="Arial" w:hAnsi="Arial" w:cs="Arial"/>
        </w:rPr>
        <w:t xml:space="preserve"> 2022). The authors consider systematic reviews as beneficial designs, and they might be used to consolidate the complex epidemiology evidence on the topic of the relationship between public health and genomics (</w:t>
      </w:r>
      <w:proofErr w:type="spellStart"/>
      <w:r w:rsidRPr="002A0BDB">
        <w:rPr>
          <w:rFonts w:ascii="Arial" w:hAnsi="Arial" w:cs="Arial"/>
        </w:rPr>
        <w:t>Zhong</w:t>
      </w:r>
      <w:proofErr w:type="spellEnd"/>
      <w:r w:rsidRPr="002A0BDB">
        <w:rPr>
          <w:rFonts w:ascii="Arial" w:hAnsi="Arial" w:cs="Arial"/>
        </w:rPr>
        <w:t xml:space="preserve"> </w:t>
      </w:r>
      <w:r w:rsidRPr="002A0BDB">
        <w:rPr>
          <w:rFonts w:ascii="Arial" w:hAnsi="Arial" w:cs="Arial"/>
          <w:i/>
          <w:iCs/>
        </w:rPr>
        <w:t xml:space="preserve">et al. </w:t>
      </w:r>
      <w:r w:rsidRPr="002A0BDB">
        <w:rPr>
          <w:rFonts w:ascii="Arial" w:hAnsi="Arial" w:cs="Arial"/>
        </w:rPr>
        <w:t xml:space="preserve">2021). </w:t>
      </w:r>
    </w:p>
    <w:p w14:paraId="7E46191A" w14:textId="69F4F1A2" w:rsidR="00633AD5" w:rsidRPr="002A0BDB" w:rsidRDefault="00633AD5" w:rsidP="00A87AD7">
      <w:pPr>
        <w:pStyle w:val="Heading2"/>
        <w:spacing w:line="360" w:lineRule="auto"/>
        <w:jc w:val="both"/>
        <w:rPr>
          <w:rFonts w:ascii="Arial" w:hAnsi="Arial" w:cs="Arial"/>
          <w:color w:val="auto"/>
          <w:sz w:val="22"/>
          <w:lang w:eastAsia="en-US"/>
        </w:rPr>
      </w:pPr>
      <w:bookmarkStart w:id="44" w:name="_Toc219481476"/>
      <w:bookmarkStart w:id="45" w:name="_Toc220494140"/>
      <w:r w:rsidRPr="002A0BDB">
        <w:rPr>
          <w:rFonts w:ascii="Arial" w:hAnsi="Arial" w:cs="Arial"/>
          <w:color w:val="auto"/>
          <w:sz w:val="22"/>
          <w:lang w:eastAsia="en-US"/>
        </w:rPr>
        <w:t>3.5 Study design – systematic review</w:t>
      </w:r>
      <w:bookmarkEnd w:id="44"/>
      <w:bookmarkEnd w:id="45"/>
    </w:p>
    <w:p w14:paraId="623E08E2"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 xml:space="preserve">The inclusion and exclusion criteria had been pre-defined to select the studies so that methodological rigour and relevance are achieved. Only the peer-reviewed and open-access articles that have been published in the past five years (2022-2026) have been considered to incorporate the current evidence regarding the UK public health situation. Only the articles written </w:t>
      </w:r>
      <w:r w:rsidRPr="002A0BDB">
        <w:rPr>
          <w:rFonts w:ascii="Arial" w:hAnsi="Arial" w:cs="Arial"/>
          <w:lang w:eastAsia="en-US"/>
        </w:rPr>
        <w:lastRenderedPageBreak/>
        <w:t xml:space="preserve">in English were selected because the interpretation of the data will be true and consistent. The research papers were narrowed according to their relevance to the interventions, programmes, Cholera prevention, healthcare provision and population health outcomes of the public. The various works that were not founded on the relevant and current evidence or inaccessibility to the entire text were removed. The selective process was systematic to ensure that the final body of literature was valid, current and directly related to the objectives of the study, and this ensured the findings were stronger in regard to validity and credibility. </w:t>
      </w:r>
    </w:p>
    <w:p w14:paraId="52AA5E4E" w14:textId="52571D50" w:rsidR="00633AD5" w:rsidRPr="002A0BDB" w:rsidRDefault="00633AD5" w:rsidP="00A87AD7">
      <w:pPr>
        <w:pStyle w:val="Heading2"/>
        <w:spacing w:line="360" w:lineRule="auto"/>
        <w:jc w:val="both"/>
        <w:rPr>
          <w:rFonts w:ascii="Arial" w:hAnsi="Arial" w:cs="Arial"/>
          <w:color w:val="auto"/>
          <w:sz w:val="22"/>
          <w:lang w:eastAsia="en-US"/>
        </w:rPr>
      </w:pPr>
      <w:bookmarkStart w:id="46" w:name="_Toc219481477"/>
      <w:bookmarkStart w:id="47" w:name="_Toc220494141"/>
      <w:r w:rsidRPr="002A0BDB">
        <w:rPr>
          <w:rFonts w:ascii="Arial" w:hAnsi="Arial" w:cs="Arial"/>
          <w:color w:val="auto"/>
          <w:sz w:val="22"/>
          <w:lang w:eastAsia="en-US"/>
        </w:rPr>
        <w:t>3.6 Method of data collection</w:t>
      </w:r>
      <w:bookmarkEnd w:id="46"/>
      <w:bookmarkEnd w:id="47"/>
    </w:p>
    <w:p w14:paraId="6B32EDFF" w14:textId="74E6B914" w:rsidR="00633AD5" w:rsidRPr="002A0BDB" w:rsidRDefault="00633AD5" w:rsidP="00CB67F7">
      <w:pPr>
        <w:pStyle w:val="Heading3"/>
      </w:pPr>
      <w:bookmarkStart w:id="48" w:name="_Toc219481478"/>
      <w:bookmarkStart w:id="49" w:name="_Toc220494142"/>
      <w:r w:rsidRPr="002A0BDB">
        <w:t>3.6.1 Search strategy</w:t>
      </w:r>
      <w:bookmarkEnd w:id="48"/>
      <w:bookmarkEnd w:id="49"/>
    </w:p>
    <w:p w14:paraId="1BE13491" w14:textId="77777777" w:rsidR="00633AD5" w:rsidRPr="002A0BDB" w:rsidRDefault="00633AD5" w:rsidP="00633AD5">
      <w:pPr>
        <w:spacing w:line="360" w:lineRule="auto"/>
        <w:jc w:val="both"/>
        <w:rPr>
          <w:rFonts w:ascii="Arial" w:hAnsi="Arial" w:cs="Arial"/>
        </w:rPr>
      </w:pPr>
      <w:bookmarkStart w:id="50" w:name="_Toc219481479"/>
      <w:r w:rsidRPr="002A0BDB">
        <w:rPr>
          <w:rFonts w:ascii="Arial" w:hAnsi="Arial" w:cs="Arial"/>
        </w:rPr>
        <w:t xml:space="preserve">The corresponding data is systematically retrieved, and, in this instance, the systematic search strategy was used, relying on keywords that were established based on the subject of interest of the study. The most significant words were “Vibrio </w:t>
      </w:r>
      <w:proofErr w:type="spellStart"/>
      <w:r w:rsidRPr="002A0BDB">
        <w:rPr>
          <w:rFonts w:ascii="Arial" w:hAnsi="Arial" w:cs="Arial"/>
        </w:rPr>
        <w:t>cholerae</w:t>
      </w:r>
      <w:proofErr w:type="spellEnd"/>
      <w:r w:rsidRPr="002A0BDB">
        <w:rPr>
          <w:rFonts w:ascii="Arial" w:hAnsi="Arial" w:cs="Arial"/>
        </w:rPr>
        <w:t xml:space="preserve">”, “Cholera”, “Molecular Epidemiology”, “Transmission Prevention”, “Disease Control”, and “Public Health Intervention”. The operators of Boolean operators, such as AND OR, have been used in narrowing down the search results and eventually reduced to the works. Literature synthesis in of the field of molecular epidemiology is more detailed and complete since search methods are well-defined, and systematic search methods could be adopted (Jiang </w:t>
      </w:r>
      <w:r w:rsidRPr="002A0BDB">
        <w:rPr>
          <w:rFonts w:ascii="Arial" w:hAnsi="Arial" w:cs="Arial"/>
          <w:i/>
          <w:iCs/>
        </w:rPr>
        <w:t>et al.</w:t>
      </w:r>
      <w:r w:rsidRPr="002A0BDB">
        <w:rPr>
          <w:rFonts w:ascii="Arial" w:hAnsi="Arial" w:cs="Arial"/>
        </w:rPr>
        <w:t xml:space="preserve"> 2025). The identified keyword searches were used to locate the studies that contain the application of molecular data in the context of public health interventions to enable the review to reach the evidence-based results of cholera prevention. This strategy ensured uniformity and relevance of the data from the systematic review.</w:t>
      </w:r>
    </w:p>
    <w:p w14:paraId="29AA6BEE" w14:textId="77777777" w:rsidR="00633AD5" w:rsidRPr="002A0BDB" w:rsidRDefault="00633AD5" w:rsidP="00CB67F7">
      <w:pPr>
        <w:pStyle w:val="Heading3"/>
      </w:pPr>
      <w:bookmarkStart w:id="51" w:name="_Toc220494143"/>
      <w:r w:rsidRPr="002A0BDB">
        <w:t>3.6.2 Framing the research question:</w:t>
      </w:r>
      <w:bookmarkEnd w:id="50"/>
      <w:bookmarkEnd w:id="51"/>
    </w:p>
    <w:p w14:paraId="09FB475B" w14:textId="77777777" w:rsidR="00633AD5" w:rsidRPr="002A0BDB" w:rsidRDefault="00633AD5" w:rsidP="00633AD5">
      <w:pPr>
        <w:spacing w:line="360" w:lineRule="auto"/>
        <w:jc w:val="both"/>
        <w:rPr>
          <w:rFonts w:ascii="Arial" w:hAnsi="Arial" w:cs="Arial"/>
          <w:lang w:eastAsia="en-US"/>
        </w:rPr>
      </w:pPr>
    </w:p>
    <w:tbl>
      <w:tblPr>
        <w:tblW w:w="8775" w:type="dxa"/>
        <w:jc w:val="center"/>
        <w:tblBorders>
          <w:insideH w:val="nil"/>
          <w:insideV w:val="nil"/>
        </w:tblBorders>
        <w:tblLayout w:type="fixed"/>
        <w:tblLook w:val="0600" w:firstRow="0" w:lastRow="0" w:firstColumn="0" w:lastColumn="0" w:noHBand="1" w:noVBand="1"/>
      </w:tblPr>
      <w:tblGrid>
        <w:gridCol w:w="3555"/>
        <w:gridCol w:w="5220"/>
      </w:tblGrid>
      <w:tr w:rsidR="002A0BDB" w:rsidRPr="002A0BDB" w14:paraId="13F0787A" w14:textId="77777777" w:rsidTr="00A74AB9">
        <w:trPr>
          <w:cantSplit/>
          <w:trHeight w:val="270"/>
          <w:tblHeader/>
          <w:jc w:val="center"/>
        </w:trPr>
        <w:tc>
          <w:tcPr>
            <w:tcW w:w="3555"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hideMark/>
          </w:tcPr>
          <w:p w14:paraId="07ED22E3" w14:textId="77777777" w:rsidR="00633AD5" w:rsidRPr="002A0BDB" w:rsidRDefault="00633AD5" w:rsidP="00633AD5">
            <w:pPr>
              <w:spacing w:line="360" w:lineRule="auto"/>
              <w:ind w:left="120"/>
              <w:jc w:val="both"/>
              <w:rPr>
                <w:rFonts w:ascii="Arial" w:hAnsi="Arial" w:cs="Arial"/>
                <w:b/>
                <w:bCs/>
                <w:lang w:eastAsia="en-US"/>
              </w:rPr>
            </w:pPr>
            <w:r w:rsidRPr="002A0BDB">
              <w:rPr>
                <w:rFonts w:ascii="Arial" w:hAnsi="Arial" w:cs="Arial"/>
                <w:b/>
                <w:bCs/>
                <w:lang w:eastAsia="en-US"/>
              </w:rPr>
              <w:lastRenderedPageBreak/>
              <w:t>PICO</w:t>
            </w:r>
          </w:p>
        </w:tc>
        <w:tc>
          <w:tcPr>
            <w:tcW w:w="5220" w:type="dxa"/>
            <w:tcBorders>
              <w:top w:val="single" w:sz="8" w:space="0" w:color="000000"/>
              <w:left w:val="nil"/>
              <w:bottom w:val="single" w:sz="8" w:space="0" w:color="000000"/>
              <w:right w:val="single" w:sz="8" w:space="0" w:color="000000"/>
            </w:tcBorders>
            <w:tcMar>
              <w:top w:w="0" w:type="dxa"/>
              <w:left w:w="0" w:type="dxa"/>
              <w:bottom w:w="0" w:type="dxa"/>
              <w:right w:w="0" w:type="dxa"/>
            </w:tcMar>
            <w:hideMark/>
          </w:tcPr>
          <w:p w14:paraId="2F60141D" w14:textId="77777777" w:rsidR="00633AD5" w:rsidRPr="002A0BDB" w:rsidRDefault="00633AD5" w:rsidP="00633AD5">
            <w:pPr>
              <w:spacing w:line="360" w:lineRule="auto"/>
              <w:ind w:left="120"/>
              <w:jc w:val="both"/>
              <w:rPr>
                <w:rFonts w:ascii="Arial" w:hAnsi="Arial" w:cs="Arial"/>
                <w:b/>
                <w:bCs/>
                <w:lang w:eastAsia="en-US"/>
              </w:rPr>
            </w:pPr>
            <w:r w:rsidRPr="002A0BDB">
              <w:rPr>
                <w:rFonts w:ascii="Arial" w:hAnsi="Arial" w:cs="Arial"/>
                <w:b/>
                <w:bCs/>
                <w:lang w:eastAsia="en-US"/>
              </w:rPr>
              <w:t>Search Terms</w:t>
            </w:r>
          </w:p>
        </w:tc>
      </w:tr>
      <w:tr w:rsidR="002A0BDB" w:rsidRPr="002A0BDB" w14:paraId="03D35128" w14:textId="77777777" w:rsidTr="00A74AB9">
        <w:trPr>
          <w:cantSplit/>
          <w:trHeight w:val="255"/>
          <w:tblHeader/>
          <w:jc w:val="center"/>
        </w:trPr>
        <w:tc>
          <w:tcPr>
            <w:tcW w:w="3555" w:type="dxa"/>
            <w:tcBorders>
              <w:top w:val="nil"/>
              <w:left w:val="single" w:sz="8" w:space="0" w:color="000000"/>
              <w:bottom w:val="single" w:sz="8" w:space="0" w:color="000000"/>
              <w:right w:val="single" w:sz="8" w:space="0" w:color="000000"/>
            </w:tcBorders>
            <w:tcMar>
              <w:top w:w="0" w:type="dxa"/>
              <w:left w:w="0" w:type="dxa"/>
              <w:bottom w:w="0" w:type="dxa"/>
              <w:right w:w="0" w:type="dxa"/>
            </w:tcMar>
            <w:hideMark/>
          </w:tcPr>
          <w:p w14:paraId="0B4A8EEE" w14:textId="77777777" w:rsidR="00633AD5" w:rsidRPr="002A0BDB" w:rsidRDefault="00633AD5" w:rsidP="00633AD5">
            <w:pPr>
              <w:spacing w:line="360" w:lineRule="auto"/>
              <w:ind w:left="120"/>
              <w:jc w:val="both"/>
              <w:rPr>
                <w:rFonts w:ascii="Arial" w:hAnsi="Arial" w:cs="Arial"/>
                <w:b/>
                <w:bCs/>
                <w:lang w:eastAsia="en-US"/>
              </w:rPr>
            </w:pPr>
            <w:r w:rsidRPr="002A0BDB">
              <w:rPr>
                <w:rFonts w:ascii="Arial" w:hAnsi="Arial" w:cs="Arial"/>
                <w:b/>
                <w:bCs/>
                <w:lang w:eastAsia="en-US"/>
              </w:rPr>
              <w:t>Population</w:t>
            </w:r>
          </w:p>
        </w:tc>
        <w:tc>
          <w:tcPr>
            <w:tcW w:w="5220" w:type="dxa"/>
            <w:tcBorders>
              <w:top w:val="nil"/>
              <w:left w:val="nil"/>
              <w:bottom w:val="single" w:sz="8" w:space="0" w:color="000000"/>
              <w:right w:val="single" w:sz="8" w:space="0" w:color="000000"/>
            </w:tcBorders>
            <w:tcMar>
              <w:top w:w="0" w:type="dxa"/>
              <w:left w:w="0" w:type="dxa"/>
              <w:bottom w:w="0" w:type="dxa"/>
              <w:right w:w="0" w:type="dxa"/>
            </w:tcMar>
            <w:hideMark/>
          </w:tcPr>
          <w:p w14:paraId="4659F330" w14:textId="77777777" w:rsidR="00633AD5" w:rsidRPr="002A0BDB" w:rsidRDefault="00633AD5" w:rsidP="00633AD5">
            <w:pPr>
              <w:spacing w:line="360" w:lineRule="auto"/>
              <w:ind w:right="160"/>
              <w:jc w:val="both"/>
              <w:rPr>
                <w:rFonts w:ascii="Arial" w:hAnsi="Arial" w:cs="Arial"/>
                <w:lang w:eastAsia="en-US"/>
              </w:rPr>
            </w:pPr>
            <w:r w:rsidRPr="002A0BDB">
              <w:rPr>
                <w:rFonts w:ascii="Arial" w:hAnsi="Arial" w:cs="Arial"/>
                <w:lang w:eastAsia="en-US"/>
              </w:rPr>
              <w:t xml:space="preserve"> Population of the UK</w:t>
            </w:r>
          </w:p>
        </w:tc>
      </w:tr>
      <w:tr w:rsidR="002A0BDB" w:rsidRPr="002A0BDB" w14:paraId="74A19BF1" w14:textId="77777777" w:rsidTr="00A74AB9">
        <w:trPr>
          <w:cantSplit/>
          <w:trHeight w:val="120"/>
          <w:tblHeader/>
          <w:jc w:val="center"/>
        </w:trPr>
        <w:tc>
          <w:tcPr>
            <w:tcW w:w="3555" w:type="dxa"/>
            <w:tcBorders>
              <w:top w:val="nil"/>
              <w:left w:val="single" w:sz="8" w:space="0" w:color="000000"/>
              <w:bottom w:val="single" w:sz="8" w:space="0" w:color="000000"/>
              <w:right w:val="single" w:sz="8" w:space="0" w:color="000000"/>
            </w:tcBorders>
            <w:tcMar>
              <w:top w:w="0" w:type="dxa"/>
              <w:left w:w="0" w:type="dxa"/>
              <w:bottom w:w="0" w:type="dxa"/>
              <w:right w:w="0" w:type="dxa"/>
            </w:tcMar>
            <w:hideMark/>
          </w:tcPr>
          <w:p w14:paraId="5CDD2167" w14:textId="77777777" w:rsidR="00633AD5" w:rsidRPr="002A0BDB" w:rsidRDefault="00633AD5" w:rsidP="00633AD5">
            <w:pPr>
              <w:spacing w:line="360" w:lineRule="auto"/>
              <w:ind w:left="120"/>
              <w:jc w:val="both"/>
              <w:rPr>
                <w:rFonts w:ascii="Arial" w:hAnsi="Arial" w:cs="Arial"/>
                <w:b/>
                <w:bCs/>
                <w:lang w:eastAsia="en-US"/>
              </w:rPr>
            </w:pPr>
            <w:r w:rsidRPr="002A0BDB">
              <w:rPr>
                <w:rFonts w:ascii="Arial" w:hAnsi="Arial" w:cs="Arial"/>
                <w:b/>
                <w:bCs/>
                <w:lang w:eastAsia="en-US"/>
              </w:rPr>
              <w:t>Intervention</w:t>
            </w:r>
          </w:p>
        </w:tc>
        <w:tc>
          <w:tcPr>
            <w:tcW w:w="5220" w:type="dxa"/>
            <w:tcBorders>
              <w:top w:val="nil"/>
              <w:left w:val="nil"/>
              <w:bottom w:val="single" w:sz="8" w:space="0" w:color="000000"/>
              <w:right w:val="single" w:sz="8" w:space="0" w:color="000000"/>
            </w:tcBorders>
            <w:tcMar>
              <w:top w:w="0" w:type="dxa"/>
              <w:left w:w="0" w:type="dxa"/>
              <w:bottom w:w="0" w:type="dxa"/>
              <w:right w:w="0" w:type="dxa"/>
            </w:tcMar>
            <w:hideMark/>
          </w:tcPr>
          <w:p w14:paraId="2A575D43"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 xml:space="preserve">Public health interventions for cholera prevention </w:t>
            </w:r>
          </w:p>
        </w:tc>
      </w:tr>
      <w:tr w:rsidR="002A0BDB" w:rsidRPr="002A0BDB" w14:paraId="5AFB7EF0" w14:textId="77777777" w:rsidTr="00A74AB9">
        <w:trPr>
          <w:cantSplit/>
          <w:trHeight w:val="270"/>
          <w:tblHeader/>
          <w:jc w:val="center"/>
        </w:trPr>
        <w:tc>
          <w:tcPr>
            <w:tcW w:w="3555" w:type="dxa"/>
            <w:tcBorders>
              <w:top w:val="nil"/>
              <w:left w:val="single" w:sz="8" w:space="0" w:color="000000"/>
              <w:bottom w:val="single" w:sz="8" w:space="0" w:color="000000"/>
              <w:right w:val="single" w:sz="8" w:space="0" w:color="000000"/>
            </w:tcBorders>
            <w:tcMar>
              <w:top w:w="0" w:type="dxa"/>
              <w:left w:w="0" w:type="dxa"/>
              <w:bottom w:w="0" w:type="dxa"/>
              <w:right w:w="0" w:type="dxa"/>
            </w:tcMar>
            <w:hideMark/>
          </w:tcPr>
          <w:p w14:paraId="76E86D20" w14:textId="77777777" w:rsidR="00633AD5" w:rsidRPr="002A0BDB" w:rsidRDefault="00633AD5" w:rsidP="00633AD5">
            <w:pPr>
              <w:spacing w:line="360" w:lineRule="auto"/>
              <w:ind w:left="120"/>
              <w:jc w:val="both"/>
              <w:rPr>
                <w:rFonts w:ascii="Arial" w:hAnsi="Arial" w:cs="Arial"/>
                <w:b/>
                <w:bCs/>
                <w:lang w:eastAsia="en-US"/>
              </w:rPr>
            </w:pPr>
            <w:r w:rsidRPr="002A0BDB">
              <w:rPr>
                <w:rFonts w:ascii="Arial" w:hAnsi="Arial" w:cs="Arial"/>
                <w:b/>
                <w:bCs/>
                <w:lang w:eastAsia="en-US"/>
              </w:rPr>
              <w:t>Comparison</w:t>
            </w:r>
          </w:p>
        </w:tc>
        <w:tc>
          <w:tcPr>
            <w:tcW w:w="5220" w:type="dxa"/>
            <w:tcBorders>
              <w:top w:val="nil"/>
              <w:left w:val="nil"/>
              <w:bottom w:val="single" w:sz="8" w:space="0" w:color="000000"/>
              <w:right w:val="single" w:sz="8" w:space="0" w:color="000000"/>
            </w:tcBorders>
            <w:tcMar>
              <w:top w:w="0" w:type="dxa"/>
              <w:left w:w="0" w:type="dxa"/>
              <w:bottom w:w="0" w:type="dxa"/>
              <w:right w:w="0" w:type="dxa"/>
            </w:tcMar>
            <w:hideMark/>
          </w:tcPr>
          <w:p w14:paraId="4DAF5923"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Individual-based clinical approaches, environmental interventions, and prevention measures.</w:t>
            </w:r>
          </w:p>
        </w:tc>
      </w:tr>
      <w:tr w:rsidR="002A0BDB" w:rsidRPr="002A0BDB" w14:paraId="7BDFFE7D" w14:textId="77777777" w:rsidTr="00A74AB9">
        <w:trPr>
          <w:cantSplit/>
          <w:trHeight w:val="375"/>
          <w:tblHeader/>
          <w:jc w:val="center"/>
        </w:trPr>
        <w:tc>
          <w:tcPr>
            <w:tcW w:w="3555" w:type="dxa"/>
            <w:tcBorders>
              <w:top w:val="nil"/>
              <w:left w:val="single" w:sz="8" w:space="0" w:color="000000"/>
              <w:bottom w:val="single" w:sz="8" w:space="0" w:color="000000"/>
              <w:right w:val="single" w:sz="8" w:space="0" w:color="000000"/>
            </w:tcBorders>
            <w:tcMar>
              <w:top w:w="0" w:type="dxa"/>
              <w:left w:w="0" w:type="dxa"/>
              <w:bottom w:w="0" w:type="dxa"/>
              <w:right w:w="0" w:type="dxa"/>
            </w:tcMar>
            <w:hideMark/>
          </w:tcPr>
          <w:p w14:paraId="7D419440" w14:textId="77777777" w:rsidR="00633AD5" w:rsidRPr="002A0BDB" w:rsidRDefault="00633AD5" w:rsidP="00633AD5">
            <w:pPr>
              <w:spacing w:line="360" w:lineRule="auto"/>
              <w:ind w:left="120"/>
              <w:jc w:val="both"/>
              <w:rPr>
                <w:rFonts w:ascii="Arial" w:hAnsi="Arial" w:cs="Arial"/>
                <w:b/>
                <w:bCs/>
                <w:lang w:eastAsia="en-US"/>
              </w:rPr>
            </w:pPr>
            <w:r w:rsidRPr="002A0BDB">
              <w:rPr>
                <w:rFonts w:ascii="Arial" w:hAnsi="Arial" w:cs="Arial"/>
                <w:b/>
                <w:bCs/>
                <w:lang w:eastAsia="en-US"/>
              </w:rPr>
              <w:t>Outcome</w:t>
            </w:r>
          </w:p>
        </w:tc>
        <w:tc>
          <w:tcPr>
            <w:tcW w:w="5220" w:type="dxa"/>
            <w:tcBorders>
              <w:top w:val="nil"/>
              <w:left w:val="nil"/>
              <w:bottom w:val="single" w:sz="8" w:space="0" w:color="000000"/>
              <w:right w:val="single" w:sz="8" w:space="0" w:color="000000"/>
            </w:tcBorders>
            <w:tcMar>
              <w:top w:w="0" w:type="dxa"/>
              <w:left w:w="0" w:type="dxa"/>
              <w:bottom w:w="0" w:type="dxa"/>
              <w:right w:w="0" w:type="dxa"/>
            </w:tcMar>
            <w:hideMark/>
          </w:tcPr>
          <w:p w14:paraId="57E15E00" w14:textId="77777777" w:rsidR="00633AD5" w:rsidRPr="002A0BDB" w:rsidRDefault="00633AD5" w:rsidP="00633AD5">
            <w:pPr>
              <w:spacing w:line="360" w:lineRule="auto"/>
              <w:ind w:right="160"/>
              <w:jc w:val="both"/>
              <w:rPr>
                <w:rFonts w:ascii="Arial" w:hAnsi="Arial" w:cs="Arial"/>
                <w:lang w:eastAsia="en-US"/>
              </w:rPr>
            </w:pPr>
            <w:r w:rsidRPr="002A0BDB">
              <w:rPr>
                <w:rFonts w:ascii="Arial" w:hAnsi="Arial" w:cs="Arial"/>
                <w:lang w:eastAsia="en-US"/>
              </w:rPr>
              <w:t xml:space="preserve">Preventing cholera  </w:t>
            </w:r>
          </w:p>
        </w:tc>
      </w:tr>
      <w:tr w:rsidR="002A0BDB" w:rsidRPr="002A0BDB" w14:paraId="78448F25" w14:textId="77777777" w:rsidTr="00A74AB9">
        <w:trPr>
          <w:cantSplit/>
          <w:trHeight w:val="285"/>
          <w:tblHeader/>
          <w:jc w:val="center"/>
        </w:trPr>
        <w:tc>
          <w:tcPr>
            <w:tcW w:w="3555" w:type="dxa"/>
            <w:tcBorders>
              <w:top w:val="nil"/>
              <w:left w:val="single" w:sz="8" w:space="0" w:color="000000"/>
              <w:bottom w:val="single" w:sz="8" w:space="0" w:color="000000"/>
              <w:right w:val="single" w:sz="8" w:space="0" w:color="000000"/>
            </w:tcBorders>
            <w:tcMar>
              <w:top w:w="0" w:type="dxa"/>
              <w:left w:w="0" w:type="dxa"/>
              <w:bottom w:w="0" w:type="dxa"/>
              <w:right w:w="0" w:type="dxa"/>
            </w:tcMar>
            <w:hideMark/>
          </w:tcPr>
          <w:p w14:paraId="5B32EF1B" w14:textId="77777777" w:rsidR="00633AD5" w:rsidRPr="002A0BDB" w:rsidRDefault="00633AD5" w:rsidP="00633AD5">
            <w:pPr>
              <w:spacing w:line="360" w:lineRule="auto"/>
              <w:ind w:left="120"/>
              <w:jc w:val="both"/>
              <w:rPr>
                <w:rFonts w:ascii="Arial" w:hAnsi="Arial" w:cs="Arial"/>
                <w:b/>
                <w:bCs/>
                <w:lang w:eastAsia="en-US"/>
              </w:rPr>
            </w:pPr>
            <w:r w:rsidRPr="002A0BDB">
              <w:rPr>
                <w:rFonts w:ascii="Arial" w:hAnsi="Arial" w:cs="Arial"/>
                <w:b/>
                <w:bCs/>
                <w:lang w:eastAsia="en-US"/>
              </w:rPr>
              <w:t>SETTING</w:t>
            </w:r>
          </w:p>
        </w:tc>
        <w:tc>
          <w:tcPr>
            <w:tcW w:w="5220" w:type="dxa"/>
            <w:tcBorders>
              <w:top w:val="nil"/>
              <w:left w:val="nil"/>
              <w:bottom w:val="single" w:sz="8" w:space="0" w:color="000000"/>
              <w:right w:val="single" w:sz="8" w:space="0" w:color="000000"/>
            </w:tcBorders>
            <w:tcMar>
              <w:top w:w="0" w:type="dxa"/>
              <w:left w:w="0" w:type="dxa"/>
              <w:bottom w:w="0" w:type="dxa"/>
              <w:right w:w="0" w:type="dxa"/>
            </w:tcMar>
            <w:hideMark/>
          </w:tcPr>
          <w:p w14:paraId="4C0BB5A6" w14:textId="77777777" w:rsidR="00633AD5" w:rsidRPr="002A0BDB" w:rsidRDefault="00633AD5" w:rsidP="00633AD5">
            <w:pPr>
              <w:spacing w:line="360" w:lineRule="auto"/>
              <w:ind w:right="160"/>
              <w:jc w:val="both"/>
              <w:rPr>
                <w:rFonts w:ascii="Arial" w:hAnsi="Arial" w:cs="Arial"/>
                <w:lang w:eastAsia="en-US"/>
              </w:rPr>
            </w:pPr>
            <w:r w:rsidRPr="002A0BDB">
              <w:rPr>
                <w:rFonts w:ascii="Arial" w:hAnsi="Arial" w:cs="Arial"/>
                <w:lang w:eastAsia="en-US"/>
              </w:rPr>
              <w:t xml:space="preserve">Systematic literature reviews using a qualitative database </w:t>
            </w:r>
          </w:p>
        </w:tc>
      </w:tr>
    </w:tbl>
    <w:p w14:paraId="79348995" w14:textId="34688109" w:rsidR="00633AD5" w:rsidRPr="002A0BDB" w:rsidRDefault="00633AD5" w:rsidP="00F64A09">
      <w:pPr>
        <w:pStyle w:val="Heading5"/>
        <w:rPr>
          <w:bCs/>
          <w:color w:val="auto"/>
        </w:rPr>
      </w:pPr>
      <w:bookmarkStart w:id="52" w:name="_Toc219481861"/>
      <w:bookmarkStart w:id="53" w:name="_Toc220494312"/>
      <w:bookmarkStart w:id="54" w:name="_Toc220498205"/>
      <w:r w:rsidRPr="002A0BDB">
        <w:rPr>
          <w:color w:val="auto"/>
        </w:rPr>
        <w:t>Table 3.1: PICO framework</w:t>
      </w:r>
      <w:bookmarkEnd w:id="52"/>
      <w:bookmarkEnd w:id="53"/>
      <w:bookmarkEnd w:id="54"/>
    </w:p>
    <w:p w14:paraId="5BD21168" w14:textId="42BCEB66" w:rsidR="00633AD5" w:rsidRPr="002A0BDB" w:rsidRDefault="00633AD5" w:rsidP="00CB67F7">
      <w:pPr>
        <w:spacing w:line="360" w:lineRule="auto"/>
        <w:jc w:val="center"/>
        <w:rPr>
          <w:rFonts w:ascii="Arial" w:hAnsi="Arial" w:cs="Arial"/>
          <w:lang w:eastAsia="en-US"/>
        </w:rPr>
      </w:pPr>
      <w:r w:rsidRPr="002A0BDB">
        <w:rPr>
          <w:rFonts w:ascii="Arial" w:hAnsi="Arial" w:cs="Arial"/>
          <w:lang w:eastAsia="en-US"/>
        </w:rPr>
        <w:t>(Source: Created by author)</w:t>
      </w:r>
    </w:p>
    <w:p w14:paraId="24F2A444" w14:textId="77777777" w:rsidR="00633AD5" w:rsidRPr="002A0BDB" w:rsidRDefault="00633AD5" w:rsidP="00633AD5">
      <w:pPr>
        <w:spacing w:line="360" w:lineRule="auto"/>
        <w:jc w:val="both"/>
        <w:rPr>
          <w:rFonts w:ascii="Arial" w:hAnsi="Arial" w:cs="Arial"/>
          <w:b/>
          <w:bCs/>
          <w:lang w:eastAsia="en-US"/>
        </w:rPr>
      </w:pPr>
      <w:r w:rsidRPr="002A0BDB">
        <w:rPr>
          <w:rFonts w:ascii="Arial" w:hAnsi="Arial" w:cs="Arial"/>
          <w:b/>
          <w:bCs/>
          <w:i/>
          <w:iCs/>
          <w:lang w:eastAsia="en-US"/>
        </w:rPr>
        <w:t>Research question:</w:t>
      </w:r>
      <w:r w:rsidRPr="002A0BDB">
        <w:rPr>
          <w:rFonts w:ascii="Arial" w:hAnsi="Arial" w:cs="Arial"/>
          <w:lang w:eastAsia="en-US"/>
        </w:rPr>
        <w:t xml:space="preserve"> How molecular epidemiology tools inform public health interventions aimed at preventing and controlling indirect transmission of Cholera? </w:t>
      </w:r>
    </w:p>
    <w:p w14:paraId="5BA2198F" w14:textId="649F839D" w:rsidR="00633AD5" w:rsidRPr="002A0BDB" w:rsidRDefault="00633AD5" w:rsidP="00CB67F7">
      <w:pPr>
        <w:pStyle w:val="Heading3"/>
      </w:pPr>
      <w:bookmarkStart w:id="55" w:name="_Toc219481480"/>
      <w:bookmarkStart w:id="56" w:name="_Toc220494144"/>
      <w:r w:rsidRPr="002A0BDB">
        <w:t>3.6.3 Database search procedure</w:t>
      </w:r>
      <w:bookmarkEnd w:id="55"/>
      <w:bookmarkEnd w:id="56"/>
    </w:p>
    <w:p w14:paraId="74BB7763" w14:textId="77777777" w:rsidR="00633AD5" w:rsidRPr="002A0BDB" w:rsidRDefault="00633AD5" w:rsidP="00633AD5">
      <w:pPr>
        <w:spacing w:line="360" w:lineRule="auto"/>
        <w:jc w:val="both"/>
        <w:rPr>
          <w:rFonts w:ascii="Arial" w:hAnsi="Arial" w:cs="Arial"/>
        </w:rPr>
      </w:pPr>
      <w:r w:rsidRPr="002A0BDB">
        <w:rPr>
          <w:rFonts w:ascii="Arial" w:hAnsi="Arial" w:cs="Arial"/>
        </w:rPr>
        <w:t>The articles are topical and developed methodologically in the field of molecular epidemiology; we chose to find articles published between 2020 and 2025. Firstly, the filters were titles and abstracts that were utilised to decide on the relevance of the same to the topic of cholera transmission and measures that can be adopted to promote health among the population. Details of the full-text articles that had met the inclusion criteria were then read. The CASP tools were used to validate the studies and determine the rigor and the applicability of the found studies in the given review.</w:t>
      </w:r>
    </w:p>
    <w:p w14:paraId="56DFF525" w14:textId="77777777" w:rsidR="00633AD5" w:rsidRPr="002A0BDB" w:rsidRDefault="00633AD5" w:rsidP="00633AD5">
      <w:pPr>
        <w:spacing w:line="360" w:lineRule="auto"/>
        <w:jc w:val="both"/>
        <w:rPr>
          <w:rFonts w:ascii="Arial" w:hAnsi="Arial" w:cs="Arial"/>
        </w:rPr>
      </w:pPr>
      <w:r w:rsidRPr="002A0BDB">
        <w:rPr>
          <w:rFonts w:ascii="Arial" w:hAnsi="Arial" w:cs="Arial"/>
        </w:rPr>
        <w:t xml:space="preserve">The data collection technique has been used in this research as a secondary data collection that is suitable for a systematic review design. An economical, practical, and successful way to use current data to address new research problems is through secondary data analysis. (Kelly </w:t>
      </w:r>
      <w:r w:rsidRPr="002A0BDB">
        <w:rPr>
          <w:rFonts w:ascii="Arial" w:hAnsi="Arial" w:cs="Arial"/>
          <w:i/>
          <w:iCs/>
        </w:rPr>
        <w:t>et al.</w:t>
      </w:r>
      <w:r w:rsidRPr="002A0BDB">
        <w:rPr>
          <w:rFonts w:ascii="Arial" w:hAnsi="Arial" w:cs="Arial"/>
        </w:rPr>
        <w:t xml:space="preserve"> 2024). The approach allows collecting peer-reviewed evidence exhaustively on the role of the molecular epidemiology instruments in substantiating the interventions of public health to contain the indirect spread of cholera. </w:t>
      </w:r>
    </w:p>
    <w:p w14:paraId="68CC60BC" w14:textId="77777777" w:rsidR="00633AD5" w:rsidRPr="002A0BDB" w:rsidRDefault="00633AD5" w:rsidP="00CB67F7">
      <w:pPr>
        <w:pStyle w:val="Heading3"/>
      </w:pPr>
      <w:bookmarkStart w:id="57" w:name="_Toc219481481"/>
      <w:bookmarkStart w:id="58" w:name="_Toc220494145"/>
      <w:r w:rsidRPr="002A0BDB">
        <w:t>3.6.4 HAND search</w:t>
      </w:r>
      <w:bookmarkEnd w:id="57"/>
      <w:bookmarkEnd w:id="58"/>
    </w:p>
    <w:p w14:paraId="03A7F367" w14:textId="77777777" w:rsidR="00633AD5" w:rsidRPr="002A0BDB" w:rsidRDefault="00633AD5" w:rsidP="00633AD5">
      <w:pPr>
        <w:spacing w:line="360" w:lineRule="auto"/>
        <w:jc w:val="both"/>
        <w:rPr>
          <w:rFonts w:ascii="Arial" w:hAnsi="Arial" w:cs="Arial"/>
          <w:lang w:eastAsia="en-US"/>
        </w:rPr>
      </w:pPr>
    </w:p>
    <w:p w14:paraId="5D31677F"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lastRenderedPageBreak/>
        <w:t xml:space="preserve">The role of public health interventions in the prevention of the cholera has been derived following the aspect of Hand search. The manual search under the search processes involves searching through all texts of social care journals and compiling data according to objectives. Moreover, the hand research has been performed based on the target source, cholera impact and prevention. </w:t>
      </w:r>
    </w:p>
    <w:p w14:paraId="4B5C4C00" w14:textId="77777777" w:rsidR="00633AD5" w:rsidRPr="002A0BDB" w:rsidRDefault="00633AD5" w:rsidP="00CB67F7">
      <w:pPr>
        <w:pStyle w:val="Heading3"/>
      </w:pPr>
      <w:bookmarkStart w:id="59" w:name="_Toc219481482"/>
      <w:bookmarkStart w:id="60" w:name="_Toc220494146"/>
      <w:r w:rsidRPr="002A0BDB">
        <w:t>3.6.5 Grey literature</w:t>
      </w:r>
      <w:bookmarkEnd w:id="59"/>
      <w:bookmarkEnd w:id="60"/>
    </w:p>
    <w:p w14:paraId="2EDC862D" w14:textId="77777777" w:rsidR="00633AD5" w:rsidRPr="002A0BDB" w:rsidRDefault="00633AD5" w:rsidP="00633AD5">
      <w:pPr>
        <w:spacing w:line="360" w:lineRule="auto"/>
        <w:jc w:val="both"/>
        <w:rPr>
          <w:rFonts w:ascii="Arial" w:hAnsi="Arial" w:cs="Arial"/>
          <w:lang w:eastAsia="en-US"/>
        </w:rPr>
      </w:pPr>
    </w:p>
    <w:p w14:paraId="5D142E95"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 xml:space="preserve">The grey literature aspect implies gathering of pertinent information in health sciences, social policy and engineering. Given the research topic, the journal articles were collected only in healthcare journals, health security and social policies. Moreover, the articles published commercially have only been sampled under the grey literature screening process. This study on the interventions that control Cholera in terms of the public health has resulted in unbiased research findings. </w:t>
      </w:r>
    </w:p>
    <w:p w14:paraId="7FBCCD00" w14:textId="7823E2FB" w:rsidR="00633AD5" w:rsidRPr="002A0BDB" w:rsidRDefault="00633AD5" w:rsidP="00CB67F7">
      <w:pPr>
        <w:pStyle w:val="Heading2"/>
        <w:spacing w:line="360" w:lineRule="auto"/>
        <w:jc w:val="both"/>
        <w:rPr>
          <w:rFonts w:ascii="Arial" w:hAnsi="Arial" w:cs="Arial"/>
          <w:color w:val="auto"/>
          <w:sz w:val="22"/>
          <w:lang w:eastAsia="en-US"/>
        </w:rPr>
      </w:pPr>
      <w:bookmarkStart w:id="61" w:name="_Toc219481483"/>
      <w:bookmarkStart w:id="62" w:name="_Toc220494147"/>
      <w:r w:rsidRPr="002A0BDB">
        <w:rPr>
          <w:rFonts w:ascii="Arial" w:hAnsi="Arial" w:cs="Arial"/>
          <w:color w:val="auto"/>
          <w:sz w:val="22"/>
          <w:lang w:eastAsia="en-US"/>
        </w:rPr>
        <w:t>3.7 Inclusion and Exclusion Criteria</w:t>
      </w:r>
      <w:bookmarkEnd w:id="61"/>
      <w:bookmarkEnd w:id="62"/>
    </w:p>
    <w:tbl>
      <w:tblPr>
        <w:tblW w:w="5000" w:type="pct"/>
        <w:tblBorders>
          <w:insideH w:val="nil"/>
          <w:insideV w:val="nil"/>
        </w:tblBorders>
        <w:tblLook w:val="0600" w:firstRow="0" w:lastRow="0" w:firstColumn="0" w:lastColumn="0" w:noHBand="1" w:noVBand="1"/>
      </w:tblPr>
      <w:tblGrid>
        <w:gridCol w:w="2647"/>
        <w:gridCol w:w="3666"/>
        <w:gridCol w:w="3031"/>
      </w:tblGrid>
      <w:tr w:rsidR="002A0BDB" w:rsidRPr="002A0BDB" w14:paraId="6E82DC2B" w14:textId="77777777" w:rsidTr="00A74AB9">
        <w:trPr>
          <w:trHeight w:val="870"/>
        </w:trPr>
        <w:tc>
          <w:tcPr>
            <w:tcW w:w="1416"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9116AAB" w14:textId="77777777" w:rsidR="00633AD5" w:rsidRPr="002A0BDB" w:rsidRDefault="00633AD5" w:rsidP="00633AD5">
            <w:pPr>
              <w:spacing w:line="360" w:lineRule="auto"/>
              <w:jc w:val="both"/>
              <w:rPr>
                <w:rFonts w:ascii="Arial" w:hAnsi="Arial" w:cs="Arial"/>
                <w:b/>
                <w:bCs/>
                <w:lang w:eastAsia="en-US"/>
              </w:rPr>
            </w:pPr>
            <w:bookmarkStart w:id="63" w:name="_Toc219481484"/>
            <w:r w:rsidRPr="002A0BDB">
              <w:rPr>
                <w:rFonts w:ascii="Arial" w:hAnsi="Arial" w:cs="Arial"/>
                <w:b/>
                <w:bCs/>
                <w:lang w:eastAsia="en-US"/>
              </w:rPr>
              <w:t>Research findings (PICO)</w:t>
            </w:r>
          </w:p>
        </w:tc>
        <w:tc>
          <w:tcPr>
            <w:tcW w:w="1961" w:type="pct"/>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7C35EAB9" w14:textId="77777777" w:rsidR="00633AD5" w:rsidRPr="002A0BDB" w:rsidRDefault="00633AD5" w:rsidP="00633AD5">
            <w:pPr>
              <w:spacing w:line="360" w:lineRule="auto"/>
              <w:jc w:val="both"/>
              <w:rPr>
                <w:rFonts w:ascii="Arial" w:hAnsi="Arial" w:cs="Arial"/>
                <w:b/>
                <w:bCs/>
                <w:lang w:eastAsia="en-US"/>
              </w:rPr>
            </w:pPr>
            <w:r w:rsidRPr="002A0BDB">
              <w:rPr>
                <w:rFonts w:ascii="Arial" w:hAnsi="Arial" w:cs="Arial"/>
                <w:b/>
                <w:bCs/>
                <w:lang w:eastAsia="en-US"/>
              </w:rPr>
              <w:t>Inclusion criteria</w:t>
            </w:r>
          </w:p>
        </w:tc>
        <w:tc>
          <w:tcPr>
            <w:tcW w:w="1622" w:type="pct"/>
            <w:tcBorders>
              <w:top w:val="single" w:sz="6" w:space="0" w:color="000000"/>
              <w:left w:val="nil"/>
              <w:bottom w:val="single" w:sz="6" w:space="0" w:color="000000"/>
              <w:right w:val="single" w:sz="6" w:space="0" w:color="000000"/>
            </w:tcBorders>
            <w:tcMar>
              <w:top w:w="0" w:type="dxa"/>
              <w:left w:w="100" w:type="dxa"/>
              <w:bottom w:w="0" w:type="dxa"/>
              <w:right w:w="100" w:type="dxa"/>
            </w:tcMar>
            <w:hideMark/>
          </w:tcPr>
          <w:p w14:paraId="3B7ABBC9" w14:textId="77777777" w:rsidR="00633AD5" w:rsidRPr="002A0BDB" w:rsidRDefault="00633AD5" w:rsidP="00633AD5">
            <w:pPr>
              <w:spacing w:line="360" w:lineRule="auto"/>
              <w:jc w:val="both"/>
              <w:rPr>
                <w:rFonts w:ascii="Arial" w:hAnsi="Arial" w:cs="Arial"/>
                <w:b/>
                <w:bCs/>
                <w:lang w:eastAsia="en-US"/>
              </w:rPr>
            </w:pPr>
            <w:r w:rsidRPr="002A0BDB">
              <w:rPr>
                <w:rFonts w:ascii="Arial" w:hAnsi="Arial" w:cs="Arial"/>
                <w:b/>
                <w:bCs/>
                <w:lang w:eastAsia="en-US"/>
              </w:rPr>
              <w:t>Exclusion criteria</w:t>
            </w:r>
          </w:p>
        </w:tc>
      </w:tr>
      <w:tr w:rsidR="002A0BDB" w:rsidRPr="002A0BDB" w14:paraId="6086B386" w14:textId="77777777" w:rsidTr="00A74AB9">
        <w:trPr>
          <w:trHeight w:val="1155"/>
        </w:trPr>
        <w:tc>
          <w:tcPr>
            <w:tcW w:w="1416" w:type="pct"/>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2D4548C5"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Language</w:t>
            </w:r>
          </w:p>
        </w:tc>
        <w:tc>
          <w:tcPr>
            <w:tcW w:w="1961" w:type="pct"/>
            <w:tcBorders>
              <w:top w:val="nil"/>
              <w:left w:val="nil"/>
              <w:bottom w:val="single" w:sz="6" w:space="0" w:color="000000"/>
              <w:right w:val="single" w:sz="6" w:space="0" w:color="000000"/>
            </w:tcBorders>
            <w:tcMar>
              <w:top w:w="0" w:type="dxa"/>
              <w:left w:w="100" w:type="dxa"/>
              <w:bottom w:w="0" w:type="dxa"/>
              <w:right w:w="100" w:type="dxa"/>
            </w:tcMar>
            <w:hideMark/>
          </w:tcPr>
          <w:p w14:paraId="56057DD0"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Articles published in English</w:t>
            </w:r>
          </w:p>
        </w:tc>
        <w:tc>
          <w:tcPr>
            <w:tcW w:w="1622" w:type="pct"/>
            <w:tcBorders>
              <w:top w:val="nil"/>
              <w:left w:val="nil"/>
              <w:bottom w:val="single" w:sz="6" w:space="0" w:color="000000"/>
              <w:right w:val="single" w:sz="6" w:space="0" w:color="000000"/>
            </w:tcBorders>
            <w:tcMar>
              <w:top w:w="0" w:type="dxa"/>
              <w:left w:w="100" w:type="dxa"/>
              <w:bottom w:w="0" w:type="dxa"/>
              <w:right w:w="100" w:type="dxa"/>
            </w:tcMar>
            <w:hideMark/>
          </w:tcPr>
          <w:p w14:paraId="2BB88302"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Non-English publications</w:t>
            </w:r>
          </w:p>
        </w:tc>
      </w:tr>
      <w:tr w:rsidR="002A0BDB" w:rsidRPr="002A0BDB" w14:paraId="3F09ADA2" w14:textId="77777777" w:rsidTr="00A74AB9">
        <w:trPr>
          <w:trHeight w:val="870"/>
        </w:trPr>
        <w:tc>
          <w:tcPr>
            <w:tcW w:w="1416" w:type="pct"/>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2AA206AE"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Population</w:t>
            </w:r>
          </w:p>
        </w:tc>
        <w:tc>
          <w:tcPr>
            <w:tcW w:w="1961" w:type="pct"/>
            <w:tcBorders>
              <w:top w:val="nil"/>
              <w:left w:val="nil"/>
              <w:bottom w:val="single" w:sz="6" w:space="0" w:color="000000"/>
              <w:right w:val="single" w:sz="6" w:space="0" w:color="000000"/>
            </w:tcBorders>
            <w:tcMar>
              <w:top w:w="0" w:type="dxa"/>
              <w:left w:w="100" w:type="dxa"/>
              <w:bottom w:w="0" w:type="dxa"/>
              <w:right w:w="100" w:type="dxa"/>
            </w:tcMar>
            <w:hideMark/>
          </w:tcPr>
          <w:p w14:paraId="24E70360"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Human populations affected by cholera outbreaks</w:t>
            </w:r>
          </w:p>
        </w:tc>
        <w:tc>
          <w:tcPr>
            <w:tcW w:w="1622" w:type="pct"/>
            <w:tcBorders>
              <w:top w:val="nil"/>
              <w:left w:val="nil"/>
              <w:bottom w:val="single" w:sz="6" w:space="0" w:color="000000"/>
              <w:right w:val="single" w:sz="6" w:space="0" w:color="000000"/>
            </w:tcBorders>
            <w:tcMar>
              <w:top w:w="0" w:type="dxa"/>
              <w:left w:w="100" w:type="dxa"/>
              <w:bottom w:w="0" w:type="dxa"/>
              <w:right w:w="100" w:type="dxa"/>
            </w:tcMar>
            <w:hideMark/>
          </w:tcPr>
          <w:p w14:paraId="4D793C43"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Non-cholera or animal-only studies</w:t>
            </w:r>
          </w:p>
        </w:tc>
      </w:tr>
      <w:tr w:rsidR="002A0BDB" w:rsidRPr="002A0BDB" w14:paraId="0885EB95" w14:textId="77777777" w:rsidTr="00A74AB9">
        <w:trPr>
          <w:trHeight w:val="870"/>
        </w:trPr>
        <w:tc>
          <w:tcPr>
            <w:tcW w:w="1416" w:type="pct"/>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7156EAC7"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Accessibility</w:t>
            </w:r>
          </w:p>
        </w:tc>
        <w:tc>
          <w:tcPr>
            <w:tcW w:w="1961" w:type="pct"/>
            <w:tcBorders>
              <w:top w:val="nil"/>
              <w:left w:val="nil"/>
              <w:bottom w:val="single" w:sz="6" w:space="0" w:color="000000"/>
              <w:right w:val="single" w:sz="6" w:space="0" w:color="000000"/>
            </w:tcBorders>
            <w:tcMar>
              <w:top w:w="0" w:type="dxa"/>
              <w:left w:w="100" w:type="dxa"/>
              <w:bottom w:w="0" w:type="dxa"/>
              <w:right w:w="100" w:type="dxa"/>
            </w:tcMar>
            <w:hideMark/>
          </w:tcPr>
          <w:p w14:paraId="2E79C6B6"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Peer-reviewed, full-text studies</w:t>
            </w:r>
          </w:p>
        </w:tc>
        <w:tc>
          <w:tcPr>
            <w:tcW w:w="1622" w:type="pct"/>
            <w:tcBorders>
              <w:top w:val="nil"/>
              <w:left w:val="nil"/>
              <w:bottom w:val="single" w:sz="6" w:space="0" w:color="000000"/>
              <w:right w:val="single" w:sz="6" w:space="0" w:color="000000"/>
            </w:tcBorders>
            <w:tcMar>
              <w:top w:w="0" w:type="dxa"/>
              <w:left w:w="100" w:type="dxa"/>
              <w:bottom w:w="0" w:type="dxa"/>
              <w:right w:w="100" w:type="dxa"/>
            </w:tcMar>
            <w:hideMark/>
          </w:tcPr>
          <w:p w14:paraId="10C8F5AF"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Abstracts, editorials, grey literature</w:t>
            </w:r>
          </w:p>
        </w:tc>
      </w:tr>
      <w:tr w:rsidR="002A0BDB" w:rsidRPr="002A0BDB" w14:paraId="1DD71F23" w14:textId="77777777" w:rsidTr="00A74AB9">
        <w:trPr>
          <w:trHeight w:val="585"/>
        </w:trPr>
        <w:tc>
          <w:tcPr>
            <w:tcW w:w="1416" w:type="pct"/>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14AB5EAA"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Intervention</w:t>
            </w:r>
          </w:p>
        </w:tc>
        <w:tc>
          <w:tcPr>
            <w:tcW w:w="1961" w:type="pct"/>
            <w:tcBorders>
              <w:top w:val="nil"/>
              <w:left w:val="nil"/>
              <w:bottom w:val="single" w:sz="6" w:space="0" w:color="000000"/>
              <w:right w:val="single" w:sz="6" w:space="0" w:color="000000"/>
            </w:tcBorders>
            <w:tcMar>
              <w:top w:w="0" w:type="dxa"/>
              <w:left w:w="100" w:type="dxa"/>
              <w:bottom w:w="0" w:type="dxa"/>
              <w:right w:w="100" w:type="dxa"/>
            </w:tcMar>
            <w:hideMark/>
          </w:tcPr>
          <w:p w14:paraId="0D5B67B1"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Use of molecular epidemiology tools</w:t>
            </w:r>
          </w:p>
        </w:tc>
        <w:tc>
          <w:tcPr>
            <w:tcW w:w="1622" w:type="pct"/>
            <w:tcBorders>
              <w:top w:val="nil"/>
              <w:left w:val="nil"/>
              <w:bottom w:val="single" w:sz="6" w:space="0" w:color="000000"/>
              <w:right w:val="single" w:sz="6" w:space="0" w:color="000000"/>
            </w:tcBorders>
            <w:tcMar>
              <w:top w:w="0" w:type="dxa"/>
              <w:left w:w="100" w:type="dxa"/>
              <w:bottom w:w="0" w:type="dxa"/>
              <w:right w:w="100" w:type="dxa"/>
            </w:tcMar>
            <w:hideMark/>
          </w:tcPr>
          <w:p w14:paraId="06A5B32B"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No molecular or genomic analysis</w:t>
            </w:r>
          </w:p>
        </w:tc>
      </w:tr>
      <w:tr w:rsidR="002A0BDB" w:rsidRPr="002A0BDB" w14:paraId="7CABD358" w14:textId="77777777" w:rsidTr="00A74AB9">
        <w:trPr>
          <w:trHeight w:val="870"/>
        </w:trPr>
        <w:tc>
          <w:tcPr>
            <w:tcW w:w="1416" w:type="pct"/>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60D24320"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Comparison</w:t>
            </w:r>
          </w:p>
        </w:tc>
        <w:tc>
          <w:tcPr>
            <w:tcW w:w="1961" w:type="pct"/>
            <w:tcBorders>
              <w:top w:val="nil"/>
              <w:left w:val="nil"/>
              <w:bottom w:val="single" w:sz="6" w:space="0" w:color="000000"/>
              <w:right w:val="single" w:sz="6" w:space="0" w:color="000000"/>
            </w:tcBorders>
            <w:tcMar>
              <w:top w:w="0" w:type="dxa"/>
              <w:left w:w="100" w:type="dxa"/>
              <w:bottom w:w="0" w:type="dxa"/>
              <w:right w:w="100" w:type="dxa"/>
            </w:tcMar>
            <w:hideMark/>
          </w:tcPr>
          <w:p w14:paraId="7D66126A"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Comparison with conventional epidemiology methods</w:t>
            </w:r>
          </w:p>
        </w:tc>
        <w:tc>
          <w:tcPr>
            <w:tcW w:w="1622" w:type="pct"/>
            <w:tcBorders>
              <w:top w:val="nil"/>
              <w:left w:val="nil"/>
              <w:bottom w:val="single" w:sz="6" w:space="0" w:color="000000"/>
              <w:right w:val="single" w:sz="6" w:space="0" w:color="000000"/>
            </w:tcBorders>
            <w:tcMar>
              <w:top w:w="0" w:type="dxa"/>
              <w:left w:w="100" w:type="dxa"/>
              <w:bottom w:w="0" w:type="dxa"/>
              <w:right w:w="100" w:type="dxa"/>
            </w:tcMar>
            <w:hideMark/>
          </w:tcPr>
          <w:p w14:paraId="4FDD6D02"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No comparison or unclear methodology</w:t>
            </w:r>
          </w:p>
        </w:tc>
      </w:tr>
      <w:tr w:rsidR="002A0BDB" w:rsidRPr="002A0BDB" w14:paraId="07A9F86D" w14:textId="77777777" w:rsidTr="00A74AB9">
        <w:trPr>
          <w:trHeight w:val="870"/>
        </w:trPr>
        <w:tc>
          <w:tcPr>
            <w:tcW w:w="1416" w:type="pct"/>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66D7CD34"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Settings</w:t>
            </w:r>
          </w:p>
        </w:tc>
        <w:tc>
          <w:tcPr>
            <w:tcW w:w="1961" w:type="pct"/>
            <w:tcBorders>
              <w:top w:val="nil"/>
              <w:left w:val="nil"/>
              <w:bottom w:val="single" w:sz="6" w:space="0" w:color="000000"/>
              <w:right w:val="single" w:sz="6" w:space="0" w:color="000000"/>
            </w:tcBorders>
            <w:tcMar>
              <w:top w:w="0" w:type="dxa"/>
              <w:left w:w="100" w:type="dxa"/>
              <w:bottom w:w="0" w:type="dxa"/>
              <w:right w:w="100" w:type="dxa"/>
            </w:tcMar>
            <w:hideMark/>
          </w:tcPr>
          <w:p w14:paraId="7FE83601"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Community, environmental, and public health settings</w:t>
            </w:r>
          </w:p>
        </w:tc>
        <w:tc>
          <w:tcPr>
            <w:tcW w:w="1622" w:type="pct"/>
            <w:tcBorders>
              <w:top w:val="nil"/>
              <w:left w:val="nil"/>
              <w:bottom w:val="single" w:sz="6" w:space="0" w:color="000000"/>
              <w:right w:val="single" w:sz="6" w:space="0" w:color="000000"/>
            </w:tcBorders>
            <w:tcMar>
              <w:top w:w="0" w:type="dxa"/>
              <w:left w:w="100" w:type="dxa"/>
              <w:bottom w:w="0" w:type="dxa"/>
              <w:right w:w="100" w:type="dxa"/>
            </w:tcMar>
            <w:hideMark/>
          </w:tcPr>
          <w:p w14:paraId="0A6CB6B5"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Laboratory-only or unrelated settings</w:t>
            </w:r>
          </w:p>
        </w:tc>
      </w:tr>
      <w:tr w:rsidR="00633AD5" w:rsidRPr="002A0BDB" w14:paraId="0B51C04B" w14:textId="77777777" w:rsidTr="00A74AB9">
        <w:trPr>
          <w:trHeight w:val="870"/>
        </w:trPr>
        <w:tc>
          <w:tcPr>
            <w:tcW w:w="1416" w:type="pct"/>
            <w:tcBorders>
              <w:top w:val="nil"/>
              <w:left w:val="single" w:sz="6" w:space="0" w:color="000000"/>
              <w:bottom w:val="single" w:sz="6" w:space="0" w:color="000000"/>
              <w:right w:val="single" w:sz="6" w:space="0" w:color="000000"/>
            </w:tcBorders>
            <w:tcMar>
              <w:top w:w="0" w:type="dxa"/>
              <w:left w:w="100" w:type="dxa"/>
              <w:bottom w:w="0" w:type="dxa"/>
              <w:right w:w="100" w:type="dxa"/>
            </w:tcMar>
            <w:hideMark/>
          </w:tcPr>
          <w:p w14:paraId="1EAC29B1"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lastRenderedPageBreak/>
              <w:t>Year</w:t>
            </w:r>
          </w:p>
        </w:tc>
        <w:tc>
          <w:tcPr>
            <w:tcW w:w="1961" w:type="pct"/>
            <w:tcBorders>
              <w:top w:val="nil"/>
              <w:left w:val="nil"/>
              <w:bottom w:val="single" w:sz="6" w:space="0" w:color="000000"/>
              <w:right w:val="single" w:sz="6" w:space="0" w:color="000000"/>
            </w:tcBorders>
            <w:tcMar>
              <w:top w:w="0" w:type="dxa"/>
              <w:left w:w="100" w:type="dxa"/>
              <w:bottom w:w="0" w:type="dxa"/>
              <w:right w:w="100" w:type="dxa"/>
            </w:tcMar>
            <w:hideMark/>
          </w:tcPr>
          <w:p w14:paraId="4DC838B4"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Studies published between 2020–2025</w:t>
            </w:r>
          </w:p>
        </w:tc>
        <w:tc>
          <w:tcPr>
            <w:tcW w:w="1622" w:type="pct"/>
            <w:tcBorders>
              <w:top w:val="nil"/>
              <w:left w:val="nil"/>
              <w:bottom w:val="single" w:sz="6" w:space="0" w:color="000000"/>
              <w:right w:val="single" w:sz="6" w:space="0" w:color="000000"/>
            </w:tcBorders>
            <w:tcMar>
              <w:top w:w="0" w:type="dxa"/>
              <w:left w:w="100" w:type="dxa"/>
              <w:bottom w:w="0" w:type="dxa"/>
              <w:right w:w="100" w:type="dxa"/>
            </w:tcMar>
            <w:hideMark/>
          </w:tcPr>
          <w:p w14:paraId="15341D39"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Studies published before 2020</w:t>
            </w:r>
          </w:p>
        </w:tc>
      </w:tr>
    </w:tbl>
    <w:p w14:paraId="5A4AB3A5" w14:textId="77777777" w:rsidR="00633AD5" w:rsidRPr="002A0BDB" w:rsidRDefault="00633AD5" w:rsidP="00633AD5">
      <w:pPr>
        <w:spacing w:line="360" w:lineRule="auto"/>
        <w:jc w:val="both"/>
        <w:rPr>
          <w:rFonts w:ascii="Arial" w:hAnsi="Arial" w:cs="Arial"/>
        </w:rPr>
      </w:pPr>
    </w:p>
    <w:p w14:paraId="7EDA95D5" w14:textId="77777777" w:rsidR="00633AD5" w:rsidRPr="002A0BDB" w:rsidRDefault="00633AD5" w:rsidP="00F64A09">
      <w:pPr>
        <w:pStyle w:val="Heading5"/>
        <w:rPr>
          <w:bCs/>
          <w:color w:val="auto"/>
        </w:rPr>
      </w:pPr>
      <w:bookmarkStart w:id="64" w:name="_Toc220494313"/>
      <w:bookmarkStart w:id="65" w:name="_Toc220498206"/>
      <w:r w:rsidRPr="002A0BDB">
        <w:rPr>
          <w:color w:val="auto"/>
        </w:rPr>
        <w:t>Table 3.2: Inclusion and exclusion criteria</w:t>
      </w:r>
      <w:bookmarkEnd w:id="64"/>
      <w:bookmarkEnd w:id="65"/>
    </w:p>
    <w:p w14:paraId="22B304DE" w14:textId="77777777" w:rsidR="00633AD5" w:rsidRPr="002A0BDB" w:rsidRDefault="00633AD5" w:rsidP="00633AD5">
      <w:pPr>
        <w:spacing w:line="360" w:lineRule="auto"/>
        <w:jc w:val="center"/>
        <w:rPr>
          <w:rFonts w:ascii="Arial" w:hAnsi="Arial" w:cs="Arial"/>
          <w:b/>
          <w:bCs/>
          <w:lang w:eastAsia="en-US"/>
        </w:rPr>
      </w:pPr>
      <w:r w:rsidRPr="002A0BDB">
        <w:rPr>
          <w:rFonts w:ascii="Arial" w:hAnsi="Arial" w:cs="Arial"/>
        </w:rPr>
        <w:t>(Source: Self-created)</w:t>
      </w:r>
    </w:p>
    <w:p w14:paraId="3289D420" w14:textId="324105CB" w:rsidR="00633AD5" w:rsidRPr="002A0BDB" w:rsidRDefault="00633AD5" w:rsidP="000D3349">
      <w:pPr>
        <w:pStyle w:val="Heading2"/>
        <w:spacing w:line="360" w:lineRule="auto"/>
        <w:jc w:val="both"/>
        <w:rPr>
          <w:rFonts w:ascii="Arial" w:hAnsi="Arial" w:cs="Arial"/>
          <w:color w:val="auto"/>
          <w:sz w:val="22"/>
          <w:lang w:eastAsia="en-US"/>
        </w:rPr>
      </w:pPr>
      <w:bookmarkStart w:id="66" w:name="_Toc220494148"/>
      <w:r w:rsidRPr="002A0BDB">
        <w:rPr>
          <w:rFonts w:ascii="Arial" w:hAnsi="Arial" w:cs="Arial"/>
          <w:color w:val="auto"/>
          <w:sz w:val="22"/>
          <w:lang w:eastAsia="en-US"/>
        </w:rPr>
        <w:t>3.8 Study selection</w:t>
      </w:r>
      <w:bookmarkEnd w:id="63"/>
      <w:bookmarkEnd w:id="66"/>
    </w:p>
    <w:p w14:paraId="6C9B9D9F"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The inclusion and exclusion criteria had been pre-defined to select the studies so that methodological rigour and relevance are achieved. Only the peer-reviewed and open-access articles that have been published in the past five years (2022-2026) have been considered to incorporate the current evidence regarding the UK public health situation. Only the articles written in English were selected because the interpretation of the data will be true and consistent. The research papers were narrowed according to their relevance to the interventions, programmes, Cholera prevention, healthcare provision and population health outcomes of the public. The various works which were not founded on the irrelevant and current evidence or inaccessibility to the entire text were removed. The selective process was systematic to ensure that the final body of literature was valid, current and directly related to the objectives of the study and this ensured the findings were stronger in regards to validity and credibility.</w:t>
      </w:r>
    </w:p>
    <w:p w14:paraId="3B7D1B95" w14:textId="038806A1" w:rsidR="00633AD5" w:rsidRPr="002A0BDB" w:rsidRDefault="00633AD5" w:rsidP="000D3349">
      <w:pPr>
        <w:pStyle w:val="Heading3"/>
      </w:pPr>
      <w:bookmarkStart w:id="67" w:name="_Toc219481485"/>
      <w:bookmarkStart w:id="68" w:name="_Toc220494149"/>
      <w:r w:rsidRPr="002A0BDB">
        <w:t>3.8.1 Summary of how many articles were left from the whole process.</w:t>
      </w:r>
      <w:bookmarkEnd w:id="67"/>
      <w:bookmarkEnd w:id="68"/>
      <w:r w:rsidRPr="002A0BDB">
        <w:t xml:space="preserve"> </w:t>
      </w:r>
    </w:p>
    <w:p w14:paraId="499802E3"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A large PRISMA-guided process of database and register selection resulted in 136 records being initially identified. Article screening was conducted following the screening of duplicates and ineligible records, which were 46 articles. Additionally, the eligibility testing reduced it to 15 full-text papers, of which 10 studies met all the inclusion criteria and were listed in the final analysis.</w:t>
      </w:r>
    </w:p>
    <w:p w14:paraId="67B39D8C" w14:textId="77777777" w:rsidR="00633AD5" w:rsidRPr="002A0BDB" w:rsidRDefault="00633AD5" w:rsidP="00633AD5">
      <w:pPr>
        <w:pStyle w:val="Heading2"/>
        <w:spacing w:line="360" w:lineRule="auto"/>
        <w:jc w:val="both"/>
        <w:rPr>
          <w:rFonts w:ascii="Arial" w:hAnsi="Arial" w:cs="Arial"/>
          <w:color w:val="auto"/>
          <w:sz w:val="22"/>
          <w:lang w:eastAsia="en-US"/>
        </w:rPr>
      </w:pPr>
      <w:bookmarkStart w:id="69" w:name="_Toc219481486"/>
      <w:bookmarkStart w:id="70" w:name="_Toc220494150"/>
      <w:r w:rsidRPr="002A0BDB">
        <w:rPr>
          <w:rFonts w:ascii="Arial" w:hAnsi="Arial" w:cs="Arial"/>
          <w:color w:val="auto"/>
          <w:sz w:val="22"/>
          <w:lang w:eastAsia="en-US"/>
        </w:rPr>
        <w:lastRenderedPageBreak/>
        <w:t>3.9 PRISMA</w:t>
      </w:r>
      <w:bookmarkEnd w:id="69"/>
      <w:bookmarkEnd w:id="70"/>
    </w:p>
    <w:p w14:paraId="70AFF0F4" w14:textId="77777777" w:rsidR="00633AD5" w:rsidRPr="002A0BDB" w:rsidRDefault="00633AD5" w:rsidP="00633AD5">
      <w:pPr>
        <w:spacing w:line="360" w:lineRule="auto"/>
        <w:jc w:val="center"/>
        <w:rPr>
          <w:rFonts w:ascii="Arial" w:hAnsi="Arial" w:cs="Arial"/>
          <w:lang w:eastAsia="en-US"/>
        </w:rPr>
      </w:pPr>
      <w:r w:rsidRPr="002A0BDB">
        <w:rPr>
          <w:rFonts w:ascii="Arial" w:eastAsia="Times New Roman" w:hAnsi="Arial" w:cs="Arial"/>
          <w:noProof/>
          <w:lang w:val="en-IN" w:eastAsia="en-IN"/>
        </w:rPr>
        <w:drawing>
          <wp:inline distT="0" distB="0" distL="0" distR="0" wp14:anchorId="563D881E" wp14:editId="119BB93F">
            <wp:extent cx="5734050" cy="5067300"/>
            <wp:effectExtent l="38100" t="38100" r="38100" b="38100"/>
            <wp:docPr id="1"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5067300"/>
                    </a:xfrm>
                    <a:prstGeom prst="rect">
                      <a:avLst/>
                    </a:prstGeom>
                    <a:noFill/>
                    <a:ln w="38100" cmpd="sng">
                      <a:solidFill>
                        <a:srgbClr val="000000"/>
                      </a:solidFill>
                      <a:miter lim="800000"/>
                      <a:headEnd/>
                      <a:tailEnd/>
                    </a:ln>
                    <a:effectLst/>
                  </pic:spPr>
                </pic:pic>
              </a:graphicData>
            </a:graphic>
          </wp:inline>
        </w:drawing>
      </w:r>
    </w:p>
    <w:p w14:paraId="28BBAC77" w14:textId="7796B91D" w:rsidR="00633AD5" w:rsidRPr="002A0BDB" w:rsidRDefault="00633AD5" w:rsidP="00633AD5">
      <w:pPr>
        <w:pStyle w:val="Heading4"/>
        <w:rPr>
          <w:rFonts w:ascii="Arial" w:hAnsi="Arial" w:cs="Arial"/>
          <w:color w:val="auto"/>
          <w:lang w:eastAsia="en-US"/>
        </w:rPr>
      </w:pPr>
      <w:bookmarkStart w:id="71" w:name="_Toc219481784"/>
      <w:bookmarkStart w:id="72" w:name="_Toc220494274"/>
      <w:bookmarkStart w:id="73" w:name="_Toc220498185"/>
      <w:r w:rsidRPr="002A0BDB">
        <w:rPr>
          <w:rFonts w:ascii="Arial" w:hAnsi="Arial" w:cs="Arial"/>
          <w:color w:val="auto"/>
          <w:lang w:eastAsia="en-US"/>
        </w:rPr>
        <w:t>Figure 3.1: PRISMA Framework</w:t>
      </w:r>
      <w:bookmarkEnd w:id="71"/>
      <w:bookmarkEnd w:id="72"/>
      <w:bookmarkEnd w:id="73"/>
    </w:p>
    <w:p w14:paraId="5CF8CC14" w14:textId="28509D3C" w:rsidR="00633AD5" w:rsidRPr="002A0BDB" w:rsidRDefault="00633AD5" w:rsidP="00D7349D">
      <w:pPr>
        <w:spacing w:line="360" w:lineRule="auto"/>
        <w:jc w:val="center"/>
        <w:rPr>
          <w:rFonts w:ascii="Arial" w:hAnsi="Arial" w:cs="Arial"/>
          <w:lang w:eastAsia="en-US"/>
        </w:rPr>
      </w:pPr>
      <w:r w:rsidRPr="002A0BDB">
        <w:rPr>
          <w:rFonts w:ascii="Arial" w:hAnsi="Arial" w:cs="Arial"/>
          <w:lang w:eastAsia="en-US"/>
        </w:rPr>
        <w:t>(Source: Created by author)</w:t>
      </w:r>
    </w:p>
    <w:p w14:paraId="4FB9F28E" w14:textId="77777777"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 xml:space="preserve">The above table has highlighted the flow of selecting relevant articles for systematic review to </w:t>
      </w:r>
      <w:r w:rsidRPr="002A0BDB">
        <w:rPr>
          <w:rFonts w:ascii="Arial" w:hAnsi="Arial" w:cs="Arial"/>
        </w:rPr>
        <w:t xml:space="preserve">investigate the transmission dynamics of cholera, informing public health interventions and strategies for disease prevention and control. </w:t>
      </w:r>
      <w:r w:rsidRPr="002A0BDB">
        <w:rPr>
          <w:rFonts w:ascii="Arial" w:hAnsi="Arial" w:cs="Arial"/>
          <w:lang w:eastAsia="en-US"/>
        </w:rPr>
        <w:t xml:space="preserve"> Identification, screening and inclusion are the main three stages for identifying topic-relevant articles and ensuring the flow of the research. In order to implement the Fundamental Standards of care, this consultation lays out proposed changes to the CQC's registration requirements for taking standard precautions in the UK (Government of the UK, 2023). 10 articles are selected through the PRISMA framework in order to </w:t>
      </w:r>
      <w:r w:rsidRPr="002A0BDB">
        <w:rPr>
          <w:rFonts w:ascii="Arial" w:hAnsi="Arial" w:cs="Arial"/>
        </w:rPr>
        <w:t xml:space="preserve">investigate the transmission dynamics of cholera and take adequate measures. </w:t>
      </w:r>
      <w:r w:rsidRPr="002A0BDB">
        <w:rPr>
          <w:rFonts w:ascii="Arial" w:hAnsi="Arial" w:cs="Arial"/>
          <w:lang w:eastAsia="en-US"/>
        </w:rPr>
        <w:t xml:space="preserve"> </w:t>
      </w:r>
    </w:p>
    <w:p w14:paraId="7995DDCA" w14:textId="37ACE1C3" w:rsidR="00633AD5" w:rsidRPr="002A0BDB" w:rsidRDefault="00633AD5" w:rsidP="00D7349D">
      <w:pPr>
        <w:pStyle w:val="Heading2"/>
        <w:spacing w:line="360" w:lineRule="auto"/>
        <w:jc w:val="both"/>
        <w:rPr>
          <w:rFonts w:ascii="Arial" w:hAnsi="Arial" w:cs="Arial"/>
          <w:color w:val="auto"/>
          <w:sz w:val="22"/>
          <w:lang w:eastAsia="en-US"/>
        </w:rPr>
      </w:pPr>
      <w:bookmarkStart w:id="74" w:name="_Toc219481487"/>
      <w:bookmarkStart w:id="75" w:name="_Toc220494151"/>
      <w:r w:rsidRPr="002A0BDB">
        <w:rPr>
          <w:rFonts w:ascii="Arial" w:hAnsi="Arial" w:cs="Arial"/>
          <w:color w:val="auto"/>
          <w:sz w:val="22"/>
          <w:lang w:eastAsia="en-US"/>
        </w:rPr>
        <w:lastRenderedPageBreak/>
        <w:t>3.10 Data characteristics /extraction</w:t>
      </w:r>
      <w:bookmarkEnd w:id="74"/>
      <w:bookmarkEnd w:id="75"/>
      <w:r w:rsidRPr="002A0BDB">
        <w:rPr>
          <w:rFonts w:ascii="Arial" w:hAnsi="Arial" w:cs="Arial"/>
          <w:color w:val="auto"/>
          <w:sz w:val="22"/>
          <w:lang w:eastAsia="en-US"/>
        </w:rPr>
        <w:t xml:space="preserve"> </w:t>
      </w:r>
    </w:p>
    <w:p w14:paraId="056A763D" w14:textId="77777777" w:rsidR="00633AD5" w:rsidRPr="002A0BDB" w:rsidRDefault="00633AD5" w:rsidP="00633AD5">
      <w:pPr>
        <w:spacing w:line="360" w:lineRule="auto"/>
        <w:jc w:val="both"/>
        <w:rPr>
          <w:rFonts w:ascii="Arial" w:hAnsi="Arial" w:cs="Arial"/>
        </w:rPr>
      </w:pPr>
      <w:r w:rsidRPr="002A0BDB">
        <w:rPr>
          <w:rFonts w:ascii="Arial" w:hAnsi="Arial" w:cs="Arial"/>
          <w:lang w:eastAsia="en-US"/>
        </w:rPr>
        <w:t xml:space="preserve">The systematic finding of document, and arrange pertinent material from included research, data extraction is a methodical process used for reviewing systematic and qualitative evidence synthesis. Data extraction improves transparency, reproducibility, and comparability across trials while lowering selective reporting bias thanks to PRISMA and the approved principles. </w:t>
      </w:r>
      <w:r w:rsidRPr="002A0BDB">
        <w:rPr>
          <w:rFonts w:ascii="Arial" w:hAnsi="Arial" w:cs="Arial"/>
        </w:rPr>
        <w:t>The process of data analysis is necessary to organize the procedure of extracting the evidence in the chosen studies. Thematic analysis is used to determine the repetitive patterns regarding the evidence on molecular epidemiology instruments for cholera prevention and control interventions. The concept of thematic analysis is an adequate instrument to incorporate the molecular epidemiology evidence into the context of evaluations and drawing sound conclusions associated with public health (</w:t>
      </w:r>
      <w:proofErr w:type="spellStart"/>
      <w:r w:rsidRPr="002A0BDB">
        <w:rPr>
          <w:rFonts w:ascii="Arial" w:hAnsi="Arial" w:cs="Arial"/>
        </w:rPr>
        <w:t>Zhong</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The thematic analysis approach enhances the integration of evidence and justifies the examination and application of relevant literature on molecular epidemiology in the prevention of cholera. Further analysis reveals that the retrieved variables include author, year, study location, research designs, and data gathering techniques. As a result, both the barriers and the facilitators can affect the results of chapter 4's efforts to mitigate adverse effect of cholera.</w:t>
      </w:r>
    </w:p>
    <w:p w14:paraId="124E8FED" w14:textId="7E5DBCF1" w:rsidR="00633AD5" w:rsidRPr="002A0BDB" w:rsidRDefault="00633AD5" w:rsidP="00D7349D">
      <w:pPr>
        <w:pStyle w:val="Heading2"/>
        <w:spacing w:line="360" w:lineRule="auto"/>
        <w:jc w:val="both"/>
        <w:rPr>
          <w:rFonts w:ascii="Arial" w:hAnsi="Arial" w:cs="Arial"/>
          <w:color w:val="auto"/>
          <w:sz w:val="22"/>
          <w:lang w:eastAsia="en-US"/>
        </w:rPr>
      </w:pPr>
      <w:bookmarkStart w:id="76" w:name="_Toc219481488"/>
      <w:bookmarkStart w:id="77" w:name="_Toc220494152"/>
      <w:r w:rsidRPr="002A0BDB">
        <w:rPr>
          <w:rFonts w:ascii="Arial" w:hAnsi="Arial" w:cs="Arial"/>
          <w:color w:val="auto"/>
          <w:sz w:val="22"/>
          <w:lang w:eastAsia="en-US"/>
        </w:rPr>
        <w:t>3.11 Quality Assessment</w:t>
      </w:r>
      <w:bookmarkEnd w:id="76"/>
      <w:bookmarkEnd w:id="77"/>
      <w:r w:rsidRPr="002A0BDB">
        <w:rPr>
          <w:rFonts w:ascii="Arial" w:hAnsi="Arial" w:cs="Arial"/>
          <w:color w:val="auto"/>
          <w:sz w:val="22"/>
          <w:lang w:eastAsia="en-US"/>
        </w:rPr>
        <w:t xml:space="preserve"> </w:t>
      </w:r>
    </w:p>
    <w:p w14:paraId="6AF43669" w14:textId="77777777" w:rsidR="00633AD5" w:rsidRPr="002A0BDB" w:rsidRDefault="00633AD5" w:rsidP="00633AD5">
      <w:pPr>
        <w:spacing w:line="360" w:lineRule="auto"/>
        <w:jc w:val="both"/>
        <w:rPr>
          <w:rFonts w:ascii="Arial" w:hAnsi="Arial" w:cs="Arial"/>
          <w:i/>
          <w:iCs/>
          <w:lang w:eastAsia="en-US"/>
        </w:rPr>
      </w:pPr>
      <w:r w:rsidRPr="002A0BDB">
        <w:rPr>
          <w:rFonts w:ascii="Arial" w:hAnsi="Arial" w:cs="Arial"/>
          <w:i/>
          <w:iCs/>
          <w:lang w:eastAsia="en-US"/>
        </w:rPr>
        <w:t>CASP table (referred to the Appendix 1)</w:t>
      </w:r>
    </w:p>
    <w:p w14:paraId="451ADC04" w14:textId="6D267836" w:rsidR="00633AD5" w:rsidRPr="002A0BDB" w:rsidRDefault="00633AD5" w:rsidP="00D7349D">
      <w:pPr>
        <w:pStyle w:val="Heading2"/>
        <w:spacing w:line="360" w:lineRule="auto"/>
        <w:jc w:val="both"/>
        <w:rPr>
          <w:rFonts w:ascii="Arial" w:hAnsi="Arial" w:cs="Arial"/>
          <w:color w:val="auto"/>
          <w:sz w:val="22"/>
          <w:lang w:eastAsia="en-US"/>
        </w:rPr>
      </w:pPr>
      <w:bookmarkStart w:id="78" w:name="_Toc219481489"/>
      <w:bookmarkStart w:id="79" w:name="_Toc220494153"/>
      <w:r w:rsidRPr="002A0BDB">
        <w:rPr>
          <w:rFonts w:ascii="Arial" w:hAnsi="Arial" w:cs="Arial"/>
          <w:color w:val="auto"/>
          <w:sz w:val="22"/>
          <w:lang w:eastAsia="en-US"/>
        </w:rPr>
        <w:t>3.12 Data Synthesis</w:t>
      </w:r>
      <w:bookmarkEnd w:id="78"/>
      <w:bookmarkEnd w:id="79"/>
    </w:p>
    <w:p w14:paraId="29F12203" w14:textId="0DE1DBF2" w:rsidR="00633AD5" w:rsidRPr="002A0BDB" w:rsidRDefault="00633AD5" w:rsidP="00633AD5">
      <w:pPr>
        <w:spacing w:line="360" w:lineRule="auto"/>
        <w:jc w:val="both"/>
        <w:rPr>
          <w:rFonts w:ascii="Arial" w:hAnsi="Arial" w:cs="Arial"/>
          <w:lang w:eastAsia="en-US"/>
        </w:rPr>
      </w:pPr>
      <w:r w:rsidRPr="002A0BDB">
        <w:rPr>
          <w:rFonts w:ascii="Arial" w:hAnsi="Arial" w:cs="Arial"/>
          <w:lang w:eastAsia="en-US"/>
        </w:rPr>
        <w:t xml:space="preserve">The thematic analysis was applied to the analysis of </w:t>
      </w:r>
      <w:r w:rsidR="00A54C3D" w:rsidRPr="002A0BDB">
        <w:rPr>
          <w:rFonts w:ascii="Arial" w:hAnsi="Arial" w:cs="Arial"/>
          <w:lang w:eastAsia="en-US"/>
        </w:rPr>
        <w:t>scholarly data</w:t>
      </w:r>
      <w:r w:rsidRPr="002A0BDB">
        <w:rPr>
          <w:rFonts w:ascii="Arial" w:hAnsi="Arial" w:cs="Arial"/>
          <w:lang w:eastAsia="en-US"/>
        </w:rPr>
        <w:t xml:space="preserve">, which is suitable in terms of </w:t>
      </w:r>
      <w:r w:rsidR="00D7349D" w:rsidRPr="002A0BDB">
        <w:rPr>
          <w:rFonts w:ascii="Arial" w:hAnsi="Arial" w:cs="Arial"/>
          <w:lang w:eastAsia="en-US"/>
        </w:rPr>
        <w:t>analysing</w:t>
      </w:r>
      <w:r w:rsidRPr="002A0BDB">
        <w:rPr>
          <w:rFonts w:ascii="Arial" w:hAnsi="Arial" w:cs="Arial"/>
          <w:lang w:eastAsia="en-US"/>
        </w:rPr>
        <w:t xml:space="preserve"> qualitative results. Furthermore,</w:t>
      </w:r>
      <w:r w:rsidR="00A54C3D" w:rsidRPr="002A0BDB">
        <w:rPr>
          <w:rFonts w:ascii="Arial" w:hAnsi="Arial" w:cs="Arial"/>
          <w:lang w:eastAsia="en-US"/>
        </w:rPr>
        <w:t xml:space="preserve"> in conducting detailed thematic analysis, </w:t>
      </w:r>
      <w:r w:rsidR="00D7349D" w:rsidRPr="002A0BDB">
        <w:rPr>
          <w:rFonts w:ascii="Arial" w:hAnsi="Arial" w:cs="Arial"/>
          <w:lang w:eastAsia="en-US"/>
        </w:rPr>
        <w:t>Braun</w:t>
      </w:r>
      <w:r w:rsidRPr="002A0BDB">
        <w:rPr>
          <w:rFonts w:ascii="Arial" w:hAnsi="Arial" w:cs="Arial"/>
          <w:lang w:eastAsia="en-US"/>
        </w:rPr>
        <w:t xml:space="preserve"> and Clarke contain five steps: familiarisation, theme generation, theme review, composition and definition. This guarantees that the data of the extracted outcomes is compared in a systematic manner with the view to establishing common themes that concern the effectiveness of management, as well as the sustainability of the public health interventions. The data synthesis procedures were organised within a systematic PRISMA-guided program to supply the transparency, consistency and methodological soundness of the findings. Since the initial identification of records, systematic screening and eligibility checks resulted in including 10 studies that formed the evidence base that was to be analysed. The key results were observed and organised in a way that allowed comparing the results of cross-studies and only relevant and good quality evidence was involved in the synthesis. This approach helped in logical inclusion of findings, encouraged explicit theme construction, and also led to the validity of conclusions that </w:t>
      </w:r>
      <w:r w:rsidRPr="002A0BDB">
        <w:rPr>
          <w:rFonts w:ascii="Arial" w:hAnsi="Arial" w:cs="Arial"/>
          <w:lang w:eastAsia="en-US"/>
        </w:rPr>
        <w:lastRenderedPageBreak/>
        <w:t xml:space="preserve">were drawn on the effectiveness of the public health intervention to prevent and </w:t>
      </w:r>
      <w:r w:rsidR="00D7349D" w:rsidRPr="002A0BDB">
        <w:rPr>
          <w:rFonts w:ascii="Arial" w:hAnsi="Arial" w:cs="Arial"/>
          <w:lang w:eastAsia="en-US"/>
        </w:rPr>
        <w:t>Control</w:t>
      </w:r>
      <w:r w:rsidRPr="002A0BDB">
        <w:rPr>
          <w:rFonts w:ascii="Arial" w:hAnsi="Arial" w:cs="Arial"/>
          <w:lang w:eastAsia="en-US"/>
        </w:rPr>
        <w:t xml:space="preserve"> indirect transmission of Cholera. </w:t>
      </w:r>
    </w:p>
    <w:p w14:paraId="22B29E50" w14:textId="465D061C" w:rsidR="00633AD5" w:rsidRPr="002A0BDB" w:rsidRDefault="00633AD5" w:rsidP="00633AD5">
      <w:pPr>
        <w:spacing w:line="360" w:lineRule="auto"/>
        <w:jc w:val="both"/>
        <w:rPr>
          <w:rFonts w:ascii="Arial" w:hAnsi="Arial" w:cs="Arial"/>
        </w:rPr>
      </w:pPr>
      <w:r w:rsidRPr="002A0BDB">
        <w:rPr>
          <w:rFonts w:ascii="Arial" w:hAnsi="Arial" w:cs="Arial"/>
        </w:rPr>
        <w:t xml:space="preserve">The secondary sources of data are vital to the </w:t>
      </w:r>
      <w:r w:rsidR="00D40117" w:rsidRPr="002A0BDB">
        <w:rPr>
          <w:rFonts w:ascii="Arial" w:hAnsi="Arial" w:cs="Arial"/>
        </w:rPr>
        <w:t>research</w:t>
      </w:r>
      <w:r w:rsidRPr="002A0BDB">
        <w:rPr>
          <w:rFonts w:ascii="Arial" w:hAnsi="Arial" w:cs="Arial"/>
        </w:rPr>
        <w:t xml:space="preserve"> of infectious diseases, and in this instance, they assist in the high-scale genomic, epidemiological, and surveillance outcomes and other geographical sites. The secondary data can also be useful when assessing evidence of molecular surveillance to make decisions in the context of the field of public health (</w:t>
      </w:r>
      <w:proofErr w:type="spellStart"/>
      <w:r w:rsidRPr="002A0BDB">
        <w:rPr>
          <w:rFonts w:ascii="Arial" w:hAnsi="Arial" w:cs="Arial"/>
        </w:rPr>
        <w:t>KristynaKorena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2023).  The data in this research were retrieved through the use of the published studies about the spread of </w:t>
      </w:r>
      <w:r w:rsidRPr="002A0BDB">
        <w:rPr>
          <w:rFonts w:ascii="Arial" w:hAnsi="Arial" w:cs="Arial"/>
          <w:i/>
          <w:iCs/>
        </w:rPr>
        <w:t xml:space="preserve">Vibrio </w:t>
      </w:r>
      <w:proofErr w:type="spellStart"/>
      <w:r w:rsidRPr="002A0BDB">
        <w:rPr>
          <w:rFonts w:ascii="Arial" w:hAnsi="Arial" w:cs="Arial"/>
          <w:i/>
          <w:iCs/>
        </w:rPr>
        <w:t>cholerae</w:t>
      </w:r>
      <w:proofErr w:type="spellEnd"/>
      <w:r w:rsidRPr="002A0BDB">
        <w:rPr>
          <w:rFonts w:ascii="Arial" w:hAnsi="Arial" w:cs="Arial"/>
        </w:rPr>
        <w:t xml:space="preserve"> over the past, which were categorised as systematic, observational, and genomic studies. According to </w:t>
      </w:r>
      <w:proofErr w:type="spellStart"/>
      <w:r w:rsidRPr="002A0BDB">
        <w:rPr>
          <w:rFonts w:ascii="Arial" w:hAnsi="Arial" w:cs="Arial"/>
        </w:rPr>
        <w:t>Zhong</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secondary data collection causes no disadvantages to the systematic reviews and encourages efficiency to the degree of analytical rigor. Fullness and quality of the existing research are the approach of the methodology. Irrespective of this shortcoming, the secondary data collection is suitable for synthesising evidence in helping to develop strategies to prevent cholera.</w:t>
      </w:r>
    </w:p>
    <w:p w14:paraId="2147C251" w14:textId="0543C447" w:rsidR="00633AD5" w:rsidRPr="002A0BDB" w:rsidRDefault="00633AD5" w:rsidP="000A7152">
      <w:pPr>
        <w:pStyle w:val="Heading2"/>
        <w:spacing w:line="360" w:lineRule="auto"/>
        <w:jc w:val="both"/>
        <w:rPr>
          <w:rFonts w:ascii="Arial" w:hAnsi="Arial" w:cs="Arial"/>
          <w:color w:val="auto"/>
          <w:sz w:val="22"/>
        </w:rPr>
      </w:pPr>
      <w:bookmarkStart w:id="80" w:name="_Toc216776842"/>
      <w:bookmarkStart w:id="81" w:name="_Toc217326112"/>
      <w:bookmarkStart w:id="82" w:name="_Toc217328624"/>
      <w:bookmarkStart w:id="83" w:name="_Toc220494154"/>
      <w:r w:rsidRPr="002A0BDB">
        <w:rPr>
          <w:rFonts w:ascii="Arial" w:hAnsi="Arial" w:cs="Arial"/>
          <w:color w:val="auto"/>
          <w:sz w:val="22"/>
        </w:rPr>
        <w:t>3.13 Ethical considerations</w:t>
      </w:r>
      <w:bookmarkEnd w:id="80"/>
      <w:bookmarkEnd w:id="81"/>
      <w:bookmarkEnd w:id="82"/>
      <w:bookmarkEnd w:id="83"/>
      <w:r w:rsidRPr="002A0BDB">
        <w:rPr>
          <w:rFonts w:ascii="Arial" w:hAnsi="Arial" w:cs="Arial"/>
          <w:color w:val="auto"/>
          <w:sz w:val="22"/>
        </w:rPr>
        <w:t xml:space="preserve"> </w:t>
      </w:r>
    </w:p>
    <w:p w14:paraId="58F666EE" w14:textId="77777777" w:rsidR="00633AD5" w:rsidRPr="002A0BDB" w:rsidRDefault="00633AD5" w:rsidP="00633AD5">
      <w:pPr>
        <w:spacing w:line="360" w:lineRule="auto"/>
        <w:jc w:val="both"/>
        <w:rPr>
          <w:rFonts w:ascii="Arial" w:hAnsi="Arial" w:cs="Arial"/>
        </w:rPr>
      </w:pPr>
      <w:r w:rsidRPr="002A0BDB">
        <w:rPr>
          <w:rFonts w:ascii="Arial" w:eastAsia="Times New Roman" w:hAnsi="Arial" w:cs="Arial"/>
        </w:rPr>
        <w:t>The ethical issues were addressed independently using the secondary and peer-reviewed literature, and therefore, no participant was sought. It was also found to report ethically, as systematic reviews should do so, participant (</w:t>
      </w:r>
      <w:proofErr w:type="spellStart"/>
      <w:r w:rsidRPr="002A0BDB">
        <w:rPr>
          <w:rFonts w:ascii="Arial" w:eastAsia="Times New Roman" w:hAnsi="Arial" w:cs="Arial"/>
        </w:rPr>
        <w:t>Zhong</w:t>
      </w:r>
      <w:proofErr w:type="spellEnd"/>
      <w:r w:rsidRPr="002A0BDB">
        <w:rPr>
          <w:rFonts w:ascii="Arial" w:eastAsia="Times New Roman" w:hAnsi="Arial" w:cs="Arial"/>
        </w:rPr>
        <w:t xml:space="preserve"> </w:t>
      </w:r>
      <w:r w:rsidRPr="002A0BDB">
        <w:rPr>
          <w:rFonts w:ascii="Arial" w:eastAsia="Times New Roman" w:hAnsi="Arial" w:cs="Arial"/>
          <w:i/>
          <w:iCs/>
        </w:rPr>
        <w:t>et al.</w:t>
      </w:r>
      <w:r w:rsidRPr="002A0BDB">
        <w:rPr>
          <w:rFonts w:ascii="Arial" w:eastAsia="Times New Roman" w:hAnsi="Arial" w:cs="Arial"/>
        </w:rPr>
        <w:t xml:space="preserve"> 2021). Data processing occurred according to the provisions of the GDPR (2018). The research has taken measures to ensure that the overall ethical practice of the research is conducted in the context of rendering the thesis findings valuable. It is on this basis that the research has been keen to observe the university guidelines prior to the data collection methodology. As an example, the research has made sure to comply with the Copyright Act of 1988 in the UK on preventing the vice of plagiarism. The Copyright Act of 1988 in the UK does give exceptions in regard to use in education, wherein fair copying and use of copyright material in teaching, whether through display of web material or broadcast recordings, falls under fair dealing as well as certain conditions (</w:t>
      </w:r>
      <w:proofErr w:type="spellStart"/>
      <w:r w:rsidRPr="002A0BDB">
        <w:rPr>
          <w:rFonts w:ascii="Arial" w:eastAsia="Times New Roman" w:hAnsi="Arial" w:cs="Arial"/>
        </w:rPr>
        <w:t>Gov</w:t>
      </w:r>
      <w:proofErr w:type="spellEnd"/>
      <w:r w:rsidRPr="002A0BDB">
        <w:rPr>
          <w:rFonts w:ascii="Arial" w:eastAsia="Times New Roman" w:hAnsi="Arial" w:cs="Arial"/>
        </w:rPr>
        <w:t xml:space="preserve">, 2025). The effect of this regulation has contributed to the prevention of the habit of copy-pasting in gathering information using the available sources. </w:t>
      </w:r>
    </w:p>
    <w:p w14:paraId="7FD79990" w14:textId="77777777" w:rsidR="00633AD5" w:rsidRPr="002A0BDB" w:rsidRDefault="00633AD5" w:rsidP="00633AD5">
      <w:pPr>
        <w:pStyle w:val="Heading2"/>
        <w:spacing w:line="360" w:lineRule="auto"/>
        <w:jc w:val="both"/>
        <w:rPr>
          <w:rFonts w:ascii="Arial" w:hAnsi="Arial" w:cs="Arial"/>
          <w:color w:val="auto"/>
          <w:sz w:val="22"/>
        </w:rPr>
      </w:pPr>
      <w:bookmarkStart w:id="84" w:name="_Toc218687799"/>
      <w:bookmarkStart w:id="85" w:name="_Toc220494155"/>
      <w:r w:rsidRPr="002A0BDB">
        <w:rPr>
          <w:rFonts w:ascii="Arial" w:hAnsi="Arial" w:cs="Arial"/>
          <w:color w:val="auto"/>
          <w:sz w:val="22"/>
        </w:rPr>
        <w:t>3.14 Limitations of this study</w:t>
      </w:r>
      <w:bookmarkEnd w:id="84"/>
      <w:bookmarkEnd w:id="85"/>
    </w:p>
    <w:p w14:paraId="0D2B391A" w14:textId="77777777" w:rsidR="00633AD5" w:rsidRPr="002A0BDB" w:rsidRDefault="00633AD5" w:rsidP="00633AD5">
      <w:pPr>
        <w:spacing w:line="360" w:lineRule="auto"/>
        <w:jc w:val="both"/>
        <w:rPr>
          <w:rFonts w:ascii="Arial" w:hAnsi="Arial" w:cs="Arial"/>
        </w:rPr>
      </w:pPr>
    </w:p>
    <w:p w14:paraId="4E3A63CD" w14:textId="77777777" w:rsidR="00633AD5" w:rsidRPr="002A0BDB" w:rsidRDefault="00633AD5" w:rsidP="00633AD5">
      <w:pPr>
        <w:spacing w:line="360" w:lineRule="auto"/>
        <w:jc w:val="both"/>
        <w:rPr>
          <w:rFonts w:ascii="Arial" w:hAnsi="Arial" w:cs="Arial"/>
        </w:rPr>
      </w:pPr>
      <w:r w:rsidRPr="002A0BDB">
        <w:rPr>
          <w:rFonts w:ascii="Arial" w:hAnsi="Arial" w:cs="Arial"/>
        </w:rPr>
        <w:t xml:space="preserve">The study has weaknesses in using secondary data due to the possibility of publication bias and the lack of homogeneous methodologies. This is characteristic of the systematic reviews of the </w:t>
      </w:r>
      <w:r w:rsidRPr="002A0BDB">
        <w:rPr>
          <w:rFonts w:ascii="Arial" w:hAnsi="Arial" w:cs="Arial"/>
        </w:rPr>
        <w:lastRenderedPageBreak/>
        <w:t xml:space="preserve">literature regarding the surveillance of infectious diseases (Wu </w:t>
      </w:r>
      <w:r w:rsidRPr="002A0BDB">
        <w:rPr>
          <w:rFonts w:ascii="Arial" w:hAnsi="Arial" w:cs="Arial"/>
          <w:i/>
          <w:iCs/>
        </w:rPr>
        <w:t xml:space="preserve">et al. </w:t>
      </w:r>
      <w:r w:rsidRPr="002A0BDB">
        <w:rPr>
          <w:rFonts w:ascii="Arial" w:hAnsi="Arial" w:cs="Arial"/>
        </w:rPr>
        <w:t>2023).  The differences in the outcomes of the comparisons of studies may be influenced by the differences in the molecular tools and standards of reporting. Nevertheless, the systematic synthesis will render the evidence credible and minimize bias. The findings of molecular epidemiology should be included to make a contribution to the knowledgeable decision-making on the problems concerning the health of the population.</w:t>
      </w:r>
    </w:p>
    <w:p w14:paraId="5487BF3E" w14:textId="363AB523" w:rsidR="00633AD5" w:rsidRPr="002A0BDB" w:rsidRDefault="00633AD5" w:rsidP="000A7152">
      <w:pPr>
        <w:pStyle w:val="Heading2"/>
        <w:spacing w:line="360" w:lineRule="auto"/>
        <w:jc w:val="both"/>
        <w:rPr>
          <w:rFonts w:ascii="Arial" w:hAnsi="Arial" w:cs="Arial"/>
          <w:color w:val="auto"/>
          <w:sz w:val="22"/>
        </w:rPr>
      </w:pPr>
      <w:bookmarkStart w:id="86" w:name="_Toc218687801"/>
      <w:bookmarkStart w:id="87" w:name="_Toc220494156"/>
      <w:r w:rsidRPr="002A0BDB">
        <w:rPr>
          <w:rFonts w:ascii="Arial" w:hAnsi="Arial" w:cs="Arial"/>
          <w:color w:val="auto"/>
          <w:sz w:val="22"/>
        </w:rPr>
        <w:t>3.15 Summary</w:t>
      </w:r>
      <w:bookmarkEnd w:id="86"/>
      <w:bookmarkEnd w:id="87"/>
    </w:p>
    <w:p w14:paraId="5EA5E81D" w14:textId="76C09C6A" w:rsidR="009F64C5" w:rsidRPr="002A0BDB" w:rsidRDefault="00633AD5" w:rsidP="00633AD5">
      <w:pPr>
        <w:spacing w:after="14" w:line="360" w:lineRule="auto"/>
        <w:jc w:val="both"/>
        <w:rPr>
          <w:rFonts w:asciiTheme="minorBidi" w:hAnsiTheme="minorBidi"/>
        </w:rPr>
      </w:pPr>
      <w:bookmarkStart w:id="88" w:name="_heading=h.oemvlegqjqom"/>
      <w:bookmarkEnd w:id="88"/>
      <w:r w:rsidRPr="002A0BDB">
        <w:rPr>
          <w:rFonts w:ascii="Arial" w:hAnsi="Arial" w:cs="Arial"/>
        </w:rPr>
        <w:t>The chapter described a qualitative methodology of reviewing the applications of molecular epidemiology in controlling cholera, which is systematic. The transparency, rigor, and relevance were ensured by the clear research design, data collection process, data analysis, and ethical procedures. The plan makes it possible to make sound synthesis yield effective interventions in the area of public health.</w:t>
      </w:r>
      <w:r w:rsidR="009F64C5" w:rsidRPr="002A0BDB">
        <w:rPr>
          <w:rFonts w:ascii="Arial" w:hAnsi="Arial" w:cs="Arial"/>
          <w:sz w:val="24"/>
          <w:szCs w:val="24"/>
        </w:rPr>
        <w:tab/>
      </w:r>
      <w:r w:rsidR="009F64C5" w:rsidRPr="002A0BDB">
        <w:rPr>
          <w:rFonts w:asciiTheme="minorBidi" w:eastAsia="Times New Roman" w:hAnsiTheme="minorBidi"/>
          <w:i/>
        </w:rPr>
        <w:t xml:space="preserve"> </w:t>
      </w:r>
    </w:p>
    <w:p w14:paraId="730E53A7" w14:textId="77777777" w:rsidR="009706D0" w:rsidRPr="002A0BDB" w:rsidRDefault="009706D0">
      <w:pPr>
        <w:rPr>
          <w:rFonts w:asciiTheme="minorBidi" w:eastAsia="Times New Roman" w:hAnsiTheme="minorBidi"/>
          <w:b/>
          <w:sz w:val="24"/>
        </w:rPr>
      </w:pPr>
      <w:r w:rsidRPr="002A0BDB">
        <w:rPr>
          <w:rFonts w:asciiTheme="minorBidi" w:hAnsiTheme="minorBidi"/>
        </w:rPr>
        <w:br w:type="page"/>
      </w:r>
    </w:p>
    <w:p w14:paraId="1DC68205" w14:textId="371F1E79" w:rsidR="009F64C5" w:rsidRPr="002A0BDB" w:rsidRDefault="00DD7AA5">
      <w:pPr>
        <w:pStyle w:val="Heading1"/>
        <w:ind w:left="12" w:right="1"/>
        <w:rPr>
          <w:rFonts w:asciiTheme="minorBidi" w:hAnsiTheme="minorBidi" w:cstheme="minorBidi"/>
          <w:color w:val="auto"/>
        </w:rPr>
      </w:pPr>
      <w:bookmarkStart w:id="89" w:name="_Toc220498171"/>
      <w:r w:rsidRPr="002A0BDB">
        <w:rPr>
          <w:rFonts w:asciiTheme="minorBidi" w:hAnsiTheme="minorBidi" w:cstheme="minorBidi"/>
          <w:color w:val="auto"/>
        </w:rPr>
        <w:lastRenderedPageBreak/>
        <w:t xml:space="preserve">Chapter 4: </w:t>
      </w:r>
      <w:r w:rsidR="009F64C5" w:rsidRPr="002A0BDB">
        <w:rPr>
          <w:rFonts w:asciiTheme="minorBidi" w:hAnsiTheme="minorBidi" w:cstheme="minorBidi"/>
          <w:color w:val="auto"/>
        </w:rPr>
        <w:t>Results</w:t>
      </w:r>
      <w:bookmarkEnd w:id="89"/>
      <w:r w:rsidR="009F64C5" w:rsidRPr="002A0BDB">
        <w:rPr>
          <w:rFonts w:asciiTheme="minorBidi" w:hAnsiTheme="minorBidi" w:cstheme="minorBidi"/>
          <w:color w:val="auto"/>
        </w:rPr>
        <w:t xml:space="preserve"> </w:t>
      </w:r>
    </w:p>
    <w:p w14:paraId="6376B95B" w14:textId="77777777" w:rsidR="009F64C5" w:rsidRPr="002A0BDB" w:rsidRDefault="009F64C5">
      <w:pPr>
        <w:spacing w:after="172"/>
        <w:rPr>
          <w:rFonts w:asciiTheme="minorBidi" w:hAnsiTheme="minorBidi"/>
        </w:rPr>
      </w:pPr>
      <w:r w:rsidRPr="002A0BDB">
        <w:rPr>
          <w:rFonts w:asciiTheme="minorBidi" w:eastAsia="Calibri" w:hAnsiTheme="minorBidi"/>
        </w:rPr>
        <w:t xml:space="preserve"> </w:t>
      </w:r>
    </w:p>
    <w:p w14:paraId="27FEEDCC" w14:textId="500BDB21" w:rsidR="006E28A0" w:rsidRPr="002A0BDB" w:rsidRDefault="006E28A0" w:rsidP="00523B4A">
      <w:pPr>
        <w:pStyle w:val="Heading2"/>
        <w:spacing w:line="360" w:lineRule="auto"/>
        <w:jc w:val="both"/>
        <w:rPr>
          <w:rFonts w:ascii="Arial" w:hAnsi="Arial" w:cs="Arial"/>
          <w:color w:val="auto"/>
          <w:sz w:val="22"/>
        </w:rPr>
      </w:pPr>
      <w:bookmarkStart w:id="90" w:name="_Toc220494158"/>
      <w:r w:rsidRPr="002A0BDB">
        <w:rPr>
          <w:rFonts w:ascii="Arial" w:hAnsi="Arial" w:cs="Arial"/>
          <w:color w:val="auto"/>
          <w:sz w:val="22"/>
        </w:rPr>
        <w:t>4.1 Introduction</w:t>
      </w:r>
      <w:bookmarkEnd w:id="90"/>
    </w:p>
    <w:p w14:paraId="79F56FE4"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This chapter will focus on interpreting the articles that have been chosen and included from the methodology section in an effective manner. This section will aim to generate meaningful information by analysing the selected articles in terms of meeting the specific objectives of this research accurately. This chapter will also serve the purpose of exploring the effectiveness of molecular techniques in the context of detecting and characterising Vibrio Cholera across populations. Additionally, this section will also stress the results from the PRISMA reporting, the characteristics table from selected articles and the discussion of the identified themes from investigating the molecular and environmental factors that are responsible for influencing the indirect transmission of Cholera. Apart from this, the results section will also emphasise identifying and providing effective recommended courses of action in terms of initiating public health interventions to improve outbreak detection, prevention and control of Cholera. On the other hand, this section will also focus on representing the specific themes that are likely to be framed in order to meet the research objectives positively. Thereby, the key outcomes generated in this section will be significant in linking the specific objectives of this research successfully.    </w:t>
      </w:r>
    </w:p>
    <w:p w14:paraId="3FC41B77" w14:textId="71E261CB" w:rsidR="006E28A0" w:rsidRPr="002A0BDB" w:rsidRDefault="006E28A0" w:rsidP="00523B4A">
      <w:pPr>
        <w:pStyle w:val="Heading2"/>
        <w:spacing w:line="360" w:lineRule="auto"/>
        <w:jc w:val="both"/>
        <w:rPr>
          <w:rFonts w:ascii="Arial" w:hAnsi="Arial" w:cs="Arial"/>
          <w:i/>
          <w:iCs/>
          <w:color w:val="auto"/>
          <w:sz w:val="22"/>
        </w:rPr>
      </w:pPr>
      <w:bookmarkStart w:id="91" w:name="_Toc220494159"/>
      <w:r w:rsidRPr="002A0BDB">
        <w:rPr>
          <w:rFonts w:ascii="Arial" w:hAnsi="Arial" w:cs="Arial"/>
          <w:color w:val="auto"/>
          <w:sz w:val="22"/>
        </w:rPr>
        <w:t>4.2 PRISMA</w:t>
      </w:r>
      <w:bookmarkEnd w:id="91"/>
      <w:r w:rsidRPr="002A0BDB">
        <w:rPr>
          <w:rFonts w:ascii="Arial" w:hAnsi="Arial" w:cs="Arial"/>
          <w:i/>
          <w:iCs/>
          <w:color w:val="auto"/>
          <w:sz w:val="22"/>
        </w:rPr>
        <w:t xml:space="preserve"> </w:t>
      </w:r>
    </w:p>
    <w:p w14:paraId="615E833D"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PRISMA Table proved valuable in highlighting the overall process of identifying, screening and selecting appropriate articles in terms of obtaining the required Secondary Data in an effective manner. It also shows the key databases that have been accessed to collect relevant articles to gather data and interpret the core objectives of this research significantly. It also highlights the number of articles that have been excluded due to inappropriate eligibility. </w:t>
      </w:r>
    </w:p>
    <w:p w14:paraId="01DDA14B" w14:textId="77777777" w:rsidR="006E28A0" w:rsidRPr="002A0BDB" w:rsidRDefault="006E28A0" w:rsidP="006E28A0">
      <w:pPr>
        <w:pBdr>
          <w:top w:val="nil"/>
          <w:left w:val="nil"/>
          <w:bottom w:val="nil"/>
          <w:right w:val="nil"/>
          <w:between w:val="nil"/>
        </w:pBdr>
        <w:spacing w:line="360" w:lineRule="auto"/>
        <w:jc w:val="center"/>
        <w:rPr>
          <w:rFonts w:ascii="Arial" w:hAnsi="Arial" w:cs="Arial"/>
          <w:b/>
          <w:bCs/>
          <w:i/>
          <w:iCs/>
        </w:rPr>
      </w:pPr>
      <w:r w:rsidRPr="002A0BDB">
        <w:rPr>
          <w:rFonts w:ascii="Arial" w:hAnsi="Arial" w:cs="Arial"/>
          <w:b/>
          <w:bCs/>
          <w:i/>
          <w:iCs/>
          <w:noProof/>
          <w:lang w:val="en-IN" w:eastAsia="en-IN"/>
        </w:rPr>
        <w:lastRenderedPageBreak/>
        <w:drawing>
          <wp:inline distT="114300" distB="114300" distL="114300" distR="114300" wp14:anchorId="468D86AA" wp14:editId="3E73FA08">
            <wp:extent cx="4486275" cy="4905375"/>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4486275" cy="4905375"/>
                    </a:xfrm>
                    <a:prstGeom prst="rect">
                      <a:avLst/>
                    </a:prstGeom>
                    <a:ln/>
                  </pic:spPr>
                </pic:pic>
              </a:graphicData>
            </a:graphic>
          </wp:inline>
        </w:drawing>
      </w:r>
    </w:p>
    <w:p w14:paraId="2E815D77" w14:textId="77777777" w:rsidR="006E28A0" w:rsidRPr="002A0BDB" w:rsidRDefault="006E28A0" w:rsidP="006E28A0">
      <w:pPr>
        <w:pStyle w:val="Heading4"/>
        <w:rPr>
          <w:rFonts w:ascii="Arial" w:hAnsi="Arial" w:cs="Arial"/>
          <w:color w:val="auto"/>
        </w:rPr>
      </w:pPr>
      <w:bookmarkStart w:id="92" w:name="_Toc220494275"/>
      <w:bookmarkStart w:id="93" w:name="_Toc220498186"/>
      <w:r w:rsidRPr="002A0BDB">
        <w:rPr>
          <w:rFonts w:ascii="Arial" w:hAnsi="Arial" w:cs="Arial"/>
          <w:color w:val="auto"/>
        </w:rPr>
        <w:t>Figure 4.1: PRISMA Table</w:t>
      </w:r>
      <w:bookmarkEnd w:id="92"/>
      <w:bookmarkEnd w:id="93"/>
    </w:p>
    <w:p w14:paraId="6ACAD198" w14:textId="655B7708" w:rsidR="000018D1" w:rsidRPr="002A0BDB" w:rsidRDefault="000018D1" w:rsidP="000018D1">
      <w:pPr>
        <w:jc w:val="center"/>
        <w:rPr>
          <w:rFonts w:ascii="Arial" w:hAnsi="Arial" w:cs="Arial"/>
        </w:rPr>
      </w:pPr>
      <w:r w:rsidRPr="002A0BDB">
        <w:rPr>
          <w:rFonts w:ascii="Arial" w:hAnsi="Arial" w:cs="Arial"/>
        </w:rPr>
        <w:t>(Source: Created by author)</w:t>
      </w:r>
    </w:p>
    <w:p w14:paraId="67CC9CDB" w14:textId="63405467" w:rsidR="006E28A0" w:rsidRPr="002A0BDB" w:rsidRDefault="006E28A0" w:rsidP="00DC3B37">
      <w:pPr>
        <w:pStyle w:val="Heading2"/>
        <w:spacing w:line="360" w:lineRule="auto"/>
        <w:jc w:val="both"/>
        <w:rPr>
          <w:rFonts w:ascii="Arial" w:hAnsi="Arial" w:cs="Arial"/>
          <w:color w:val="auto"/>
          <w:sz w:val="22"/>
        </w:rPr>
      </w:pPr>
      <w:bookmarkStart w:id="94" w:name="_Toc220494160"/>
      <w:r w:rsidRPr="002A0BDB">
        <w:rPr>
          <w:rFonts w:ascii="Arial" w:hAnsi="Arial" w:cs="Arial"/>
          <w:color w:val="auto"/>
          <w:sz w:val="22"/>
        </w:rPr>
        <w:t>4.3 Characteristics Table</w:t>
      </w:r>
      <w:bookmarkEnd w:id="94"/>
    </w:p>
    <w:p w14:paraId="2FAA6483" w14:textId="77777777" w:rsidR="006E28A0" w:rsidRPr="002A0BDB" w:rsidRDefault="006E28A0" w:rsidP="006E28A0">
      <w:pPr>
        <w:spacing w:line="360" w:lineRule="auto"/>
        <w:jc w:val="both"/>
        <w:rPr>
          <w:rFonts w:ascii="Arial" w:hAnsi="Arial" w:cs="Arial"/>
        </w:rPr>
      </w:pPr>
      <w:r w:rsidRPr="002A0BDB">
        <w:rPr>
          <w:rFonts w:ascii="Arial" w:hAnsi="Arial" w:cs="Arial"/>
        </w:rPr>
        <w:t>This table has been effective in demonstrating the specific articles that have been selected and included in this research to successfully obtain the data and conveniently accomplish the research objectives. The table also provides a detailed insight into each of the selected articles to demonstrate the relevance of the articles with the research objectives. Additionally, this table also shows the methods, strengths, limitations and conclusions of the individual articles in an effective manner.</w:t>
      </w:r>
    </w:p>
    <w:p w14:paraId="36DEBF18"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sectPr w:rsidR="006E28A0" w:rsidRPr="002A0BDB">
          <w:footerReference w:type="default" r:id="rId20"/>
          <w:pgSz w:w="12240" w:h="15840"/>
          <w:pgMar w:top="1440" w:right="1440" w:bottom="1440" w:left="1440" w:header="720" w:footer="720" w:gutter="0"/>
          <w:pgNumType w:start="0"/>
          <w:cols w:space="720"/>
          <w:titlePg/>
        </w:sectPr>
      </w:pPr>
    </w:p>
    <w:p w14:paraId="1A55DCD4"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p>
    <w:tbl>
      <w:tblPr>
        <w:tblW w:w="134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018"/>
        <w:gridCol w:w="1334"/>
        <w:gridCol w:w="1211"/>
        <w:gridCol w:w="1211"/>
        <w:gridCol w:w="1140"/>
        <w:gridCol w:w="1176"/>
        <w:gridCol w:w="1308"/>
        <w:gridCol w:w="1211"/>
        <w:gridCol w:w="973"/>
        <w:gridCol w:w="1140"/>
        <w:gridCol w:w="1740"/>
      </w:tblGrid>
      <w:tr w:rsidR="002A0BDB" w:rsidRPr="002A0BDB" w14:paraId="0D203396" w14:textId="77777777" w:rsidTr="008E730D">
        <w:tc>
          <w:tcPr>
            <w:tcW w:w="1018" w:type="dxa"/>
          </w:tcPr>
          <w:p w14:paraId="6B05741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Study Author’s name</w:t>
            </w:r>
          </w:p>
        </w:tc>
        <w:tc>
          <w:tcPr>
            <w:tcW w:w="1334" w:type="dxa"/>
          </w:tcPr>
          <w:p w14:paraId="4B42EC8C"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Objective</w:t>
            </w:r>
          </w:p>
        </w:tc>
        <w:tc>
          <w:tcPr>
            <w:tcW w:w="1211" w:type="dxa"/>
          </w:tcPr>
          <w:p w14:paraId="61798336"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Setting</w:t>
            </w:r>
          </w:p>
        </w:tc>
        <w:tc>
          <w:tcPr>
            <w:tcW w:w="1211" w:type="dxa"/>
          </w:tcPr>
          <w:p w14:paraId="0DAB8BF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Methodology</w:t>
            </w:r>
          </w:p>
        </w:tc>
        <w:tc>
          <w:tcPr>
            <w:tcW w:w="1140" w:type="dxa"/>
          </w:tcPr>
          <w:p w14:paraId="0925DC1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Strengths</w:t>
            </w:r>
          </w:p>
        </w:tc>
        <w:tc>
          <w:tcPr>
            <w:tcW w:w="1176" w:type="dxa"/>
          </w:tcPr>
          <w:p w14:paraId="0C79829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Weaknesses</w:t>
            </w:r>
          </w:p>
        </w:tc>
        <w:tc>
          <w:tcPr>
            <w:tcW w:w="1308" w:type="dxa"/>
          </w:tcPr>
          <w:p w14:paraId="2C94076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Results</w:t>
            </w:r>
          </w:p>
        </w:tc>
        <w:tc>
          <w:tcPr>
            <w:tcW w:w="1211" w:type="dxa"/>
          </w:tcPr>
          <w:p w14:paraId="45ED538F"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Conclusion</w:t>
            </w:r>
          </w:p>
        </w:tc>
        <w:tc>
          <w:tcPr>
            <w:tcW w:w="973" w:type="dxa"/>
          </w:tcPr>
          <w:p w14:paraId="3CAB7DED"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Data</w:t>
            </w:r>
          </w:p>
          <w:p w14:paraId="1A0AB2EF"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extraction</w:t>
            </w:r>
          </w:p>
          <w:p w14:paraId="277F3964"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criteria</w:t>
            </w:r>
          </w:p>
          <w:p w14:paraId="56C97E81"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(derived</w:t>
            </w:r>
          </w:p>
          <w:p w14:paraId="0B06F827"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from</w:t>
            </w:r>
          </w:p>
          <w:p w14:paraId="256AA91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learning</w:t>
            </w:r>
          </w:p>
          <w:p w14:paraId="07E6992D"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objective</w:t>
            </w:r>
          </w:p>
          <w:p w14:paraId="348F0C72"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1</w:t>
            </w:r>
          </w:p>
        </w:tc>
        <w:tc>
          <w:tcPr>
            <w:tcW w:w="1140" w:type="dxa"/>
          </w:tcPr>
          <w:p w14:paraId="6EDD349F"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Data</w:t>
            </w:r>
          </w:p>
          <w:p w14:paraId="3738B558"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extraction</w:t>
            </w:r>
          </w:p>
          <w:p w14:paraId="1591B4E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criteria</w:t>
            </w:r>
          </w:p>
          <w:p w14:paraId="11D6DEA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(derived</w:t>
            </w:r>
          </w:p>
          <w:p w14:paraId="7B27D45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from</w:t>
            </w:r>
          </w:p>
          <w:p w14:paraId="42096E6F"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learning</w:t>
            </w:r>
          </w:p>
          <w:p w14:paraId="7EDE82F2"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objective</w:t>
            </w:r>
          </w:p>
          <w:p w14:paraId="395269F6"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2</w:t>
            </w:r>
          </w:p>
        </w:tc>
        <w:tc>
          <w:tcPr>
            <w:tcW w:w="1740" w:type="dxa"/>
          </w:tcPr>
          <w:p w14:paraId="29B7D98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Themes</w:t>
            </w:r>
          </w:p>
        </w:tc>
      </w:tr>
      <w:tr w:rsidR="002A0BDB" w:rsidRPr="002A0BDB" w14:paraId="68BE137E" w14:textId="77777777" w:rsidTr="008E730D">
        <w:trPr>
          <w:trHeight w:val="440"/>
        </w:trPr>
        <w:tc>
          <w:tcPr>
            <w:tcW w:w="1018" w:type="dxa"/>
          </w:tcPr>
          <w:p w14:paraId="2767AF6D"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Brumfield </w:t>
            </w:r>
            <w:r w:rsidRPr="002A0BDB">
              <w:rPr>
                <w:rFonts w:ascii="Arial" w:hAnsi="Arial" w:cs="Arial"/>
                <w:i/>
                <w:iCs/>
              </w:rPr>
              <w:t xml:space="preserve">et al. </w:t>
            </w:r>
            <w:r w:rsidRPr="002A0BDB">
              <w:rPr>
                <w:rFonts w:ascii="Arial" w:hAnsi="Arial" w:cs="Arial"/>
              </w:rPr>
              <w:t>(2021)</w:t>
            </w:r>
          </w:p>
          <w:p w14:paraId="4FC1A956"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Environmental parameters </w:t>
            </w:r>
            <w:r w:rsidRPr="002A0BDB">
              <w:rPr>
                <w:rFonts w:ascii="Arial" w:hAnsi="Arial" w:cs="Arial"/>
              </w:rPr>
              <w:lastRenderedPageBreak/>
              <w:t>associated with incidence and transmission of pathogenic</w:t>
            </w:r>
          </w:p>
          <w:p w14:paraId="538A1FAF" w14:textId="3A93BAA0" w:rsidR="006E28A0" w:rsidRPr="002A0BDB" w:rsidRDefault="00FF07A5" w:rsidP="006E28A0">
            <w:pPr>
              <w:spacing w:line="360" w:lineRule="auto"/>
              <w:jc w:val="both"/>
              <w:rPr>
                <w:rFonts w:ascii="Arial" w:hAnsi="Arial" w:cs="Arial"/>
              </w:rPr>
            </w:pPr>
            <w:r w:rsidRPr="002A0BDB">
              <w:rPr>
                <w:rFonts w:ascii="Arial" w:hAnsi="Arial" w:cs="Arial"/>
              </w:rPr>
              <w:t xml:space="preserve">Vibrio </w:t>
            </w:r>
            <w:proofErr w:type="spellStart"/>
            <w:r w:rsidRPr="002A0BDB">
              <w:rPr>
                <w:rFonts w:ascii="Arial" w:hAnsi="Arial" w:cs="Arial"/>
              </w:rPr>
              <w:t>sp</w:t>
            </w:r>
            <w:proofErr w:type="spellEnd"/>
          </w:p>
          <w:p w14:paraId="74EE5570"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tc>
        <w:tc>
          <w:tcPr>
            <w:tcW w:w="1334" w:type="dxa"/>
          </w:tcPr>
          <w:p w14:paraId="765093DC"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‘Investigate environmental factors related to clinically relevant Vibrio spp.,</w:t>
            </w:r>
          </w:p>
          <w:p w14:paraId="0C45479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their interaction with the environment, and disease transmission.’</w:t>
            </w:r>
          </w:p>
        </w:tc>
        <w:tc>
          <w:tcPr>
            <w:tcW w:w="1211" w:type="dxa"/>
          </w:tcPr>
          <w:p w14:paraId="58D888F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Random environmental samples</w:t>
            </w:r>
          </w:p>
        </w:tc>
        <w:tc>
          <w:tcPr>
            <w:tcW w:w="1211" w:type="dxa"/>
          </w:tcPr>
          <w:p w14:paraId="060BDB3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Secondary Method</w:t>
            </w:r>
          </w:p>
        </w:tc>
        <w:tc>
          <w:tcPr>
            <w:tcW w:w="1140" w:type="dxa"/>
          </w:tcPr>
          <w:p w14:paraId="0FE5217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Included real-life samples</w:t>
            </w:r>
          </w:p>
        </w:tc>
        <w:tc>
          <w:tcPr>
            <w:tcW w:w="1176" w:type="dxa"/>
          </w:tcPr>
          <w:p w14:paraId="6440FE29"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No specific sample size</w:t>
            </w:r>
          </w:p>
        </w:tc>
        <w:tc>
          <w:tcPr>
            <w:tcW w:w="1308" w:type="dxa"/>
          </w:tcPr>
          <w:p w14:paraId="2C634C61"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‘Molecular methods designed for detection and</w:t>
            </w:r>
          </w:p>
          <w:p w14:paraId="7875E4C6"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enumerati</w:t>
            </w:r>
            <w:r w:rsidRPr="002A0BDB">
              <w:rPr>
                <w:rFonts w:ascii="Arial" w:hAnsi="Arial" w:cs="Arial"/>
              </w:rPr>
              <w:lastRenderedPageBreak/>
              <w:t>on proved useful for predictive modelling</w:t>
            </w:r>
          </w:p>
          <w:p w14:paraId="5DD68154"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and are described, namely in the context of prediction of environmental conditions favourable to Vibrio</w:t>
            </w:r>
          </w:p>
          <w:p w14:paraId="092C6808"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spp. showing human health risk’</w:t>
            </w:r>
          </w:p>
          <w:p w14:paraId="079FBFB2"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p>
        </w:tc>
        <w:tc>
          <w:tcPr>
            <w:tcW w:w="1211" w:type="dxa"/>
          </w:tcPr>
          <w:p w14:paraId="1689B967"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‘Early warning systems are essential to public</w:t>
            </w:r>
          </w:p>
          <w:p w14:paraId="3C9A5E90"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health </w:t>
            </w:r>
            <w:r w:rsidRPr="002A0BDB">
              <w:rPr>
                <w:rFonts w:ascii="Arial" w:hAnsi="Arial" w:cs="Arial"/>
              </w:rPr>
              <w:lastRenderedPageBreak/>
              <w:t>and for informing decision makers and those individuals whose risk of infection is high’</w:t>
            </w:r>
          </w:p>
        </w:tc>
        <w:tc>
          <w:tcPr>
            <w:tcW w:w="973" w:type="dxa"/>
          </w:tcPr>
          <w:p w14:paraId="092A925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Yes</w:t>
            </w:r>
          </w:p>
        </w:tc>
        <w:tc>
          <w:tcPr>
            <w:tcW w:w="1140" w:type="dxa"/>
          </w:tcPr>
          <w:p w14:paraId="413D70F2"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740" w:type="dxa"/>
            <w:vMerge w:val="restart"/>
          </w:tcPr>
          <w:p w14:paraId="6D22BD1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 xml:space="preserve">Theme 1: </w:t>
            </w:r>
            <w:proofErr w:type="spellStart"/>
            <w:r w:rsidRPr="002A0BDB">
              <w:rPr>
                <w:rFonts w:ascii="Arial" w:hAnsi="Arial" w:cs="Arial"/>
                <w:b/>
                <w:bCs/>
              </w:rPr>
              <w:t>Metagenomic</w:t>
            </w:r>
            <w:proofErr w:type="spellEnd"/>
            <w:r w:rsidRPr="002A0BDB">
              <w:rPr>
                <w:rFonts w:ascii="Arial" w:hAnsi="Arial" w:cs="Arial"/>
                <w:b/>
                <w:bCs/>
              </w:rPr>
              <w:t xml:space="preserve"> Sequencing and Genomic mechanisms accurately detect the </w:t>
            </w:r>
            <w:r w:rsidRPr="002A0BDB">
              <w:rPr>
                <w:rFonts w:ascii="Arial" w:hAnsi="Arial" w:cs="Arial"/>
                <w:b/>
                <w:bCs/>
              </w:rPr>
              <w:lastRenderedPageBreak/>
              <w:t>transmission process and routes of Vibrio Cholera</w:t>
            </w:r>
          </w:p>
        </w:tc>
      </w:tr>
      <w:tr w:rsidR="002A0BDB" w:rsidRPr="002A0BDB" w14:paraId="1F28C42B" w14:textId="77777777" w:rsidTr="008E730D">
        <w:trPr>
          <w:trHeight w:val="440"/>
        </w:trPr>
        <w:tc>
          <w:tcPr>
            <w:tcW w:w="1018" w:type="dxa"/>
          </w:tcPr>
          <w:p w14:paraId="5EFEC2AE"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Chowdhury </w:t>
            </w:r>
            <w:r w:rsidRPr="002A0BDB">
              <w:rPr>
                <w:rFonts w:ascii="Arial" w:hAnsi="Arial" w:cs="Arial"/>
                <w:i/>
                <w:iCs/>
              </w:rPr>
              <w:t xml:space="preserve">et al. </w:t>
            </w:r>
            <w:r w:rsidRPr="002A0BDB">
              <w:rPr>
                <w:rFonts w:ascii="Arial" w:hAnsi="Arial" w:cs="Arial"/>
              </w:rPr>
              <w:t>(2022)</w:t>
            </w:r>
          </w:p>
          <w:p w14:paraId="6E7F7B5A" w14:textId="77777777" w:rsidR="006E28A0" w:rsidRPr="002A0BDB" w:rsidRDefault="006E28A0" w:rsidP="006E28A0">
            <w:pPr>
              <w:spacing w:line="360" w:lineRule="auto"/>
              <w:jc w:val="both"/>
              <w:rPr>
                <w:rFonts w:ascii="Arial" w:hAnsi="Arial" w:cs="Arial"/>
              </w:rPr>
            </w:pPr>
            <w:r w:rsidRPr="002A0BDB">
              <w:rPr>
                <w:rFonts w:ascii="Arial" w:hAnsi="Arial" w:cs="Arial"/>
              </w:rPr>
              <w:t>Diagnosis,</w:t>
            </w:r>
          </w:p>
          <w:p w14:paraId="2BAC2C59" w14:textId="451670AD" w:rsidR="006E28A0" w:rsidRPr="002A0BDB" w:rsidRDefault="00FF07A5" w:rsidP="006E28A0">
            <w:pPr>
              <w:spacing w:line="360" w:lineRule="auto"/>
              <w:jc w:val="both"/>
              <w:rPr>
                <w:rFonts w:ascii="Arial" w:hAnsi="Arial" w:cs="Arial"/>
              </w:rPr>
            </w:pPr>
            <w:r w:rsidRPr="002A0BDB">
              <w:rPr>
                <w:rFonts w:ascii="Arial" w:hAnsi="Arial" w:cs="Arial"/>
              </w:rPr>
              <w:t>Management</w:t>
            </w:r>
            <w:r w:rsidR="006E28A0" w:rsidRPr="002A0BDB">
              <w:rPr>
                <w:rFonts w:ascii="Arial" w:hAnsi="Arial" w:cs="Arial"/>
              </w:rPr>
              <w:t>, and future control of cholera.</w:t>
            </w:r>
          </w:p>
          <w:p w14:paraId="072E2787"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tc>
        <w:tc>
          <w:tcPr>
            <w:tcW w:w="1334" w:type="dxa"/>
          </w:tcPr>
          <w:p w14:paraId="10AF2DAD"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The aim is to identify the cholera diagnosis management and future direction using random samples.</w:t>
            </w:r>
          </w:p>
        </w:tc>
        <w:tc>
          <w:tcPr>
            <w:tcW w:w="1211" w:type="dxa"/>
          </w:tcPr>
          <w:p w14:paraId="2B78123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Random stool samples</w:t>
            </w:r>
          </w:p>
        </w:tc>
        <w:tc>
          <w:tcPr>
            <w:tcW w:w="1211" w:type="dxa"/>
          </w:tcPr>
          <w:p w14:paraId="385F0BE4"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Secondary Method</w:t>
            </w:r>
          </w:p>
        </w:tc>
        <w:tc>
          <w:tcPr>
            <w:tcW w:w="1140" w:type="dxa"/>
          </w:tcPr>
          <w:p w14:paraId="3157E9B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Stool interpretation to detect Cholera</w:t>
            </w:r>
          </w:p>
        </w:tc>
        <w:tc>
          <w:tcPr>
            <w:tcW w:w="1176" w:type="dxa"/>
          </w:tcPr>
          <w:p w14:paraId="14AEF58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No specific sample size</w:t>
            </w:r>
          </w:p>
        </w:tc>
        <w:tc>
          <w:tcPr>
            <w:tcW w:w="1308" w:type="dxa"/>
          </w:tcPr>
          <w:p w14:paraId="170E8EF8"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‘V. </w:t>
            </w:r>
            <w:proofErr w:type="spellStart"/>
            <w:r w:rsidRPr="002A0BDB">
              <w:rPr>
                <w:rFonts w:ascii="Arial" w:hAnsi="Arial" w:cs="Arial"/>
              </w:rPr>
              <w:t>cholerae</w:t>
            </w:r>
            <w:proofErr w:type="spellEnd"/>
            <w:r w:rsidRPr="002A0BDB">
              <w:rPr>
                <w:rFonts w:ascii="Arial" w:hAnsi="Arial" w:cs="Arial"/>
              </w:rPr>
              <w:t xml:space="preserve"> causes periodic cholera epidemics in several regions around the globe. The</w:t>
            </w:r>
          </w:p>
          <w:p w14:paraId="248F7FC9"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disease requires immediate treatment as it can cause death within hours in patients with</w:t>
            </w:r>
          </w:p>
          <w:p w14:paraId="302604A2" w14:textId="37A8A6F5" w:rsidR="006E28A0" w:rsidRPr="002A0BDB" w:rsidRDefault="00FF07A5"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Moderate</w:t>
            </w:r>
            <w:r w:rsidR="006E28A0" w:rsidRPr="002A0BDB">
              <w:rPr>
                <w:rFonts w:ascii="Arial" w:hAnsi="Arial" w:cs="Arial"/>
              </w:rPr>
              <w:t xml:space="preserve"> to severe </w:t>
            </w:r>
            <w:r w:rsidR="006E28A0" w:rsidRPr="002A0BDB">
              <w:rPr>
                <w:rFonts w:ascii="Arial" w:hAnsi="Arial" w:cs="Arial"/>
              </w:rPr>
              <w:lastRenderedPageBreak/>
              <w:t xml:space="preserve">cholera. With the development of </w:t>
            </w:r>
            <w:proofErr w:type="spellStart"/>
            <w:r w:rsidR="006E28A0" w:rsidRPr="002A0BDB">
              <w:rPr>
                <w:rFonts w:ascii="Arial" w:hAnsi="Arial" w:cs="Arial"/>
              </w:rPr>
              <w:t>i.v.</w:t>
            </w:r>
            <w:proofErr w:type="spellEnd"/>
            <w:r w:rsidR="006E28A0" w:rsidRPr="002A0BDB">
              <w:rPr>
                <w:rFonts w:ascii="Arial" w:hAnsi="Arial" w:cs="Arial"/>
              </w:rPr>
              <w:t xml:space="preserve"> fluids, ORS, and Zn therapy, progression to severe dehydration and mortality has been remarkably reduced. Antibiotics,</w:t>
            </w:r>
          </w:p>
          <w:p w14:paraId="3D8C80AF" w14:textId="601EF3CE" w:rsidR="006E28A0" w:rsidRPr="002A0BDB" w:rsidRDefault="00616EE4"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Micronutrients</w:t>
            </w:r>
            <w:r w:rsidR="006E28A0" w:rsidRPr="002A0BDB">
              <w:rPr>
                <w:rFonts w:ascii="Arial" w:hAnsi="Arial" w:cs="Arial"/>
              </w:rPr>
              <w:t xml:space="preserve">, and probiotics can further assist in recovery. In the developing </w:t>
            </w:r>
            <w:r w:rsidR="006E28A0" w:rsidRPr="002A0BDB">
              <w:rPr>
                <w:rFonts w:ascii="Arial" w:hAnsi="Arial" w:cs="Arial"/>
              </w:rPr>
              <w:lastRenderedPageBreak/>
              <w:t>world, treatment challenges are primarily due to delays in receiving prompt medical attention by</w:t>
            </w:r>
          </w:p>
          <w:p w14:paraId="52319E80" w14:textId="16F2572D" w:rsidR="006E28A0" w:rsidRPr="002A0BDB" w:rsidRDefault="00616EE4"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Health</w:t>
            </w:r>
            <w:r w:rsidR="006E28A0" w:rsidRPr="002A0BDB">
              <w:rPr>
                <w:rFonts w:ascii="Arial" w:hAnsi="Arial" w:cs="Arial"/>
              </w:rPr>
              <w:t xml:space="preserve"> care professionals. The use of cholera RDTs as a point-of-care diagnostic during an</w:t>
            </w:r>
          </w:p>
          <w:p w14:paraId="549A880A" w14:textId="2DC87234" w:rsidR="006E28A0" w:rsidRPr="002A0BDB" w:rsidRDefault="00616EE4"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Outbreak</w:t>
            </w:r>
            <w:r w:rsidR="006E28A0" w:rsidRPr="002A0BDB">
              <w:rPr>
                <w:rFonts w:ascii="Arial" w:hAnsi="Arial" w:cs="Arial"/>
              </w:rPr>
              <w:t xml:space="preserve"> along with PCR requires significant laboratory investment and skilled personnel.’</w:t>
            </w:r>
          </w:p>
        </w:tc>
        <w:tc>
          <w:tcPr>
            <w:tcW w:w="1211" w:type="dxa"/>
          </w:tcPr>
          <w:p w14:paraId="4761C4E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‘The</w:t>
            </w:r>
          </w:p>
          <w:p w14:paraId="0CCC4AAF"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disease requires immediate treatment as it can cause death within hours in patients with</w:t>
            </w:r>
          </w:p>
          <w:p w14:paraId="1459D0DA" w14:textId="1898D37E" w:rsidR="006E28A0" w:rsidRPr="002A0BDB" w:rsidRDefault="00FF07A5"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Moderate</w:t>
            </w:r>
            <w:r w:rsidR="006E28A0" w:rsidRPr="002A0BDB">
              <w:rPr>
                <w:rFonts w:ascii="Arial" w:hAnsi="Arial" w:cs="Arial"/>
              </w:rPr>
              <w:t xml:space="preserve"> to severe cholera.’</w:t>
            </w:r>
          </w:p>
        </w:tc>
        <w:tc>
          <w:tcPr>
            <w:tcW w:w="973" w:type="dxa"/>
          </w:tcPr>
          <w:p w14:paraId="54ADF44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140" w:type="dxa"/>
          </w:tcPr>
          <w:p w14:paraId="3081A47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740" w:type="dxa"/>
            <w:vMerge/>
          </w:tcPr>
          <w:p w14:paraId="788EF3B8"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p>
        </w:tc>
      </w:tr>
      <w:tr w:rsidR="002A0BDB" w:rsidRPr="002A0BDB" w14:paraId="7F9F9FD6" w14:textId="77777777" w:rsidTr="008E730D">
        <w:trPr>
          <w:trHeight w:val="440"/>
        </w:trPr>
        <w:tc>
          <w:tcPr>
            <w:tcW w:w="1018" w:type="dxa"/>
          </w:tcPr>
          <w:p w14:paraId="79FA75DE"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Ebenezer </w:t>
            </w:r>
            <w:r w:rsidRPr="002A0BDB">
              <w:rPr>
                <w:rFonts w:ascii="Arial" w:hAnsi="Arial" w:cs="Arial"/>
                <w:i/>
                <w:iCs/>
              </w:rPr>
              <w:t xml:space="preserve">et al. </w:t>
            </w:r>
            <w:r w:rsidRPr="002A0BDB">
              <w:rPr>
                <w:rFonts w:ascii="Arial" w:hAnsi="Arial" w:cs="Arial"/>
              </w:rPr>
              <w:t xml:space="preserve">(2025) </w:t>
            </w:r>
          </w:p>
          <w:p w14:paraId="1888B418" w14:textId="77777777" w:rsidR="006E28A0" w:rsidRPr="002A0BDB" w:rsidRDefault="006E28A0" w:rsidP="006E28A0">
            <w:pPr>
              <w:spacing w:line="360" w:lineRule="auto"/>
              <w:jc w:val="both"/>
              <w:rPr>
                <w:rFonts w:ascii="Arial" w:hAnsi="Arial" w:cs="Arial"/>
              </w:rPr>
            </w:pPr>
            <w:r w:rsidRPr="002A0BDB">
              <w:rPr>
                <w:rFonts w:ascii="Arial" w:hAnsi="Arial" w:cs="Arial"/>
              </w:rPr>
              <w:t>Understanding cholera dynamics in</w:t>
            </w:r>
          </w:p>
          <w:p w14:paraId="4F71CCAB" w14:textId="1D36D47B" w:rsidR="006E28A0" w:rsidRPr="002A0BDB" w:rsidRDefault="006E28A0" w:rsidP="006E28A0">
            <w:pPr>
              <w:spacing w:line="360" w:lineRule="auto"/>
              <w:jc w:val="both"/>
              <w:rPr>
                <w:rFonts w:ascii="Arial" w:hAnsi="Arial" w:cs="Arial"/>
              </w:rPr>
            </w:pPr>
            <w:r w:rsidRPr="002A0BDB">
              <w:rPr>
                <w:rFonts w:ascii="Arial" w:hAnsi="Arial" w:cs="Arial"/>
              </w:rPr>
              <w:t>African countries with persistent outbrea</w:t>
            </w:r>
            <w:r w:rsidRPr="002A0BDB">
              <w:rPr>
                <w:rFonts w:ascii="Arial" w:hAnsi="Arial" w:cs="Arial"/>
              </w:rPr>
              <w:lastRenderedPageBreak/>
              <w:t xml:space="preserve">ks: a mathematical </w:t>
            </w:r>
            <w:r w:rsidR="00616EE4" w:rsidRPr="002A0BDB">
              <w:rPr>
                <w:rFonts w:ascii="Arial" w:hAnsi="Arial" w:cs="Arial"/>
              </w:rPr>
              <w:t>modelling</w:t>
            </w:r>
            <w:r w:rsidRPr="002A0BDB">
              <w:rPr>
                <w:rFonts w:ascii="Arial" w:hAnsi="Arial" w:cs="Arial"/>
              </w:rPr>
              <w:t xml:space="preserve"> approach.</w:t>
            </w:r>
          </w:p>
          <w:p w14:paraId="5BC58EB1"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tc>
        <w:tc>
          <w:tcPr>
            <w:tcW w:w="1334" w:type="dxa"/>
          </w:tcPr>
          <w:p w14:paraId="44FFFC9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‘This study aims to investigate the dynamics of cholera outbreaks in eight African countries using</w:t>
            </w:r>
          </w:p>
          <w:p w14:paraId="2B89C9A1" w14:textId="0D089CA6"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mathematical </w:t>
            </w:r>
            <w:r w:rsidR="00616EE4" w:rsidRPr="002A0BDB">
              <w:rPr>
                <w:rFonts w:ascii="Arial" w:hAnsi="Arial" w:cs="Arial"/>
              </w:rPr>
              <w:t>modelling</w:t>
            </w:r>
            <w:r w:rsidRPr="002A0BDB">
              <w:rPr>
                <w:rFonts w:ascii="Arial" w:hAnsi="Arial" w:cs="Arial"/>
              </w:rPr>
              <w:t xml:space="preserve"> </w:t>
            </w:r>
            <w:r w:rsidRPr="002A0BDB">
              <w:rPr>
                <w:rFonts w:ascii="Arial" w:hAnsi="Arial" w:cs="Arial"/>
              </w:rPr>
              <w:lastRenderedPageBreak/>
              <w:t>and machine learning and to provide information for public health decision making’</w:t>
            </w:r>
          </w:p>
        </w:tc>
        <w:tc>
          <w:tcPr>
            <w:tcW w:w="1211" w:type="dxa"/>
          </w:tcPr>
          <w:p w14:paraId="6008F5BC"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10,000</w:t>
            </w:r>
          </w:p>
        </w:tc>
        <w:tc>
          <w:tcPr>
            <w:tcW w:w="1211" w:type="dxa"/>
          </w:tcPr>
          <w:p w14:paraId="52C81BB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Mathematical modelling analysis with Bayesian framework</w:t>
            </w:r>
          </w:p>
        </w:tc>
        <w:tc>
          <w:tcPr>
            <w:tcW w:w="1140" w:type="dxa"/>
          </w:tcPr>
          <w:p w14:paraId="61DD17D2"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Large Sample Size</w:t>
            </w:r>
          </w:p>
        </w:tc>
        <w:tc>
          <w:tcPr>
            <w:tcW w:w="1176" w:type="dxa"/>
          </w:tcPr>
          <w:p w14:paraId="79E7BE49"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‘Reliance on</w:t>
            </w:r>
          </w:p>
          <w:p w14:paraId="4A7BDF0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data from only eight African countries’</w:t>
            </w:r>
          </w:p>
        </w:tc>
        <w:tc>
          <w:tcPr>
            <w:tcW w:w="1308" w:type="dxa"/>
          </w:tcPr>
          <w:p w14:paraId="0D2891D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‘The study uncovered variation in cholera outbreak dynamics across the considered countries. Based on our</w:t>
            </w:r>
          </w:p>
          <w:p w14:paraId="05E7FF09" w14:textId="04291FE5"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model results, the median </w:t>
            </w:r>
            <w:r w:rsidRPr="002A0BDB">
              <w:rPr>
                <w:rFonts w:ascii="Arial" w:hAnsi="Arial" w:cs="Arial"/>
              </w:rPr>
              <w:lastRenderedPageBreak/>
              <w:t>basic reproduction number (R0) across the endemic countr</w:t>
            </w:r>
            <w:r w:rsidR="008E730D" w:rsidRPr="002A0BDB">
              <w:rPr>
                <w:rFonts w:ascii="Arial" w:hAnsi="Arial" w:cs="Arial"/>
              </w:rPr>
              <w:t xml:space="preserve">ies was 2.0 (SD : 0.454), which </w:t>
            </w:r>
            <w:r w:rsidRPr="002A0BDB">
              <w:rPr>
                <w:rFonts w:ascii="Arial" w:hAnsi="Arial" w:cs="Arial"/>
              </w:rPr>
              <w:t xml:space="preserve">ranges from 1.41 in Zimbabwe to 2.80 in Mozambique. Furthermore, the results of the sensitivity analysis </w:t>
            </w:r>
            <w:r w:rsidRPr="002A0BDB">
              <w:rPr>
                <w:rFonts w:ascii="Arial" w:hAnsi="Arial" w:cs="Arial"/>
              </w:rPr>
              <w:lastRenderedPageBreak/>
              <w:t>emphasized</w:t>
            </w:r>
          </w:p>
          <w:p w14:paraId="302FA256"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the significance of the maximum infection rate and the bacteria shedding rate in driving cholera outbreaks across</w:t>
            </w:r>
          </w:p>
          <w:p w14:paraId="2E737B36" w14:textId="2C5A94EB" w:rsidR="006E28A0" w:rsidRPr="002A0BDB" w:rsidRDefault="00616EE4"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The</w:t>
            </w:r>
            <w:r w:rsidR="006E28A0" w:rsidRPr="002A0BDB">
              <w:rPr>
                <w:rFonts w:ascii="Arial" w:hAnsi="Arial" w:cs="Arial"/>
              </w:rPr>
              <w:t xml:space="preserve"> endemic regions in Africa. Hierarchical clustering </w:t>
            </w:r>
            <w:r w:rsidR="006E28A0" w:rsidRPr="002A0BDB">
              <w:rPr>
                <w:rFonts w:ascii="Arial" w:hAnsi="Arial" w:cs="Arial"/>
              </w:rPr>
              <w:lastRenderedPageBreak/>
              <w:t>revealed three distinct groups of countries based on outbreak</w:t>
            </w:r>
          </w:p>
          <w:p w14:paraId="1F4A826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dynamics and socioeconomic indicators: the chronic sanitation issues cluster (Somalia, Cameroon, and Comoros)’</w:t>
            </w:r>
          </w:p>
        </w:tc>
        <w:tc>
          <w:tcPr>
            <w:tcW w:w="1211" w:type="dxa"/>
          </w:tcPr>
          <w:p w14:paraId="0879CE0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‘Illustrates the factors of cholera outbreaks throughout African countries’</w:t>
            </w:r>
          </w:p>
        </w:tc>
        <w:tc>
          <w:tcPr>
            <w:tcW w:w="973" w:type="dxa"/>
          </w:tcPr>
          <w:p w14:paraId="43E20B9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140" w:type="dxa"/>
          </w:tcPr>
          <w:p w14:paraId="51E3249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740" w:type="dxa"/>
            <w:vMerge/>
          </w:tcPr>
          <w:p w14:paraId="11FF0641"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p>
        </w:tc>
      </w:tr>
      <w:tr w:rsidR="002A0BDB" w:rsidRPr="002A0BDB" w14:paraId="04DFDA39" w14:textId="77777777" w:rsidTr="008E730D">
        <w:trPr>
          <w:trHeight w:val="440"/>
        </w:trPr>
        <w:tc>
          <w:tcPr>
            <w:tcW w:w="1018" w:type="dxa"/>
          </w:tcPr>
          <w:p w14:paraId="29C3C5BC"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roofErr w:type="spellStart"/>
            <w:r w:rsidRPr="002A0BDB">
              <w:rPr>
                <w:rFonts w:ascii="Arial" w:hAnsi="Arial" w:cs="Arial"/>
              </w:rPr>
              <w:lastRenderedPageBreak/>
              <w:t>Jin</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w:t>
            </w:r>
          </w:p>
          <w:p w14:paraId="568593D7" w14:textId="77777777" w:rsidR="006E28A0" w:rsidRPr="002A0BDB" w:rsidRDefault="006E28A0" w:rsidP="006E28A0">
            <w:pPr>
              <w:spacing w:line="360" w:lineRule="auto"/>
              <w:jc w:val="both"/>
              <w:rPr>
                <w:rFonts w:ascii="Arial" w:hAnsi="Arial" w:cs="Arial"/>
              </w:rPr>
            </w:pPr>
            <w:r w:rsidRPr="002A0BDB">
              <w:rPr>
                <w:rFonts w:ascii="Arial" w:hAnsi="Arial" w:cs="Arial"/>
              </w:rPr>
              <w:lastRenderedPageBreak/>
              <w:t>Impact of El Niño–Southern Oscillation on</w:t>
            </w:r>
          </w:p>
          <w:p w14:paraId="5D857113" w14:textId="77777777" w:rsidR="006E28A0" w:rsidRPr="002A0BDB" w:rsidRDefault="006E28A0" w:rsidP="006E28A0">
            <w:pPr>
              <w:spacing w:line="360" w:lineRule="auto"/>
              <w:jc w:val="both"/>
              <w:rPr>
                <w:rFonts w:ascii="Arial" w:hAnsi="Arial" w:cs="Arial"/>
              </w:rPr>
            </w:pPr>
            <w:r w:rsidRPr="002A0BDB">
              <w:rPr>
                <w:rFonts w:ascii="Arial" w:hAnsi="Arial" w:cs="Arial"/>
              </w:rPr>
              <w:t>Global Vegetation.</w:t>
            </w:r>
          </w:p>
        </w:tc>
        <w:tc>
          <w:tcPr>
            <w:tcW w:w="1334" w:type="dxa"/>
          </w:tcPr>
          <w:p w14:paraId="634FDB2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Explore the interaction between </w:t>
            </w:r>
            <w:r w:rsidRPr="002A0BDB">
              <w:rPr>
                <w:rFonts w:ascii="Arial" w:hAnsi="Arial" w:cs="Arial"/>
              </w:rPr>
              <w:lastRenderedPageBreak/>
              <w:t>response from vegetation and climate types </w:t>
            </w:r>
          </w:p>
        </w:tc>
        <w:tc>
          <w:tcPr>
            <w:tcW w:w="1211" w:type="dxa"/>
          </w:tcPr>
          <w:p w14:paraId="0997BE5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ENSO global impacts </w:t>
            </w:r>
            <w:r w:rsidRPr="002A0BDB">
              <w:rPr>
                <w:rFonts w:ascii="Arial" w:hAnsi="Arial" w:cs="Arial"/>
              </w:rPr>
              <w:lastRenderedPageBreak/>
              <w:t>on vegetation</w:t>
            </w:r>
          </w:p>
        </w:tc>
        <w:tc>
          <w:tcPr>
            <w:tcW w:w="1211" w:type="dxa"/>
          </w:tcPr>
          <w:p w14:paraId="1D6EC30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Secondary qualitative</w:t>
            </w:r>
            <w:r w:rsidRPr="002A0BDB">
              <w:rPr>
                <w:rFonts w:ascii="Arial" w:hAnsi="Arial" w:cs="Arial"/>
              </w:rPr>
              <w:lastRenderedPageBreak/>
              <w:t> </w:t>
            </w:r>
          </w:p>
        </w:tc>
        <w:tc>
          <w:tcPr>
            <w:tcW w:w="1140" w:type="dxa"/>
          </w:tcPr>
          <w:p w14:paraId="3D3D1486"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Diverse information </w:t>
            </w:r>
            <w:r w:rsidRPr="002A0BDB">
              <w:rPr>
                <w:rFonts w:ascii="Arial" w:hAnsi="Arial" w:cs="Arial"/>
              </w:rPr>
              <w:lastRenderedPageBreak/>
              <w:t>source</w:t>
            </w:r>
          </w:p>
        </w:tc>
        <w:tc>
          <w:tcPr>
            <w:tcW w:w="1176" w:type="dxa"/>
          </w:tcPr>
          <w:p w14:paraId="6B4933DD"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Limited information to </w:t>
            </w:r>
            <w:r w:rsidRPr="002A0BDB">
              <w:rPr>
                <w:rFonts w:ascii="Arial" w:hAnsi="Arial" w:cs="Arial"/>
              </w:rPr>
              <w:lastRenderedPageBreak/>
              <w:t>Cholera</w:t>
            </w:r>
          </w:p>
        </w:tc>
        <w:tc>
          <w:tcPr>
            <w:tcW w:w="1308" w:type="dxa"/>
          </w:tcPr>
          <w:p w14:paraId="7257A7A8"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Highlighting a critical gap for </w:t>
            </w:r>
            <w:r w:rsidRPr="002A0BDB">
              <w:rPr>
                <w:rFonts w:ascii="Arial" w:hAnsi="Arial" w:cs="Arial"/>
              </w:rPr>
              <w:lastRenderedPageBreak/>
              <w:t>future research</w:t>
            </w:r>
          </w:p>
        </w:tc>
        <w:tc>
          <w:tcPr>
            <w:tcW w:w="1211" w:type="dxa"/>
          </w:tcPr>
          <w:p w14:paraId="27C7DA5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Involve ENSO-driven </w:t>
            </w:r>
            <w:r w:rsidRPr="002A0BDB">
              <w:rPr>
                <w:rFonts w:ascii="Arial" w:hAnsi="Arial" w:cs="Arial"/>
              </w:rPr>
              <w:lastRenderedPageBreak/>
              <w:t>changes in precipitation and temperature</w:t>
            </w:r>
          </w:p>
        </w:tc>
        <w:tc>
          <w:tcPr>
            <w:tcW w:w="973" w:type="dxa"/>
          </w:tcPr>
          <w:p w14:paraId="390FC3EC"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Yes</w:t>
            </w:r>
          </w:p>
        </w:tc>
        <w:tc>
          <w:tcPr>
            <w:tcW w:w="1140" w:type="dxa"/>
          </w:tcPr>
          <w:p w14:paraId="2CDC14C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740" w:type="dxa"/>
            <w:vMerge w:val="restart"/>
          </w:tcPr>
          <w:p w14:paraId="12168458"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b/>
                <w:bCs/>
              </w:rPr>
              <w:t xml:space="preserve">Theme 2: Water sources, </w:t>
            </w:r>
            <w:r w:rsidRPr="002A0BDB">
              <w:rPr>
                <w:rFonts w:ascii="Arial" w:hAnsi="Arial" w:cs="Arial"/>
                <w:b/>
                <w:bCs/>
              </w:rPr>
              <w:lastRenderedPageBreak/>
              <w:t>sanitation and vector pathways influence indirect transmission of cholera</w:t>
            </w:r>
          </w:p>
        </w:tc>
      </w:tr>
      <w:tr w:rsidR="002A0BDB" w:rsidRPr="002A0BDB" w14:paraId="1EBD85A5" w14:textId="77777777" w:rsidTr="008E730D">
        <w:trPr>
          <w:trHeight w:val="440"/>
        </w:trPr>
        <w:tc>
          <w:tcPr>
            <w:tcW w:w="1018" w:type="dxa"/>
          </w:tcPr>
          <w:p w14:paraId="1AC35D4E"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roofErr w:type="spellStart"/>
            <w:r w:rsidRPr="002A0BDB">
              <w:rPr>
                <w:rFonts w:ascii="Arial" w:hAnsi="Arial" w:cs="Arial"/>
              </w:rPr>
              <w:lastRenderedPageBreak/>
              <w:t>Lotoux</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(2022)</w:t>
            </w:r>
          </w:p>
          <w:p w14:paraId="53DF2D56" w14:textId="77777777" w:rsidR="006E28A0" w:rsidRPr="002A0BDB" w:rsidRDefault="006E28A0" w:rsidP="006E28A0">
            <w:pPr>
              <w:spacing w:line="360" w:lineRule="auto"/>
              <w:jc w:val="both"/>
              <w:rPr>
                <w:rFonts w:ascii="Arial" w:hAnsi="Arial" w:cs="Arial"/>
              </w:rPr>
            </w:pPr>
            <w:r w:rsidRPr="002A0BDB">
              <w:rPr>
                <w:rFonts w:ascii="Arial" w:hAnsi="Arial" w:cs="Arial"/>
              </w:rPr>
              <w:t>The viable but non-</w:t>
            </w:r>
            <w:proofErr w:type="spellStart"/>
            <w:r w:rsidRPr="002A0BDB">
              <w:rPr>
                <w:rFonts w:ascii="Arial" w:hAnsi="Arial" w:cs="Arial"/>
              </w:rPr>
              <w:t>culturable</w:t>
            </w:r>
            <w:proofErr w:type="spellEnd"/>
            <w:r w:rsidRPr="002A0BDB">
              <w:rPr>
                <w:rFonts w:ascii="Arial" w:hAnsi="Arial" w:cs="Arial"/>
              </w:rPr>
              <w:t xml:space="preserve"> state of listeria</w:t>
            </w:r>
          </w:p>
          <w:p w14:paraId="33DB1855" w14:textId="77777777" w:rsidR="006E28A0" w:rsidRPr="002A0BDB" w:rsidRDefault="006E28A0" w:rsidP="006E28A0">
            <w:pPr>
              <w:spacing w:line="360" w:lineRule="auto"/>
              <w:jc w:val="both"/>
              <w:rPr>
                <w:rFonts w:ascii="Arial" w:hAnsi="Arial" w:cs="Arial"/>
              </w:rPr>
            </w:pPr>
            <w:proofErr w:type="spellStart"/>
            <w:r w:rsidRPr="002A0BDB">
              <w:rPr>
                <w:rFonts w:ascii="Arial" w:hAnsi="Arial" w:cs="Arial"/>
              </w:rPr>
              <w:t>monocytogenes</w:t>
            </w:r>
            <w:proofErr w:type="spellEnd"/>
            <w:r w:rsidRPr="002A0BDB">
              <w:rPr>
                <w:rFonts w:ascii="Arial" w:hAnsi="Arial" w:cs="Arial"/>
              </w:rPr>
              <w:t xml:space="preserve"> </w:t>
            </w:r>
            <w:r w:rsidRPr="002A0BDB">
              <w:rPr>
                <w:rFonts w:ascii="Arial" w:hAnsi="Arial" w:cs="Arial"/>
              </w:rPr>
              <w:lastRenderedPageBreak/>
              <w:t>in the one-health continuum.</w:t>
            </w:r>
          </w:p>
        </w:tc>
        <w:tc>
          <w:tcPr>
            <w:tcW w:w="1334" w:type="dxa"/>
          </w:tcPr>
          <w:p w14:paraId="7741316B"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Suggest alternative techniques to culture-based enrichment methods for better</w:t>
            </w:r>
          </w:p>
          <w:p w14:paraId="1B11CD16"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prevent </w:t>
            </w:r>
            <w:proofErr w:type="spellStart"/>
            <w:r w:rsidRPr="002A0BDB">
              <w:rPr>
                <w:rFonts w:ascii="Arial" w:hAnsi="Arial" w:cs="Arial"/>
              </w:rPr>
              <w:t>listeriosis</w:t>
            </w:r>
            <w:proofErr w:type="spellEnd"/>
            <w:r w:rsidRPr="002A0BDB">
              <w:rPr>
                <w:rFonts w:ascii="Arial" w:hAnsi="Arial" w:cs="Arial"/>
              </w:rPr>
              <w:t xml:space="preserve"> risks</w:t>
            </w:r>
          </w:p>
        </w:tc>
        <w:tc>
          <w:tcPr>
            <w:tcW w:w="1211" w:type="dxa"/>
          </w:tcPr>
          <w:p w14:paraId="14F5782C"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Agricultural and</w:t>
            </w:r>
          </w:p>
          <w:p w14:paraId="280FE5C9"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food industry settings</w:t>
            </w:r>
          </w:p>
        </w:tc>
        <w:tc>
          <w:tcPr>
            <w:tcW w:w="1211" w:type="dxa"/>
          </w:tcPr>
          <w:p w14:paraId="04EF1389"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Secondary qualitative</w:t>
            </w:r>
          </w:p>
        </w:tc>
        <w:tc>
          <w:tcPr>
            <w:tcW w:w="1140" w:type="dxa"/>
          </w:tcPr>
          <w:p w14:paraId="62CD1522"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Discussion on bacterial species</w:t>
            </w:r>
          </w:p>
        </w:tc>
        <w:tc>
          <w:tcPr>
            <w:tcW w:w="1176" w:type="dxa"/>
          </w:tcPr>
          <w:p w14:paraId="70B09330"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Limited record related to cholera</w:t>
            </w:r>
          </w:p>
        </w:tc>
        <w:tc>
          <w:tcPr>
            <w:tcW w:w="1308" w:type="dxa"/>
          </w:tcPr>
          <w:p w14:paraId="410B9079"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Consider the resuscitation</w:t>
            </w:r>
          </w:p>
          <w:p w14:paraId="73B24B7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and virulence potential of VBNC Lm</w:t>
            </w:r>
          </w:p>
        </w:tc>
        <w:tc>
          <w:tcPr>
            <w:tcW w:w="1211" w:type="dxa"/>
          </w:tcPr>
          <w:p w14:paraId="1A07234D"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Culture-based enrichment methods</w:t>
            </w:r>
          </w:p>
        </w:tc>
        <w:tc>
          <w:tcPr>
            <w:tcW w:w="973" w:type="dxa"/>
          </w:tcPr>
          <w:p w14:paraId="1EE204A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140" w:type="dxa"/>
          </w:tcPr>
          <w:p w14:paraId="5FD8958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740" w:type="dxa"/>
            <w:vMerge/>
          </w:tcPr>
          <w:p w14:paraId="12ECBA8E"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p>
        </w:tc>
      </w:tr>
      <w:tr w:rsidR="002A0BDB" w:rsidRPr="002A0BDB" w14:paraId="1A53AA03" w14:textId="77777777" w:rsidTr="008E730D">
        <w:trPr>
          <w:trHeight w:val="440"/>
        </w:trPr>
        <w:tc>
          <w:tcPr>
            <w:tcW w:w="1018" w:type="dxa"/>
          </w:tcPr>
          <w:p w14:paraId="67BCDD49"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w:t>
            </w:r>
          </w:p>
          <w:p w14:paraId="53822B43" w14:textId="77777777" w:rsidR="006E28A0" w:rsidRPr="002A0BDB" w:rsidRDefault="006E28A0" w:rsidP="006E28A0">
            <w:pPr>
              <w:spacing w:line="360" w:lineRule="auto"/>
              <w:jc w:val="both"/>
              <w:rPr>
                <w:rFonts w:ascii="Arial" w:hAnsi="Arial" w:cs="Arial"/>
              </w:rPr>
            </w:pPr>
            <w:r w:rsidRPr="002A0BDB">
              <w:rPr>
                <w:rFonts w:ascii="Arial" w:hAnsi="Arial" w:cs="Arial"/>
              </w:rPr>
              <w:t>Genomic</w:t>
            </w:r>
          </w:p>
          <w:p w14:paraId="43C278D7"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characterization of Vibrio </w:t>
            </w:r>
            <w:proofErr w:type="spellStart"/>
            <w:r w:rsidRPr="002A0BDB">
              <w:rPr>
                <w:rFonts w:ascii="Arial" w:hAnsi="Arial" w:cs="Arial"/>
              </w:rPr>
              <w:t>cholerae</w:t>
            </w:r>
            <w:proofErr w:type="spellEnd"/>
            <w:r w:rsidRPr="002A0BDB">
              <w:rPr>
                <w:rFonts w:ascii="Arial" w:hAnsi="Arial" w:cs="Arial"/>
              </w:rPr>
              <w:t xml:space="preserve"> isolated from clinical and environmental sources </w:t>
            </w:r>
            <w:r w:rsidRPr="002A0BDB">
              <w:rPr>
                <w:rFonts w:ascii="Arial" w:hAnsi="Arial" w:cs="Arial"/>
              </w:rPr>
              <w:lastRenderedPageBreak/>
              <w:t>during the</w:t>
            </w:r>
          </w:p>
          <w:p w14:paraId="16A29F3C" w14:textId="77777777" w:rsidR="006E28A0" w:rsidRPr="002A0BDB" w:rsidRDefault="006E28A0" w:rsidP="006E28A0">
            <w:pPr>
              <w:spacing w:line="360" w:lineRule="auto"/>
              <w:jc w:val="both"/>
              <w:rPr>
                <w:rFonts w:ascii="Arial" w:hAnsi="Arial" w:cs="Arial"/>
              </w:rPr>
            </w:pPr>
            <w:r w:rsidRPr="002A0BDB">
              <w:rPr>
                <w:rFonts w:ascii="Arial" w:hAnsi="Arial" w:cs="Arial"/>
              </w:rPr>
              <w:t>2022–2023 cholera outbreak in Kenya.</w:t>
            </w:r>
          </w:p>
          <w:p w14:paraId="77C36D14"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tc>
        <w:tc>
          <w:tcPr>
            <w:tcW w:w="1334" w:type="dxa"/>
          </w:tcPr>
          <w:p w14:paraId="1F3C7F8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Identification of genomic characterization of Vibrio </w:t>
            </w:r>
            <w:proofErr w:type="spellStart"/>
            <w:r w:rsidRPr="002A0BDB">
              <w:rPr>
                <w:rFonts w:ascii="Arial" w:hAnsi="Arial" w:cs="Arial"/>
              </w:rPr>
              <w:t>cholerae</w:t>
            </w:r>
            <w:proofErr w:type="spellEnd"/>
            <w:r w:rsidRPr="002A0BDB">
              <w:rPr>
                <w:rFonts w:ascii="Arial" w:hAnsi="Arial" w:cs="Arial"/>
              </w:rPr>
              <w:t xml:space="preserve"> isolated</w:t>
            </w:r>
          </w:p>
        </w:tc>
        <w:tc>
          <w:tcPr>
            <w:tcW w:w="1211" w:type="dxa"/>
          </w:tcPr>
          <w:p w14:paraId="6EF4D07A"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Nairobi county</w:t>
            </w:r>
          </w:p>
        </w:tc>
        <w:tc>
          <w:tcPr>
            <w:tcW w:w="1211" w:type="dxa"/>
          </w:tcPr>
          <w:p w14:paraId="40EEDD3E"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Clinical (stool) and environmental (wastewater, drinking water, and</w:t>
            </w:r>
          </w:p>
          <w:p w14:paraId="26AA765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household effluent) samples</w:t>
            </w:r>
          </w:p>
        </w:tc>
        <w:tc>
          <w:tcPr>
            <w:tcW w:w="1140" w:type="dxa"/>
          </w:tcPr>
          <w:p w14:paraId="748B4AEF"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Phylogenetic analysis</w:t>
            </w:r>
          </w:p>
          <w:p w14:paraId="1EC6B6C6"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revealed high genetic diversity</w:t>
            </w:r>
          </w:p>
        </w:tc>
        <w:tc>
          <w:tcPr>
            <w:tcW w:w="1176" w:type="dxa"/>
          </w:tcPr>
          <w:p w14:paraId="485E9ED3"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Limited secondary data</w:t>
            </w:r>
          </w:p>
        </w:tc>
        <w:tc>
          <w:tcPr>
            <w:tcW w:w="1308" w:type="dxa"/>
          </w:tcPr>
          <w:p w14:paraId="70FFD6C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Clinical isolates carried key virulence genes</w:t>
            </w:r>
          </w:p>
        </w:tc>
        <w:tc>
          <w:tcPr>
            <w:tcW w:w="1211" w:type="dxa"/>
          </w:tcPr>
          <w:p w14:paraId="21DF46C5"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Assess the genetic relationship and</w:t>
            </w:r>
          </w:p>
          <w:p w14:paraId="0DAAA925"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diversity of isolates from 2022 to 2023 outbreak</w:t>
            </w:r>
          </w:p>
        </w:tc>
        <w:tc>
          <w:tcPr>
            <w:tcW w:w="973" w:type="dxa"/>
          </w:tcPr>
          <w:p w14:paraId="67279F0B"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140" w:type="dxa"/>
          </w:tcPr>
          <w:p w14:paraId="760D6872"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Yes</w:t>
            </w:r>
          </w:p>
        </w:tc>
        <w:tc>
          <w:tcPr>
            <w:tcW w:w="1740" w:type="dxa"/>
            <w:vMerge/>
          </w:tcPr>
          <w:p w14:paraId="7B6CDC7D" w14:textId="77777777" w:rsidR="006E28A0" w:rsidRPr="002A0BDB" w:rsidRDefault="006E28A0" w:rsidP="006E28A0">
            <w:pPr>
              <w:widowControl w:val="0"/>
              <w:pBdr>
                <w:top w:val="nil"/>
                <w:left w:val="nil"/>
                <w:bottom w:val="nil"/>
                <w:right w:val="nil"/>
                <w:between w:val="nil"/>
              </w:pBdr>
              <w:spacing w:line="360" w:lineRule="auto"/>
              <w:jc w:val="both"/>
              <w:rPr>
                <w:rFonts w:ascii="Arial" w:hAnsi="Arial" w:cs="Arial"/>
              </w:rPr>
            </w:pPr>
          </w:p>
        </w:tc>
      </w:tr>
      <w:tr w:rsidR="002A0BDB" w:rsidRPr="002A0BDB" w14:paraId="4314A879" w14:textId="77777777" w:rsidTr="008E730D">
        <w:trPr>
          <w:trHeight w:val="440"/>
        </w:trPr>
        <w:tc>
          <w:tcPr>
            <w:tcW w:w="1018" w:type="dxa"/>
          </w:tcPr>
          <w:p w14:paraId="16ADFFA5"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Mohamed </w:t>
            </w:r>
            <w:r w:rsidRPr="002A0BDB">
              <w:rPr>
                <w:rFonts w:ascii="Arial" w:hAnsi="Arial" w:cs="Arial"/>
                <w:i/>
                <w:iCs/>
              </w:rPr>
              <w:t>et al.</w:t>
            </w:r>
            <w:r w:rsidRPr="002A0BDB">
              <w:rPr>
                <w:rFonts w:ascii="Arial" w:hAnsi="Arial" w:cs="Arial"/>
              </w:rPr>
              <w:t xml:space="preserve"> (2025)</w:t>
            </w:r>
          </w:p>
          <w:p w14:paraId="2C352C84" w14:textId="77777777" w:rsidR="0086274C" w:rsidRPr="002A0BDB" w:rsidRDefault="0086274C" w:rsidP="006E28A0">
            <w:pPr>
              <w:spacing w:line="360" w:lineRule="auto"/>
              <w:jc w:val="both"/>
              <w:rPr>
                <w:rFonts w:ascii="Arial" w:hAnsi="Arial" w:cs="Arial"/>
              </w:rPr>
            </w:pPr>
            <w:r w:rsidRPr="002A0BDB">
              <w:rPr>
                <w:rFonts w:ascii="Arial" w:hAnsi="Arial" w:cs="Arial"/>
              </w:rPr>
              <w:t>Cholera outbreaks:</w:t>
            </w:r>
          </w:p>
          <w:p w14:paraId="0EF99A0D"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Public health implications, economic burden, </w:t>
            </w:r>
            <w:r w:rsidRPr="002A0BDB">
              <w:rPr>
                <w:rFonts w:ascii="Arial" w:hAnsi="Arial" w:cs="Arial"/>
              </w:rPr>
              <w:lastRenderedPageBreak/>
              <w:t>and preventive strategies.</w:t>
            </w:r>
          </w:p>
          <w:p w14:paraId="18978CE3"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p>
        </w:tc>
        <w:tc>
          <w:tcPr>
            <w:tcW w:w="1334" w:type="dxa"/>
          </w:tcPr>
          <w:p w14:paraId="0904A1BB"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to examine the evolving economic burden, public health</w:t>
            </w:r>
          </w:p>
          <w:p w14:paraId="11BD3E6E"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implications, to adapt preventive strategies for cholera outbreaks </w:t>
            </w:r>
            <w:r w:rsidRPr="002A0BDB">
              <w:rPr>
                <w:rFonts w:ascii="Arial" w:hAnsi="Arial" w:cs="Arial"/>
              </w:rPr>
              <w:lastRenderedPageBreak/>
              <w:t>globally.</w:t>
            </w:r>
          </w:p>
        </w:tc>
        <w:tc>
          <w:tcPr>
            <w:tcW w:w="1211" w:type="dxa"/>
          </w:tcPr>
          <w:p w14:paraId="2410BDFB"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50 Articles reviewed</w:t>
            </w:r>
          </w:p>
        </w:tc>
        <w:tc>
          <w:tcPr>
            <w:tcW w:w="1211" w:type="dxa"/>
          </w:tcPr>
          <w:p w14:paraId="31550C9E"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Secondary Method</w:t>
            </w:r>
          </w:p>
        </w:tc>
        <w:tc>
          <w:tcPr>
            <w:tcW w:w="1140" w:type="dxa"/>
          </w:tcPr>
          <w:p w14:paraId="26D1D959"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This article is a survey of global demography</w:t>
            </w:r>
          </w:p>
        </w:tc>
        <w:tc>
          <w:tcPr>
            <w:tcW w:w="1176" w:type="dxa"/>
          </w:tcPr>
          <w:p w14:paraId="5B8BFDE7"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The heterogeneity of data points out diverse effects, but not specific to a particular demography</w:t>
            </w:r>
          </w:p>
        </w:tc>
        <w:tc>
          <w:tcPr>
            <w:tcW w:w="1308" w:type="dxa"/>
          </w:tcPr>
          <w:p w14:paraId="24986734" w14:textId="77777777" w:rsidR="0086274C" w:rsidRPr="002A0BDB" w:rsidRDefault="0086274C" w:rsidP="006E28A0">
            <w:pPr>
              <w:spacing w:line="360" w:lineRule="auto"/>
              <w:jc w:val="both"/>
              <w:rPr>
                <w:rFonts w:ascii="Arial" w:hAnsi="Arial" w:cs="Arial"/>
              </w:rPr>
            </w:pPr>
            <w:r w:rsidRPr="002A0BDB">
              <w:rPr>
                <w:rFonts w:ascii="Arial" w:hAnsi="Arial" w:cs="Arial"/>
              </w:rPr>
              <w:t>An integrative viewpoint on</w:t>
            </w:r>
          </w:p>
          <w:p w14:paraId="05BBF908"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Cholera by examining the convergence of epidemiological patterns </w:t>
            </w:r>
          </w:p>
        </w:tc>
        <w:tc>
          <w:tcPr>
            <w:tcW w:w="1211" w:type="dxa"/>
          </w:tcPr>
          <w:p w14:paraId="174D51CB" w14:textId="3C64EAF0" w:rsidR="0086274C" w:rsidRPr="002A0BDB" w:rsidRDefault="00616EE4"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Emphasises</w:t>
            </w:r>
            <w:r w:rsidR="0086274C" w:rsidRPr="002A0BDB">
              <w:rPr>
                <w:rFonts w:ascii="Arial" w:hAnsi="Arial" w:cs="Arial"/>
              </w:rPr>
              <w:t xml:space="preserve"> how urgent it is to implement a </w:t>
            </w:r>
            <w:proofErr w:type="spellStart"/>
            <w:r w:rsidR="0086274C" w:rsidRPr="002A0BDB">
              <w:rPr>
                <w:rFonts w:ascii="Arial" w:hAnsi="Arial" w:cs="Arial"/>
              </w:rPr>
              <w:t>multisectoral</w:t>
            </w:r>
            <w:proofErr w:type="spellEnd"/>
            <w:r w:rsidR="0086274C" w:rsidRPr="002A0BDB">
              <w:rPr>
                <w:rFonts w:ascii="Arial" w:hAnsi="Arial" w:cs="Arial"/>
              </w:rPr>
              <w:t xml:space="preserve">, systems-based strategy for cholera </w:t>
            </w:r>
            <w:r w:rsidR="0086274C" w:rsidRPr="002A0BDB">
              <w:rPr>
                <w:rFonts w:ascii="Arial" w:hAnsi="Arial" w:cs="Arial"/>
              </w:rPr>
              <w:lastRenderedPageBreak/>
              <w:t>prevention.</w:t>
            </w:r>
          </w:p>
        </w:tc>
        <w:tc>
          <w:tcPr>
            <w:tcW w:w="973" w:type="dxa"/>
          </w:tcPr>
          <w:p w14:paraId="0C47A0D5"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This article supports objective 1 by providing data on Cholera prevention</w:t>
            </w:r>
          </w:p>
        </w:tc>
        <w:tc>
          <w:tcPr>
            <w:tcW w:w="1140" w:type="dxa"/>
          </w:tcPr>
          <w:p w14:paraId="32F1B4D1"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This article supports objective 2 by highlighting broad evidence of the “One Health” framework</w:t>
            </w:r>
          </w:p>
        </w:tc>
        <w:tc>
          <w:tcPr>
            <w:tcW w:w="1740" w:type="dxa"/>
            <w:vMerge w:val="restart"/>
          </w:tcPr>
          <w:p w14:paraId="2F5512A6"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b/>
                <w:bCs/>
              </w:rPr>
            </w:pPr>
            <w:r w:rsidRPr="002A0BDB">
              <w:rPr>
                <w:rFonts w:ascii="Arial" w:hAnsi="Arial" w:cs="Arial"/>
              </w:rPr>
              <w:t>Theme 3: Translating molecular epidemiology findings into targeted public health interventions for improved cholera prevention and control</w:t>
            </w:r>
          </w:p>
          <w:p w14:paraId="7DB27A8F" w14:textId="211C211A" w:rsidR="0086274C" w:rsidRPr="002A0BDB" w:rsidRDefault="0086274C" w:rsidP="006E28A0">
            <w:pPr>
              <w:widowControl w:val="0"/>
              <w:pBdr>
                <w:top w:val="nil"/>
                <w:left w:val="nil"/>
                <w:bottom w:val="nil"/>
                <w:right w:val="nil"/>
                <w:between w:val="nil"/>
              </w:pBdr>
              <w:spacing w:line="360" w:lineRule="auto"/>
              <w:jc w:val="both"/>
              <w:rPr>
                <w:rFonts w:ascii="Arial" w:hAnsi="Arial" w:cs="Arial"/>
                <w:b/>
                <w:bCs/>
              </w:rPr>
            </w:pPr>
          </w:p>
        </w:tc>
      </w:tr>
      <w:tr w:rsidR="002A0BDB" w:rsidRPr="002A0BDB" w14:paraId="5FB98F5E" w14:textId="77777777" w:rsidTr="008E730D">
        <w:trPr>
          <w:trHeight w:val="440"/>
        </w:trPr>
        <w:tc>
          <w:tcPr>
            <w:tcW w:w="1018" w:type="dxa"/>
          </w:tcPr>
          <w:p w14:paraId="0A9012C9"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Islam </w:t>
            </w:r>
            <w:r w:rsidRPr="002A0BDB">
              <w:rPr>
                <w:rFonts w:ascii="Arial" w:hAnsi="Arial" w:cs="Arial"/>
                <w:i/>
                <w:iCs/>
              </w:rPr>
              <w:t>et al.</w:t>
            </w:r>
            <w:r w:rsidRPr="002A0BDB">
              <w:rPr>
                <w:rFonts w:ascii="Arial" w:hAnsi="Arial" w:cs="Arial"/>
              </w:rPr>
              <w:t xml:space="preserve"> (2021)</w:t>
            </w:r>
          </w:p>
          <w:p w14:paraId="542D60EA" w14:textId="77777777" w:rsidR="0086274C" w:rsidRPr="002A0BDB" w:rsidRDefault="0086274C" w:rsidP="006E28A0">
            <w:pPr>
              <w:spacing w:line="360" w:lineRule="auto"/>
              <w:jc w:val="both"/>
              <w:rPr>
                <w:rFonts w:ascii="Arial" w:hAnsi="Arial" w:cs="Arial"/>
              </w:rPr>
            </w:pPr>
            <w:r w:rsidRPr="002A0BDB">
              <w:rPr>
                <w:rFonts w:ascii="Arial" w:hAnsi="Arial" w:cs="Arial"/>
              </w:rPr>
              <w:t>Population Analysis of Vibrio</w:t>
            </w:r>
          </w:p>
          <w:p w14:paraId="6BEBDE2D" w14:textId="77777777" w:rsidR="0086274C" w:rsidRPr="002A0BDB" w:rsidRDefault="0086274C" w:rsidP="006E28A0">
            <w:pPr>
              <w:spacing w:line="360" w:lineRule="auto"/>
              <w:jc w:val="both"/>
              <w:rPr>
                <w:rFonts w:ascii="Arial" w:hAnsi="Arial" w:cs="Arial"/>
              </w:rPr>
            </w:pPr>
            <w:proofErr w:type="spellStart"/>
            <w:r w:rsidRPr="002A0BDB">
              <w:rPr>
                <w:rFonts w:ascii="Arial" w:hAnsi="Arial" w:cs="Arial"/>
              </w:rPr>
              <w:t>cholerae</w:t>
            </w:r>
            <w:proofErr w:type="spellEnd"/>
            <w:r w:rsidRPr="002A0BDB">
              <w:rPr>
                <w:rFonts w:ascii="Arial" w:hAnsi="Arial" w:cs="Arial"/>
              </w:rPr>
              <w:t xml:space="preserve"> in Aquatic Reservoirs Reveals a Novel Sister </w:t>
            </w:r>
            <w:r w:rsidRPr="002A0BDB">
              <w:rPr>
                <w:rFonts w:ascii="Arial" w:hAnsi="Arial" w:cs="Arial"/>
              </w:rPr>
              <w:lastRenderedPageBreak/>
              <w:t xml:space="preserve">Species ( </w:t>
            </w:r>
            <w:proofErr w:type="spellStart"/>
            <w:r w:rsidRPr="002A0BDB">
              <w:rPr>
                <w:rFonts w:ascii="Arial" w:hAnsi="Arial" w:cs="Arial"/>
              </w:rPr>
              <w:t>Vibrioparacholerae</w:t>
            </w:r>
            <w:proofErr w:type="spellEnd"/>
            <w:r w:rsidRPr="002A0BDB">
              <w:rPr>
                <w:rFonts w:ascii="Arial" w:hAnsi="Arial" w:cs="Arial"/>
              </w:rPr>
              <w:t xml:space="preserve"> sp. </w:t>
            </w:r>
            <w:proofErr w:type="spellStart"/>
            <w:r w:rsidRPr="002A0BDB">
              <w:rPr>
                <w:rFonts w:ascii="Arial" w:hAnsi="Arial" w:cs="Arial"/>
              </w:rPr>
              <w:t>nov.</w:t>
            </w:r>
            <w:proofErr w:type="spellEnd"/>
            <w:r w:rsidRPr="002A0BDB">
              <w:rPr>
                <w:rFonts w:ascii="Arial" w:hAnsi="Arial" w:cs="Arial"/>
              </w:rPr>
              <w:t>)</w:t>
            </w:r>
          </w:p>
          <w:p w14:paraId="52B75723" w14:textId="171C59A9" w:rsidR="0086274C" w:rsidRPr="002A0BDB" w:rsidRDefault="003E6467" w:rsidP="006E28A0">
            <w:pPr>
              <w:spacing w:line="360" w:lineRule="auto"/>
              <w:jc w:val="both"/>
              <w:rPr>
                <w:rFonts w:ascii="Arial" w:hAnsi="Arial" w:cs="Arial"/>
              </w:rPr>
            </w:pPr>
            <w:r w:rsidRPr="002A0BDB">
              <w:rPr>
                <w:rFonts w:ascii="Arial" w:hAnsi="Arial" w:cs="Arial"/>
              </w:rPr>
              <w:t>With</w:t>
            </w:r>
            <w:r w:rsidR="0086274C" w:rsidRPr="002A0BDB">
              <w:rPr>
                <w:rFonts w:ascii="Arial" w:hAnsi="Arial" w:cs="Arial"/>
              </w:rPr>
              <w:t xml:space="preserve"> a History of Association with Humans.</w:t>
            </w:r>
          </w:p>
          <w:p w14:paraId="5E96BE0B"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p>
        </w:tc>
        <w:tc>
          <w:tcPr>
            <w:tcW w:w="1334" w:type="dxa"/>
          </w:tcPr>
          <w:p w14:paraId="58058E27"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A comparative analysis of population composition was carried out in order to comprehend the variations between the V. </w:t>
            </w:r>
            <w:proofErr w:type="spellStart"/>
            <w:r w:rsidRPr="002A0BDB">
              <w:rPr>
                <w:rFonts w:ascii="Arial" w:hAnsi="Arial" w:cs="Arial"/>
              </w:rPr>
              <w:t>cholerae</w:t>
            </w:r>
            <w:proofErr w:type="spellEnd"/>
            <w:r w:rsidRPr="002A0BDB">
              <w:rPr>
                <w:rFonts w:ascii="Arial" w:hAnsi="Arial" w:cs="Arial"/>
              </w:rPr>
              <w:t xml:space="preserve"> populations living in </w:t>
            </w:r>
            <w:r w:rsidRPr="002A0BDB">
              <w:rPr>
                <w:rFonts w:ascii="Arial" w:hAnsi="Arial" w:cs="Arial"/>
              </w:rPr>
              <w:lastRenderedPageBreak/>
              <w:t>areas with a history of cholera cases and those without.</w:t>
            </w:r>
          </w:p>
        </w:tc>
        <w:tc>
          <w:tcPr>
            <w:tcW w:w="1211" w:type="dxa"/>
          </w:tcPr>
          <w:p w14:paraId="682B460F"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every 2 weeks</w:t>
            </w:r>
          </w:p>
          <w:p w14:paraId="5F2B89C2"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between June 2015 and March 2016 from seven points along the water bodies</w:t>
            </w:r>
          </w:p>
        </w:tc>
        <w:tc>
          <w:tcPr>
            <w:tcW w:w="1211" w:type="dxa"/>
          </w:tcPr>
          <w:p w14:paraId="2450CF4A"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Primary analysis</w:t>
            </w:r>
          </w:p>
        </w:tc>
        <w:tc>
          <w:tcPr>
            <w:tcW w:w="1140" w:type="dxa"/>
          </w:tcPr>
          <w:p w14:paraId="4B2D0E5E"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 This article is a survey of cholera outbreak in Dhaka</w:t>
            </w:r>
          </w:p>
        </w:tc>
        <w:tc>
          <w:tcPr>
            <w:tcW w:w="1176" w:type="dxa"/>
          </w:tcPr>
          <w:p w14:paraId="1A8D06BD"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This article is based on a specific climate and a specific demography, not suitable for a global perspective</w:t>
            </w:r>
          </w:p>
        </w:tc>
        <w:tc>
          <w:tcPr>
            <w:tcW w:w="1308" w:type="dxa"/>
          </w:tcPr>
          <w:p w14:paraId="2F484B4A"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A new </w:t>
            </w:r>
            <w:r w:rsidRPr="002A0BDB">
              <w:rPr>
                <w:rFonts w:ascii="Arial" w:hAnsi="Arial" w:cs="Arial"/>
                <w:i/>
                <w:iCs/>
                <w:u w:val="single"/>
              </w:rPr>
              <w:t>V.</w:t>
            </w:r>
            <w:r w:rsidRPr="002A0BDB">
              <w:rPr>
                <w:rFonts w:ascii="Arial" w:hAnsi="Arial" w:cs="Arial"/>
              </w:rPr>
              <w:t xml:space="preserve"> </w:t>
            </w:r>
            <w:proofErr w:type="spellStart"/>
            <w:r w:rsidRPr="002A0BDB">
              <w:rPr>
                <w:rFonts w:ascii="Arial" w:hAnsi="Arial" w:cs="Arial"/>
                <w:i/>
                <w:iCs/>
                <w:u w:val="single"/>
              </w:rPr>
              <w:t>paracholerae</w:t>
            </w:r>
            <w:proofErr w:type="spellEnd"/>
            <w:r w:rsidRPr="002A0BDB">
              <w:rPr>
                <w:rFonts w:ascii="Arial" w:hAnsi="Arial" w:cs="Arial"/>
              </w:rPr>
              <w:t xml:space="preserve"> species was found</w:t>
            </w:r>
          </w:p>
        </w:tc>
        <w:tc>
          <w:tcPr>
            <w:tcW w:w="1211" w:type="dxa"/>
          </w:tcPr>
          <w:p w14:paraId="037D2C6E"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Human influences are a major factor shaping the communities of that species in areas of cholera outbreaks</w:t>
            </w:r>
          </w:p>
        </w:tc>
        <w:tc>
          <w:tcPr>
            <w:tcW w:w="973" w:type="dxa"/>
          </w:tcPr>
          <w:p w14:paraId="741E2391"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objective 1 by providing data on Cholera prevention</w:t>
            </w:r>
          </w:p>
        </w:tc>
        <w:tc>
          <w:tcPr>
            <w:tcW w:w="1140" w:type="dxa"/>
          </w:tcPr>
          <w:p w14:paraId="434766F0"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This article supports objective 2 by highlighting broad evidence of the new found species </w:t>
            </w:r>
            <w:r w:rsidRPr="002A0BDB">
              <w:rPr>
                <w:rFonts w:ascii="Arial" w:hAnsi="Arial" w:cs="Arial"/>
                <w:i/>
                <w:iCs/>
                <w:u w:val="single"/>
              </w:rPr>
              <w:t>V.</w:t>
            </w:r>
            <w:r w:rsidRPr="002A0BDB">
              <w:rPr>
                <w:rFonts w:ascii="Arial" w:hAnsi="Arial" w:cs="Arial"/>
              </w:rPr>
              <w:t xml:space="preserve"> </w:t>
            </w:r>
            <w:proofErr w:type="spellStart"/>
            <w:r w:rsidRPr="002A0BDB">
              <w:rPr>
                <w:rFonts w:ascii="Arial" w:hAnsi="Arial" w:cs="Arial"/>
                <w:i/>
                <w:iCs/>
                <w:u w:val="single"/>
              </w:rPr>
              <w:t>paracholerae</w:t>
            </w:r>
            <w:proofErr w:type="spellEnd"/>
            <w:r w:rsidRPr="002A0BDB">
              <w:rPr>
                <w:rFonts w:ascii="Arial" w:hAnsi="Arial" w:cs="Arial"/>
              </w:rPr>
              <w:t xml:space="preserve"> and other strain </w:t>
            </w:r>
            <w:r w:rsidRPr="002A0BDB">
              <w:rPr>
                <w:rFonts w:ascii="Arial" w:hAnsi="Arial" w:cs="Arial"/>
              </w:rPr>
              <w:lastRenderedPageBreak/>
              <w:t>was visible</w:t>
            </w:r>
          </w:p>
        </w:tc>
        <w:tc>
          <w:tcPr>
            <w:tcW w:w="1740" w:type="dxa"/>
            <w:vMerge/>
          </w:tcPr>
          <w:p w14:paraId="2544E95E" w14:textId="243C1096"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p>
        </w:tc>
      </w:tr>
      <w:tr w:rsidR="002A0BDB" w:rsidRPr="002A0BDB" w14:paraId="440ABCFA" w14:textId="77777777" w:rsidTr="008E730D">
        <w:trPr>
          <w:trHeight w:val="440"/>
        </w:trPr>
        <w:tc>
          <w:tcPr>
            <w:tcW w:w="1018" w:type="dxa"/>
          </w:tcPr>
          <w:p w14:paraId="6CBDE947"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Vishal </w:t>
            </w:r>
            <w:proofErr w:type="spellStart"/>
            <w:r w:rsidRPr="002A0BDB">
              <w:rPr>
                <w:rFonts w:ascii="Arial" w:hAnsi="Arial" w:cs="Arial"/>
              </w:rPr>
              <w:t>Mevada</w:t>
            </w:r>
            <w:r w:rsidRPr="002A0BDB">
              <w:rPr>
                <w:rFonts w:ascii="Arial" w:hAnsi="Arial" w:cs="Arial"/>
                <w:i/>
                <w:iCs/>
              </w:rPr>
              <w:t>et</w:t>
            </w:r>
            <w:proofErr w:type="spellEnd"/>
            <w:r w:rsidRPr="002A0BDB">
              <w:rPr>
                <w:rFonts w:ascii="Arial" w:hAnsi="Arial" w:cs="Arial"/>
                <w:i/>
                <w:iCs/>
              </w:rPr>
              <w:t xml:space="preserve"> al.</w:t>
            </w:r>
            <w:r w:rsidRPr="002A0BDB">
              <w:rPr>
                <w:rFonts w:ascii="Arial" w:hAnsi="Arial" w:cs="Arial"/>
              </w:rPr>
              <w:t xml:space="preserve"> (2023)</w:t>
            </w:r>
          </w:p>
          <w:p w14:paraId="4CAB4AB8" w14:textId="77777777" w:rsidR="0086274C" w:rsidRPr="002A0BDB" w:rsidRDefault="0086274C" w:rsidP="006E28A0">
            <w:pPr>
              <w:spacing w:line="360" w:lineRule="auto"/>
              <w:jc w:val="both"/>
              <w:rPr>
                <w:rFonts w:ascii="Arial" w:hAnsi="Arial" w:cs="Arial"/>
              </w:rPr>
            </w:pPr>
            <w:r w:rsidRPr="002A0BDB">
              <w:rPr>
                <w:rFonts w:ascii="Arial" w:hAnsi="Arial" w:cs="Arial"/>
              </w:rPr>
              <w:t>Whole Genome Sequen</w:t>
            </w:r>
            <w:r w:rsidRPr="002A0BDB">
              <w:rPr>
                <w:rFonts w:ascii="Arial" w:hAnsi="Arial" w:cs="Arial"/>
              </w:rPr>
              <w:lastRenderedPageBreak/>
              <w:t>cing and Pan-Genomic Analysis of</w:t>
            </w:r>
          </w:p>
          <w:p w14:paraId="625E4D7B"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Multidrug-Resistant Vibrio </w:t>
            </w:r>
            <w:proofErr w:type="spellStart"/>
            <w:r w:rsidRPr="002A0BDB">
              <w:rPr>
                <w:rFonts w:ascii="Arial" w:hAnsi="Arial" w:cs="Arial"/>
              </w:rPr>
              <w:t>cholerae</w:t>
            </w:r>
            <w:proofErr w:type="spellEnd"/>
            <w:r w:rsidRPr="002A0BDB">
              <w:rPr>
                <w:rFonts w:ascii="Arial" w:hAnsi="Arial" w:cs="Arial"/>
              </w:rPr>
              <w:t xml:space="preserve"> VC01 Isolated from a Clinical Sample.</w:t>
            </w:r>
          </w:p>
          <w:p w14:paraId="56CF6350"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p>
        </w:tc>
        <w:tc>
          <w:tcPr>
            <w:tcW w:w="1334" w:type="dxa"/>
          </w:tcPr>
          <w:p w14:paraId="6D21E906"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To elucidate the heterogeneity of the sporadic clinical</w:t>
            </w:r>
          </w:p>
          <w:p w14:paraId="48F579C6"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strain of V. </w:t>
            </w:r>
            <w:proofErr w:type="spellStart"/>
            <w:r w:rsidRPr="002A0BDB">
              <w:rPr>
                <w:rFonts w:ascii="Arial" w:hAnsi="Arial" w:cs="Arial"/>
              </w:rPr>
              <w:t>cholerae</w:t>
            </w:r>
            <w:proofErr w:type="spellEnd"/>
            <w:r w:rsidRPr="002A0BDB">
              <w:rPr>
                <w:rFonts w:ascii="Arial" w:hAnsi="Arial" w:cs="Arial"/>
              </w:rPr>
              <w:t xml:space="preserve"> VC01 among patients residing in </w:t>
            </w:r>
            <w:proofErr w:type="spellStart"/>
            <w:r w:rsidRPr="002A0BDB">
              <w:rPr>
                <w:rFonts w:ascii="Arial" w:hAnsi="Arial" w:cs="Arial"/>
              </w:rPr>
              <w:t>Silvasa</w:t>
            </w:r>
            <w:proofErr w:type="spellEnd"/>
          </w:p>
        </w:tc>
        <w:tc>
          <w:tcPr>
            <w:tcW w:w="1211" w:type="dxa"/>
          </w:tcPr>
          <w:p w14:paraId="0C4D7EAB"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Random sampling</w:t>
            </w:r>
          </w:p>
        </w:tc>
        <w:tc>
          <w:tcPr>
            <w:tcW w:w="1211" w:type="dxa"/>
          </w:tcPr>
          <w:p w14:paraId="14012284"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Primary analysis</w:t>
            </w:r>
          </w:p>
        </w:tc>
        <w:tc>
          <w:tcPr>
            <w:tcW w:w="1140" w:type="dxa"/>
          </w:tcPr>
          <w:p w14:paraId="0A95E4DE" w14:textId="77777777" w:rsidR="0086274C" w:rsidRPr="002A0BDB" w:rsidRDefault="0086274C" w:rsidP="006E28A0">
            <w:pPr>
              <w:spacing w:line="360" w:lineRule="auto"/>
              <w:jc w:val="both"/>
              <w:rPr>
                <w:rFonts w:ascii="Arial" w:hAnsi="Arial" w:cs="Arial"/>
              </w:rPr>
            </w:pPr>
            <w:r w:rsidRPr="002A0BDB">
              <w:rPr>
                <w:rFonts w:ascii="Arial" w:hAnsi="Arial" w:cs="Arial"/>
              </w:rPr>
              <w:t>The study was done in Bangladesh, Haiti, and India</w:t>
            </w:r>
          </w:p>
          <w:p w14:paraId="3379D3FE" w14:textId="77777777" w:rsidR="0086274C" w:rsidRPr="002A0BDB" w:rsidRDefault="0086274C" w:rsidP="006E28A0">
            <w:pPr>
              <w:spacing w:line="360" w:lineRule="auto"/>
              <w:jc w:val="both"/>
              <w:rPr>
                <w:rFonts w:ascii="Arial" w:hAnsi="Arial" w:cs="Arial"/>
              </w:rPr>
            </w:pPr>
          </w:p>
          <w:p w14:paraId="63C68BB7"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p>
        </w:tc>
        <w:tc>
          <w:tcPr>
            <w:tcW w:w="1176" w:type="dxa"/>
          </w:tcPr>
          <w:p w14:paraId="52EAE085"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Not peer-reviewed based on primary analysis only</w:t>
            </w:r>
          </w:p>
        </w:tc>
        <w:tc>
          <w:tcPr>
            <w:tcW w:w="1308" w:type="dxa"/>
          </w:tcPr>
          <w:p w14:paraId="17B41D85" w14:textId="77777777" w:rsidR="0086274C" w:rsidRPr="002A0BDB" w:rsidRDefault="0086274C" w:rsidP="006E28A0">
            <w:pPr>
              <w:spacing w:line="360" w:lineRule="auto"/>
              <w:jc w:val="both"/>
              <w:rPr>
                <w:rFonts w:ascii="Arial" w:hAnsi="Arial" w:cs="Arial"/>
              </w:rPr>
            </w:pPr>
            <w:r w:rsidRPr="002A0BDB">
              <w:rPr>
                <w:rFonts w:ascii="Arial" w:hAnsi="Arial" w:cs="Arial"/>
              </w:rPr>
              <w:t>The preliminary test results based on agglutination show similarity</w:t>
            </w:r>
          </w:p>
          <w:p w14:paraId="73DD2A91"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to the V. </w:t>
            </w:r>
            <w:proofErr w:type="spellStart"/>
            <w:r w:rsidRPr="002A0BDB">
              <w:rPr>
                <w:rFonts w:ascii="Arial" w:hAnsi="Arial" w:cs="Arial"/>
              </w:rPr>
              <w:t>cholerae</w:t>
            </w:r>
            <w:proofErr w:type="spellEnd"/>
            <w:r w:rsidRPr="002A0BDB">
              <w:rPr>
                <w:rFonts w:ascii="Arial" w:hAnsi="Arial" w:cs="Arial"/>
              </w:rPr>
              <w:t xml:space="preserve"> O1 biotype.</w:t>
            </w:r>
          </w:p>
        </w:tc>
        <w:tc>
          <w:tcPr>
            <w:tcW w:w="1211" w:type="dxa"/>
          </w:tcPr>
          <w:p w14:paraId="06B6DFCF"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The presence of antibiotic resistance genes in the whole</w:t>
            </w:r>
          </w:p>
          <w:p w14:paraId="30B4C7AA"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genome and in vitro study of susceptibility towards similar antibiotics provide a correlation of gene expression</w:t>
            </w:r>
          </w:p>
        </w:tc>
        <w:tc>
          <w:tcPr>
            <w:tcW w:w="973" w:type="dxa"/>
          </w:tcPr>
          <w:p w14:paraId="225C98D4"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objective 1 by providing data on Cholera prevent</w:t>
            </w:r>
            <w:r w:rsidRPr="002A0BDB">
              <w:rPr>
                <w:rFonts w:ascii="Arial" w:hAnsi="Arial" w:cs="Arial"/>
              </w:rPr>
              <w:lastRenderedPageBreak/>
              <w:t>ion</w:t>
            </w:r>
          </w:p>
        </w:tc>
        <w:tc>
          <w:tcPr>
            <w:tcW w:w="1140" w:type="dxa"/>
          </w:tcPr>
          <w:p w14:paraId="555FCF36"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This article supports objective 2 by highlighting broad evidence of the </w:t>
            </w:r>
            <w:r w:rsidRPr="002A0BDB">
              <w:rPr>
                <w:rFonts w:ascii="Arial" w:hAnsi="Arial" w:cs="Arial"/>
              </w:rPr>
              <w:lastRenderedPageBreak/>
              <w:t>gene expression in the isolated strain of cholera</w:t>
            </w:r>
          </w:p>
        </w:tc>
        <w:tc>
          <w:tcPr>
            <w:tcW w:w="1740" w:type="dxa"/>
            <w:vMerge/>
          </w:tcPr>
          <w:p w14:paraId="579D2E6C" w14:textId="1C7C754E"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p>
        </w:tc>
      </w:tr>
      <w:tr w:rsidR="002A0BDB" w:rsidRPr="002A0BDB" w14:paraId="3633CC47" w14:textId="77777777" w:rsidTr="008E730D">
        <w:trPr>
          <w:trHeight w:val="440"/>
        </w:trPr>
        <w:tc>
          <w:tcPr>
            <w:tcW w:w="1018" w:type="dxa"/>
          </w:tcPr>
          <w:p w14:paraId="6B009131"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Pal </w:t>
            </w:r>
            <w:r w:rsidRPr="002A0BDB">
              <w:rPr>
                <w:rFonts w:ascii="Arial" w:hAnsi="Arial" w:cs="Arial"/>
                <w:i/>
                <w:iCs/>
              </w:rPr>
              <w:t>et al.</w:t>
            </w:r>
            <w:r w:rsidRPr="002A0BDB">
              <w:rPr>
                <w:rFonts w:ascii="Arial" w:hAnsi="Arial" w:cs="Arial"/>
              </w:rPr>
              <w:t xml:space="preserve"> (2023)</w:t>
            </w:r>
          </w:p>
          <w:p w14:paraId="0FCF04DB"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Spectrum of </w:t>
            </w:r>
            <w:proofErr w:type="spellStart"/>
            <w:r w:rsidRPr="002A0BDB">
              <w:rPr>
                <w:rFonts w:ascii="Arial" w:hAnsi="Arial" w:cs="Arial"/>
              </w:rPr>
              <w:t>ctx</w:t>
            </w:r>
            <w:proofErr w:type="spellEnd"/>
            <w:r w:rsidRPr="002A0BDB">
              <w:rPr>
                <w:rFonts w:ascii="Arial" w:hAnsi="Arial" w:cs="Arial"/>
              </w:rPr>
              <w:t xml:space="preserve"> B genotypes,</w:t>
            </w:r>
          </w:p>
          <w:p w14:paraId="13FA095F" w14:textId="038487F8" w:rsidR="0086274C" w:rsidRPr="002A0BDB" w:rsidRDefault="0086274C" w:rsidP="006E28A0">
            <w:pPr>
              <w:spacing w:line="360" w:lineRule="auto"/>
              <w:jc w:val="both"/>
              <w:rPr>
                <w:rFonts w:ascii="Arial" w:hAnsi="Arial" w:cs="Arial"/>
              </w:rPr>
            </w:pPr>
            <w:proofErr w:type="spellStart"/>
            <w:r w:rsidRPr="002A0BDB">
              <w:rPr>
                <w:rFonts w:ascii="Arial" w:hAnsi="Arial" w:cs="Arial"/>
              </w:rPr>
              <w:t>antibiogram</w:t>
            </w:r>
            <w:proofErr w:type="spellEnd"/>
            <w:r w:rsidRPr="002A0BDB">
              <w:rPr>
                <w:rFonts w:ascii="Arial" w:hAnsi="Arial" w:cs="Arial"/>
              </w:rPr>
              <w:t xml:space="preserve"> profiles and virulence genes of Vibrio </w:t>
            </w:r>
            <w:proofErr w:type="spellStart"/>
            <w:r w:rsidRPr="002A0BDB">
              <w:rPr>
                <w:rFonts w:ascii="Arial" w:hAnsi="Arial" w:cs="Arial"/>
              </w:rPr>
              <w:t>cholerae</w:t>
            </w:r>
            <w:proofErr w:type="spellEnd"/>
            <w:r w:rsidRPr="002A0BDB">
              <w:rPr>
                <w:rFonts w:ascii="Arial" w:hAnsi="Arial" w:cs="Arial"/>
              </w:rPr>
              <w:t xml:space="preserve"> </w:t>
            </w:r>
            <w:proofErr w:type="spellStart"/>
            <w:r w:rsidRPr="002A0BDB">
              <w:rPr>
                <w:rFonts w:ascii="Arial" w:hAnsi="Arial" w:cs="Arial"/>
              </w:rPr>
              <w:t>serogroups</w:t>
            </w:r>
            <w:proofErr w:type="spellEnd"/>
            <w:r w:rsidRPr="002A0BDB">
              <w:rPr>
                <w:rFonts w:ascii="Arial" w:hAnsi="Arial" w:cs="Arial"/>
              </w:rPr>
              <w:t xml:space="preserve"> isolated from</w:t>
            </w:r>
          </w:p>
          <w:p w14:paraId="7A4643BF" w14:textId="130C233A" w:rsidR="0086274C" w:rsidRPr="002A0BDB" w:rsidRDefault="00616EE4" w:rsidP="006E28A0">
            <w:pPr>
              <w:spacing w:line="360" w:lineRule="auto"/>
              <w:jc w:val="both"/>
              <w:rPr>
                <w:rFonts w:ascii="Arial" w:hAnsi="Arial" w:cs="Arial"/>
              </w:rPr>
            </w:pPr>
            <w:r w:rsidRPr="002A0BDB">
              <w:rPr>
                <w:rFonts w:ascii="Arial" w:hAnsi="Arial" w:cs="Arial"/>
              </w:rPr>
              <w:t>Environmental</w:t>
            </w:r>
            <w:r w:rsidR="0086274C" w:rsidRPr="002A0BDB">
              <w:rPr>
                <w:rFonts w:ascii="Arial" w:hAnsi="Arial" w:cs="Arial"/>
              </w:rPr>
              <w:t xml:space="preserve"> water sources from </w:t>
            </w:r>
            <w:r w:rsidR="0086274C" w:rsidRPr="002A0BDB">
              <w:rPr>
                <w:rFonts w:ascii="Arial" w:hAnsi="Arial" w:cs="Arial"/>
              </w:rPr>
              <w:lastRenderedPageBreak/>
              <w:t>Odisha, India.</w:t>
            </w:r>
          </w:p>
          <w:p w14:paraId="74A1E61A" w14:textId="77777777" w:rsidR="0086274C" w:rsidRPr="002A0BDB" w:rsidRDefault="0086274C" w:rsidP="006E28A0">
            <w:pPr>
              <w:spacing w:line="360" w:lineRule="auto"/>
              <w:jc w:val="both"/>
              <w:rPr>
                <w:rFonts w:ascii="Arial" w:hAnsi="Arial" w:cs="Arial"/>
              </w:rPr>
            </w:pPr>
          </w:p>
          <w:p w14:paraId="02056D0F" w14:textId="77777777" w:rsidR="0086274C" w:rsidRPr="002A0BDB" w:rsidRDefault="0086274C" w:rsidP="006E28A0">
            <w:pPr>
              <w:spacing w:line="360" w:lineRule="auto"/>
              <w:jc w:val="both"/>
              <w:rPr>
                <w:rFonts w:ascii="Arial" w:hAnsi="Arial" w:cs="Arial"/>
              </w:rPr>
            </w:pPr>
          </w:p>
        </w:tc>
        <w:tc>
          <w:tcPr>
            <w:tcW w:w="1334" w:type="dxa"/>
          </w:tcPr>
          <w:p w14:paraId="2535846F"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To find out the parameter and </w:t>
            </w:r>
            <w:r w:rsidRPr="002A0BDB">
              <w:rPr>
                <w:rFonts w:ascii="Arial" w:hAnsi="Arial" w:cs="Arial"/>
              </w:rPr>
              <w:lastRenderedPageBreak/>
              <w:t xml:space="preserve">relevance of the isolated </w:t>
            </w:r>
            <w:proofErr w:type="spellStart"/>
            <w:r w:rsidRPr="002A0BDB">
              <w:rPr>
                <w:rFonts w:ascii="Arial" w:hAnsi="Arial" w:cs="Arial"/>
              </w:rPr>
              <w:t>Colera</w:t>
            </w:r>
            <w:proofErr w:type="spellEnd"/>
            <w:r w:rsidRPr="002A0BDB">
              <w:rPr>
                <w:rFonts w:ascii="Arial" w:hAnsi="Arial" w:cs="Arial"/>
              </w:rPr>
              <w:t xml:space="preserve"> strain between 2007</w:t>
            </w:r>
          </w:p>
          <w:p w14:paraId="112661B5" w14:textId="77777777" w:rsidR="0086274C" w:rsidRPr="002A0BDB" w:rsidRDefault="0086274C" w:rsidP="006E28A0">
            <w:pPr>
              <w:spacing w:line="360" w:lineRule="auto"/>
              <w:jc w:val="both"/>
              <w:rPr>
                <w:rFonts w:ascii="Arial" w:hAnsi="Arial" w:cs="Arial"/>
              </w:rPr>
            </w:pPr>
            <w:r w:rsidRPr="002A0BDB">
              <w:rPr>
                <w:rFonts w:ascii="Arial" w:hAnsi="Arial" w:cs="Arial"/>
              </w:rPr>
              <w:t>and 2019 from the coastal and tribal areas</w:t>
            </w:r>
          </w:p>
          <w:p w14:paraId="087F1CE5"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 </w:t>
            </w:r>
          </w:p>
        </w:tc>
        <w:tc>
          <w:tcPr>
            <w:tcW w:w="1211" w:type="dxa"/>
          </w:tcPr>
          <w:p w14:paraId="0F844341" w14:textId="49850D0B"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85 stocked cultures of V. </w:t>
            </w:r>
            <w:proofErr w:type="spellStart"/>
            <w:r w:rsidRPr="002A0BDB">
              <w:rPr>
                <w:rFonts w:ascii="Arial" w:hAnsi="Arial" w:cs="Arial"/>
              </w:rPr>
              <w:lastRenderedPageBreak/>
              <w:t>cholerae</w:t>
            </w:r>
            <w:proofErr w:type="spellEnd"/>
            <w:r w:rsidRPr="002A0BDB">
              <w:rPr>
                <w:rFonts w:ascii="Arial" w:hAnsi="Arial" w:cs="Arial"/>
              </w:rPr>
              <w:t xml:space="preserve"> O1 and non-O1/non-O139 strains were analysed</w:t>
            </w:r>
          </w:p>
        </w:tc>
        <w:tc>
          <w:tcPr>
            <w:tcW w:w="1211" w:type="dxa"/>
          </w:tcPr>
          <w:p w14:paraId="6014C1B8" w14:textId="77777777" w:rsidR="0086274C" w:rsidRPr="002A0BDB" w:rsidRDefault="0086274C"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Primary analysis</w:t>
            </w:r>
          </w:p>
        </w:tc>
        <w:tc>
          <w:tcPr>
            <w:tcW w:w="1140" w:type="dxa"/>
          </w:tcPr>
          <w:p w14:paraId="17589706"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The study was detailed </w:t>
            </w:r>
            <w:r w:rsidRPr="002A0BDB">
              <w:rPr>
                <w:rFonts w:ascii="Arial" w:hAnsi="Arial" w:cs="Arial"/>
              </w:rPr>
              <w:lastRenderedPageBreak/>
              <w:t>and based on the diverse demography of Odisha is an eastern state of India located along the</w:t>
            </w:r>
          </w:p>
          <w:p w14:paraId="3CA6793A" w14:textId="77777777" w:rsidR="0086274C" w:rsidRPr="002A0BDB" w:rsidRDefault="0086274C" w:rsidP="006E28A0">
            <w:pPr>
              <w:spacing w:line="360" w:lineRule="auto"/>
              <w:jc w:val="both"/>
              <w:rPr>
                <w:rFonts w:ascii="Arial" w:hAnsi="Arial" w:cs="Arial"/>
              </w:rPr>
            </w:pPr>
            <w:r w:rsidRPr="002A0BDB">
              <w:rPr>
                <w:rFonts w:ascii="Arial" w:hAnsi="Arial" w:cs="Arial"/>
              </w:rPr>
              <w:t xml:space="preserve">Bay of </w:t>
            </w:r>
            <w:proofErr w:type="spellStart"/>
            <w:r w:rsidRPr="002A0BDB">
              <w:rPr>
                <w:rFonts w:ascii="Arial" w:hAnsi="Arial" w:cs="Arial"/>
              </w:rPr>
              <w:t>Benga</w:t>
            </w:r>
            <w:proofErr w:type="spellEnd"/>
          </w:p>
        </w:tc>
        <w:tc>
          <w:tcPr>
            <w:tcW w:w="1176" w:type="dxa"/>
          </w:tcPr>
          <w:p w14:paraId="59857AD0"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These strains were isolated </w:t>
            </w:r>
            <w:r w:rsidRPr="002A0BDB">
              <w:rPr>
                <w:rFonts w:ascii="Arial" w:hAnsi="Arial" w:cs="Arial"/>
              </w:rPr>
              <w:lastRenderedPageBreak/>
              <w:t>between 2007</w:t>
            </w:r>
          </w:p>
          <w:p w14:paraId="6037DF40" w14:textId="02F881D2" w:rsidR="0086274C" w:rsidRPr="002A0BDB" w:rsidRDefault="00616EE4" w:rsidP="00616EE4">
            <w:pPr>
              <w:spacing w:line="360" w:lineRule="auto"/>
              <w:jc w:val="both"/>
              <w:rPr>
                <w:rFonts w:ascii="Arial" w:hAnsi="Arial" w:cs="Arial"/>
              </w:rPr>
            </w:pPr>
            <w:r w:rsidRPr="002A0BDB">
              <w:rPr>
                <w:rFonts w:ascii="Arial" w:hAnsi="Arial" w:cs="Arial"/>
              </w:rPr>
              <w:t>And</w:t>
            </w:r>
            <w:r w:rsidR="0086274C" w:rsidRPr="002A0BDB">
              <w:rPr>
                <w:rFonts w:ascii="Arial" w:hAnsi="Arial" w:cs="Arial"/>
              </w:rPr>
              <w:t xml:space="preserve"> 2019 from the coastal and tribal areas, so the data is not fully relevant for recent studies from the perspective of </w:t>
            </w:r>
            <w:proofErr w:type="spellStart"/>
            <w:r w:rsidR="0086274C" w:rsidRPr="002A0BDB">
              <w:rPr>
                <w:rFonts w:ascii="Arial" w:hAnsi="Arial" w:cs="Arial"/>
              </w:rPr>
              <w:t>mutation.to</w:t>
            </w:r>
            <w:proofErr w:type="spellEnd"/>
            <w:r w:rsidR="0086274C" w:rsidRPr="002A0BDB">
              <w:rPr>
                <w:rFonts w:ascii="Arial" w:hAnsi="Arial" w:cs="Arial"/>
              </w:rPr>
              <w:t xml:space="preserve"> reach an epidemic form is still not clearly </w:t>
            </w:r>
            <w:r w:rsidR="0086274C" w:rsidRPr="002A0BDB">
              <w:rPr>
                <w:rFonts w:ascii="Arial" w:hAnsi="Arial" w:cs="Arial"/>
              </w:rPr>
              <w:lastRenderedPageBreak/>
              <w:t>understood.</w:t>
            </w:r>
          </w:p>
        </w:tc>
        <w:tc>
          <w:tcPr>
            <w:tcW w:w="1308" w:type="dxa"/>
          </w:tcPr>
          <w:p w14:paraId="5A7C7570" w14:textId="77777777" w:rsidR="0086274C" w:rsidRPr="002A0BDB" w:rsidRDefault="0086274C" w:rsidP="006E28A0">
            <w:pPr>
              <w:spacing w:line="360" w:lineRule="auto"/>
              <w:jc w:val="both"/>
              <w:rPr>
                <w:rFonts w:ascii="Arial" w:hAnsi="Arial" w:cs="Arial"/>
              </w:rPr>
            </w:pPr>
            <w:r w:rsidRPr="002A0BDB">
              <w:rPr>
                <w:rFonts w:ascii="Arial" w:hAnsi="Arial" w:cs="Arial"/>
              </w:rPr>
              <w:lastRenderedPageBreak/>
              <w:t xml:space="preserve">The V. </w:t>
            </w:r>
            <w:proofErr w:type="spellStart"/>
            <w:r w:rsidRPr="002A0BDB">
              <w:rPr>
                <w:rFonts w:ascii="Arial" w:hAnsi="Arial" w:cs="Arial"/>
              </w:rPr>
              <w:t>cholerae</w:t>
            </w:r>
            <w:proofErr w:type="spellEnd"/>
            <w:r w:rsidRPr="002A0BDB">
              <w:rPr>
                <w:rFonts w:ascii="Arial" w:hAnsi="Arial" w:cs="Arial"/>
              </w:rPr>
              <w:t xml:space="preserve"> isolates </w:t>
            </w:r>
            <w:r w:rsidRPr="002A0BDB">
              <w:rPr>
                <w:rFonts w:ascii="Arial" w:hAnsi="Arial" w:cs="Arial"/>
              </w:rPr>
              <w:lastRenderedPageBreak/>
              <w:t>possessed a variety of</w:t>
            </w:r>
          </w:p>
          <w:p w14:paraId="73B225B2" w14:textId="3A1304A4" w:rsidR="0086274C" w:rsidRPr="002A0BDB" w:rsidRDefault="00616EE4" w:rsidP="006E28A0">
            <w:pPr>
              <w:spacing w:line="360" w:lineRule="auto"/>
              <w:jc w:val="both"/>
              <w:rPr>
                <w:rFonts w:ascii="Arial" w:hAnsi="Arial" w:cs="Arial"/>
              </w:rPr>
            </w:pPr>
            <w:r w:rsidRPr="002A0BDB">
              <w:rPr>
                <w:rFonts w:ascii="Arial" w:hAnsi="Arial" w:cs="Arial"/>
              </w:rPr>
              <w:t>Virulence</w:t>
            </w:r>
            <w:r w:rsidR="0086274C" w:rsidRPr="002A0BDB">
              <w:rPr>
                <w:rFonts w:ascii="Arial" w:hAnsi="Arial" w:cs="Arial"/>
              </w:rPr>
              <w:t xml:space="preserve"> genes, including ace, </w:t>
            </w:r>
            <w:proofErr w:type="spellStart"/>
            <w:r w:rsidR="0086274C" w:rsidRPr="002A0BDB">
              <w:rPr>
                <w:rFonts w:ascii="Arial" w:hAnsi="Arial" w:cs="Arial"/>
              </w:rPr>
              <w:t>ctxAB</w:t>
            </w:r>
            <w:proofErr w:type="spellEnd"/>
            <w:r w:rsidR="0086274C" w:rsidRPr="002A0BDB">
              <w:rPr>
                <w:rFonts w:ascii="Arial" w:hAnsi="Arial" w:cs="Arial"/>
              </w:rPr>
              <w:t xml:space="preserve">, </w:t>
            </w:r>
            <w:proofErr w:type="spellStart"/>
            <w:r w:rsidR="0086274C" w:rsidRPr="002A0BDB">
              <w:rPr>
                <w:rFonts w:ascii="Arial" w:hAnsi="Arial" w:cs="Arial"/>
              </w:rPr>
              <w:t>toxR</w:t>
            </w:r>
            <w:proofErr w:type="spellEnd"/>
            <w:r w:rsidR="0086274C" w:rsidRPr="002A0BDB">
              <w:rPr>
                <w:rFonts w:ascii="Arial" w:hAnsi="Arial" w:cs="Arial"/>
              </w:rPr>
              <w:t xml:space="preserve">, </w:t>
            </w:r>
            <w:proofErr w:type="spellStart"/>
            <w:r w:rsidR="0086274C" w:rsidRPr="002A0BDB">
              <w:rPr>
                <w:rFonts w:ascii="Arial" w:hAnsi="Arial" w:cs="Arial"/>
              </w:rPr>
              <w:t>zot</w:t>
            </w:r>
            <w:proofErr w:type="spellEnd"/>
            <w:r w:rsidR="0086274C" w:rsidRPr="002A0BDB">
              <w:rPr>
                <w:rFonts w:ascii="Arial" w:hAnsi="Arial" w:cs="Arial"/>
              </w:rPr>
              <w:t xml:space="preserve">, and </w:t>
            </w:r>
            <w:proofErr w:type="spellStart"/>
            <w:r w:rsidR="0086274C" w:rsidRPr="002A0BDB">
              <w:rPr>
                <w:rFonts w:ascii="Arial" w:hAnsi="Arial" w:cs="Arial"/>
              </w:rPr>
              <w:t>hlyA</w:t>
            </w:r>
            <w:proofErr w:type="spellEnd"/>
            <w:r w:rsidR="0086274C" w:rsidRPr="002A0BDB">
              <w:rPr>
                <w:rFonts w:ascii="Arial" w:hAnsi="Arial" w:cs="Arial"/>
              </w:rPr>
              <w:t xml:space="preserve">, which were in higher percentages in the case of V. </w:t>
            </w:r>
            <w:proofErr w:type="spellStart"/>
            <w:r w:rsidR="0086274C" w:rsidRPr="002A0BDB">
              <w:rPr>
                <w:rFonts w:ascii="Arial" w:hAnsi="Arial" w:cs="Arial"/>
              </w:rPr>
              <w:t>cholerae</w:t>
            </w:r>
            <w:proofErr w:type="spellEnd"/>
            <w:r w:rsidR="0086274C" w:rsidRPr="002A0BDB">
              <w:rPr>
                <w:rFonts w:ascii="Arial" w:hAnsi="Arial" w:cs="Arial"/>
              </w:rPr>
              <w:t xml:space="preserve"> O1.</w:t>
            </w:r>
          </w:p>
        </w:tc>
        <w:tc>
          <w:tcPr>
            <w:tcW w:w="1211" w:type="dxa"/>
          </w:tcPr>
          <w:p w14:paraId="53A01BC6" w14:textId="4767BB54" w:rsidR="0086274C" w:rsidRPr="002A0BDB" w:rsidRDefault="00531E69" w:rsidP="006E28A0">
            <w:pPr>
              <w:spacing w:line="360" w:lineRule="auto"/>
              <w:jc w:val="both"/>
              <w:rPr>
                <w:rFonts w:ascii="Arial" w:hAnsi="Arial" w:cs="Arial"/>
              </w:rPr>
            </w:pPr>
            <w:r w:rsidRPr="002A0BDB">
              <w:rPr>
                <w:rFonts w:ascii="Arial" w:hAnsi="Arial" w:cs="Arial"/>
              </w:rPr>
              <w:lastRenderedPageBreak/>
              <w:t>indicates</w:t>
            </w:r>
            <w:r w:rsidR="0086274C" w:rsidRPr="002A0BDB">
              <w:rPr>
                <w:rFonts w:ascii="Arial" w:hAnsi="Arial" w:cs="Arial"/>
              </w:rPr>
              <w:t xml:space="preserve"> the changing epidemiol</w:t>
            </w:r>
            <w:r w:rsidR="0086274C" w:rsidRPr="002A0BDB">
              <w:rPr>
                <w:rFonts w:ascii="Arial" w:hAnsi="Arial" w:cs="Arial"/>
              </w:rPr>
              <w:lastRenderedPageBreak/>
              <w:t xml:space="preserve">ogy, </w:t>
            </w:r>
            <w:proofErr w:type="spellStart"/>
            <w:r w:rsidR="0086274C" w:rsidRPr="002A0BDB">
              <w:rPr>
                <w:rFonts w:ascii="Arial" w:hAnsi="Arial" w:cs="Arial"/>
              </w:rPr>
              <w:t>antibiogram</w:t>
            </w:r>
            <w:proofErr w:type="spellEnd"/>
            <w:r w:rsidR="0086274C" w:rsidRPr="002A0BDB">
              <w:rPr>
                <w:rFonts w:ascii="Arial" w:hAnsi="Arial" w:cs="Arial"/>
              </w:rPr>
              <w:t xml:space="preserve"> patterns and continuous genetic variation</w:t>
            </w:r>
            <w:r w:rsidR="00616EE4" w:rsidRPr="002A0BDB">
              <w:rPr>
                <w:rFonts w:ascii="Arial" w:hAnsi="Arial" w:cs="Arial"/>
              </w:rPr>
              <w:t xml:space="preserve"> </w:t>
            </w:r>
            <w:r w:rsidR="0086274C" w:rsidRPr="002A0BDB">
              <w:rPr>
                <w:rFonts w:ascii="Arial" w:hAnsi="Arial" w:cs="Arial"/>
              </w:rPr>
              <w:t xml:space="preserve">in environmental V. </w:t>
            </w:r>
            <w:proofErr w:type="spellStart"/>
            <w:r w:rsidR="0086274C" w:rsidRPr="002A0BDB">
              <w:rPr>
                <w:rFonts w:ascii="Arial" w:hAnsi="Arial" w:cs="Arial"/>
              </w:rPr>
              <w:t>cholerae</w:t>
            </w:r>
            <w:proofErr w:type="spellEnd"/>
            <w:r w:rsidR="0086274C" w:rsidRPr="002A0BDB">
              <w:rPr>
                <w:rFonts w:ascii="Arial" w:hAnsi="Arial" w:cs="Arial"/>
              </w:rPr>
              <w:t xml:space="preserve"> strains of Odisha over the years.</w:t>
            </w:r>
          </w:p>
        </w:tc>
        <w:tc>
          <w:tcPr>
            <w:tcW w:w="973" w:type="dxa"/>
          </w:tcPr>
          <w:p w14:paraId="40565AFD"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Objective 1 by providing data </w:t>
            </w:r>
            <w:r w:rsidRPr="002A0BDB">
              <w:rPr>
                <w:rFonts w:ascii="Arial" w:hAnsi="Arial" w:cs="Arial"/>
              </w:rPr>
              <w:lastRenderedPageBreak/>
              <w:t>on Cholera prevention</w:t>
            </w:r>
          </w:p>
        </w:tc>
        <w:tc>
          <w:tcPr>
            <w:tcW w:w="1140" w:type="dxa"/>
          </w:tcPr>
          <w:p w14:paraId="4BED7081" w14:textId="77777777"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r w:rsidRPr="002A0BDB">
              <w:rPr>
                <w:rFonts w:ascii="Arial" w:hAnsi="Arial" w:cs="Arial"/>
              </w:rPr>
              <w:lastRenderedPageBreak/>
              <w:t xml:space="preserve">This article supports objective </w:t>
            </w:r>
            <w:r w:rsidRPr="002A0BDB">
              <w:rPr>
                <w:rFonts w:ascii="Arial" w:hAnsi="Arial" w:cs="Arial"/>
              </w:rPr>
              <w:lastRenderedPageBreak/>
              <w:t>2 by highlighting broad evidence of the “One Health” framework</w:t>
            </w:r>
          </w:p>
        </w:tc>
        <w:tc>
          <w:tcPr>
            <w:tcW w:w="1740" w:type="dxa"/>
            <w:vMerge/>
          </w:tcPr>
          <w:p w14:paraId="6F01E179" w14:textId="536262BA" w:rsidR="0086274C" w:rsidRPr="002A0BDB" w:rsidRDefault="0086274C" w:rsidP="006E28A0">
            <w:pPr>
              <w:widowControl w:val="0"/>
              <w:pBdr>
                <w:top w:val="nil"/>
                <w:left w:val="nil"/>
                <w:bottom w:val="nil"/>
                <w:right w:val="nil"/>
                <w:between w:val="nil"/>
              </w:pBdr>
              <w:spacing w:line="360" w:lineRule="auto"/>
              <w:jc w:val="both"/>
              <w:rPr>
                <w:rFonts w:ascii="Arial" w:hAnsi="Arial" w:cs="Arial"/>
              </w:rPr>
            </w:pPr>
          </w:p>
        </w:tc>
      </w:tr>
    </w:tbl>
    <w:p w14:paraId="7C309A3A" w14:textId="77777777" w:rsidR="006E28A0" w:rsidRPr="002A0BDB" w:rsidRDefault="006E28A0" w:rsidP="00F64A09">
      <w:pPr>
        <w:pStyle w:val="Heading5"/>
        <w:rPr>
          <w:color w:val="auto"/>
        </w:rPr>
      </w:pPr>
      <w:bookmarkStart w:id="95" w:name="_Toc220494314"/>
      <w:bookmarkStart w:id="96" w:name="_Toc220498207"/>
      <w:r w:rsidRPr="002A0BDB">
        <w:rPr>
          <w:color w:val="auto"/>
        </w:rPr>
        <w:lastRenderedPageBreak/>
        <w:t>Table 4.1: Characteristics Table</w:t>
      </w:r>
      <w:bookmarkEnd w:id="95"/>
      <w:bookmarkEnd w:id="96"/>
    </w:p>
    <w:p w14:paraId="2D7A14A5" w14:textId="5BF36407" w:rsidR="00580BB5" w:rsidRPr="002A0BDB" w:rsidRDefault="00580BB5" w:rsidP="00580BB5">
      <w:pPr>
        <w:jc w:val="center"/>
        <w:rPr>
          <w:rFonts w:ascii="Arial" w:hAnsi="Arial" w:cs="Arial"/>
        </w:rPr>
      </w:pPr>
      <w:r w:rsidRPr="002A0BDB">
        <w:rPr>
          <w:rFonts w:ascii="Arial" w:hAnsi="Arial" w:cs="Arial"/>
        </w:rPr>
        <w:t>(Source: Self-developed)</w:t>
      </w:r>
    </w:p>
    <w:p w14:paraId="6F99AC7C"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p w14:paraId="53B02283" w14:textId="77777777" w:rsidR="00616EE4" w:rsidRPr="002A0BDB" w:rsidRDefault="00616EE4" w:rsidP="00616EE4">
      <w:pPr>
        <w:pBdr>
          <w:top w:val="nil"/>
          <w:left w:val="nil"/>
          <w:bottom w:val="nil"/>
          <w:right w:val="nil"/>
          <w:between w:val="nil"/>
        </w:pBdr>
        <w:spacing w:line="360" w:lineRule="auto"/>
        <w:jc w:val="center"/>
        <w:rPr>
          <w:rFonts w:ascii="Arial" w:hAnsi="Arial" w:cs="Arial"/>
        </w:rPr>
        <w:sectPr w:rsidR="00616EE4" w:rsidRPr="002A0BDB" w:rsidSect="003E6467">
          <w:pgSz w:w="15840" w:h="12240" w:orient="landscape"/>
          <w:pgMar w:top="1440" w:right="1440" w:bottom="1440" w:left="1440" w:header="720" w:footer="720" w:gutter="0"/>
          <w:cols w:space="720"/>
        </w:sectPr>
      </w:pPr>
    </w:p>
    <w:p w14:paraId="757B1657" w14:textId="77777777" w:rsidR="006E28A0" w:rsidRPr="002A0BDB" w:rsidRDefault="006E28A0" w:rsidP="006E28A0">
      <w:pPr>
        <w:pStyle w:val="Heading2"/>
        <w:spacing w:line="360" w:lineRule="auto"/>
        <w:jc w:val="both"/>
        <w:rPr>
          <w:rFonts w:ascii="Arial" w:hAnsi="Arial" w:cs="Arial"/>
          <w:color w:val="auto"/>
          <w:sz w:val="22"/>
        </w:rPr>
      </w:pPr>
      <w:bookmarkStart w:id="97" w:name="_Toc220494161"/>
      <w:r w:rsidRPr="002A0BDB">
        <w:rPr>
          <w:rFonts w:ascii="Arial" w:hAnsi="Arial" w:cs="Arial"/>
          <w:color w:val="auto"/>
          <w:sz w:val="22"/>
        </w:rPr>
        <w:lastRenderedPageBreak/>
        <w:t>4.3 Themes identification and discussion</w:t>
      </w:r>
      <w:bookmarkEnd w:id="97"/>
      <w:r w:rsidRPr="002A0BDB">
        <w:rPr>
          <w:rFonts w:ascii="Arial" w:hAnsi="Arial" w:cs="Arial"/>
          <w:color w:val="auto"/>
          <w:sz w:val="22"/>
        </w:rPr>
        <w:t xml:space="preserve"> </w:t>
      </w:r>
    </w:p>
    <w:p w14:paraId="0E150D35" w14:textId="77777777" w:rsidR="006E28A0" w:rsidRPr="002A0BDB" w:rsidRDefault="006E28A0" w:rsidP="006E28A0">
      <w:pPr>
        <w:spacing w:line="360" w:lineRule="auto"/>
        <w:jc w:val="both"/>
        <w:rPr>
          <w:rFonts w:ascii="Arial" w:hAnsi="Arial" w:cs="Arial"/>
        </w:rPr>
      </w:pPr>
    </w:p>
    <w:p w14:paraId="58A858A2" w14:textId="77777777" w:rsidR="006E28A0" w:rsidRPr="002A0BDB" w:rsidRDefault="006E28A0" w:rsidP="006E28A0">
      <w:pPr>
        <w:pBdr>
          <w:top w:val="nil"/>
          <w:left w:val="nil"/>
          <w:bottom w:val="nil"/>
          <w:right w:val="nil"/>
          <w:between w:val="nil"/>
        </w:pBdr>
        <w:spacing w:line="360" w:lineRule="auto"/>
        <w:jc w:val="both"/>
        <w:rPr>
          <w:rFonts w:ascii="Arial" w:hAnsi="Arial" w:cs="Arial"/>
          <w:b/>
          <w:bCs/>
          <w:i/>
          <w:iCs/>
        </w:rPr>
      </w:pPr>
      <w:r w:rsidRPr="002A0BDB">
        <w:rPr>
          <w:rFonts w:ascii="Arial" w:hAnsi="Arial" w:cs="Arial"/>
          <w:b/>
          <w:bCs/>
          <w:i/>
          <w:iCs/>
        </w:rPr>
        <w:t xml:space="preserve">Theme 1: Molecular Epidemiology tools correctly detect the transmission process and routes of Vibrio </w:t>
      </w:r>
      <w:proofErr w:type="spellStart"/>
      <w:r w:rsidRPr="002A0BDB">
        <w:rPr>
          <w:rFonts w:ascii="Arial" w:hAnsi="Arial" w:cs="Arial"/>
          <w:b/>
          <w:bCs/>
          <w:i/>
          <w:iCs/>
        </w:rPr>
        <w:t>Cholerae</w:t>
      </w:r>
      <w:proofErr w:type="spellEnd"/>
    </w:p>
    <w:p w14:paraId="4D5D2966"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p w14:paraId="0A0A1323"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 early detection and identification of the transmission process of Cholera is crucial in the context of safeguarding care seekers against the adverse impact of the health disorder through effective medicinal interventions. In essence, applying molecular techniques such as Genomic Sequencing and Genomic Mechanisms is likely to play a determining role in terms of accurately identifying the transmission routes of Vibrio </w:t>
      </w:r>
      <w:proofErr w:type="spellStart"/>
      <w:r w:rsidRPr="002A0BDB">
        <w:rPr>
          <w:rFonts w:ascii="Arial" w:hAnsi="Arial" w:cs="Arial"/>
        </w:rPr>
        <w:t>Cholerae</w:t>
      </w:r>
      <w:proofErr w:type="spellEnd"/>
      <w:r w:rsidRPr="002A0BDB">
        <w:rPr>
          <w:rFonts w:ascii="Arial" w:hAnsi="Arial" w:cs="Arial"/>
        </w:rPr>
        <w:t xml:space="preserve"> at an early stage. In accordance with the statement of Brumfield </w:t>
      </w:r>
      <w:r w:rsidRPr="002A0BDB">
        <w:rPr>
          <w:rFonts w:ascii="Arial" w:hAnsi="Arial" w:cs="Arial"/>
          <w:i/>
          <w:iCs/>
        </w:rPr>
        <w:t xml:space="preserve">et al. </w:t>
      </w:r>
      <w:r w:rsidRPr="002A0BDB">
        <w:rPr>
          <w:rFonts w:ascii="Arial" w:hAnsi="Arial" w:cs="Arial"/>
        </w:rPr>
        <w:t xml:space="preserve">(2021), the technology of DNA Metagenome Sequencing is remarkable in relevance to detecting Vibrio spp. in any given environment. In this regard, the adoption of DNA Metagenome Sequencing seems to be appropriate and advantageous in detecting the spreading process of Vibrio </w:t>
      </w:r>
      <w:proofErr w:type="spellStart"/>
      <w:r w:rsidRPr="002A0BDB">
        <w:rPr>
          <w:rFonts w:ascii="Arial" w:hAnsi="Arial" w:cs="Arial"/>
        </w:rPr>
        <w:t>Cholerae</w:t>
      </w:r>
      <w:proofErr w:type="spellEnd"/>
      <w:r w:rsidRPr="002A0BDB">
        <w:rPr>
          <w:rFonts w:ascii="Arial" w:hAnsi="Arial" w:cs="Arial"/>
        </w:rPr>
        <w:t xml:space="preserve"> within a specific population or environment by profiling Antimicrobial resistance and Virulence genes in a simultaneous manner. On the other hand, Chowdhury </w:t>
      </w:r>
      <w:r w:rsidRPr="002A0BDB">
        <w:rPr>
          <w:rFonts w:ascii="Arial" w:hAnsi="Arial" w:cs="Arial"/>
          <w:i/>
          <w:iCs/>
        </w:rPr>
        <w:t xml:space="preserve">et al. </w:t>
      </w:r>
      <w:r w:rsidRPr="002A0BDB">
        <w:rPr>
          <w:rFonts w:ascii="Arial" w:hAnsi="Arial" w:cs="Arial"/>
        </w:rPr>
        <w:t xml:space="preserve">(2022) claimed that whole-genome sequencing of Vibrio </w:t>
      </w:r>
      <w:proofErr w:type="spellStart"/>
      <w:r w:rsidRPr="002A0BDB">
        <w:rPr>
          <w:rFonts w:ascii="Arial" w:hAnsi="Arial" w:cs="Arial"/>
        </w:rPr>
        <w:t>Cholerae</w:t>
      </w:r>
      <w:proofErr w:type="spellEnd"/>
      <w:r w:rsidRPr="002A0BDB">
        <w:rPr>
          <w:rFonts w:ascii="Arial" w:hAnsi="Arial" w:cs="Arial"/>
        </w:rPr>
        <w:t xml:space="preserve"> isolates displayed Mobile Genetic that might eventually result in Antimicrobial Resistance. As a consequence, individual patients might encounter obstacles in consuming antibiotics to overcome cholera due to delays in detecting the transmission routes of Vibrio </w:t>
      </w:r>
      <w:proofErr w:type="spellStart"/>
      <w:r w:rsidRPr="002A0BDB">
        <w:rPr>
          <w:rFonts w:ascii="Arial" w:hAnsi="Arial" w:cs="Arial"/>
        </w:rPr>
        <w:t>Cholerae</w:t>
      </w:r>
      <w:proofErr w:type="spellEnd"/>
      <w:r w:rsidRPr="002A0BDB">
        <w:rPr>
          <w:rFonts w:ascii="Arial" w:hAnsi="Arial" w:cs="Arial"/>
        </w:rPr>
        <w:t xml:space="preserve"> in a particular environment. Henceforth, Genome Sequencing is crucial in the early detection of Vibrio </w:t>
      </w:r>
      <w:proofErr w:type="spellStart"/>
      <w:r w:rsidRPr="002A0BDB">
        <w:rPr>
          <w:rFonts w:ascii="Arial" w:hAnsi="Arial" w:cs="Arial"/>
        </w:rPr>
        <w:t>Cholerae’s</w:t>
      </w:r>
      <w:proofErr w:type="spellEnd"/>
      <w:r w:rsidRPr="002A0BDB">
        <w:rPr>
          <w:rFonts w:ascii="Arial" w:hAnsi="Arial" w:cs="Arial"/>
        </w:rPr>
        <w:t xml:space="preserve"> transmission routes. </w:t>
      </w:r>
    </w:p>
    <w:p w14:paraId="3F8CDA77"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p w14:paraId="19A5DC47"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As mentioned by Brumfield </w:t>
      </w:r>
      <w:r w:rsidRPr="002A0BDB">
        <w:rPr>
          <w:rFonts w:ascii="Arial" w:hAnsi="Arial" w:cs="Arial"/>
          <w:i/>
          <w:iCs/>
        </w:rPr>
        <w:t xml:space="preserve">et al. </w:t>
      </w:r>
      <w:r w:rsidRPr="002A0BDB">
        <w:rPr>
          <w:rFonts w:ascii="Arial" w:hAnsi="Arial" w:cs="Arial"/>
        </w:rPr>
        <w:t xml:space="preserve">(2021) observed that DNA Metagenomics might not be able to determine the viability and infectious capacity of microorganisms without the execution of additional analyses to interpret gene activities and functions. In this context, using </w:t>
      </w:r>
      <w:proofErr w:type="spellStart"/>
      <w:r w:rsidRPr="002A0BDB">
        <w:rPr>
          <w:rFonts w:ascii="Arial" w:hAnsi="Arial" w:cs="Arial"/>
        </w:rPr>
        <w:t>Metagenomic</w:t>
      </w:r>
      <w:proofErr w:type="spellEnd"/>
      <w:r w:rsidRPr="002A0BDB">
        <w:rPr>
          <w:rFonts w:ascii="Arial" w:hAnsi="Arial" w:cs="Arial"/>
        </w:rPr>
        <w:t xml:space="preserve"> Sequencing can prove challenging in order to accurately detect the transmission routes of Vibrio Cholera in a particular environment. However, Ebenezer </w:t>
      </w:r>
      <w:r w:rsidRPr="002A0BDB">
        <w:rPr>
          <w:rFonts w:ascii="Arial" w:hAnsi="Arial" w:cs="Arial"/>
          <w:i/>
          <w:iCs/>
        </w:rPr>
        <w:t xml:space="preserve">et al. </w:t>
      </w:r>
      <w:r w:rsidRPr="002A0BDB">
        <w:rPr>
          <w:rFonts w:ascii="Arial" w:hAnsi="Arial" w:cs="Arial"/>
        </w:rPr>
        <w:t xml:space="preserve">(2025) stated that Vibrio </w:t>
      </w:r>
      <w:proofErr w:type="spellStart"/>
      <w:r w:rsidRPr="002A0BDB">
        <w:rPr>
          <w:rFonts w:ascii="Arial" w:hAnsi="Arial" w:cs="Arial"/>
        </w:rPr>
        <w:t>Cholerae</w:t>
      </w:r>
      <w:proofErr w:type="spellEnd"/>
      <w:r w:rsidRPr="002A0BDB">
        <w:rPr>
          <w:rFonts w:ascii="Arial" w:hAnsi="Arial" w:cs="Arial"/>
        </w:rPr>
        <w:t xml:space="preserve"> is a proactive agent of the Cholera pandemic present in contaminated water resources, which is transmitted through the </w:t>
      </w:r>
      <w:proofErr w:type="spellStart"/>
      <w:r w:rsidRPr="002A0BDB">
        <w:rPr>
          <w:rFonts w:ascii="Arial" w:hAnsi="Arial" w:cs="Arial"/>
        </w:rPr>
        <w:t>Fecal</w:t>
      </w:r>
      <w:proofErr w:type="spellEnd"/>
      <w:r w:rsidRPr="002A0BDB">
        <w:rPr>
          <w:rFonts w:ascii="Arial" w:hAnsi="Arial" w:cs="Arial"/>
        </w:rPr>
        <w:t xml:space="preserve">-Oral route. Accordingly, failing to detect Vibrio </w:t>
      </w:r>
      <w:proofErr w:type="spellStart"/>
      <w:r w:rsidRPr="002A0BDB">
        <w:rPr>
          <w:rFonts w:ascii="Arial" w:hAnsi="Arial" w:cs="Arial"/>
        </w:rPr>
        <w:t>Cholerae</w:t>
      </w:r>
      <w:proofErr w:type="spellEnd"/>
      <w:r w:rsidRPr="002A0BDB">
        <w:rPr>
          <w:rFonts w:ascii="Arial" w:hAnsi="Arial" w:cs="Arial"/>
        </w:rPr>
        <w:t xml:space="preserve"> at an early stage, the transmission of Vibrio </w:t>
      </w:r>
      <w:proofErr w:type="spellStart"/>
      <w:r w:rsidRPr="002A0BDB">
        <w:rPr>
          <w:rFonts w:ascii="Arial" w:hAnsi="Arial" w:cs="Arial"/>
        </w:rPr>
        <w:t>Cholerae</w:t>
      </w:r>
      <w:proofErr w:type="spellEnd"/>
      <w:r w:rsidRPr="002A0BDB">
        <w:rPr>
          <w:rFonts w:ascii="Arial" w:hAnsi="Arial" w:cs="Arial"/>
        </w:rPr>
        <w:t xml:space="preserve"> can lead to dehydration and Electrolyte imbalance, which might cause death. In essence, Chowdhury </w:t>
      </w:r>
      <w:r w:rsidRPr="002A0BDB">
        <w:rPr>
          <w:rFonts w:ascii="Arial" w:hAnsi="Arial" w:cs="Arial"/>
          <w:i/>
          <w:iCs/>
        </w:rPr>
        <w:t xml:space="preserve">et al. </w:t>
      </w:r>
      <w:r w:rsidRPr="002A0BDB">
        <w:rPr>
          <w:rFonts w:ascii="Arial" w:hAnsi="Arial" w:cs="Arial"/>
        </w:rPr>
        <w:t xml:space="preserve">(2022) depicted that Dark-field Microscopy can be utilised in the context of quickly detecting the presence of Vibrio </w:t>
      </w:r>
      <w:proofErr w:type="spellStart"/>
      <w:r w:rsidRPr="002A0BDB">
        <w:rPr>
          <w:rFonts w:ascii="Arial" w:hAnsi="Arial" w:cs="Arial"/>
        </w:rPr>
        <w:t>Cholerae</w:t>
      </w:r>
      <w:proofErr w:type="spellEnd"/>
      <w:r w:rsidRPr="002A0BDB">
        <w:rPr>
          <w:rFonts w:ascii="Arial" w:hAnsi="Arial" w:cs="Arial"/>
        </w:rPr>
        <w:t xml:space="preserve"> in stool samples before sending the samples for culture. </w:t>
      </w:r>
      <w:r w:rsidRPr="002A0BDB">
        <w:rPr>
          <w:rFonts w:ascii="Arial" w:hAnsi="Arial" w:cs="Arial"/>
        </w:rPr>
        <w:lastRenderedPageBreak/>
        <w:t xml:space="preserve">Hereby, Dark-field Microscopy is perceived to be another crucial molecular technique that can detect the presence and transmission of Vibrio </w:t>
      </w:r>
      <w:proofErr w:type="spellStart"/>
      <w:r w:rsidRPr="002A0BDB">
        <w:rPr>
          <w:rFonts w:ascii="Arial" w:hAnsi="Arial" w:cs="Arial"/>
        </w:rPr>
        <w:t>Cholerae</w:t>
      </w:r>
      <w:proofErr w:type="spellEnd"/>
      <w:r w:rsidRPr="002A0BDB">
        <w:rPr>
          <w:rFonts w:ascii="Arial" w:hAnsi="Arial" w:cs="Arial"/>
        </w:rPr>
        <w:t xml:space="preserve"> across a given environment. </w:t>
      </w:r>
    </w:p>
    <w:p w14:paraId="0B00497E"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p w14:paraId="25101502"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Analysing and interpreting genes is considered to be another vital molecular process involved in the prediction of Cholera transmission throughout a particular environment or pollution in an effective manner. In accordance with the illustration of Chowdhury </w:t>
      </w:r>
      <w:r w:rsidRPr="002A0BDB">
        <w:rPr>
          <w:rFonts w:ascii="Arial" w:hAnsi="Arial" w:cs="Arial"/>
          <w:i/>
          <w:iCs/>
        </w:rPr>
        <w:t xml:space="preserve">et al. </w:t>
      </w:r>
      <w:r w:rsidRPr="002A0BDB">
        <w:rPr>
          <w:rFonts w:ascii="Arial" w:hAnsi="Arial" w:cs="Arial"/>
        </w:rPr>
        <w:t xml:space="preserve">(2022), the CTX Phase of the Molecular Epidemiological Analysis process contains CT genes, which are significant in interpreting Vibrio </w:t>
      </w:r>
      <w:proofErr w:type="spellStart"/>
      <w:r w:rsidRPr="002A0BDB">
        <w:rPr>
          <w:rFonts w:ascii="Arial" w:hAnsi="Arial" w:cs="Arial"/>
        </w:rPr>
        <w:t>Cholerae</w:t>
      </w:r>
      <w:proofErr w:type="spellEnd"/>
      <w:r w:rsidRPr="002A0BDB">
        <w:rPr>
          <w:rFonts w:ascii="Arial" w:hAnsi="Arial" w:cs="Arial"/>
        </w:rPr>
        <w:t xml:space="preserve">. In this regard, implementing the Molecular Epidemiological Analysis process has been beneficial in examining Cholera Toxin-encoding Genes through multiple Genetic Mutations. Hereby, applying the Molecular Epidemiological Analysis method is considered to be a significant technique of detecting Vibrio </w:t>
      </w:r>
      <w:proofErr w:type="spellStart"/>
      <w:r w:rsidRPr="002A0BDB">
        <w:rPr>
          <w:rFonts w:ascii="Arial" w:hAnsi="Arial" w:cs="Arial"/>
        </w:rPr>
        <w:t>Cholerae</w:t>
      </w:r>
      <w:proofErr w:type="spellEnd"/>
      <w:r w:rsidRPr="002A0BDB">
        <w:rPr>
          <w:rFonts w:ascii="Arial" w:hAnsi="Arial" w:cs="Arial"/>
        </w:rPr>
        <w:t xml:space="preserve"> in the environment. On the contrary, Brumfield </w:t>
      </w:r>
      <w:r w:rsidRPr="002A0BDB">
        <w:rPr>
          <w:rFonts w:ascii="Arial" w:hAnsi="Arial" w:cs="Arial"/>
          <w:i/>
          <w:iCs/>
        </w:rPr>
        <w:t xml:space="preserve">et al. </w:t>
      </w:r>
      <w:r w:rsidRPr="002A0BDB">
        <w:rPr>
          <w:rFonts w:ascii="Arial" w:hAnsi="Arial" w:cs="Arial"/>
        </w:rPr>
        <w:t xml:space="preserve">(2021) depicted that the whole Genome Sequencing process is proactively and commonly utilised to accurately detect and point out AMR genes. Accordingly, implementing the whole Genome Sequencing method can turn out to be another effective method in the context of detecting the transmission process and routes of Vibrio </w:t>
      </w:r>
      <w:proofErr w:type="spellStart"/>
      <w:r w:rsidRPr="002A0BDB">
        <w:rPr>
          <w:rFonts w:ascii="Arial" w:hAnsi="Arial" w:cs="Arial"/>
        </w:rPr>
        <w:t>Cholerae</w:t>
      </w:r>
      <w:proofErr w:type="spellEnd"/>
      <w:r w:rsidRPr="002A0BDB">
        <w:rPr>
          <w:rFonts w:ascii="Arial" w:hAnsi="Arial" w:cs="Arial"/>
        </w:rPr>
        <w:t xml:space="preserve">. Additionally, the whole Genome Sequencing process has also been valuable for executing direct Genotyping and </w:t>
      </w:r>
      <w:proofErr w:type="spellStart"/>
      <w:r w:rsidRPr="002A0BDB">
        <w:rPr>
          <w:rFonts w:ascii="Arial" w:hAnsi="Arial" w:cs="Arial"/>
        </w:rPr>
        <w:t>Metagenomic</w:t>
      </w:r>
      <w:proofErr w:type="spellEnd"/>
      <w:r w:rsidRPr="002A0BDB">
        <w:rPr>
          <w:rFonts w:ascii="Arial" w:hAnsi="Arial" w:cs="Arial"/>
        </w:rPr>
        <w:t xml:space="preserve"> analysis for Vibrio </w:t>
      </w:r>
      <w:proofErr w:type="spellStart"/>
      <w:r w:rsidRPr="002A0BDB">
        <w:rPr>
          <w:rFonts w:ascii="Arial" w:hAnsi="Arial" w:cs="Arial"/>
        </w:rPr>
        <w:t>Cholerae</w:t>
      </w:r>
      <w:proofErr w:type="spellEnd"/>
      <w:r w:rsidRPr="002A0BDB">
        <w:rPr>
          <w:rFonts w:ascii="Arial" w:hAnsi="Arial" w:cs="Arial"/>
        </w:rPr>
        <w:t xml:space="preserve"> (Brumfield </w:t>
      </w:r>
      <w:r w:rsidRPr="002A0BDB">
        <w:rPr>
          <w:rFonts w:ascii="Arial" w:hAnsi="Arial" w:cs="Arial"/>
          <w:i/>
          <w:iCs/>
        </w:rPr>
        <w:t xml:space="preserve">et al. </w:t>
      </w:r>
      <w:r w:rsidRPr="002A0BDB">
        <w:rPr>
          <w:rFonts w:ascii="Arial" w:hAnsi="Arial" w:cs="Arial"/>
        </w:rPr>
        <w:t xml:space="preserve">2021). Henceforth, the above-identified molecular techniques are observed to have a significant impact on identifying the spreading routes and procedures of Vibrio </w:t>
      </w:r>
      <w:proofErr w:type="spellStart"/>
      <w:r w:rsidRPr="002A0BDB">
        <w:rPr>
          <w:rFonts w:ascii="Arial" w:hAnsi="Arial" w:cs="Arial"/>
        </w:rPr>
        <w:t>Cholerae</w:t>
      </w:r>
      <w:proofErr w:type="spellEnd"/>
      <w:r w:rsidRPr="002A0BDB">
        <w:rPr>
          <w:rFonts w:ascii="Arial" w:hAnsi="Arial" w:cs="Arial"/>
        </w:rPr>
        <w:t xml:space="preserve">. </w:t>
      </w:r>
    </w:p>
    <w:p w14:paraId="7502A3F9"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p>
    <w:p w14:paraId="015974C8" w14:textId="77777777" w:rsidR="006E28A0" w:rsidRPr="002A0BDB" w:rsidRDefault="006E28A0" w:rsidP="006E28A0">
      <w:pPr>
        <w:pBdr>
          <w:top w:val="nil"/>
          <w:left w:val="nil"/>
          <w:bottom w:val="nil"/>
          <w:right w:val="nil"/>
          <w:between w:val="nil"/>
        </w:pBdr>
        <w:spacing w:line="360" w:lineRule="auto"/>
        <w:jc w:val="both"/>
        <w:rPr>
          <w:rFonts w:ascii="Arial" w:hAnsi="Arial" w:cs="Arial"/>
        </w:rPr>
      </w:pPr>
      <w:r w:rsidRPr="002A0BDB">
        <w:rPr>
          <w:rFonts w:ascii="Arial" w:hAnsi="Arial" w:cs="Arial"/>
        </w:rPr>
        <w:t xml:space="preserve">Theoretical and practical frameworks can also be deployed in order to detect the spreading procedure and routes of Vibrio </w:t>
      </w:r>
      <w:proofErr w:type="spellStart"/>
      <w:r w:rsidRPr="002A0BDB">
        <w:rPr>
          <w:rFonts w:ascii="Arial" w:hAnsi="Arial" w:cs="Arial"/>
        </w:rPr>
        <w:t>Cholerae</w:t>
      </w:r>
      <w:proofErr w:type="spellEnd"/>
      <w:r w:rsidRPr="002A0BDB">
        <w:rPr>
          <w:rFonts w:ascii="Arial" w:hAnsi="Arial" w:cs="Arial"/>
        </w:rPr>
        <w:t xml:space="preserve"> throughout a particular environment by enhancing the efficiency of Epidemiological Modelling. Based on the comment of Ebenezer </w:t>
      </w:r>
      <w:r w:rsidRPr="002A0BDB">
        <w:rPr>
          <w:rFonts w:ascii="Arial" w:hAnsi="Arial" w:cs="Arial"/>
          <w:i/>
          <w:iCs/>
        </w:rPr>
        <w:t xml:space="preserve">et al. </w:t>
      </w:r>
      <w:r w:rsidRPr="002A0BDB">
        <w:rPr>
          <w:rFonts w:ascii="Arial" w:hAnsi="Arial" w:cs="Arial"/>
        </w:rPr>
        <w:t xml:space="preserve">(2025), the adoption of the Classical Susceptible-Infected-Recovered (SIR) Model is valuable in obtaining a fundamental framework for accurate Epidemiological Modelling. As a result, implementing the SIR Model can prove advantageous in avoiding errors in detecting the transmission routes of Vibrio </w:t>
      </w:r>
      <w:proofErr w:type="spellStart"/>
      <w:r w:rsidRPr="002A0BDB">
        <w:rPr>
          <w:rFonts w:ascii="Arial" w:hAnsi="Arial" w:cs="Arial"/>
        </w:rPr>
        <w:t>cholerae</w:t>
      </w:r>
      <w:proofErr w:type="spellEnd"/>
      <w:r w:rsidRPr="002A0BDB">
        <w:rPr>
          <w:rFonts w:ascii="Arial" w:hAnsi="Arial" w:cs="Arial"/>
        </w:rPr>
        <w:t xml:space="preserve"> through enhanced Epidemiological Modelling. However, Brumfield </w:t>
      </w:r>
      <w:r w:rsidRPr="002A0BDB">
        <w:rPr>
          <w:rFonts w:ascii="Arial" w:hAnsi="Arial" w:cs="Arial"/>
          <w:i/>
          <w:iCs/>
        </w:rPr>
        <w:t xml:space="preserve">et al. </w:t>
      </w:r>
      <w:r w:rsidRPr="002A0BDB">
        <w:rPr>
          <w:rFonts w:ascii="Arial" w:hAnsi="Arial" w:cs="Arial"/>
        </w:rPr>
        <w:t xml:space="preserve">(2021) observed that the implication of Long-read Sequencing emerged to be significant in terms of generating high-quality and accurate reference Genomes of Vibrio spp. isolates. As a consequence, the transmission process of Vibrio </w:t>
      </w:r>
      <w:proofErr w:type="spellStart"/>
      <w:r w:rsidRPr="002A0BDB">
        <w:rPr>
          <w:rFonts w:ascii="Arial" w:hAnsi="Arial" w:cs="Arial"/>
        </w:rPr>
        <w:t>Cholerae</w:t>
      </w:r>
      <w:proofErr w:type="spellEnd"/>
      <w:r w:rsidRPr="002A0BDB">
        <w:rPr>
          <w:rFonts w:ascii="Arial" w:hAnsi="Arial" w:cs="Arial"/>
        </w:rPr>
        <w:t xml:space="preserve"> can be detected accurately through the implementation of Long-read sequencing as a core molecular technique across a specific environment. Therefore, the above-discussed molecular techniques turned out to be effective in terms of detecting and examining the transmission routes and processes of Vibrio </w:t>
      </w:r>
      <w:proofErr w:type="spellStart"/>
      <w:r w:rsidRPr="002A0BDB">
        <w:rPr>
          <w:rFonts w:ascii="Arial" w:hAnsi="Arial" w:cs="Arial"/>
        </w:rPr>
        <w:t>Cholerae</w:t>
      </w:r>
      <w:proofErr w:type="spellEnd"/>
      <w:r w:rsidRPr="002A0BDB">
        <w:rPr>
          <w:rFonts w:ascii="Arial" w:hAnsi="Arial" w:cs="Arial"/>
        </w:rPr>
        <w:t xml:space="preserve">. </w:t>
      </w:r>
    </w:p>
    <w:p w14:paraId="5FE1D0BB" w14:textId="77777777" w:rsidR="006E28A0" w:rsidRPr="002A0BDB" w:rsidRDefault="006E28A0" w:rsidP="006E28A0">
      <w:pPr>
        <w:spacing w:line="360" w:lineRule="auto"/>
        <w:jc w:val="both"/>
        <w:rPr>
          <w:rFonts w:ascii="Arial" w:hAnsi="Arial" w:cs="Arial"/>
          <w:b/>
          <w:bCs/>
          <w:i/>
          <w:iCs/>
        </w:rPr>
      </w:pPr>
      <w:r w:rsidRPr="002A0BDB">
        <w:rPr>
          <w:rFonts w:ascii="Arial" w:hAnsi="Arial" w:cs="Arial"/>
          <w:b/>
          <w:bCs/>
          <w:i/>
          <w:iCs/>
        </w:rPr>
        <w:lastRenderedPageBreak/>
        <w:t>Theme 2: Water sources, sanitation and vector pathways influence indirect transmission of cholera</w:t>
      </w:r>
    </w:p>
    <w:p w14:paraId="751178FD" w14:textId="77777777" w:rsidR="006E28A0" w:rsidRPr="002A0BDB" w:rsidRDefault="006E28A0" w:rsidP="006E28A0">
      <w:pPr>
        <w:spacing w:line="360" w:lineRule="auto"/>
        <w:jc w:val="both"/>
        <w:rPr>
          <w:rFonts w:ascii="Arial" w:hAnsi="Arial" w:cs="Arial"/>
        </w:rPr>
      </w:pPr>
    </w:p>
    <w:p w14:paraId="3A5B6C29" w14:textId="3E745388" w:rsidR="006E28A0" w:rsidRPr="002A0BDB" w:rsidRDefault="006E28A0" w:rsidP="006E28A0">
      <w:pPr>
        <w:spacing w:line="360" w:lineRule="auto"/>
        <w:jc w:val="both"/>
        <w:rPr>
          <w:rFonts w:ascii="Arial" w:hAnsi="Arial" w:cs="Arial"/>
        </w:rPr>
      </w:pPr>
      <w:r w:rsidRPr="002A0BDB">
        <w:rPr>
          <w:rFonts w:ascii="Arial" w:hAnsi="Arial" w:cs="Arial"/>
        </w:rPr>
        <w:t xml:space="preserve">Water resources and sanitation infrastructure are the most important parameters in defining the indirect channel of cholera. In their study of the year 2022-2023 cholera outbreak in Kenya, </w:t>
      </w:r>
      <w:r w:rsidRPr="002A0BDB">
        <w:rPr>
          <w:rFonts w:ascii="Arial" w:hAnsi="Arial" w:cs="Arial"/>
          <w:i/>
          <w:iCs/>
          <w:u w:val="single"/>
        </w:rPr>
        <w:t>Vibrio</w:t>
      </w:r>
      <w:r w:rsidRPr="002A0BDB">
        <w:rPr>
          <w:rFonts w:ascii="Arial" w:hAnsi="Arial" w:cs="Arial"/>
          <w:u w:val="single"/>
        </w:rPr>
        <w:t xml:space="preserve"> </w:t>
      </w:r>
      <w:proofErr w:type="spellStart"/>
      <w:r w:rsidRPr="002A0BDB">
        <w:rPr>
          <w:rFonts w:ascii="Arial" w:hAnsi="Arial" w:cs="Arial"/>
          <w:i/>
          <w:iCs/>
          <w:u w:val="single"/>
        </w:rPr>
        <w:t>cho</w:t>
      </w:r>
      <w:r w:rsidR="000C4FA2" w:rsidRPr="002A0BDB">
        <w:rPr>
          <w:rFonts w:ascii="Arial" w:hAnsi="Arial" w:cs="Arial"/>
          <w:i/>
          <w:iCs/>
          <w:u w:val="single"/>
        </w:rPr>
        <w:t>l</w:t>
      </w:r>
      <w:r w:rsidRPr="002A0BDB">
        <w:rPr>
          <w:rFonts w:ascii="Arial" w:hAnsi="Arial" w:cs="Arial"/>
          <w:i/>
          <w:iCs/>
          <w:u w:val="single"/>
        </w:rPr>
        <w:t>erae</w:t>
      </w:r>
      <w:proofErr w:type="spellEnd"/>
      <w:r w:rsidRPr="002A0BDB">
        <w:rPr>
          <w:rFonts w:ascii="Arial" w:hAnsi="Arial" w:cs="Arial"/>
        </w:rPr>
        <w:t xml:space="preserve"> was identified in drinking water, wastewater water and household effluents found in the informal settlements that had a high density of inhabitants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This observation directly reinforces the theme by showing that dirty systems of water serve as environmental reservoirs through which indirect exposure to the pathogen is possible. Altogether, unsafe water sources were also indicated to continue the spread of cholera even without direct contact between humans. </w:t>
      </w:r>
    </w:p>
    <w:p w14:paraId="60512A3F" w14:textId="77777777" w:rsidR="006E28A0" w:rsidRPr="002A0BDB" w:rsidRDefault="006E28A0" w:rsidP="006E28A0">
      <w:pPr>
        <w:spacing w:line="360" w:lineRule="auto"/>
        <w:jc w:val="both"/>
        <w:rPr>
          <w:rFonts w:ascii="Arial" w:hAnsi="Arial" w:cs="Arial"/>
        </w:rPr>
      </w:pPr>
    </w:p>
    <w:p w14:paraId="24CEAC6C"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lack of sanitation was established to substantially increase the pollution of the environment and the spread of pathogens.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state that private toilets and personal water points were only accessible to a small fraction of the inhabitants in the </w:t>
      </w:r>
      <w:proofErr w:type="spellStart"/>
      <w:r w:rsidRPr="002A0BDB">
        <w:rPr>
          <w:rFonts w:ascii="Arial" w:hAnsi="Arial" w:cs="Arial"/>
        </w:rPr>
        <w:t>Mukuru</w:t>
      </w:r>
      <w:proofErr w:type="spellEnd"/>
      <w:r w:rsidRPr="002A0BDB">
        <w:rPr>
          <w:rFonts w:ascii="Arial" w:hAnsi="Arial" w:cs="Arial"/>
        </w:rPr>
        <w:t xml:space="preserve"> informal settlement. Also, this settlement was classified as wastewater and household effluents drained into open sewers. The scenario is associated with indirect transmission since faecal contamination mixed into common waterways that were used in domestic activities. Therefore, poor sanitation infrastructure was found as a structural factor of the enduring cholera risk.</w:t>
      </w:r>
    </w:p>
    <w:p w14:paraId="27B9768A" w14:textId="77777777" w:rsidR="006E28A0" w:rsidRPr="002A0BDB" w:rsidRDefault="006E28A0" w:rsidP="006E28A0">
      <w:pPr>
        <w:spacing w:line="360" w:lineRule="auto"/>
        <w:jc w:val="both"/>
        <w:rPr>
          <w:rFonts w:ascii="Arial" w:hAnsi="Arial" w:cs="Arial"/>
        </w:rPr>
      </w:pPr>
    </w:p>
    <w:p w14:paraId="110554AB"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environmental waterbodies were also found in a condition that was favourable for the pathogen survival and diversification. The genomic analysis revealed the existence of high genetic diversity in the environmental isolates of </w:t>
      </w:r>
      <w:r w:rsidRPr="002A0BDB">
        <w:rPr>
          <w:rFonts w:ascii="Arial" w:hAnsi="Arial" w:cs="Arial"/>
          <w:i/>
          <w:iCs/>
          <w:u w:val="single"/>
        </w:rPr>
        <w:t>Vibrio</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and the presence of virulence-related genes. This diversified gene includes </w:t>
      </w:r>
      <w:proofErr w:type="spellStart"/>
      <w:r w:rsidRPr="002A0BDB">
        <w:rPr>
          <w:rFonts w:ascii="Arial" w:hAnsi="Arial" w:cs="Arial"/>
        </w:rPr>
        <w:t>toxR</w:t>
      </w:r>
      <w:proofErr w:type="spellEnd"/>
      <w:r w:rsidRPr="002A0BDB">
        <w:rPr>
          <w:rFonts w:ascii="Arial" w:hAnsi="Arial" w:cs="Arial"/>
        </w:rPr>
        <w:t xml:space="preserve"> and </w:t>
      </w:r>
      <w:proofErr w:type="spellStart"/>
      <w:r w:rsidRPr="002A0BDB">
        <w:rPr>
          <w:rFonts w:ascii="Arial" w:hAnsi="Arial" w:cs="Arial"/>
        </w:rPr>
        <w:t>hlyA</w:t>
      </w:r>
      <w:proofErr w:type="spellEnd"/>
      <w:r w:rsidRPr="002A0BDB">
        <w:rPr>
          <w:rFonts w:ascii="Arial" w:hAnsi="Arial" w:cs="Arial"/>
        </w:rPr>
        <w:t xml:space="preserve">, although it has no classical cholera toxin gene, such as </w:t>
      </w:r>
      <w:proofErr w:type="spellStart"/>
      <w:r w:rsidRPr="002A0BDB">
        <w:rPr>
          <w:rFonts w:ascii="Arial" w:hAnsi="Arial" w:cs="Arial"/>
        </w:rPr>
        <w:t>ctxB</w:t>
      </w:r>
      <w:proofErr w:type="spellEnd"/>
      <w:r w:rsidRPr="002A0BDB">
        <w:rPr>
          <w:rFonts w:ascii="Arial" w:hAnsi="Arial" w:cs="Arial"/>
        </w:rPr>
        <w:t xml:space="preserve">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This observation supports the theme as it suggests that aquatic environments serve as a source of infections as well as a reservoir of pathogen evolution. </w:t>
      </w:r>
    </w:p>
    <w:p w14:paraId="148DD102" w14:textId="77777777" w:rsidR="006E28A0" w:rsidRPr="002A0BDB" w:rsidRDefault="006E28A0" w:rsidP="006E28A0">
      <w:pPr>
        <w:spacing w:line="360" w:lineRule="auto"/>
        <w:jc w:val="both"/>
        <w:rPr>
          <w:rFonts w:ascii="Arial" w:hAnsi="Arial" w:cs="Arial"/>
        </w:rPr>
      </w:pPr>
    </w:p>
    <w:p w14:paraId="215162A0" w14:textId="52D1F056" w:rsidR="006E28A0" w:rsidRPr="002A0BDB" w:rsidRDefault="006E28A0" w:rsidP="006E28A0">
      <w:pPr>
        <w:spacing w:line="360" w:lineRule="auto"/>
        <w:jc w:val="both"/>
        <w:rPr>
          <w:rFonts w:ascii="Arial" w:hAnsi="Arial" w:cs="Arial"/>
        </w:rPr>
      </w:pPr>
      <w:r w:rsidRPr="002A0BDB">
        <w:rPr>
          <w:rFonts w:ascii="Arial" w:hAnsi="Arial" w:cs="Arial"/>
        </w:rPr>
        <w:t xml:space="preserve">The process of water-mediated vectors also helped to spread the disease indirectly among communities.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found that </w:t>
      </w:r>
      <w:r w:rsidRPr="002A0BDB">
        <w:rPr>
          <w:rFonts w:ascii="Arial" w:hAnsi="Arial" w:cs="Arial"/>
          <w:i/>
          <w:iCs/>
          <w:u w:val="single"/>
        </w:rPr>
        <w:t>Vibrio</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i/>
          <w:iCs/>
          <w:u w:val="single"/>
        </w:rPr>
        <w:t xml:space="preserve"> </w:t>
      </w:r>
      <w:r w:rsidRPr="002A0BDB">
        <w:rPr>
          <w:rFonts w:ascii="Arial" w:hAnsi="Arial" w:cs="Arial"/>
        </w:rPr>
        <w:t xml:space="preserve">was isolated in wastewater and household effluents in open drains during the epidemic period. This observation is associated with the theme in that the flowing water system carried the pathogen effectively between the </w:t>
      </w:r>
      <w:r w:rsidRPr="002A0BDB">
        <w:rPr>
          <w:rFonts w:ascii="Arial" w:hAnsi="Arial" w:cs="Arial"/>
        </w:rPr>
        <w:lastRenderedPageBreak/>
        <w:t xml:space="preserve">households that did not interact with each other directly. Therefore, the direct movement of contaminated water by itself was a kind of vector-like mechanism that supports the indirect transmission.  </w:t>
      </w:r>
    </w:p>
    <w:p w14:paraId="4A4167BF"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indirect effect of climatic variability on the dynamics of water-borne transmission was also discovered to spread cholera. According to </w:t>
      </w:r>
      <w:proofErr w:type="spellStart"/>
      <w:r w:rsidRPr="002A0BDB">
        <w:rPr>
          <w:rFonts w:ascii="Arial" w:hAnsi="Arial" w:cs="Arial"/>
        </w:rPr>
        <w:t>Jin</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incident such as El Niño-Southern Oscillation greatly changes the precipitation patterns by raising the flooding rate and water stress in the susceptible areas. This helps to reinforce the theme by demonstrating how the disruption of water systems caused by climate change can increase the sanitation breakdown and pollute the drinking water sources. The combined evidences show that the continuous existence of cholera was propagated by interrelated environmental infrastructure and climatic effects to mitigate cholera from spreading. Therefore, indirect transmission has a systematic effect of the disrupted water and sanitation of the ecosystem. </w:t>
      </w:r>
    </w:p>
    <w:p w14:paraId="4A35D923" w14:textId="77777777" w:rsidR="006E28A0" w:rsidRPr="002A0BDB" w:rsidRDefault="006E28A0" w:rsidP="006E28A0">
      <w:pPr>
        <w:spacing w:line="360" w:lineRule="auto"/>
        <w:jc w:val="both"/>
        <w:rPr>
          <w:rFonts w:ascii="Arial" w:hAnsi="Arial" w:cs="Arial"/>
          <w:b/>
          <w:bCs/>
          <w:i/>
          <w:iCs/>
        </w:rPr>
      </w:pPr>
      <w:bookmarkStart w:id="98" w:name="_heading=h.vao9dpl6yw0m" w:colFirst="0" w:colLast="0"/>
      <w:bookmarkEnd w:id="98"/>
    </w:p>
    <w:p w14:paraId="4F37A2B9" w14:textId="5CF853B8" w:rsidR="006E28A0" w:rsidRPr="002A0BDB" w:rsidRDefault="006E28A0" w:rsidP="006E28A0">
      <w:pPr>
        <w:spacing w:line="360" w:lineRule="auto"/>
        <w:jc w:val="both"/>
        <w:rPr>
          <w:rFonts w:ascii="Arial" w:hAnsi="Arial" w:cs="Arial"/>
          <w:b/>
          <w:bCs/>
          <w:i/>
          <w:iCs/>
        </w:rPr>
      </w:pPr>
      <w:r w:rsidRPr="002A0BDB">
        <w:rPr>
          <w:rFonts w:ascii="Arial" w:hAnsi="Arial" w:cs="Arial"/>
          <w:b/>
          <w:bCs/>
          <w:i/>
          <w:iCs/>
        </w:rPr>
        <w:t xml:space="preserve">Theme 3: Translating molecular epidemiology findings into targeted cholera public health interventions </w:t>
      </w:r>
    </w:p>
    <w:p w14:paraId="2328288C" w14:textId="3DB09D33" w:rsidR="006E28A0" w:rsidRPr="002A0BDB" w:rsidRDefault="006E28A0" w:rsidP="006E28A0">
      <w:pPr>
        <w:spacing w:line="360" w:lineRule="auto"/>
        <w:jc w:val="both"/>
        <w:rPr>
          <w:rFonts w:ascii="Arial" w:hAnsi="Arial" w:cs="Arial"/>
        </w:rPr>
      </w:pPr>
      <w:r w:rsidRPr="002A0BDB">
        <w:rPr>
          <w:rFonts w:ascii="Arial" w:hAnsi="Arial" w:cs="Arial"/>
        </w:rPr>
        <w:t xml:space="preserve">Molecular epidemiology has been demonstrated to be critical in driving targeted intervention of cholera prevention and control through the enhancement of the environmental persistence and human-environment interaction. According to Islam </w:t>
      </w:r>
      <w:r w:rsidRPr="002A0BDB">
        <w:rPr>
          <w:rFonts w:ascii="Arial" w:hAnsi="Arial" w:cs="Arial"/>
          <w:i/>
          <w:iCs/>
        </w:rPr>
        <w:t>et al.</w:t>
      </w:r>
      <w:r w:rsidRPr="002A0BDB">
        <w:rPr>
          <w:rFonts w:ascii="Arial" w:hAnsi="Arial" w:cs="Arial"/>
        </w:rPr>
        <w:t xml:space="preserve"> (2021), Genomic population analysis of </w:t>
      </w:r>
      <w:r w:rsidRPr="002A0BDB">
        <w:rPr>
          <w:rFonts w:ascii="Arial" w:hAnsi="Arial" w:cs="Arial"/>
          <w:i/>
          <w:iCs/>
        </w:rPr>
        <w:t>Vibrio</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rPr>
        <w:t xml:space="preserve"> in aquatic reservoirs showed significant differences between cholera-endemic and non-endemic areas in Dhaka. Additionally, these differences have almost twice the mean environmental abundance than a cholera-free environment (2.30 x 105 vs. 1.25 x 105 gene copies per litre). This incident occurs mainly because of the prevalence of the pandemic-producing lineage, which represents about 60% of the isolates in the environment. Therefore, environmental genomic surveillance allows the systems of public health to focus on water purification, strengthening sanitation, and regular monitoring of the situation in the endemic areas of high population density. Altogether, this evidence indicates that the genomic population has the capability to inform geographically targeted areas to control cholera, measured by ranking the reservoirs with the greatest transmission potential.</w:t>
      </w:r>
    </w:p>
    <w:p w14:paraId="13B9D38C" w14:textId="3B8B81D3" w:rsidR="006E28A0" w:rsidRPr="002A0BDB" w:rsidRDefault="006E28A0" w:rsidP="006E28A0">
      <w:pPr>
        <w:spacing w:line="360" w:lineRule="auto"/>
        <w:jc w:val="both"/>
        <w:rPr>
          <w:rFonts w:ascii="Arial" w:hAnsi="Arial" w:cs="Arial"/>
        </w:rPr>
      </w:pPr>
      <w:r w:rsidRPr="002A0BDB">
        <w:rPr>
          <w:rFonts w:ascii="Arial" w:hAnsi="Arial" w:cs="Arial"/>
        </w:rPr>
        <w:t xml:space="preserve">Molecular findings also enhance the use of public health interventions when the findings are combined with other health system and policy-wide outbreak prevention strategies. Mohamed </w:t>
      </w:r>
      <w:r w:rsidRPr="002A0BDB">
        <w:rPr>
          <w:rFonts w:ascii="Arial" w:hAnsi="Arial" w:cs="Arial"/>
          <w:i/>
          <w:iCs/>
        </w:rPr>
        <w:t>et al.</w:t>
      </w:r>
      <w:r w:rsidRPr="002A0BDB">
        <w:rPr>
          <w:rFonts w:ascii="Arial" w:hAnsi="Arial" w:cs="Arial"/>
        </w:rPr>
        <w:t xml:space="preserve"> (2025) describes recent resurgences of cholera that occurred in the period of 2021-2023, with more than 1.3 million cases reported in more than 80 different countries. Among them, most of the cases are concentrated in areas with weak surveillance and water infrastructure. It was found that the early detection tools, predictive modelling, and integrated surveillance systems play a key role in enhancing outbreak preparedness when they are supported with </w:t>
      </w:r>
      <w:r w:rsidRPr="002A0BDB">
        <w:rPr>
          <w:rFonts w:ascii="Arial" w:hAnsi="Arial" w:cs="Arial"/>
        </w:rPr>
        <w:lastRenderedPageBreak/>
        <w:t xml:space="preserve">molecular evidence. Furthermore, the paper stressed on the effectiveness of prevention measures like water, sanitation, and hygiene (WASH) investments, oral cholera vaccines, and local interventions through risk profiling of the epidemiology. The ability of molecular epidemiology will be translated into </w:t>
      </w:r>
      <w:proofErr w:type="spellStart"/>
      <w:r w:rsidRPr="002A0BDB">
        <w:rPr>
          <w:rFonts w:ascii="Arial" w:hAnsi="Arial" w:cs="Arial"/>
        </w:rPr>
        <w:t>multisectoral</w:t>
      </w:r>
      <w:proofErr w:type="spellEnd"/>
      <w:r w:rsidRPr="002A0BDB">
        <w:rPr>
          <w:rFonts w:ascii="Arial" w:hAnsi="Arial" w:cs="Arial"/>
        </w:rPr>
        <w:t xml:space="preserve"> action in public health through the use of matchmaking on genomic surveillance by using early-warning systems and targeted vaccination campaigns. Additionally, it was demonstrated that the incorporation of molecular data into a ‘One Health framework’ advances the coordination among environmental, clinical, and policy arenas. Therefore, molecular epidemiology provides critical evidence to support the prioritisation of interventions in high-burden contexts and enhance national cholera preparedness and response strategies.</w:t>
      </w:r>
    </w:p>
    <w:p w14:paraId="5AF562D2"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Molecular characterisation of environmental isolates has also been demonstrated to give a direct contribution to intervention strategies involving antimicrobial resistance and outbreak control. Pal </w:t>
      </w:r>
      <w:r w:rsidRPr="002A0BDB">
        <w:rPr>
          <w:rFonts w:ascii="Arial" w:hAnsi="Arial" w:cs="Arial"/>
          <w:i/>
          <w:iCs/>
        </w:rPr>
        <w:t>et al.</w:t>
      </w:r>
      <w:r w:rsidRPr="002A0BDB">
        <w:rPr>
          <w:rFonts w:ascii="Arial" w:hAnsi="Arial" w:cs="Arial"/>
        </w:rPr>
        <w:t xml:space="preserve"> (2023) found that 85 environmental </w:t>
      </w:r>
      <w:r w:rsidRPr="002A0BDB">
        <w:rPr>
          <w:rFonts w:ascii="Arial" w:hAnsi="Arial" w:cs="Arial"/>
          <w:i/>
          <w:iCs/>
          <w:u w:val="single"/>
        </w:rPr>
        <w:t>V.</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isolates from water sources in Odisha have been continuously diverse by their genetics and had a high prevalence of virulent genes. These insights also describe that the virus had become more multidrug-resistant over time due to such genomic mutations. Additionally, it is noted that 20% of the non-O1/non-O139 isolates contained the RBFO1 gene, which suggests concealed epidemic potential in environmental reservoirs. Moreover, resistance-associated genes, such as </w:t>
      </w:r>
      <w:proofErr w:type="spellStart"/>
      <w:r w:rsidRPr="002A0BDB">
        <w:rPr>
          <w:rFonts w:ascii="Arial" w:hAnsi="Arial" w:cs="Arial"/>
        </w:rPr>
        <w:t>strB</w:t>
      </w:r>
      <w:proofErr w:type="spellEnd"/>
      <w:r w:rsidRPr="002A0BDB">
        <w:rPr>
          <w:rFonts w:ascii="Arial" w:hAnsi="Arial" w:cs="Arial"/>
        </w:rPr>
        <w:t xml:space="preserve">, dfrA1, </w:t>
      </w:r>
      <w:proofErr w:type="spellStart"/>
      <w:r w:rsidRPr="002A0BDB">
        <w:rPr>
          <w:rFonts w:ascii="Arial" w:hAnsi="Arial" w:cs="Arial"/>
        </w:rPr>
        <w:t>sulIII</w:t>
      </w:r>
      <w:proofErr w:type="spellEnd"/>
      <w:r w:rsidRPr="002A0BDB">
        <w:rPr>
          <w:rFonts w:ascii="Arial" w:hAnsi="Arial" w:cs="Arial"/>
        </w:rPr>
        <w:t xml:space="preserve">, and SXT, were identified as highly prevalent, especially those of the non-O1/non-O139 gene. These results justify the specific public health measures, such as periodic monitoring of molecular water sources and antimicrobial resistance to inform treatment guidelines during a cholera outbreak. Additionally, the persistent year genetically similar </w:t>
      </w:r>
      <w:proofErr w:type="spellStart"/>
      <w:r w:rsidRPr="002A0BDB">
        <w:rPr>
          <w:rFonts w:ascii="Arial" w:hAnsi="Arial" w:cs="Arial"/>
        </w:rPr>
        <w:t>pulsotypes</w:t>
      </w:r>
      <w:proofErr w:type="spellEnd"/>
      <w:r w:rsidRPr="002A0BDB">
        <w:rPr>
          <w:rFonts w:ascii="Arial" w:hAnsi="Arial" w:cs="Arial"/>
        </w:rPr>
        <w:t xml:space="preserve"> also suggest that outbreak-capable strains were long-term environmentally maintained and mutated. Therefore, implementation of molecular resistance profiling of the surveillance systems improves the accuracy of the reaction to outbreaks and promotes evidence-based antimicrobial stewardship in the areas of cholera-endemic areas.</w:t>
      </w:r>
    </w:p>
    <w:p w14:paraId="12DCFEA3" w14:textId="77777777" w:rsidR="006E28A0" w:rsidRPr="002A0BDB" w:rsidRDefault="006E28A0" w:rsidP="006E28A0">
      <w:pPr>
        <w:spacing w:line="360" w:lineRule="auto"/>
        <w:jc w:val="both"/>
        <w:rPr>
          <w:rFonts w:ascii="Arial" w:hAnsi="Arial" w:cs="Arial"/>
        </w:rPr>
      </w:pPr>
    </w:p>
    <w:p w14:paraId="43217FB7" w14:textId="2B858727" w:rsidR="006E28A0" w:rsidRPr="002A0BDB" w:rsidRDefault="006E28A0" w:rsidP="006E28A0">
      <w:pPr>
        <w:spacing w:line="360" w:lineRule="auto"/>
        <w:jc w:val="both"/>
        <w:rPr>
          <w:rFonts w:ascii="Arial" w:hAnsi="Arial" w:cs="Arial"/>
        </w:rPr>
      </w:pPr>
      <w:r w:rsidRPr="002A0BDB">
        <w:rPr>
          <w:rFonts w:ascii="Arial" w:hAnsi="Arial" w:cs="Arial"/>
        </w:rPr>
        <w:t xml:space="preserve">Entire-genome sequencing of clinical isolates also provides further evidence of the way molecular epidemiology can be translated into practical public health preventative measures. According to Vishal </w:t>
      </w:r>
      <w:proofErr w:type="spellStart"/>
      <w:r w:rsidRPr="002A0BDB">
        <w:rPr>
          <w:rFonts w:ascii="Arial" w:hAnsi="Arial" w:cs="Arial"/>
        </w:rPr>
        <w:t>Mevada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(2023), pan-genomic analysis on a multidrug-resistant </w:t>
      </w:r>
      <w:r w:rsidRPr="002A0BDB">
        <w:rPr>
          <w:rFonts w:ascii="Arial" w:hAnsi="Arial" w:cs="Arial"/>
          <w:i/>
          <w:iCs/>
          <w:u w:val="single"/>
        </w:rPr>
        <w:t>Vibrio</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O1 strain revealed a genome of about 4.1 million base pairs. It carries resistant genes that allow it to resist chloramphenicol, tetracycline, </w:t>
      </w:r>
      <w:proofErr w:type="spellStart"/>
      <w:r w:rsidRPr="002A0BDB">
        <w:rPr>
          <w:rFonts w:ascii="Arial" w:hAnsi="Arial" w:cs="Arial"/>
        </w:rPr>
        <w:t>sulfonamides</w:t>
      </w:r>
      <w:proofErr w:type="spellEnd"/>
      <w:r w:rsidRPr="002A0BDB">
        <w:rPr>
          <w:rFonts w:ascii="Arial" w:hAnsi="Arial" w:cs="Arial"/>
        </w:rPr>
        <w:t xml:space="preserve">, and trimethoprim. Additionally, there were 1,099 different sets of genes found in world isolates, which indicates the high level of genetic diversity and continuous mutation. Therefore, the genomic and pan-genomic studies incorporated in regular surveillance would significantly improve the efficiency </w:t>
      </w:r>
      <w:r w:rsidRPr="002A0BDB">
        <w:rPr>
          <w:rFonts w:ascii="Arial" w:hAnsi="Arial" w:cs="Arial"/>
        </w:rPr>
        <w:lastRenderedPageBreak/>
        <w:t>of cholera prevention, control and response. Cut this theme 3 discussion in half. You have a word count to consider.</w:t>
      </w:r>
    </w:p>
    <w:p w14:paraId="772D7AC6" w14:textId="77777777" w:rsidR="006E28A0" w:rsidRPr="002A0BDB" w:rsidRDefault="006E28A0" w:rsidP="006E28A0">
      <w:pPr>
        <w:spacing w:line="360" w:lineRule="auto"/>
        <w:jc w:val="both"/>
        <w:rPr>
          <w:rFonts w:ascii="Arial" w:hAnsi="Arial" w:cs="Arial"/>
        </w:rPr>
      </w:pPr>
    </w:p>
    <w:p w14:paraId="26CC0254" w14:textId="77777777" w:rsidR="006E28A0" w:rsidRPr="002A0BDB" w:rsidRDefault="006E28A0" w:rsidP="006E28A0">
      <w:pPr>
        <w:pStyle w:val="Heading2"/>
        <w:spacing w:line="360" w:lineRule="auto"/>
        <w:jc w:val="both"/>
        <w:rPr>
          <w:rFonts w:ascii="Arial" w:hAnsi="Arial" w:cs="Arial"/>
          <w:color w:val="auto"/>
          <w:sz w:val="22"/>
        </w:rPr>
      </w:pPr>
      <w:bookmarkStart w:id="99" w:name="_Toc220494162"/>
      <w:r w:rsidRPr="002A0BDB">
        <w:rPr>
          <w:rFonts w:ascii="Arial" w:hAnsi="Arial" w:cs="Arial"/>
          <w:color w:val="auto"/>
          <w:sz w:val="22"/>
        </w:rPr>
        <w:t>4.4. Summary of main findings</w:t>
      </w:r>
      <w:bookmarkEnd w:id="99"/>
      <w:r w:rsidRPr="002A0BDB">
        <w:rPr>
          <w:rFonts w:ascii="Arial" w:hAnsi="Arial" w:cs="Arial"/>
          <w:color w:val="auto"/>
          <w:sz w:val="22"/>
        </w:rPr>
        <w:t xml:space="preserve"> </w:t>
      </w:r>
    </w:p>
    <w:p w14:paraId="7B8228DA" w14:textId="77777777" w:rsidR="006E28A0" w:rsidRPr="002A0BDB" w:rsidRDefault="006E28A0" w:rsidP="006E28A0">
      <w:pPr>
        <w:spacing w:line="360" w:lineRule="auto"/>
        <w:jc w:val="both"/>
        <w:rPr>
          <w:rFonts w:ascii="Arial" w:hAnsi="Arial" w:cs="Arial"/>
        </w:rPr>
      </w:pPr>
    </w:p>
    <w:p w14:paraId="4B663951"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results show that molecular epidemiology is basic in learning, identifying, and managing the indirect transmission of cholera in combined scientific and population health strategies. </w:t>
      </w:r>
    </w:p>
    <w:p w14:paraId="2BB1B7A9" w14:textId="77777777" w:rsidR="006E28A0" w:rsidRPr="002A0BDB" w:rsidRDefault="006E28A0" w:rsidP="006E28A0">
      <w:pPr>
        <w:spacing w:line="360" w:lineRule="auto"/>
        <w:jc w:val="both"/>
        <w:rPr>
          <w:rFonts w:ascii="Arial" w:hAnsi="Arial" w:cs="Arial"/>
          <w:b/>
          <w:bCs/>
          <w:i/>
          <w:iCs/>
        </w:rPr>
      </w:pPr>
    </w:p>
    <w:p w14:paraId="5BDFA310" w14:textId="77777777" w:rsidR="006E28A0" w:rsidRPr="002A0BDB" w:rsidRDefault="006E28A0" w:rsidP="006E28A0">
      <w:pPr>
        <w:spacing w:line="360" w:lineRule="auto"/>
        <w:jc w:val="both"/>
        <w:rPr>
          <w:rFonts w:ascii="Arial" w:hAnsi="Arial" w:cs="Arial"/>
          <w:b/>
          <w:bCs/>
          <w:i/>
          <w:iCs/>
        </w:rPr>
      </w:pPr>
      <w:r w:rsidRPr="002A0BDB">
        <w:rPr>
          <w:rFonts w:ascii="Arial" w:hAnsi="Arial" w:cs="Arial"/>
          <w:b/>
          <w:bCs/>
          <w:i/>
          <w:iCs/>
        </w:rPr>
        <w:t>Key finding from Theme 1</w:t>
      </w:r>
    </w:p>
    <w:p w14:paraId="2D7F8065" w14:textId="77777777" w:rsidR="006E28A0" w:rsidRPr="002A0BDB" w:rsidRDefault="006E28A0" w:rsidP="006E28A0">
      <w:pPr>
        <w:spacing w:line="360" w:lineRule="auto"/>
        <w:jc w:val="both"/>
        <w:rPr>
          <w:rFonts w:ascii="Arial" w:hAnsi="Arial" w:cs="Arial"/>
        </w:rPr>
      </w:pPr>
    </w:p>
    <w:p w14:paraId="0F6D6588"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specialised molecular methods, such as </w:t>
      </w:r>
      <w:proofErr w:type="spellStart"/>
      <w:r w:rsidRPr="002A0BDB">
        <w:rPr>
          <w:rFonts w:ascii="Arial" w:hAnsi="Arial" w:cs="Arial"/>
        </w:rPr>
        <w:t>metagenomic</w:t>
      </w:r>
      <w:proofErr w:type="spellEnd"/>
      <w:r w:rsidRPr="002A0BDB">
        <w:rPr>
          <w:rFonts w:ascii="Arial" w:hAnsi="Arial" w:cs="Arial"/>
        </w:rPr>
        <w:t xml:space="preserve"> sequencing, whole-genome sequencing, dark-field microscopy, and genomic mechanism analysis, are very successful in identifying </w:t>
      </w:r>
      <w:r w:rsidRPr="002A0BDB">
        <w:rPr>
          <w:rFonts w:ascii="Arial" w:hAnsi="Arial" w:cs="Arial"/>
          <w:i/>
          <w:iCs/>
          <w:u w:val="single"/>
        </w:rPr>
        <w:t>Vibrio</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and determining its routes of transmission at early phases. It has been demonstrated that DNA </w:t>
      </w:r>
      <w:proofErr w:type="spellStart"/>
      <w:r w:rsidRPr="002A0BDB">
        <w:rPr>
          <w:rFonts w:ascii="Arial" w:hAnsi="Arial" w:cs="Arial"/>
        </w:rPr>
        <w:t>metagenomic</w:t>
      </w:r>
      <w:proofErr w:type="spellEnd"/>
      <w:r w:rsidRPr="002A0BDB">
        <w:rPr>
          <w:rFonts w:ascii="Arial" w:hAnsi="Arial" w:cs="Arial"/>
        </w:rPr>
        <w:t xml:space="preserve"> sequencing allows simultaneous profiling of virulence and antimicrobial resistance genes, which increases the likelihood of early outbreak detection and risk evaluation (Brumfield </w:t>
      </w:r>
      <w:r w:rsidRPr="002A0BDB">
        <w:rPr>
          <w:rFonts w:ascii="Arial" w:hAnsi="Arial" w:cs="Arial"/>
          <w:i/>
          <w:iCs/>
        </w:rPr>
        <w:t>et al.</w:t>
      </w:r>
      <w:r w:rsidRPr="002A0BDB">
        <w:rPr>
          <w:rFonts w:ascii="Arial" w:hAnsi="Arial" w:cs="Arial"/>
        </w:rPr>
        <w:t xml:space="preserve">, 2021). Moreover, whole-genome sequencing was discovered to determine the mobility of genetic elements related to antimicrobial resistance, and dark-field microscopy facilitated the initial diagnosis before confirming the culture (Chowdhury </w:t>
      </w:r>
      <w:r w:rsidRPr="002A0BDB">
        <w:rPr>
          <w:rFonts w:ascii="Arial" w:hAnsi="Arial" w:cs="Arial"/>
          <w:i/>
          <w:iCs/>
        </w:rPr>
        <w:t>et al.</w:t>
      </w:r>
      <w:r w:rsidRPr="002A0BDB">
        <w:rPr>
          <w:rFonts w:ascii="Arial" w:hAnsi="Arial" w:cs="Arial"/>
        </w:rPr>
        <w:t xml:space="preserve">, 2022). Molecular tools were also complemented by mathematical models and epidemiological frameworks, including the SIR model (Ebenezer </w:t>
      </w:r>
      <w:r w:rsidRPr="002A0BDB">
        <w:rPr>
          <w:rFonts w:ascii="Arial" w:hAnsi="Arial" w:cs="Arial"/>
          <w:i/>
          <w:iCs/>
        </w:rPr>
        <w:t>et al.</w:t>
      </w:r>
      <w:r w:rsidRPr="002A0BDB">
        <w:rPr>
          <w:rFonts w:ascii="Arial" w:hAnsi="Arial" w:cs="Arial"/>
        </w:rPr>
        <w:t xml:space="preserve">, 2025). That can be used to forecast transmission dynamics to support the value of the combination of molecular and theoretical methods in accurate surveillance of Cholera. </w:t>
      </w:r>
    </w:p>
    <w:p w14:paraId="72DCC6C7" w14:textId="77777777" w:rsidR="006E28A0" w:rsidRPr="002A0BDB" w:rsidRDefault="006E28A0" w:rsidP="006E28A0">
      <w:pPr>
        <w:spacing w:line="360" w:lineRule="auto"/>
        <w:jc w:val="both"/>
        <w:rPr>
          <w:rFonts w:ascii="Arial" w:hAnsi="Arial" w:cs="Arial"/>
        </w:rPr>
      </w:pPr>
    </w:p>
    <w:p w14:paraId="1AC2BF39"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It is observed that contaminated water sources act as a major channel in relevance to transmitting Vibrio </w:t>
      </w:r>
      <w:proofErr w:type="spellStart"/>
      <w:r w:rsidRPr="002A0BDB">
        <w:rPr>
          <w:rFonts w:ascii="Arial" w:hAnsi="Arial" w:cs="Arial"/>
        </w:rPr>
        <w:t>Cholerae</w:t>
      </w:r>
      <w:proofErr w:type="spellEnd"/>
      <w:r w:rsidRPr="002A0BDB">
        <w:rPr>
          <w:rFonts w:ascii="Arial" w:hAnsi="Arial" w:cs="Arial"/>
        </w:rPr>
        <w:t xml:space="preserve"> among a vast population in a specific environment. In turn, the implementation of molecular methods proved beneficial in detecting and examining the spreading routes of Vibrio </w:t>
      </w:r>
      <w:proofErr w:type="spellStart"/>
      <w:r w:rsidRPr="002A0BDB">
        <w:rPr>
          <w:rFonts w:ascii="Arial" w:hAnsi="Arial" w:cs="Arial"/>
        </w:rPr>
        <w:t>Cholerae</w:t>
      </w:r>
      <w:proofErr w:type="spellEnd"/>
      <w:r w:rsidRPr="002A0BDB">
        <w:rPr>
          <w:rFonts w:ascii="Arial" w:hAnsi="Arial" w:cs="Arial"/>
        </w:rPr>
        <w:t xml:space="preserve">. As per the findings of Brumfield </w:t>
      </w:r>
      <w:r w:rsidRPr="002A0BDB">
        <w:rPr>
          <w:rFonts w:ascii="Arial" w:hAnsi="Arial" w:cs="Arial"/>
          <w:i/>
          <w:iCs/>
        </w:rPr>
        <w:t xml:space="preserve">et al. </w:t>
      </w:r>
      <w:r w:rsidRPr="002A0BDB">
        <w:rPr>
          <w:rFonts w:ascii="Arial" w:hAnsi="Arial" w:cs="Arial"/>
        </w:rPr>
        <w:t xml:space="preserve">(2021), High-throughput Sequencing delivers crucial and accurate insights into the process that Vibrio </w:t>
      </w:r>
      <w:proofErr w:type="spellStart"/>
      <w:r w:rsidRPr="002A0BDB">
        <w:rPr>
          <w:rFonts w:ascii="Arial" w:hAnsi="Arial" w:cs="Arial"/>
        </w:rPr>
        <w:t>Cholerae</w:t>
      </w:r>
      <w:proofErr w:type="spellEnd"/>
      <w:r w:rsidRPr="002A0BDB">
        <w:rPr>
          <w:rFonts w:ascii="Arial" w:hAnsi="Arial" w:cs="Arial"/>
        </w:rPr>
        <w:t xml:space="preserve"> adopts to spread rapidly in the environment and the specific mechanisms by which Vibrio </w:t>
      </w:r>
      <w:proofErr w:type="spellStart"/>
      <w:r w:rsidRPr="002A0BDB">
        <w:rPr>
          <w:rFonts w:ascii="Arial" w:hAnsi="Arial" w:cs="Arial"/>
        </w:rPr>
        <w:t>Cholerae</w:t>
      </w:r>
      <w:proofErr w:type="spellEnd"/>
      <w:r w:rsidRPr="002A0BDB">
        <w:rPr>
          <w:rFonts w:ascii="Arial" w:hAnsi="Arial" w:cs="Arial"/>
        </w:rPr>
        <w:t xml:space="preserve"> are likely to cause severe health disorders. Additionally, the application of molecular techniques like High-throughput Sequencing is crucial in terms of monitoring disease outbreaks in real-time to further handle and overcome associated threats. On the </w:t>
      </w:r>
      <w:r w:rsidRPr="002A0BDB">
        <w:rPr>
          <w:rFonts w:ascii="Arial" w:hAnsi="Arial" w:cs="Arial"/>
        </w:rPr>
        <w:lastRenderedPageBreak/>
        <w:t xml:space="preserve">other hand, Chowdhury </w:t>
      </w:r>
      <w:r w:rsidRPr="002A0BDB">
        <w:rPr>
          <w:rFonts w:ascii="Arial" w:hAnsi="Arial" w:cs="Arial"/>
          <w:i/>
          <w:iCs/>
        </w:rPr>
        <w:t xml:space="preserve">et al. </w:t>
      </w:r>
      <w:r w:rsidRPr="002A0BDB">
        <w:rPr>
          <w:rFonts w:ascii="Arial" w:hAnsi="Arial" w:cs="Arial"/>
        </w:rPr>
        <w:t xml:space="preserve">(2022) found that an Early-warning Surveillance System combined with an improved laboratory culture capacity and dedicated healthcare facilities can be advantageous in detecting the spread of cholera cases. As a result, implementing Early-warning Surveillance Systems can prove beneficial in detecting the spreading routes of Vibrio </w:t>
      </w:r>
      <w:proofErr w:type="spellStart"/>
      <w:r w:rsidRPr="002A0BDB">
        <w:rPr>
          <w:rFonts w:ascii="Arial" w:hAnsi="Arial" w:cs="Arial"/>
        </w:rPr>
        <w:t>Cholerae</w:t>
      </w:r>
      <w:proofErr w:type="spellEnd"/>
      <w:r w:rsidRPr="002A0BDB">
        <w:rPr>
          <w:rFonts w:ascii="Arial" w:hAnsi="Arial" w:cs="Arial"/>
        </w:rPr>
        <w:t xml:space="preserve"> in a particular environment and make people aware in an effective way. Thus, implementing technological advancements seems to be another vital technique in terms of detecting the transmission routes of Vibrio </w:t>
      </w:r>
      <w:proofErr w:type="spellStart"/>
      <w:r w:rsidRPr="002A0BDB">
        <w:rPr>
          <w:rFonts w:ascii="Arial" w:hAnsi="Arial" w:cs="Arial"/>
        </w:rPr>
        <w:t>Cholerae</w:t>
      </w:r>
      <w:proofErr w:type="spellEnd"/>
      <w:r w:rsidRPr="002A0BDB">
        <w:rPr>
          <w:rFonts w:ascii="Arial" w:hAnsi="Arial" w:cs="Arial"/>
        </w:rPr>
        <w:t xml:space="preserve"> at an early stage.  </w:t>
      </w:r>
    </w:p>
    <w:p w14:paraId="3C2EBC28" w14:textId="77777777" w:rsidR="006E28A0" w:rsidRPr="002A0BDB" w:rsidRDefault="006E28A0" w:rsidP="006E28A0">
      <w:pPr>
        <w:spacing w:line="360" w:lineRule="auto"/>
        <w:jc w:val="both"/>
        <w:rPr>
          <w:rFonts w:ascii="Arial" w:hAnsi="Arial" w:cs="Arial"/>
        </w:rPr>
      </w:pPr>
    </w:p>
    <w:p w14:paraId="67F52B30"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application of effective technological and molecular techniques turned out to be beneficial in order to predict and identify the transmission procedures and routes of Vibrio </w:t>
      </w:r>
      <w:proofErr w:type="spellStart"/>
      <w:r w:rsidRPr="002A0BDB">
        <w:rPr>
          <w:rFonts w:ascii="Arial" w:hAnsi="Arial" w:cs="Arial"/>
        </w:rPr>
        <w:t>Cholerae</w:t>
      </w:r>
      <w:proofErr w:type="spellEnd"/>
      <w:r w:rsidRPr="002A0BDB">
        <w:rPr>
          <w:rFonts w:ascii="Arial" w:hAnsi="Arial" w:cs="Arial"/>
        </w:rPr>
        <w:t xml:space="preserve"> in the environment. However, the article by Ebenezer </w:t>
      </w:r>
      <w:r w:rsidRPr="002A0BDB">
        <w:rPr>
          <w:rFonts w:ascii="Arial" w:hAnsi="Arial" w:cs="Arial"/>
          <w:i/>
          <w:iCs/>
        </w:rPr>
        <w:t xml:space="preserve">et al. </w:t>
      </w:r>
      <w:r w:rsidRPr="002A0BDB">
        <w:rPr>
          <w:rFonts w:ascii="Arial" w:hAnsi="Arial" w:cs="Arial"/>
        </w:rPr>
        <w:t xml:space="preserve">(2025) identified that person-to-person transmission has been observed to be a major route for Vibrio </w:t>
      </w:r>
      <w:proofErr w:type="spellStart"/>
      <w:r w:rsidRPr="002A0BDB">
        <w:rPr>
          <w:rFonts w:ascii="Arial" w:hAnsi="Arial" w:cs="Arial"/>
        </w:rPr>
        <w:t>Cholerae</w:t>
      </w:r>
      <w:proofErr w:type="spellEnd"/>
      <w:r w:rsidRPr="002A0BDB">
        <w:rPr>
          <w:rFonts w:ascii="Arial" w:hAnsi="Arial" w:cs="Arial"/>
        </w:rPr>
        <w:t xml:space="preserve"> to transmit rapidly and in an uncontrollable manner. In this regard, appropriate and proactive public health measures are likely to be implemented in order to address the rapid spreading process of Vibrio </w:t>
      </w:r>
      <w:proofErr w:type="spellStart"/>
      <w:r w:rsidRPr="002A0BDB">
        <w:rPr>
          <w:rFonts w:ascii="Arial" w:hAnsi="Arial" w:cs="Arial"/>
        </w:rPr>
        <w:t>Cholerae</w:t>
      </w:r>
      <w:proofErr w:type="spellEnd"/>
      <w:r w:rsidRPr="002A0BDB">
        <w:rPr>
          <w:rFonts w:ascii="Arial" w:hAnsi="Arial" w:cs="Arial"/>
        </w:rPr>
        <w:t xml:space="preserve"> across any given environment or population. Apart from this, Chowdhury </w:t>
      </w:r>
      <w:r w:rsidRPr="002A0BDB">
        <w:rPr>
          <w:rFonts w:ascii="Arial" w:hAnsi="Arial" w:cs="Arial"/>
          <w:i/>
          <w:iCs/>
        </w:rPr>
        <w:t xml:space="preserve">et al. </w:t>
      </w:r>
      <w:r w:rsidRPr="002A0BDB">
        <w:rPr>
          <w:rFonts w:ascii="Arial" w:hAnsi="Arial" w:cs="Arial"/>
        </w:rPr>
        <w:t xml:space="preserve">(2022) observed that Biochemical methods and Immunochemical methods are likely to be proactively utilised in the context of characterising the Biochemical features of Vibrio </w:t>
      </w:r>
      <w:proofErr w:type="spellStart"/>
      <w:r w:rsidRPr="002A0BDB">
        <w:rPr>
          <w:rFonts w:ascii="Arial" w:hAnsi="Arial" w:cs="Arial"/>
        </w:rPr>
        <w:t>Cholerae</w:t>
      </w:r>
      <w:proofErr w:type="spellEnd"/>
      <w:r w:rsidRPr="002A0BDB">
        <w:rPr>
          <w:rFonts w:ascii="Arial" w:hAnsi="Arial" w:cs="Arial"/>
        </w:rPr>
        <w:t xml:space="preserve">. As a consequence, healthcare experts or organisations seem to put stress on using Biochemical and Immunochemical methods, apart from molecular techniques, in terms of detecting the process and route of </w:t>
      </w:r>
      <w:proofErr w:type="spellStart"/>
      <w:r w:rsidRPr="002A0BDB">
        <w:rPr>
          <w:rFonts w:ascii="Arial" w:hAnsi="Arial" w:cs="Arial"/>
        </w:rPr>
        <w:t>Virbio</w:t>
      </w:r>
      <w:proofErr w:type="spellEnd"/>
      <w:r w:rsidRPr="002A0BDB">
        <w:rPr>
          <w:rFonts w:ascii="Arial" w:hAnsi="Arial" w:cs="Arial"/>
        </w:rPr>
        <w:t xml:space="preserve"> </w:t>
      </w:r>
      <w:proofErr w:type="spellStart"/>
      <w:r w:rsidRPr="002A0BDB">
        <w:rPr>
          <w:rFonts w:ascii="Arial" w:hAnsi="Arial" w:cs="Arial"/>
        </w:rPr>
        <w:t>Cholerae’s</w:t>
      </w:r>
      <w:proofErr w:type="spellEnd"/>
      <w:r w:rsidRPr="002A0BDB">
        <w:rPr>
          <w:rFonts w:ascii="Arial" w:hAnsi="Arial" w:cs="Arial"/>
        </w:rPr>
        <w:t xml:space="preserve"> transmission in the environment. On the other hand, Ebenezer </w:t>
      </w:r>
      <w:r w:rsidRPr="002A0BDB">
        <w:rPr>
          <w:rFonts w:ascii="Arial" w:hAnsi="Arial" w:cs="Arial"/>
          <w:i/>
          <w:iCs/>
        </w:rPr>
        <w:t xml:space="preserve">et al. </w:t>
      </w:r>
      <w:r w:rsidRPr="002A0BDB">
        <w:rPr>
          <w:rFonts w:ascii="Arial" w:hAnsi="Arial" w:cs="Arial"/>
        </w:rPr>
        <w:t xml:space="preserve">(2025) found that the implementation of Mathematical Modelling is likely to be suitable and useful in relevance to predicting and comprehending the dynamics of Cholera transmission. Thus, the Mathematical Modelling technique is also valuable in detecting the spread of Vibrio </w:t>
      </w:r>
      <w:proofErr w:type="spellStart"/>
      <w:r w:rsidRPr="002A0BDB">
        <w:rPr>
          <w:rFonts w:ascii="Arial" w:hAnsi="Arial" w:cs="Arial"/>
        </w:rPr>
        <w:t>Cholerae</w:t>
      </w:r>
      <w:proofErr w:type="spellEnd"/>
      <w:r w:rsidRPr="002A0BDB">
        <w:rPr>
          <w:rFonts w:ascii="Arial" w:hAnsi="Arial" w:cs="Arial"/>
        </w:rPr>
        <w:t xml:space="preserve"> effectively. </w:t>
      </w:r>
    </w:p>
    <w:p w14:paraId="4386B66A" w14:textId="77777777" w:rsidR="006E28A0" w:rsidRPr="002A0BDB" w:rsidRDefault="006E28A0" w:rsidP="006E28A0">
      <w:pPr>
        <w:spacing w:line="360" w:lineRule="auto"/>
        <w:jc w:val="both"/>
        <w:rPr>
          <w:rFonts w:ascii="Arial" w:hAnsi="Arial" w:cs="Arial"/>
          <w:b/>
          <w:bCs/>
          <w:i/>
          <w:iCs/>
        </w:rPr>
      </w:pPr>
    </w:p>
    <w:p w14:paraId="2210E284" w14:textId="77777777" w:rsidR="006E28A0" w:rsidRPr="002A0BDB" w:rsidRDefault="006E28A0" w:rsidP="006E28A0">
      <w:pPr>
        <w:spacing w:line="360" w:lineRule="auto"/>
        <w:jc w:val="both"/>
        <w:rPr>
          <w:rFonts w:ascii="Arial" w:hAnsi="Arial" w:cs="Arial"/>
          <w:b/>
          <w:bCs/>
          <w:i/>
          <w:iCs/>
        </w:rPr>
      </w:pPr>
      <w:r w:rsidRPr="002A0BDB">
        <w:rPr>
          <w:rFonts w:ascii="Arial" w:hAnsi="Arial" w:cs="Arial"/>
          <w:b/>
          <w:bCs/>
          <w:i/>
          <w:iCs/>
        </w:rPr>
        <w:t>Key finding from Theme 2</w:t>
      </w:r>
    </w:p>
    <w:p w14:paraId="7CCEABE7" w14:textId="77777777" w:rsidR="006E28A0" w:rsidRPr="002A0BDB" w:rsidRDefault="006E28A0" w:rsidP="006E28A0">
      <w:pPr>
        <w:spacing w:line="360" w:lineRule="auto"/>
        <w:jc w:val="both"/>
        <w:rPr>
          <w:rFonts w:ascii="Arial" w:hAnsi="Arial" w:cs="Arial"/>
        </w:rPr>
      </w:pPr>
    </w:p>
    <w:p w14:paraId="1FA5C7D6" w14:textId="77777777" w:rsidR="006E28A0" w:rsidRPr="002A0BDB" w:rsidRDefault="006E28A0" w:rsidP="006E28A0">
      <w:pPr>
        <w:spacing w:line="360" w:lineRule="auto"/>
        <w:jc w:val="both"/>
        <w:rPr>
          <w:rFonts w:ascii="Arial" w:hAnsi="Arial" w:cs="Arial"/>
        </w:rPr>
      </w:pPr>
      <w:r w:rsidRPr="002A0BDB">
        <w:rPr>
          <w:rFonts w:ascii="Arial" w:hAnsi="Arial" w:cs="Arial"/>
        </w:rPr>
        <w:t>Environmental factors and infrastructural factors are the most important determinants of indirect transmission of cholera, especially the sources of water, sanitation systems, and vectors. The water and wastewater sources and household effluents were sources of environmental pollution as they provide an indirect exposure in informal settlements that are densely populated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The lack of proper sanitation infrastructure, open sewage and poor waste management were identified to contribute to faecal pollution of common water systems that perpetuated the long-term risk of cholera. The genetic diversity </w:t>
      </w:r>
      <w:r w:rsidRPr="002A0BDB">
        <w:rPr>
          <w:rFonts w:ascii="Arial" w:hAnsi="Arial" w:cs="Arial"/>
        </w:rPr>
        <w:lastRenderedPageBreak/>
        <w:t xml:space="preserve">and survival of </w:t>
      </w:r>
      <w:r w:rsidRPr="002A0BDB">
        <w:rPr>
          <w:rFonts w:ascii="Arial" w:hAnsi="Arial" w:cs="Arial"/>
          <w:i/>
          <w:iCs/>
          <w:u w:val="single"/>
        </w:rPr>
        <w:t>V.</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in aquatic environments, without toxic genes, were also supported by genomic analyses, which further confirmed that aquatic environments form evolutionary reservoirs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2025). Flood and disruption of water systems were found to be aggravated by the climate variability, such as El Niño-Southern Oscillation incidences (</w:t>
      </w:r>
      <w:proofErr w:type="spellStart"/>
      <w:r w:rsidRPr="002A0BDB">
        <w:rPr>
          <w:rFonts w:ascii="Arial" w:hAnsi="Arial" w:cs="Arial"/>
        </w:rPr>
        <w:t>Jin</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2025). That indirectly led to the dissemination of cholera due to sanitation failure. The pathogen also spreads across communities without direct human interaction, by using water flow and domestic flies, which are the pathways of vectors.</w:t>
      </w:r>
    </w:p>
    <w:p w14:paraId="35F02D97" w14:textId="77777777" w:rsidR="006E28A0" w:rsidRPr="002A0BDB" w:rsidRDefault="006E28A0" w:rsidP="006E28A0">
      <w:pPr>
        <w:spacing w:line="360" w:lineRule="auto"/>
        <w:jc w:val="both"/>
        <w:rPr>
          <w:rFonts w:ascii="Arial" w:hAnsi="Arial" w:cs="Arial"/>
        </w:rPr>
      </w:pPr>
    </w:p>
    <w:p w14:paraId="5A11D352"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Cholera is a transmitted disease which commonly spreads from indirect transmission, such as water sources, sanitation and other vector pathways. Sanitation is required in the social areas to ensure safety and support health wellbeing. Contaminated drinking water sourced from wells, tap or other polluted areas can spread the molecule of cholera and create the situation of vulnerability. As per the study by </w:t>
      </w:r>
      <w:proofErr w:type="spellStart"/>
      <w:r w:rsidRPr="002A0BDB">
        <w:rPr>
          <w:rFonts w:ascii="Arial" w:hAnsi="Arial" w:cs="Arial"/>
        </w:rPr>
        <w:t>Jin</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changing climate conditions and vegetation often affect the regular environmental situation and also lead to the issue of poor health conditions. The use of contaminated water in the vegetation can raise the scope of spreading cholera in a large population. In countries, such as Asia, maritime content and Australia the cases of indirect transmission are increasing for lack of awareness and proactive health mechanisms. In such areas urgency is strongly required among the government and healthcare bodies to control the severity level of cholera from the sources. On the contrary, </w:t>
      </w:r>
      <w:proofErr w:type="spellStart"/>
      <w:r w:rsidRPr="002A0BDB">
        <w:rPr>
          <w:rFonts w:ascii="Arial" w:hAnsi="Arial" w:cs="Arial"/>
        </w:rPr>
        <w:t>Lotoux</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(2022) added that due to </w:t>
      </w:r>
      <w:proofErr w:type="spellStart"/>
      <w:r w:rsidRPr="002A0BDB">
        <w:rPr>
          <w:rFonts w:ascii="Arial" w:hAnsi="Arial" w:cs="Arial"/>
        </w:rPr>
        <w:t>Listeriosis</w:t>
      </w:r>
      <w:proofErr w:type="spellEnd"/>
      <w:r w:rsidRPr="002A0BDB">
        <w:rPr>
          <w:rFonts w:ascii="Arial" w:hAnsi="Arial" w:cs="Arial"/>
        </w:rPr>
        <w:t xml:space="preserve"> a several numbers of people are getting hospitalised due to lack of safety act and awareness in the societal conditions. Regarding this, maintaining sanitation is necessary on food, drainage and vegetation systems to avoid the cases of cholera in future.</w:t>
      </w:r>
    </w:p>
    <w:p w14:paraId="78E4C5FB" w14:textId="77777777" w:rsidR="006E28A0" w:rsidRPr="002A0BDB" w:rsidRDefault="006E28A0" w:rsidP="006E28A0">
      <w:pPr>
        <w:spacing w:line="360" w:lineRule="auto"/>
        <w:jc w:val="both"/>
        <w:rPr>
          <w:rFonts w:ascii="Arial" w:hAnsi="Arial" w:cs="Arial"/>
        </w:rPr>
      </w:pPr>
    </w:p>
    <w:p w14:paraId="7B8C1C2D"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Poor sanitation in the regular surface areas lead to the issue of defecation and inadequate waste management practices increase the scope of water contamination. In the underdeveloped and developing countries, the cases of contamination from water and lack of waste management is very high. Regarding this, the molecular factors existing in the environment are widely getting </w:t>
      </w:r>
      <w:proofErr w:type="spellStart"/>
      <w:r w:rsidRPr="002A0BDB">
        <w:rPr>
          <w:rFonts w:ascii="Arial" w:hAnsi="Arial" w:cs="Arial"/>
        </w:rPr>
        <w:t>spreaded</w:t>
      </w:r>
      <w:proofErr w:type="spellEnd"/>
      <w:r w:rsidRPr="002A0BDB">
        <w:rPr>
          <w:rFonts w:ascii="Arial" w:hAnsi="Arial" w:cs="Arial"/>
        </w:rPr>
        <w:t xml:space="preserve"> in the </w:t>
      </w:r>
      <w:proofErr w:type="spellStart"/>
      <w:r w:rsidRPr="002A0BDB">
        <w:rPr>
          <w:rFonts w:ascii="Arial" w:hAnsi="Arial" w:cs="Arial"/>
        </w:rPr>
        <w:t>unsanitised</w:t>
      </w:r>
      <w:proofErr w:type="spellEnd"/>
      <w:r w:rsidRPr="002A0BDB">
        <w:rPr>
          <w:rFonts w:ascii="Arial" w:hAnsi="Arial" w:cs="Arial"/>
        </w:rPr>
        <w:t xml:space="preserve"> places. The study of </w:t>
      </w:r>
      <w:proofErr w:type="spellStart"/>
      <w:r w:rsidRPr="002A0BDB">
        <w:rPr>
          <w:rFonts w:ascii="Arial" w:hAnsi="Arial" w:cs="Arial"/>
        </w:rPr>
        <w:t>Lotoux</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(2022) identified that inadequate waste management practices on water resources and food affects the infrastructure and causes outbreaks. Regarding this, the scope of higher contamination rises and a large group of population are facing health risks. Interventions through the way of latrines and waste disposal are majorly leading towards the case of outbreaks in the urban areas. Polluted areas often transmit contaminated water in the environment which carry the molecule of cholera and affect the health wellbeing of the </w:t>
      </w:r>
      <w:r w:rsidRPr="002A0BDB">
        <w:rPr>
          <w:rFonts w:ascii="Arial" w:hAnsi="Arial" w:cs="Arial"/>
        </w:rPr>
        <w:lastRenderedPageBreak/>
        <w:t xml:space="preserve">common people living in the surrounding lands. As identified by </w:t>
      </w:r>
      <w:proofErr w:type="spellStart"/>
      <w:r w:rsidRPr="002A0BDB">
        <w:rPr>
          <w:rFonts w:ascii="Arial" w:hAnsi="Arial" w:cs="Arial"/>
        </w:rPr>
        <w:t>Jin</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in the countries, such as Asia, under-developed or slum areas mostly face issues of indirect transmission due to lack of sanitation and care approach. This can contribute in generating value and reducing the severity level of the transmission cases across the world.</w:t>
      </w:r>
    </w:p>
    <w:p w14:paraId="4921DD10" w14:textId="77777777" w:rsidR="006E28A0" w:rsidRPr="002A0BDB" w:rsidRDefault="006E28A0" w:rsidP="006E28A0">
      <w:pPr>
        <w:spacing w:line="360" w:lineRule="auto"/>
        <w:jc w:val="both"/>
        <w:rPr>
          <w:rFonts w:ascii="Arial" w:hAnsi="Arial" w:cs="Arial"/>
        </w:rPr>
      </w:pPr>
    </w:p>
    <w:p w14:paraId="332A8C40" w14:textId="7FFFF891" w:rsidR="006E28A0" w:rsidRPr="002A0BDB" w:rsidRDefault="006E28A0" w:rsidP="006E28A0">
      <w:pPr>
        <w:spacing w:line="360" w:lineRule="auto"/>
        <w:jc w:val="both"/>
        <w:rPr>
          <w:rFonts w:ascii="Arial" w:hAnsi="Arial" w:cs="Arial"/>
        </w:rPr>
      </w:pPr>
      <w:r w:rsidRPr="002A0BDB">
        <w:rPr>
          <w:rFonts w:ascii="Arial" w:hAnsi="Arial" w:cs="Arial"/>
        </w:rPr>
        <w:t xml:space="preserve">Vector pathways also play a significant role in the contamination of resources as they directly carry the molecules and cause an outbreak. It has been identified that vector pathways are a direct way of spreading cholera viruses through the domestic flies from </w:t>
      </w:r>
      <w:r w:rsidR="00B933CE" w:rsidRPr="002A0BDB">
        <w:rPr>
          <w:rFonts w:ascii="Arial" w:hAnsi="Arial" w:cs="Arial"/>
        </w:rPr>
        <w:t>faeces</w:t>
      </w:r>
      <w:r w:rsidRPr="002A0BDB">
        <w:rPr>
          <w:rFonts w:ascii="Arial" w:hAnsi="Arial" w:cs="Arial"/>
        </w:rPr>
        <w:t xml:space="preserve"> to food or water due to severe outbreaks. As per the study by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in Kenya cholera is considered as a severe public health challenge due to lack of prevention control and below the standards health service qualities. Along with this, the current research also identified that places, such as Uganda, Tanzania, and Haiti are dealing with such issues which are negatively affecting the health conditions of the common people due to clinical isolates. For example, in 1961 countries of Africa including Zambia, Zimbabwe, Tanzania, and Uganda faced a major severity level and people loss due to the cause of cholera. On the contrary, </w:t>
      </w:r>
      <w:proofErr w:type="spellStart"/>
      <w:r w:rsidRPr="002A0BDB">
        <w:rPr>
          <w:rFonts w:ascii="Arial" w:hAnsi="Arial" w:cs="Arial"/>
        </w:rPr>
        <w:t>Jin</w:t>
      </w:r>
      <w:proofErr w:type="spellEnd"/>
      <w:r w:rsidRPr="002A0BDB">
        <w:rPr>
          <w:rFonts w:ascii="Arial" w:hAnsi="Arial" w:cs="Arial"/>
        </w:rPr>
        <w:t xml:space="preserve"> </w:t>
      </w:r>
      <w:r w:rsidRPr="002A0BDB">
        <w:rPr>
          <w:rFonts w:ascii="Arial" w:hAnsi="Arial" w:cs="Arial"/>
          <w:i/>
        </w:rPr>
        <w:t>et al.</w:t>
      </w:r>
      <w:r w:rsidRPr="002A0BDB">
        <w:rPr>
          <w:rFonts w:ascii="Arial" w:hAnsi="Arial" w:cs="Arial"/>
        </w:rPr>
        <w:t xml:space="preserve"> (2025) identified that poor vegetation in the global areas due to the use of excessive chemicals are affecting the social and health conditions. From the areas of vegetation, contaminated or polluted water spreads to the water bodies and lands which raise the risk of health hazards in the societal areas. From the waste areas flies carry bacteria and virus to the foods and other surfaces which directly transmit the scope of cholera issue among the populations. Regarding this waste management practices with proactive action is required to control the cases of transmission and reduce its severity level as well. Hence, in future support of society and government to the healthcare organisation are strongly required in improving the cases of health issues and ensure health safety as well.</w:t>
      </w:r>
    </w:p>
    <w:p w14:paraId="02533A23" w14:textId="77777777" w:rsidR="006E28A0" w:rsidRPr="002A0BDB" w:rsidRDefault="006E28A0" w:rsidP="006E28A0">
      <w:pPr>
        <w:spacing w:line="360" w:lineRule="auto"/>
        <w:jc w:val="both"/>
        <w:rPr>
          <w:rFonts w:ascii="Arial" w:hAnsi="Arial" w:cs="Arial"/>
          <w:b/>
          <w:bCs/>
          <w:i/>
          <w:iCs/>
        </w:rPr>
      </w:pPr>
    </w:p>
    <w:p w14:paraId="4DE9FDBF" w14:textId="77777777" w:rsidR="006E28A0" w:rsidRPr="002A0BDB" w:rsidRDefault="006E28A0" w:rsidP="006E28A0">
      <w:pPr>
        <w:spacing w:line="360" w:lineRule="auto"/>
        <w:jc w:val="both"/>
        <w:rPr>
          <w:rFonts w:ascii="Arial" w:hAnsi="Arial" w:cs="Arial"/>
          <w:b/>
          <w:bCs/>
          <w:i/>
          <w:iCs/>
        </w:rPr>
      </w:pPr>
      <w:r w:rsidRPr="002A0BDB">
        <w:rPr>
          <w:rFonts w:ascii="Arial" w:hAnsi="Arial" w:cs="Arial"/>
          <w:b/>
          <w:bCs/>
          <w:i/>
          <w:iCs/>
        </w:rPr>
        <w:t>Key finding from Theme 3</w:t>
      </w:r>
    </w:p>
    <w:p w14:paraId="24B86899" w14:textId="77777777" w:rsidR="006E28A0" w:rsidRPr="002A0BDB" w:rsidRDefault="006E28A0" w:rsidP="006E28A0">
      <w:pPr>
        <w:spacing w:line="360" w:lineRule="auto"/>
        <w:jc w:val="both"/>
        <w:rPr>
          <w:rFonts w:ascii="Arial" w:hAnsi="Arial" w:cs="Arial"/>
        </w:rPr>
      </w:pPr>
    </w:p>
    <w:p w14:paraId="519188C0" w14:textId="77777777" w:rsidR="006E28A0" w:rsidRPr="002A0BDB" w:rsidRDefault="006E28A0" w:rsidP="006E28A0">
      <w:pPr>
        <w:spacing w:line="360" w:lineRule="auto"/>
        <w:jc w:val="both"/>
        <w:rPr>
          <w:rFonts w:ascii="Arial" w:hAnsi="Arial" w:cs="Arial"/>
        </w:rPr>
      </w:pPr>
      <w:r w:rsidRPr="002A0BDB">
        <w:rPr>
          <w:rFonts w:ascii="Arial" w:hAnsi="Arial" w:cs="Arial"/>
        </w:rPr>
        <w:t xml:space="preserve">The translation of molecular epidemiological findings into specific public health interventions to ensure successful cholera prevention and control. The environmental abundance of pandemic </w:t>
      </w:r>
      <w:r w:rsidRPr="002A0BDB">
        <w:rPr>
          <w:rFonts w:ascii="Arial" w:hAnsi="Arial" w:cs="Arial"/>
          <w:i/>
          <w:iCs/>
          <w:u w:val="single"/>
        </w:rPr>
        <w:t>V.</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lineages was found to be more than 10 times higher in endemic areas by genomic population studies (Islam </w:t>
      </w:r>
      <w:r w:rsidRPr="002A0BDB">
        <w:rPr>
          <w:rFonts w:ascii="Arial" w:hAnsi="Arial" w:cs="Arial"/>
          <w:i/>
          <w:iCs/>
        </w:rPr>
        <w:t>et al.</w:t>
      </w:r>
      <w:r w:rsidRPr="002A0BDB">
        <w:rPr>
          <w:rFonts w:ascii="Arial" w:hAnsi="Arial" w:cs="Arial"/>
        </w:rPr>
        <w:t xml:space="preserve">, 2021). These studies justified water treatment and sanitation interventions based on geographical priorities. Combining molecular surveillance with early-warning systems, WASH measures, oral cholera immunisation, and One Health frameworks was also revealed to improve the preparedness and response to outbreaks </w:t>
      </w:r>
      <w:r w:rsidRPr="002A0BDB">
        <w:rPr>
          <w:rFonts w:ascii="Arial" w:hAnsi="Arial" w:cs="Arial"/>
        </w:rPr>
        <w:lastRenderedPageBreak/>
        <w:t xml:space="preserve">(Mohamed </w:t>
      </w:r>
      <w:r w:rsidRPr="002A0BDB">
        <w:rPr>
          <w:rFonts w:ascii="Arial" w:hAnsi="Arial" w:cs="Arial"/>
          <w:i/>
          <w:iCs/>
        </w:rPr>
        <w:t>et al.</w:t>
      </w:r>
      <w:r w:rsidRPr="002A0BDB">
        <w:rPr>
          <w:rFonts w:ascii="Arial" w:hAnsi="Arial" w:cs="Arial"/>
        </w:rPr>
        <w:t xml:space="preserve">, 2025). Additionally, these surveillance efforts were done especially in high-burden environments with a poor infrastructure. Worldwide antimicrobial resistance and secret epidemic potential were identified through molecular characterisation of environmental and clinical isolates (Pal </w:t>
      </w:r>
      <w:r w:rsidRPr="002A0BDB">
        <w:rPr>
          <w:rFonts w:ascii="Arial" w:hAnsi="Arial" w:cs="Arial"/>
          <w:i/>
          <w:iCs/>
        </w:rPr>
        <w:t>et al.</w:t>
      </w:r>
      <w:r w:rsidRPr="002A0BDB">
        <w:rPr>
          <w:rFonts w:ascii="Arial" w:hAnsi="Arial" w:cs="Arial"/>
        </w:rPr>
        <w:t xml:space="preserve">, 2023). These support the routine monitoring of resistance to inform treatment guidelines and stewardship programs (Vishal </w:t>
      </w:r>
      <w:proofErr w:type="spellStart"/>
      <w:r w:rsidRPr="002A0BDB">
        <w:rPr>
          <w:rFonts w:ascii="Arial" w:hAnsi="Arial" w:cs="Arial"/>
        </w:rPr>
        <w:t>Mevada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2023). Altogether, these findings describe that integrating molecular tools with environmental, climatic, and health-system interventions has a significant contribution to enhancing surveillance, prevention and control measures in cholera prevention.</w:t>
      </w:r>
    </w:p>
    <w:p w14:paraId="57381F6A" w14:textId="77777777" w:rsidR="006E28A0" w:rsidRPr="002A0BDB" w:rsidRDefault="006E28A0" w:rsidP="006E28A0">
      <w:pPr>
        <w:pStyle w:val="Heading2"/>
        <w:spacing w:line="360" w:lineRule="auto"/>
        <w:jc w:val="both"/>
        <w:rPr>
          <w:rFonts w:ascii="Arial" w:hAnsi="Arial" w:cs="Arial"/>
          <w:color w:val="auto"/>
          <w:sz w:val="22"/>
        </w:rPr>
      </w:pPr>
      <w:bookmarkStart w:id="100" w:name="_Toc220494163"/>
      <w:r w:rsidRPr="002A0BDB">
        <w:rPr>
          <w:rFonts w:ascii="Arial" w:hAnsi="Arial" w:cs="Arial"/>
          <w:color w:val="auto"/>
          <w:sz w:val="22"/>
        </w:rPr>
        <w:t>4.5 Chapter Summary</w:t>
      </w:r>
      <w:bookmarkEnd w:id="100"/>
      <w:r w:rsidRPr="002A0BDB">
        <w:rPr>
          <w:rFonts w:ascii="Arial" w:hAnsi="Arial" w:cs="Arial"/>
          <w:color w:val="auto"/>
          <w:sz w:val="22"/>
        </w:rPr>
        <w:t xml:space="preserve"> </w:t>
      </w:r>
    </w:p>
    <w:p w14:paraId="1F1A1467" w14:textId="261B92CA" w:rsidR="006E28A0" w:rsidRPr="002A0BDB" w:rsidRDefault="006E28A0" w:rsidP="006E28A0">
      <w:pPr>
        <w:tabs>
          <w:tab w:val="left" w:pos="945"/>
        </w:tabs>
        <w:spacing w:line="360" w:lineRule="auto"/>
        <w:jc w:val="both"/>
        <w:rPr>
          <w:rFonts w:ascii="Arial" w:hAnsi="Arial" w:cs="Arial"/>
        </w:rPr>
      </w:pPr>
      <w:r w:rsidRPr="002A0BDB">
        <w:rPr>
          <w:rFonts w:ascii="Arial" w:hAnsi="Arial" w:cs="Arial"/>
        </w:rPr>
        <w:t xml:space="preserve">This chapter summarised the evidence that proved that molecular epidemiology is key in detecting, comprehending, and managing indirect cholera transmission. High-tech molecular techniques allowed the discovery of the pathways of early transmission. However, indirect transmission was enhanced by environmental and infrastructure-integrated conditions, such as unsafe water, deplorable hygiene, and the changeability of weather. The combination of molecular results with community health measures enhanced the surveillance, outbreak preparedness, antimicrobial stewardship, and focused prevention to reinforce overall cholera control. </w:t>
      </w:r>
    </w:p>
    <w:p w14:paraId="18194F8F" w14:textId="40914CB2" w:rsidR="009F64C5" w:rsidRPr="002A0BDB" w:rsidRDefault="009F64C5">
      <w:pPr>
        <w:spacing w:after="0"/>
        <w:rPr>
          <w:rFonts w:asciiTheme="minorBidi" w:hAnsiTheme="minorBidi"/>
        </w:rPr>
      </w:pPr>
      <w:r w:rsidRPr="002A0BDB">
        <w:rPr>
          <w:rFonts w:asciiTheme="minorBidi" w:eastAsia="Calibri" w:hAnsiTheme="minorBidi"/>
        </w:rPr>
        <w:tab/>
      </w:r>
      <w:r w:rsidRPr="002A0BDB">
        <w:rPr>
          <w:rFonts w:asciiTheme="minorBidi" w:eastAsia="Times New Roman" w:hAnsiTheme="minorBidi"/>
          <w:b/>
        </w:rPr>
        <w:t xml:space="preserve"> </w:t>
      </w:r>
    </w:p>
    <w:p w14:paraId="6F2446E6" w14:textId="77777777" w:rsidR="009706D0" w:rsidRPr="002A0BDB" w:rsidRDefault="009706D0">
      <w:pPr>
        <w:rPr>
          <w:rFonts w:asciiTheme="minorBidi" w:eastAsia="Times New Roman" w:hAnsiTheme="minorBidi"/>
          <w:b/>
          <w:sz w:val="24"/>
        </w:rPr>
      </w:pPr>
      <w:r w:rsidRPr="002A0BDB">
        <w:rPr>
          <w:rFonts w:asciiTheme="minorBidi" w:hAnsiTheme="minorBidi"/>
        </w:rPr>
        <w:br w:type="page"/>
      </w:r>
    </w:p>
    <w:p w14:paraId="1E0DD3AE" w14:textId="14EC5F70" w:rsidR="009F64C5" w:rsidRPr="002A0BDB" w:rsidRDefault="00DD7AA5">
      <w:pPr>
        <w:pStyle w:val="Heading1"/>
        <w:ind w:left="12" w:right="3"/>
        <w:rPr>
          <w:rFonts w:asciiTheme="minorBidi" w:hAnsiTheme="minorBidi" w:cstheme="minorBidi"/>
          <w:color w:val="auto"/>
        </w:rPr>
      </w:pPr>
      <w:bookmarkStart w:id="101" w:name="_Toc220498172"/>
      <w:r w:rsidRPr="002A0BDB">
        <w:rPr>
          <w:rFonts w:asciiTheme="minorBidi" w:hAnsiTheme="minorBidi" w:cstheme="minorBidi"/>
          <w:color w:val="auto"/>
        </w:rPr>
        <w:lastRenderedPageBreak/>
        <w:t xml:space="preserve">Chapter 5: </w:t>
      </w:r>
      <w:r w:rsidR="009F64C5" w:rsidRPr="002A0BDB">
        <w:rPr>
          <w:rFonts w:asciiTheme="minorBidi" w:hAnsiTheme="minorBidi" w:cstheme="minorBidi"/>
          <w:color w:val="auto"/>
        </w:rPr>
        <w:t>Discussion</w:t>
      </w:r>
      <w:bookmarkEnd w:id="101"/>
      <w:r w:rsidR="009F64C5" w:rsidRPr="002A0BDB">
        <w:rPr>
          <w:rFonts w:asciiTheme="minorBidi" w:hAnsiTheme="minorBidi" w:cstheme="minorBidi"/>
          <w:color w:val="auto"/>
        </w:rPr>
        <w:t xml:space="preserve"> </w:t>
      </w:r>
    </w:p>
    <w:p w14:paraId="137E6C91" w14:textId="77777777" w:rsidR="009F64C5" w:rsidRPr="002A0BDB" w:rsidRDefault="009F64C5">
      <w:pPr>
        <w:spacing w:after="254"/>
        <w:rPr>
          <w:rFonts w:asciiTheme="minorBidi" w:hAnsiTheme="minorBidi"/>
        </w:rPr>
      </w:pPr>
      <w:r w:rsidRPr="002A0BDB">
        <w:rPr>
          <w:rFonts w:asciiTheme="minorBidi" w:hAnsiTheme="minorBidi"/>
        </w:rPr>
        <w:t xml:space="preserve"> </w:t>
      </w:r>
    </w:p>
    <w:p w14:paraId="734862F6" w14:textId="77777777" w:rsidR="00F64A09" w:rsidRPr="002A0BDB" w:rsidRDefault="00F64A09" w:rsidP="00F64A09">
      <w:pPr>
        <w:pStyle w:val="Heading2"/>
        <w:spacing w:line="360" w:lineRule="auto"/>
        <w:jc w:val="both"/>
        <w:rPr>
          <w:rFonts w:ascii="Arial" w:hAnsi="Arial" w:cs="Arial"/>
          <w:color w:val="auto"/>
          <w:sz w:val="22"/>
        </w:rPr>
      </w:pPr>
      <w:bookmarkStart w:id="102" w:name="_Toc220494165"/>
      <w:r w:rsidRPr="002A0BDB">
        <w:rPr>
          <w:rFonts w:ascii="Arial" w:hAnsi="Arial" w:cs="Arial"/>
          <w:color w:val="auto"/>
          <w:sz w:val="22"/>
        </w:rPr>
        <w:t>5.1 Introduction</w:t>
      </w:r>
      <w:bookmarkEnd w:id="102"/>
      <w:r w:rsidRPr="002A0BDB">
        <w:rPr>
          <w:rFonts w:ascii="Arial" w:hAnsi="Arial" w:cs="Arial"/>
          <w:color w:val="auto"/>
          <w:sz w:val="22"/>
        </w:rPr>
        <w:t xml:space="preserve"> </w:t>
      </w:r>
    </w:p>
    <w:p w14:paraId="3B097F96" w14:textId="77777777" w:rsidR="00F64A09" w:rsidRPr="002A0BDB" w:rsidRDefault="00F64A09" w:rsidP="00F64A09">
      <w:pPr>
        <w:spacing w:line="360" w:lineRule="auto"/>
        <w:jc w:val="both"/>
        <w:rPr>
          <w:rFonts w:ascii="Arial" w:hAnsi="Arial" w:cs="Arial"/>
        </w:rPr>
      </w:pPr>
    </w:p>
    <w:p w14:paraId="76708005"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In this chapter, the most important findings are critically discussed in comparison to the existing literature. The competitive analysis assesses the contribution of molecular epidemiology, environmental determinants, and the role of public health interventions to prevent and control the indirect transmission of cholera. The convergent and divergent areas of the dissertation and expanding spheres of existing knowledge are analysed in a systematic way in this chapter. This chapter also discusses the practical implications and strengths of the research. Moreover, the methodological limitation of the research signifies the necessity of further research that will open a versatile approach in this chapter. </w:t>
      </w:r>
    </w:p>
    <w:p w14:paraId="54EC3A8C" w14:textId="77777777" w:rsidR="00F64A09" w:rsidRPr="002A0BDB" w:rsidRDefault="00F64A09" w:rsidP="00F64A09">
      <w:pPr>
        <w:pStyle w:val="Heading2"/>
        <w:spacing w:line="360" w:lineRule="auto"/>
        <w:jc w:val="both"/>
        <w:rPr>
          <w:rFonts w:ascii="Arial" w:hAnsi="Arial" w:cs="Arial"/>
          <w:color w:val="auto"/>
          <w:sz w:val="22"/>
        </w:rPr>
      </w:pPr>
      <w:bookmarkStart w:id="103" w:name="_Toc220494166"/>
      <w:r w:rsidRPr="002A0BDB">
        <w:rPr>
          <w:rFonts w:ascii="Arial" w:hAnsi="Arial" w:cs="Arial"/>
          <w:color w:val="auto"/>
          <w:sz w:val="22"/>
        </w:rPr>
        <w:t>5.2 Discussion</w:t>
      </w:r>
      <w:bookmarkEnd w:id="103"/>
    </w:p>
    <w:p w14:paraId="058EFB15" w14:textId="77777777" w:rsidR="00F64A09" w:rsidRPr="002A0BDB" w:rsidRDefault="00F64A09" w:rsidP="00F64A09">
      <w:pPr>
        <w:spacing w:line="360" w:lineRule="auto"/>
        <w:jc w:val="both"/>
        <w:rPr>
          <w:rFonts w:ascii="Arial" w:hAnsi="Arial" w:cs="Arial"/>
        </w:rPr>
      </w:pPr>
    </w:p>
    <w:p w14:paraId="59430F85"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The result shows that the process of indirect transmission of cholera is complex and relies on the interaction of molecular mechanisms, environmental reservoirs and responses of the public health systems. High-tech molecular technology proved beneficial to further reduce early detection and tracing of the transmission process. However, unsafe water sources, poor sanitation, and climatic variability contributed to the environmental sustainability of </w:t>
      </w:r>
      <w:r w:rsidRPr="002A0BDB">
        <w:rPr>
          <w:rFonts w:ascii="Arial" w:hAnsi="Arial" w:cs="Arial"/>
          <w:i/>
          <w:iCs/>
        </w:rPr>
        <w:t>Vibrio</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rPr>
        <w:t xml:space="preserve">. Additionally, the transformation of molecular evidence into specific health interventions enhanced the preparedness for an outbreak, antimicrobial stewardship and surveillance precision. In comparison to the available literature, the results contribute to the current scientific knowledge and simultaneously expand the evidence by using genomic data with the help of WASH, One Health, and early-warning systems. Altogether, the results signify that effective prevention and control of indirect cholera transmission requires the integrated use of molecular-environmental surveillance. </w:t>
      </w:r>
    </w:p>
    <w:p w14:paraId="7CB758AC" w14:textId="77777777" w:rsidR="00F64A09" w:rsidRPr="002A0BDB" w:rsidRDefault="00F64A09" w:rsidP="00F64A09">
      <w:pPr>
        <w:spacing w:line="360" w:lineRule="auto"/>
        <w:jc w:val="both"/>
        <w:rPr>
          <w:rFonts w:ascii="Arial" w:hAnsi="Arial" w:cs="Arial"/>
        </w:rPr>
      </w:pPr>
    </w:p>
    <w:p w14:paraId="20D1CC40" w14:textId="77777777" w:rsidR="00F64A09" w:rsidRPr="002A0BDB" w:rsidRDefault="00F64A09" w:rsidP="00F64A09">
      <w:pPr>
        <w:pStyle w:val="Heading2"/>
        <w:spacing w:line="360" w:lineRule="auto"/>
        <w:jc w:val="both"/>
        <w:rPr>
          <w:rFonts w:ascii="Arial" w:hAnsi="Arial" w:cs="Arial"/>
          <w:color w:val="auto"/>
          <w:sz w:val="22"/>
        </w:rPr>
      </w:pPr>
      <w:bookmarkStart w:id="104" w:name="_Toc220494167"/>
      <w:r w:rsidRPr="002A0BDB">
        <w:rPr>
          <w:rFonts w:ascii="Arial" w:hAnsi="Arial" w:cs="Arial"/>
          <w:color w:val="auto"/>
          <w:sz w:val="22"/>
        </w:rPr>
        <w:t>5.3. Critical evaluation of findings and comparison with other studies</w:t>
      </w:r>
      <w:bookmarkEnd w:id="104"/>
      <w:r w:rsidRPr="002A0BDB">
        <w:rPr>
          <w:rFonts w:ascii="Arial" w:hAnsi="Arial" w:cs="Arial"/>
          <w:color w:val="auto"/>
          <w:sz w:val="22"/>
        </w:rPr>
        <w:t xml:space="preserve"> </w:t>
      </w:r>
    </w:p>
    <w:p w14:paraId="2B958034" w14:textId="77777777" w:rsidR="00F64A09" w:rsidRPr="002A0BDB" w:rsidRDefault="00F64A09" w:rsidP="00F64A09">
      <w:pPr>
        <w:spacing w:line="360" w:lineRule="auto"/>
        <w:jc w:val="both"/>
        <w:rPr>
          <w:rFonts w:ascii="Arial" w:hAnsi="Arial" w:cs="Arial"/>
        </w:rPr>
      </w:pPr>
    </w:p>
    <w:p w14:paraId="21641346" w14:textId="77777777" w:rsidR="00F64A09" w:rsidRPr="002A0BDB" w:rsidRDefault="00F64A09" w:rsidP="00F64A09">
      <w:pPr>
        <w:spacing w:line="360" w:lineRule="auto"/>
        <w:jc w:val="both"/>
        <w:rPr>
          <w:rFonts w:ascii="Arial" w:hAnsi="Arial" w:cs="Arial"/>
        </w:rPr>
      </w:pPr>
      <w:r w:rsidRPr="002A0BDB">
        <w:rPr>
          <w:rFonts w:ascii="Arial" w:hAnsi="Arial" w:cs="Arial"/>
        </w:rPr>
        <w:t>The critical evolutions of the three findings theme as compared to the existing literature in terms of their contributions to the prevention and control of indirect cholera transmission.</w:t>
      </w:r>
    </w:p>
    <w:p w14:paraId="174429BE" w14:textId="77777777" w:rsidR="00F64A09" w:rsidRPr="002A0BDB" w:rsidRDefault="00F64A09" w:rsidP="00F64A09">
      <w:pPr>
        <w:spacing w:line="360" w:lineRule="auto"/>
        <w:jc w:val="both"/>
        <w:rPr>
          <w:rFonts w:ascii="Arial" w:hAnsi="Arial" w:cs="Arial"/>
          <w:b/>
          <w:bCs/>
          <w:i/>
          <w:iCs/>
          <w:u w:val="single"/>
        </w:rPr>
      </w:pPr>
      <w:r w:rsidRPr="002A0BDB">
        <w:rPr>
          <w:rFonts w:ascii="Arial" w:hAnsi="Arial" w:cs="Arial"/>
          <w:b/>
          <w:bCs/>
          <w:i/>
          <w:iCs/>
          <w:u w:val="single"/>
        </w:rPr>
        <w:t>Theme 1</w:t>
      </w:r>
    </w:p>
    <w:p w14:paraId="2D02122D" w14:textId="77777777" w:rsidR="00F64A09" w:rsidRPr="002A0BDB" w:rsidRDefault="00F64A09" w:rsidP="00F64A09">
      <w:pPr>
        <w:spacing w:line="360" w:lineRule="auto"/>
        <w:jc w:val="both"/>
        <w:rPr>
          <w:rFonts w:ascii="Arial" w:hAnsi="Arial" w:cs="Arial"/>
          <w:b/>
          <w:bCs/>
          <w:i/>
          <w:iCs/>
          <w:u w:val="single"/>
        </w:rPr>
      </w:pPr>
    </w:p>
    <w:p w14:paraId="43800C02"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The </w:t>
      </w:r>
      <w:proofErr w:type="spellStart"/>
      <w:r w:rsidRPr="002A0BDB">
        <w:rPr>
          <w:rFonts w:ascii="Arial" w:hAnsi="Arial" w:cs="Arial"/>
        </w:rPr>
        <w:t>metagenomic</w:t>
      </w:r>
      <w:proofErr w:type="spellEnd"/>
      <w:r w:rsidRPr="002A0BDB">
        <w:rPr>
          <w:rFonts w:ascii="Arial" w:hAnsi="Arial" w:cs="Arial"/>
        </w:rPr>
        <w:t xml:space="preserve"> sequencing, whole-genome sequencing, dark-field microscopy and genomic mechanisms ensure accurate identification of routes of </w:t>
      </w:r>
      <w:r w:rsidRPr="002A0BDB">
        <w:rPr>
          <w:rFonts w:ascii="Arial" w:hAnsi="Arial" w:cs="Arial"/>
          <w:i/>
          <w:iCs/>
          <w:u w:val="single"/>
        </w:rPr>
        <w:t>Vibrio</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transmission at the initial stages. The DNA </w:t>
      </w:r>
      <w:proofErr w:type="spellStart"/>
      <w:r w:rsidRPr="002A0BDB">
        <w:rPr>
          <w:rFonts w:ascii="Arial" w:hAnsi="Arial" w:cs="Arial"/>
        </w:rPr>
        <w:t>metagenomic</w:t>
      </w:r>
      <w:proofErr w:type="spellEnd"/>
      <w:r w:rsidRPr="002A0BDB">
        <w:rPr>
          <w:rFonts w:ascii="Arial" w:hAnsi="Arial" w:cs="Arial"/>
        </w:rPr>
        <w:t xml:space="preserve"> sequencing enabled concurrent profiling of virulence and antimicrobial resistance genes, enabling the quick identification of transmission pathways (Brumfield </w:t>
      </w:r>
      <w:r w:rsidRPr="002A0BDB">
        <w:rPr>
          <w:rFonts w:ascii="Arial" w:hAnsi="Arial" w:cs="Arial"/>
          <w:i/>
          <w:iCs/>
        </w:rPr>
        <w:t>et al.</w:t>
      </w:r>
      <w:r w:rsidRPr="002A0BDB">
        <w:rPr>
          <w:rFonts w:ascii="Arial" w:hAnsi="Arial" w:cs="Arial"/>
        </w:rPr>
        <w:t>, 2021). In contrast, the high-resolution discrimination of closely related strains and association of environmental isolates to clinical outbreaks, especially via aquatic reservoirs and biofilms (</w:t>
      </w:r>
      <w:proofErr w:type="spellStart"/>
      <w:r w:rsidRPr="002A0BDB">
        <w:rPr>
          <w:rFonts w:ascii="Arial" w:hAnsi="Arial" w:cs="Arial"/>
        </w:rPr>
        <w:t>Mevada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2023). Additionally, the high-resolution discrimination was equally highlighted by whole-genome sequencing (WGS) (</w:t>
      </w:r>
      <w:proofErr w:type="spellStart"/>
      <w:r w:rsidRPr="002A0BDB">
        <w:rPr>
          <w:rFonts w:ascii="Arial" w:hAnsi="Arial" w:cs="Arial"/>
        </w:rPr>
        <w:t>Odoi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This coincidence reinforces the findings because molecular detection at an early stage is a direct increase to the inhibition of indirect transmission since it is timely to intervene before the onset of extensive exposure. Nonetheless, the results also demonstrated the shortcomings of metagenomics, which states that DNA-based methods might fail to identify microbial viability without further functional studies (Brumfield </w:t>
      </w:r>
      <w:r w:rsidRPr="002A0BDB">
        <w:rPr>
          <w:rFonts w:ascii="Arial" w:hAnsi="Arial" w:cs="Arial"/>
          <w:i/>
          <w:iCs/>
        </w:rPr>
        <w:t>et al.</w:t>
      </w:r>
      <w:r w:rsidRPr="002A0BDB">
        <w:rPr>
          <w:rFonts w:ascii="Arial" w:hAnsi="Arial" w:cs="Arial"/>
        </w:rPr>
        <w:t xml:space="preserve">, 2021). Conversely, the limitation and the combination of metagenomics and </w:t>
      </w:r>
      <w:proofErr w:type="spellStart"/>
      <w:r w:rsidRPr="002A0BDB">
        <w:rPr>
          <w:rFonts w:ascii="Arial" w:hAnsi="Arial" w:cs="Arial"/>
        </w:rPr>
        <w:t>phylogenetics</w:t>
      </w:r>
      <w:proofErr w:type="spellEnd"/>
      <w:r w:rsidRPr="002A0BDB">
        <w:rPr>
          <w:rFonts w:ascii="Arial" w:hAnsi="Arial" w:cs="Arial"/>
        </w:rPr>
        <w:t xml:space="preserve"> with environmental metadata enhances interpretive quality (</w:t>
      </w:r>
      <w:proofErr w:type="spellStart"/>
      <w:r w:rsidRPr="002A0BDB">
        <w:rPr>
          <w:rFonts w:ascii="Arial" w:hAnsi="Arial" w:cs="Arial"/>
        </w:rPr>
        <w:t>Vezzulli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Therefore, consistency supports the necessity of integrated molecular methods instead of relying on one technique and promotes control strategies based on disrupting indirect transmission. </w:t>
      </w:r>
    </w:p>
    <w:p w14:paraId="22598364" w14:textId="77777777" w:rsidR="00F64A09" w:rsidRPr="002A0BDB" w:rsidRDefault="00F64A09" w:rsidP="00F64A09">
      <w:pPr>
        <w:spacing w:line="360" w:lineRule="auto"/>
        <w:jc w:val="both"/>
        <w:rPr>
          <w:rFonts w:ascii="Arial" w:hAnsi="Arial" w:cs="Arial"/>
          <w:b/>
          <w:bCs/>
          <w:i/>
          <w:iCs/>
          <w:u w:val="single"/>
        </w:rPr>
      </w:pPr>
      <w:r w:rsidRPr="002A0BDB">
        <w:rPr>
          <w:rFonts w:ascii="Arial" w:hAnsi="Arial" w:cs="Arial"/>
          <w:b/>
          <w:bCs/>
          <w:i/>
          <w:iCs/>
          <w:u w:val="single"/>
        </w:rPr>
        <w:t>Theme 2</w:t>
      </w:r>
    </w:p>
    <w:p w14:paraId="5F1264EC" w14:textId="77777777" w:rsidR="00F64A09" w:rsidRPr="002A0BDB" w:rsidRDefault="00F64A09" w:rsidP="00F64A09">
      <w:pPr>
        <w:spacing w:line="360" w:lineRule="auto"/>
        <w:jc w:val="both"/>
        <w:rPr>
          <w:rFonts w:ascii="Arial" w:hAnsi="Arial" w:cs="Arial"/>
        </w:rPr>
      </w:pPr>
    </w:p>
    <w:p w14:paraId="5FB6AA84"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The sources of water, sanitation mechanisms, pathways by which vectors carry the disease, and climatic variability were major determinants of indirect cholera transmission. According to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the informal settlements used impure drinking water, wastewater, and household effluents as environmental reservoirs that promoted the transmission of pathogens without direct human interaction. Similarly, according to </w:t>
      </w:r>
      <w:proofErr w:type="spellStart"/>
      <w:r w:rsidRPr="002A0BDB">
        <w:rPr>
          <w:rFonts w:ascii="Arial" w:hAnsi="Arial" w:cs="Arial"/>
        </w:rPr>
        <w:t>Asantewaa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and Ismail </w:t>
      </w:r>
      <w:r w:rsidRPr="002A0BDB">
        <w:rPr>
          <w:rFonts w:ascii="Arial" w:hAnsi="Arial" w:cs="Arial"/>
          <w:i/>
          <w:iCs/>
        </w:rPr>
        <w:t>et al.</w:t>
      </w:r>
      <w:r w:rsidRPr="002A0BDB">
        <w:rPr>
          <w:rFonts w:ascii="Arial" w:hAnsi="Arial" w:cs="Arial"/>
        </w:rPr>
        <w:t xml:space="preserve"> (2021), rivers, brackish water, planktons, and aquatic biofilms are also persistent reservoirs that enable </w:t>
      </w:r>
      <w:r w:rsidRPr="002A0BDB">
        <w:rPr>
          <w:rFonts w:ascii="Arial" w:hAnsi="Arial" w:cs="Arial"/>
          <w:i/>
          <w:iCs/>
        </w:rPr>
        <w:t>V</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rPr>
        <w:t xml:space="preserve"> to survive between epidemics, especially in ineffective WASH infrastructure. These findings established the fact that indirect transmission can be controlled by first enhancing water quality and sanitation. The climatic drivers like El Niño-Southern Oscillation events augmented flooding and disruption in water structures, aggravating contamination dangers (</w:t>
      </w:r>
      <w:proofErr w:type="spellStart"/>
      <w:r w:rsidRPr="002A0BDB">
        <w:rPr>
          <w:rFonts w:ascii="Arial" w:hAnsi="Arial" w:cs="Arial"/>
        </w:rPr>
        <w:t>Jin</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2025). Similarly, </w:t>
      </w:r>
      <w:proofErr w:type="spellStart"/>
      <w:r w:rsidRPr="002A0BDB">
        <w:rPr>
          <w:rFonts w:ascii="Arial" w:hAnsi="Arial" w:cs="Arial"/>
        </w:rPr>
        <w:t>Usmani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show that temperature, rainfall, salinity, and plankton blooms are also mentioned in the literature review as factors that control the abundance of </w:t>
      </w:r>
      <w:r w:rsidRPr="002A0BDB">
        <w:rPr>
          <w:rFonts w:ascii="Arial" w:hAnsi="Arial" w:cs="Arial"/>
          <w:i/>
          <w:iCs/>
        </w:rPr>
        <w:t>V.</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i/>
          <w:iCs/>
          <w:u w:val="single"/>
        </w:rPr>
        <w:t xml:space="preserve"> </w:t>
      </w:r>
      <w:r w:rsidRPr="002A0BDB">
        <w:rPr>
          <w:rFonts w:ascii="Arial" w:hAnsi="Arial" w:cs="Arial"/>
        </w:rPr>
        <w:t xml:space="preserve">and seasonal outbreaks. The comparative insights support the significance of climate-based surveillance and early-warning systems in averting indirect transmission via the destabilisation of the environment. Furthermore, </w:t>
      </w:r>
      <w:proofErr w:type="spellStart"/>
      <w:r w:rsidRPr="002A0BDB">
        <w:rPr>
          <w:rFonts w:ascii="Arial" w:hAnsi="Arial" w:cs="Arial"/>
        </w:rPr>
        <w:t>Mageto</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w:t>
      </w:r>
      <w:r w:rsidRPr="002A0BDB">
        <w:rPr>
          <w:rFonts w:ascii="Arial" w:hAnsi="Arial" w:cs="Arial"/>
        </w:rPr>
        <w:lastRenderedPageBreak/>
        <w:t>(2025), have found up-to-date outbreak-specific data on the connections between open drainage systems and water-mediated vector pathways and the high rates of spatial expansion within communities. On the other hand, existing studies broadly addressing the issue of environmental persistence, the findings shed light on the operation of flowing wastewater as a vector-like process. Therefore, the insights contribute to the knowledge of the dynamics of the indirect transmission and promote specific infrastructural interventions aimed at minimising the environmental propagation.</w:t>
      </w:r>
    </w:p>
    <w:p w14:paraId="7DB882A9" w14:textId="77777777" w:rsidR="00F64A09" w:rsidRPr="002A0BDB" w:rsidRDefault="00F64A09" w:rsidP="00F64A09">
      <w:pPr>
        <w:spacing w:line="360" w:lineRule="auto"/>
        <w:jc w:val="both"/>
        <w:rPr>
          <w:rFonts w:ascii="Arial" w:hAnsi="Arial" w:cs="Arial"/>
          <w:b/>
          <w:bCs/>
          <w:i/>
          <w:iCs/>
          <w:u w:val="single"/>
        </w:rPr>
      </w:pPr>
    </w:p>
    <w:p w14:paraId="2A797F23" w14:textId="77777777" w:rsidR="00F64A09" w:rsidRPr="002A0BDB" w:rsidRDefault="00F64A09" w:rsidP="00F64A09">
      <w:pPr>
        <w:spacing w:line="360" w:lineRule="auto"/>
        <w:jc w:val="both"/>
        <w:rPr>
          <w:rFonts w:ascii="Arial" w:hAnsi="Arial" w:cs="Arial"/>
        </w:rPr>
      </w:pPr>
      <w:r w:rsidRPr="002A0BDB">
        <w:rPr>
          <w:rFonts w:ascii="Arial" w:hAnsi="Arial" w:cs="Arial"/>
          <w:b/>
          <w:bCs/>
          <w:i/>
          <w:iCs/>
          <w:u w:val="single"/>
        </w:rPr>
        <w:t>Theme 3</w:t>
      </w:r>
    </w:p>
    <w:p w14:paraId="120F315E" w14:textId="77777777" w:rsidR="00F64A09" w:rsidRPr="002A0BDB" w:rsidRDefault="00F64A09" w:rsidP="00F64A09">
      <w:pPr>
        <w:spacing w:line="360" w:lineRule="auto"/>
        <w:jc w:val="both"/>
        <w:rPr>
          <w:rFonts w:ascii="Arial" w:hAnsi="Arial" w:cs="Arial"/>
        </w:rPr>
      </w:pPr>
    </w:p>
    <w:p w14:paraId="6BE599D8"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The translation of the molecular epidemiology results into specific population health interventions. The genomic population analysis revealed that the pandemic </w:t>
      </w:r>
      <w:r w:rsidRPr="002A0BDB">
        <w:rPr>
          <w:rFonts w:ascii="Arial" w:hAnsi="Arial" w:cs="Arial"/>
          <w:i/>
          <w:iCs/>
        </w:rPr>
        <w:t>V.</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i/>
          <w:iCs/>
          <w:u w:val="single"/>
        </w:rPr>
        <w:t xml:space="preserve"> </w:t>
      </w:r>
      <w:r w:rsidRPr="002A0BDB">
        <w:rPr>
          <w:rFonts w:ascii="Arial" w:hAnsi="Arial" w:cs="Arial"/>
        </w:rPr>
        <w:t xml:space="preserve">lineages were more abundant in the area of </w:t>
      </w:r>
      <w:proofErr w:type="spellStart"/>
      <w:r w:rsidRPr="002A0BDB">
        <w:rPr>
          <w:rFonts w:ascii="Arial" w:hAnsi="Arial" w:cs="Arial"/>
        </w:rPr>
        <w:t>endemicity</w:t>
      </w:r>
      <w:proofErr w:type="spellEnd"/>
      <w:r w:rsidRPr="002A0BDB">
        <w:rPr>
          <w:rFonts w:ascii="Arial" w:hAnsi="Arial" w:cs="Arial"/>
        </w:rPr>
        <w:t xml:space="preserve">, and this was used to prioritise high-risk watersheds to be addressed (Islam </w:t>
      </w:r>
      <w:r w:rsidRPr="002A0BDB">
        <w:rPr>
          <w:rFonts w:ascii="Arial" w:hAnsi="Arial" w:cs="Arial"/>
          <w:i/>
          <w:iCs/>
        </w:rPr>
        <w:t>et al.</w:t>
      </w:r>
      <w:r w:rsidRPr="002A0BDB">
        <w:rPr>
          <w:rFonts w:ascii="Arial" w:hAnsi="Arial" w:cs="Arial"/>
        </w:rPr>
        <w:t>, 2021). Similarly, phylogenetic analysis and genomic surveillance were reported to verify the distinction between local persistent lineages and newly introduced strains (</w:t>
      </w:r>
      <w:proofErr w:type="spellStart"/>
      <w:r w:rsidRPr="002A0BDB">
        <w:rPr>
          <w:rFonts w:ascii="Arial" w:hAnsi="Arial" w:cs="Arial"/>
        </w:rPr>
        <w:t>Vezzulli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These phenomena guide the attribution of the source of the outbreaks and control measures (Perez-Duque </w:t>
      </w:r>
      <w:r w:rsidRPr="002A0BDB">
        <w:rPr>
          <w:rFonts w:ascii="Arial" w:hAnsi="Arial" w:cs="Arial"/>
          <w:i/>
          <w:iCs/>
        </w:rPr>
        <w:t>et al.</w:t>
      </w:r>
      <w:r w:rsidRPr="002A0BDB">
        <w:rPr>
          <w:rFonts w:ascii="Arial" w:hAnsi="Arial" w:cs="Arial"/>
        </w:rPr>
        <w:t xml:space="preserve">, 2021). These findings support the cholera prevention mechanism by proving that molecular evidence has a direct influence on preventive decision-making. Additionally, the results showed that combining molecular surveillance and WASH investment by ‘oral cholera vaccination’ and ‘One Health models’ reduces outbreaks in high-burden environments (Mohamed </w:t>
      </w:r>
      <w:r w:rsidRPr="002A0BDB">
        <w:rPr>
          <w:rFonts w:ascii="Arial" w:hAnsi="Arial" w:cs="Arial"/>
          <w:i/>
          <w:iCs/>
        </w:rPr>
        <w:t>et al.</w:t>
      </w:r>
      <w:r w:rsidRPr="002A0BDB">
        <w:rPr>
          <w:rFonts w:ascii="Arial" w:hAnsi="Arial" w:cs="Arial"/>
        </w:rPr>
        <w:t>, 2025). Similarly, the early-warning system is more efficient with the combination of genomic data, environmental and hydrological indicators and allows proactive intervention (</w:t>
      </w:r>
      <w:proofErr w:type="spellStart"/>
      <w:r w:rsidRPr="002A0BDB">
        <w:rPr>
          <w:rFonts w:ascii="Arial" w:hAnsi="Arial" w:cs="Arial"/>
        </w:rPr>
        <w:t>Usmani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These insights emphasise that indirect transmission prevention and control involving </w:t>
      </w:r>
      <w:proofErr w:type="spellStart"/>
      <w:r w:rsidRPr="002A0BDB">
        <w:rPr>
          <w:rFonts w:ascii="Arial" w:hAnsi="Arial" w:cs="Arial"/>
        </w:rPr>
        <w:t>multisectoral</w:t>
      </w:r>
      <w:proofErr w:type="spellEnd"/>
      <w:r w:rsidRPr="002A0BDB">
        <w:rPr>
          <w:rFonts w:ascii="Arial" w:hAnsi="Arial" w:cs="Arial"/>
        </w:rPr>
        <w:t xml:space="preserve"> approaches are based on molecular evidence. </w:t>
      </w:r>
    </w:p>
    <w:p w14:paraId="624BE43C"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Widespread antimicrobial resistance and a possible hidden epidemic in environmental isolates were also detected in the findings, which justifies the routine resistance profiling to guide treatment (Pal </w:t>
      </w:r>
      <w:r w:rsidRPr="002A0BDB">
        <w:rPr>
          <w:rFonts w:ascii="Arial" w:hAnsi="Arial" w:cs="Arial"/>
          <w:i/>
          <w:iCs/>
        </w:rPr>
        <w:t>et al.</w:t>
      </w:r>
      <w:r w:rsidRPr="002A0BDB">
        <w:rPr>
          <w:rFonts w:ascii="Arial" w:hAnsi="Arial" w:cs="Arial"/>
        </w:rPr>
        <w:t>, 2023). However, the increasing importance of mobile genetic elements in the dissemination of resistance genes into environmental and clinical strains (</w:t>
      </w:r>
      <w:proofErr w:type="spellStart"/>
      <w:r w:rsidRPr="002A0BDB">
        <w:rPr>
          <w:rFonts w:ascii="Arial" w:hAnsi="Arial" w:cs="Arial"/>
        </w:rPr>
        <w:t>Yaqub</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2024). </w:t>
      </w:r>
      <w:proofErr w:type="spellStart"/>
      <w:r w:rsidRPr="002A0BDB">
        <w:rPr>
          <w:rFonts w:ascii="Arial" w:hAnsi="Arial" w:cs="Arial"/>
        </w:rPr>
        <w:t>Combinedly</w:t>
      </w:r>
      <w:proofErr w:type="spellEnd"/>
      <w:r w:rsidRPr="002A0BDB">
        <w:rPr>
          <w:rFonts w:ascii="Arial" w:hAnsi="Arial" w:cs="Arial"/>
        </w:rPr>
        <w:t xml:space="preserve">, it is found that not only can genomic surveillance prevent transmission but also minimises morbidity and mortality by practising informed clinical management. Finally, the whole-genome and pan-genomic studies of clinical isolates inform the selective use of antibiotics and minimise the failure of treatment in outbreaks (Vishal </w:t>
      </w:r>
      <w:proofErr w:type="spellStart"/>
      <w:r w:rsidRPr="002A0BDB">
        <w:rPr>
          <w:rFonts w:ascii="Arial" w:hAnsi="Arial" w:cs="Arial"/>
        </w:rPr>
        <w:t>Mevada</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2023). Similarly, the association of clinical and environmental genomic data enhances the surveillance frameworks and the accuracy of outbreak response (</w:t>
      </w:r>
      <w:proofErr w:type="spellStart"/>
      <w:r w:rsidRPr="002A0BDB">
        <w:rPr>
          <w:rFonts w:ascii="Arial" w:hAnsi="Arial" w:cs="Arial"/>
        </w:rPr>
        <w:t>Usmani</w:t>
      </w:r>
      <w:proofErr w:type="spellEnd"/>
      <w:r w:rsidRPr="002A0BDB">
        <w:rPr>
          <w:rFonts w:ascii="Arial" w:hAnsi="Arial" w:cs="Arial"/>
        </w:rPr>
        <w:t xml:space="preserve"> </w:t>
      </w:r>
      <w:r w:rsidRPr="002A0BDB">
        <w:rPr>
          <w:rFonts w:ascii="Arial" w:hAnsi="Arial" w:cs="Arial"/>
          <w:i/>
          <w:iCs/>
        </w:rPr>
        <w:t>et al.</w:t>
      </w:r>
      <w:r w:rsidRPr="002A0BDB">
        <w:rPr>
          <w:rFonts w:ascii="Arial" w:hAnsi="Arial" w:cs="Arial"/>
        </w:rPr>
        <w:t xml:space="preserve">, 2021). The </w:t>
      </w:r>
      <w:r w:rsidRPr="002A0BDB">
        <w:rPr>
          <w:rFonts w:ascii="Arial" w:hAnsi="Arial" w:cs="Arial"/>
        </w:rPr>
        <w:lastRenderedPageBreak/>
        <w:t>insight supported by the proof that molecular epidemiology forms the core of coordinated prevention and control initiatives to deal with indirect cholera transmission. Altogether, the competitive analysis ensures that indirect transmission of cholera can only be prevented and controlled with an integrated approach of molecular-environmental policy and not by isolated interventions.</w:t>
      </w:r>
    </w:p>
    <w:p w14:paraId="147FB9E0" w14:textId="77777777" w:rsidR="00F64A09" w:rsidRPr="002A0BDB" w:rsidRDefault="00F64A09" w:rsidP="00F64A09">
      <w:pPr>
        <w:pStyle w:val="Heading2"/>
        <w:spacing w:line="360" w:lineRule="auto"/>
        <w:jc w:val="both"/>
        <w:rPr>
          <w:rFonts w:ascii="Arial" w:hAnsi="Arial" w:cs="Arial"/>
          <w:color w:val="auto"/>
          <w:sz w:val="22"/>
        </w:rPr>
      </w:pPr>
      <w:bookmarkStart w:id="105" w:name="_Toc220494168"/>
      <w:r w:rsidRPr="002A0BDB">
        <w:rPr>
          <w:rFonts w:ascii="Arial" w:hAnsi="Arial" w:cs="Arial"/>
          <w:color w:val="auto"/>
          <w:sz w:val="22"/>
        </w:rPr>
        <w:t>5.4 Conclusion</w:t>
      </w:r>
      <w:bookmarkEnd w:id="105"/>
      <w:r w:rsidRPr="002A0BDB">
        <w:rPr>
          <w:rFonts w:ascii="Arial" w:hAnsi="Arial" w:cs="Arial"/>
          <w:color w:val="auto"/>
          <w:sz w:val="22"/>
        </w:rPr>
        <w:t xml:space="preserve"> </w:t>
      </w:r>
    </w:p>
    <w:p w14:paraId="030A8552" w14:textId="77777777" w:rsidR="00F64A09" w:rsidRPr="002A0BDB" w:rsidRDefault="00F64A09" w:rsidP="00F64A09">
      <w:pPr>
        <w:spacing w:line="360" w:lineRule="auto"/>
        <w:jc w:val="both"/>
        <w:rPr>
          <w:rFonts w:ascii="Arial" w:hAnsi="Arial" w:cs="Arial"/>
        </w:rPr>
      </w:pPr>
    </w:p>
    <w:p w14:paraId="45A93E15"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This dissertation reviewed the use of molecular epidemiology in the understanding, prevention and control of the indirect transmission of cholera, with special reference to environmental reservoirs, sanitation systems and water-mediated routes. The modern-day molecular methods, such as whole-genome sequencing, metagenomics and phylogenetic approaches, are very useful in identifying </w:t>
      </w:r>
      <w:r w:rsidRPr="002A0BDB">
        <w:rPr>
          <w:rFonts w:ascii="Arial" w:hAnsi="Arial" w:cs="Arial"/>
          <w:i/>
          <w:iCs/>
        </w:rPr>
        <w:t>Vibrio</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rPr>
        <w:t xml:space="preserve"> in complex environmental samples. However, it reveals that transmission dynamics measures to prevent cholera transmission cannot be easily identified using traditional surveillance techniques. These methods had important insights into pathogen persistence, genetic diversity and antimicrobial resistance to promote the prolonged indirect transmission. </w:t>
      </w:r>
    </w:p>
    <w:p w14:paraId="08BF7451" w14:textId="77777777" w:rsidR="00F64A09" w:rsidRPr="002A0BDB" w:rsidRDefault="00F64A09" w:rsidP="00F64A09">
      <w:pPr>
        <w:spacing w:line="360" w:lineRule="auto"/>
        <w:jc w:val="both"/>
        <w:rPr>
          <w:rFonts w:ascii="Arial" w:hAnsi="Arial" w:cs="Arial"/>
        </w:rPr>
      </w:pPr>
      <w:r w:rsidRPr="002A0BDB">
        <w:rPr>
          <w:rFonts w:ascii="Arial" w:hAnsi="Arial" w:cs="Arial"/>
        </w:rPr>
        <w:t xml:space="preserve">The risk of indirect transmission is enhanced by the presence of contaminated water sources, ineffective sanitation infrastructure and variability in climate. The environmental water bodies were also depicted to play the role of reservoirs and evolutionary niches of </w:t>
      </w:r>
      <w:r w:rsidRPr="002A0BDB">
        <w:rPr>
          <w:rFonts w:ascii="Arial" w:hAnsi="Arial" w:cs="Arial"/>
          <w:i/>
          <w:iCs/>
          <w:u w:val="single"/>
        </w:rPr>
        <w:t>Vibrio</w:t>
      </w:r>
      <w:r w:rsidRPr="002A0BDB">
        <w:rPr>
          <w:rFonts w:ascii="Arial" w:hAnsi="Arial" w:cs="Arial"/>
        </w:rPr>
        <w:t xml:space="preserve"> </w:t>
      </w:r>
      <w:proofErr w:type="spellStart"/>
      <w:r w:rsidRPr="002A0BDB">
        <w:rPr>
          <w:rFonts w:ascii="Arial" w:hAnsi="Arial" w:cs="Arial"/>
          <w:i/>
          <w:iCs/>
          <w:u w:val="single"/>
        </w:rPr>
        <w:t>cholerae</w:t>
      </w:r>
      <w:proofErr w:type="spellEnd"/>
      <w:r w:rsidRPr="002A0BDB">
        <w:rPr>
          <w:rFonts w:ascii="Arial" w:hAnsi="Arial" w:cs="Arial"/>
        </w:rPr>
        <w:t xml:space="preserve">, and facilitated its further circulation even without direct human-to-human contact. The climatic disturbance due to heavy rainfall and flood was observed to complicate water systems and sanitation failures, which supports the sustainable cholera control measures. </w:t>
      </w:r>
    </w:p>
    <w:p w14:paraId="4C2CB5F2" w14:textId="33DDF2E3" w:rsidR="009706D0" w:rsidRPr="002A0BDB" w:rsidRDefault="00F64A09" w:rsidP="00F64A09">
      <w:pPr>
        <w:spacing w:line="360" w:lineRule="auto"/>
        <w:jc w:val="both"/>
        <w:rPr>
          <w:rFonts w:asciiTheme="minorBidi" w:eastAsia="Times New Roman" w:hAnsiTheme="minorBidi"/>
          <w:b/>
          <w:sz w:val="24"/>
        </w:rPr>
      </w:pPr>
      <w:r w:rsidRPr="002A0BDB">
        <w:rPr>
          <w:rFonts w:ascii="Arial" w:hAnsi="Arial" w:cs="Arial"/>
        </w:rPr>
        <w:t>The translation of molecular epidemiological data into specific, targeted, public health interventions has a significant impact on the prevention and control of cholera. Similarly, genomic surveillance is essential to an early warning system, risk-based vaccination and WASH response, and antimicrobial stewardship during the cholera outbreaks. However, the importance of molecular data in ‘One Health and policy’ frameworks will allow responding to the threat of cholera more accurately, timely, and sustainably.</w:t>
      </w:r>
      <w:r w:rsidR="009706D0" w:rsidRPr="002A0BDB">
        <w:rPr>
          <w:rFonts w:asciiTheme="minorBidi" w:hAnsiTheme="minorBidi"/>
        </w:rPr>
        <w:br w:type="page"/>
      </w:r>
    </w:p>
    <w:p w14:paraId="71131267" w14:textId="4B841252" w:rsidR="009F64C5" w:rsidRPr="002A0BDB" w:rsidRDefault="00DD7AA5">
      <w:pPr>
        <w:pStyle w:val="Heading1"/>
        <w:ind w:left="12" w:right="3"/>
        <w:rPr>
          <w:rFonts w:asciiTheme="minorBidi" w:hAnsiTheme="minorBidi" w:cstheme="minorBidi"/>
          <w:color w:val="auto"/>
        </w:rPr>
      </w:pPr>
      <w:bookmarkStart w:id="106" w:name="_Toc220498173"/>
      <w:r w:rsidRPr="002A0BDB">
        <w:rPr>
          <w:rFonts w:asciiTheme="minorBidi" w:hAnsiTheme="minorBidi" w:cstheme="minorBidi"/>
          <w:color w:val="auto"/>
        </w:rPr>
        <w:lastRenderedPageBreak/>
        <w:t xml:space="preserve">Chapter 6: </w:t>
      </w:r>
      <w:r w:rsidR="009F64C5" w:rsidRPr="002A0BDB">
        <w:rPr>
          <w:rFonts w:asciiTheme="minorBidi" w:hAnsiTheme="minorBidi" w:cstheme="minorBidi"/>
          <w:color w:val="auto"/>
        </w:rPr>
        <w:t>Conclusion</w:t>
      </w:r>
      <w:bookmarkEnd w:id="106"/>
      <w:r w:rsidR="009F64C5" w:rsidRPr="002A0BDB">
        <w:rPr>
          <w:rFonts w:asciiTheme="minorBidi" w:hAnsiTheme="minorBidi" w:cstheme="minorBidi"/>
          <w:color w:val="auto"/>
        </w:rPr>
        <w:t xml:space="preserve"> </w:t>
      </w:r>
    </w:p>
    <w:p w14:paraId="03B5FA00" w14:textId="77777777" w:rsidR="009F64C5" w:rsidRPr="002A0BDB" w:rsidRDefault="009F64C5">
      <w:pPr>
        <w:spacing w:after="194"/>
        <w:rPr>
          <w:rFonts w:asciiTheme="minorBidi" w:hAnsiTheme="minorBidi"/>
        </w:rPr>
      </w:pPr>
      <w:r w:rsidRPr="002A0BDB">
        <w:rPr>
          <w:rFonts w:asciiTheme="minorBidi" w:eastAsia="Calibri" w:hAnsiTheme="minorBidi"/>
        </w:rPr>
        <w:t xml:space="preserve"> </w:t>
      </w:r>
    </w:p>
    <w:p w14:paraId="1F4500F1" w14:textId="6A15E9B9" w:rsidR="00995D8C" w:rsidRPr="002A0BDB" w:rsidRDefault="00995D8C" w:rsidP="00995D8C">
      <w:pPr>
        <w:pStyle w:val="Heading2"/>
        <w:spacing w:line="360" w:lineRule="auto"/>
        <w:jc w:val="both"/>
        <w:rPr>
          <w:rFonts w:ascii="Arial" w:hAnsi="Arial" w:cs="Arial"/>
          <w:color w:val="auto"/>
          <w:sz w:val="22"/>
        </w:rPr>
      </w:pPr>
      <w:bookmarkStart w:id="107" w:name="_Toc220494170"/>
      <w:r w:rsidRPr="002A0BDB">
        <w:rPr>
          <w:rFonts w:ascii="Arial" w:hAnsi="Arial" w:cs="Arial"/>
          <w:color w:val="auto"/>
          <w:sz w:val="22"/>
        </w:rPr>
        <w:t xml:space="preserve">6.1 Main Research Question </w:t>
      </w:r>
      <w:bookmarkEnd w:id="107"/>
      <w:r w:rsidRPr="002A0BDB">
        <w:rPr>
          <w:rFonts w:ascii="Arial" w:hAnsi="Arial" w:cs="Arial"/>
          <w:color w:val="auto"/>
          <w:sz w:val="22"/>
        </w:rPr>
        <w:t xml:space="preserve"> </w:t>
      </w:r>
    </w:p>
    <w:p w14:paraId="3541EF13" w14:textId="77777777" w:rsidR="00995D8C" w:rsidRPr="002A0BDB" w:rsidRDefault="00995D8C" w:rsidP="00995D8C">
      <w:pPr>
        <w:spacing w:line="360" w:lineRule="auto"/>
        <w:jc w:val="both"/>
        <w:rPr>
          <w:rFonts w:ascii="Arial" w:hAnsi="Arial" w:cs="Arial"/>
        </w:rPr>
      </w:pPr>
    </w:p>
    <w:p w14:paraId="3D7D775B" w14:textId="2CCE7295" w:rsidR="00995D8C" w:rsidRPr="002A0BDB" w:rsidRDefault="00995D8C" w:rsidP="00995D8C">
      <w:pPr>
        <w:spacing w:line="360" w:lineRule="auto"/>
        <w:jc w:val="both"/>
        <w:rPr>
          <w:rFonts w:ascii="Arial" w:hAnsi="Arial" w:cs="Arial"/>
        </w:rPr>
      </w:pPr>
      <w:r w:rsidRPr="002A0BDB">
        <w:rPr>
          <w:rFonts w:ascii="Arial" w:hAnsi="Arial" w:cs="Arial"/>
        </w:rPr>
        <w:t xml:space="preserve">The significant implications of this study on the practice of public health, as well as the direction of future research, help to prevent and control the indirect transmission of cholera. Considering the research question, it has identified that practical implications of the dissertation are significant for cholera prevention and control, especially the indirect pathways of transmission. Molecular epidemiology can be integrated into the usual practices of surveillance of the health of the population to identify the early presence of </w:t>
      </w:r>
      <w:r w:rsidRPr="002A0BDB">
        <w:rPr>
          <w:rFonts w:ascii="Arial" w:hAnsi="Arial" w:cs="Arial"/>
          <w:i/>
          <w:iCs/>
        </w:rPr>
        <w:t>Vibrio</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rPr>
        <w:t xml:space="preserve"> in the environmental reservoir, which can help in timely and appropriate action. Risk-based resource allocation can be supported by genomic and </w:t>
      </w:r>
      <w:proofErr w:type="spellStart"/>
      <w:r w:rsidRPr="002A0BDB">
        <w:rPr>
          <w:rFonts w:ascii="Arial" w:hAnsi="Arial" w:cs="Arial"/>
        </w:rPr>
        <w:t>metagenomic</w:t>
      </w:r>
      <w:proofErr w:type="spellEnd"/>
      <w:r w:rsidRPr="002A0BDB">
        <w:rPr>
          <w:rFonts w:ascii="Arial" w:hAnsi="Arial" w:cs="Arial"/>
        </w:rPr>
        <w:t xml:space="preserve"> data, which may be used to determine high-risk water bodies, failures in sanitation, and environmental hotspots. </w:t>
      </w:r>
    </w:p>
    <w:p w14:paraId="1158B487" w14:textId="77777777" w:rsidR="00995D8C" w:rsidRPr="002A0BDB" w:rsidRDefault="00995D8C" w:rsidP="00995D8C">
      <w:pPr>
        <w:pStyle w:val="Heading2"/>
        <w:spacing w:line="360" w:lineRule="auto"/>
        <w:jc w:val="both"/>
        <w:rPr>
          <w:rFonts w:ascii="Arial" w:hAnsi="Arial" w:cs="Arial"/>
          <w:color w:val="auto"/>
          <w:sz w:val="22"/>
        </w:rPr>
      </w:pPr>
      <w:r w:rsidRPr="002A0BDB">
        <w:rPr>
          <w:rFonts w:ascii="Arial" w:hAnsi="Arial" w:cs="Arial"/>
          <w:color w:val="auto"/>
          <w:sz w:val="22"/>
        </w:rPr>
        <w:t>6.2 Reflect on the research</w:t>
      </w:r>
    </w:p>
    <w:p w14:paraId="13126A0D" w14:textId="77777777" w:rsidR="00995D8C" w:rsidRPr="002A0BDB" w:rsidRDefault="00995D8C" w:rsidP="00995D8C">
      <w:pPr>
        <w:pStyle w:val="Heading2"/>
        <w:spacing w:line="360" w:lineRule="auto"/>
        <w:jc w:val="both"/>
        <w:rPr>
          <w:rFonts w:ascii="Arial" w:hAnsi="Arial" w:cs="Arial"/>
          <w:color w:val="auto"/>
          <w:sz w:val="22"/>
        </w:rPr>
      </w:pPr>
      <w:r w:rsidRPr="002A0BDB">
        <w:rPr>
          <w:rFonts w:ascii="Arial" w:hAnsi="Arial" w:cs="Arial"/>
          <w:color w:val="auto"/>
          <w:sz w:val="22"/>
        </w:rPr>
        <w:t xml:space="preserve"> </w:t>
      </w:r>
    </w:p>
    <w:p w14:paraId="447B2161" w14:textId="77777777" w:rsidR="00995D8C" w:rsidRPr="002A0BDB" w:rsidRDefault="00995D8C" w:rsidP="00995D8C">
      <w:pPr>
        <w:spacing w:line="360" w:lineRule="auto"/>
        <w:jc w:val="both"/>
        <w:rPr>
          <w:rFonts w:ascii="Arial" w:hAnsi="Arial" w:cs="Arial"/>
        </w:rPr>
      </w:pPr>
      <w:r w:rsidRPr="002A0BDB">
        <w:rPr>
          <w:rFonts w:ascii="Arial" w:hAnsi="Arial" w:cs="Arial"/>
        </w:rPr>
        <w:t xml:space="preserve">The research enhances multiple measures, such as reducing water contamination, sanitation, and hygiene (WASH) preparedness. The research also focused on oral cholera vaccination efforts and enhancing outbreak preparedness. Moreover, evidence-based antimicrobial stewardship is supported by molecular resistance profiling that informs treatment practices in outbreaks. These results also highlight the importance of molecular surveillance by the ‘One Health System’ to improve the coordination of environmental, clinical, and policy stakeholders. Therefore, by the positive implications of this research, one can strengthen the effectiveness and sustainability of cholera measurement measures. </w:t>
      </w:r>
    </w:p>
    <w:p w14:paraId="42BC69F8" w14:textId="77777777" w:rsidR="00995D8C" w:rsidRPr="002A0BDB" w:rsidRDefault="00995D8C" w:rsidP="00995D8C">
      <w:pPr>
        <w:spacing w:line="360" w:lineRule="auto"/>
        <w:jc w:val="both"/>
        <w:rPr>
          <w:rFonts w:ascii="Arial" w:hAnsi="Arial" w:cs="Arial"/>
        </w:rPr>
      </w:pPr>
    </w:p>
    <w:p w14:paraId="513A1FDE" w14:textId="3D2D3B69" w:rsidR="00995D8C" w:rsidRPr="002A0BDB" w:rsidRDefault="00995D8C" w:rsidP="00995D8C">
      <w:pPr>
        <w:pStyle w:val="Heading2"/>
        <w:spacing w:line="360" w:lineRule="auto"/>
        <w:jc w:val="both"/>
        <w:rPr>
          <w:rFonts w:ascii="Arial" w:hAnsi="Arial" w:cs="Arial"/>
          <w:color w:val="auto"/>
          <w:sz w:val="22"/>
        </w:rPr>
      </w:pPr>
      <w:r w:rsidRPr="002A0BDB">
        <w:rPr>
          <w:rFonts w:ascii="Arial" w:hAnsi="Arial" w:cs="Arial"/>
          <w:color w:val="auto"/>
          <w:sz w:val="22"/>
        </w:rPr>
        <w:t>6.3 Recommendation</w:t>
      </w:r>
      <w:r w:rsidR="003A42BB" w:rsidRPr="002A0BDB">
        <w:rPr>
          <w:rFonts w:ascii="Arial" w:hAnsi="Arial" w:cs="Arial"/>
          <w:color w:val="auto"/>
          <w:sz w:val="22"/>
        </w:rPr>
        <w:t>s</w:t>
      </w:r>
      <w:r w:rsidRPr="002A0BDB">
        <w:rPr>
          <w:rFonts w:ascii="Arial" w:hAnsi="Arial" w:cs="Arial"/>
          <w:color w:val="auto"/>
          <w:sz w:val="22"/>
        </w:rPr>
        <w:t xml:space="preserve"> </w:t>
      </w:r>
    </w:p>
    <w:p w14:paraId="3DE55A25" w14:textId="77777777" w:rsidR="00995D8C" w:rsidRPr="002A0BDB" w:rsidRDefault="00995D8C" w:rsidP="00995D8C">
      <w:pPr>
        <w:spacing w:line="360" w:lineRule="auto"/>
        <w:jc w:val="both"/>
        <w:rPr>
          <w:rFonts w:ascii="Arial" w:hAnsi="Arial" w:cs="Arial"/>
        </w:rPr>
      </w:pPr>
    </w:p>
    <w:p w14:paraId="22C016C2" w14:textId="77777777" w:rsidR="00995D8C" w:rsidRPr="002A0BDB" w:rsidRDefault="00995D8C" w:rsidP="00995D8C">
      <w:pPr>
        <w:spacing w:line="360" w:lineRule="auto"/>
        <w:jc w:val="both"/>
        <w:rPr>
          <w:rFonts w:ascii="Arial" w:hAnsi="Arial" w:cs="Arial"/>
        </w:rPr>
      </w:pPr>
      <w:r w:rsidRPr="002A0BDB">
        <w:rPr>
          <w:rFonts w:ascii="Arial" w:hAnsi="Arial" w:cs="Arial"/>
        </w:rPr>
        <w:t xml:space="preserve">There are some more perspectives that have not been exhausted in this dissertation and should be investigated further. Further studies are required to investigate the socio-behavioural aspects of indirect transmission of cholera, such as community water-use behaviour and adherence to sanitation interventions. There is a need to examine the viability and infectivity of environmental </w:t>
      </w:r>
      <w:r w:rsidRPr="002A0BDB">
        <w:rPr>
          <w:rFonts w:ascii="Arial" w:hAnsi="Arial" w:cs="Arial"/>
          <w:i/>
          <w:iCs/>
        </w:rPr>
        <w:t>Vibrio</w:t>
      </w:r>
      <w:r w:rsidRPr="002A0BDB">
        <w:rPr>
          <w:rFonts w:ascii="Arial" w:hAnsi="Arial" w:cs="Arial"/>
        </w:rPr>
        <w:t xml:space="preserve"> </w:t>
      </w:r>
      <w:proofErr w:type="spellStart"/>
      <w:r w:rsidRPr="002A0BDB">
        <w:rPr>
          <w:rFonts w:ascii="Arial" w:hAnsi="Arial" w:cs="Arial"/>
          <w:i/>
          <w:iCs/>
        </w:rPr>
        <w:t>cholerae</w:t>
      </w:r>
      <w:proofErr w:type="spellEnd"/>
      <w:r w:rsidRPr="002A0BDB">
        <w:rPr>
          <w:rFonts w:ascii="Arial" w:hAnsi="Arial" w:cs="Arial"/>
        </w:rPr>
        <w:t xml:space="preserve"> identified by metagenomics in longitudinal studies. Additionally, the combined real-time monitoring of genomes with climate and </w:t>
      </w:r>
      <w:r w:rsidRPr="002A0BDB">
        <w:rPr>
          <w:rFonts w:ascii="Arial" w:hAnsi="Arial" w:cs="Arial"/>
        </w:rPr>
        <w:lastRenderedPageBreak/>
        <w:t>hydrological models might enhance predictive early-warning systems, which need to be discovered in further research. Furthermore, the evaluation of the cost-effectiveness and scalability of molecular surveillance in low-resource settings is required, and can be analysed in further research.</w:t>
      </w:r>
    </w:p>
    <w:p w14:paraId="3E35D7BC" w14:textId="77777777" w:rsidR="00995D8C" w:rsidRPr="002A0BDB" w:rsidRDefault="00995D8C" w:rsidP="00995D8C">
      <w:pPr>
        <w:pStyle w:val="Heading2"/>
        <w:spacing w:line="360" w:lineRule="auto"/>
        <w:jc w:val="both"/>
        <w:rPr>
          <w:rFonts w:ascii="Arial" w:hAnsi="Arial" w:cs="Arial"/>
          <w:color w:val="auto"/>
          <w:sz w:val="22"/>
        </w:rPr>
      </w:pPr>
      <w:bookmarkStart w:id="108" w:name="_Toc220494171"/>
      <w:r w:rsidRPr="002A0BDB">
        <w:rPr>
          <w:rFonts w:ascii="Arial" w:hAnsi="Arial" w:cs="Arial"/>
          <w:color w:val="auto"/>
          <w:sz w:val="22"/>
        </w:rPr>
        <w:t>6.</w:t>
      </w:r>
      <w:bookmarkEnd w:id="108"/>
      <w:r w:rsidRPr="002A0BDB">
        <w:rPr>
          <w:rFonts w:ascii="Arial" w:hAnsi="Arial" w:cs="Arial"/>
          <w:color w:val="auto"/>
          <w:sz w:val="22"/>
        </w:rPr>
        <w:t xml:space="preserve">4 Contribution </w:t>
      </w:r>
    </w:p>
    <w:p w14:paraId="32A2172C" w14:textId="77777777" w:rsidR="00995D8C" w:rsidRPr="002A0BDB" w:rsidRDefault="00995D8C" w:rsidP="00995D8C">
      <w:pPr>
        <w:spacing w:line="360" w:lineRule="auto"/>
        <w:jc w:val="both"/>
        <w:rPr>
          <w:rFonts w:ascii="Arial" w:hAnsi="Arial" w:cs="Arial"/>
        </w:rPr>
      </w:pPr>
    </w:p>
    <w:p w14:paraId="0F5FBE97" w14:textId="77777777" w:rsidR="00995D8C" w:rsidRPr="002A0BDB" w:rsidRDefault="00995D8C" w:rsidP="00995D8C">
      <w:pPr>
        <w:spacing w:line="360" w:lineRule="auto"/>
        <w:jc w:val="both"/>
        <w:rPr>
          <w:rFonts w:ascii="Arial" w:hAnsi="Arial" w:cs="Arial"/>
        </w:rPr>
      </w:pPr>
      <w:r w:rsidRPr="002A0BDB">
        <w:rPr>
          <w:rFonts w:ascii="Arial" w:hAnsi="Arial" w:cs="Arial"/>
        </w:rPr>
        <w:t xml:space="preserve">This dissertation presents a number of strong points which contribute to its academic rigour and practical value. One of the key strengths is that a systematic and structured method is applied in the synthesis of evidence on molecular epidemiology and indirect transmission of cholera. The combination of high-resolution molecular methods, such as whole-genome sequencing, metagenomics, and phylogenetic analysis, facilitated an in-depth study of transmission pathways, environmental persistence, and antimicrobial resistance. Moreover, the structured findings enabled a transparent correspondence to understand the interaction between molecular, environmental and public health determinants towards the spread of cholera. Furthermore, the quantitative genomic and environmental evidence contributed to the validity of the analysis and enhanced the accessibility to make measurable decisions on population health. </w:t>
      </w:r>
    </w:p>
    <w:p w14:paraId="671F64E5" w14:textId="77777777" w:rsidR="00995D8C" w:rsidRPr="002A0BDB" w:rsidRDefault="00995D8C" w:rsidP="00995D8C">
      <w:pPr>
        <w:spacing w:line="360" w:lineRule="auto"/>
        <w:jc w:val="both"/>
        <w:rPr>
          <w:rFonts w:ascii="Arial" w:hAnsi="Arial" w:cs="Arial"/>
        </w:rPr>
      </w:pPr>
      <w:r w:rsidRPr="002A0BDB">
        <w:rPr>
          <w:rFonts w:ascii="Arial" w:hAnsi="Arial" w:cs="Arial"/>
        </w:rPr>
        <w:t>The research has significant strength, though it has some limitations and possible sources of bias that need to be addressed. The dissertation was based on secondary sources of information that included published literature, and this can cause a publication bias because only studies that present meaningful results will be published. Additionally, the differences in study design, demography and methodology used in the literature review might show inconsistency in the results. Moreover, all the articles that were excluded during the research were either not in the English language or not accessible to the researchers. Therefore, these limitations can have an impact on generalisability, but they do not question the validity of the conclusions and also demand future research with improved methodological strategies.</w:t>
      </w:r>
    </w:p>
    <w:p w14:paraId="05FED6EE" w14:textId="3A6E8E51" w:rsidR="009F64C5" w:rsidRPr="002A0BDB" w:rsidRDefault="00995D8C" w:rsidP="00995D8C">
      <w:pPr>
        <w:spacing w:after="0" w:line="360" w:lineRule="auto"/>
        <w:jc w:val="both"/>
        <w:rPr>
          <w:rFonts w:asciiTheme="minorBidi" w:hAnsiTheme="minorBidi"/>
        </w:rPr>
      </w:pPr>
      <w:r w:rsidRPr="002A0BDB">
        <w:rPr>
          <w:rFonts w:ascii="Arial" w:hAnsi="Arial" w:cs="Arial"/>
        </w:rPr>
        <w:t>In conclusion, the research highlights the importance of the coordinated approach, which involves the combination of molecular surveillance, environmental management, and the activity of public health in the context of the control of an indirect cholera spread. It is necessary to reinforce these combined measures to decrease the number of cases of cholera in the world and to increase the capacity to resist new outbreaks.</w:t>
      </w:r>
      <w:r w:rsidR="009F64C5" w:rsidRPr="002A0BDB">
        <w:rPr>
          <w:rFonts w:asciiTheme="minorBidi" w:hAnsiTheme="minorBidi"/>
        </w:rPr>
        <w:tab/>
      </w:r>
      <w:r w:rsidR="009F64C5" w:rsidRPr="002A0BDB">
        <w:rPr>
          <w:rFonts w:asciiTheme="minorBidi" w:eastAsia="Calibri" w:hAnsiTheme="minorBidi"/>
        </w:rPr>
        <w:t xml:space="preserve"> </w:t>
      </w:r>
    </w:p>
    <w:p w14:paraId="21668B29" w14:textId="77777777" w:rsidR="009706D0" w:rsidRPr="002A0BDB" w:rsidRDefault="009706D0">
      <w:pPr>
        <w:rPr>
          <w:rFonts w:asciiTheme="minorBidi" w:eastAsia="Times New Roman" w:hAnsiTheme="minorBidi"/>
          <w:b/>
          <w:sz w:val="24"/>
        </w:rPr>
      </w:pPr>
      <w:r w:rsidRPr="002A0BDB">
        <w:rPr>
          <w:rFonts w:asciiTheme="minorBidi" w:hAnsiTheme="minorBidi"/>
        </w:rPr>
        <w:br w:type="page"/>
      </w:r>
    </w:p>
    <w:p w14:paraId="1C880B3B" w14:textId="6A4CDA7B" w:rsidR="009F64C5" w:rsidRPr="002A0BDB" w:rsidRDefault="009F64C5">
      <w:pPr>
        <w:pStyle w:val="Heading1"/>
        <w:ind w:left="12" w:right="6"/>
        <w:rPr>
          <w:rFonts w:asciiTheme="minorBidi" w:hAnsiTheme="minorBidi" w:cstheme="minorBidi"/>
          <w:color w:val="auto"/>
        </w:rPr>
      </w:pPr>
      <w:bookmarkStart w:id="109" w:name="_Toc220498174"/>
      <w:r w:rsidRPr="002A0BDB">
        <w:rPr>
          <w:rFonts w:asciiTheme="minorBidi" w:hAnsiTheme="minorBidi" w:cstheme="minorBidi"/>
          <w:color w:val="auto"/>
        </w:rPr>
        <w:lastRenderedPageBreak/>
        <w:t>Reference list</w:t>
      </w:r>
      <w:bookmarkEnd w:id="109"/>
      <w:r w:rsidRPr="002A0BDB">
        <w:rPr>
          <w:rFonts w:asciiTheme="minorBidi" w:hAnsiTheme="minorBidi" w:cstheme="minorBidi"/>
          <w:color w:val="auto"/>
        </w:rPr>
        <w:t xml:space="preserve"> </w:t>
      </w:r>
    </w:p>
    <w:p w14:paraId="2A2394B3" w14:textId="77777777" w:rsidR="009F64C5" w:rsidRPr="002A0BDB" w:rsidRDefault="009F64C5">
      <w:pPr>
        <w:spacing w:after="172"/>
        <w:rPr>
          <w:rFonts w:asciiTheme="minorBidi" w:hAnsiTheme="minorBidi"/>
        </w:rPr>
      </w:pPr>
      <w:r w:rsidRPr="002A0BDB">
        <w:rPr>
          <w:rFonts w:asciiTheme="minorBidi" w:eastAsia="Calibri" w:hAnsiTheme="minorBidi"/>
        </w:rPr>
        <w:t xml:space="preserve"> </w:t>
      </w:r>
    </w:p>
    <w:p w14:paraId="3BDA6A18"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rPr>
        <w:t xml:space="preserve">Acharya, S. (2023). </w:t>
      </w:r>
      <w:r w:rsidRPr="002A0BDB">
        <w:rPr>
          <w:rFonts w:ascii="Arial" w:hAnsi="Arial" w:cs="Arial"/>
          <w:i/>
          <w:iCs/>
        </w:rPr>
        <w:t>The Germ Theory of Disease: Experiments, and Applications • Microbe Online</w:t>
      </w:r>
      <w:r w:rsidRPr="002A0BDB">
        <w:rPr>
          <w:rFonts w:ascii="Arial" w:hAnsi="Arial" w:cs="Arial"/>
        </w:rPr>
        <w:t>. Available at:</w:t>
      </w:r>
      <w:hyperlink r:id="rId21">
        <w:r w:rsidRPr="002A0BDB">
          <w:rPr>
            <w:rFonts w:ascii="Arial" w:hAnsi="Arial" w:cs="Arial"/>
          </w:rPr>
          <w:t xml:space="preserve"> </w:t>
        </w:r>
      </w:hyperlink>
      <w:hyperlink r:id="rId22">
        <w:r w:rsidRPr="002A0BDB">
          <w:rPr>
            <w:rFonts w:ascii="Arial" w:hAnsi="Arial" w:cs="Arial"/>
            <w:u w:val="single"/>
          </w:rPr>
          <w:t>https://microbeonline.com/the-germ-theory-of-disease-experiments-an-applications/</w:t>
        </w:r>
      </w:hyperlink>
      <w:r w:rsidRPr="002A0BDB">
        <w:rPr>
          <w:rFonts w:ascii="Arial" w:hAnsi="Arial" w:cs="Arial"/>
        </w:rPr>
        <w:t xml:space="preserve"> (Accessed: 17 January 2026)</w:t>
      </w:r>
    </w:p>
    <w:p w14:paraId="452501E5" w14:textId="77777777" w:rsidR="00D6053C" w:rsidRPr="002A0BDB" w:rsidRDefault="00D6053C" w:rsidP="00D6053C">
      <w:pPr>
        <w:pBdr>
          <w:top w:val="nil"/>
          <w:left w:val="nil"/>
          <w:bottom w:val="nil"/>
          <w:right w:val="nil"/>
          <w:between w:val="nil"/>
        </w:pBdr>
        <w:spacing w:before="240" w:line="360" w:lineRule="auto"/>
        <w:jc w:val="both"/>
        <w:rPr>
          <w:rFonts w:ascii="Arial" w:hAnsi="Arial" w:cs="Arial"/>
        </w:rPr>
      </w:pPr>
      <w:proofErr w:type="spellStart"/>
      <w:r w:rsidRPr="002A0BDB">
        <w:rPr>
          <w:rFonts w:ascii="Arial" w:hAnsi="Arial" w:cs="Arial"/>
        </w:rPr>
        <w:t>Adeniyi</w:t>
      </w:r>
      <w:proofErr w:type="spellEnd"/>
      <w:r w:rsidRPr="002A0BDB">
        <w:rPr>
          <w:rFonts w:ascii="Arial" w:hAnsi="Arial" w:cs="Arial"/>
        </w:rPr>
        <w:t>, E.O., (2024). Transmission Dynamics And Control Of Cholera In Africa: A Mathematical Modelling Approach.</w:t>
      </w:r>
    </w:p>
    <w:p w14:paraId="37C68C9A" w14:textId="77777777" w:rsidR="00D6053C" w:rsidRPr="002A0BDB" w:rsidRDefault="00D6053C" w:rsidP="00D6053C">
      <w:pPr>
        <w:spacing w:after="240" w:line="360" w:lineRule="auto"/>
        <w:jc w:val="both"/>
        <w:rPr>
          <w:rFonts w:ascii="Arial" w:hAnsi="Arial" w:cs="Arial"/>
        </w:rPr>
      </w:pPr>
      <w:r w:rsidRPr="002A0BDB">
        <w:rPr>
          <w:rFonts w:ascii="Arial" w:hAnsi="Arial" w:cs="Arial"/>
        </w:rPr>
        <w:t xml:space="preserve">Archer, E.J., Baker-Austin, C., Osborn, T.J., Jones, N.R., </w:t>
      </w:r>
      <w:proofErr w:type="spellStart"/>
      <w:r w:rsidRPr="002A0BDB">
        <w:rPr>
          <w:rFonts w:ascii="Arial" w:hAnsi="Arial" w:cs="Arial"/>
        </w:rPr>
        <w:t>Martínez-Urtaza</w:t>
      </w:r>
      <w:proofErr w:type="spellEnd"/>
      <w:r w:rsidRPr="002A0BDB">
        <w:rPr>
          <w:rFonts w:ascii="Arial" w:hAnsi="Arial" w:cs="Arial"/>
        </w:rPr>
        <w:t xml:space="preserve">, J., </w:t>
      </w:r>
      <w:proofErr w:type="spellStart"/>
      <w:r w:rsidRPr="002A0BDB">
        <w:rPr>
          <w:rFonts w:ascii="Arial" w:hAnsi="Arial" w:cs="Arial"/>
        </w:rPr>
        <w:t>Trinanes</w:t>
      </w:r>
      <w:proofErr w:type="spellEnd"/>
      <w:r w:rsidRPr="002A0BDB">
        <w:rPr>
          <w:rFonts w:ascii="Arial" w:hAnsi="Arial" w:cs="Arial"/>
        </w:rPr>
        <w:t xml:space="preserve">, J., Oliver, J.D., González, F.J.C. and Lake, I.R. (2023). Climate warming and increasing Vibrio </w:t>
      </w:r>
      <w:proofErr w:type="spellStart"/>
      <w:r w:rsidRPr="002A0BDB">
        <w:rPr>
          <w:rFonts w:ascii="Arial" w:hAnsi="Arial" w:cs="Arial"/>
        </w:rPr>
        <w:t>vulnificus</w:t>
      </w:r>
      <w:proofErr w:type="spellEnd"/>
      <w:r w:rsidRPr="002A0BDB">
        <w:rPr>
          <w:rFonts w:ascii="Arial" w:hAnsi="Arial" w:cs="Arial"/>
        </w:rPr>
        <w:t xml:space="preserve"> infections in North America. </w:t>
      </w:r>
      <w:r w:rsidRPr="002A0BDB">
        <w:rPr>
          <w:rFonts w:ascii="Arial" w:hAnsi="Arial" w:cs="Arial"/>
          <w:i/>
          <w:iCs/>
        </w:rPr>
        <w:t>Scientific Reports</w:t>
      </w:r>
      <w:r w:rsidRPr="002A0BDB">
        <w:rPr>
          <w:rFonts w:ascii="Arial" w:hAnsi="Arial" w:cs="Arial"/>
        </w:rPr>
        <w:t xml:space="preserve">, [online] 13(1), p.3893. </w:t>
      </w:r>
    </w:p>
    <w:p w14:paraId="570CC4B0"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rPr>
        <w:t xml:space="preserve">Arias, G. and Li, L. (2025).Towards </w:t>
      </w:r>
      <w:proofErr w:type="spellStart"/>
      <w:r w:rsidRPr="002A0BDB">
        <w:rPr>
          <w:rFonts w:ascii="Arial" w:hAnsi="Arial" w:cs="Arial"/>
        </w:rPr>
        <w:t>Coexistence?NavigatingInterpretivism</w:t>
      </w:r>
      <w:proofErr w:type="spellEnd"/>
      <w:r w:rsidRPr="002A0BDB">
        <w:rPr>
          <w:rFonts w:ascii="Arial" w:hAnsi="Arial" w:cs="Arial"/>
        </w:rPr>
        <w:t xml:space="preserve"> and Positivism in an Early Childhood Professional Development </w:t>
      </w:r>
      <w:proofErr w:type="spellStart"/>
      <w:r w:rsidRPr="002A0BDB">
        <w:rPr>
          <w:rFonts w:ascii="Arial" w:hAnsi="Arial" w:cs="Arial"/>
        </w:rPr>
        <w:t>Program.</w:t>
      </w:r>
      <w:r w:rsidRPr="002A0BDB">
        <w:rPr>
          <w:rFonts w:ascii="Arial" w:hAnsi="Arial" w:cs="Arial"/>
          <w:i/>
          <w:iCs/>
        </w:rPr>
        <w:t>Education</w:t>
      </w:r>
      <w:proofErr w:type="spellEnd"/>
      <w:r w:rsidRPr="002A0BDB">
        <w:rPr>
          <w:rFonts w:ascii="Arial" w:hAnsi="Arial" w:cs="Arial"/>
          <w:i/>
          <w:iCs/>
        </w:rPr>
        <w:t xml:space="preserve"> Sciences</w:t>
      </w:r>
      <w:r w:rsidRPr="002A0BDB">
        <w:rPr>
          <w:rFonts w:ascii="Arial" w:hAnsi="Arial" w:cs="Arial"/>
        </w:rPr>
        <w:t>, 15(9), pp.1193–1193.</w:t>
      </w:r>
    </w:p>
    <w:p w14:paraId="1FE27E7D"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Asantewaa</w:t>
      </w:r>
      <w:proofErr w:type="spellEnd"/>
      <w:r w:rsidRPr="002A0BDB">
        <w:rPr>
          <w:rFonts w:ascii="Arial" w:hAnsi="Arial" w:cs="Arial"/>
        </w:rPr>
        <w:t xml:space="preserve">, A.A., </w:t>
      </w:r>
      <w:proofErr w:type="spellStart"/>
      <w:r w:rsidRPr="002A0BDB">
        <w:rPr>
          <w:rFonts w:ascii="Arial" w:hAnsi="Arial" w:cs="Arial"/>
        </w:rPr>
        <w:t>Odoom</w:t>
      </w:r>
      <w:proofErr w:type="spellEnd"/>
      <w:r w:rsidRPr="002A0BDB">
        <w:rPr>
          <w:rFonts w:ascii="Arial" w:hAnsi="Arial" w:cs="Arial"/>
        </w:rPr>
        <w:t xml:space="preserve">, A., </w:t>
      </w:r>
      <w:proofErr w:type="spellStart"/>
      <w:r w:rsidRPr="002A0BDB">
        <w:rPr>
          <w:rFonts w:ascii="Arial" w:hAnsi="Arial" w:cs="Arial"/>
        </w:rPr>
        <w:t>GodfredOwusu-Okyere</w:t>
      </w:r>
      <w:proofErr w:type="spellEnd"/>
      <w:r w:rsidRPr="002A0BDB">
        <w:rPr>
          <w:rFonts w:ascii="Arial" w:hAnsi="Arial" w:cs="Arial"/>
        </w:rPr>
        <w:t xml:space="preserve"> and </w:t>
      </w:r>
      <w:proofErr w:type="spellStart"/>
      <w:r w:rsidRPr="002A0BDB">
        <w:rPr>
          <w:rFonts w:ascii="Arial" w:hAnsi="Arial" w:cs="Arial"/>
        </w:rPr>
        <w:t>Donkor</w:t>
      </w:r>
      <w:proofErr w:type="spellEnd"/>
      <w:r w:rsidRPr="002A0BDB">
        <w:rPr>
          <w:rFonts w:ascii="Arial" w:hAnsi="Arial" w:cs="Arial"/>
        </w:rPr>
        <w:t xml:space="preserve">, E.S. (2024). Cholera Outbreaks in Low- and Middle-Income Countries in the Last Decade: A Systematic Review and Meta-Analysis. </w:t>
      </w:r>
      <w:r w:rsidRPr="002A0BDB">
        <w:rPr>
          <w:rFonts w:ascii="Arial" w:hAnsi="Arial" w:cs="Arial"/>
          <w:i/>
          <w:iCs/>
        </w:rPr>
        <w:t>Microorganisms</w:t>
      </w:r>
      <w:r w:rsidRPr="002A0BDB">
        <w:rPr>
          <w:rFonts w:ascii="Arial" w:hAnsi="Arial" w:cs="Arial"/>
        </w:rPr>
        <w:t>, 12(12), pp.2504–2504.</w:t>
      </w:r>
    </w:p>
    <w:p w14:paraId="4F1B4020"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rPr>
        <w:t xml:space="preserve">Bae, D., Song, K.-Y., </w:t>
      </w:r>
      <w:proofErr w:type="spellStart"/>
      <w:r w:rsidRPr="002A0BDB">
        <w:rPr>
          <w:rFonts w:ascii="Arial" w:hAnsi="Arial" w:cs="Arial"/>
        </w:rPr>
        <w:t>Macoy</w:t>
      </w:r>
      <w:proofErr w:type="spellEnd"/>
      <w:r w:rsidRPr="002A0BDB">
        <w:rPr>
          <w:rFonts w:ascii="Arial" w:hAnsi="Arial" w:cs="Arial"/>
        </w:rPr>
        <w:t>, D.M., Kim, M.G., Lee, C.-</w:t>
      </w:r>
      <w:proofErr w:type="spellStart"/>
      <w:r w:rsidRPr="002A0BDB">
        <w:rPr>
          <w:rFonts w:ascii="Arial" w:hAnsi="Arial" w:cs="Arial"/>
        </w:rPr>
        <w:t>K.and</w:t>
      </w:r>
      <w:proofErr w:type="spellEnd"/>
      <w:r w:rsidRPr="002A0BDB">
        <w:rPr>
          <w:rFonts w:ascii="Arial" w:hAnsi="Arial" w:cs="Arial"/>
        </w:rPr>
        <w:t xml:space="preserve"> Kim, Y.-S.(2022). Inactivation of Airborne Avian Pathogenic E. coli (APEC) via Application of a Novel High-Pressure Spraying </w:t>
      </w:r>
      <w:proofErr w:type="spellStart"/>
      <w:r w:rsidRPr="002A0BDB">
        <w:rPr>
          <w:rFonts w:ascii="Arial" w:hAnsi="Arial" w:cs="Arial"/>
        </w:rPr>
        <w:t>System.</w:t>
      </w:r>
      <w:r w:rsidRPr="002A0BDB">
        <w:rPr>
          <w:rFonts w:ascii="Arial" w:hAnsi="Arial" w:cs="Arial"/>
          <w:i/>
          <w:iCs/>
        </w:rPr>
        <w:t>Microorganisms</w:t>
      </w:r>
      <w:proofErr w:type="spellEnd"/>
      <w:r w:rsidRPr="002A0BDB">
        <w:rPr>
          <w:rFonts w:ascii="Arial" w:hAnsi="Arial" w:cs="Arial"/>
        </w:rPr>
        <w:t>, 10(11), p.2201.</w:t>
      </w:r>
    </w:p>
    <w:p w14:paraId="6377E6BC" w14:textId="77777777" w:rsidR="00D6053C" w:rsidRPr="002A0BDB" w:rsidRDefault="00D6053C" w:rsidP="00D6053C">
      <w:pPr>
        <w:spacing w:after="240" w:line="360" w:lineRule="auto"/>
        <w:jc w:val="both"/>
        <w:rPr>
          <w:rFonts w:ascii="Arial" w:hAnsi="Arial" w:cs="Arial"/>
        </w:rPr>
      </w:pPr>
      <w:proofErr w:type="spellStart"/>
      <w:r w:rsidRPr="002A0BDB">
        <w:rPr>
          <w:rFonts w:ascii="Arial" w:hAnsi="Arial" w:cs="Arial"/>
        </w:rPr>
        <w:t>Bastin</w:t>
      </w:r>
      <w:proofErr w:type="spellEnd"/>
      <w:r w:rsidRPr="002A0BDB">
        <w:rPr>
          <w:rFonts w:ascii="Arial" w:hAnsi="Arial" w:cs="Arial"/>
        </w:rPr>
        <w:t xml:space="preserve">, A., </w:t>
      </w:r>
      <w:proofErr w:type="spellStart"/>
      <w:r w:rsidRPr="002A0BDB">
        <w:rPr>
          <w:rFonts w:ascii="Arial" w:hAnsi="Arial" w:cs="Arial"/>
        </w:rPr>
        <w:t>Knabe</w:t>
      </w:r>
      <w:proofErr w:type="spellEnd"/>
      <w:r w:rsidRPr="002A0BDB">
        <w:rPr>
          <w:rFonts w:ascii="Arial" w:hAnsi="Arial" w:cs="Arial"/>
        </w:rPr>
        <w:t xml:space="preserve">, L. and Simpson, M. (2024). Climate Change and Cholera: A Review Exploring the Association Between Storm Severity and Global Human Vibrio spp. Incidence. </w:t>
      </w:r>
      <w:r w:rsidRPr="002A0BDB">
        <w:rPr>
          <w:rFonts w:ascii="Arial" w:hAnsi="Arial" w:cs="Arial"/>
          <w:i/>
          <w:iCs/>
        </w:rPr>
        <w:t>Georgetown Medical Review</w:t>
      </w:r>
      <w:r w:rsidRPr="002A0BDB">
        <w:rPr>
          <w:rFonts w:ascii="Arial" w:hAnsi="Arial" w:cs="Arial"/>
        </w:rPr>
        <w:t>, 8(1).</w:t>
      </w:r>
    </w:p>
    <w:p w14:paraId="09DBB5B5"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Biplab</w:t>
      </w:r>
      <w:proofErr w:type="spellEnd"/>
      <w:r w:rsidRPr="002A0BDB">
        <w:rPr>
          <w:rFonts w:ascii="Arial" w:eastAsia="Times New Roman" w:hAnsi="Arial" w:cs="Arial"/>
        </w:rPr>
        <w:t xml:space="preserve"> </w:t>
      </w:r>
      <w:proofErr w:type="spellStart"/>
      <w:r w:rsidRPr="002A0BDB">
        <w:rPr>
          <w:rFonts w:ascii="Arial" w:eastAsia="Times New Roman" w:hAnsi="Arial" w:cs="Arial"/>
        </w:rPr>
        <w:t>Maity</w:t>
      </w:r>
      <w:proofErr w:type="spellEnd"/>
      <w:r w:rsidRPr="002A0BDB">
        <w:rPr>
          <w:rFonts w:ascii="Arial" w:eastAsia="Times New Roman" w:hAnsi="Arial" w:cs="Arial"/>
        </w:rPr>
        <w:t xml:space="preserve">, Banerjee, S., Abhishek </w:t>
      </w:r>
      <w:proofErr w:type="spellStart"/>
      <w:r w:rsidRPr="002A0BDB">
        <w:rPr>
          <w:rFonts w:ascii="Arial" w:eastAsia="Times New Roman" w:hAnsi="Arial" w:cs="Arial"/>
        </w:rPr>
        <w:t>Senapati</w:t>
      </w:r>
      <w:proofErr w:type="spellEnd"/>
      <w:r w:rsidRPr="002A0BDB">
        <w:rPr>
          <w:rFonts w:ascii="Arial" w:eastAsia="Times New Roman" w:hAnsi="Arial" w:cs="Arial"/>
        </w:rPr>
        <w:t xml:space="preserve">, </w:t>
      </w:r>
      <w:proofErr w:type="spellStart"/>
      <w:r w:rsidRPr="002A0BDB">
        <w:rPr>
          <w:rFonts w:ascii="Arial" w:eastAsia="Times New Roman" w:hAnsi="Arial" w:cs="Arial"/>
        </w:rPr>
        <w:t>Pitchford</w:t>
      </w:r>
      <w:proofErr w:type="spellEnd"/>
      <w:r w:rsidRPr="002A0BDB">
        <w:rPr>
          <w:rFonts w:ascii="Arial" w:eastAsia="Times New Roman" w:hAnsi="Arial" w:cs="Arial"/>
        </w:rPr>
        <w:t xml:space="preserve">, J., &amp; </w:t>
      </w:r>
      <w:proofErr w:type="spellStart"/>
      <w:r w:rsidRPr="002A0BDB">
        <w:rPr>
          <w:rFonts w:ascii="Arial" w:eastAsia="Times New Roman" w:hAnsi="Arial" w:cs="Arial"/>
        </w:rPr>
        <w:t>Chattopadhyay</w:t>
      </w:r>
      <w:proofErr w:type="spellEnd"/>
      <w:r w:rsidRPr="002A0BDB">
        <w:rPr>
          <w:rFonts w:ascii="Arial" w:eastAsia="Times New Roman" w:hAnsi="Arial" w:cs="Arial"/>
        </w:rPr>
        <w:t xml:space="preserve">, J. (2025). Coupling plankton and cholera dynamics: Insights into outbreak prediction and practical disease management. </w:t>
      </w:r>
      <w:proofErr w:type="spellStart"/>
      <w:r w:rsidRPr="002A0BDB">
        <w:rPr>
          <w:rFonts w:ascii="Arial" w:eastAsia="Times New Roman" w:hAnsi="Arial" w:cs="Arial"/>
          <w:i/>
          <w:iCs/>
        </w:rPr>
        <w:t>PLoS</w:t>
      </w:r>
      <w:proofErr w:type="spellEnd"/>
      <w:r w:rsidRPr="002A0BDB">
        <w:rPr>
          <w:rFonts w:ascii="Arial" w:eastAsia="Times New Roman" w:hAnsi="Arial" w:cs="Arial"/>
          <w:i/>
          <w:iCs/>
        </w:rPr>
        <w:t xml:space="preserve"> Computational Biology</w:t>
      </w:r>
      <w:r w:rsidRPr="002A0BDB">
        <w:rPr>
          <w:rFonts w:ascii="Arial" w:eastAsia="Times New Roman" w:hAnsi="Arial" w:cs="Arial"/>
        </w:rPr>
        <w:t xml:space="preserve">, </w:t>
      </w:r>
      <w:r w:rsidRPr="002A0BDB">
        <w:rPr>
          <w:rFonts w:ascii="Arial" w:eastAsia="Times New Roman" w:hAnsi="Arial" w:cs="Arial"/>
          <w:i/>
          <w:iCs/>
        </w:rPr>
        <w:t>21</w:t>
      </w:r>
      <w:r w:rsidRPr="002A0BDB">
        <w:rPr>
          <w:rFonts w:ascii="Arial" w:eastAsia="Times New Roman" w:hAnsi="Arial" w:cs="Arial"/>
        </w:rPr>
        <w:t>(9), e1013523–e1013523.  </w:t>
      </w:r>
    </w:p>
    <w:p w14:paraId="4CD69A73" w14:textId="77777777" w:rsidR="00D6053C" w:rsidRPr="002A0BDB" w:rsidRDefault="00D6053C" w:rsidP="00D6053C">
      <w:pPr>
        <w:spacing w:after="240" w:line="360" w:lineRule="auto"/>
        <w:jc w:val="both"/>
        <w:rPr>
          <w:rFonts w:ascii="Arial" w:hAnsi="Arial" w:cs="Arial"/>
        </w:rPr>
      </w:pPr>
      <w:r w:rsidRPr="002A0BDB">
        <w:rPr>
          <w:rFonts w:ascii="Arial" w:hAnsi="Arial" w:cs="Arial"/>
        </w:rPr>
        <w:t xml:space="preserve">Brumfield, K.D., </w:t>
      </w:r>
      <w:proofErr w:type="spellStart"/>
      <w:r w:rsidRPr="002A0BDB">
        <w:rPr>
          <w:rFonts w:ascii="Arial" w:hAnsi="Arial" w:cs="Arial"/>
        </w:rPr>
        <w:t>Usmani</w:t>
      </w:r>
      <w:proofErr w:type="spellEnd"/>
      <w:r w:rsidRPr="002A0BDB">
        <w:rPr>
          <w:rFonts w:ascii="Arial" w:hAnsi="Arial" w:cs="Arial"/>
        </w:rPr>
        <w:t xml:space="preserve">, M., Chen, K.M., </w:t>
      </w:r>
      <w:proofErr w:type="spellStart"/>
      <w:r w:rsidRPr="002A0BDB">
        <w:rPr>
          <w:rFonts w:ascii="Arial" w:hAnsi="Arial" w:cs="Arial"/>
        </w:rPr>
        <w:t>Gangwar</w:t>
      </w:r>
      <w:proofErr w:type="spellEnd"/>
      <w:r w:rsidRPr="002A0BDB">
        <w:rPr>
          <w:rFonts w:ascii="Arial" w:hAnsi="Arial" w:cs="Arial"/>
        </w:rPr>
        <w:t xml:space="preserve">, M., </w:t>
      </w:r>
      <w:proofErr w:type="spellStart"/>
      <w:r w:rsidRPr="002A0BDB">
        <w:rPr>
          <w:rFonts w:ascii="Arial" w:hAnsi="Arial" w:cs="Arial"/>
        </w:rPr>
        <w:t>Jutla</w:t>
      </w:r>
      <w:proofErr w:type="spellEnd"/>
      <w:r w:rsidRPr="002A0BDB">
        <w:rPr>
          <w:rFonts w:ascii="Arial" w:hAnsi="Arial" w:cs="Arial"/>
        </w:rPr>
        <w:t xml:space="preserve">, A., </w:t>
      </w:r>
      <w:proofErr w:type="spellStart"/>
      <w:r w:rsidRPr="002A0BDB">
        <w:rPr>
          <w:rFonts w:ascii="Arial" w:hAnsi="Arial" w:cs="Arial"/>
        </w:rPr>
        <w:t>Huq</w:t>
      </w:r>
      <w:proofErr w:type="spellEnd"/>
      <w:r w:rsidRPr="002A0BDB">
        <w:rPr>
          <w:rFonts w:ascii="Arial" w:hAnsi="Arial" w:cs="Arial"/>
        </w:rPr>
        <w:t xml:space="preserve">, A. and Colwell, R.R. (2021). Environmental parameters associated with incidence and transmission of pathogenic </w:t>
      </w:r>
      <w:r w:rsidRPr="002A0BDB">
        <w:rPr>
          <w:rFonts w:ascii="Arial" w:hAnsi="Arial" w:cs="Arial"/>
          <w:i/>
          <w:iCs/>
        </w:rPr>
        <w:t xml:space="preserve">Vibrio </w:t>
      </w:r>
      <w:proofErr w:type="spellStart"/>
      <w:r w:rsidRPr="002A0BDB">
        <w:rPr>
          <w:rFonts w:ascii="Arial" w:hAnsi="Arial" w:cs="Arial"/>
          <w:i/>
          <w:iCs/>
        </w:rPr>
        <w:t>spp</w:t>
      </w:r>
      <w:proofErr w:type="spellEnd"/>
      <w:r w:rsidRPr="002A0BDB">
        <w:rPr>
          <w:rFonts w:ascii="Arial" w:hAnsi="Arial" w:cs="Arial"/>
        </w:rPr>
        <w:t xml:space="preserve"> ..</w:t>
      </w:r>
      <w:r w:rsidRPr="002A0BDB">
        <w:rPr>
          <w:rFonts w:ascii="Arial" w:hAnsi="Arial" w:cs="Arial"/>
          <w:i/>
          <w:iCs/>
        </w:rPr>
        <w:t>Environmental Microbiology</w:t>
      </w:r>
      <w:r w:rsidRPr="002A0BDB">
        <w:rPr>
          <w:rFonts w:ascii="Arial" w:hAnsi="Arial" w:cs="Arial"/>
        </w:rPr>
        <w:t>, 23(12), pp.7314–7340.</w:t>
      </w:r>
    </w:p>
    <w:p w14:paraId="5FF0025F" w14:textId="77777777" w:rsidR="00D6053C" w:rsidRPr="002A0BDB" w:rsidRDefault="00D6053C" w:rsidP="00D6053C">
      <w:pPr>
        <w:pBdr>
          <w:top w:val="nil"/>
          <w:left w:val="nil"/>
          <w:bottom w:val="nil"/>
          <w:right w:val="nil"/>
          <w:between w:val="nil"/>
        </w:pBdr>
        <w:spacing w:before="240" w:line="360" w:lineRule="auto"/>
        <w:jc w:val="both"/>
        <w:rPr>
          <w:rFonts w:ascii="Arial" w:hAnsi="Arial" w:cs="Arial"/>
        </w:rPr>
      </w:pPr>
      <w:proofErr w:type="spellStart"/>
      <w:r w:rsidRPr="002A0BDB">
        <w:rPr>
          <w:rFonts w:ascii="Arial" w:hAnsi="Arial" w:cs="Arial"/>
        </w:rPr>
        <w:t>Carlsson</w:t>
      </w:r>
      <w:proofErr w:type="spellEnd"/>
      <w:r w:rsidRPr="002A0BDB">
        <w:rPr>
          <w:rFonts w:ascii="Arial" w:hAnsi="Arial" w:cs="Arial"/>
        </w:rPr>
        <w:t xml:space="preserve">, F. and </w:t>
      </w:r>
      <w:proofErr w:type="spellStart"/>
      <w:r w:rsidRPr="002A0BDB">
        <w:rPr>
          <w:rFonts w:ascii="Arial" w:hAnsi="Arial" w:cs="Arial"/>
        </w:rPr>
        <w:t>Råberg</w:t>
      </w:r>
      <w:proofErr w:type="spellEnd"/>
      <w:r w:rsidRPr="002A0BDB">
        <w:rPr>
          <w:rFonts w:ascii="Arial" w:hAnsi="Arial" w:cs="Arial"/>
        </w:rPr>
        <w:t xml:space="preserve">, L., (2024). The germ theory revisited: A </w:t>
      </w:r>
      <w:proofErr w:type="spellStart"/>
      <w:r w:rsidRPr="002A0BDB">
        <w:rPr>
          <w:rFonts w:ascii="Arial" w:hAnsi="Arial" w:cs="Arial"/>
        </w:rPr>
        <w:t>noncentric</w:t>
      </w:r>
      <w:proofErr w:type="spellEnd"/>
      <w:r w:rsidRPr="002A0BDB">
        <w:rPr>
          <w:rFonts w:ascii="Arial" w:hAnsi="Arial" w:cs="Arial"/>
        </w:rPr>
        <w:t xml:space="preserve"> view on infection outcome. </w:t>
      </w:r>
      <w:r w:rsidRPr="002A0BDB">
        <w:rPr>
          <w:rFonts w:ascii="Arial" w:hAnsi="Arial" w:cs="Arial"/>
          <w:i/>
          <w:iCs/>
        </w:rPr>
        <w:t>Proceedings of the National Academy of Sciences</w:t>
      </w:r>
      <w:r w:rsidRPr="002A0BDB">
        <w:rPr>
          <w:rFonts w:ascii="Arial" w:hAnsi="Arial" w:cs="Arial"/>
        </w:rPr>
        <w:t>, 121(17), p.e2319605121.</w:t>
      </w:r>
    </w:p>
    <w:p w14:paraId="1597D320" w14:textId="77777777" w:rsidR="00D6053C" w:rsidRPr="002A0BDB" w:rsidRDefault="00D6053C" w:rsidP="00D6053C">
      <w:pPr>
        <w:spacing w:before="240" w:line="360" w:lineRule="auto"/>
        <w:jc w:val="both"/>
        <w:rPr>
          <w:rFonts w:ascii="Arial" w:hAnsi="Arial" w:cs="Arial"/>
        </w:rPr>
      </w:pPr>
      <w:r w:rsidRPr="002A0BDB">
        <w:rPr>
          <w:rFonts w:ascii="Arial" w:hAnsi="Arial" w:cs="Arial"/>
        </w:rPr>
        <w:lastRenderedPageBreak/>
        <w:t xml:space="preserve">Casanova, J.L. and Abel, L., (2021). Lethal infectious diseases as inborn errors of immunity: toward a synthesis of the germ and genetic theories. </w:t>
      </w:r>
      <w:r w:rsidRPr="002A0BDB">
        <w:rPr>
          <w:rFonts w:ascii="Arial" w:hAnsi="Arial" w:cs="Arial"/>
          <w:i/>
          <w:iCs/>
        </w:rPr>
        <w:t>Annual Review of Pathology: Mechanisms of Disease</w:t>
      </w:r>
      <w:r w:rsidRPr="002A0BDB">
        <w:rPr>
          <w:rFonts w:ascii="Arial" w:hAnsi="Arial" w:cs="Arial"/>
        </w:rPr>
        <w:t>, 16(1), pp.23-50.</w:t>
      </w:r>
    </w:p>
    <w:p w14:paraId="7C8B3994"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shd w:val="clear" w:color="auto" w:fill="FFFFFF"/>
        </w:rPr>
        <w:t>Casanova, J.L., (2023). From second thoughts on the germ theory to a full-blown host theory. </w:t>
      </w:r>
      <w:r w:rsidRPr="002A0BDB">
        <w:rPr>
          <w:rFonts w:ascii="Arial" w:hAnsi="Arial" w:cs="Arial"/>
          <w:i/>
          <w:iCs/>
          <w:shd w:val="clear" w:color="auto" w:fill="FFFFFF"/>
        </w:rPr>
        <w:t>Proceedings of the National Academy of Sciences</w:t>
      </w:r>
      <w:r w:rsidRPr="002A0BDB">
        <w:rPr>
          <w:rFonts w:ascii="Arial" w:hAnsi="Arial" w:cs="Arial"/>
          <w:shd w:val="clear" w:color="auto" w:fill="FFFFFF"/>
        </w:rPr>
        <w:t>, </w:t>
      </w:r>
      <w:r w:rsidRPr="002A0BDB">
        <w:rPr>
          <w:rFonts w:ascii="Arial" w:hAnsi="Arial" w:cs="Arial"/>
          <w:i/>
          <w:iCs/>
          <w:shd w:val="clear" w:color="auto" w:fill="FFFFFF"/>
        </w:rPr>
        <w:t>120</w:t>
      </w:r>
      <w:r w:rsidRPr="002A0BDB">
        <w:rPr>
          <w:rFonts w:ascii="Arial" w:hAnsi="Arial" w:cs="Arial"/>
          <w:shd w:val="clear" w:color="auto" w:fill="FFFFFF"/>
        </w:rPr>
        <w:t>(26), p.e2301186120.</w:t>
      </w:r>
    </w:p>
    <w:p w14:paraId="042CE37F"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Chowdhury, F., Ross, A.G., Islam, M.T., McMillan, N.A. and </w:t>
      </w:r>
      <w:proofErr w:type="spellStart"/>
      <w:r w:rsidRPr="002A0BDB">
        <w:rPr>
          <w:rFonts w:ascii="Arial" w:hAnsi="Arial" w:cs="Arial"/>
        </w:rPr>
        <w:t>Qadri</w:t>
      </w:r>
      <w:proofErr w:type="spellEnd"/>
      <w:r w:rsidRPr="002A0BDB">
        <w:rPr>
          <w:rFonts w:ascii="Arial" w:hAnsi="Arial" w:cs="Arial"/>
        </w:rPr>
        <w:t xml:space="preserve">, F., (2022). Diagnosis, management, and future control of cholera. </w:t>
      </w:r>
      <w:r w:rsidRPr="002A0BDB">
        <w:rPr>
          <w:rFonts w:ascii="Arial" w:hAnsi="Arial" w:cs="Arial"/>
          <w:i/>
          <w:iCs/>
        </w:rPr>
        <w:t>Clinical Microbiology Reviews</w:t>
      </w:r>
      <w:r w:rsidRPr="002A0BDB">
        <w:rPr>
          <w:rFonts w:ascii="Arial" w:hAnsi="Arial" w:cs="Arial"/>
        </w:rPr>
        <w:t xml:space="preserve">, </w:t>
      </w:r>
      <w:r w:rsidRPr="002A0BDB">
        <w:rPr>
          <w:rFonts w:ascii="Arial" w:hAnsi="Arial" w:cs="Arial"/>
          <w:i/>
          <w:iCs/>
        </w:rPr>
        <w:t>35</w:t>
      </w:r>
      <w:r w:rsidRPr="002A0BDB">
        <w:rPr>
          <w:rFonts w:ascii="Arial" w:hAnsi="Arial" w:cs="Arial"/>
        </w:rPr>
        <w:t>(3), pp.e00211-21.</w:t>
      </w:r>
    </w:p>
    <w:p w14:paraId="49203503"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rPr>
        <w:t xml:space="preserve">Clare, J. and </w:t>
      </w:r>
      <w:proofErr w:type="spellStart"/>
      <w:r w:rsidRPr="002A0BDB">
        <w:rPr>
          <w:rFonts w:ascii="Arial" w:hAnsi="Arial" w:cs="Arial"/>
        </w:rPr>
        <w:t>Kourousis</w:t>
      </w:r>
      <w:proofErr w:type="spellEnd"/>
      <w:r w:rsidRPr="002A0BDB">
        <w:rPr>
          <w:rFonts w:ascii="Arial" w:hAnsi="Arial" w:cs="Arial"/>
        </w:rPr>
        <w:t xml:space="preserve">, K.I. (2021). Learning from Incidents: A Qualitative Study in the Continuing Airworthiness Sector. </w:t>
      </w:r>
      <w:r w:rsidRPr="002A0BDB">
        <w:rPr>
          <w:rFonts w:ascii="Arial" w:hAnsi="Arial" w:cs="Arial"/>
          <w:i/>
          <w:iCs/>
        </w:rPr>
        <w:t>Aerospace</w:t>
      </w:r>
      <w:r w:rsidRPr="002A0BDB">
        <w:rPr>
          <w:rFonts w:ascii="Arial" w:hAnsi="Arial" w:cs="Arial"/>
        </w:rPr>
        <w:t>, 8(2), p.27.</w:t>
      </w:r>
    </w:p>
    <w:p w14:paraId="739E7E91"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Debasish</w:t>
      </w:r>
      <w:proofErr w:type="spellEnd"/>
      <w:r w:rsidRPr="002A0BDB">
        <w:rPr>
          <w:rFonts w:ascii="Arial" w:eastAsia="Times New Roman" w:hAnsi="Arial" w:cs="Arial"/>
        </w:rPr>
        <w:t xml:space="preserve"> </w:t>
      </w:r>
      <w:proofErr w:type="spellStart"/>
      <w:r w:rsidRPr="002A0BDB">
        <w:rPr>
          <w:rFonts w:ascii="Arial" w:eastAsia="Times New Roman" w:hAnsi="Arial" w:cs="Arial"/>
        </w:rPr>
        <w:t>Samal</w:t>
      </w:r>
      <w:proofErr w:type="spellEnd"/>
      <w:r w:rsidRPr="002A0BDB">
        <w:rPr>
          <w:rFonts w:ascii="Arial" w:eastAsia="Times New Roman" w:hAnsi="Arial" w:cs="Arial"/>
        </w:rPr>
        <w:t xml:space="preserve">, </w:t>
      </w:r>
      <w:proofErr w:type="spellStart"/>
      <w:r w:rsidRPr="002A0BDB">
        <w:rPr>
          <w:rFonts w:ascii="Arial" w:eastAsia="Times New Roman" w:hAnsi="Arial" w:cs="Arial"/>
        </w:rPr>
        <w:t>Jyotirmayee</w:t>
      </w:r>
      <w:proofErr w:type="spellEnd"/>
      <w:r w:rsidRPr="002A0BDB">
        <w:rPr>
          <w:rFonts w:ascii="Arial" w:eastAsia="Times New Roman" w:hAnsi="Arial" w:cs="Arial"/>
        </w:rPr>
        <w:t xml:space="preserve"> </w:t>
      </w:r>
      <w:proofErr w:type="spellStart"/>
      <w:r w:rsidRPr="002A0BDB">
        <w:rPr>
          <w:rFonts w:ascii="Arial" w:eastAsia="Times New Roman" w:hAnsi="Arial" w:cs="Arial"/>
        </w:rPr>
        <w:t>Turuk</w:t>
      </w:r>
      <w:proofErr w:type="spellEnd"/>
      <w:r w:rsidRPr="002A0BDB">
        <w:rPr>
          <w:rFonts w:ascii="Arial" w:eastAsia="Times New Roman" w:hAnsi="Arial" w:cs="Arial"/>
        </w:rPr>
        <w:t xml:space="preserve">, </w:t>
      </w:r>
      <w:proofErr w:type="spellStart"/>
      <w:r w:rsidRPr="002A0BDB">
        <w:rPr>
          <w:rFonts w:ascii="Arial" w:eastAsia="Times New Roman" w:hAnsi="Arial" w:cs="Arial"/>
        </w:rPr>
        <w:t>Nayak</w:t>
      </w:r>
      <w:proofErr w:type="spellEnd"/>
      <w:r w:rsidRPr="002A0BDB">
        <w:rPr>
          <w:rFonts w:ascii="Arial" w:eastAsia="Times New Roman" w:hAnsi="Arial" w:cs="Arial"/>
        </w:rPr>
        <w:t xml:space="preserve">, S.R., </w:t>
      </w:r>
      <w:proofErr w:type="spellStart"/>
      <w:r w:rsidRPr="002A0BDB">
        <w:rPr>
          <w:rFonts w:ascii="Arial" w:eastAsia="Times New Roman" w:hAnsi="Arial" w:cs="Arial"/>
        </w:rPr>
        <w:t>Pany</w:t>
      </w:r>
      <w:proofErr w:type="spellEnd"/>
      <w:r w:rsidRPr="002A0BDB">
        <w:rPr>
          <w:rFonts w:ascii="Arial" w:eastAsia="Times New Roman" w:hAnsi="Arial" w:cs="Arial"/>
        </w:rPr>
        <w:t xml:space="preserve">, S., Pal, B.B. and </w:t>
      </w:r>
      <w:proofErr w:type="spellStart"/>
      <w:r w:rsidRPr="002A0BDB">
        <w:rPr>
          <w:rFonts w:ascii="Arial" w:eastAsia="Times New Roman" w:hAnsi="Arial" w:cs="Arial"/>
        </w:rPr>
        <w:t>Pati</w:t>
      </w:r>
      <w:proofErr w:type="spellEnd"/>
      <w:r w:rsidRPr="002A0BDB">
        <w:rPr>
          <w:rFonts w:ascii="Arial" w:eastAsia="Times New Roman" w:hAnsi="Arial" w:cs="Arial"/>
        </w:rPr>
        <w:t xml:space="preserve">, S. (2025). Genomic insights into the dynamic antibiotic resistance landscape of Vibrio </w:t>
      </w:r>
      <w:proofErr w:type="spellStart"/>
      <w:r w:rsidRPr="002A0BDB">
        <w:rPr>
          <w:rFonts w:ascii="Arial" w:eastAsia="Times New Roman" w:hAnsi="Arial" w:cs="Arial"/>
        </w:rPr>
        <w:t>cholerae</w:t>
      </w:r>
      <w:proofErr w:type="spellEnd"/>
      <w:r w:rsidRPr="002A0BDB">
        <w:rPr>
          <w:rFonts w:ascii="Arial" w:eastAsia="Times New Roman" w:hAnsi="Arial" w:cs="Arial"/>
        </w:rPr>
        <w:t xml:space="preserve"> during the Cholera outbreak 2022 in Odisha, India. Scientific Reports, 15(1). </w:t>
      </w:r>
    </w:p>
    <w:p w14:paraId="226A6FA6" w14:textId="77777777" w:rsidR="00D6053C" w:rsidRPr="002A0BDB" w:rsidRDefault="00D6053C" w:rsidP="00D6053C">
      <w:pPr>
        <w:spacing w:line="360" w:lineRule="auto"/>
        <w:jc w:val="both"/>
        <w:rPr>
          <w:rFonts w:ascii="Arial" w:eastAsia="Times New Roman" w:hAnsi="Arial" w:cs="Arial"/>
        </w:rPr>
      </w:pPr>
      <w:r w:rsidRPr="002A0BDB">
        <w:rPr>
          <w:rFonts w:ascii="Arial" w:eastAsia="Times New Roman" w:hAnsi="Arial" w:cs="Arial"/>
        </w:rPr>
        <w:t xml:space="preserve">Devi, M.S., </w:t>
      </w:r>
      <w:proofErr w:type="spellStart"/>
      <w:r w:rsidRPr="002A0BDB">
        <w:rPr>
          <w:rFonts w:ascii="Arial" w:eastAsia="Times New Roman" w:hAnsi="Arial" w:cs="Arial"/>
        </w:rPr>
        <w:t>Prasenjit</w:t>
      </w:r>
      <w:proofErr w:type="spellEnd"/>
      <w:r w:rsidRPr="002A0BDB">
        <w:rPr>
          <w:rFonts w:ascii="Arial" w:eastAsia="Times New Roman" w:hAnsi="Arial" w:cs="Arial"/>
        </w:rPr>
        <w:t xml:space="preserve"> </w:t>
      </w:r>
      <w:proofErr w:type="spellStart"/>
      <w:r w:rsidRPr="002A0BDB">
        <w:rPr>
          <w:rFonts w:ascii="Arial" w:eastAsia="Times New Roman" w:hAnsi="Arial" w:cs="Arial"/>
        </w:rPr>
        <w:t>Paria</w:t>
      </w:r>
      <w:proofErr w:type="spellEnd"/>
      <w:r w:rsidRPr="002A0BDB">
        <w:rPr>
          <w:rFonts w:ascii="Arial" w:eastAsia="Times New Roman" w:hAnsi="Arial" w:cs="Arial"/>
        </w:rPr>
        <w:t xml:space="preserve">, Kumar, V., </w:t>
      </w:r>
      <w:proofErr w:type="spellStart"/>
      <w:r w:rsidRPr="002A0BDB">
        <w:rPr>
          <w:rFonts w:ascii="Arial" w:eastAsia="Times New Roman" w:hAnsi="Arial" w:cs="Arial"/>
        </w:rPr>
        <w:t>Pranaya</w:t>
      </w:r>
      <w:proofErr w:type="spellEnd"/>
      <w:r w:rsidRPr="002A0BDB">
        <w:rPr>
          <w:rFonts w:ascii="Arial" w:eastAsia="Times New Roman" w:hAnsi="Arial" w:cs="Arial"/>
        </w:rPr>
        <w:t xml:space="preserve"> Kumar </w:t>
      </w:r>
      <w:proofErr w:type="spellStart"/>
      <w:r w:rsidRPr="002A0BDB">
        <w:rPr>
          <w:rFonts w:ascii="Arial" w:eastAsia="Times New Roman" w:hAnsi="Arial" w:cs="Arial"/>
        </w:rPr>
        <w:t>Parida</w:t>
      </w:r>
      <w:proofErr w:type="spellEnd"/>
      <w:r w:rsidRPr="002A0BDB">
        <w:rPr>
          <w:rFonts w:ascii="Arial" w:eastAsia="Times New Roman" w:hAnsi="Arial" w:cs="Arial"/>
        </w:rPr>
        <w:t xml:space="preserve">, Praveen </w:t>
      </w:r>
      <w:proofErr w:type="spellStart"/>
      <w:r w:rsidRPr="002A0BDB">
        <w:rPr>
          <w:rFonts w:ascii="Arial" w:eastAsia="Times New Roman" w:hAnsi="Arial" w:cs="Arial"/>
        </w:rPr>
        <w:t>Maurye</w:t>
      </w:r>
      <w:proofErr w:type="spellEnd"/>
      <w:r w:rsidRPr="002A0BDB">
        <w:rPr>
          <w:rFonts w:ascii="Arial" w:eastAsia="Times New Roman" w:hAnsi="Arial" w:cs="Arial"/>
        </w:rPr>
        <w:t xml:space="preserve">, </w:t>
      </w:r>
      <w:proofErr w:type="spellStart"/>
      <w:r w:rsidRPr="002A0BDB">
        <w:rPr>
          <w:rFonts w:ascii="Arial" w:eastAsia="Times New Roman" w:hAnsi="Arial" w:cs="Arial"/>
        </w:rPr>
        <w:t>Bijay</w:t>
      </w:r>
      <w:proofErr w:type="spellEnd"/>
      <w:r w:rsidRPr="002A0BDB">
        <w:rPr>
          <w:rFonts w:ascii="Arial" w:eastAsia="Times New Roman" w:hAnsi="Arial" w:cs="Arial"/>
        </w:rPr>
        <w:t xml:space="preserve"> Kumar </w:t>
      </w:r>
      <w:proofErr w:type="spellStart"/>
      <w:r w:rsidRPr="002A0BDB">
        <w:rPr>
          <w:rFonts w:ascii="Arial" w:eastAsia="Times New Roman" w:hAnsi="Arial" w:cs="Arial"/>
        </w:rPr>
        <w:t>Behera</w:t>
      </w:r>
      <w:proofErr w:type="spellEnd"/>
      <w:r w:rsidRPr="002A0BDB">
        <w:rPr>
          <w:rFonts w:ascii="Arial" w:eastAsia="Times New Roman" w:hAnsi="Arial" w:cs="Arial"/>
        </w:rPr>
        <w:t xml:space="preserve"> and Das, B.K. (2021). Molecular identification and pathogenicity study of virulent Vibrio </w:t>
      </w:r>
      <w:proofErr w:type="spellStart"/>
      <w:r w:rsidRPr="002A0BDB">
        <w:rPr>
          <w:rFonts w:ascii="Arial" w:eastAsia="Times New Roman" w:hAnsi="Arial" w:cs="Arial"/>
        </w:rPr>
        <w:t>cholerae</w:t>
      </w:r>
      <w:proofErr w:type="spellEnd"/>
      <w:r w:rsidRPr="002A0BDB">
        <w:rPr>
          <w:rFonts w:ascii="Arial" w:eastAsia="Times New Roman" w:hAnsi="Arial" w:cs="Arial"/>
        </w:rPr>
        <w:t xml:space="preserve"> non O1/O139 serotype associated with mortality of farmed </w:t>
      </w:r>
      <w:proofErr w:type="spellStart"/>
      <w:r w:rsidRPr="002A0BDB">
        <w:rPr>
          <w:rFonts w:ascii="Arial" w:eastAsia="Times New Roman" w:hAnsi="Arial" w:cs="Arial"/>
        </w:rPr>
        <w:t>Labeo</w:t>
      </w:r>
      <w:proofErr w:type="spellEnd"/>
      <w:r w:rsidRPr="002A0BDB">
        <w:rPr>
          <w:rFonts w:ascii="Arial" w:eastAsia="Times New Roman" w:hAnsi="Arial" w:cs="Arial"/>
        </w:rPr>
        <w:t xml:space="preserve"> </w:t>
      </w:r>
      <w:proofErr w:type="spellStart"/>
      <w:r w:rsidRPr="002A0BDB">
        <w:rPr>
          <w:rFonts w:ascii="Arial" w:eastAsia="Times New Roman" w:hAnsi="Arial" w:cs="Arial"/>
        </w:rPr>
        <w:t>rohita</w:t>
      </w:r>
      <w:proofErr w:type="spellEnd"/>
      <w:r w:rsidRPr="002A0BDB">
        <w:rPr>
          <w:rFonts w:ascii="Arial" w:eastAsia="Times New Roman" w:hAnsi="Arial" w:cs="Arial"/>
        </w:rPr>
        <w:t xml:space="preserve"> (Hamilton, 1822), in India. </w:t>
      </w:r>
      <w:r w:rsidRPr="002A0BDB">
        <w:rPr>
          <w:rFonts w:ascii="Arial" w:eastAsia="Times New Roman" w:hAnsi="Arial" w:cs="Arial"/>
          <w:i/>
          <w:iCs/>
        </w:rPr>
        <w:t>Aquaculture</w:t>
      </w:r>
      <w:r w:rsidRPr="002A0BDB">
        <w:rPr>
          <w:rFonts w:ascii="Arial" w:eastAsia="Times New Roman" w:hAnsi="Arial" w:cs="Arial"/>
        </w:rPr>
        <w:t>, 547, pp.737529–737529. </w:t>
      </w:r>
    </w:p>
    <w:p w14:paraId="6849E73A"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Duault</w:t>
      </w:r>
      <w:proofErr w:type="spellEnd"/>
      <w:r w:rsidRPr="002A0BDB">
        <w:rPr>
          <w:rFonts w:ascii="Arial" w:eastAsia="Times New Roman" w:hAnsi="Arial" w:cs="Arial"/>
        </w:rPr>
        <w:t xml:space="preserve">, H., Durand, B. and </w:t>
      </w:r>
      <w:proofErr w:type="spellStart"/>
      <w:r w:rsidRPr="002A0BDB">
        <w:rPr>
          <w:rFonts w:ascii="Arial" w:eastAsia="Times New Roman" w:hAnsi="Arial" w:cs="Arial"/>
        </w:rPr>
        <w:t>Canini</w:t>
      </w:r>
      <w:proofErr w:type="spellEnd"/>
      <w:r w:rsidRPr="002A0BDB">
        <w:rPr>
          <w:rFonts w:ascii="Arial" w:eastAsia="Times New Roman" w:hAnsi="Arial" w:cs="Arial"/>
        </w:rPr>
        <w:t xml:space="preserve">, L. (2022). Methods Combining Genomic and Epidemiological Data in the Reconstruction of Transmission Trees: A Systematic Review. </w:t>
      </w:r>
      <w:r w:rsidRPr="002A0BDB">
        <w:rPr>
          <w:rFonts w:ascii="Arial" w:eastAsia="Times New Roman" w:hAnsi="Arial" w:cs="Arial"/>
          <w:i/>
          <w:iCs/>
        </w:rPr>
        <w:t>Pathogens</w:t>
      </w:r>
      <w:r w:rsidRPr="002A0BDB">
        <w:rPr>
          <w:rFonts w:ascii="Arial" w:eastAsia="Times New Roman" w:hAnsi="Arial" w:cs="Arial"/>
        </w:rPr>
        <w:t>, 11(2), p.252. </w:t>
      </w:r>
    </w:p>
    <w:p w14:paraId="7638978D"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Ebenezer, A., </w:t>
      </w:r>
      <w:proofErr w:type="spellStart"/>
      <w:r w:rsidRPr="002A0BDB">
        <w:rPr>
          <w:rFonts w:ascii="Arial" w:hAnsi="Arial" w:cs="Arial"/>
        </w:rPr>
        <w:t>Iyaniwura</w:t>
      </w:r>
      <w:proofErr w:type="spellEnd"/>
      <w:r w:rsidRPr="002A0BDB">
        <w:rPr>
          <w:rFonts w:ascii="Arial" w:hAnsi="Arial" w:cs="Arial"/>
        </w:rPr>
        <w:t xml:space="preserve">, S.A., </w:t>
      </w:r>
      <w:proofErr w:type="spellStart"/>
      <w:r w:rsidRPr="002A0BDB">
        <w:rPr>
          <w:rFonts w:ascii="Arial" w:hAnsi="Arial" w:cs="Arial"/>
        </w:rPr>
        <w:t>Omame</w:t>
      </w:r>
      <w:proofErr w:type="spellEnd"/>
      <w:r w:rsidRPr="002A0BDB">
        <w:rPr>
          <w:rFonts w:ascii="Arial" w:hAnsi="Arial" w:cs="Arial"/>
        </w:rPr>
        <w:t xml:space="preserve">, A., Han, Q., Wang, X., </w:t>
      </w:r>
      <w:proofErr w:type="spellStart"/>
      <w:r w:rsidRPr="002A0BDB">
        <w:rPr>
          <w:rFonts w:ascii="Arial" w:hAnsi="Arial" w:cs="Arial"/>
        </w:rPr>
        <w:t>Bragazzi</w:t>
      </w:r>
      <w:proofErr w:type="spellEnd"/>
      <w:r w:rsidRPr="002A0BDB">
        <w:rPr>
          <w:rFonts w:ascii="Arial" w:hAnsi="Arial" w:cs="Arial"/>
        </w:rPr>
        <w:t xml:space="preserve">, N.L., </w:t>
      </w:r>
      <w:proofErr w:type="spellStart"/>
      <w:r w:rsidRPr="002A0BDB">
        <w:rPr>
          <w:rFonts w:ascii="Arial" w:hAnsi="Arial" w:cs="Arial"/>
        </w:rPr>
        <w:t>Woldegerima</w:t>
      </w:r>
      <w:proofErr w:type="spellEnd"/>
      <w:r w:rsidRPr="002A0BDB">
        <w:rPr>
          <w:rFonts w:ascii="Arial" w:hAnsi="Arial" w:cs="Arial"/>
        </w:rPr>
        <w:t xml:space="preserve">, W.A. and Kong, J.D. (2025). Understanding cholera dynamics in African countries with persistent outbreaks: a mathematical </w:t>
      </w:r>
      <w:proofErr w:type="spellStart"/>
      <w:r w:rsidRPr="002A0BDB">
        <w:rPr>
          <w:rFonts w:ascii="Arial" w:hAnsi="Arial" w:cs="Arial"/>
        </w:rPr>
        <w:t>modeling</w:t>
      </w:r>
      <w:proofErr w:type="spellEnd"/>
      <w:r w:rsidRPr="002A0BDB">
        <w:rPr>
          <w:rFonts w:ascii="Arial" w:hAnsi="Arial" w:cs="Arial"/>
        </w:rPr>
        <w:t xml:space="preserve"> approach. </w:t>
      </w:r>
      <w:r w:rsidRPr="002A0BDB">
        <w:rPr>
          <w:rFonts w:ascii="Arial" w:hAnsi="Arial" w:cs="Arial"/>
          <w:i/>
          <w:iCs/>
        </w:rPr>
        <w:t>BMC Public Health</w:t>
      </w:r>
      <w:r w:rsidRPr="002A0BDB">
        <w:rPr>
          <w:rFonts w:ascii="Arial" w:hAnsi="Arial" w:cs="Arial"/>
        </w:rPr>
        <w:t>, 25(1), p.3395.</w:t>
      </w:r>
    </w:p>
    <w:p w14:paraId="741AE33F" w14:textId="77777777" w:rsidR="00D6053C" w:rsidRPr="002A0BDB" w:rsidRDefault="00D6053C" w:rsidP="00D6053C">
      <w:pPr>
        <w:spacing w:after="240" w:line="360" w:lineRule="auto"/>
        <w:jc w:val="both"/>
        <w:rPr>
          <w:rFonts w:ascii="Arial" w:hAnsi="Arial" w:cs="Arial"/>
        </w:rPr>
      </w:pPr>
      <w:r w:rsidRPr="002A0BDB">
        <w:rPr>
          <w:rFonts w:ascii="Arial" w:hAnsi="Arial" w:cs="Arial"/>
        </w:rPr>
        <w:t xml:space="preserve">Ebenezer, A., </w:t>
      </w:r>
      <w:proofErr w:type="spellStart"/>
      <w:r w:rsidRPr="002A0BDB">
        <w:rPr>
          <w:rFonts w:ascii="Arial" w:hAnsi="Arial" w:cs="Arial"/>
        </w:rPr>
        <w:t>SarafaAdewaleIyaniwura</w:t>
      </w:r>
      <w:proofErr w:type="spellEnd"/>
      <w:r w:rsidRPr="002A0BDB">
        <w:rPr>
          <w:rFonts w:ascii="Arial" w:hAnsi="Arial" w:cs="Arial"/>
        </w:rPr>
        <w:t xml:space="preserve">, </w:t>
      </w:r>
      <w:proofErr w:type="spellStart"/>
      <w:r w:rsidRPr="002A0BDB">
        <w:rPr>
          <w:rFonts w:ascii="Arial" w:hAnsi="Arial" w:cs="Arial"/>
        </w:rPr>
        <w:t>Omame</w:t>
      </w:r>
      <w:proofErr w:type="spellEnd"/>
      <w:r w:rsidRPr="002A0BDB">
        <w:rPr>
          <w:rFonts w:ascii="Arial" w:hAnsi="Arial" w:cs="Arial"/>
        </w:rPr>
        <w:t xml:space="preserve">, A., Han, Q., Wang, X., </w:t>
      </w:r>
      <w:proofErr w:type="spellStart"/>
      <w:r w:rsidRPr="002A0BDB">
        <w:rPr>
          <w:rFonts w:ascii="Arial" w:hAnsi="Arial" w:cs="Arial"/>
        </w:rPr>
        <w:t>Bragazzi</w:t>
      </w:r>
      <w:proofErr w:type="spellEnd"/>
      <w:r w:rsidRPr="002A0BDB">
        <w:rPr>
          <w:rFonts w:ascii="Arial" w:hAnsi="Arial" w:cs="Arial"/>
        </w:rPr>
        <w:t xml:space="preserve">, N.L., </w:t>
      </w:r>
      <w:proofErr w:type="spellStart"/>
      <w:r w:rsidRPr="002A0BDB">
        <w:rPr>
          <w:rFonts w:ascii="Arial" w:hAnsi="Arial" w:cs="Arial"/>
        </w:rPr>
        <w:t>WoldegebrielAssefaWoldegerima</w:t>
      </w:r>
      <w:proofErr w:type="spellEnd"/>
      <w:r w:rsidRPr="002A0BDB">
        <w:rPr>
          <w:rFonts w:ascii="Arial" w:hAnsi="Arial" w:cs="Arial"/>
        </w:rPr>
        <w:t xml:space="preserve"> and Kong, J.D. (2025). Understanding cholera dynamics in African countries with persistent outbreaks: a mathematical </w:t>
      </w:r>
      <w:proofErr w:type="spellStart"/>
      <w:r w:rsidRPr="002A0BDB">
        <w:rPr>
          <w:rFonts w:ascii="Arial" w:hAnsi="Arial" w:cs="Arial"/>
        </w:rPr>
        <w:t>modeling</w:t>
      </w:r>
      <w:proofErr w:type="spellEnd"/>
      <w:r w:rsidRPr="002A0BDB">
        <w:rPr>
          <w:rFonts w:ascii="Arial" w:hAnsi="Arial" w:cs="Arial"/>
        </w:rPr>
        <w:t xml:space="preserve"> approach. </w:t>
      </w:r>
      <w:r w:rsidRPr="002A0BDB">
        <w:rPr>
          <w:rFonts w:ascii="Arial" w:hAnsi="Arial" w:cs="Arial"/>
          <w:i/>
          <w:iCs/>
        </w:rPr>
        <w:t>BMC Public Health</w:t>
      </w:r>
      <w:r w:rsidRPr="002A0BDB">
        <w:rPr>
          <w:rFonts w:ascii="Arial" w:hAnsi="Arial" w:cs="Arial"/>
        </w:rPr>
        <w:t>, 25(1).</w:t>
      </w:r>
    </w:p>
    <w:p w14:paraId="468CDECC"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ECDC (2022).</w:t>
      </w:r>
      <w:r w:rsidRPr="002A0BDB">
        <w:rPr>
          <w:rFonts w:ascii="Arial" w:hAnsi="Arial" w:cs="Arial"/>
          <w:i/>
          <w:iCs/>
        </w:rPr>
        <w:t>Cholera Annual Epidemiological Report for 2022.</w:t>
      </w:r>
      <w:r w:rsidRPr="002A0BDB">
        <w:rPr>
          <w:rFonts w:ascii="Arial" w:hAnsi="Arial" w:cs="Arial"/>
        </w:rPr>
        <w:t xml:space="preserve"> Available at:</w:t>
      </w:r>
      <w:hyperlink r:id="rId23">
        <w:r w:rsidRPr="002A0BDB">
          <w:rPr>
            <w:rFonts w:ascii="Arial" w:hAnsi="Arial" w:cs="Arial"/>
            <w:u w:val="single"/>
          </w:rPr>
          <w:t>https://www.ecdc.europa.eu/sites/default/files/documents/CHOL_AER_2022_Report.pdf</w:t>
        </w:r>
      </w:hyperlink>
      <w:r w:rsidRPr="002A0BDB">
        <w:rPr>
          <w:rFonts w:ascii="Arial" w:hAnsi="Arial" w:cs="Arial"/>
        </w:rPr>
        <w:t xml:space="preserve"> (Accessed: 2 December 2025)</w:t>
      </w:r>
    </w:p>
    <w:p w14:paraId="254C1C24"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lastRenderedPageBreak/>
        <w:t>Eybpoosh</w:t>
      </w:r>
      <w:proofErr w:type="spellEnd"/>
      <w:r w:rsidRPr="002A0BDB">
        <w:rPr>
          <w:rFonts w:ascii="Arial" w:hAnsi="Arial" w:cs="Arial"/>
        </w:rPr>
        <w:t xml:space="preserve">, S., </w:t>
      </w:r>
      <w:proofErr w:type="spellStart"/>
      <w:r w:rsidRPr="002A0BDB">
        <w:rPr>
          <w:rFonts w:ascii="Arial" w:hAnsi="Arial" w:cs="Arial"/>
        </w:rPr>
        <w:t>Haghdoost</w:t>
      </w:r>
      <w:proofErr w:type="spellEnd"/>
      <w:r w:rsidRPr="002A0BDB">
        <w:rPr>
          <w:rFonts w:ascii="Arial" w:hAnsi="Arial" w:cs="Arial"/>
        </w:rPr>
        <w:t xml:space="preserve">, A.A., </w:t>
      </w:r>
      <w:proofErr w:type="spellStart"/>
      <w:r w:rsidRPr="002A0BDB">
        <w:rPr>
          <w:rFonts w:ascii="Arial" w:hAnsi="Arial" w:cs="Arial"/>
        </w:rPr>
        <w:t>Mostafavi</w:t>
      </w:r>
      <w:proofErr w:type="spellEnd"/>
      <w:r w:rsidRPr="002A0BDB">
        <w:rPr>
          <w:rFonts w:ascii="Arial" w:hAnsi="Arial" w:cs="Arial"/>
        </w:rPr>
        <w:t xml:space="preserve">, E., </w:t>
      </w:r>
      <w:proofErr w:type="spellStart"/>
      <w:r w:rsidRPr="002A0BDB">
        <w:rPr>
          <w:rFonts w:ascii="Arial" w:hAnsi="Arial" w:cs="Arial"/>
        </w:rPr>
        <w:t>Bahrampour</w:t>
      </w:r>
      <w:proofErr w:type="spellEnd"/>
      <w:r w:rsidRPr="002A0BDB">
        <w:rPr>
          <w:rFonts w:ascii="Arial" w:hAnsi="Arial" w:cs="Arial"/>
        </w:rPr>
        <w:t xml:space="preserve">, A., </w:t>
      </w:r>
      <w:proofErr w:type="spellStart"/>
      <w:r w:rsidRPr="002A0BDB">
        <w:rPr>
          <w:rFonts w:ascii="Arial" w:hAnsi="Arial" w:cs="Arial"/>
        </w:rPr>
        <w:t>Azadmanesh</w:t>
      </w:r>
      <w:proofErr w:type="spellEnd"/>
      <w:r w:rsidRPr="002A0BDB">
        <w:rPr>
          <w:rFonts w:ascii="Arial" w:hAnsi="Arial" w:cs="Arial"/>
        </w:rPr>
        <w:t xml:space="preserve">, K. and </w:t>
      </w:r>
      <w:proofErr w:type="spellStart"/>
      <w:r w:rsidRPr="002A0BDB">
        <w:rPr>
          <w:rFonts w:ascii="Arial" w:hAnsi="Arial" w:cs="Arial"/>
        </w:rPr>
        <w:t>Zolala</w:t>
      </w:r>
      <w:proofErr w:type="spellEnd"/>
      <w:r w:rsidRPr="002A0BDB">
        <w:rPr>
          <w:rFonts w:ascii="Arial" w:hAnsi="Arial" w:cs="Arial"/>
        </w:rPr>
        <w:t xml:space="preserve">, F. (2017).Molecular epidemiology of infectious </w:t>
      </w:r>
      <w:proofErr w:type="spellStart"/>
      <w:r w:rsidRPr="002A0BDB">
        <w:rPr>
          <w:rFonts w:ascii="Arial" w:hAnsi="Arial" w:cs="Arial"/>
        </w:rPr>
        <w:t>diseases.</w:t>
      </w:r>
      <w:r w:rsidRPr="002A0BDB">
        <w:rPr>
          <w:rFonts w:ascii="Arial" w:hAnsi="Arial" w:cs="Arial"/>
          <w:i/>
          <w:iCs/>
        </w:rPr>
        <w:t>Electronic</w:t>
      </w:r>
      <w:proofErr w:type="spellEnd"/>
      <w:r w:rsidRPr="002A0BDB">
        <w:rPr>
          <w:rFonts w:ascii="Arial" w:hAnsi="Arial" w:cs="Arial"/>
          <w:i/>
          <w:iCs/>
        </w:rPr>
        <w:t xml:space="preserve"> Physician</w:t>
      </w:r>
      <w:r w:rsidRPr="002A0BDB">
        <w:rPr>
          <w:rFonts w:ascii="Arial" w:hAnsi="Arial" w:cs="Arial"/>
        </w:rPr>
        <w:t>, 9(8), pp.5149–5158.</w:t>
      </w:r>
    </w:p>
    <w:p w14:paraId="73E0575C" w14:textId="77777777" w:rsidR="00D6053C" w:rsidRPr="002A0BDB" w:rsidRDefault="00D6053C" w:rsidP="00D6053C">
      <w:pPr>
        <w:spacing w:before="240" w:line="360" w:lineRule="auto"/>
        <w:jc w:val="both"/>
        <w:rPr>
          <w:rFonts w:ascii="Arial" w:hAnsi="Arial" w:cs="Arial"/>
        </w:rPr>
      </w:pPr>
      <w:proofErr w:type="spellStart"/>
      <w:r w:rsidRPr="002A0BDB">
        <w:rPr>
          <w:rFonts w:ascii="Arial" w:hAnsi="Arial" w:cs="Arial"/>
        </w:rPr>
        <w:t>Filik</w:t>
      </w:r>
      <w:proofErr w:type="spellEnd"/>
      <w:r w:rsidRPr="002A0BDB">
        <w:rPr>
          <w:rFonts w:ascii="Arial" w:hAnsi="Arial" w:cs="Arial"/>
        </w:rPr>
        <w:t xml:space="preserve">, N. and </w:t>
      </w:r>
      <w:proofErr w:type="spellStart"/>
      <w:r w:rsidRPr="002A0BDB">
        <w:rPr>
          <w:rFonts w:ascii="Arial" w:hAnsi="Arial" w:cs="Arial"/>
        </w:rPr>
        <w:t>Filik</w:t>
      </w:r>
      <w:proofErr w:type="spellEnd"/>
      <w:r w:rsidRPr="002A0BDB">
        <w:rPr>
          <w:rFonts w:ascii="Arial" w:hAnsi="Arial" w:cs="Arial"/>
        </w:rPr>
        <w:t xml:space="preserve">, F., (2023). Escherichia coli: Germ Theory, A Bacterial Killer Mechanism, Virulence, Pathogenicity Islands (PAIs), Pathogenesis, Secretion Systems. </w:t>
      </w:r>
      <w:proofErr w:type="spellStart"/>
      <w:r w:rsidRPr="002A0BDB">
        <w:rPr>
          <w:rFonts w:ascii="Arial" w:hAnsi="Arial" w:cs="Arial"/>
          <w:i/>
          <w:iCs/>
        </w:rPr>
        <w:t>ActaNatura&amp;Scientia</w:t>
      </w:r>
      <w:proofErr w:type="spellEnd"/>
      <w:r w:rsidRPr="002A0BDB">
        <w:rPr>
          <w:rFonts w:ascii="Arial" w:hAnsi="Arial" w:cs="Arial"/>
        </w:rPr>
        <w:t>, 4(1).</w:t>
      </w:r>
    </w:p>
    <w:p w14:paraId="00844CCD"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GOV UK (2025).</w:t>
      </w:r>
      <w:r w:rsidRPr="002A0BDB">
        <w:rPr>
          <w:rFonts w:ascii="Arial" w:hAnsi="Arial" w:cs="Arial"/>
          <w:i/>
          <w:iCs/>
        </w:rPr>
        <w:t>Improving Health</w:t>
      </w:r>
      <w:r w:rsidRPr="002A0BDB">
        <w:rPr>
          <w:rFonts w:ascii="Arial" w:hAnsi="Arial" w:cs="Arial"/>
        </w:rPr>
        <w:t>. Available at:</w:t>
      </w:r>
      <w:hyperlink r:id="rId24">
        <w:r w:rsidRPr="002A0BDB">
          <w:rPr>
            <w:rFonts w:ascii="Arial" w:hAnsi="Arial" w:cs="Arial"/>
            <w:u w:val="single"/>
          </w:rPr>
          <w:t>https://assets.publishing.service.gov.uk/media/57a08af940f0b649740008aa/Science_and_Innovation_chapter6.pdf</w:t>
        </w:r>
      </w:hyperlink>
      <w:r w:rsidRPr="002A0BDB">
        <w:rPr>
          <w:rFonts w:ascii="Arial" w:hAnsi="Arial" w:cs="Arial"/>
        </w:rPr>
        <w:t xml:space="preserve"> (Accessed: 2 December 2025)</w:t>
      </w:r>
    </w:p>
    <w:p w14:paraId="6E8308FF"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Gov</w:t>
      </w:r>
      <w:proofErr w:type="spellEnd"/>
      <w:r w:rsidRPr="002A0BDB">
        <w:rPr>
          <w:rFonts w:ascii="Arial" w:eastAsia="Times New Roman" w:hAnsi="Arial" w:cs="Arial"/>
        </w:rPr>
        <w:t xml:space="preserve"> UK, (2025). </w:t>
      </w:r>
      <w:r w:rsidRPr="002A0BDB">
        <w:rPr>
          <w:rFonts w:ascii="Arial" w:eastAsia="Times New Roman" w:hAnsi="Arial" w:cs="Arial"/>
          <w:i/>
          <w:iCs/>
        </w:rPr>
        <w:t xml:space="preserve">Copyright Act. </w:t>
      </w:r>
      <w:r w:rsidRPr="002A0BDB">
        <w:rPr>
          <w:rFonts w:ascii="Arial" w:eastAsia="Times New Roman" w:hAnsi="Arial" w:cs="Arial"/>
        </w:rPr>
        <w:t>Available at:</w:t>
      </w:r>
      <w:hyperlink r:id="rId25" w:anchor=":~:text=Details,Act%201988%20(as%20amended)" w:history="1">
        <w:r w:rsidRPr="002A0BDB">
          <w:rPr>
            <w:rFonts w:ascii="Arial" w:eastAsia="Times New Roman" w:hAnsi="Arial" w:cs="Arial"/>
            <w:u w:val="single"/>
          </w:rPr>
          <w:t xml:space="preserve"> https://www.gov.uk/government/publications/copyright-acts-and-related-laws#:~:text=Details,Act%201988%20(as%20amended)</w:t>
        </w:r>
      </w:hyperlink>
      <w:r w:rsidRPr="002A0BDB">
        <w:rPr>
          <w:rFonts w:ascii="Arial" w:eastAsia="Times New Roman" w:hAnsi="Arial" w:cs="Arial"/>
        </w:rPr>
        <w:t xml:space="preserve"> (Accessed on: 17.01.2026)</w:t>
      </w:r>
    </w:p>
    <w:p w14:paraId="33FD0524"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Grek</w:t>
      </w:r>
      <w:proofErr w:type="spellEnd"/>
      <w:r w:rsidRPr="002A0BDB">
        <w:rPr>
          <w:rFonts w:ascii="Arial" w:eastAsia="Times New Roman" w:hAnsi="Arial" w:cs="Arial"/>
        </w:rPr>
        <w:t xml:space="preserve">, Å., </w:t>
      </w:r>
      <w:proofErr w:type="spellStart"/>
      <w:r w:rsidRPr="002A0BDB">
        <w:rPr>
          <w:rFonts w:ascii="Arial" w:eastAsia="Times New Roman" w:hAnsi="Arial" w:cs="Arial"/>
        </w:rPr>
        <w:t>Hartwig</w:t>
      </w:r>
      <w:proofErr w:type="spellEnd"/>
      <w:r w:rsidRPr="002A0BDB">
        <w:rPr>
          <w:rFonts w:ascii="Arial" w:eastAsia="Times New Roman" w:hAnsi="Arial" w:cs="Arial"/>
        </w:rPr>
        <w:t xml:space="preserve">, F. and Dougherty, M. (2024). An Inductive Approach to Quantitative Methodology—Application of Novel Penalising Models in a Case Study of Target Debt Level in Swedish Listed Companies. </w:t>
      </w:r>
      <w:r w:rsidRPr="002A0BDB">
        <w:rPr>
          <w:rFonts w:ascii="Arial" w:eastAsia="Times New Roman" w:hAnsi="Arial" w:cs="Arial"/>
          <w:i/>
          <w:iCs/>
        </w:rPr>
        <w:t>Journal of Risk and Financial Management</w:t>
      </w:r>
      <w:r w:rsidRPr="002A0BDB">
        <w:rPr>
          <w:rFonts w:ascii="Arial" w:eastAsia="Times New Roman" w:hAnsi="Arial" w:cs="Arial"/>
        </w:rPr>
        <w:t>, 17(5), p.207. </w:t>
      </w:r>
    </w:p>
    <w:p w14:paraId="0CBB07AE"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GTFCC (2025).</w:t>
      </w:r>
      <w:r w:rsidRPr="002A0BDB">
        <w:rPr>
          <w:rFonts w:ascii="Arial" w:hAnsi="Arial" w:cs="Arial"/>
          <w:i/>
          <w:iCs/>
        </w:rPr>
        <w:t>Public health surveillance for cholera Acknowledgements</w:t>
      </w:r>
      <w:r w:rsidRPr="002A0BDB">
        <w:rPr>
          <w:rFonts w:ascii="Arial" w:hAnsi="Arial" w:cs="Arial"/>
        </w:rPr>
        <w:t>. Available at:</w:t>
      </w:r>
      <w:hyperlink r:id="rId26">
        <w:r w:rsidRPr="002A0BDB">
          <w:rPr>
            <w:rFonts w:ascii="Arial" w:hAnsi="Arial" w:cs="Arial"/>
            <w:u w:val="single"/>
          </w:rPr>
          <w:t>https://www.gtfcc.org/wp-content/uploads/2025/04/public-health-surveillance-for-cholera-guidance-document-2024.pdf</w:t>
        </w:r>
      </w:hyperlink>
      <w:r w:rsidRPr="002A0BDB">
        <w:rPr>
          <w:rFonts w:ascii="Arial" w:hAnsi="Arial" w:cs="Arial"/>
        </w:rPr>
        <w:t xml:space="preserve"> (Accessed: 2 December 2025)</w:t>
      </w:r>
    </w:p>
    <w:p w14:paraId="7E224A44" w14:textId="77777777" w:rsidR="00D6053C" w:rsidRPr="002A0BDB" w:rsidRDefault="00D6053C" w:rsidP="00D6053C">
      <w:pPr>
        <w:spacing w:before="240" w:line="360" w:lineRule="auto"/>
        <w:jc w:val="both"/>
        <w:rPr>
          <w:rFonts w:ascii="Arial" w:hAnsi="Arial" w:cs="Arial"/>
        </w:rPr>
      </w:pPr>
      <w:r w:rsidRPr="002A0BDB">
        <w:rPr>
          <w:rFonts w:ascii="Arial" w:hAnsi="Arial" w:cs="Arial"/>
        </w:rPr>
        <w:t xml:space="preserve">Hassan, M.S., </w:t>
      </w:r>
      <w:proofErr w:type="spellStart"/>
      <w:r w:rsidRPr="002A0BDB">
        <w:rPr>
          <w:rFonts w:ascii="Arial" w:hAnsi="Arial" w:cs="Arial"/>
        </w:rPr>
        <w:t>Abdulahi</w:t>
      </w:r>
      <w:proofErr w:type="spellEnd"/>
      <w:r w:rsidRPr="002A0BDB">
        <w:rPr>
          <w:rFonts w:ascii="Arial" w:hAnsi="Arial" w:cs="Arial"/>
        </w:rPr>
        <w:t xml:space="preserve">, M., Said, A.I., Osman, F.A., </w:t>
      </w:r>
      <w:proofErr w:type="spellStart"/>
      <w:r w:rsidRPr="002A0BDB">
        <w:rPr>
          <w:rFonts w:ascii="Arial" w:hAnsi="Arial" w:cs="Arial"/>
        </w:rPr>
        <w:t>Elmi</w:t>
      </w:r>
      <w:proofErr w:type="spellEnd"/>
      <w:r w:rsidRPr="002A0BDB">
        <w:rPr>
          <w:rFonts w:ascii="Arial" w:hAnsi="Arial" w:cs="Arial"/>
        </w:rPr>
        <w:t xml:space="preserve">, H.S.A., </w:t>
      </w:r>
      <w:proofErr w:type="spellStart"/>
      <w:r w:rsidRPr="002A0BDB">
        <w:rPr>
          <w:rFonts w:ascii="Arial" w:hAnsi="Arial" w:cs="Arial"/>
        </w:rPr>
        <w:t>Korse</w:t>
      </w:r>
      <w:proofErr w:type="spellEnd"/>
      <w:r w:rsidRPr="002A0BDB">
        <w:rPr>
          <w:rFonts w:ascii="Arial" w:hAnsi="Arial" w:cs="Arial"/>
        </w:rPr>
        <w:t xml:space="preserve">, A.H., </w:t>
      </w:r>
      <w:proofErr w:type="spellStart"/>
      <w:r w:rsidRPr="002A0BDB">
        <w:rPr>
          <w:rFonts w:ascii="Arial" w:hAnsi="Arial" w:cs="Arial"/>
        </w:rPr>
        <w:t>Dahir</w:t>
      </w:r>
      <w:proofErr w:type="spellEnd"/>
      <w:r w:rsidRPr="002A0BDB">
        <w:rPr>
          <w:rFonts w:ascii="Arial" w:hAnsi="Arial" w:cs="Arial"/>
        </w:rPr>
        <w:t xml:space="preserve">, H.M. and Abdi, M.I., (2025). Knowledge of cholera, </w:t>
      </w:r>
      <w:proofErr w:type="spellStart"/>
      <w:r w:rsidRPr="002A0BDB">
        <w:rPr>
          <w:rFonts w:ascii="Arial" w:hAnsi="Arial" w:cs="Arial"/>
        </w:rPr>
        <w:t>handwashing</w:t>
      </w:r>
      <w:proofErr w:type="spellEnd"/>
      <w:r w:rsidRPr="002A0BDB">
        <w:rPr>
          <w:rFonts w:ascii="Arial" w:hAnsi="Arial" w:cs="Arial"/>
        </w:rPr>
        <w:t xml:space="preserve"> practice and its associated factors in </w:t>
      </w:r>
      <w:proofErr w:type="spellStart"/>
      <w:r w:rsidRPr="002A0BDB">
        <w:rPr>
          <w:rFonts w:ascii="Arial" w:hAnsi="Arial" w:cs="Arial"/>
        </w:rPr>
        <w:t>Hayayaabe</w:t>
      </w:r>
      <w:proofErr w:type="spellEnd"/>
      <w:r w:rsidRPr="002A0BDB">
        <w:rPr>
          <w:rFonts w:ascii="Arial" w:hAnsi="Arial" w:cs="Arial"/>
        </w:rPr>
        <w:t xml:space="preserve"> IDP camp, </w:t>
      </w:r>
      <w:proofErr w:type="spellStart"/>
      <w:r w:rsidRPr="002A0BDB">
        <w:rPr>
          <w:rFonts w:ascii="Arial" w:hAnsi="Arial" w:cs="Arial"/>
        </w:rPr>
        <w:t>Borama</w:t>
      </w:r>
      <w:proofErr w:type="spellEnd"/>
      <w:r w:rsidRPr="002A0BDB">
        <w:rPr>
          <w:rFonts w:ascii="Arial" w:hAnsi="Arial" w:cs="Arial"/>
        </w:rPr>
        <w:t xml:space="preserve">, Somaliland: a community-based study. </w:t>
      </w:r>
      <w:r w:rsidRPr="002A0BDB">
        <w:rPr>
          <w:rFonts w:ascii="Arial" w:hAnsi="Arial" w:cs="Arial"/>
          <w:i/>
          <w:iCs/>
        </w:rPr>
        <w:t>BMC Public Health</w:t>
      </w:r>
      <w:r w:rsidRPr="002A0BDB">
        <w:rPr>
          <w:rFonts w:ascii="Arial" w:hAnsi="Arial" w:cs="Arial"/>
        </w:rPr>
        <w:t>, 25(1), p.3697.</w:t>
      </w:r>
    </w:p>
    <w:p w14:paraId="04880B6B" w14:textId="77777777" w:rsidR="00D6053C" w:rsidRPr="002A0BDB" w:rsidRDefault="00D6053C" w:rsidP="00D6053C">
      <w:pPr>
        <w:spacing w:before="240" w:line="360" w:lineRule="auto"/>
        <w:jc w:val="both"/>
        <w:rPr>
          <w:rFonts w:ascii="Arial" w:hAnsi="Arial" w:cs="Arial"/>
        </w:rPr>
      </w:pPr>
      <w:proofErr w:type="spellStart"/>
      <w:r w:rsidRPr="002A0BDB">
        <w:rPr>
          <w:rFonts w:ascii="Arial" w:hAnsi="Arial" w:cs="Arial"/>
        </w:rPr>
        <w:t>Horgan</w:t>
      </w:r>
      <w:proofErr w:type="spellEnd"/>
      <w:r w:rsidRPr="002A0BDB">
        <w:rPr>
          <w:rFonts w:ascii="Arial" w:hAnsi="Arial" w:cs="Arial"/>
        </w:rPr>
        <w:t xml:space="preserve">, J., (2023). Germ </w:t>
      </w:r>
      <w:proofErr w:type="spellStart"/>
      <w:r w:rsidRPr="002A0BDB">
        <w:rPr>
          <w:rFonts w:ascii="Arial" w:hAnsi="Arial" w:cs="Arial"/>
        </w:rPr>
        <w:t>Theory.World</w:t>
      </w:r>
      <w:proofErr w:type="spellEnd"/>
      <w:r w:rsidRPr="002A0BDB">
        <w:rPr>
          <w:rFonts w:ascii="Arial" w:hAnsi="Arial" w:cs="Arial"/>
        </w:rPr>
        <w:t xml:space="preserve"> History </w:t>
      </w:r>
      <w:proofErr w:type="spellStart"/>
      <w:r w:rsidRPr="002A0BDB">
        <w:rPr>
          <w:rFonts w:ascii="Arial" w:hAnsi="Arial" w:cs="Arial"/>
        </w:rPr>
        <w:t>Encyclopedia</w:t>
      </w:r>
      <w:proofErr w:type="spellEnd"/>
      <w:r w:rsidRPr="002A0BDB">
        <w:rPr>
          <w:rFonts w:ascii="Arial" w:hAnsi="Arial" w:cs="Arial"/>
        </w:rPr>
        <w:t>.</w:t>
      </w:r>
    </w:p>
    <w:p w14:paraId="722AACF5"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Hossain, H., Chowdhury, M.S.R., Khan, S.S., Ahmad, T., </w:t>
      </w:r>
      <w:proofErr w:type="spellStart"/>
      <w:r w:rsidRPr="002A0BDB">
        <w:rPr>
          <w:rFonts w:ascii="Arial" w:hAnsi="Arial" w:cs="Arial"/>
        </w:rPr>
        <w:t>Brishty</w:t>
      </w:r>
      <w:proofErr w:type="spellEnd"/>
      <w:r w:rsidRPr="002A0BDB">
        <w:rPr>
          <w:rFonts w:ascii="Arial" w:hAnsi="Arial" w:cs="Arial"/>
        </w:rPr>
        <w:t xml:space="preserve">, K.A., Rahman, M., Rahman, M.N., </w:t>
      </w:r>
      <w:proofErr w:type="spellStart"/>
      <w:r w:rsidRPr="002A0BDB">
        <w:rPr>
          <w:rFonts w:ascii="Arial" w:hAnsi="Arial" w:cs="Arial"/>
        </w:rPr>
        <w:t>Akter</w:t>
      </w:r>
      <w:proofErr w:type="spellEnd"/>
      <w:r w:rsidRPr="002A0BDB">
        <w:rPr>
          <w:rFonts w:ascii="Arial" w:hAnsi="Arial" w:cs="Arial"/>
        </w:rPr>
        <w:t xml:space="preserve">, S., </w:t>
      </w:r>
      <w:proofErr w:type="spellStart"/>
      <w:r w:rsidRPr="002A0BDB">
        <w:rPr>
          <w:rFonts w:ascii="Arial" w:hAnsi="Arial" w:cs="Arial"/>
        </w:rPr>
        <w:t>Nitu</w:t>
      </w:r>
      <w:proofErr w:type="spellEnd"/>
      <w:r w:rsidRPr="002A0BDB">
        <w:rPr>
          <w:rFonts w:ascii="Arial" w:hAnsi="Arial" w:cs="Arial"/>
        </w:rPr>
        <w:t xml:space="preserve">, A.S., </w:t>
      </w:r>
      <w:proofErr w:type="spellStart"/>
      <w:r w:rsidRPr="002A0BDB">
        <w:rPr>
          <w:rFonts w:ascii="Arial" w:hAnsi="Arial" w:cs="Arial"/>
        </w:rPr>
        <w:t>Koly</w:t>
      </w:r>
      <w:proofErr w:type="spellEnd"/>
      <w:r w:rsidRPr="002A0BDB">
        <w:rPr>
          <w:rFonts w:ascii="Arial" w:hAnsi="Arial" w:cs="Arial"/>
        </w:rPr>
        <w:t xml:space="preserve">, J.S. and </w:t>
      </w:r>
      <w:proofErr w:type="spellStart"/>
      <w:r w:rsidRPr="002A0BDB">
        <w:rPr>
          <w:rFonts w:ascii="Arial" w:hAnsi="Arial" w:cs="Arial"/>
        </w:rPr>
        <w:t>Haque</w:t>
      </w:r>
      <w:proofErr w:type="spellEnd"/>
      <w:r w:rsidRPr="002A0BDB">
        <w:rPr>
          <w:rFonts w:ascii="Arial" w:hAnsi="Arial" w:cs="Arial"/>
        </w:rPr>
        <w:t xml:space="preserve">, M.S., (2025). Emerging Zoonotic Diseases: Epidemiology, Public Health Impact, and the Urgent Need for a Unified" One Health" Approach. </w:t>
      </w:r>
      <w:r w:rsidRPr="002A0BDB">
        <w:rPr>
          <w:rFonts w:ascii="Arial" w:hAnsi="Arial" w:cs="Arial"/>
          <w:i/>
          <w:iCs/>
        </w:rPr>
        <w:t>Pakistan Veterinary Journal</w:t>
      </w:r>
      <w:r w:rsidRPr="002A0BDB">
        <w:rPr>
          <w:rFonts w:ascii="Arial" w:hAnsi="Arial" w:cs="Arial"/>
        </w:rPr>
        <w:t xml:space="preserve">, </w:t>
      </w:r>
      <w:r w:rsidRPr="002A0BDB">
        <w:rPr>
          <w:rFonts w:ascii="Arial" w:hAnsi="Arial" w:cs="Arial"/>
          <w:i/>
          <w:iCs/>
        </w:rPr>
        <w:t>45</w:t>
      </w:r>
      <w:r w:rsidRPr="002A0BDB">
        <w:rPr>
          <w:rFonts w:ascii="Arial" w:hAnsi="Arial" w:cs="Arial"/>
        </w:rPr>
        <w:t>(1).</w:t>
      </w:r>
    </w:p>
    <w:p w14:paraId="6A3A2FD5" w14:textId="77777777" w:rsidR="00D6053C" w:rsidRPr="002A0BDB" w:rsidRDefault="00D6053C" w:rsidP="00D6053C">
      <w:pPr>
        <w:pBdr>
          <w:top w:val="nil"/>
          <w:left w:val="nil"/>
          <w:bottom w:val="nil"/>
          <w:right w:val="nil"/>
          <w:between w:val="nil"/>
        </w:pBdr>
        <w:spacing w:before="240" w:line="360" w:lineRule="auto"/>
        <w:jc w:val="both"/>
        <w:rPr>
          <w:rFonts w:ascii="Arial" w:hAnsi="Arial" w:cs="Arial"/>
        </w:rPr>
      </w:pPr>
      <w:proofErr w:type="spellStart"/>
      <w:r w:rsidRPr="002A0BDB">
        <w:rPr>
          <w:rFonts w:ascii="Arial" w:hAnsi="Arial" w:cs="Arial"/>
        </w:rPr>
        <w:t>Igere</w:t>
      </w:r>
      <w:proofErr w:type="spellEnd"/>
      <w:r w:rsidRPr="002A0BDB">
        <w:rPr>
          <w:rFonts w:ascii="Arial" w:hAnsi="Arial" w:cs="Arial"/>
        </w:rPr>
        <w:t xml:space="preserve">, B.E. and </w:t>
      </w:r>
      <w:proofErr w:type="spellStart"/>
      <w:r w:rsidRPr="002A0BDB">
        <w:rPr>
          <w:rFonts w:ascii="Arial" w:hAnsi="Arial" w:cs="Arial"/>
        </w:rPr>
        <w:t>Nwodo</w:t>
      </w:r>
      <w:proofErr w:type="spellEnd"/>
      <w:r w:rsidRPr="002A0BDB">
        <w:rPr>
          <w:rFonts w:ascii="Arial" w:hAnsi="Arial" w:cs="Arial"/>
        </w:rPr>
        <w:t xml:space="preserve">, U.U., (2024). Molecular and Genomic Epidemiology of Non-O1/Non-O139 and O1/O139 Vibrio </w:t>
      </w:r>
      <w:proofErr w:type="spellStart"/>
      <w:r w:rsidRPr="002A0BDB">
        <w:rPr>
          <w:rFonts w:ascii="Arial" w:hAnsi="Arial" w:cs="Arial"/>
        </w:rPr>
        <w:t>cholerae</w:t>
      </w:r>
      <w:proofErr w:type="spellEnd"/>
      <w:r w:rsidRPr="002A0BDB">
        <w:rPr>
          <w:rFonts w:ascii="Arial" w:hAnsi="Arial" w:cs="Arial"/>
        </w:rPr>
        <w:t xml:space="preserve">: A Molecular typo-genomics strategy for studying Emerging Potential Environmental Bacterial Pathogens. </w:t>
      </w:r>
      <w:r w:rsidRPr="002A0BDB">
        <w:rPr>
          <w:rFonts w:ascii="Arial" w:hAnsi="Arial" w:cs="Arial"/>
          <w:i/>
          <w:iCs/>
        </w:rPr>
        <w:t>Journal of Applied Health Sciences and Medicine</w:t>
      </w:r>
      <w:r w:rsidRPr="002A0BDB">
        <w:rPr>
          <w:rFonts w:ascii="Arial" w:hAnsi="Arial" w:cs="Arial"/>
        </w:rPr>
        <w:t>, 4(6), pp.1-8.</w:t>
      </w:r>
    </w:p>
    <w:p w14:paraId="5549EFE5" w14:textId="77777777" w:rsidR="00D6053C" w:rsidRPr="002A0BDB" w:rsidRDefault="00D6053C" w:rsidP="00D6053C">
      <w:pPr>
        <w:spacing w:line="360" w:lineRule="auto"/>
        <w:jc w:val="both"/>
        <w:rPr>
          <w:rFonts w:ascii="Arial" w:eastAsia="Times New Roman" w:hAnsi="Arial" w:cs="Arial"/>
        </w:rPr>
      </w:pPr>
      <w:r w:rsidRPr="002A0BDB">
        <w:rPr>
          <w:rFonts w:ascii="Arial" w:eastAsia="Times New Roman" w:hAnsi="Arial" w:cs="Arial"/>
        </w:rPr>
        <w:lastRenderedPageBreak/>
        <w:t xml:space="preserve">Introducing Fundamental Standards Consultation on proposals to change CQC registration regulations. Government of the UK (2023). Available at: </w:t>
      </w:r>
      <w:hyperlink r:id="rId27" w:history="1">
        <w:r w:rsidRPr="002A0BDB">
          <w:rPr>
            <w:rFonts w:ascii="Arial" w:eastAsia="Times New Roman" w:hAnsi="Arial" w:cs="Arial"/>
            <w:u w:val="single"/>
          </w:rPr>
          <w:t>https://assets.publishing.service.gov.uk/media/5a7c9ac7e5274a0bb7cb82a6/Introducing_Fundamental_Standards_-_a_Consultation.pdf</w:t>
        </w:r>
      </w:hyperlink>
      <w:r w:rsidRPr="002A0BDB">
        <w:rPr>
          <w:rFonts w:ascii="Arial" w:eastAsia="Times New Roman" w:hAnsi="Arial" w:cs="Arial"/>
        </w:rPr>
        <w:t>. (Accessed on: 17.01.2026)</w:t>
      </w:r>
    </w:p>
    <w:p w14:paraId="10850527" w14:textId="77777777" w:rsidR="00D6053C" w:rsidRPr="002A0BDB" w:rsidRDefault="00D6053C" w:rsidP="00D6053C">
      <w:pPr>
        <w:spacing w:after="240" w:line="360" w:lineRule="auto"/>
        <w:jc w:val="both"/>
        <w:rPr>
          <w:rFonts w:ascii="Arial" w:hAnsi="Arial" w:cs="Arial"/>
        </w:rPr>
      </w:pPr>
      <w:r w:rsidRPr="002A0BDB">
        <w:rPr>
          <w:rFonts w:ascii="Arial" w:hAnsi="Arial" w:cs="Arial"/>
        </w:rPr>
        <w:t xml:space="preserve">Islam, M.T., </w:t>
      </w:r>
      <w:proofErr w:type="spellStart"/>
      <w:r w:rsidRPr="002A0BDB">
        <w:rPr>
          <w:rFonts w:ascii="Arial" w:hAnsi="Arial" w:cs="Arial"/>
        </w:rPr>
        <w:t>Nasreen</w:t>
      </w:r>
      <w:proofErr w:type="spellEnd"/>
      <w:r w:rsidRPr="002A0BDB">
        <w:rPr>
          <w:rFonts w:ascii="Arial" w:hAnsi="Arial" w:cs="Arial"/>
        </w:rPr>
        <w:t xml:space="preserve">, T., </w:t>
      </w:r>
      <w:proofErr w:type="spellStart"/>
      <w:r w:rsidRPr="002A0BDB">
        <w:rPr>
          <w:rFonts w:ascii="Arial" w:hAnsi="Arial" w:cs="Arial"/>
        </w:rPr>
        <w:t>Kirchberger</w:t>
      </w:r>
      <w:proofErr w:type="spellEnd"/>
      <w:r w:rsidRPr="002A0BDB">
        <w:rPr>
          <w:rFonts w:ascii="Arial" w:hAnsi="Arial" w:cs="Arial"/>
        </w:rPr>
        <w:t xml:space="preserve">, P.C., Liang, K.Y.H., </w:t>
      </w:r>
      <w:proofErr w:type="spellStart"/>
      <w:r w:rsidRPr="002A0BDB">
        <w:rPr>
          <w:rFonts w:ascii="Arial" w:hAnsi="Arial" w:cs="Arial"/>
        </w:rPr>
        <w:t>Orata</w:t>
      </w:r>
      <w:proofErr w:type="spellEnd"/>
      <w:r w:rsidRPr="002A0BDB">
        <w:rPr>
          <w:rFonts w:ascii="Arial" w:hAnsi="Arial" w:cs="Arial"/>
        </w:rPr>
        <w:t xml:space="preserve">, F.D., </w:t>
      </w:r>
      <w:proofErr w:type="spellStart"/>
      <w:r w:rsidRPr="002A0BDB">
        <w:rPr>
          <w:rFonts w:ascii="Arial" w:hAnsi="Arial" w:cs="Arial"/>
        </w:rPr>
        <w:t>Johura</w:t>
      </w:r>
      <w:proofErr w:type="spellEnd"/>
      <w:r w:rsidRPr="002A0BDB">
        <w:rPr>
          <w:rFonts w:ascii="Arial" w:hAnsi="Arial" w:cs="Arial"/>
        </w:rPr>
        <w:t xml:space="preserve">, F.-T., Hussain, N.A.S., </w:t>
      </w:r>
      <w:proofErr w:type="spellStart"/>
      <w:r w:rsidRPr="002A0BDB">
        <w:rPr>
          <w:rFonts w:ascii="Arial" w:hAnsi="Arial" w:cs="Arial"/>
        </w:rPr>
        <w:t>Im</w:t>
      </w:r>
      <w:proofErr w:type="spellEnd"/>
      <w:r w:rsidRPr="002A0BDB">
        <w:rPr>
          <w:rFonts w:ascii="Arial" w:hAnsi="Arial" w:cs="Arial"/>
        </w:rPr>
        <w:t xml:space="preserve">, M.S., </w:t>
      </w:r>
      <w:proofErr w:type="spellStart"/>
      <w:r w:rsidRPr="002A0BDB">
        <w:rPr>
          <w:rFonts w:ascii="Arial" w:hAnsi="Arial" w:cs="Arial"/>
        </w:rPr>
        <w:t>Tarr</w:t>
      </w:r>
      <w:proofErr w:type="spellEnd"/>
      <w:r w:rsidRPr="002A0BDB">
        <w:rPr>
          <w:rFonts w:ascii="Arial" w:hAnsi="Arial" w:cs="Arial"/>
        </w:rPr>
        <w:t xml:space="preserve">, C.L., </w:t>
      </w:r>
      <w:proofErr w:type="spellStart"/>
      <w:r w:rsidRPr="002A0BDB">
        <w:rPr>
          <w:rFonts w:ascii="Arial" w:hAnsi="Arial" w:cs="Arial"/>
        </w:rPr>
        <w:t>Alam</w:t>
      </w:r>
      <w:proofErr w:type="spellEnd"/>
      <w:r w:rsidRPr="002A0BDB">
        <w:rPr>
          <w:rFonts w:ascii="Arial" w:hAnsi="Arial" w:cs="Arial"/>
        </w:rPr>
        <w:t xml:space="preserve">, M. and Boucher, Y.F. (2021). Population Analysis of Vibrio </w:t>
      </w:r>
      <w:proofErr w:type="spellStart"/>
      <w:r w:rsidRPr="002A0BDB">
        <w:rPr>
          <w:rFonts w:ascii="Arial" w:hAnsi="Arial" w:cs="Arial"/>
        </w:rPr>
        <w:t>cholerae</w:t>
      </w:r>
      <w:proofErr w:type="spellEnd"/>
      <w:r w:rsidRPr="002A0BDB">
        <w:rPr>
          <w:rFonts w:ascii="Arial" w:hAnsi="Arial" w:cs="Arial"/>
        </w:rPr>
        <w:t xml:space="preserve"> in Aquatic Reservoirs Reveals a Novel Sister Species ( </w:t>
      </w:r>
      <w:proofErr w:type="spellStart"/>
      <w:r w:rsidRPr="002A0BDB">
        <w:rPr>
          <w:rFonts w:ascii="Arial" w:hAnsi="Arial" w:cs="Arial"/>
          <w:i/>
          <w:iCs/>
        </w:rPr>
        <w:t>Vibrioparacholerae</w:t>
      </w:r>
      <w:proofErr w:type="spellEnd"/>
      <w:r w:rsidRPr="002A0BDB">
        <w:rPr>
          <w:rFonts w:ascii="Arial" w:hAnsi="Arial" w:cs="Arial"/>
        </w:rPr>
        <w:t xml:space="preserve"> sp. </w:t>
      </w:r>
      <w:proofErr w:type="spellStart"/>
      <w:r w:rsidRPr="002A0BDB">
        <w:rPr>
          <w:rFonts w:ascii="Arial" w:hAnsi="Arial" w:cs="Arial"/>
        </w:rPr>
        <w:t>nov.</w:t>
      </w:r>
      <w:proofErr w:type="spellEnd"/>
      <w:r w:rsidRPr="002A0BDB">
        <w:rPr>
          <w:rFonts w:ascii="Arial" w:hAnsi="Arial" w:cs="Arial"/>
        </w:rPr>
        <w:t xml:space="preserve">) with a History of Association with Humans. </w:t>
      </w:r>
      <w:r w:rsidRPr="002A0BDB">
        <w:rPr>
          <w:rFonts w:ascii="Arial" w:hAnsi="Arial" w:cs="Arial"/>
          <w:i/>
          <w:iCs/>
        </w:rPr>
        <w:t>Applied and Environmental Microbiology</w:t>
      </w:r>
      <w:r w:rsidRPr="002A0BDB">
        <w:rPr>
          <w:rFonts w:ascii="Arial" w:hAnsi="Arial" w:cs="Arial"/>
        </w:rPr>
        <w:t>, 87(17).</w:t>
      </w:r>
    </w:p>
    <w:p w14:paraId="5A235E4A"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rPr>
        <w:t xml:space="preserve">Ismail, E.M., </w:t>
      </w:r>
      <w:proofErr w:type="spellStart"/>
      <w:r w:rsidRPr="002A0BDB">
        <w:rPr>
          <w:rFonts w:ascii="Arial" w:hAnsi="Arial" w:cs="Arial"/>
        </w:rPr>
        <w:t>Kadry</w:t>
      </w:r>
      <w:proofErr w:type="spellEnd"/>
      <w:r w:rsidRPr="002A0BDB">
        <w:rPr>
          <w:rFonts w:ascii="Arial" w:hAnsi="Arial" w:cs="Arial"/>
        </w:rPr>
        <w:t xml:space="preserve">, M., </w:t>
      </w:r>
      <w:proofErr w:type="spellStart"/>
      <w:r w:rsidRPr="002A0BDB">
        <w:rPr>
          <w:rFonts w:ascii="Arial" w:hAnsi="Arial" w:cs="Arial"/>
        </w:rPr>
        <w:t>Elshafiee</w:t>
      </w:r>
      <w:proofErr w:type="spellEnd"/>
      <w:r w:rsidRPr="002A0BDB">
        <w:rPr>
          <w:rFonts w:ascii="Arial" w:hAnsi="Arial" w:cs="Arial"/>
        </w:rPr>
        <w:t xml:space="preserve">, E.A., </w:t>
      </w:r>
      <w:proofErr w:type="spellStart"/>
      <w:r w:rsidRPr="002A0BDB">
        <w:rPr>
          <w:rFonts w:ascii="Arial" w:hAnsi="Arial" w:cs="Arial"/>
        </w:rPr>
        <w:t>Ragab</w:t>
      </w:r>
      <w:proofErr w:type="spellEnd"/>
      <w:r w:rsidRPr="002A0BDB">
        <w:rPr>
          <w:rFonts w:ascii="Arial" w:hAnsi="Arial" w:cs="Arial"/>
        </w:rPr>
        <w:t xml:space="preserve">, E., </w:t>
      </w:r>
      <w:proofErr w:type="spellStart"/>
      <w:r w:rsidRPr="002A0BDB">
        <w:rPr>
          <w:rFonts w:ascii="Arial" w:hAnsi="Arial" w:cs="Arial"/>
        </w:rPr>
        <w:t>Morsy</w:t>
      </w:r>
      <w:proofErr w:type="spellEnd"/>
      <w:r w:rsidRPr="002A0BDB">
        <w:rPr>
          <w:rFonts w:ascii="Arial" w:hAnsi="Arial" w:cs="Arial"/>
        </w:rPr>
        <w:t xml:space="preserve">, E.A., </w:t>
      </w:r>
      <w:proofErr w:type="spellStart"/>
      <w:r w:rsidRPr="002A0BDB">
        <w:rPr>
          <w:rFonts w:ascii="Arial" w:hAnsi="Arial" w:cs="Arial"/>
        </w:rPr>
        <w:t>Rizk</w:t>
      </w:r>
      <w:proofErr w:type="spellEnd"/>
      <w:r w:rsidRPr="002A0BDB">
        <w:rPr>
          <w:rFonts w:ascii="Arial" w:hAnsi="Arial" w:cs="Arial"/>
        </w:rPr>
        <w:t xml:space="preserve">, O. and </w:t>
      </w:r>
      <w:proofErr w:type="spellStart"/>
      <w:r w:rsidRPr="002A0BDB">
        <w:rPr>
          <w:rFonts w:ascii="Arial" w:hAnsi="Arial" w:cs="Arial"/>
        </w:rPr>
        <w:t>Zaki</w:t>
      </w:r>
      <w:proofErr w:type="spellEnd"/>
      <w:r w:rsidRPr="002A0BDB">
        <w:rPr>
          <w:rFonts w:ascii="Arial" w:hAnsi="Arial" w:cs="Arial"/>
        </w:rPr>
        <w:t>, M.M. (2021).</w:t>
      </w:r>
      <w:proofErr w:type="spellStart"/>
      <w:r w:rsidRPr="002A0BDB">
        <w:rPr>
          <w:rFonts w:ascii="Arial" w:hAnsi="Arial" w:cs="Arial"/>
        </w:rPr>
        <w:t>Ecoepidemiology</w:t>
      </w:r>
      <w:proofErr w:type="spellEnd"/>
      <w:r w:rsidRPr="002A0BDB">
        <w:rPr>
          <w:rFonts w:ascii="Arial" w:hAnsi="Arial" w:cs="Arial"/>
        </w:rPr>
        <w:t xml:space="preserve"> and Potential Transmission of Vibrio </w:t>
      </w:r>
      <w:proofErr w:type="spellStart"/>
      <w:r w:rsidRPr="002A0BDB">
        <w:rPr>
          <w:rFonts w:ascii="Arial" w:hAnsi="Arial" w:cs="Arial"/>
        </w:rPr>
        <w:t>cholerae</w:t>
      </w:r>
      <w:proofErr w:type="spellEnd"/>
      <w:r w:rsidRPr="002A0BDB">
        <w:rPr>
          <w:rFonts w:ascii="Arial" w:hAnsi="Arial" w:cs="Arial"/>
        </w:rPr>
        <w:t xml:space="preserve"> among Different Environmental Niches: An Upcoming Threat in Egypt. </w:t>
      </w:r>
      <w:r w:rsidRPr="002A0BDB">
        <w:rPr>
          <w:rFonts w:ascii="Arial" w:hAnsi="Arial" w:cs="Arial"/>
          <w:i/>
          <w:iCs/>
        </w:rPr>
        <w:t>Pathogens</w:t>
      </w:r>
      <w:r w:rsidRPr="002A0BDB">
        <w:rPr>
          <w:rFonts w:ascii="Arial" w:hAnsi="Arial" w:cs="Arial"/>
        </w:rPr>
        <w:t>, 10(2), p.190.</w:t>
      </w:r>
    </w:p>
    <w:p w14:paraId="19E534C5"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rPr>
        <w:t xml:space="preserve">Jiang, Y., Zhao, W., Yang, X., Fan, F., Li, Z., Pang, B. and </w:t>
      </w:r>
      <w:proofErr w:type="spellStart"/>
      <w:r w:rsidRPr="002A0BDB">
        <w:rPr>
          <w:rFonts w:ascii="Arial" w:hAnsi="Arial" w:cs="Arial"/>
        </w:rPr>
        <w:t>Kan</w:t>
      </w:r>
      <w:proofErr w:type="spellEnd"/>
      <w:r w:rsidRPr="002A0BDB">
        <w:rPr>
          <w:rFonts w:ascii="Arial" w:hAnsi="Arial" w:cs="Arial"/>
        </w:rPr>
        <w:t xml:space="preserve">, B. (2025). Revisiting the Genomic Epidemiology of Distinct Phage-Type Vibrio </w:t>
      </w:r>
      <w:proofErr w:type="spellStart"/>
      <w:r w:rsidRPr="002A0BDB">
        <w:rPr>
          <w:rFonts w:ascii="Arial" w:hAnsi="Arial" w:cs="Arial"/>
        </w:rPr>
        <w:t>cholerae</w:t>
      </w:r>
      <w:proofErr w:type="spellEnd"/>
      <w:r w:rsidRPr="002A0BDB">
        <w:rPr>
          <w:rFonts w:ascii="Arial" w:hAnsi="Arial" w:cs="Arial"/>
        </w:rPr>
        <w:t xml:space="preserve"> Strains Reveals Restricted Spatiotemporal Dissemination During an Epidemic. </w:t>
      </w:r>
      <w:r w:rsidRPr="002A0BDB">
        <w:rPr>
          <w:rFonts w:ascii="Arial" w:hAnsi="Arial" w:cs="Arial"/>
          <w:i/>
          <w:iCs/>
        </w:rPr>
        <w:t>Microorganisms</w:t>
      </w:r>
      <w:r w:rsidRPr="002A0BDB">
        <w:rPr>
          <w:rFonts w:ascii="Arial" w:hAnsi="Arial" w:cs="Arial"/>
        </w:rPr>
        <w:t>, 13(7), p.1585.</w:t>
      </w:r>
    </w:p>
    <w:p w14:paraId="09263506" w14:textId="77777777" w:rsidR="00D6053C" w:rsidRPr="002A0BDB" w:rsidRDefault="00D6053C" w:rsidP="00D6053C">
      <w:pPr>
        <w:spacing w:after="240" w:line="360" w:lineRule="auto"/>
        <w:jc w:val="both"/>
        <w:rPr>
          <w:rFonts w:ascii="Arial" w:hAnsi="Arial" w:cs="Arial"/>
        </w:rPr>
      </w:pPr>
      <w:proofErr w:type="spellStart"/>
      <w:r w:rsidRPr="002A0BDB">
        <w:rPr>
          <w:rFonts w:ascii="Arial" w:hAnsi="Arial" w:cs="Arial"/>
        </w:rPr>
        <w:t>Jin</w:t>
      </w:r>
      <w:proofErr w:type="spellEnd"/>
      <w:r w:rsidRPr="002A0BDB">
        <w:rPr>
          <w:rFonts w:ascii="Arial" w:hAnsi="Arial" w:cs="Arial"/>
        </w:rPr>
        <w:t xml:space="preserve">, J., Jian, D., Zhou, X., Chen, Q. and Li, Y. (2025).Impact of El Niño–Southern Oscillation on Global </w:t>
      </w:r>
      <w:proofErr w:type="spellStart"/>
      <w:r w:rsidRPr="002A0BDB">
        <w:rPr>
          <w:rFonts w:ascii="Arial" w:hAnsi="Arial" w:cs="Arial"/>
        </w:rPr>
        <w:t>Vegetation.</w:t>
      </w:r>
      <w:r w:rsidRPr="002A0BDB">
        <w:rPr>
          <w:rFonts w:ascii="Arial" w:hAnsi="Arial" w:cs="Arial"/>
          <w:i/>
          <w:iCs/>
        </w:rPr>
        <w:t>Atmosphere</w:t>
      </w:r>
      <w:proofErr w:type="spellEnd"/>
      <w:r w:rsidRPr="002A0BDB">
        <w:rPr>
          <w:rFonts w:ascii="Arial" w:hAnsi="Arial" w:cs="Arial"/>
        </w:rPr>
        <w:t>, 16(6), p.701.</w:t>
      </w:r>
    </w:p>
    <w:p w14:paraId="19CCD749" w14:textId="77777777" w:rsidR="00D6053C" w:rsidRPr="002A0BDB" w:rsidRDefault="00D6053C" w:rsidP="00D6053C">
      <w:pPr>
        <w:spacing w:before="240" w:line="360" w:lineRule="auto"/>
        <w:jc w:val="both"/>
        <w:rPr>
          <w:rFonts w:ascii="Arial" w:hAnsi="Arial" w:cs="Arial"/>
        </w:rPr>
      </w:pPr>
      <w:proofErr w:type="spellStart"/>
      <w:r w:rsidRPr="002A0BDB">
        <w:rPr>
          <w:rFonts w:ascii="Arial" w:hAnsi="Arial" w:cs="Arial"/>
        </w:rPr>
        <w:t>Ke</w:t>
      </w:r>
      <w:proofErr w:type="spellEnd"/>
      <w:r w:rsidRPr="002A0BDB">
        <w:rPr>
          <w:rFonts w:ascii="Arial" w:hAnsi="Arial" w:cs="Arial"/>
        </w:rPr>
        <w:t xml:space="preserve">, B., Pang, B., He, D., Xu, J., Chen, Q., Liang, J., Chen, J., Li, Z., Zhou, H., Deng, X. and </w:t>
      </w:r>
      <w:proofErr w:type="spellStart"/>
      <w:r w:rsidRPr="002A0BDB">
        <w:rPr>
          <w:rFonts w:ascii="Arial" w:hAnsi="Arial" w:cs="Arial"/>
        </w:rPr>
        <w:t>Kan</w:t>
      </w:r>
      <w:proofErr w:type="spellEnd"/>
      <w:r w:rsidRPr="002A0BDB">
        <w:rPr>
          <w:rFonts w:ascii="Arial" w:hAnsi="Arial" w:cs="Arial"/>
        </w:rPr>
        <w:t xml:space="preserve">, B., (2022).Phylogenetic analysis of </w:t>
      </w:r>
      <w:proofErr w:type="spellStart"/>
      <w:r w:rsidRPr="002A0BDB">
        <w:rPr>
          <w:rFonts w:ascii="Arial" w:hAnsi="Arial" w:cs="Arial"/>
        </w:rPr>
        <w:t>serogroup</w:t>
      </w:r>
      <w:proofErr w:type="spellEnd"/>
      <w:r w:rsidRPr="002A0BDB">
        <w:rPr>
          <w:rFonts w:ascii="Arial" w:hAnsi="Arial" w:cs="Arial"/>
        </w:rPr>
        <w:t xml:space="preserve"> O5 Vibrio </w:t>
      </w:r>
      <w:proofErr w:type="spellStart"/>
      <w:r w:rsidRPr="002A0BDB">
        <w:rPr>
          <w:rFonts w:ascii="Arial" w:hAnsi="Arial" w:cs="Arial"/>
        </w:rPr>
        <w:t>cholerae</w:t>
      </w:r>
      <w:proofErr w:type="spellEnd"/>
      <w:r w:rsidRPr="002A0BDB">
        <w:rPr>
          <w:rFonts w:ascii="Arial" w:hAnsi="Arial" w:cs="Arial"/>
        </w:rPr>
        <w:t xml:space="preserve"> that caused successive cholera outbreaks—Guangdong Province, China, 2020–2021.</w:t>
      </w:r>
      <w:r w:rsidRPr="002A0BDB">
        <w:rPr>
          <w:rFonts w:ascii="Arial" w:hAnsi="Arial" w:cs="Arial"/>
          <w:i/>
          <w:iCs/>
        </w:rPr>
        <w:t>China CDC Weekly</w:t>
      </w:r>
      <w:r w:rsidRPr="002A0BDB">
        <w:rPr>
          <w:rFonts w:ascii="Arial" w:hAnsi="Arial" w:cs="Arial"/>
        </w:rPr>
        <w:t>, 4(12), p.238.</w:t>
      </w:r>
    </w:p>
    <w:p w14:paraId="626BD685" w14:textId="77777777" w:rsidR="00D6053C" w:rsidRPr="002A0BDB" w:rsidRDefault="00D6053C" w:rsidP="00D6053C">
      <w:pPr>
        <w:spacing w:line="360" w:lineRule="auto"/>
        <w:jc w:val="both"/>
        <w:rPr>
          <w:rFonts w:ascii="Arial" w:eastAsia="Times New Roman" w:hAnsi="Arial" w:cs="Arial"/>
        </w:rPr>
      </w:pPr>
      <w:r w:rsidRPr="002A0BDB">
        <w:rPr>
          <w:rFonts w:ascii="Arial" w:eastAsia="Times New Roman" w:hAnsi="Arial" w:cs="Arial"/>
        </w:rPr>
        <w:t xml:space="preserve">Kelly, M.M., Peters, T.M. and Farber, J.S. (2024). Secondary data analysis: Using existing data to answer new questions. </w:t>
      </w:r>
      <w:r w:rsidRPr="002A0BDB">
        <w:rPr>
          <w:rFonts w:ascii="Arial" w:eastAsia="Times New Roman" w:hAnsi="Arial" w:cs="Arial"/>
          <w:i/>
          <w:iCs/>
        </w:rPr>
        <w:t xml:space="preserve">Journal of </w:t>
      </w:r>
      <w:proofErr w:type="spellStart"/>
      <w:r w:rsidRPr="002A0BDB">
        <w:rPr>
          <w:rFonts w:ascii="Arial" w:eastAsia="Times New Roman" w:hAnsi="Arial" w:cs="Arial"/>
          <w:i/>
          <w:iCs/>
        </w:rPr>
        <w:t>Pediatric</w:t>
      </w:r>
      <w:proofErr w:type="spellEnd"/>
      <w:r w:rsidRPr="002A0BDB">
        <w:rPr>
          <w:rFonts w:ascii="Arial" w:eastAsia="Times New Roman" w:hAnsi="Arial" w:cs="Arial"/>
          <w:i/>
          <w:iCs/>
        </w:rPr>
        <w:t xml:space="preserve"> Health Care</w:t>
      </w:r>
      <w:r w:rsidRPr="002A0BDB">
        <w:rPr>
          <w:rFonts w:ascii="Arial" w:eastAsia="Times New Roman" w:hAnsi="Arial" w:cs="Arial"/>
        </w:rPr>
        <w:t>, 38(4), pp.615–618. </w:t>
      </w:r>
    </w:p>
    <w:p w14:paraId="5E11A5B3" w14:textId="77777777" w:rsidR="00D6053C" w:rsidRPr="002A0BDB" w:rsidRDefault="00D6053C" w:rsidP="00D6053C">
      <w:pPr>
        <w:spacing w:before="240" w:after="240" w:line="360" w:lineRule="auto"/>
        <w:jc w:val="both"/>
        <w:rPr>
          <w:rFonts w:ascii="Arial" w:hAnsi="Arial" w:cs="Arial"/>
        </w:rPr>
      </w:pPr>
      <w:proofErr w:type="spellStart"/>
      <w:r w:rsidRPr="002A0BDB">
        <w:rPr>
          <w:rFonts w:ascii="Arial" w:hAnsi="Arial" w:cs="Arial"/>
        </w:rPr>
        <w:t>KristynaKorena</w:t>
      </w:r>
      <w:proofErr w:type="spellEnd"/>
      <w:r w:rsidRPr="002A0BDB">
        <w:rPr>
          <w:rFonts w:ascii="Arial" w:hAnsi="Arial" w:cs="Arial"/>
        </w:rPr>
        <w:t xml:space="preserve">, </w:t>
      </w:r>
      <w:proofErr w:type="spellStart"/>
      <w:r w:rsidRPr="002A0BDB">
        <w:rPr>
          <w:rFonts w:ascii="Arial" w:hAnsi="Arial" w:cs="Arial"/>
        </w:rPr>
        <w:t>MiroslavaKrzyzankova</w:t>
      </w:r>
      <w:proofErr w:type="spellEnd"/>
      <w:r w:rsidRPr="002A0BDB">
        <w:rPr>
          <w:rFonts w:ascii="Arial" w:hAnsi="Arial" w:cs="Arial"/>
        </w:rPr>
        <w:t xml:space="preserve">, </w:t>
      </w:r>
      <w:proofErr w:type="spellStart"/>
      <w:r w:rsidRPr="002A0BDB">
        <w:rPr>
          <w:rFonts w:ascii="Arial" w:hAnsi="Arial" w:cs="Arial"/>
        </w:rPr>
        <w:t>Florianova</w:t>
      </w:r>
      <w:proofErr w:type="spellEnd"/>
      <w:r w:rsidRPr="002A0BDB">
        <w:rPr>
          <w:rFonts w:ascii="Arial" w:hAnsi="Arial" w:cs="Arial"/>
        </w:rPr>
        <w:t xml:space="preserve">, M., </w:t>
      </w:r>
      <w:proofErr w:type="spellStart"/>
      <w:r w:rsidRPr="002A0BDB">
        <w:rPr>
          <w:rFonts w:ascii="Arial" w:hAnsi="Arial" w:cs="Arial"/>
        </w:rPr>
        <w:t>Karasova</w:t>
      </w:r>
      <w:proofErr w:type="spellEnd"/>
      <w:r w:rsidRPr="002A0BDB">
        <w:rPr>
          <w:rFonts w:ascii="Arial" w:hAnsi="Arial" w:cs="Arial"/>
        </w:rPr>
        <w:t xml:space="preserve">, D., </w:t>
      </w:r>
      <w:proofErr w:type="spellStart"/>
      <w:r w:rsidRPr="002A0BDB">
        <w:rPr>
          <w:rFonts w:ascii="Arial" w:hAnsi="Arial" w:cs="Arial"/>
        </w:rPr>
        <w:t>Babak</w:t>
      </w:r>
      <w:proofErr w:type="spellEnd"/>
      <w:r w:rsidRPr="002A0BDB">
        <w:rPr>
          <w:rFonts w:ascii="Arial" w:hAnsi="Arial" w:cs="Arial"/>
        </w:rPr>
        <w:t xml:space="preserve">, V., </w:t>
      </w:r>
      <w:proofErr w:type="spellStart"/>
      <w:r w:rsidRPr="002A0BDB">
        <w:rPr>
          <w:rFonts w:ascii="Arial" w:hAnsi="Arial" w:cs="Arial"/>
        </w:rPr>
        <w:t>Strakova</w:t>
      </w:r>
      <w:proofErr w:type="spellEnd"/>
      <w:r w:rsidRPr="002A0BDB">
        <w:rPr>
          <w:rFonts w:ascii="Arial" w:hAnsi="Arial" w:cs="Arial"/>
        </w:rPr>
        <w:t xml:space="preserve">, N. and </w:t>
      </w:r>
      <w:proofErr w:type="spellStart"/>
      <w:r w:rsidRPr="002A0BDB">
        <w:rPr>
          <w:rFonts w:ascii="Arial" w:hAnsi="Arial" w:cs="Arial"/>
        </w:rPr>
        <w:t>Juricova</w:t>
      </w:r>
      <w:proofErr w:type="spellEnd"/>
      <w:r w:rsidRPr="002A0BDB">
        <w:rPr>
          <w:rFonts w:ascii="Arial" w:hAnsi="Arial" w:cs="Arial"/>
        </w:rPr>
        <w:t xml:space="preserve">, H. (2023).Microbial Succession in the Cheese Ripening Process—Competition of the Starter Cultures and the Microbiota of the Cheese Plant </w:t>
      </w:r>
      <w:proofErr w:type="spellStart"/>
      <w:r w:rsidRPr="002A0BDB">
        <w:rPr>
          <w:rFonts w:ascii="Arial" w:hAnsi="Arial" w:cs="Arial"/>
        </w:rPr>
        <w:t>Environment.</w:t>
      </w:r>
      <w:r w:rsidRPr="002A0BDB">
        <w:rPr>
          <w:rFonts w:ascii="Arial" w:hAnsi="Arial" w:cs="Arial"/>
          <w:i/>
          <w:iCs/>
        </w:rPr>
        <w:t>Microorganisms</w:t>
      </w:r>
      <w:proofErr w:type="spellEnd"/>
      <w:r w:rsidRPr="002A0BDB">
        <w:rPr>
          <w:rFonts w:ascii="Arial" w:hAnsi="Arial" w:cs="Arial"/>
        </w:rPr>
        <w:t>, 11(7), pp.1735–1735.</w:t>
      </w:r>
    </w:p>
    <w:p w14:paraId="660EA7C1" w14:textId="77777777" w:rsidR="00D6053C" w:rsidRPr="002A0BDB" w:rsidRDefault="00D6053C" w:rsidP="00D6053C">
      <w:pPr>
        <w:pBdr>
          <w:top w:val="nil"/>
          <w:left w:val="nil"/>
          <w:bottom w:val="nil"/>
          <w:right w:val="nil"/>
          <w:between w:val="nil"/>
        </w:pBdr>
        <w:spacing w:before="240" w:line="360" w:lineRule="auto"/>
        <w:jc w:val="both"/>
        <w:rPr>
          <w:rFonts w:ascii="Arial" w:hAnsi="Arial" w:cs="Arial"/>
        </w:rPr>
      </w:pPr>
      <w:proofErr w:type="spellStart"/>
      <w:r w:rsidRPr="002A0BDB">
        <w:rPr>
          <w:rFonts w:ascii="Arial" w:hAnsi="Arial" w:cs="Arial"/>
        </w:rPr>
        <w:t>Lanrewaju</w:t>
      </w:r>
      <w:proofErr w:type="spellEnd"/>
      <w:r w:rsidRPr="002A0BDB">
        <w:rPr>
          <w:rFonts w:ascii="Arial" w:hAnsi="Arial" w:cs="Arial"/>
        </w:rPr>
        <w:t xml:space="preserve">, A.A., </w:t>
      </w:r>
      <w:proofErr w:type="spellStart"/>
      <w:r w:rsidRPr="002A0BDB">
        <w:rPr>
          <w:rFonts w:ascii="Arial" w:hAnsi="Arial" w:cs="Arial"/>
        </w:rPr>
        <w:t>Enitan-Folami</w:t>
      </w:r>
      <w:proofErr w:type="spellEnd"/>
      <w:r w:rsidRPr="002A0BDB">
        <w:rPr>
          <w:rFonts w:ascii="Arial" w:hAnsi="Arial" w:cs="Arial"/>
        </w:rPr>
        <w:t xml:space="preserve">, A.M., </w:t>
      </w:r>
      <w:proofErr w:type="spellStart"/>
      <w:r w:rsidRPr="002A0BDB">
        <w:rPr>
          <w:rFonts w:ascii="Arial" w:hAnsi="Arial" w:cs="Arial"/>
        </w:rPr>
        <w:t>Sabiu</w:t>
      </w:r>
      <w:proofErr w:type="spellEnd"/>
      <w:r w:rsidRPr="002A0BDB">
        <w:rPr>
          <w:rFonts w:ascii="Arial" w:hAnsi="Arial" w:cs="Arial"/>
        </w:rPr>
        <w:t xml:space="preserve">, S., </w:t>
      </w:r>
      <w:proofErr w:type="spellStart"/>
      <w:r w:rsidRPr="002A0BDB">
        <w:rPr>
          <w:rFonts w:ascii="Arial" w:hAnsi="Arial" w:cs="Arial"/>
        </w:rPr>
        <w:t>Edokpayi</w:t>
      </w:r>
      <w:proofErr w:type="spellEnd"/>
      <w:r w:rsidRPr="002A0BDB">
        <w:rPr>
          <w:rFonts w:ascii="Arial" w:hAnsi="Arial" w:cs="Arial"/>
        </w:rPr>
        <w:t xml:space="preserve">, J.N. and </w:t>
      </w:r>
      <w:proofErr w:type="spellStart"/>
      <w:r w:rsidRPr="002A0BDB">
        <w:rPr>
          <w:rFonts w:ascii="Arial" w:hAnsi="Arial" w:cs="Arial"/>
        </w:rPr>
        <w:t>Swalaha</w:t>
      </w:r>
      <w:proofErr w:type="spellEnd"/>
      <w:r w:rsidRPr="002A0BDB">
        <w:rPr>
          <w:rFonts w:ascii="Arial" w:hAnsi="Arial" w:cs="Arial"/>
        </w:rPr>
        <w:t xml:space="preserve">, F.M., (2022). Global public health implications of human exposure to viral contaminated </w:t>
      </w:r>
      <w:proofErr w:type="spellStart"/>
      <w:r w:rsidRPr="002A0BDB">
        <w:rPr>
          <w:rFonts w:ascii="Arial" w:hAnsi="Arial" w:cs="Arial"/>
        </w:rPr>
        <w:t>water</w:t>
      </w:r>
      <w:r w:rsidRPr="002A0BDB">
        <w:rPr>
          <w:rFonts w:ascii="Arial" w:hAnsi="Arial" w:cs="Arial"/>
          <w:i/>
          <w:iCs/>
        </w:rPr>
        <w:t>.Frontiers</w:t>
      </w:r>
      <w:proofErr w:type="spellEnd"/>
      <w:r w:rsidRPr="002A0BDB">
        <w:rPr>
          <w:rFonts w:ascii="Arial" w:hAnsi="Arial" w:cs="Arial"/>
          <w:i/>
          <w:iCs/>
        </w:rPr>
        <w:t xml:space="preserve"> in Microbiology</w:t>
      </w:r>
      <w:r w:rsidRPr="002A0BDB">
        <w:rPr>
          <w:rFonts w:ascii="Arial" w:hAnsi="Arial" w:cs="Arial"/>
        </w:rPr>
        <w:t>, 13, p.981896.</w:t>
      </w:r>
    </w:p>
    <w:p w14:paraId="5B468E3F" w14:textId="77777777" w:rsidR="00D6053C" w:rsidRPr="002A0BDB" w:rsidRDefault="00D6053C" w:rsidP="00D6053C">
      <w:pPr>
        <w:spacing w:after="240" w:line="360" w:lineRule="auto"/>
        <w:jc w:val="both"/>
        <w:rPr>
          <w:rFonts w:ascii="Arial" w:hAnsi="Arial" w:cs="Arial"/>
        </w:rPr>
      </w:pPr>
      <w:proofErr w:type="spellStart"/>
      <w:r w:rsidRPr="002A0BDB">
        <w:rPr>
          <w:rFonts w:ascii="Arial" w:hAnsi="Arial" w:cs="Arial"/>
        </w:rPr>
        <w:t>Lotoux</w:t>
      </w:r>
      <w:proofErr w:type="spellEnd"/>
      <w:r w:rsidRPr="002A0BDB">
        <w:rPr>
          <w:rFonts w:ascii="Arial" w:hAnsi="Arial" w:cs="Arial"/>
        </w:rPr>
        <w:t xml:space="preserve">, A., </w:t>
      </w:r>
      <w:proofErr w:type="spellStart"/>
      <w:r w:rsidRPr="002A0BDB">
        <w:rPr>
          <w:rFonts w:ascii="Arial" w:hAnsi="Arial" w:cs="Arial"/>
        </w:rPr>
        <w:t>Milohanic</w:t>
      </w:r>
      <w:proofErr w:type="spellEnd"/>
      <w:r w:rsidRPr="002A0BDB">
        <w:rPr>
          <w:rFonts w:ascii="Arial" w:hAnsi="Arial" w:cs="Arial"/>
        </w:rPr>
        <w:t xml:space="preserve">, E. and </w:t>
      </w:r>
      <w:proofErr w:type="spellStart"/>
      <w:r w:rsidRPr="002A0BDB">
        <w:rPr>
          <w:rFonts w:ascii="Arial" w:hAnsi="Arial" w:cs="Arial"/>
        </w:rPr>
        <w:t>Bierne</w:t>
      </w:r>
      <w:proofErr w:type="spellEnd"/>
      <w:r w:rsidRPr="002A0BDB">
        <w:rPr>
          <w:rFonts w:ascii="Arial" w:hAnsi="Arial" w:cs="Arial"/>
        </w:rPr>
        <w:t>, H. (2022). The Viable But Non-</w:t>
      </w:r>
      <w:proofErr w:type="spellStart"/>
      <w:r w:rsidRPr="002A0BDB">
        <w:rPr>
          <w:rFonts w:ascii="Arial" w:hAnsi="Arial" w:cs="Arial"/>
        </w:rPr>
        <w:t>Culturable</w:t>
      </w:r>
      <w:proofErr w:type="spellEnd"/>
      <w:r w:rsidRPr="002A0BDB">
        <w:rPr>
          <w:rFonts w:ascii="Arial" w:hAnsi="Arial" w:cs="Arial"/>
        </w:rPr>
        <w:t xml:space="preserve"> State of Listeria </w:t>
      </w:r>
      <w:proofErr w:type="spellStart"/>
      <w:r w:rsidRPr="002A0BDB">
        <w:rPr>
          <w:rFonts w:ascii="Arial" w:hAnsi="Arial" w:cs="Arial"/>
        </w:rPr>
        <w:t>monocytogenes</w:t>
      </w:r>
      <w:proofErr w:type="spellEnd"/>
      <w:r w:rsidRPr="002A0BDB">
        <w:rPr>
          <w:rFonts w:ascii="Arial" w:hAnsi="Arial" w:cs="Arial"/>
        </w:rPr>
        <w:t xml:space="preserve"> in the One-Health Continuum. </w:t>
      </w:r>
      <w:r w:rsidRPr="002A0BDB">
        <w:rPr>
          <w:rFonts w:ascii="Arial" w:hAnsi="Arial" w:cs="Arial"/>
          <w:i/>
          <w:iCs/>
        </w:rPr>
        <w:t>Frontiers in Cellular and Infection Microbiology</w:t>
      </w:r>
      <w:r w:rsidRPr="002A0BDB">
        <w:rPr>
          <w:rFonts w:ascii="Arial" w:hAnsi="Arial" w:cs="Arial"/>
        </w:rPr>
        <w:t>, 12.</w:t>
      </w:r>
    </w:p>
    <w:p w14:paraId="3CCBFFBF"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lastRenderedPageBreak/>
        <w:t>Lotoux</w:t>
      </w:r>
      <w:proofErr w:type="spellEnd"/>
      <w:r w:rsidRPr="002A0BDB">
        <w:rPr>
          <w:rFonts w:ascii="Arial" w:hAnsi="Arial" w:cs="Arial"/>
        </w:rPr>
        <w:t xml:space="preserve">, A., </w:t>
      </w:r>
      <w:proofErr w:type="spellStart"/>
      <w:r w:rsidRPr="002A0BDB">
        <w:rPr>
          <w:rFonts w:ascii="Arial" w:hAnsi="Arial" w:cs="Arial"/>
        </w:rPr>
        <w:t>Milohanic</w:t>
      </w:r>
      <w:proofErr w:type="spellEnd"/>
      <w:r w:rsidRPr="002A0BDB">
        <w:rPr>
          <w:rFonts w:ascii="Arial" w:hAnsi="Arial" w:cs="Arial"/>
        </w:rPr>
        <w:t xml:space="preserve">, E. and </w:t>
      </w:r>
      <w:proofErr w:type="spellStart"/>
      <w:r w:rsidRPr="002A0BDB">
        <w:rPr>
          <w:rFonts w:ascii="Arial" w:hAnsi="Arial" w:cs="Arial"/>
        </w:rPr>
        <w:t>Bierne</w:t>
      </w:r>
      <w:proofErr w:type="spellEnd"/>
      <w:r w:rsidRPr="002A0BDB">
        <w:rPr>
          <w:rFonts w:ascii="Arial" w:hAnsi="Arial" w:cs="Arial"/>
        </w:rPr>
        <w:t>, H., (2022). The viable but non-</w:t>
      </w:r>
      <w:proofErr w:type="spellStart"/>
      <w:r w:rsidRPr="002A0BDB">
        <w:rPr>
          <w:rFonts w:ascii="Arial" w:hAnsi="Arial" w:cs="Arial"/>
        </w:rPr>
        <w:t>culturable</w:t>
      </w:r>
      <w:proofErr w:type="spellEnd"/>
      <w:r w:rsidRPr="002A0BDB">
        <w:rPr>
          <w:rFonts w:ascii="Arial" w:hAnsi="Arial" w:cs="Arial"/>
        </w:rPr>
        <w:t xml:space="preserve"> state of listeria </w:t>
      </w:r>
      <w:proofErr w:type="spellStart"/>
      <w:r w:rsidRPr="002A0BDB">
        <w:rPr>
          <w:rFonts w:ascii="Arial" w:hAnsi="Arial" w:cs="Arial"/>
        </w:rPr>
        <w:t>monocytogenes</w:t>
      </w:r>
      <w:proofErr w:type="spellEnd"/>
      <w:r w:rsidRPr="002A0BDB">
        <w:rPr>
          <w:rFonts w:ascii="Arial" w:hAnsi="Arial" w:cs="Arial"/>
        </w:rPr>
        <w:t xml:space="preserve"> in the one-health </w:t>
      </w:r>
      <w:proofErr w:type="spellStart"/>
      <w:r w:rsidRPr="002A0BDB">
        <w:rPr>
          <w:rFonts w:ascii="Arial" w:hAnsi="Arial" w:cs="Arial"/>
        </w:rPr>
        <w:t>continuum.</w:t>
      </w:r>
      <w:r w:rsidRPr="002A0BDB">
        <w:rPr>
          <w:rFonts w:ascii="Arial" w:hAnsi="Arial" w:cs="Arial"/>
          <w:i/>
          <w:iCs/>
        </w:rPr>
        <w:t>Frontiers</w:t>
      </w:r>
      <w:proofErr w:type="spellEnd"/>
      <w:r w:rsidRPr="002A0BDB">
        <w:rPr>
          <w:rFonts w:ascii="Arial" w:hAnsi="Arial" w:cs="Arial"/>
          <w:i/>
          <w:iCs/>
        </w:rPr>
        <w:t xml:space="preserve"> in Cellular and Infection Microbiology</w:t>
      </w:r>
      <w:r w:rsidRPr="002A0BDB">
        <w:rPr>
          <w:rFonts w:ascii="Arial" w:hAnsi="Arial" w:cs="Arial"/>
        </w:rPr>
        <w:t xml:space="preserve">, </w:t>
      </w:r>
      <w:r w:rsidRPr="002A0BDB">
        <w:rPr>
          <w:rFonts w:ascii="Arial" w:hAnsi="Arial" w:cs="Arial"/>
          <w:i/>
          <w:iCs/>
        </w:rPr>
        <w:t>12</w:t>
      </w:r>
      <w:r w:rsidRPr="002A0BDB">
        <w:rPr>
          <w:rFonts w:ascii="Arial" w:hAnsi="Arial" w:cs="Arial"/>
        </w:rPr>
        <w:t>, p.849915.</w:t>
      </w:r>
    </w:p>
    <w:p w14:paraId="791F1BB3"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Mageto</w:t>
      </w:r>
      <w:proofErr w:type="spellEnd"/>
      <w:r w:rsidRPr="002A0BDB">
        <w:rPr>
          <w:rFonts w:ascii="Arial" w:hAnsi="Arial" w:cs="Arial"/>
        </w:rPr>
        <w:t xml:space="preserve">, L.M., </w:t>
      </w:r>
      <w:proofErr w:type="spellStart"/>
      <w:r w:rsidRPr="002A0BDB">
        <w:rPr>
          <w:rFonts w:ascii="Arial" w:hAnsi="Arial" w:cs="Arial"/>
        </w:rPr>
        <w:t>Aboge</w:t>
      </w:r>
      <w:proofErr w:type="spellEnd"/>
      <w:r w:rsidRPr="002A0BDB">
        <w:rPr>
          <w:rFonts w:ascii="Arial" w:hAnsi="Arial" w:cs="Arial"/>
        </w:rPr>
        <w:t xml:space="preserve">, G.O., </w:t>
      </w:r>
      <w:proofErr w:type="spellStart"/>
      <w:r w:rsidRPr="002A0BDB">
        <w:rPr>
          <w:rFonts w:ascii="Arial" w:hAnsi="Arial" w:cs="Arial"/>
        </w:rPr>
        <w:t>Mekuria</w:t>
      </w:r>
      <w:proofErr w:type="spellEnd"/>
      <w:r w:rsidRPr="002A0BDB">
        <w:rPr>
          <w:rFonts w:ascii="Arial" w:hAnsi="Arial" w:cs="Arial"/>
        </w:rPr>
        <w:t xml:space="preserve">, Z.H., </w:t>
      </w:r>
      <w:proofErr w:type="spellStart"/>
      <w:r w:rsidRPr="002A0BDB">
        <w:rPr>
          <w:rFonts w:ascii="Arial" w:hAnsi="Arial" w:cs="Arial"/>
        </w:rPr>
        <w:t>Gathura</w:t>
      </w:r>
      <w:proofErr w:type="spellEnd"/>
      <w:r w:rsidRPr="002A0BDB">
        <w:rPr>
          <w:rFonts w:ascii="Arial" w:hAnsi="Arial" w:cs="Arial"/>
        </w:rPr>
        <w:t xml:space="preserve">, P., </w:t>
      </w:r>
      <w:proofErr w:type="spellStart"/>
      <w:r w:rsidRPr="002A0BDB">
        <w:rPr>
          <w:rFonts w:ascii="Arial" w:hAnsi="Arial" w:cs="Arial"/>
        </w:rPr>
        <w:t>Juma</w:t>
      </w:r>
      <w:proofErr w:type="spellEnd"/>
      <w:r w:rsidRPr="002A0BDB">
        <w:rPr>
          <w:rFonts w:ascii="Arial" w:hAnsi="Arial" w:cs="Arial"/>
        </w:rPr>
        <w:t xml:space="preserve">, J., </w:t>
      </w:r>
      <w:proofErr w:type="spellStart"/>
      <w:r w:rsidRPr="002A0BDB">
        <w:rPr>
          <w:rFonts w:ascii="Arial" w:hAnsi="Arial" w:cs="Arial"/>
        </w:rPr>
        <w:t>Mugo</w:t>
      </w:r>
      <w:proofErr w:type="spellEnd"/>
      <w:r w:rsidRPr="002A0BDB">
        <w:rPr>
          <w:rFonts w:ascii="Arial" w:hAnsi="Arial" w:cs="Arial"/>
        </w:rPr>
        <w:t xml:space="preserve">, M., </w:t>
      </w:r>
      <w:proofErr w:type="spellStart"/>
      <w:r w:rsidRPr="002A0BDB">
        <w:rPr>
          <w:rFonts w:ascii="Arial" w:hAnsi="Arial" w:cs="Arial"/>
        </w:rPr>
        <w:t>Kebenei</w:t>
      </w:r>
      <w:proofErr w:type="spellEnd"/>
      <w:r w:rsidRPr="002A0BDB">
        <w:rPr>
          <w:rFonts w:ascii="Arial" w:hAnsi="Arial" w:cs="Arial"/>
        </w:rPr>
        <w:t xml:space="preserve">, C.K., </w:t>
      </w:r>
      <w:proofErr w:type="spellStart"/>
      <w:r w:rsidRPr="002A0BDB">
        <w:rPr>
          <w:rFonts w:ascii="Arial" w:hAnsi="Arial" w:cs="Arial"/>
        </w:rPr>
        <w:t>Imoli</w:t>
      </w:r>
      <w:proofErr w:type="spellEnd"/>
      <w:r w:rsidRPr="002A0BDB">
        <w:rPr>
          <w:rFonts w:ascii="Arial" w:hAnsi="Arial" w:cs="Arial"/>
        </w:rPr>
        <w:t xml:space="preserve">, D., </w:t>
      </w:r>
      <w:proofErr w:type="spellStart"/>
      <w:r w:rsidRPr="002A0BDB">
        <w:rPr>
          <w:rFonts w:ascii="Arial" w:hAnsi="Arial" w:cs="Arial"/>
        </w:rPr>
        <w:t>Ongadi</w:t>
      </w:r>
      <w:proofErr w:type="spellEnd"/>
      <w:r w:rsidRPr="002A0BDB">
        <w:rPr>
          <w:rFonts w:ascii="Arial" w:hAnsi="Arial" w:cs="Arial"/>
        </w:rPr>
        <w:t xml:space="preserve">, B.A., </w:t>
      </w:r>
      <w:proofErr w:type="spellStart"/>
      <w:r w:rsidRPr="002A0BDB">
        <w:rPr>
          <w:rFonts w:ascii="Arial" w:hAnsi="Arial" w:cs="Arial"/>
        </w:rPr>
        <w:t>Kering</w:t>
      </w:r>
      <w:proofErr w:type="spellEnd"/>
      <w:r w:rsidRPr="002A0BDB">
        <w:rPr>
          <w:rFonts w:ascii="Arial" w:hAnsi="Arial" w:cs="Arial"/>
        </w:rPr>
        <w:t xml:space="preserve">, K., </w:t>
      </w:r>
      <w:proofErr w:type="spellStart"/>
      <w:r w:rsidRPr="002A0BDB">
        <w:rPr>
          <w:rFonts w:ascii="Arial" w:hAnsi="Arial" w:cs="Arial"/>
        </w:rPr>
        <w:t>Mbae</w:t>
      </w:r>
      <w:proofErr w:type="spellEnd"/>
      <w:r w:rsidRPr="002A0BDB">
        <w:rPr>
          <w:rFonts w:ascii="Arial" w:hAnsi="Arial" w:cs="Arial"/>
        </w:rPr>
        <w:t xml:space="preserve">, C.K. and </w:t>
      </w:r>
      <w:proofErr w:type="spellStart"/>
      <w:r w:rsidRPr="002A0BDB">
        <w:rPr>
          <w:rFonts w:ascii="Arial" w:hAnsi="Arial" w:cs="Arial"/>
        </w:rPr>
        <w:t>Kariuki</w:t>
      </w:r>
      <w:proofErr w:type="spellEnd"/>
      <w:r w:rsidRPr="002A0BDB">
        <w:rPr>
          <w:rFonts w:ascii="Arial" w:hAnsi="Arial" w:cs="Arial"/>
        </w:rPr>
        <w:t xml:space="preserve">, S. (2025). Genomic characterization of Vibrio </w:t>
      </w:r>
      <w:proofErr w:type="spellStart"/>
      <w:r w:rsidRPr="002A0BDB">
        <w:rPr>
          <w:rFonts w:ascii="Arial" w:hAnsi="Arial" w:cs="Arial"/>
        </w:rPr>
        <w:t>cholerae</w:t>
      </w:r>
      <w:proofErr w:type="spellEnd"/>
      <w:r w:rsidRPr="002A0BDB">
        <w:rPr>
          <w:rFonts w:ascii="Arial" w:hAnsi="Arial" w:cs="Arial"/>
        </w:rPr>
        <w:t xml:space="preserve"> isolated from clinical and environmental sources during the 2022–2023 cholera outbreak in Kenya. </w:t>
      </w:r>
      <w:r w:rsidRPr="002A0BDB">
        <w:rPr>
          <w:rFonts w:ascii="Arial" w:hAnsi="Arial" w:cs="Arial"/>
          <w:i/>
          <w:iCs/>
        </w:rPr>
        <w:t>Frontiers in Microbiology</w:t>
      </w:r>
      <w:r w:rsidRPr="002A0BDB">
        <w:rPr>
          <w:rFonts w:ascii="Arial" w:hAnsi="Arial" w:cs="Arial"/>
        </w:rPr>
        <w:t>, 16.</w:t>
      </w:r>
    </w:p>
    <w:p w14:paraId="39768FA6" w14:textId="77777777" w:rsidR="00D6053C" w:rsidRPr="002A0BDB" w:rsidRDefault="00D6053C" w:rsidP="00D6053C">
      <w:pPr>
        <w:spacing w:after="240" w:line="360" w:lineRule="auto"/>
        <w:jc w:val="both"/>
        <w:rPr>
          <w:rFonts w:ascii="Arial" w:hAnsi="Arial" w:cs="Arial"/>
        </w:rPr>
      </w:pPr>
      <w:proofErr w:type="spellStart"/>
      <w:r w:rsidRPr="002A0BDB">
        <w:rPr>
          <w:rFonts w:ascii="Arial" w:hAnsi="Arial" w:cs="Arial"/>
        </w:rPr>
        <w:t>Mageto</w:t>
      </w:r>
      <w:proofErr w:type="spellEnd"/>
      <w:r w:rsidRPr="002A0BDB">
        <w:rPr>
          <w:rFonts w:ascii="Arial" w:hAnsi="Arial" w:cs="Arial"/>
        </w:rPr>
        <w:t xml:space="preserve">, L.M., </w:t>
      </w:r>
      <w:proofErr w:type="spellStart"/>
      <w:r w:rsidRPr="002A0BDB">
        <w:rPr>
          <w:rFonts w:ascii="Arial" w:hAnsi="Arial" w:cs="Arial"/>
        </w:rPr>
        <w:t>Aboge</w:t>
      </w:r>
      <w:proofErr w:type="spellEnd"/>
      <w:r w:rsidRPr="002A0BDB">
        <w:rPr>
          <w:rFonts w:ascii="Arial" w:hAnsi="Arial" w:cs="Arial"/>
        </w:rPr>
        <w:t xml:space="preserve">, G.O., </w:t>
      </w:r>
      <w:proofErr w:type="spellStart"/>
      <w:r w:rsidRPr="002A0BDB">
        <w:rPr>
          <w:rFonts w:ascii="Arial" w:hAnsi="Arial" w:cs="Arial"/>
        </w:rPr>
        <w:t>Mekuria</w:t>
      </w:r>
      <w:proofErr w:type="spellEnd"/>
      <w:r w:rsidRPr="002A0BDB">
        <w:rPr>
          <w:rFonts w:ascii="Arial" w:hAnsi="Arial" w:cs="Arial"/>
        </w:rPr>
        <w:t xml:space="preserve">, Z.H., </w:t>
      </w:r>
      <w:proofErr w:type="spellStart"/>
      <w:r w:rsidRPr="002A0BDB">
        <w:rPr>
          <w:rFonts w:ascii="Arial" w:hAnsi="Arial" w:cs="Arial"/>
        </w:rPr>
        <w:t>Gathura</w:t>
      </w:r>
      <w:proofErr w:type="spellEnd"/>
      <w:r w:rsidRPr="002A0BDB">
        <w:rPr>
          <w:rFonts w:ascii="Arial" w:hAnsi="Arial" w:cs="Arial"/>
        </w:rPr>
        <w:t xml:space="preserve">, P., </w:t>
      </w:r>
      <w:proofErr w:type="spellStart"/>
      <w:r w:rsidRPr="002A0BDB">
        <w:rPr>
          <w:rFonts w:ascii="Arial" w:hAnsi="Arial" w:cs="Arial"/>
        </w:rPr>
        <w:t>Juma</w:t>
      </w:r>
      <w:proofErr w:type="spellEnd"/>
      <w:r w:rsidRPr="002A0BDB">
        <w:rPr>
          <w:rFonts w:ascii="Arial" w:hAnsi="Arial" w:cs="Arial"/>
        </w:rPr>
        <w:t xml:space="preserve">, J., </w:t>
      </w:r>
      <w:proofErr w:type="spellStart"/>
      <w:r w:rsidRPr="002A0BDB">
        <w:rPr>
          <w:rFonts w:ascii="Arial" w:hAnsi="Arial" w:cs="Arial"/>
        </w:rPr>
        <w:t>Mugo</w:t>
      </w:r>
      <w:proofErr w:type="spellEnd"/>
      <w:r w:rsidRPr="002A0BDB">
        <w:rPr>
          <w:rFonts w:ascii="Arial" w:hAnsi="Arial" w:cs="Arial"/>
        </w:rPr>
        <w:t xml:space="preserve">, M., Collins </w:t>
      </w:r>
      <w:proofErr w:type="spellStart"/>
      <w:r w:rsidRPr="002A0BDB">
        <w:rPr>
          <w:rFonts w:ascii="Arial" w:hAnsi="Arial" w:cs="Arial"/>
        </w:rPr>
        <w:t>KipkorirKebenei</w:t>
      </w:r>
      <w:proofErr w:type="spellEnd"/>
      <w:r w:rsidRPr="002A0BDB">
        <w:rPr>
          <w:rFonts w:ascii="Arial" w:hAnsi="Arial" w:cs="Arial"/>
        </w:rPr>
        <w:t xml:space="preserve">, </w:t>
      </w:r>
      <w:proofErr w:type="spellStart"/>
      <w:r w:rsidRPr="002A0BDB">
        <w:rPr>
          <w:rFonts w:ascii="Arial" w:hAnsi="Arial" w:cs="Arial"/>
        </w:rPr>
        <w:t>Imoli</w:t>
      </w:r>
      <w:proofErr w:type="spellEnd"/>
      <w:r w:rsidRPr="002A0BDB">
        <w:rPr>
          <w:rFonts w:ascii="Arial" w:hAnsi="Arial" w:cs="Arial"/>
        </w:rPr>
        <w:t xml:space="preserve">, D., </w:t>
      </w:r>
      <w:proofErr w:type="spellStart"/>
      <w:r w:rsidRPr="002A0BDB">
        <w:rPr>
          <w:rFonts w:ascii="Arial" w:hAnsi="Arial" w:cs="Arial"/>
        </w:rPr>
        <w:t>Ongadi</w:t>
      </w:r>
      <w:proofErr w:type="spellEnd"/>
      <w:r w:rsidRPr="002A0BDB">
        <w:rPr>
          <w:rFonts w:ascii="Arial" w:hAnsi="Arial" w:cs="Arial"/>
        </w:rPr>
        <w:t xml:space="preserve">, B.A., </w:t>
      </w:r>
      <w:proofErr w:type="spellStart"/>
      <w:r w:rsidRPr="002A0BDB">
        <w:rPr>
          <w:rFonts w:ascii="Arial" w:hAnsi="Arial" w:cs="Arial"/>
        </w:rPr>
        <w:t>Kering</w:t>
      </w:r>
      <w:proofErr w:type="spellEnd"/>
      <w:r w:rsidRPr="002A0BDB">
        <w:rPr>
          <w:rFonts w:ascii="Arial" w:hAnsi="Arial" w:cs="Arial"/>
        </w:rPr>
        <w:t xml:space="preserve">, K., </w:t>
      </w:r>
      <w:proofErr w:type="spellStart"/>
      <w:r w:rsidRPr="002A0BDB">
        <w:rPr>
          <w:rFonts w:ascii="Arial" w:hAnsi="Arial" w:cs="Arial"/>
        </w:rPr>
        <w:t>Mbae</w:t>
      </w:r>
      <w:proofErr w:type="spellEnd"/>
      <w:r w:rsidRPr="002A0BDB">
        <w:rPr>
          <w:rFonts w:ascii="Arial" w:hAnsi="Arial" w:cs="Arial"/>
        </w:rPr>
        <w:t xml:space="preserve">, C.K. and </w:t>
      </w:r>
      <w:proofErr w:type="spellStart"/>
      <w:r w:rsidRPr="002A0BDB">
        <w:rPr>
          <w:rFonts w:ascii="Arial" w:hAnsi="Arial" w:cs="Arial"/>
        </w:rPr>
        <w:t>Kariuki</w:t>
      </w:r>
      <w:proofErr w:type="spellEnd"/>
      <w:r w:rsidRPr="002A0BDB">
        <w:rPr>
          <w:rFonts w:ascii="Arial" w:hAnsi="Arial" w:cs="Arial"/>
        </w:rPr>
        <w:t xml:space="preserve">, S. (2025). Genomic characterization of Vibrio </w:t>
      </w:r>
      <w:proofErr w:type="spellStart"/>
      <w:r w:rsidRPr="002A0BDB">
        <w:rPr>
          <w:rFonts w:ascii="Arial" w:hAnsi="Arial" w:cs="Arial"/>
        </w:rPr>
        <w:t>cholerae</w:t>
      </w:r>
      <w:proofErr w:type="spellEnd"/>
      <w:r w:rsidRPr="002A0BDB">
        <w:rPr>
          <w:rFonts w:ascii="Arial" w:hAnsi="Arial" w:cs="Arial"/>
        </w:rPr>
        <w:t xml:space="preserve"> isolated from clinical and environmental sources during the 2022–2023 cholera outbreak in Kenya. </w:t>
      </w:r>
      <w:r w:rsidRPr="002A0BDB">
        <w:rPr>
          <w:rFonts w:ascii="Arial" w:hAnsi="Arial" w:cs="Arial"/>
          <w:i/>
          <w:iCs/>
        </w:rPr>
        <w:t>Frontiers in Microbiology</w:t>
      </w:r>
      <w:r w:rsidRPr="002A0BDB">
        <w:rPr>
          <w:rFonts w:ascii="Arial" w:hAnsi="Arial" w:cs="Arial"/>
        </w:rPr>
        <w:t>, 16, p.1603736.</w:t>
      </w:r>
    </w:p>
    <w:p w14:paraId="1471A342" w14:textId="77777777" w:rsidR="00D6053C" w:rsidRPr="002A0BDB" w:rsidRDefault="00D6053C" w:rsidP="00D6053C">
      <w:pPr>
        <w:spacing w:before="240" w:after="240" w:line="360" w:lineRule="auto"/>
        <w:jc w:val="both"/>
        <w:rPr>
          <w:rFonts w:ascii="Arial" w:hAnsi="Arial" w:cs="Arial"/>
        </w:rPr>
      </w:pPr>
      <w:proofErr w:type="spellStart"/>
      <w:r w:rsidRPr="002A0BDB">
        <w:rPr>
          <w:rFonts w:ascii="Arial" w:hAnsi="Arial" w:cs="Arial"/>
        </w:rPr>
        <w:t>MajaGaborov</w:t>
      </w:r>
      <w:proofErr w:type="spellEnd"/>
      <w:r w:rsidRPr="002A0BDB">
        <w:rPr>
          <w:rFonts w:ascii="Arial" w:hAnsi="Arial" w:cs="Arial"/>
        </w:rPr>
        <w:t xml:space="preserve">, </w:t>
      </w:r>
      <w:proofErr w:type="spellStart"/>
      <w:r w:rsidRPr="002A0BDB">
        <w:rPr>
          <w:rFonts w:ascii="Arial" w:hAnsi="Arial" w:cs="Arial"/>
        </w:rPr>
        <w:t>Stojanov</w:t>
      </w:r>
      <w:proofErr w:type="spellEnd"/>
      <w:r w:rsidRPr="002A0BDB">
        <w:rPr>
          <w:rFonts w:ascii="Arial" w:hAnsi="Arial" w:cs="Arial"/>
        </w:rPr>
        <w:t xml:space="preserve">, Z., Popov, S., </w:t>
      </w:r>
      <w:proofErr w:type="spellStart"/>
      <w:r w:rsidRPr="002A0BDB">
        <w:rPr>
          <w:rFonts w:ascii="Arial" w:hAnsi="Arial" w:cs="Arial"/>
        </w:rPr>
        <w:t>Stojanov</w:t>
      </w:r>
      <w:proofErr w:type="spellEnd"/>
      <w:r w:rsidRPr="002A0BDB">
        <w:rPr>
          <w:rFonts w:ascii="Arial" w:hAnsi="Arial" w:cs="Arial"/>
        </w:rPr>
        <w:t xml:space="preserve">, J., </w:t>
      </w:r>
      <w:proofErr w:type="spellStart"/>
      <w:r w:rsidRPr="002A0BDB">
        <w:rPr>
          <w:rFonts w:ascii="Arial" w:hAnsi="Arial" w:cs="Arial"/>
        </w:rPr>
        <w:t>Kavalić</w:t>
      </w:r>
      <w:proofErr w:type="spellEnd"/>
      <w:r w:rsidRPr="002A0BDB">
        <w:rPr>
          <w:rFonts w:ascii="Arial" w:hAnsi="Arial" w:cs="Arial"/>
        </w:rPr>
        <w:t xml:space="preserve">, M., </w:t>
      </w:r>
      <w:proofErr w:type="spellStart"/>
      <w:r w:rsidRPr="002A0BDB">
        <w:rPr>
          <w:rFonts w:ascii="Arial" w:hAnsi="Arial" w:cs="Arial"/>
        </w:rPr>
        <w:t>DraganaKovač</w:t>
      </w:r>
      <w:proofErr w:type="spellEnd"/>
      <w:r w:rsidRPr="002A0BDB">
        <w:rPr>
          <w:rFonts w:ascii="Arial" w:hAnsi="Arial" w:cs="Arial"/>
        </w:rPr>
        <w:t xml:space="preserve"> and Igor </w:t>
      </w:r>
      <w:proofErr w:type="spellStart"/>
      <w:r w:rsidRPr="002A0BDB">
        <w:rPr>
          <w:rFonts w:ascii="Arial" w:hAnsi="Arial" w:cs="Arial"/>
        </w:rPr>
        <w:t>Vecštejn</w:t>
      </w:r>
      <w:proofErr w:type="spellEnd"/>
      <w:r w:rsidRPr="002A0BDB">
        <w:rPr>
          <w:rFonts w:ascii="Arial" w:hAnsi="Arial" w:cs="Arial"/>
        </w:rPr>
        <w:t xml:space="preserve"> (2024). Development and Validation of a Theoretical Model for Addressing Problems in Agile Meetings: A Systematic Literature Review and a Qualitative Study. </w:t>
      </w:r>
      <w:r w:rsidRPr="002A0BDB">
        <w:rPr>
          <w:rFonts w:ascii="Arial" w:hAnsi="Arial" w:cs="Arial"/>
          <w:i/>
          <w:iCs/>
        </w:rPr>
        <w:t>Applied Sciences</w:t>
      </w:r>
      <w:r w:rsidRPr="002A0BDB">
        <w:rPr>
          <w:rFonts w:ascii="Arial" w:hAnsi="Arial" w:cs="Arial"/>
        </w:rPr>
        <w:t xml:space="preserve">, 14(21), pp.9689–9689. </w:t>
      </w:r>
    </w:p>
    <w:p w14:paraId="6690C72F"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Meradji</w:t>
      </w:r>
      <w:proofErr w:type="spellEnd"/>
      <w:r w:rsidRPr="002A0BDB">
        <w:rPr>
          <w:rFonts w:ascii="Arial" w:eastAsia="Times New Roman" w:hAnsi="Arial" w:cs="Arial"/>
        </w:rPr>
        <w:t xml:space="preserve">, S., Basher, N. S., </w:t>
      </w:r>
      <w:proofErr w:type="spellStart"/>
      <w:r w:rsidRPr="002A0BDB">
        <w:rPr>
          <w:rFonts w:ascii="Arial" w:eastAsia="Times New Roman" w:hAnsi="Arial" w:cs="Arial"/>
        </w:rPr>
        <w:t>Sassi</w:t>
      </w:r>
      <w:proofErr w:type="spellEnd"/>
      <w:r w:rsidRPr="002A0BDB">
        <w:rPr>
          <w:rFonts w:ascii="Arial" w:eastAsia="Times New Roman" w:hAnsi="Arial" w:cs="Arial"/>
        </w:rPr>
        <w:t xml:space="preserve">, A., Ibrahim, N. A., </w:t>
      </w:r>
      <w:proofErr w:type="spellStart"/>
      <w:r w:rsidRPr="002A0BDB">
        <w:rPr>
          <w:rFonts w:ascii="Arial" w:eastAsia="Times New Roman" w:hAnsi="Arial" w:cs="Arial"/>
        </w:rPr>
        <w:t>Idres</w:t>
      </w:r>
      <w:proofErr w:type="spellEnd"/>
      <w:r w:rsidRPr="002A0BDB">
        <w:rPr>
          <w:rFonts w:ascii="Arial" w:eastAsia="Times New Roman" w:hAnsi="Arial" w:cs="Arial"/>
        </w:rPr>
        <w:t xml:space="preserve">, T., &amp; </w:t>
      </w:r>
      <w:proofErr w:type="spellStart"/>
      <w:r w:rsidRPr="002A0BDB">
        <w:rPr>
          <w:rFonts w:ascii="Arial" w:eastAsia="Times New Roman" w:hAnsi="Arial" w:cs="Arial"/>
        </w:rPr>
        <w:t>Touati</w:t>
      </w:r>
      <w:proofErr w:type="spellEnd"/>
      <w:r w:rsidRPr="002A0BDB">
        <w:rPr>
          <w:rFonts w:ascii="Arial" w:eastAsia="Times New Roman" w:hAnsi="Arial" w:cs="Arial"/>
        </w:rPr>
        <w:t xml:space="preserve">, A. (2025). The Role of Water as a Reservoir for Antibiotic-Resistant Bacteria. </w:t>
      </w:r>
      <w:r w:rsidRPr="002A0BDB">
        <w:rPr>
          <w:rFonts w:ascii="Arial" w:eastAsia="Times New Roman" w:hAnsi="Arial" w:cs="Arial"/>
          <w:i/>
          <w:iCs/>
        </w:rPr>
        <w:t>Antibiotics</w:t>
      </w:r>
      <w:r w:rsidRPr="002A0BDB">
        <w:rPr>
          <w:rFonts w:ascii="Arial" w:eastAsia="Times New Roman" w:hAnsi="Arial" w:cs="Arial"/>
        </w:rPr>
        <w:t xml:space="preserve">, </w:t>
      </w:r>
      <w:r w:rsidRPr="002A0BDB">
        <w:rPr>
          <w:rFonts w:ascii="Arial" w:eastAsia="Times New Roman" w:hAnsi="Arial" w:cs="Arial"/>
          <w:i/>
          <w:iCs/>
        </w:rPr>
        <w:t>14</w:t>
      </w:r>
      <w:r w:rsidRPr="002A0BDB">
        <w:rPr>
          <w:rFonts w:ascii="Arial" w:eastAsia="Times New Roman" w:hAnsi="Arial" w:cs="Arial"/>
        </w:rPr>
        <w:t>(8), 763.  </w:t>
      </w:r>
    </w:p>
    <w:p w14:paraId="5B36365B"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Mevada</w:t>
      </w:r>
      <w:proofErr w:type="spellEnd"/>
      <w:r w:rsidRPr="002A0BDB">
        <w:rPr>
          <w:rFonts w:ascii="Arial" w:hAnsi="Arial" w:cs="Arial"/>
        </w:rPr>
        <w:t xml:space="preserve">, V., Patel, R., </w:t>
      </w:r>
      <w:proofErr w:type="spellStart"/>
      <w:r w:rsidRPr="002A0BDB">
        <w:rPr>
          <w:rFonts w:ascii="Arial" w:hAnsi="Arial" w:cs="Arial"/>
        </w:rPr>
        <w:t>Dudhagara</w:t>
      </w:r>
      <w:proofErr w:type="spellEnd"/>
      <w:r w:rsidRPr="002A0BDB">
        <w:rPr>
          <w:rFonts w:ascii="Arial" w:hAnsi="Arial" w:cs="Arial"/>
        </w:rPr>
        <w:t xml:space="preserve">, P., </w:t>
      </w:r>
      <w:proofErr w:type="spellStart"/>
      <w:r w:rsidRPr="002A0BDB">
        <w:rPr>
          <w:rFonts w:ascii="Arial" w:hAnsi="Arial" w:cs="Arial"/>
        </w:rPr>
        <w:t>Chaudhari</w:t>
      </w:r>
      <w:proofErr w:type="spellEnd"/>
      <w:r w:rsidRPr="002A0BDB">
        <w:rPr>
          <w:rFonts w:ascii="Arial" w:hAnsi="Arial" w:cs="Arial"/>
        </w:rPr>
        <w:t xml:space="preserve">, R., Vohra, M., Khan, V., </w:t>
      </w:r>
      <w:proofErr w:type="spellStart"/>
      <w:r w:rsidRPr="002A0BDB">
        <w:rPr>
          <w:rFonts w:ascii="Arial" w:hAnsi="Arial" w:cs="Arial"/>
        </w:rPr>
        <w:t>Shyu</w:t>
      </w:r>
      <w:proofErr w:type="spellEnd"/>
      <w:r w:rsidRPr="002A0BDB">
        <w:rPr>
          <w:rFonts w:ascii="Arial" w:hAnsi="Arial" w:cs="Arial"/>
        </w:rPr>
        <w:t xml:space="preserve">, D.J.H., Chen, Y.-Y. </w:t>
      </w:r>
      <w:proofErr w:type="spellStart"/>
      <w:r w:rsidRPr="002A0BDB">
        <w:rPr>
          <w:rFonts w:ascii="Arial" w:hAnsi="Arial" w:cs="Arial"/>
        </w:rPr>
        <w:t>andZala</w:t>
      </w:r>
      <w:proofErr w:type="spellEnd"/>
      <w:r w:rsidRPr="002A0BDB">
        <w:rPr>
          <w:rFonts w:ascii="Arial" w:hAnsi="Arial" w:cs="Arial"/>
        </w:rPr>
        <w:t xml:space="preserve">, D. (2023). Whole Genome Sequencing and Pan-Genomic Analysis of Multidrug-Resistant Vibrio </w:t>
      </w:r>
      <w:proofErr w:type="spellStart"/>
      <w:r w:rsidRPr="002A0BDB">
        <w:rPr>
          <w:rFonts w:ascii="Arial" w:hAnsi="Arial" w:cs="Arial"/>
        </w:rPr>
        <w:t>cholerae</w:t>
      </w:r>
      <w:proofErr w:type="spellEnd"/>
      <w:r w:rsidRPr="002A0BDB">
        <w:rPr>
          <w:rFonts w:ascii="Arial" w:hAnsi="Arial" w:cs="Arial"/>
        </w:rPr>
        <w:t xml:space="preserve"> VC01 Isolated from a Clinical Sample. </w:t>
      </w:r>
      <w:r w:rsidRPr="002A0BDB">
        <w:rPr>
          <w:rFonts w:ascii="Arial" w:hAnsi="Arial" w:cs="Arial"/>
          <w:i/>
          <w:iCs/>
        </w:rPr>
        <w:t>Microorganisms</w:t>
      </w:r>
      <w:r w:rsidRPr="002A0BDB">
        <w:rPr>
          <w:rFonts w:ascii="Arial" w:hAnsi="Arial" w:cs="Arial"/>
        </w:rPr>
        <w:t>, 11(8), p.2030.</w:t>
      </w:r>
    </w:p>
    <w:p w14:paraId="49D02A8F"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Mohamed, M.G., </w:t>
      </w:r>
      <w:proofErr w:type="spellStart"/>
      <w:r w:rsidRPr="002A0BDB">
        <w:rPr>
          <w:rFonts w:ascii="Arial" w:hAnsi="Arial" w:cs="Arial"/>
        </w:rPr>
        <w:t>Dabou</w:t>
      </w:r>
      <w:proofErr w:type="spellEnd"/>
      <w:r w:rsidRPr="002A0BDB">
        <w:rPr>
          <w:rFonts w:ascii="Arial" w:hAnsi="Arial" w:cs="Arial"/>
        </w:rPr>
        <w:t xml:space="preserve">, A., </w:t>
      </w:r>
      <w:proofErr w:type="spellStart"/>
      <w:r w:rsidRPr="002A0BDB">
        <w:rPr>
          <w:rFonts w:ascii="Arial" w:hAnsi="Arial" w:cs="Arial"/>
        </w:rPr>
        <w:t>Abdelsamad</w:t>
      </w:r>
      <w:proofErr w:type="spellEnd"/>
      <w:r w:rsidRPr="002A0BDB">
        <w:rPr>
          <w:rFonts w:ascii="Arial" w:hAnsi="Arial" w:cs="Arial"/>
        </w:rPr>
        <w:t xml:space="preserve">, S. and </w:t>
      </w:r>
      <w:proofErr w:type="spellStart"/>
      <w:r w:rsidRPr="002A0BDB">
        <w:rPr>
          <w:rFonts w:ascii="Arial" w:hAnsi="Arial" w:cs="Arial"/>
        </w:rPr>
        <w:t>Elsalous</w:t>
      </w:r>
      <w:proofErr w:type="spellEnd"/>
      <w:r w:rsidRPr="002A0BDB">
        <w:rPr>
          <w:rFonts w:ascii="Arial" w:hAnsi="Arial" w:cs="Arial"/>
        </w:rPr>
        <w:t xml:space="preserve">, S.H. (2025). Cholera outbreaks: Public health implications, economic burden, and preventive strategies. </w:t>
      </w:r>
      <w:r w:rsidRPr="002A0BDB">
        <w:rPr>
          <w:rFonts w:ascii="Arial" w:hAnsi="Arial" w:cs="Arial"/>
          <w:i/>
          <w:iCs/>
        </w:rPr>
        <w:t>AIMS Public Health</w:t>
      </w:r>
      <w:r w:rsidRPr="002A0BDB">
        <w:rPr>
          <w:rFonts w:ascii="Arial" w:hAnsi="Arial" w:cs="Arial"/>
        </w:rPr>
        <w:t>, 12(3), pp.767–795.</w:t>
      </w:r>
    </w:p>
    <w:p w14:paraId="51FD8032" w14:textId="77777777" w:rsidR="00D6053C" w:rsidRPr="002A0BDB" w:rsidRDefault="00D6053C" w:rsidP="00D6053C">
      <w:pPr>
        <w:spacing w:line="360" w:lineRule="auto"/>
        <w:jc w:val="both"/>
        <w:rPr>
          <w:rFonts w:ascii="Arial" w:eastAsia="Times New Roman" w:hAnsi="Arial" w:cs="Arial"/>
        </w:rPr>
      </w:pPr>
      <w:r w:rsidRPr="002A0BDB">
        <w:rPr>
          <w:rFonts w:ascii="Arial" w:eastAsia="Times New Roman" w:hAnsi="Arial" w:cs="Arial"/>
        </w:rPr>
        <w:t xml:space="preserve">Montero, D.A., Vidal, R.M., Velasco, J., George, S., Lucero, Y., Gómez, L.A., </w:t>
      </w:r>
      <w:proofErr w:type="spellStart"/>
      <w:r w:rsidRPr="002A0BDB">
        <w:rPr>
          <w:rFonts w:ascii="Arial" w:eastAsia="Times New Roman" w:hAnsi="Arial" w:cs="Arial"/>
        </w:rPr>
        <w:t>Carreño</w:t>
      </w:r>
      <w:proofErr w:type="spellEnd"/>
      <w:r w:rsidRPr="002A0BDB">
        <w:rPr>
          <w:rFonts w:ascii="Arial" w:eastAsia="Times New Roman" w:hAnsi="Arial" w:cs="Arial"/>
        </w:rPr>
        <w:t xml:space="preserve">, L.J., </w:t>
      </w:r>
      <w:proofErr w:type="spellStart"/>
      <w:r w:rsidRPr="002A0BDB">
        <w:rPr>
          <w:rFonts w:ascii="Arial" w:eastAsia="Times New Roman" w:hAnsi="Arial" w:cs="Arial"/>
        </w:rPr>
        <w:t>García</w:t>
      </w:r>
      <w:proofErr w:type="spellEnd"/>
      <w:r w:rsidRPr="002A0BDB">
        <w:rPr>
          <w:rFonts w:ascii="Arial" w:eastAsia="Times New Roman" w:hAnsi="Arial" w:cs="Arial"/>
        </w:rPr>
        <w:t xml:space="preserve">-Betancourt, R. and </w:t>
      </w:r>
      <w:proofErr w:type="spellStart"/>
      <w:r w:rsidRPr="002A0BDB">
        <w:rPr>
          <w:rFonts w:ascii="Arial" w:eastAsia="Times New Roman" w:hAnsi="Arial" w:cs="Arial"/>
        </w:rPr>
        <w:t>O’Ryan</w:t>
      </w:r>
      <w:proofErr w:type="spellEnd"/>
      <w:r w:rsidRPr="002A0BDB">
        <w:rPr>
          <w:rFonts w:ascii="Arial" w:eastAsia="Times New Roman" w:hAnsi="Arial" w:cs="Arial"/>
        </w:rPr>
        <w:t xml:space="preserve">, M. (2023). Vibrio </w:t>
      </w:r>
      <w:proofErr w:type="spellStart"/>
      <w:r w:rsidRPr="002A0BDB">
        <w:rPr>
          <w:rFonts w:ascii="Arial" w:eastAsia="Times New Roman" w:hAnsi="Arial" w:cs="Arial"/>
        </w:rPr>
        <w:t>cholerae</w:t>
      </w:r>
      <w:proofErr w:type="spellEnd"/>
      <w:r w:rsidRPr="002A0BDB">
        <w:rPr>
          <w:rFonts w:ascii="Arial" w:eastAsia="Times New Roman" w:hAnsi="Arial" w:cs="Arial"/>
        </w:rPr>
        <w:t xml:space="preserve">, classification, pathogenesis, immune response, and trends in vaccine development. </w:t>
      </w:r>
      <w:r w:rsidRPr="002A0BDB">
        <w:rPr>
          <w:rFonts w:ascii="Arial" w:eastAsia="Times New Roman" w:hAnsi="Arial" w:cs="Arial"/>
          <w:i/>
          <w:iCs/>
        </w:rPr>
        <w:t>Frontiers in Medicine</w:t>
      </w:r>
      <w:r w:rsidRPr="002A0BDB">
        <w:rPr>
          <w:rFonts w:ascii="Arial" w:eastAsia="Times New Roman" w:hAnsi="Arial" w:cs="Arial"/>
        </w:rPr>
        <w:t>, 10, pp.1155751–1155751.  </w:t>
      </w:r>
    </w:p>
    <w:p w14:paraId="052BEC9D" w14:textId="77777777" w:rsidR="00D6053C" w:rsidRPr="002A0BDB" w:rsidRDefault="00D6053C" w:rsidP="00D6053C">
      <w:pPr>
        <w:spacing w:before="240" w:line="360" w:lineRule="auto"/>
        <w:jc w:val="both"/>
        <w:rPr>
          <w:rFonts w:ascii="Arial" w:eastAsia="Times New Roman" w:hAnsi="Arial" w:cs="Arial"/>
        </w:rPr>
      </w:pPr>
      <w:proofErr w:type="spellStart"/>
      <w:r w:rsidRPr="002A0BDB">
        <w:rPr>
          <w:rFonts w:ascii="Arial" w:eastAsia="Times New Roman" w:hAnsi="Arial" w:cs="Arial"/>
        </w:rPr>
        <w:t>Nur</w:t>
      </w:r>
      <w:proofErr w:type="spellEnd"/>
      <w:r w:rsidRPr="002A0BDB">
        <w:rPr>
          <w:rFonts w:ascii="Arial" w:eastAsia="Times New Roman" w:hAnsi="Arial" w:cs="Arial"/>
        </w:rPr>
        <w:t xml:space="preserve">, E., </w:t>
      </w:r>
      <w:proofErr w:type="spellStart"/>
      <w:r w:rsidRPr="002A0BDB">
        <w:rPr>
          <w:rFonts w:ascii="Arial" w:eastAsia="Times New Roman" w:hAnsi="Arial" w:cs="Arial"/>
        </w:rPr>
        <w:t>Irekeola</w:t>
      </w:r>
      <w:proofErr w:type="spellEnd"/>
      <w:r w:rsidRPr="002A0BDB">
        <w:rPr>
          <w:rFonts w:ascii="Arial" w:eastAsia="Times New Roman" w:hAnsi="Arial" w:cs="Arial"/>
        </w:rPr>
        <w:t xml:space="preserve">, A. A., </w:t>
      </w:r>
      <w:proofErr w:type="spellStart"/>
      <w:r w:rsidRPr="002A0BDB">
        <w:rPr>
          <w:rFonts w:ascii="Arial" w:eastAsia="Times New Roman" w:hAnsi="Arial" w:cs="Arial"/>
        </w:rPr>
        <w:t>Elmi</w:t>
      </w:r>
      <w:proofErr w:type="spellEnd"/>
      <w:r w:rsidRPr="002A0BDB">
        <w:rPr>
          <w:rFonts w:ascii="Arial" w:eastAsia="Times New Roman" w:hAnsi="Arial" w:cs="Arial"/>
        </w:rPr>
        <w:t xml:space="preserve">, A. H., Chua, W. C., &amp; Chan, Y. Y. (2024). Global prevalence patterns and distribution of Vibrio </w:t>
      </w:r>
      <w:proofErr w:type="spellStart"/>
      <w:r w:rsidRPr="002A0BDB">
        <w:rPr>
          <w:rFonts w:ascii="Arial" w:eastAsia="Times New Roman" w:hAnsi="Arial" w:cs="Arial"/>
        </w:rPr>
        <w:t>cholerae</w:t>
      </w:r>
      <w:proofErr w:type="spellEnd"/>
      <w:r w:rsidRPr="002A0BDB">
        <w:rPr>
          <w:rFonts w:ascii="Arial" w:eastAsia="Times New Roman" w:hAnsi="Arial" w:cs="Arial"/>
        </w:rPr>
        <w:t>: A systematic review and meta-analysis of 176,740 of samples. Journal of Infection and Public Health, 17(11), 102558–102558.</w:t>
      </w:r>
    </w:p>
    <w:p w14:paraId="0120EC7A"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lastRenderedPageBreak/>
        <w:t>Odoi</w:t>
      </w:r>
      <w:proofErr w:type="spellEnd"/>
      <w:r w:rsidRPr="002A0BDB">
        <w:rPr>
          <w:rFonts w:ascii="Arial" w:hAnsi="Arial" w:cs="Arial"/>
        </w:rPr>
        <w:t xml:space="preserve">, J.O., </w:t>
      </w:r>
      <w:proofErr w:type="spellStart"/>
      <w:r w:rsidRPr="002A0BDB">
        <w:rPr>
          <w:rFonts w:ascii="Arial" w:hAnsi="Arial" w:cs="Arial"/>
        </w:rPr>
        <w:t>Anuntawirun</w:t>
      </w:r>
      <w:proofErr w:type="spellEnd"/>
      <w:r w:rsidRPr="002A0BDB">
        <w:rPr>
          <w:rFonts w:ascii="Arial" w:hAnsi="Arial" w:cs="Arial"/>
        </w:rPr>
        <w:t xml:space="preserve">, S., </w:t>
      </w:r>
      <w:proofErr w:type="spellStart"/>
      <w:r w:rsidRPr="002A0BDB">
        <w:rPr>
          <w:rFonts w:ascii="Arial" w:hAnsi="Arial" w:cs="Arial"/>
        </w:rPr>
        <w:t>Roongrojmongkhon</w:t>
      </w:r>
      <w:proofErr w:type="spellEnd"/>
      <w:r w:rsidRPr="002A0BDB">
        <w:rPr>
          <w:rFonts w:ascii="Arial" w:hAnsi="Arial" w:cs="Arial"/>
        </w:rPr>
        <w:t xml:space="preserve">, N., </w:t>
      </w:r>
      <w:proofErr w:type="spellStart"/>
      <w:r w:rsidRPr="002A0BDB">
        <w:rPr>
          <w:rFonts w:ascii="Arial" w:hAnsi="Arial" w:cs="Arial"/>
        </w:rPr>
        <w:t>Singchat</w:t>
      </w:r>
      <w:proofErr w:type="spellEnd"/>
      <w:r w:rsidRPr="002A0BDB">
        <w:rPr>
          <w:rFonts w:ascii="Arial" w:hAnsi="Arial" w:cs="Arial"/>
        </w:rPr>
        <w:t xml:space="preserve">, W., </w:t>
      </w:r>
      <w:proofErr w:type="spellStart"/>
      <w:r w:rsidRPr="002A0BDB">
        <w:rPr>
          <w:rFonts w:ascii="Arial" w:hAnsi="Arial" w:cs="Arial"/>
        </w:rPr>
        <w:t>Panthum</w:t>
      </w:r>
      <w:proofErr w:type="spellEnd"/>
      <w:r w:rsidRPr="002A0BDB">
        <w:rPr>
          <w:rFonts w:ascii="Arial" w:hAnsi="Arial" w:cs="Arial"/>
        </w:rPr>
        <w:t xml:space="preserve">, T., Roberts, T.M., Clark, T.G., </w:t>
      </w:r>
      <w:proofErr w:type="spellStart"/>
      <w:r w:rsidRPr="002A0BDB">
        <w:rPr>
          <w:rFonts w:ascii="Arial" w:hAnsi="Arial" w:cs="Arial"/>
        </w:rPr>
        <w:t>Srikulnath</w:t>
      </w:r>
      <w:proofErr w:type="spellEnd"/>
      <w:r w:rsidRPr="002A0BDB">
        <w:rPr>
          <w:rFonts w:ascii="Arial" w:hAnsi="Arial" w:cs="Arial"/>
        </w:rPr>
        <w:t xml:space="preserve">, K. and </w:t>
      </w:r>
      <w:proofErr w:type="spellStart"/>
      <w:r w:rsidRPr="002A0BDB">
        <w:rPr>
          <w:rFonts w:ascii="Arial" w:hAnsi="Arial" w:cs="Arial"/>
        </w:rPr>
        <w:t>Jeamsripong</w:t>
      </w:r>
      <w:proofErr w:type="spellEnd"/>
      <w:r w:rsidRPr="002A0BDB">
        <w:rPr>
          <w:rFonts w:ascii="Arial" w:hAnsi="Arial" w:cs="Arial"/>
        </w:rPr>
        <w:t xml:space="preserve">, S., (2025). Genetic insights into antimicrobial resistance and virulence characteristics of Salmonella </w:t>
      </w:r>
      <w:proofErr w:type="spellStart"/>
      <w:r w:rsidRPr="002A0BDB">
        <w:rPr>
          <w:rFonts w:ascii="Arial" w:hAnsi="Arial" w:cs="Arial"/>
        </w:rPr>
        <w:t>enterica</w:t>
      </w:r>
      <w:proofErr w:type="spellEnd"/>
      <w:r w:rsidRPr="002A0BDB">
        <w:rPr>
          <w:rFonts w:ascii="Arial" w:hAnsi="Arial" w:cs="Arial"/>
        </w:rPr>
        <w:t xml:space="preserve"> isolated from Nile tilapia sourced from retail markets in Thailand. </w:t>
      </w:r>
      <w:r w:rsidRPr="002A0BDB">
        <w:rPr>
          <w:rFonts w:ascii="Arial" w:hAnsi="Arial" w:cs="Arial"/>
          <w:i/>
          <w:iCs/>
        </w:rPr>
        <w:t>BMC microbiology</w:t>
      </w:r>
      <w:r w:rsidRPr="002A0BDB">
        <w:rPr>
          <w:rFonts w:ascii="Arial" w:hAnsi="Arial" w:cs="Arial"/>
        </w:rPr>
        <w:t xml:space="preserve">, </w:t>
      </w:r>
      <w:r w:rsidRPr="002A0BDB">
        <w:rPr>
          <w:rFonts w:ascii="Arial" w:hAnsi="Arial" w:cs="Arial"/>
          <w:i/>
          <w:iCs/>
        </w:rPr>
        <w:t>25</w:t>
      </w:r>
      <w:r w:rsidRPr="002A0BDB">
        <w:rPr>
          <w:rFonts w:ascii="Arial" w:hAnsi="Arial" w:cs="Arial"/>
        </w:rPr>
        <w:t>(1), p.777.</w:t>
      </w:r>
    </w:p>
    <w:p w14:paraId="671CA297" w14:textId="77777777" w:rsidR="00D6053C" w:rsidRPr="002A0BDB" w:rsidRDefault="00D6053C" w:rsidP="00D6053C">
      <w:pPr>
        <w:spacing w:after="240" w:line="360" w:lineRule="auto"/>
        <w:jc w:val="both"/>
        <w:rPr>
          <w:rFonts w:ascii="Arial" w:hAnsi="Arial" w:cs="Arial"/>
        </w:rPr>
      </w:pPr>
      <w:r w:rsidRPr="002A0BDB">
        <w:rPr>
          <w:rFonts w:ascii="Arial" w:hAnsi="Arial" w:cs="Arial"/>
        </w:rPr>
        <w:t xml:space="preserve">Pal, B.B., </w:t>
      </w:r>
      <w:proofErr w:type="spellStart"/>
      <w:r w:rsidRPr="002A0BDB">
        <w:rPr>
          <w:rFonts w:ascii="Arial" w:hAnsi="Arial" w:cs="Arial"/>
        </w:rPr>
        <w:t>Samal</w:t>
      </w:r>
      <w:proofErr w:type="spellEnd"/>
      <w:r w:rsidRPr="002A0BDB">
        <w:rPr>
          <w:rFonts w:ascii="Arial" w:hAnsi="Arial" w:cs="Arial"/>
        </w:rPr>
        <w:t xml:space="preserve">, D., </w:t>
      </w:r>
      <w:proofErr w:type="spellStart"/>
      <w:r w:rsidRPr="002A0BDB">
        <w:rPr>
          <w:rFonts w:ascii="Arial" w:hAnsi="Arial" w:cs="Arial"/>
        </w:rPr>
        <w:t>Nayak</w:t>
      </w:r>
      <w:proofErr w:type="spellEnd"/>
      <w:r w:rsidRPr="002A0BDB">
        <w:rPr>
          <w:rFonts w:ascii="Arial" w:hAnsi="Arial" w:cs="Arial"/>
        </w:rPr>
        <w:t xml:space="preserve">, S.R. and </w:t>
      </w:r>
      <w:proofErr w:type="spellStart"/>
      <w:r w:rsidRPr="002A0BDB">
        <w:rPr>
          <w:rFonts w:ascii="Arial" w:hAnsi="Arial" w:cs="Arial"/>
        </w:rPr>
        <w:t>Pany</w:t>
      </w:r>
      <w:proofErr w:type="spellEnd"/>
      <w:r w:rsidRPr="002A0BDB">
        <w:rPr>
          <w:rFonts w:ascii="Arial" w:hAnsi="Arial" w:cs="Arial"/>
        </w:rPr>
        <w:t xml:space="preserve">, S. (2023). Spectrum of </w:t>
      </w:r>
      <w:proofErr w:type="spellStart"/>
      <w:r w:rsidRPr="002A0BDB">
        <w:rPr>
          <w:rFonts w:ascii="Arial" w:hAnsi="Arial" w:cs="Arial"/>
        </w:rPr>
        <w:t>ctxB</w:t>
      </w:r>
      <w:proofErr w:type="spellEnd"/>
      <w:r w:rsidRPr="002A0BDB">
        <w:rPr>
          <w:rFonts w:ascii="Arial" w:hAnsi="Arial" w:cs="Arial"/>
        </w:rPr>
        <w:t xml:space="preserve"> genotypes, </w:t>
      </w:r>
      <w:proofErr w:type="spellStart"/>
      <w:r w:rsidRPr="002A0BDB">
        <w:rPr>
          <w:rFonts w:ascii="Arial" w:hAnsi="Arial" w:cs="Arial"/>
        </w:rPr>
        <w:t>antibiogram</w:t>
      </w:r>
      <w:proofErr w:type="spellEnd"/>
      <w:r w:rsidRPr="002A0BDB">
        <w:rPr>
          <w:rFonts w:ascii="Arial" w:hAnsi="Arial" w:cs="Arial"/>
        </w:rPr>
        <w:t xml:space="preserve"> profiles and virulence genes of Vibrio </w:t>
      </w:r>
      <w:proofErr w:type="spellStart"/>
      <w:r w:rsidRPr="002A0BDB">
        <w:rPr>
          <w:rFonts w:ascii="Arial" w:hAnsi="Arial" w:cs="Arial"/>
        </w:rPr>
        <w:t>choleraeserogroups</w:t>
      </w:r>
      <w:proofErr w:type="spellEnd"/>
      <w:r w:rsidRPr="002A0BDB">
        <w:rPr>
          <w:rFonts w:ascii="Arial" w:hAnsi="Arial" w:cs="Arial"/>
        </w:rPr>
        <w:t xml:space="preserve"> isolated from environmental water sources from Odisha, India. </w:t>
      </w:r>
      <w:r w:rsidRPr="002A0BDB">
        <w:rPr>
          <w:rFonts w:ascii="Arial" w:hAnsi="Arial" w:cs="Arial"/>
          <w:i/>
          <w:iCs/>
        </w:rPr>
        <w:t>BMC Microbiology</w:t>
      </w:r>
      <w:r w:rsidRPr="002A0BDB">
        <w:rPr>
          <w:rFonts w:ascii="Arial" w:hAnsi="Arial" w:cs="Arial"/>
        </w:rPr>
        <w:t>, 23(1).</w:t>
      </w:r>
    </w:p>
    <w:p w14:paraId="50966362"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Pal, B.B., </w:t>
      </w:r>
      <w:proofErr w:type="spellStart"/>
      <w:r w:rsidRPr="002A0BDB">
        <w:rPr>
          <w:rFonts w:ascii="Arial" w:hAnsi="Arial" w:cs="Arial"/>
        </w:rPr>
        <w:t>Samal</w:t>
      </w:r>
      <w:proofErr w:type="spellEnd"/>
      <w:r w:rsidRPr="002A0BDB">
        <w:rPr>
          <w:rFonts w:ascii="Arial" w:hAnsi="Arial" w:cs="Arial"/>
        </w:rPr>
        <w:t xml:space="preserve">, D., </w:t>
      </w:r>
      <w:proofErr w:type="spellStart"/>
      <w:r w:rsidRPr="002A0BDB">
        <w:rPr>
          <w:rFonts w:ascii="Arial" w:hAnsi="Arial" w:cs="Arial"/>
        </w:rPr>
        <w:t>Nayak</w:t>
      </w:r>
      <w:proofErr w:type="spellEnd"/>
      <w:r w:rsidRPr="002A0BDB">
        <w:rPr>
          <w:rFonts w:ascii="Arial" w:hAnsi="Arial" w:cs="Arial"/>
        </w:rPr>
        <w:t xml:space="preserve">, S.R. and </w:t>
      </w:r>
      <w:proofErr w:type="spellStart"/>
      <w:r w:rsidRPr="002A0BDB">
        <w:rPr>
          <w:rFonts w:ascii="Arial" w:hAnsi="Arial" w:cs="Arial"/>
        </w:rPr>
        <w:t>Pany</w:t>
      </w:r>
      <w:proofErr w:type="spellEnd"/>
      <w:r w:rsidRPr="002A0BDB">
        <w:rPr>
          <w:rFonts w:ascii="Arial" w:hAnsi="Arial" w:cs="Arial"/>
        </w:rPr>
        <w:t xml:space="preserve">, S., (2023). Spectrum of </w:t>
      </w:r>
      <w:proofErr w:type="spellStart"/>
      <w:r w:rsidRPr="002A0BDB">
        <w:rPr>
          <w:rFonts w:ascii="Arial" w:hAnsi="Arial" w:cs="Arial"/>
        </w:rPr>
        <w:t>ctx</w:t>
      </w:r>
      <w:proofErr w:type="spellEnd"/>
      <w:r w:rsidRPr="002A0BDB">
        <w:rPr>
          <w:rFonts w:ascii="Arial" w:hAnsi="Arial" w:cs="Arial"/>
        </w:rPr>
        <w:t xml:space="preserve"> B genotypes, </w:t>
      </w:r>
      <w:proofErr w:type="spellStart"/>
      <w:r w:rsidRPr="002A0BDB">
        <w:rPr>
          <w:rFonts w:ascii="Arial" w:hAnsi="Arial" w:cs="Arial"/>
        </w:rPr>
        <w:t>antibiogram</w:t>
      </w:r>
      <w:proofErr w:type="spellEnd"/>
      <w:r w:rsidRPr="002A0BDB">
        <w:rPr>
          <w:rFonts w:ascii="Arial" w:hAnsi="Arial" w:cs="Arial"/>
        </w:rPr>
        <w:t xml:space="preserve"> profiles and virulence genes of Vibrio </w:t>
      </w:r>
      <w:proofErr w:type="spellStart"/>
      <w:r w:rsidRPr="002A0BDB">
        <w:rPr>
          <w:rFonts w:ascii="Arial" w:hAnsi="Arial" w:cs="Arial"/>
        </w:rPr>
        <w:t>choleraeserogroups</w:t>
      </w:r>
      <w:proofErr w:type="spellEnd"/>
      <w:r w:rsidRPr="002A0BDB">
        <w:rPr>
          <w:rFonts w:ascii="Arial" w:hAnsi="Arial" w:cs="Arial"/>
        </w:rPr>
        <w:t xml:space="preserve"> isolated from environmental water sources from Odisha, India. </w:t>
      </w:r>
      <w:r w:rsidRPr="002A0BDB">
        <w:rPr>
          <w:rFonts w:ascii="Arial" w:hAnsi="Arial" w:cs="Arial"/>
          <w:i/>
          <w:iCs/>
        </w:rPr>
        <w:t>BMC microbiology</w:t>
      </w:r>
      <w:r w:rsidRPr="002A0BDB">
        <w:rPr>
          <w:rFonts w:ascii="Arial" w:hAnsi="Arial" w:cs="Arial"/>
        </w:rPr>
        <w:t xml:space="preserve">, </w:t>
      </w:r>
      <w:r w:rsidRPr="002A0BDB">
        <w:rPr>
          <w:rFonts w:ascii="Arial" w:hAnsi="Arial" w:cs="Arial"/>
          <w:i/>
          <w:iCs/>
        </w:rPr>
        <w:t>23</w:t>
      </w:r>
      <w:r w:rsidRPr="002A0BDB">
        <w:rPr>
          <w:rFonts w:ascii="Arial" w:hAnsi="Arial" w:cs="Arial"/>
        </w:rPr>
        <w:t>(1), p.75.</w:t>
      </w:r>
    </w:p>
    <w:p w14:paraId="346F7474" w14:textId="77777777" w:rsidR="00D6053C" w:rsidRPr="002A0BDB" w:rsidRDefault="00D6053C" w:rsidP="00D6053C">
      <w:pPr>
        <w:spacing w:before="240" w:line="360" w:lineRule="auto"/>
        <w:jc w:val="both"/>
        <w:rPr>
          <w:rFonts w:ascii="Arial" w:hAnsi="Arial" w:cs="Arial"/>
        </w:rPr>
      </w:pPr>
      <w:r w:rsidRPr="002A0BDB">
        <w:rPr>
          <w:rFonts w:ascii="Arial" w:hAnsi="Arial" w:cs="Arial"/>
        </w:rPr>
        <w:t xml:space="preserve">Paul, S., </w:t>
      </w:r>
      <w:proofErr w:type="spellStart"/>
      <w:r w:rsidRPr="002A0BDB">
        <w:rPr>
          <w:rFonts w:ascii="Arial" w:hAnsi="Arial" w:cs="Arial"/>
        </w:rPr>
        <w:t>Salunkhe</w:t>
      </w:r>
      <w:proofErr w:type="spellEnd"/>
      <w:r w:rsidRPr="002A0BDB">
        <w:rPr>
          <w:rFonts w:ascii="Arial" w:hAnsi="Arial" w:cs="Arial"/>
        </w:rPr>
        <w:t xml:space="preserve">, S., Mane, S.V., Kale, S. and Paul, S., (2024). William Budd: Revolutionizing Epidemiology and Public Health in the 19th Century. </w:t>
      </w:r>
      <w:proofErr w:type="spellStart"/>
      <w:r w:rsidRPr="002A0BDB">
        <w:rPr>
          <w:rFonts w:ascii="Arial" w:hAnsi="Arial" w:cs="Arial"/>
          <w:i/>
          <w:iCs/>
        </w:rPr>
        <w:t>Cureus</w:t>
      </w:r>
      <w:proofErr w:type="spellEnd"/>
      <w:r w:rsidRPr="002A0BDB">
        <w:rPr>
          <w:rFonts w:ascii="Arial" w:hAnsi="Arial" w:cs="Arial"/>
          <w:i/>
          <w:iCs/>
        </w:rPr>
        <w:t>,</w:t>
      </w:r>
      <w:r w:rsidRPr="002A0BDB">
        <w:rPr>
          <w:rFonts w:ascii="Arial" w:hAnsi="Arial" w:cs="Arial"/>
        </w:rPr>
        <w:t xml:space="preserve"> 16(12).</w:t>
      </w:r>
    </w:p>
    <w:p w14:paraId="32D3556A"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Pérez-Duque, A., Gonzalez-Muñoz, A., </w:t>
      </w:r>
      <w:proofErr w:type="spellStart"/>
      <w:r w:rsidRPr="002A0BDB">
        <w:rPr>
          <w:rFonts w:ascii="Arial" w:hAnsi="Arial" w:cs="Arial"/>
        </w:rPr>
        <w:t>Arboleda</w:t>
      </w:r>
      <w:proofErr w:type="spellEnd"/>
      <w:r w:rsidRPr="002A0BDB">
        <w:rPr>
          <w:rFonts w:ascii="Arial" w:hAnsi="Arial" w:cs="Arial"/>
        </w:rPr>
        <w:t xml:space="preserve">-Valencia, J., </w:t>
      </w:r>
      <w:proofErr w:type="spellStart"/>
      <w:r w:rsidRPr="002A0BDB">
        <w:rPr>
          <w:rFonts w:ascii="Arial" w:hAnsi="Arial" w:cs="Arial"/>
        </w:rPr>
        <w:t>Vivas-Aguas</w:t>
      </w:r>
      <w:proofErr w:type="spellEnd"/>
      <w:r w:rsidRPr="002A0BDB">
        <w:rPr>
          <w:rFonts w:ascii="Arial" w:hAnsi="Arial" w:cs="Arial"/>
        </w:rPr>
        <w:t xml:space="preserve">, L.J., Córdoba-Meza, T., </w:t>
      </w:r>
      <w:proofErr w:type="spellStart"/>
      <w:r w:rsidRPr="002A0BDB">
        <w:rPr>
          <w:rFonts w:ascii="Arial" w:hAnsi="Arial" w:cs="Arial"/>
        </w:rPr>
        <w:t>Ghennie</w:t>
      </w:r>
      <w:proofErr w:type="spellEnd"/>
      <w:r w:rsidRPr="002A0BDB">
        <w:rPr>
          <w:rFonts w:ascii="Arial" w:hAnsi="Arial" w:cs="Arial"/>
        </w:rPr>
        <w:t xml:space="preserve"> Tatiana Rodriguez-Rey, </w:t>
      </w:r>
      <w:proofErr w:type="spellStart"/>
      <w:r w:rsidRPr="002A0BDB">
        <w:rPr>
          <w:rFonts w:ascii="Arial" w:hAnsi="Arial" w:cs="Arial"/>
        </w:rPr>
        <w:t>Díaz</w:t>
      </w:r>
      <w:proofErr w:type="spellEnd"/>
      <w:r w:rsidRPr="002A0BDB">
        <w:rPr>
          <w:rFonts w:ascii="Arial" w:hAnsi="Arial" w:cs="Arial"/>
        </w:rPr>
        <w:t>-Guevara, P., Martinez-</w:t>
      </w:r>
      <w:proofErr w:type="spellStart"/>
      <w:r w:rsidRPr="002A0BDB">
        <w:rPr>
          <w:rFonts w:ascii="Arial" w:hAnsi="Arial" w:cs="Arial"/>
        </w:rPr>
        <w:t>Urtaza</w:t>
      </w:r>
      <w:proofErr w:type="spellEnd"/>
      <w:r w:rsidRPr="002A0BDB">
        <w:rPr>
          <w:rFonts w:ascii="Arial" w:hAnsi="Arial" w:cs="Arial"/>
        </w:rPr>
        <w:t xml:space="preserve">, J. and </w:t>
      </w:r>
      <w:proofErr w:type="spellStart"/>
      <w:r w:rsidRPr="002A0BDB">
        <w:rPr>
          <w:rFonts w:ascii="Arial" w:hAnsi="Arial" w:cs="Arial"/>
        </w:rPr>
        <w:t>Wiesner</w:t>
      </w:r>
      <w:proofErr w:type="spellEnd"/>
      <w:r w:rsidRPr="002A0BDB">
        <w:rPr>
          <w:rFonts w:ascii="Arial" w:hAnsi="Arial" w:cs="Arial"/>
        </w:rPr>
        <w:t xml:space="preserve">-Reyes, M. (2021). Comparative Genomics of Clinical and Environmental Isolates of Vibrio spp. of Colombia: Implications of Traits Associated with Virulence and Resistance. </w:t>
      </w:r>
      <w:r w:rsidRPr="002A0BDB">
        <w:rPr>
          <w:rFonts w:ascii="Arial" w:hAnsi="Arial" w:cs="Arial"/>
          <w:i/>
          <w:iCs/>
        </w:rPr>
        <w:t>Pathogens</w:t>
      </w:r>
      <w:r w:rsidRPr="002A0BDB">
        <w:rPr>
          <w:rFonts w:ascii="Arial" w:hAnsi="Arial" w:cs="Arial"/>
        </w:rPr>
        <w:t>, 10(12), pp.1605–1605.</w:t>
      </w:r>
    </w:p>
    <w:p w14:paraId="7080A416"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Price, V., </w:t>
      </w:r>
      <w:proofErr w:type="spellStart"/>
      <w:r w:rsidRPr="002A0BDB">
        <w:rPr>
          <w:rFonts w:ascii="Arial" w:hAnsi="Arial" w:cs="Arial"/>
        </w:rPr>
        <w:t>Ngwira</w:t>
      </w:r>
      <w:proofErr w:type="spellEnd"/>
      <w:r w:rsidRPr="002A0BDB">
        <w:rPr>
          <w:rFonts w:ascii="Arial" w:hAnsi="Arial" w:cs="Arial"/>
        </w:rPr>
        <w:t xml:space="preserve">, L.G., Lewis, J.M., Baker, K.S., Peacock, S.J., </w:t>
      </w:r>
      <w:proofErr w:type="spellStart"/>
      <w:r w:rsidRPr="002A0BDB">
        <w:rPr>
          <w:rFonts w:ascii="Arial" w:hAnsi="Arial" w:cs="Arial"/>
        </w:rPr>
        <w:t>Jauneikaite</w:t>
      </w:r>
      <w:proofErr w:type="spellEnd"/>
      <w:r w:rsidRPr="002A0BDB">
        <w:rPr>
          <w:rFonts w:ascii="Arial" w:hAnsi="Arial" w:cs="Arial"/>
        </w:rPr>
        <w:t xml:space="preserve">, E. and </w:t>
      </w:r>
      <w:proofErr w:type="spellStart"/>
      <w:r w:rsidRPr="002A0BDB">
        <w:rPr>
          <w:rFonts w:ascii="Arial" w:hAnsi="Arial" w:cs="Arial"/>
        </w:rPr>
        <w:t>Feasey</w:t>
      </w:r>
      <w:proofErr w:type="spellEnd"/>
      <w:r w:rsidRPr="002A0BDB">
        <w:rPr>
          <w:rFonts w:ascii="Arial" w:hAnsi="Arial" w:cs="Arial"/>
        </w:rPr>
        <w:t xml:space="preserve">, N., (2023).A systematic review of economic evaluations of whole-genome sequencing for the surveillance of bacterial </w:t>
      </w:r>
      <w:proofErr w:type="spellStart"/>
      <w:r w:rsidRPr="002A0BDB">
        <w:rPr>
          <w:rFonts w:ascii="Arial" w:hAnsi="Arial" w:cs="Arial"/>
        </w:rPr>
        <w:t>pathogens.</w:t>
      </w:r>
      <w:r w:rsidRPr="002A0BDB">
        <w:rPr>
          <w:rFonts w:ascii="Arial" w:hAnsi="Arial" w:cs="Arial"/>
          <w:i/>
          <w:iCs/>
        </w:rPr>
        <w:t>Microbial</w:t>
      </w:r>
      <w:proofErr w:type="spellEnd"/>
      <w:r w:rsidRPr="002A0BDB">
        <w:rPr>
          <w:rFonts w:ascii="Arial" w:hAnsi="Arial" w:cs="Arial"/>
          <w:i/>
          <w:iCs/>
        </w:rPr>
        <w:t xml:space="preserve"> genomics</w:t>
      </w:r>
      <w:r w:rsidRPr="002A0BDB">
        <w:rPr>
          <w:rFonts w:ascii="Arial" w:hAnsi="Arial" w:cs="Arial"/>
        </w:rPr>
        <w:t xml:space="preserve">, </w:t>
      </w:r>
      <w:r w:rsidRPr="002A0BDB">
        <w:rPr>
          <w:rFonts w:ascii="Arial" w:hAnsi="Arial" w:cs="Arial"/>
          <w:i/>
          <w:iCs/>
        </w:rPr>
        <w:t>9</w:t>
      </w:r>
      <w:r w:rsidRPr="002A0BDB">
        <w:rPr>
          <w:rFonts w:ascii="Arial" w:hAnsi="Arial" w:cs="Arial"/>
        </w:rPr>
        <w:t>(2), p.000947.</w:t>
      </w:r>
    </w:p>
    <w:p w14:paraId="1223E55E"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Qin, X., Yang, L., Xu, Y., </w:t>
      </w:r>
      <w:proofErr w:type="spellStart"/>
      <w:r w:rsidRPr="002A0BDB">
        <w:rPr>
          <w:rFonts w:ascii="Arial" w:hAnsi="Arial" w:cs="Arial"/>
        </w:rPr>
        <w:t>Xie</w:t>
      </w:r>
      <w:proofErr w:type="spellEnd"/>
      <w:r w:rsidRPr="002A0BDB">
        <w:rPr>
          <w:rFonts w:ascii="Arial" w:hAnsi="Arial" w:cs="Arial"/>
        </w:rPr>
        <w:t xml:space="preserve">, L., Wang, Y. and Chen, L. (2024). Growth and Genome Features of Non-O1/O139 Vibrio </w:t>
      </w:r>
      <w:proofErr w:type="spellStart"/>
      <w:r w:rsidRPr="002A0BDB">
        <w:rPr>
          <w:rFonts w:ascii="Arial" w:hAnsi="Arial" w:cs="Arial"/>
        </w:rPr>
        <w:t>cholerae</w:t>
      </w:r>
      <w:proofErr w:type="spellEnd"/>
      <w:r w:rsidRPr="002A0BDB">
        <w:rPr>
          <w:rFonts w:ascii="Arial" w:hAnsi="Arial" w:cs="Arial"/>
        </w:rPr>
        <w:t xml:space="preserve"> Isolated from Three Species of Common Freshwater Fish. </w:t>
      </w:r>
      <w:r w:rsidRPr="002A0BDB">
        <w:rPr>
          <w:rFonts w:ascii="Arial" w:hAnsi="Arial" w:cs="Arial"/>
          <w:i/>
          <w:iCs/>
        </w:rPr>
        <w:t>Diversity</w:t>
      </w:r>
      <w:r w:rsidRPr="002A0BDB">
        <w:rPr>
          <w:rFonts w:ascii="Arial" w:hAnsi="Arial" w:cs="Arial"/>
        </w:rPr>
        <w:t>, 16(5), pp.268–268.</w:t>
      </w:r>
    </w:p>
    <w:p w14:paraId="062306EB"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Rache</w:t>
      </w:r>
      <w:proofErr w:type="spellEnd"/>
      <w:r w:rsidRPr="002A0BDB">
        <w:rPr>
          <w:rFonts w:ascii="Arial" w:hAnsi="Arial" w:cs="Arial"/>
        </w:rPr>
        <w:t xml:space="preserve">, L., </w:t>
      </w:r>
      <w:proofErr w:type="spellStart"/>
      <w:r w:rsidRPr="002A0BDB">
        <w:rPr>
          <w:rFonts w:ascii="Arial" w:hAnsi="Arial" w:cs="Arial"/>
        </w:rPr>
        <w:t>Blondin</w:t>
      </w:r>
      <w:proofErr w:type="spellEnd"/>
      <w:r w:rsidRPr="002A0BDB">
        <w:rPr>
          <w:rFonts w:ascii="Arial" w:hAnsi="Arial" w:cs="Arial"/>
        </w:rPr>
        <w:t xml:space="preserve">, L., Diaz </w:t>
      </w:r>
      <w:proofErr w:type="spellStart"/>
      <w:r w:rsidRPr="002A0BDB">
        <w:rPr>
          <w:rFonts w:ascii="Arial" w:hAnsi="Arial" w:cs="Arial"/>
        </w:rPr>
        <w:t>Tatis</w:t>
      </w:r>
      <w:proofErr w:type="spellEnd"/>
      <w:r w:rsidRPr="002A0BDB">
        <w:rPr>
          <w:rFonts w:ascii="Arial" w:hAnsi="Arial" w:cs="Arial"/>
        </w:rPr>
        <w:t xml:space="preserve">, P., Flores, C., Camargo, A., </w:t>
      </w:r>
      <w:proofErr w:type="spellStart"/>
      <w:r w:rsidRPr="002A0BDB">
        <w:rPr>
          <w:rFonts w:ascii="Arial" w:hAnsi="Arial" w:cs="Arial"/>
        </w:rPr>
        <w:t>Kante</w:t>
      </w:r>
      <w:proofErr w:type="spellEnd"/>
      <w:r w:rsidRPr="002A0BDB">
        <w:rPr>
          <w:rFonts w:ascii="Arial" w:hAnsi="Arial" w:cs="Arial"/>
        </w:rPr>
        <w:t xml:space="preserve">, M., </w:t>
      </w:r>
      <w:proofErr w:type="spellStart"/>
      <w:r w:rsidRPr="002A0BDB">
        <w:rPr>
          <w:rFonts w:ascii="Arial" w:hAnsi="Arial" w:cs="Arial"/>
        </w:rPr>
        <w:t>Wonni</w:t>
      </w:r>
      <w:proofErr w:type="spellEnd"/>
      <w:r w:rsidRPr="002A0BDB">
        <w:rPr>
          <w:rFonts w:ascii="Arial" w:hAnsi="Arial" w:cs="Arial"/>
        </w:rPr>
        <w:t xml:space="preserve">, I., </w:t>
      </w:r>
      <w:proofErr w:type="spellStart"/>
      <w:r w:rsidRPr="002A0BDB">
        <w:rPr>
          <w:rFonts w:ascii="Arial" w:hAnsi="Arial" w:cs="Arial"/>
        </w:rPr>
        <w:t>López</w:t>
      </w:r>
      <w:proofErr w:type="spellEnd"/>
      <w:r w:rsidRPr="002A0BDB">
        <w:rPr>
          <w:rFonts w:ascii="Arial" w:hAnsi="Arial" w:cs="Arial"/>
        </w:rPr>
        <w:t xml:space="preserve">, C., </w:t>
      </w:r>
      <w:proofErr w:type="spellStart"/>
      <w:r w:rsidRPr="002A0BDB">
        <w:rPr>
          <w:rFonts w:ascii="Arial" w:hAnsi="Arial" w:cs="Arial"/>
        </w:rPr>
        <w:t>Szurek</w:t>
      </w:r>
      <w:proofErr w:type="spellEnd"/>
      <w:r w:rsidRPr="002A0BDB">
        <w:rPr>
          <w:rFonts w:ascii="Arial" w:hAnsi="Arial" w:cs="Arial"/>
        </w:rPr>
        <w:t xml:space="preserve">, B., </w:t>
      </w:r>
      <w:proofErr w:type="spellStart"/>
      <w:r w:rsidRPr="002A0BDB">
        <w:rPr>
          <w:rFonts w:ascii="Arial" w:hAnsi="Arial" w:cs="Arial"/>
        </w:rPr>
        <w:t>Dupas</w:t>
      </w:r>
      <w:proofErr w:type="spellEnd"/>
      <w:r w:rsidRPr="002A0BDB">
        <w:rPr>
          <w:rFonts w:ascii="Arial" w:hAnsi="Arial" w:cs="Arial"/>
        </w:rPr>
        <w:t xml:space="preserve">, S. and </w:t>
      </w:r>
      <w:proofErr w:type="spellStart"/>
      <w:r w:rsidRPr="002A0BDB">
        <w:rPr>
          <w:rFonts w:ascii="Arial" w:hAnsi="Arial" w:cs="Arial"/>
        </w:rPr>
        <w:t>Pruvost</w:t>
      </w:r>
      <w:proofErr w:type="spellEnd"/>
      <w:r w:rsidRPr="002A0BDB">
        <w:rPr>
          <w:rFonts w:ascii="Arial" w:hAnsi="Arial" w:cs="Arial"/>
        </w:rPr>
        <w:t xml:space="preserve">, O., (2023).A </w:t>
      </w:r>
      <w:proofErr w:type="spellStart"/>
      <w:r w:rsidRPr="002A0BDB">
        <w:rPr>
          <w:rFonts w:ascii="Arial" w:hAnsi="Arial" w:cs="Arial"/>
        </w:rPr>
        <w:t>minisatellite</w:t>
      </w:r>
      <w:proofErr w:type="spellEnd"/>
      <w:r w:rsidRPr="002A0BDB">
        <w:rPr>
          <w:rFonts w:ascii="Arial" w:hAnsi="Arial" w:cs="Arial"/>
        </w:rPr>
        <w:t xml:space="preserve">-based MLVA for deciphering the global epidemiology of the bacterial cassava pathogen </w:t>
      </w:r>
      <w:proofErr w:type="spellStart"/>
      <w:r w:rsidRPr="002A0BDB">
        <w:rPr>
          <w:rFonts w:ascii="Arial" w:hAnsi="Arial" w:cs="Arial"/>
        </w:rPr>
        <w:t>Xanthomonasphaseolipv.manihotis</w:t>
      </w:r>
      <w:proofErr w:type="spellEnd"/>
      <w:r w:rsidRPr="002A0BDB">
        <w:rPr>
          <w:rFonts w:ascii="Arial" w:hAnsi="Arial" w:cs="Arial"/>
        </w:rPr>
        <w:t xml:space="preserve">. </w:t>
      </w:r>
      <w:proofErr w:type="spellStart"/>
      <w:r w:rsidRPr="002A0BDB">
        <w:rPr>
          <w:rFonts w:ascii="Arial" w:hAnsi="Arial" w:cs="Arial"/>
          <w:i/>
          <w:iCs/>
        </w:rPr>
        <w:t>Plos</w:t>
      </w:r>
      <w:proofErr w:type="spellEnd"/>
      <w:r w:rsidRPr="002A0BDB">
        <w:rPr>
          <w:rFonts w:ascii="Arial" w:hAnsi="Arial" w:cs="Arial"/>
          <w:i/>
          <w:iCs/>
        </w:rPr>
        <w:t xml:space="preserve"> one</w:t>
      </w:r>
      <w:r w:rsidRPr="002A0BDB">
        <w:rPr>
          <w:rFonts w:ascii="Arial" w:hAnsi="Arial" w:cs="Arial"/>
        </w:rPr>
        <w:t xml:space="preserve">, </w:t>
      </w:r>
      <w:r w:rsidRPr="002A0BDB">
        <w:rPr>
          <w:rFonts w:ascii="Arial" w:hAnsi="Arial" w:cs="Arial"/>
          <w:i/>
          <w:iCs/>
        </w:rPr>
        <w:t>18</w:t>
      </w:r>
      <w:r w:rsidRPr="002A0BDB">
        <w:rPr>
          <w:rFonts w:ascii="Arial" w:hAnsi="Arial" w:cs="Arial"/>
        </w:rPr>
        <w:t>(5), p.e0285491.</w:t>
      </w:r>
    </w:p>
    <w:p w14:paraId="08CD0897" w14:textId="77777777" w:rsidR="00D6053C" w:rsidRPr="002A0BDB" w:rsidRDefault="00D6053C" w:rsidP="00D6053C">
      <w:pPr>
        <w:spacing w:before="240" w:after="240" w:line="360" w:lineRule="auto"/>
        <w:jc w:val="both"/>
        <w:rPr>
          <w:rFonts w:ascii="Arial" w:hAnsi="Arial" w:cs="Arial"/>
        </w:rPr>
      </w:pPr>
      <w:proofErr w:type="spellStart"/>
      <w:r w:rsidRPr="002A0BDB">
        <w:rPr>
          <w:rFonts w:ascii="Arial" w:hAnsi="Arial" w:cs="Arial"/>
        </w:rPr>
        <w:t>Rana</w:t>
      </w:r>
      <w:proofErr w:type="spellEnd"/>
      <w:r w:rsidRPr="002A0BDB">
        <w:rPr>
          <w:rFonts w:ascii="Arial" w:hAnsi="Arial" w:cs="Arial"/>
        </w:rPr>
        <w:t xml:space="preserve">, K., </w:t>
      </w:r>
      <w:proofErr w:type="spellStart"/>
      <w:r w:rsidRPr="002A0BDB">
        <w:rPr>
          <w:rFonts w:ascii="Arial" w:hAnsi="Arial" w:cs="Arial"/>
        </w:rPr>
        <w:t>Poudel</w:t>
      </w:r>
      <w:proofErr w:type="spellEnd"/>
      <w:r w:rsidRPr="002A0BDB">
        <w:rPr>
          <w:rFonts w:ascii="Arial" w:hAnsi="Arial" w:cs="Arial"/>
        </w:rPr>
        <w:t xml:space="preserve">, P. and </w:t>
      </w:r>
      <w:proofErr w:type="spellStart"/>
      <w:r w:rsidRPr="002A0BDB">
        <w:rPr>
          <w:rFonts w:ascii="Arial" w:hAnsi="Arial" w:cs="Arial"/>
        </w:rPr>
        <w:t>Chimoriya</w:t>
      </w:r>
      <w:proofErr w:type="spellEnd"/>
      <w:r w:rsidRPr="002A0BDB">
        <w:rPr>
          <w:rFonts w:ascii="Arial" w:hAnsi="Arial" w:cs="Arial"/>
        </w:rPr>
        <w:t xml:space="preserve">, R. (2023). Qualitative Methodology in Translational Health Research: Current Practices and Future Directions. </w:t>
      </w:r>
      <w:r w:rsidRPr="002A0BDB">
        <w:rPr>
          <w:rFonts w:ascii="Arial" w:hAnsi="Arial" w:cs="Arial"/>
          <w:i/>
          <w:iCs/>
        </w:rPr>
        <w:t>Healthcare</w:t>
      </w:r>
      <w:r w:rsidRPr="002A0BDB">
        <w:rPr>
          <w:rFonts w:ascii="Arial" w:hAnsi="Arial" w:cs="Arial"/>
        </w:rPr>
        <w:t>, 11(19), p.2665.</w:t>
      </w:r>
    </w:p>
    <w:p w14:paraId="3CCF4A91" w14:textId="77777777" w:rsidR="00D6053C" w:rsidRPr="002A0BDB" w:rsidRDefault="00D6053C" w:rsidP="00D6053C">
      <w:pPr>
        <w:spacing w:before="240" w:after="240" w:line="360" w:lineRule="auto"/>
        <w:jc w:val="both"/>
        <w:rPr>
          <w:rFonts w:ascii="Arial" w:hAnsi="Arial" w:cs="Arial"/>
        </w:rPr>
      </w:pPr>
      <w:proofErr w:type="spellStart"/>
      <w:r w:rsidRPr="002A0BDB">
        <w:rPr>
          <w:rFonts w:ascii="Arial" w:hAnsi="Arial" w:cs="Arial"/>
        </w:rPr>
        <w:t>Rouard</w:t>
      </w:r>
      <w:proofErr w:type="spellEnd"/>
      <w:r w:rsidRPr="002A0BDB">
        <w:rPr>
          <w:rFonts w:ascii="Arial" w:hAnsi="Arial" w:cs="Arial"/>
        </w:rPr>
        <w:t xml:space="preserve">, C., </w:t>
      </w:r>
      <w:proofErr w:type="spellStart"/>
      <w:r w:rsidRPr="002A0BDB">
        <w:rPr>
          <w:rFonts w:ascii="Arial" w:hAnsi="Arial" w:cs="Arial"/>
        </w:rPr>
        <w:t>Greig</w:t>
      </w:r>
      <w:proofErr w:type="spellEnd"/>
      <w:r w:rsidRPr="002A0BDB">
        <w:rPr>
          <w:rFonts w:ascii="Arial" w:hAnsi="Arial" w:cs="Arial"/>
        </w:rPr>
        <w:t xml:space="preserve">, D.R., </w:t>
      </w:r>
      <w:proofErr w:type="spellStart"/>
      <w:r w:rsidRPr="002A0BDB">
        <w:rPr>
          <w:rFonts w:ascii="Arial" w:hAnsi="Arial" w:cs="Arial"/>
        </w:rPr>
        <w:t>Tauhid</w:t>
      </w:r>
      <w:proofErr w:type="spellEnd"/>
      <w:r w:rsidRPr="002A0BDB">
        <w:rPr>
          <w:rFonts w:ascii="Arial" w:hAnsi="Arial" w:cs="Arial"/>
        </w:rPr>
        <w:t xml:space="preserve">, T., </w:t>
      </w:r>
      <w:proofErr w:type="spellStart"/>
      <w:r w:rsidRPr="002A0BDB">
        <w:rPr>
          <w:rFonts w:ascii="Arial" w:hAnsi="Arial" w:cs="Arial"/>
        </w:rPr>
        <w:t>Dupke</w:t>
      </w:r>
      <w:proofErr w:type="spellEnd"/>
      <w:r w:rsidRPr="002A0BDB">
        <w:rPr>
          <w:rFonts w:ascii="Arial" w:hAnsi="Arial" w:cs="Arial"/>
        </w:rPr>
        <w:t xml:space="preserve">, S., </w:t>
      </w:r>
      <w:proofErr w:type="spellStart"/>
      <w:r w:rsidRPr="002A0BDB">
        <w:rPr>
          <w:rFonts w:ascii="Arial" w:hAnsi="Arial" w:cs="Arial"/>
        </w:rPr>
        <w:t>Njamkepo</w:t>
      </w:r>
      <w:proofErr w:type="spellEnd"/>
      <w:r w:rsidRPr="002A0BDB">
        <w:rPr>
          <w:rFonts w:ascii="Arial" w:hAnsi="Arial" w:cs="Arial"/>
        </w:rPr>
        <w:t xml:space="preserve">, E., Amato, E., van der </w:t>
      </w:r>
      <w:proofErr w:type="spellStart"/>
      <w:r w:rsidRPr="002A0BDB">
        <w:rPr>
          <w:rFonts w:ascii="Arial" w:hAnsi="Arial" w:cs="Arial"/>
        </w:rPr>
        <w:t>Putten</w:t>
      </w:r>
      <w:proofErr w:type="spellEnd"/>
      <w:r w:rsidRPr="002A0BDB">
        <w:rPr>
          <w:rFonts w:ascii="Arial" w:hAnsi="Arial" w:cs="Arial"/>
        </w:rPr>
        <w:t xml:space="preserve">, B., </w:t>
      </w:r>
      <w:proofErr w:type="spellStart"/>
      <w:r w:rsidRPr="002A0BDB">
        <w:rPr>
          <w:rFonts w:ascii="Arial" w:hAnsi="Arial" w:cs="Arial"/>
        </w:rPr>
        <w:t>Naseer</w:t>
      </w:r>
      <w:proofErr w:type="spellEnd"/>
      <w:r w:rsidRPr="002A0BDB">
        <w:rPr>
          <w:rFonts w:ascii="Arial" w:hAnsi="Arial" w:cs="Arial"/>
        </w:rPr>
        <w:t xml:space="preserve">, U., </w:t>
      </w:r>
      <w:proofErr w:type="spellStart"/>
      <w:r w:rsidRPr="002A0BDB">
        <w:rPr>
          <w:rFonts w:ascii="Arial" w:hAnsi="Arial" w:cs="Arial"/>
        </w:rPr>
        <w:t>Blaschitz</w:t>
      </w:r>
      <w:proofErr w:type="spellEnd"/>
      <w:r w:rsidRPr="002A0BDB">
        <w:rPr>
          <w:rFonts w:ascii="Arial" w:hAnsi="Arial" w:cs="Arial"/>
        </w:rPr>
        <w:t xml:space="preserve">, M., </w:t>
      </w:r>
      <w:proofErr w:type="spellStart"/>
      <w:r w:rsidRPr="002A0BDB">
        <w:rPr>
          <w:rFonts w:ascii="Arial" w:hAnsi="Arial" w:cs="Arial"/>
        </w:rPr>
        <w:t>Mandilara</w:t>
      </w:r>
      <w:proofErr w:type="spellEnd"/>
      <w:r w:rsidRPr="002A0BDB">
        <w:rPr>
          <w:rFonts w:ascii="Arial" w:hAnsi="Arial" w:cs="Arial"/>
        </w:rPr>
        <w:t xml:space="preserve">, G.D., Cohen Stuart, J., </w:t>
      </w:r>
      <w:proofErr w:type="spellStart"/>
      <w:r w:rsidRPr="002A0BDB">
        <w:rPr>
          <w:rFonts w:ascii="Arial" w:hAnsi="Arial" w:cs="Arial"/>
        </w:rPr>
        <w:t>Indra</w:t>
      </w:r>
      <w:proofErr w:type="spellEnd"/>
      <w:r w:rsidRPr="002A0BDB">
        <w:rPr>
          <w:rFonts w:ascii="Arial" w:hAnsi="Arial" w:cs="Arial"/>
        </w:rPr>
        <w:t xml:space="preserve">, A., Noël, H., </w:t>
      </w:r>
      <w:proofErr w:type="spellStart"/>
      <w:r w:rsidRPr="002A0BDB">
        <w:rPr>
          <w:rFonts w:ascii="Arial" w:hAnsi="Arial" w:cs="Arial"/>
        </w:rPr>
        <w:t>Sideroglou</w:t>
      </w:r>
      <w:proofErr w:type="spellEnd"/>
      <w:r w:rsidRPr="002A0BDB">
        <w:rPr>
          <w:rFonts w:ascii="Arial" w:hAnsi="Arial" w:cs="Arial"/>
        </w:rPr>
        <w:t xml:space="preserve">, </w:t>
      </w:r>
      <w:r w:rsidRPr="002A0BDB">
        <w:rPr>
          <w:rFonts w:ascii="Arial" w:hAnsi="Arial" w:cs="Arial"/>
        </w:rPr>
        <w:lastRenderedPageBreak/>
        <w:t xml:space="preserve">T., </w:t>
      </w:r>
      <w:proofErr w:type="spellStart"/>
      <w:r w:rsidRPr="002A0BDB">
        <w:rPr>
          <w:rFonts w:ascii="Arial" w:hAnsi="Arial" w:cs="Arial"/>
        </w:rPr>
        <w:t>Heger</w:t>
      </w:r>
      <w:proofErr w:type="spellEnd"/>
      <w:r w:rsidRPr="002A0BDB">
        <w:rPr>
          <w:rFonts w:ascii="Arial" w:hAnsi="Arial" w:cs="Arial"/>
        </w:rPr>
        <w:t xml:space="preserve">, F., van den </w:t>
      </w:r>
      <w:proofErr w:type="spellStart"/>
      <w:r w:rsidRPr="002A0BDB">
        <w:rPr>
          <w:rFonts w:ascii="Arial" w:hAnsi="Arial" w:cs="Arial"/>
        </w:rPr>
        <w:t>Beld</w:t>
      </w:r>
      <w:proofErr w:type="spellEnd"/>
      <w:r w:rsidRPr="002A0BDB">
        <w:rPr>
          <w:rFonts w:ascii="Arial" w:hAnsi="Arial" w:cs="Arial"/>
        </w:rPr>
        <w:t xml:space="preserve">, M., </w:t>
      </w:r>
      <w:proofErr w:type="spellStart"/>
      <w:r w:rsidRPr="002A0BDB">
        <w:rPr>
          <w:rFonts w:ascii="Arial" w:hAnsi="Arial" w:cs="Arial"/>
        </w:rPr>
        <w:t>Wester</w:t>
      </w:r>
      <w:proofErr w:type="spellEnd"/>
      <w:r w:rsidRPr="002A0BDB">
        <w:rPr>
          <w:rFonts w:ascii="Arial" w:hAnsi="Arial" w:cs="Arial"/>
        </w:rPr>
        <w:t xml:space="preserve">, A.L., </w:t>
      </w:r>
      <w:proofErr w:type="spellStart"/>
      <w:r w:rsidRPr="002A0BDB">
        <w:rPr>
          <w:rFonts w:ascii="Arial" w:hAnsi="Arial" w:cs="Arial"/>
        </w:rPr>
        <w:t>Quilici</w:t>
      </w:r>
      <w:proofErr w:type="spellEnd"/>
      <w:r w:rsidRPr="002A0BDB">
        <w:rPr>
          <w:rFonts w:ascii="Arial" w:hAnsi="Arial" w:cs="Arial"/>
        </w:rPr>
        <w:t xml:space="preserve">, M.-L., </w:t>
      </w:r>
      <w:proofErr w:type="spellStart"/>
      <w:r w:rsidRPr="002A0BDB">
        <w:rPr>
          <w:rFonts w:ascii="Arial" w:hAnsi="Arial" w:cs="Arial"/>
        </w:rPr>
        <w:t>Scholz</w:t>
      </w:r>
      <w:proofErr w:type="spellEnd"/>
      <w:r w:rsidRPr="002A0BDB">
        <w:rPr>
          <w:rFonts w:ascii="Arial" w:hAnsi="Arial" w:cs="Arial"/>
        </w:rPr>
        <w:t xml:space="preserve">, H.C. and </w:t>
      </w:r>
      <w:proofErr w:type="spellStart"/>
      <w:r w:rsidRPr="002A0BDB">
        <w:rPr>
          <w:rFonts w:ascii="Arial" w:hAnsi="Arial" w:cs="Arial"/>
        </w:rPr>
        <w:t>Fröding</w:t>
      </w:r>
      <w:proofErr w:type="spellEnd"/>
      <w:r w:rsidRPr="002A0BDB">
        <w:rPr>
          <w:rFonts w:ascii="Arial" w:hAnsi="Arial" w:cs="Arial"/>
        </w:rPr>
        <w:t xml:space="preserve">, I. (2024). Genomic analysis of Vibrio </w:t>
      </w:r>
      <w:proofErr w:type="spellStart"/>
      <w:r w:rsidRPr="002A0BDB">
        <w:rPr>
          <w:rFonts w:ascii="Arial" w:hAnsi="Arial" w:cs="Arial"/>
        </w:rPr>
        <w:t>cholerae</w:t>
      </w:r>
      <w:proofErr w:type="spellEnd"/>
      <w:r w:rsidRPr="002A0BDB">
        <w:rPr>
          <w:rFonts w:ascii="Arial" w:hAnsi="Arial" w:cs="Arial"/>
        </w:rPr>
        <w:t xml:space="preserve"> O1 isolates from cholera cases, Europe, 2022. </w:t>
      </w:r>
      <w:proofErr w:type="spellStart"/>
      <w:r w:rsidRPr="002A0BDB">
        <w:rPr>
          <w:rFonts w:ascii="Arial" w:hAnsi="Arial" w:cs="Arial"/>
          <w:i/>
          <w:iCs/>
        </w:rPr>
        <w:t>Eurosurveillance</w:t>
      </w:r>
      <w:proofErr w:type="spellEnd"/>
      <w:r w:rsidRPr="002A0BDB">
        <w:rPr>
          <w:rFonts w:ascii="Arial" w:hAnsi="Arial" w:cs="Arial"/>
        </w:rPr>
        <w:t>, 29(36).</w:t>
      </w:r>
    </w:p>
    <w:p w14:paraId="776C81FA"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Salamé</w:t>
      </w:r>
      <w:proofErr w:type="spellEnd"/>
      <w:r w:rsidRPr="002A0BDB">
        <w:rPr>
          <w:rFonts w:ascii="Arial" w:hAnsi="Arial" w:cs="Arial"/>
        </w:rPr>
        <w:t xml:space="preserve">, L., </w:t>
      </w:r>
      <w:proofErr w:type="spellStart"/>
      <w:r w:rsidRPr="002A0BDB">
        <w:rPr>
          <w:rFonts w:ascii="Arial" w:hAnsi="Arial" w:cs="Arial"/>
        </w:rPr>
        <w:t>Bogardi</w:t>
      </w:r>
      <w:proofErr w:type="spellEnd"/>
      <w:r w:rsidRPr="002A0BDB">
        <w:rPr>
          <w:rFonts w:ascii="Arial" w:hAnsi="Arial" w:cs="Arial"/>
        </w:rPr>
        <w:t xml:space="preserve">, J.J., </w:t>
      </w:r>
      <w:proofErr w:type="spellStart"/>
      <w:r w:rsidRPr="002A0BDB">
        <w:rPr>
          <w:rFonts w:ascii="Arial" w:hAnsi="Arial" w:cs="Arial"/>
        </w:rPr>
        <w:t>Sebesvari</w:t>
      </w:r>
      <w:proofErr w:type="spellEnd"/>
      <w:r w:rsidRPr="002A0BDB">
        <w:rPr>
          <w:rFonts w:ascii="Arial" w:hAnsi="Arial" w:cs="Arial"/>
        </w:rPr>
        <w:t xml:space="preserve">, Z., </w:t>
      </w:r>
      <w:proofErr w:type="spellStart"/>
      <w:r w:rsidRPr="002A0BDB">
        <w:rPr>
          <w:rFonts w:ascii="Arial" w:hAnsi="Arial" w:cs="Arial"/>
        </w:rPr>
        <w:t>Tockner</w:t>
      </w:r>
      <w:proofErr w:type="spellEnd"/>
      <w:r w:rsidRPr="002A0BDB">
        <w:rPr>
          <w:rFonts w:ascii="Arial" w:hAnsi="Arial" w:cs="Arial"/>
        </w:rPr>
        <w:t xml:space="preserve">, K., </w:t>
      </w:r>
      <w:proofErr w:type="spellStart"/>
      <w:r w:rsidRPr="002A0BDB">
        <w:rPr>
          <w:rFonts w:ascii="Arial" w:hAnsi="Arial" w:cs="Arial"/>
        </w:rPr>
        <w:t>Yazici</w:t>
      </w:r>
      <w:proofErr w:type="spellEnd"/>
      <w:r w:rsidRPr="002A0BDB">
        <w:rPr>
          <w:rFonts w:ascii="Arial" w:hAnsi="Arial" w:cs="Arial"/>
        </w:rPr>
        <w:t xml:space="preserve">, B., </w:t>
      </w:r>
      <w:proofErr w:type="spellStart"/>
      <w:r w:rsidRPr="002A0BDB">
        <w:rPr>
          <w:rFonts w:ascii="Arial" w:hAnsi="Arial" w:cs="Arial"/>
        </w:rPr>
        <w:t>Turan</w:t>
      </w:r>
      <w:proofErr w:type="spellEnd"/>
      <w:r w:rsidRPr="002A0BDB">
        <w:rPr>
          <w:rFonts w:ascii="Arial" w:hAnsi="Arial" w:cs="Arial"/>
        </w:rPr>
        <w:t xml:space="preserve">, F., </w:t>
      </w:r>
      <w:proofErr w:type="spellStart"/>
      <w:r w:rsidRPr="002A0BDB">
        <w:rPr>
          <w:rFonts w:ascii="Arial" w:hAnsi="Arial" w:cs="Arial"/>
        </w:rPr>
        <w:t>Calli</w:t>
      </w:r>
      <w:proofErr w:type="spellEnd"/>
      <w:r w:rsidRPr="002A0BDB">
        <w:rPr>
          <w:rFonts w:ascii="Arial" w:hAnsi="Arial" w:cs="Arial"/>
        </w:rPr>
        <w:t xml:space="preserve">, B., </w:t>
      </w:r>
      <w:proofErr w:type="spellStart"/>
      <w:r w:rsidRPr="002A0BDB">
        <w:rPr>
          <w:rFonts w:ascii="Arial" w:hAnsi="Arial" w:cs="Arial"/>
        </w:rPr>
        <w:t>Kerç</w:t>
      </w:r>
      <w:proofErr w:type="spellEnd"/>
      <w:r w:rsidRPr="002A0BDB">
        <w:rPr>
          <w:rFonts w:ascii="Arial" w:hAnsi="Arial" w:cs="Arial"/>
        </w:rPr>
        <w:t xml:space="preserve">, A., </w:t>
      </w:r>
      <w:proofErr w:type="spellStart"/>
      <w:r w:rsidRPr="002A0BDB">
        <w:rPr>
          <w:rFonts w:ascii="Arial" w:hAnsi="Arial" w:cs="Arial"/>
        </w:rPr>
        <w:t>Ünver</w:t>
      </w:r>
      <w:proofErr w:type="spellEnd"/>
      <w:r w:rsidRPr="002A0BDB">
        <w:rPr>
          <w:rFonts w:ascii="Arial" w:hAnsi="Arial" w:cs="Arial"/>
        </w:rPr>
        <w:t xml:space="preserve">, O. and </w:t>
      </w:r>
      <w:proofErr w:type="spellStart"/>
      <w:r w:rsidRPr="002A0BDB">
        <w:rPr>
          <w:rFonts w:ascii="Arial" w:hAnsi="Arial" w:cs="Arial"/>
        </w:rPr>
        <w:t>Walz</w:t>
      </w:r>
      <w:proofErr w:type="spellEnd"/>
      <w:r w:rsidRPr="002A0BDB">
        <w:rPr>
          <w:rFonts w:ascii="Arial" w:hAnsi="Arial" w:cs="Arial"/>
        </w:rPr>
        <w:t xml:space="preserve">, Y., (2021). Drivers, pressures and stressors: The societal framework of water resources management. In </w:t>
      </w:r>
      <w:r w:rsidRPr="002A0BDB">
        <w:rPr>
          <w:rFonts w:ascii="Arial" w:hAnsi="Arial" w:cs="Arial"/>
          <w:i/>
          <w:iCs/>
        </w:rPr>
        <w:t>Handbook of Water Resources Management: Discourses, Concepts and Examples</w:t>
      </w:r>
      <w:r w:rsidRPr="002A0BDB">
        <w:rPr>
          <w:rFonts w:ascii="Arial" w:hAnsi="Arial" w:cs="Arial"/>
        </w:rPr>
        <w:t>, pp. 329-364.</w:t>
      </w:r>
    </w:p>
    <w:p w14:paraId="18C343D7" w14:textId="77777777" w:rsidR="00D6053C" w:rsidRPr="002A0BDB" w:rsidRDefault="00D6053C" w:rsidP="00D6053C">
      <w:pPr>
        <w:spacing w:line="360" w:lineRule="auto"/>
        <w:jc w:val="both"/>
        <w:rPr>
          <w:rFonts w:ascii="Arial" w:eastAsia="Times New Roman" w:hAnsi="Arial" w:cs="Arial"/>
        </w:rPr>
      </w:pPr>
      <w:r w:rsidRPr="002A0BDB">
        <w:rPr>
          <w:rFonts w:ascii="Arial" w:eastAsia="Times New Roman" w:hAnsi="Arial" w:cs="Arial"/>
        </w:rPr>
        <w:t>Salzmann-Erikson, M. (2024). The intersection between logical empiricism and qualitative nursing research: a post-</w:t>
      </w:r>
      <w:proofErr w:type="spellStart"/>
      <w:r w:rsidRPr="002A0BDB">
        <w:rPr>
          <w:rFonts w:ascii="Arial" w:eastAsia="Times New Roman" w:hAnsi="Arial" w:cs="Arial"/>
        </w:rPr>
        <w:t>structuralist</w:t>
      </w:r>
      <w:proofErr w:type="spellEnd"/>
      <w:r w:rsidRPr="002A0BDB">
        <w:rPr>
          <w:rFonts w:ascii="Arial" w:eastAsia="Times New Roman" w:hAnsi="Arial" w:cs="Arial"/>
        </w:rPr>
        <w:t xml:space="preserve"> analysis. </w:t>
      </w:r>
      <w:r w:rsidRPr="002A0BDB">
        <w:rPr>
          <w:rFonts w:ascii="Arial" w:eastAsia="Times New Roman" w:hAnsi="Arial" w:cs="Arial"/>
          <w:i/>
          <w:iCs/>
        </w:rPr>
        <w:t>International Journal of Qualitative Studies on Health and Well-being</w:t>
      </w:r>
      <w:r w:rsidRPr="002A0BDB">
        <w:rPr>
          <w:rFonts w:ascii="Arial" w:eastAsia="Times New Roman" w:hAnsi="Arial" w:cs="Arial"/>
        </w:rPr>
        <w:t>, 19(1). </w:t>
      </w:r>
    </w:p>
    <w:p w14:paraId="160E57DD" w14:textId="77777777" w:rsidR="00D6053C" w:rsidRPr="002A0BDB" w:rsidRDefault="00D6053C" w:rsidP="00D6053C">
      <w:pPr>
        <w:pBdr>
          <w:top w:val="nil"/>
          <w:left w:val="nil"/>
          <w:bottom w:val="nil"/>
          <w:right w:val="nil"/>
          <w:between w:val="nil"/>
        </w:pBdr>
        <w:spacing w:before="240" w:line="360" w:lineRule="auto"/>
        <w:jc w:val="both"/>
        <w:rPr>
          <w:rFonts w:ascii="Arial" w:hAnsi="Arial" w:cs="Arial"/>
        </w:rPr>
      </w:pPr>
      <w:proofErr w:type="spellStart"/>
      <w:r w:rsidRPr="002A0BDB">
        <w:rPr>
          <w:rFonts w:ascii="Arial" w:hAnsi="Arial" w:cs="Arial"/>
        </w:rPr>
        <w:t>Shackleton</w:t>
      </w:r>
      <w:proofErr w:type="spellEnd"/>
      <w:r w:rsidRPr="002A0BDB">
        <w:rPr>
          <w:rFonts w:ascii="Arial" w:hAnsi="Arial" w:cs="Arial"/>
        </w:rPr>
        <w:t xml:space="preserve">, D., </w:t>
      </w:r>
      <w:proofErr w:type="spellStart"/>
      <w:r w:rsidRPr="002A0BDB">
        <w:rPr>
          <w:rFonts w:ascii="Arial" w:hAnsi="Arial" w:cs="Arial"/>
        </w:rPr>
        <w:t>Memon</w:t>
      </w:r>
      <w:proofErr w:type="spellEnd"/>
      <w:r w:rsidRPr="002A0BDB">
        <w:rPr>
          <w:rFonts w:ascii="Arial" w:hAnsi="Arial" w:cs="Arial"/>
        </w:rPr>
        <w:t xml:space="preserve">, F.A., Nichols, G., </w:t>
      </w:r>
      <w:proofErr w:type="spellStart"/>
      <w:r w:rsidRPr="002A0BDB">
        <w:rPr>
          <w:rFonts w:ascii="Arial" w:hAnsi="Arial" w:cs="Arial"/>
        </w:rPr>
        <w:t>Phalkey</w:t>
      </w:r>
      <w:proofErr w:type="spellEnd"/>
      <w:r w:rsidRPr="002A0BDB">
        <w:rPr>
          <w:rFonts w:ascii="Arial" w:hAnsi="Arial" w:cs="Arial"/>
        </w:rPr>
        <w:t xml:space="preserve">, R. and Chen, A.S., (2024). Mechanisms of cholera transmission via environment in India and Bangladesh: state of the science review. </w:t>
      </w:r>
      <w:r w:rsidRPr="002A0BDB">
        <w:rPr>
          <w:rFonts w:ascii="Arial" w:hAnsi="Arial" w:cs="Arial"/>
          <w:i/>
          <w:iCs/>
        </w:rPr>
        <w:t>Reviews on Environmental Health</w:t>
      </w:r>
      <w:r w:rsidRPr="002A0BDB">
        <w:rPr>
          <w:rFonts w:ascii="Arial" w:hAnsi="Arial" w:cs="Arial"/>
        </w:rPr>
        <w:t>, 39(2), pp.313-329.</w:t>
      </w:r>
    </w:p>
    <w:p w14:paraId="3F4D7B13"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Shafii</w:t>
      </w:r>
      <w:proofErr w:type="spellEnd"/>
      <w:r w:rsidRPr="002A0BDB">
        <w:rPr>
          <w:rFonts w:ascii="Arial" w:eastAsia="Times New Roman" w:hAnsi="Arial" w:cs="Arial"/>
        </w:rPr>
        <w:t xml:space="preserve">, N.Z., Saudi, A.S.M., Pang, J.C., Abu, I.F., </w:t>
      </w:r>
      <w:proofErr w:type="spellStart"/>
      <w:r w:rsidRPr="002A0BDB">
        <w:rPr>
          <w:rFonts w:ascii="Arial" w:eastAsia="Times New Roman" w:hAnsi="Arial" w:cs="Arial"/>
        </w:rPr>
        <w:t>Sapawe</w:t>
      </w:r>
      <w:proofErr w:type="spellEnd"/>
      <w:r w:rsidRPr="002A0BDB">
        <w:rPr>
          <w:rFonts w:ascii="Arial" w:eastAsia="Times New Roman" w:hAnsi="Arial" w:cs="Arial"/>
        </w:rPr>
        <w:t xml:space="preserve">, N., </w:t>
      </w:r>
      <w:proofErr w:type="spellStart"/>
      <w:r w:rsidRPr="002A0BDB">
        <w:rPr>
          <w:rFonts w:ascii="Arial" w:eastAsia="Times New Roman" w:hAnsi="Arial" w:cs="Arial"/>
        </w:rPr>
        <w:t>Kamarudin</w:t>
      </w:r>
      <w:proofErr w:type="spellEnd"/>
      <w:r w:rsidRPr="002A0BDB">
        <w:rPr>
          <w:rFonts w:ascii="Arial" w:eastAsia="Times New Roman" w:hAnsi="Arial" w:cs="Arial"/>
        </w:rPr>
        <w:t xml:space="preserve">, M.K.A. and Mohamad, M.H.N. (2023). Association of Flood Risk Patterns with Waterborne Bacterial Diseases in Malaysia. </w:t>
      </w:r>
      <w:r w:rsidRPr="002A0BDB">
        <w:rPr>
          <w:rFonts w:ascii="Arial" w:eastAsia="Times New Roman" w:hAnsi="Arial" w:cs="Arial"/>
          <w:i/>
          <w:iCs/>
        </w:rPr>
        <w:t>Water</w:t>
      </w:r>
      <w:r w:rsidRPr="002A0BDB">
        <w:rPr>
          <w:rFonts w:ascii="Arial" w:eastAsia="Times New Roman" w:hAnsi="Arial" w:cs="Arial"/>
        </w:rPr>
        <w:t>, 15(11), p.2121. </w:t>
      </w:r>
    </w:p>
    <w:p w14:paraId="1A774DD0"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UK Health and Security Agency (2023).</w:t>
      </w:r>
      <w:r w:rsidRPr="002A0BDB">
        <w:rPr>
          <w:rFonts w:ascii="Arial" w:hAnsi="Arial" w:cs="Arial"/>
          <w:i/>
          <w:iCs/>
        </w:rPr>
        <w:t>UKHSA Advisory Board: preparedness for infectious disease threats</w:t>
      </w:r>
      <w:r w:rsidRPr="002A0BDB">
        <w:rPr>
          <w:rFonts w:ascii="Arial" w:hAnsi="Arial" w:cs="Arial"/>
        </w:rPr>
        <w:t>. Available at:</w:t>
      </w:r>
      <w:hyperlink r:id="rId28">
        <w:r w:rsidRPr="002A0BDB">
          <w:rPr>
            <w:rFonts w:ascii="Arial" w:hAnsi="Arial" w:cs="Arial"/>
            <w:u w:val="single"/>
          </w:rPr>
          <w:t>https://www.gov.uk/government/publications/ukhsa-board-meeting-papers-january-2023/ukhsa-advisory-board-preparedness-for-infectious-disease-threats</w:t>
        </w:r>
      </w:hyperlink>
      <w:r w:rsidRPr="002A0BDB">
        <w:rPr>
          <w:rFonts w:ascii="Arial" w:hAnsi="Arial" w:cs="Arial"/>
        </w:rPr>
        <w:t xml:space="preserve"> (Accessed: 2 December 2025)</w:t>
      </w:r>
    </w:p>
    <w:p w14:paraId="6DF0EA18"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UK Health Security Agency (2024).</w:t>
      </w:r>
      <w:r w:rsidRPr="002A0BDB">
        <w:rPr>
          <w:rFonts w:ascii="Arial" w:hAnsi="Arial" w:cs="Arial"/>
          <w:i/>
          <w:iCs/>
        </w:rPr>
        <w:t>UKHSA Pathogen Genomics Strategy</w:t>
      </w:r>
      <w:r w:rsidRPr="002A0BDB">
        <w:rPr>
          <w:rFonts w:ascii="Arial" w:hAnsi="Arial" w:cs="Arial"/>
        </w:rPr>
        <w:t>. Available at:</w:t>
      </w:r>
      <w:hyperlink r:id="rId29">
        <w:r w:rsidRPr="002A0BDB">
          <w:rPr>
            <w:rFonts w:ascii="Arial" w:hAnsi="Arial" w:cs="Arial"/>
            <w:u w:val="single"/>
          </w:rPr>
          <w:t>https://assets.publishing.service.gov.uk/media/65aff68ef2718c000dfb1bd8/Pathogen_Genomics_Strategy_2024.pdf</w:t>
        </w:r>
      </w:hyperlink>
      <w:r w:rsidRPr="002A0BDB">
        <w:rPr>
          <w:rFonts w:ascii="Arial" w:hAnsi="Arial" w:cs="Arial"/>
        </w:rPr>
        <w:t xml:space="preserve"> (Accessed: 2 December 2025)</w:t>
      </w:r>
    </w:p>
    <w:p w14:paraId="4E518A23"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Usmani</w:t>
      </w:r>
      <w:proofErr w:type="spellEnd"/>
      <w:r w:rsidRPr="002A0BDB">
        <w:rPr>
          <w:rFonts w:ascii="Arial" w:hAnsi="Arial" w:cs="Arial"/>
        </w:rPr>
        <w:t xml:space="preserve">, M., Brumfield, K.D., Jamal, Y., </w:t>
      </w:r>
      <w:proofErr w:type="spellStart"/>
      <w:r w:rsidRPr="002A0BDB">
        <w:rPr>
          <w:rFonts w:ascii="Arial" w:hAnsi="Arial" w:cs="Arial"/>
        </w:rPr>
        <w:t>Huq</w:t>
      </w:r>
      <w:proofErr w:type="spellEnd"/>
      <w:r w:rsidRPr="002A0BDB">
        <w:rPr>
          <w:rFonts w:ascii="Arial" w:hAnsi="Arial" w:cs="Arial"/>
        </w:rPr>
        <w:t xml:space="preserve">, A., Colwell, R.R. and </w:t>
      </w:r>
      <w:proofErr w:type="spellStart"/>
      <w:r w:rsidRPr="002A0BDB">
        <w:rPr>
          <w:rFonts w:ascii="Arial" w:hAnsi="Arial" w:cs="Arial"/>
        </w:rPr>
        <w:t>Jutla</w:t>
      </w:r>
      <w:proofErr w:type="spellEnd"/>
      <w:r w:rsidRPr="002A0BDB">
        <w:rPr>
          <w:rFonts w:ascii="Arial" w:hAnsi="Arial" w:cs="Arial"/>
        </w:rPr>
        <w:t xml:space="preserve">, A. (2021).A Review of the Environmental Trigger and Transmission Components for Prediction of </w:t>
      </w:r>
      <w:proofErr w:type="spellStart"/>
      <w:r w:rsidRPr="002A0BDB">
        <w:rPr>
          <w:rFonts w:ascii="Arial" w:hAnsi="Arial" w:cs="Arial"/>
        </w:rPr>
        <w:t>Cholera.</w:t>
      </w:r>
      <w:r w:rsidRPr="002A0BDB">
        <w:rPr>
          <w:rFonts w:ascii="Arial" w:hAnsi="Arial" w:cs="Arial"/>
          <w:i/>
          <w:iCs/>
        </w:rPr>
        <w:t>Tropical</w:t>
      </w:r>
      <w:proofErr w:type="spellEnd"/>
      <w:r w:rsidRPr="002A0BDB">
        <w:rPr>
          <w:rFonts w:ascii="Arial" w:hAnsi="Arial" w:cs="Arial"/>
          <w:i/>
          <w:iCs/>
        </w:rPr>
        <w:t xml:space="preserve"> Medicine and Infectious Disease</w:t>
      </w:r>
      <w:r w:rsidRPr="002A0BDB">
        <w:rPr>
          <w:rFonts w:ascii="Arial" w:hAnsi="Arial" w:cs="Arial"/>
        </w:rPr>
        <w:t>, 6(3), p.147.</w:t>
      </w:r>
    </w:p>
    <w:p w14:paraId="292D3E74"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Vezzulli</w:t>
      </w:r>
      <w:proofErr w:type="spellEnd"/>
      <w:r w:rsidRPr="002A0BDB">
        <w:rPr>
          <w:rFonts w:ascii="Arial" w:hAnsi="Arial" w:cs="Arial"/>
        </w:rPr>
        <w:t xml:space="preserve">, L., </w:t>
      </w:r>
      <w:proofErr w:type="spellStart"/>
      <w:r w:rsidRPr="002A0BDB">
        <w:rPr>
          <w:rFonts w:ascii="Arial" w:hAnsi="Arial" w:cs="Arial"/>
        </w:rPr>
        <w:t>Oliveri</w:t>
      </w:r>
      <w:proofErr w:type="spellEnd"/>
      <w:r w:rsidRPr="002A0BDB">
        <w:rPr>
          <w:rFonts w:ascii="Arial" w:hAnsi="Arial" w:cs="Arial"/>
        </w:rPr>
        <w:t xml:space="preserve">, C., </w:t>
      </w:r>
      <w:proofErr w:type="spellStart"/>
      <w:r w:rsidRPr="002A0BDB">
        <w:rPr>
          <w:rFonts w:ascii="Arial" w:hAnsi="Arial" w:cs="Arial"/>
        </w:rPr>
        <w:t>Borello</w:t>
      </w:r>
      <w:proofErr w:type="spellEnd"/>
      <w:r w:rsidRPr="002A0BDB">
        <w:rPr>
          <w:rFonts w:ascii="Arial" w:hAnsi="Arial" w:cs="Arial"/>
        </w:rPr>
        <w:t xml:space="preserve">, A., Gregory, L., </w:t>
      </w:r>
      <w:proofErr w:type="spellStart"/>
      <w:r w:rsidRPr="002A0BDB">
        <w:rPr>
          <w:rFonts w:ascii="Arial" w:hAnsi="Arial" w:cs="Arial"/>
        </w:rPr>
        <w:t>Kimirei</w:t>
      </w:r>
      <w:proofErr w:type="spellEnd"/>
      <w:r w:rsidRPr="002A0BDB">
        <w:rPr>
          <w:rFonts w:ascii="Arial" w:hAnsi="Arial" w:cs="Arial"/>
        </w:rPr>
        <w:t xml:space="preserve">, I., </w:t>
      </w:r>
      <w:proofErr w:type="spellStart"/>
      <w:r w:rsidRPr="002A0BDB">
        <w:rPr>
          <w:rFonts w:ascii="Arial" w:hAnsi="Arial" w:cs="Arial"/>
        </w:rPr>
        <w:t>Brunetta</w:t>
      </w:r>
      <w:proofErr w:type="spellEnd"/>
      <w:r w:rsidRPr="002A0BDB">
        <w:rPr>
          <w:rFonts w:ascii="Arial" w:hAnsi="Arial" w:cs="Arial"/>
        </w:rPr>
        <w:t xml:space="preserve">, M., Stern, R., Coco, S., Longo, L., </w:t>
      </w:r>
      <w:proofErr w:type="spellStart"/>
      <w:r w:rsidRPr="002A0BDB">
        <w:rPr>
          <w:rFonts w:ascii="Arial" w:hAnsi="Arial" w:cs="Arial"/>
        </w:rPr>
        <w:t>Taviani</w:t>
      </w:r>
      <w:proofErr w:type="spellEnd"/>
      <w:r w:rsidRPr="002A0BDB">
        <w:rPr>
          <w:rFonts w:ascii="Arial" w:hAnsi="Arial" w:cs="Arial"/>
        </w:rPr>
        <w:t>, E., Santos, A., Martinez-</w:t>
      </w:r>
      <w:proofErr w:type="spellStart"/>
      <w:r w:rsidRPr="002A0BDB">
        <w:rPr>
          <w:rFonts w:ascii="Arial" w:hAnsi="Arial" w:cs="Arial"/>
        </w:rPr>
        <w:t>Urtaza</w:t>
      </w:r>
      <w:proofErr w:type="spellEnd"/>
      <w:r w:rsidRPr="002A0BDB">
        <w:rPr>
          <w:rFonts w:ascii="Arial" w:hAnsi="Arial" w:cs="Arial"/>
        </w:rPr>
        <w:t xml:space="preserve">, J., Wilson, W.H., Colwell, R.R., </w:t>
      </w:r>
      <w:proofErr w:type="spellStart"/>
      <w:r w:rsidRPr="002A0BDB">
        <w:rPr>
          <w:rFonts w:ascii="Arial" w:hAnsi="Arial" w:cs="Arial"/>
        </w:rPr>
        <w:t>Pruzzo</w:t>
      </w:r>
      <w:proofErr w:type="spellEnd"/>
      <w:r w:rsidRPr="002A0BDB">
        <w:rPr>
          <w:rFonts w:ascii="Arial" w:hAnsi="Arial" w:cs="Arial"/>
        </w:rPr>
        <w:t xml:space="preserve">, C. and </w:t>
      </w:r>
      <w:proofErr w:type="spellStart"/>
      <w:r w:rsidRPr="002A0BDB">
        <w:rPr>
          <w:rFonts w:ascii="Arial" w:hAnsi="Arial" w:cs="Arial"/>
        </w:rPr>
        <w:t>Plisnier</w:t>
      </w:r>
      <w:proofErr w:type="spellEnd"/>
      <w:r w:rsidRPr="002A0BDB">
        <w:rPr>
          <w:rFonts w:ascii="Arial" w:hAnsi="Arial" w:cs="Arial"/>
        </w:rPr>
        <w:t xml:space="preserve">, P.-D. (2021). Aquatic reservoir of Vibrio </w:t>
      </w:r>
      <w:proofErr w:type="spellStart"/>
      <w:r w:rsidRPr="002A0BDB">
        <w:rPr>
          <w:rFonts w:ascii="Arial" w:hAnsi="Arial" w:cs="Arial"/>
        </w:rPr>
        <w:t>cholerae</w:t>
      </w:r>
      <w:proofErr w:type="spellEnd"/>
      <w:r w:rsidRPr="002A0BDB">
        <w:rPr>
          <w:rFonts w:ascii="Arial" w:hAnsi="Arial" w:cs="Arial"/>
        </w:rPr>
        <w:t xml:space="preserve"> in an African Great Lake assessed by large scale plankton sampling and ultrasensitive molecular methods. </w:t>
      </w:r>
      <w:r w:rsidRPr="002A0BDB">
        <w:rPr>
          <w:rFonts w:ascii="Arial" w:hAnsi="Arial" w:cs="Arial"/>
          <w:i/>
          <w:iCs/>
        </w:rPr>
        <w:t>ISME Communications</w:t>
      </w:r>
      <w:r w:rsidRPr="002A0BDB">
        <w:rPr>
          <w:rFonts w:ascii="Arial" w:hAnsi="Arial" w:cs="Arial"/>
        </w:rPr>
        <w:t>, 1(1), pp.1–4.</w:t>
      </w:r>
    </w:p>
    <w:p w14:paraId="47C1A488"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lastRenderedPageBreak/>
        <w:t xml:space="preserve">Vishal </w:t>
      </w:r>
      <w:proofErr w:type="spellStart"/>
      <w:r w:rsidRPr="002A0BDB">
        <w:rPr>
          <w:rFonts w:ascii="Arial" w:hAnsi="Arial" w:cs="Arial"/>
        </w:rPr>
        <w:t>Mevada</w:t>
      </w:r>
      <w:proofErr w:type="spellEnd"/>
      <w:r w:rsidRPr="002A0BDB">
        <w:rPr>
          <w:rFonts w:ascii="Arial" w:hAnsi="Arial" w:cs="Arial"/>
        </w:rPr>
        <w:t xml:space="preserve">, Patel, R., </w:t>
      </w:r>
      <w:proofErr w:type="spellStart"/>
      <w:r w:rsidRPr="002A0BDB">
        <w:rPr>
          <w:rFonts w:ascii="Arial" w:hAnsi="Arial" w:cs="Arial"/>
        </w:rPr>
        <w:t>PravinDudhagara</w:t>
      </w:r>
      <w:proofErr w:type="spellEnd"/>
      <w:r w:rsidRPr="002A0BDB">
        <w:rPr>
          <w:rFonts w:ascii="Arial" w:hAnsi="Arial" w:cs="Arial"/>
        </w:rPr>
        <w:t xml:space="preserve">, </w:t>
      </w:r>
      <w:proofErr w:type="spellStart"/>
      <w:r w:rsidRPr="002A0BDB">
        <w:rPr>
          <w:rFonts w:ascii="Arial" w:hAnsi="Arial" w:cs="Arial"/>
        </w:rPr>
        <w:t>Chaudhari</w:t>
      </w:r>
      <w:proofErr w:type="spellEnd"/>
      <w:r w:rsidRPr="002A0BDB">
        <w:rPr>
          <w:rFonts w:ascii="Arial" w:hAnsi="Arial" w:cs="Arial"/>
        </w:rPr>
        <w:t>, R., Vohra, M., Khan, V., Douglas, Chen, Y.-</w:t>
      </w:r>
      <w:proofErr w:type="spellStart"/>
      <w:r w:rsidRPr="002A0BDB">
        <w:rPr>
          <w:rFonts w:ascii="Arial" w:hAnsi="Arial" w:cs="Arial"/>
        </w:rPr>
        <w:t>Y.andZala</w:t>
      </w:r>
      <w:proofErr w:type="spellEnd"/>
      <w:r w:rsidRPr="002A0BDB">
        <w:rPr>
          <w:rFonts w:ascii="Arial" w:hAnsi="Arial" w:cs="Arial"/>
        </w:rPr>
        <w:t xml:space="preserve">, D. (2023). Whole Genome Sequencing and Pan-Genomic Analysis of Multidrug-Resistant Vibrio </w:t>
      </w:r>
      <w:proofErr w:type="spellStart"/>
      <w:r w:rsidRPr="002A0BDB">
        <w:rPr>
          <w:rFonts w:ascii="Arial" w:hAnsi="Arial" w:cs="Arial"/>
        </w:rPr>
        <w:t>cholerae</w:t>
      </w:r>
      <w:proofErr w:type="spellEnd"/>
      <w:r w:rsidRPr="002A0BDB">
        <w:rPr>
          <w:rFonts w:ascii="Arial" w:hAnsi="Arial" w:cs="Arial"/>
        </w:rPr>
        <w:t xml:space="preserve"> VC01 Isolated from a Clinical Sample. </w:t>
      </w:r>
      <w:r w:rsidRPr="002A0BDB">
        <w:rPr>
          <w:rFonts w:ascii="Arial" w:hAnsi="Arial" w:cs="Arial"/>
          <w:i/>
          <w:iCs/>
        </w:rPr>
        <w:t>Microorganisms</w:t>
      </w:r>
      <w:r w:rsidRPr="002A0BDB">
        <w:rPr>
          <w:rFonts w:ascii="Arial" w:hAnsi="Arial" w:cs="Arial"/>
        </w:rPr>
        <w:t>, 11(8), pp.2030–2030.</w:t>
      </w:r>
    </w:p>
    <w:p w14:paraId="6AD1DEAE"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 xml:space="preserve">Walton, M.G., </w:t>
      </w:r>
      <w:proofErr w:type="spellStart"/>
      <w:r w:rsidRPr="002A0BDB">
        <w:rPr>
          <w:rFonts w:ascii="Arial" w:hAnsi="Arial" w:cs="Arial"/>
        </w:rPr>
        <w:t>Cubillejo</w:t>
      </w:r>
      <w:proofErr w:type="spellEnd"/>
      <w:r w:rsidRPr="002A0BDB">
        <w:rPr>
          <w:rFonts w:ascii="Arial" w:hAnsi="Arial" w:cs="Arial"/>
        </w:rPr>
        <w:t xml:space="preserve">, I., Nag, D. and </w:t>
      </w:r>
      <w:proofErr w:type="spellStart"/>
      <w:r w:rsidRPr="002A0BDB">
        <w:rPr>
          <w:rFonts w:ascii="Arial" w:hAnsi="Arial" w:cs="Arial"/>
        </w:rPr>
        <w:t>Withey</w:t>
      </w:r>
      <w:proofErr w:type="spellEnd"/>
      <w:r w:rsidRPr="002A0BDB">
        <w:rPr>
          <w:rFonts w:ascii="Arial" w:hAnsi="Arial" w:cs="Arial"/>
        </w:rPr>
        <w:t xml:space="preserve">, J.H., (2023). Advances in cholera research: from molecular biology to public health initiatives. </w:t>
      </w:r>
      <w:r w:rsidRPr="002A0BDB">
        <w:rPr>
          <w:rFonts w:ascii="Arial" w:hAnsi="Arial" w:cs="Arial"/>
          <w:i/>
          <w:iCs/>
        </w:rPr>
        <w:t>Frontiers in Microbiology</w:t>
      </w:r>
      <w:r w:rsidRPr="002A0BDB">
        <w:rPr>
          <w:rFonts w:ascii="Arial" w:hAnsi="Arial" w:cs="Arial"/>
        </w:rPr>
        <w:t xml:space="preserve">, </w:t>
      </w:r>
      <w:r w:rsidRPr="002A0BDB">
        <w:rPr>
          <w:rFonts w:ascii="Arial" w:hAnsi="Arial" w:cs="Arial"/>
          <w:i/>
          <w:iCs/>
        </w:rPr>
        <w:t>14</w:t>
      </w:r>
      <w:r w:rsidRPr="002A0BDB">
        <w:rPr>
          <w:rFonts w:ascii="Arial" w:hAnsi="Arial" w:cs="Arial"/>
        </w:rPr>
        <w:t>, p.1178538.</w:t>
      </w:r>
    </w:p>
    <w:p w14:paraId="10589AEC" w14:textId="77777777" w:rsidR="00D6053C" w:rsidRPr="002A0BDB" w:rsidRDefault="00D6053C" w:rsidP="00D6053C">
      <w:pPr>
        <w:spacing w:line="360" w:lineRule="auto"/>
        <w:jc w:val="both"/>
        <w:rPr>
          <w:rFonts w:ascii="Arial" w:eastAsia="Times New Roman" w:hAnsi="Arial" w:cs="Arial"/>
        </w:rPr>
      </w:pPr>
      <w:r w:rsidRPr="002A0BDB">
        <w:rPr>
          <w:rFonts w:ascii="Arial" w:eastAsia="Times New Roman" w:hAnsi="Arial" w:cs="Arial"/>
        </w:rPr>
        <w:t xml:space="preserve">Watanabe, Y., </w:t>
      </w:r>
      <w:proofErr w:type="spellStart"/>
      <w:r w:rsidRPr="002A0BDB">
        <w:rPr>
          <w:rFonts w:ascii="Arial" w:eastAsia="Times New Roman" w:hAnsi="Arial" w:cs="Arial"/>
        </w:rPr>
        <w:t>Ishiga</w:t>
      </w:r>
      <w:proofErr w:type="spellEnd"/>
      <w:r w:rsidRPr="002A0BDB">
        <w:rPr>
          <w:rFonts w:ascii="Arial" w:eastAsia="Times New Roman" w:hAnsi="Arial" w:cs="Arial"/>
        </w:rPr>
        <w:t xml:space="preserve">, Y., and Sakata, N. (2025). The Role of Genomic Islands in the Pathogenicity and Evolution of Plant-Pathogenic </w:t>
      </w:r>
      <w:proofErr w:type="spellStart"/>
      <w:r w:rsidRPr="002A0BDB">
        <w:rPr>
          <w:rFonts w:ascii="Arial" w:eastAsia="Times New Roman" w:hAnsi="Arial" w:cs="Arial"/>
        </w:rPr>
        <w:t>Gammaproteobacteria</w:t>
      </w:r>
      <w:proofErr w:type="spellEnd"/>
      <w:r w:rsidRPr="002A0BDB">
        <w:rPr>
          <w:rFonts w:ascii="Arial" w:eastAsia="Times New Roman" w:hAnsi="Arial" w:cs="Arial"/>
        </w:rPr>
        <w:t xml:space="preserve">. </w:t>
      </w:r>
      <w:r w:rsidRPr="002A0BDB">
        <w:rPr>
          <w:rFonts w:ascii="Arial" w:eastAsia="Times New Roman" w:hAnsi="Arial" w:cs="Arial"/>
          <w:i/>
          <w:iCs/>
        </w:rPr>
        <w:t>Microorganisms</w:t>
      </w:r>
      <w:r w:rsidRPr="002A0BDB">
        <w:rPr>
          <w:rFonts w:ascii="Arial" w:eastAsia="Times New Roman" w:hAnsi="Arial" w:cs="Arial"/>
        </w:rPr>
        <w:t>, 13(8), p.1803. </w:t>
      </w:r>
    </w:p>
    <w:p w14:paraId="323BFDD1"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WHO (2024) .</w:t>
      </w:r>
      <w:r w:rsidRPr="002A0BDB">
        <w:rPr>
          <w:rFonts w:ascii="Arial" w:hAnsi="Arial" w:cs="Arial"/>
          <w:i/>
          <w:iCs/>
        </w:rPr>
        <w:t>Data show marked increase in annual cholera deaths</w:t>
      </w:r>
      <w:r w:rsidRPr="002A0BDB">
        <w:rPr>
          <w:rFonts w:ascii="Arial" w:hAnsi="Arial" w:cs="Arial"/>
        </w:rPr>
        <w:t>. Available at:</w:t>
      </w:r>
      <w:hyperlink r:id="rId30">
        <w:r w:rsidRPr="002A0BDB">
          <w:rPr>
            <w:rFonts w:ascii="Arial" w:hAnsi="Arial" w:cs="Arial"/>
            <w:u w:val="single"/>
          </w:rPr>
          <w:t>https://www.who.int/news/item/04-09-2024-data-show-marked-increase-in-annual-cholera-deaths</w:t>
        </w:r>
      </w:hyperlink>
      <w:r w:rsidRPr="002A0BDB">
        <w:rPr>
          <w:rFonts w:ascii="Arial" w:hAnsi="Arial" w:cs="Arial"/>
        </w:rPr>
        <w:t xml:space="preserve"> (Accessed: 2 December 2025)</w:t>
      </w:r>
    </w:p>
    <w:p w14:paraId="4285099A" w14:textId="77777777" w:rsidR="00D6053C" w:rsidRPr="002A0BDB" w:rsidRDefault="00D6053C" w:rsidP="00D6053C">
      <w:pPr>
        <w:spacing w:line="360" w:lineRule="auto"/>
        <w:jc w:val="both"/>
        <w:rPr>
          <w:rFonts w:ascii="Arial" w:eastAsia="Times New Roman" w:hAnsi="Arial" w:cs="Arial"/>
        </w:rPr>
      </w:pPr>
      <w:r w:rsidRPr="002A0BDB">
        <w:rPr>
          <w:rFonts w:ascii="Arial" w:eastAsia="Times New Roman" w:hAnsi="Arial" w:cs="Arial"/>
        </w:rPr>
        <w:t xml:space="preserve">World Health Organisation (2022). </w:t>
      </w:r>
      <w:r w:rsidRPr="002A0BDB">
        <w:rPr>
          <w:rFonts w:ascii="Arial" w:eastAsia="Times New Roman" w:hAnsi="Arial" w:cs="Arial"/>
          <w:i/>
          <w:iCs/>
        </w:rPr>
        <w:t xml:space="preserve">Microbial fact sheets. </w:t>
      </w:r>
      <w:r w:rsidRPr="002A0BDB">
        <w:rPr>
          <w:rFonts w:ascii="Arial" w:eastAsia="Times New Roman" w:hAnsi="Arial" w:cs="Arial"/>
        </w:rPr>
        <w:t xml:space="preserve">Available at: </w:t>
      </w:r>
      <w:hyperlink r:id="rId31" w:history="1">
        <w:r w:rsidRPr="002A0BDB">
          <w:rPr>
            <w:rFonts w:ascii="Arial" w:eastAsia="Times New Roman" w:hAnsi="Arial" w:cs="Arial"/>
            <w:u w:val="single"/>
          </w:rPr>
          <w:t>https://www.ncbi.nlm.nih.gov/books/NBK579445/</w:t>
        </w:r>
      </w:hyperlink>
      <w:r w:rsidRPr="002A0BDB">
        <w:rPr>
          <w:rFonts w:ascii="Arial" w:eastAsia="Times New Roman" w:hAnsi="Arial" w:cs="Arial"/>
        </w:rPr>
        <w:t>. (Accessed on: 17.01.2026)</w:t>
      </w:r>
    </w:p>
    <w:p w14:paraId="04CE2826" w14:textId="77777777" w:rsidR="00D6053C" w:rsidRPr="002A0BDB" w:rsidRDefault="00D6053C" w:rsidP="00D6053C">
      <w:pPr>
        <w:pBdr>
          <w:top w:val="nil"/>
          <w:left w:val="nil"/>
          <w:bottom w:val="nil"/>
          <w:right w:val="nil"/>
          <w:between w:val="nil"/>
        </w:pBdr>
        <w:spacing w:before="240" w:line="360" w:lineRule="auto"/>
        <w:jc w:val="both"/>
        <w:rPr>
          <w:rFonts w:ascii="Arial" w:hAnsi="Arial" w:cs="Arial"/>
        </w:rPr>
      </w:pPr>
      <w:r w:rsidRPr="002A0BDB">
        <w:rPr>
          <w:rFonts w:ascii="Arial" w:eastAsia="Times New Roman" w:hAnsi="Arial" w:cs="Arial"/>
        </w:rPr>
        <w:t xml:space="preserve">World Health Organization. (2023). </w:t>
      </w:r>
      <w:r w:rsidRPr="002A0BDB">
        <w:rPr>
          <w:rFonts w:ascii="Arial" w:eastAsia="Times New Roman" w:hAnsi="Arial" w:cs="Arial"/>
          <w:i/>
          <w:iCs/>
        </w:rPr>
        <w:t>Water, sanitation and hygiene (WASH)</w:t>
      </w:r>
      <w:r w:rsidRPr="002A0BDB">
        <w:rPr>
          <w:rFonts w:ascii="Arial" w:eastAsia="Times New Roman" w:hAnsi="Arial" w:cs="Arial"/>
        </w:rPr>
        <w:t xml:space="preserve">. Available at:  </w:t>
      </w:r>
      <w:hyperlink r:id="rId32" w:history="1">
        <w:r w:rsidRPr="002A0BDB">
          <w:rPr>
            <w:rFonts w:ascii="Arial" w:eastAsia="Times New Roman" w:hAnsi="Arial" w:cs="Arial"/>
            <w:u w:val="single"/>
          </w:rPr>
          <w:t>https://www.who.int/health-topics/water-sanitation-and-hygiene-wash</w:t>
        </w:r>
      </w:hyperlink>
      <w:r w:rsidRPr="002A0BDB">
        <w:rPr>
          <w:rFonts w:ascii="Arial" w:eastAsia="Times New Roman" w:hAnsi="Arial" w:cs="Arial"/>
        </w:rPr>
        <w:t xml:space="preserve"> (Accessed on: 17.01.2026)</w:t>
      </w:r>
    </w:p>
    <w:p w14:paraId="73E6ED0E" w14:textId="77777777" w:rsidR="00D6053C" w:rsidRPr="002A0BDB" w:rsidRDefault="00D6053C" w:rsidP="00D6053C">
      <w:pPr>
        <w:spacing w:before="240" w:after="240" w:line="360" w:lineRule="auto"/>
        <w:jc w:val="both"/>
        <w:rPr>
          <w:rFonts w:ascii="Arial" w:hAnsi="Arial" w:cs="Arial"/>
        </w:rPr>
      </w:pPr>
      <w:r w:rsidRPr="002A0BDB">
        <w:rPr>
          <w:rFonts w:ascii="Arial" w:hAnsi="Arial" w:cs="Arial"/>
        </w:rPr>
        <w:t xml:space="preserve">Wu, Y., Pei, S., Wu, J., </w:t>
      </w:r>
      <w:proofErr w:type="spellStart"/>
      <w:r w:rsidRPr="002A0BDB">
        <w:rPr>
          <w:rFonts w:ascii="Arial" w:hAnsi="Arial" w:cs="Arial"/>
        </w:rPr>
        <w:t>Tu</w:t>
      </w:r>
      <w:proofErr w:type="spellEnd"/>
      <w:r w:rsidRPr="002A0BDB">
        <w:rPr>
          <w:rFonts w:ascii="Arial" w:hAnsi="Arial" w:cs="Arial"/>
        </w:rPr>
        <w:t xml:space="preserve">, X., Ren, L., Ji, Y., Yao, Y. and Liu, Y. (2023). The Abnormal Accumulation of Lipopolysaccharide Secreted by Enriched Gram-Negative Bacteria Increases the Risk of Rotavirus Colonization in Young Adults. </w:t>
      </w:r>
      <w:r w:rsidRPr="002A0BDB">
        <w:rPr>
          <w:rFonts w:ascii="Arial" w:hAnsi="Arial" w:cs="Arial"/>
          <w:i/>
          <w:iCs/>
        </w:rPr>
        <w:t>Microorganisms</w:t>
      </w:r>
      <w:r w:rsidRPr="002A0BDB">
        <w:rPr>
          <w:rFonts w:ascii="Arial" w:hAnsi="Arial" w:cs="Arial"/>
        </w:rPr>
        <w:t>, 11(9), pp.2280–2280.</w:t>
      </w:r>
    </w:p>
    <w:p w14:paraId="7D211536"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proofErr w:type="spellStart"/>
      <w:r w:rsidRPr="002A0BDB">
        <w:rPr>
          <w:rFonts w:ascii="Arial" w:hAnsi="Arial" w:cs="Arial"/>
        </w:rPr>
        <w:t>Yaqub</w:t>
      </w:r>
      <w:proofErr w:type="spellEnd"/>
      <w:r w:rsidRPr="002A0BDB">
        <w:rPr>
          <w:rFonts w:ascii="Arial" w:hAnsi="Arial" w:cs="Arial"/>
        </w:rPr>
        <w:t>, M.O., Joseph, C.E., Jain, A. and Edison, L.K. (2024).</w:t>
      </w:r>
      <w:proofErr w:type="spellStart"/>
      <w:r w:rsidRPr="002A0BDB">
        <w:rPr>
          <w:rFonts w:ascii="Arial" w:hAnsi="Arial" w:cs="Arial"/>
        </w:rPr>
        <w:t>ResistomeMapping</w:t>
      </w:r>
      <w:proofErr w:type="spellEnd"/>
      <w:r w:rsidRPr="002A0BDB">
        <w:rPr>
          <w:rFonts w:ascii="Arial" w:hAnsi="Arial" w:cs="Arial"/>
        </w:rPr>
        <w:t xml:space="preserve"> in Foodborne Pathogens: Understanding Role in the Transmission Dynamics of Resistance Genes. </w:t>
      </w:r>
      <w:r w:rsidRPr="002A0BDB">
        <w:rPr>
          <w:rFonts w:ascii="Arial" w:hAnsi="Arial" w:cs="Arial"/>
          <w:i/>
          <w:iCs/>
        </w:rPr>
        <w:t>Applied Microbiology</w:t>
      </w:r>
      <w:r w:rsidRPr="002A0BDB">
        <w:rPr>
          <w:rFonts w:ascii="Arial" w:hAnsi="Arial" w:cs="Arial"/>
        </w:rPr>
        <w:t>, 4(4), pp.1476–1492.</w:t>
      </w:r>
    </w:p>
    <w:p w14:paraId="7937C4CE" w14:textId="77777777" w:rsidR="00D6053C" w:rsidRPr="002A0BDB" w:rsidRDefault="00D6053C" w:rsidP="00D6053C">
      <w:pPr>
        <w:pBdr>
          <w:top w:val="nil"/>
          <w:left w:val="nil"/>
          <w:bottom w:val="nil"/>
          <w:right w:val="nil"/>
          <w:between w:val="nil"/>
        </w:pBdr>
        <w:spacing w:before="240" w:after="240" w:line="360" w:lineRule="auto"/>
        <w:jc w:val="both"/>
        <w:rPr>
          <w:rFonts w:ascii="Arial" w:hAnsi="Arial" w:cs="Arial"/>
        </w:rPr>
      </w:pPr>
      <w:r w:rsidRPr="002A0BDB">
        <w:rPr>
          <w:rFonts w:ascii="Arial" w:hAnsi="Arial" w:cs="Arial"/>
        </w:rPr>
        <w:t>Zhang, J., Yang, H., Li, J., Hu, J., Lin, G., Tan, B.K. and Lin, S., (2023). Current perspectives on viable but non-</w:t>
      </w:r>
      <w:proofErr w:type="spellStart"/>
      <w:r w:rsidRPr="002A0BDB">
        <w:rPr>
          <w:rFonts w:ascii="Arial" w:hAnsi="Arial" w:cs="Arial"/>
        </w:rPr>
        <w:t>culturable</w:t>
      </w:r>
      <w:proofErr w:type="spellEnd"/>
      <w:r w:rsidRPr="002A0BDB">
        <w:rPr>
          <w:rFonts w:ascii="Arial" w:hAnsi="Arial" w:cs="Arial"/>
        </w:rPr>
        <w:t xml:space="preserve"> foodborne pathogenic bacteria: a review. </w:t>
      </w:r>
      <w:r w:rsidRPr="002A0BDB">
        <w:rPr>
          <w:rFonts w:ascii="Arial" w:hAnsi="Arial" w:cs="Arial"/>
          <w:i/>
          <w:iCs/>
        </w:rPr>
        <w:t>Foods</w:t>
      </w:r>
      <w:r w:rsidRPr="002A0BDB">
        <w:rPr>
          <w:rFonts w:ascii="Arial" w:hAnsi="Arial" w:cs="Arial"/>
        </w:rPr>
        <w:t xml:space="preserve">, </w:t>
      </w:r>
      <w:r w:rsidRPr="002A0BDB">
        <w:rPr>
          <w:rFonts w:ascii="Arial" w:hAnsi="Arial" w:cs="Arial"/>
          <w:i/>
          <w:iCs/>
        </w:rPr>
        <w:t>12</w:t>
      </w:r>
      <w:r w:rsidRPr="002A0BDB">
        <w:rPr>
          <w:rFonts w:ascii="Arial" w:hAnsi="Arial" w:cs="Arial"/>
        </w:rPr>
        <w:t>(6), p.1179.</w:t>
      </w:r>
    </w:p>
    <w:p w14:paraId="6B860D57" w14:textId="77777777" w:rsidR="00D6053C" w:rsidRPr="002A0BDB" w:rsidRDefault="00D6053C" w:rsidP="00D6053C">
      <w:pPr>
        <w:spacing w:line="360" w:lineRule="auto"/>
        <w:jc w:val="both"/>
        <w:rPr>
          <w:rFonts w:ascii="Arial" w:eastAsia="Times New Roman" w:hAnsi="Arial" w:cs="Arial"/>
        </w:rPr>
      </w:pPr>
      <w:proofErr w:type="spellStart"/>
      <w:r w:rsidRPr="002A0BDB">
        <w:rPr>
          <w:rFonts w:ascii="Arial" w:eastAsia="Times New Roman" w:hAnsi="Arial" w:cs="Arial"/>
        </w:rPr>
        <w:t>Zhong</w:t>
      </w:r>
      <w:proofErr w:type="spellEnd"/>
      <w:r w:rsidRPr="002A0BDB">
        <w:rPr>
          <w:rFonts w:ascii="Arial" w:eastAsia="Times New Roman" w:hAnsi="Arial" w:cs="Arial"/>
        </w:rPr>
        <w:t xml:space="preserve">, T., Wu, H., Hu, J., Liu, Y., Zheng, Y., Li, N., Sun, Z., Yin, X.-F., He, Q.-Y. and Sun, X. (2024). Two synonymous single-nucleotide polymorphisms promoting </w:t>
      </w:r>
      <w:proofErr w:type="spellStart"/>
      <w:r w:rsidRPr="002A0BDB">
        <w:rPr>
          <w:rFonts w:ascii="Arial" w:eastAsia="Times New Roman" w:hAnsi="Arial" w:cs="Arial"/>
        </w:rPr>
        <w:t>fluoroquinolone</w:t>
      </w:r>
      <w:proofErr w:type="spellEnd"/>
      <w:r w:rsidRPr="002A0BDB">
        <w:rPr>
          <w:rFonts w:ascii="Arial" w:eastAsia="Times New Roman" w:hAnsi="Arial" w:cs="Arial"/>
        </w:rPr>
        <w:t xml:space="preserve"> resistance of Escherichia coli in the environment. </w:t>
      </w:r>
      <w:r w:rsidRPr="002A0BDB">
        <w:rPr>
          <w:rFonts w:ascii="Arial" w:eastAsia="Times New Roman" w:hAnsi="Arial" w:cs="Arial"/>
          <w:i/>
          <w:iCs/>
        </w:rPr>
        <w:t>Journal of Hazardous Materials</w:t>
      </w:r>
      <w:r w:rsidRPr="002A0BDB">
        <w:rPr>
          <w:rFonts w:ascii="Arial" w:eastAsia="Times New Roman" w:hAnsi="Arial" w:cs="Arial"/>
        </w:rPr>
        <w:t>, 469, pp.133849–133849. </w:t>
      </w:r>
    </w:p>
    <w:p w14:paraId="10BAC236" w14:textId="77777777" w:rsidR="00D6053C" w:rsidRPr="002A0BDB" w:rsidRDefault="00D6053C" w:rsidP="00D6053C">
      <w:pPr>
        <w:spacing w:before="240" w:after="240" w:line="360" w:lineRule="auto"/>
        <w:jc w:val="both"/>
        <w:rPr>
          <w:rFonts w:ascii="Arial" w:hAnsi="Arial" w:cs="Arial"/>
        </w:rPr>
      </w:pPr>
      <w:proofErr w:type="spellStart"/>
      <w:r w:rsidRPr="002A0BDB">
        <w:rPr>
          <w:rFonts w:ascii="Arial" w:hAnsi="Arial" w:cs="Arial"/>
        </w:rPr>
        <w:lastRenderedPageBreak/>
        <w:t>Zhong</w:t>
      </w:r>
      <w:proofErr w:type="spellEnd"/>
      <w:r w:rsidRPr="002A0BDB">
        <w:rPr>
          <w:rFonts w:ascii="Arial" w:hAnsi="Arial" w:cs="Arial"/>
        </w:rPr>
        <w:t xml:space="preserve">, W., </w:t>
      </w:r>
      <w:proofErr w:type="spellStart"/>
      <w:r w:rsidRPr="002A0BDB">
        <w:rPr>
          <w:rFonts w:ascii="Arial" w:hAnsi="Arial" w:cs="Arial"/>
        </w:rPr>
        <w:t>Suo</w:t>
      </w:r>
      <w:proofErr w:type="spellEnd"/>
      <w:r w:rsidRPr="002A0BDB">
        <w:rPr>
          <w:rFonts w:ascii="Arial" w:hAnsi="Arial" w:cs="Arial"/>
        </w:rPr>
        <w:t xml:space="preserve">, J., Ren, X. and Li, G. (2021).The Influence of Emotional Health on the Activity Characteristics of the Elderly and the Selection of Environmental Quality Factors in Residential </w:t>
      </w:r>
      <w:proofErr w:type="spellStart"/>
      <w:r w:rsidRPr="002A0BDB">
        <w:rPr>
          <w:rFonts w:ascii="Arial" w:hAnsi="Arial" w:cs="Arial"/>
        </w:rPr>
        <w:t>Areas.</w:t>
      </w:r>
      <w:r w:rsidRPr="002A0BDB">
        <w:rPr>
          <w:rFonts w:ascii="Arial" w:hAnsi="Arial" w:cs="Arial"/>
          <w:i/>
          <w:iCs/>
        </w:rPr>
        <w:t>International</w:t>
      </w:r>
      <w:proofErr w:type="spellEnd"/>
      <w:r w:rsidRPr="002A0BDB">
        <w:rPr>
          <w:rFonts w:ascii="Arial" w:hAnsi="Arial" w:cs="Arial"/>
          <w:i/>
          <w:iCs/>
        </w:rPr>
        <w:t xml:space="preserve"> Journal of Environmental Research and Public Health</w:t>
      </w:r>
      <w:r w:rsidRPr="002A0BDB">
        <w:rPr>
          <w:rFonts w:ascii="Arial" w:hAnsi="Arial" w:cs="Arial"/>
        </w:rPr>
        <w:t>, 18(23), p.12618.</w:t>
      </w:r>
    </w:p>
    <w:p w14:paraId="36CE8D07" w14:textId="22694720" w:rsidR="00D76F2A" w:rsidRPr="002A0BDB" w:rsidRDefault="00D76F2A" w:rsidP="00D76F2A">
      <w:pPr>
        <w:spacing w:before="240" w:after="240" w:line="360" w:lineRule="auto"/>
        <w:jc w:val="both"/>
        <w:rPr>
          <w:rFonts w:ascii="Arial" w:hAnsi="Arial" w:cs="Arial"/>
        </w:rPr>
      </w:pPr>
    </w:p>
    <w:p w14:paraId="186D603E" w14:textId="72BEA7AC" w:rsidR="009F64C5" w:rsidRPr="002A0BDB" w:rsidRDefault="009F64C5">
      <w:pPr>
        <w:spacing w:after="158"/>
        <w:ind w:left="720"/>
        <w:rPr>
          <w:rFonts w:asciiTheme="minorBidi" w:hAnsiTheme="minorBidi"/>
        </w:rPr>
      </w:pPr>
    </w:p>
    <w:p w14:paraId="3711E63E" w14:textId="77777777" w:rsidR="009F64C5" w:rsidRPr="002A0BDB" w:rsidRDefault="009F64C5">
      <w:pPr>
        <w:spacing w:after="0"/>
        <w:rPr>
          <w:rFonts w:asciiTheme="minorBidi" w:hAnsiTheme="minorBidi"/>
        </w:rPr>
      </w:pPr>
      <w:r w:rsidRPr="002A0BDB">
        <w:rPr>
          <w:rFonts w:asciiTheme="minorBidi" w:eastAsia="Times New Roman" w:hAnsiTheme="minorBidi"/>
          <w:b/>
        </w:rPr>
        <w:t xml:space="preserve"> </w:t>
      </w:r>
      <w:r w:rsidRPr="002A0BDB">
        <w:rPr>
          <w:rFonts w:asciiTheme="minorBidi" w:eastAsia="Times New Roman" w:hAnsiTheme="minorBidi"/>
          <w:b/>
        </w:rPr>
        <w:tab/>
        <w:t xml:space="preserve"> </w:t>
      </w:r>
      <w:r w:rsidRPr="002A0BDB">
        <w:rPr>
          <w:rFonts w:asciiTheme="minorBidi" w:hAnsiTheme="minorBidi"/>
        </w:rPr>
        <w:br w:type="page"/>
      </w:r>
    </w:p>
    <w:p w14:paraId="44BAA972" w14:textId="677E154F" w:rsidR="009F64C5" w:rsidRPr="002A0BDB" w:rsidRDefault="009F64C5">
      <w:pPr>
        <w:pStyle w:val="Heading1"/>
        <w:ind w:left="12" w:right="0"/>
        <w:rPr>
          <w:rFonts w:asciiTheme="minorBidi" w:hAnsiTheme="minorBidi" w:cstheme="minorBidi"/>
          <w:color w:val="auto"/>
        </w:rPr>
      </w:pPr>
      <w:bookmarkStart w:id="110" w:name="_Toc220498175"/>
      <w:r w:rsidRPr="002A0BDB">
        <w:rPr>
          <w:rFonts w:asciiTheme="minorBidi" w:hAnsiTheme="minorBidi" w:cstheme="minorBidi"/>
          <w:color w:val="auto"/>
        </w:rPr>
        <w:lastRenderedPageBreak/>
        <w:t xml:space="preserve">Appendix 1: </w:t>
      </w:r>
      <w:r w:rsidR="000B71C3" w:rsidRPr="002A0BDB">
        <w:rPr>
          <w:rFonts w:asciiTheme="minorBidi" w:hAnsiTheme="minorBidi" w:cstheme="minorBidi"/>
          <w:color w:val="auto"/>
        </w:rPr>
        <w:t>Check-list (CASP-JBI)</w:t>
      </w:r>
      <w:bookmarkEnd w:id="110"/>
      <w:r w:rsidRPr="002A0BDB">
        <w:rPr>
          <w:rFonts w:asciiTheme="minorBidi" w:hAnsiTheme="minorBidi" w:cstheme="minorBidi"/>
          <w:color w:val="auto"/>
        </w:rPr>
        <w:t xml:space="preserve"> </w:t>
      </w:r>
    </w:p>
    <w:p w14:paraId="48035AD9" w14:textId="77777777" w:rsidR="009F64C5" w:rsidRPr="002A0BDB" w:rsidRDefault="009F64C5">
      <w:pPr>
        <w:spacing w:after="158"/>
        <w:rPr>
          <w:rFonts w:asciiTheme="minorBidi" w:hAnsiTheme="minorBidi"/>
        </w:rPr>
      </w:pPr>
      <w:r w:rsidRPr="002A0BDB">
        <w:rPr>
          <w:rFonts w:asciiTheme="minorBidi" w:hAnsiTheme="minorBidi"/>
        </w:rPr>
        <w:t xml:space="preserve"> </w:t>
      </w:r>
    </w:p>
    <w:tbl>
      <w:tblPr>
        <w:tblpPr w:leftFromText="180" w:rightFromText="180" w:topFromText="180" w:bottomFromText="180" w:vertAnchor="text" w:tblpX="15"/>
        <w:tblW w:w="9030" w:type="dxa"/>
        <w:tblBorders>
          <w:insideH w:val="nil"/>
          <w:insideV w:val="nil"/>
        </w:tblBorders>
        <w:tblLayout w:type="fixed"/>
        <w:tblLook w:val="0600" w:firstRow="0" w:lastRow="0" w:firstColumn="0" w:lastColumn="0" w:noHBand="1" w:noVBand="1"/>
      </w:tblPr>
      <w:tblGrid>
        <w:gridCol w:w="993"/>
        <w:gridCol w:w="849"/>
        <w:gridCol w:w="727"/>
        <w:gridCol w:w="1170"/>
        <w:gridCol w:w="926"/>
        <w:gridCol w:w="1148"/>
        <w:gridCol w:w="859"/>
        <w:gridCol w:w="837"/>
        <w:gridCol w:w="904"/>
        <w:gridCol w:w="617"/>
      </w:tblGrid>
      <w:tr w:rsidR="002A0BDB" w:rsidRPr="002A0BDB" w14:paraId="21659DE3" w14:textId="77777777" w:rsidTr="00A74AB9">
        <w:trPr>
          <w:trHeight w:val="1935"/>
        </w:trPr>
        <w:tc>
          <w:tcPr>
            <w:tcW w:w="992" w:type="dxa"/>
            <w:tcBorders>
              <w:top w:val="single" w:sz="6" w:space="0" w:color="BFBFBF"/>
              <w:left w:val="single" w:sz="6" w:space="0" w:color="BFBFBF"/>
              <w:bottom w:val="single" w:sz="6" w:space="0" w:color="BFBFBF"/>
              <w:right w:val="single" w:sz="6" w:space="0" w:color="BFBFBF"/>
            </w:tcBorders>
            <w:hideMark/>
          </w:tcPr>
          <w:p w14:paraId="110862CD"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lastRenderedPageBreak/>
              <w:t>References</w:t>
            </w:r>
          </w:p>
        </w:tc>
        <w:tc>
          <w:tcPr>
            <w:tcW w:w="849" w:type="dxa"/>
            <w:tcBorders>
              <w:top w:val="single" w:sz="6" w:space="0" w:color="BFBFBF"/>
              <w:left w:val="single" w:sz="6" w:space="0" w:color="BFBFBF"/>
              <w:bottom w:val="single" w:sz="6" w:space="0" w:color="BFBFBF"/>
              <w:right w:val="single" w:sz="6" w:space="0" w:color="BFBFBF"/>
            </w:tcBorders>
            <w:hideMark/>
          </w:tcPr>
          <w:p w14:paraId="09C30BDF"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Inclusion criteria</w:t>
            </w:r>
          </w:p>
        </w:tc>
        <w:tc>
          <w:tcPr>
            <w:tcW w:w="727" w:type="dxa"/>
            <w:tcBorders>
              <w:top w:val="single" w:sz="6" w:space="0" w:color="BFBFBF"/>
              <w:left w:val="single" w:sz="6" w:space="0" w:color="BFBFBF"/>
              <w:bottom w:val="single" w:sz="6" w:space="0" w:color="BFBFBF"/>
              <w:right w:val="single" w:sz="6" w:space="0" w:color="BFBFBF"/>
            </w:tcBorders>
            <w:hideMark/>
          </w:tcPr>
          <w:p w14:paraId="1AAB22BC"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Study settings</w:t>
            </w:r>
          </w:p>
        </w:tc>
        <w:tc>
          <w:tcPr>
            <w:tcW w:w="1169" w:type="dxa"/>
            <w:tcBorders>
              <w:top w:val="single" w:sz="6" w:space="0" w:color="BFBFBF"/>
              <w:left w:val="single" w:sz="6" w:space="0" w:color="BFBFBF"/>
              <w:bottom w:val="single" w:sz="6" w:space="0" w:color="BFBFBF"/>
              <w:right w:val="single" w:sz="6" w:space="0" w:color="BFBFBF"/>
            </w:tcBorders>
            <w:hideMark/>
          </w:tcPr>
          <w:p w14:paraId="32604D08"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Exposure measurement</w:t>
            </w:r>
          </w:p>
        </w:tc>
        <w:tc>
          <w:tcPr>
            <w:tcW w:w="925" w:type="dxa"/>
            <w:tcBorders>
              <w:top w:val="single" w:sz="6" w:space="0" w:color="BFBFBF"/>
              <w:left w:val="single" w:sz="6" w:space="0" w:color="BFBFBF"/>
              <w:bottom w:val="single" w:sz="6" w:space="0" w:color="BFBFBF"/>
              <w:right w:val="single" w:sz="6" w:space="0" w:color="BFBFBF"/>
            </w:tcBorders>
            <w:hideMark/>
          </w:tcPr>
          <w:p w14:paraId="3377F15E"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Standard procedure</w:t>
            </w:r>
          </w:p>
        </w:tc>
        <w:tc>
          <w:tcPr>
            <w:tcW w:w="1147" w:type="dxa"/>
            <w:tcBorders>
              <w:top w:val="single" w:sz="6" w:space="0" w:color="BFBFBF"/>
              <w:left w:val="single" w:sz="6" w:space="0" w:color="BFBFBF"/>
              <w:bottom w:val="single" w:sz="6" w:space="0" w:color="BFBFBF"/>
              <w:right w:val="single" w:sz="6" w:space="0" w:color="BFBFBF"/>
            </w:tcBorders>
            <w:hideMark/>
          </w:tcPr>
          <w:p w14:paraId="1B73653D"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Confounding factors</w:t>
            </w:r>
          </w:p>
        </w:tc>
        <w:tc>
          <w:tcPr>
            <w:tcW w:w="859" w:type="dxa"/>
            <w:tcBorders>
              <w:top w:val="single" w:sz="6" w:space="0" w:color="BFBFBF"/>
              <w:left w:val="single" w:sz="6" w:space="0" w:color="BFBFBF"/>
              <w:bottom w:val="single" w:sz="6" w:space="0" w:color="BFBFBF"/>
              <w:right w:val="single" w:sz="6" w:space="0" w:color="BFBFBF"/>
            </w:tcBorders>
            <w:hideMark/>
          </w:tcPr>
          <w:p w14:paraId="34FF9094"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Strategy to deal confound factors</w:t>
            </w:r>
          </w:p>
        </w:tc>
        <w:tc>
          <w:tcPr>
            <w:tcW w:w="837" w:type="dxa"/>
            <w:tcBorders>
              <w:top w:val="single" w:sz="6" w:space="0" w:color="BFBFBF"/>
              <w:left w:val="single" w:sz="6" w:space="0" w:color="BFBFBF"/>
              <w:bottom w:val="single" w:sz="6" w:space="0" w:color="BFBFBF"/>
              <w:right w:val="single" w:sz="6" w:space="0" w:color="BFBFBF"/>
            </w:tcBorders>
            <w:hideMark/>
          </w:tcPr>
          <w:p w14:paraId="4B5A592E"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Outcome</w:t>
            </w:r>
          </w:p>
        </w:tc>
        <w:tc>
          <w:tcPr>
            <w:tcW w:w="903" w:type="dxa"/>
            <w:tcBorders>
              <w:top w:val="single" w:sz="6" w:space="0" w:color="BFBFBF"/>
              <w:left w:val="single" w:sz="6" w:space="0" w:color="BFBFBF"/>
              <w:bottom w:val="single" w:sz="6" w:space="0" w:color="BFBFBF"/>
              <w:right w:val="single" w:sz="6" w:space="0" w:color="BFBFBF"/>
            </w:tcBorders>
            <w:hideMark/>
          </w:tcPr>
          <w:p w14:paraId="641C0443"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Statistical analysis</w:t>
            </w:r>
          </w:p>
        </w:tc>
        <w:tc>
          <w:tcPr>
            <w:tcW w:w="617" w:type="dxa"/>
            <w:tcBorders>
              <w:top w:val="single" w:sz="6" w:space="0" w:color="BFBFBF"/>
              <w:left w:val="single" w:sz="6" w:space="0" w:color="BFBFBF"/>
              <w:bottom w:val="single" w:sz="6" w:space="0" w:color="BFBFBF"/>
              <w:right w:val="single" w:sz="6" w:space="0" w:color="BFBFBF"/>
            </w:tcBorders>
            <w:hideMark/>
          </w:tcPr>
          <w:p w14:paraId="21DC7447" w14:textId="77777777" w:rsidR="000B71C3" w:rsidRPr="002A0BDB" w:rsidRDefault="000B71C3" w:rsidP="00A74AB9">
            <w:pPr>
              <w:spacing w:before="240" w:after="240"/>
              <w:rPr>
                <w:rFonts w:ascii="Arial" w:hAnsi="Arial" w:cs="Arial"/>
                <w:b/>
                <w:bCs/>
                <w:lang w:eastAsia="en-US"/>
              </w:rPr>
            </w:pPr>
            <w:r w:rsidRPr="002A0BDB">
              <w:rPr>
                <w:rFonts w:ascii="Arial" w:hAnsi="Arial" w:cs="Arial"/>
                <w:b/>
                <w:bCs/>
                <w:lang w:eastAsia="en-US"/>
              </w:rPr>
              <w:t>Score  out of 5</w:t>
            </w:r>
          </w:p>
        </w:tc>
      </w:tr>
      <w:tr w:rsidR="002A0BDB" w:rsidRPr="002A0BDB" w14:paraId="3E9B74B8" w14:textId="77777777" w:rsidTr="00A74AB9">
        <w:trPr>
          <w:trHeight w:val="1680"/>
        </w:trPr>
        <w:tc>
          <w:tcPr>
            <w:tcW w:w="992" w:type="dxa"/>
            <w:tcBorders>
              <w:top w:val="single" w:sz="6" w:space="0" w:color="BFBFBF"/>
              <w:left w:val="single" w:sz="6" w:space="0" w:color="000000"/>
              <w:bottom w:val="single" w:sz="6" w:space="0" w:color="000000"/>
              <w:right w:val="single" w:sz="6" w:space="0" w:color="000000"/>
            </w:tcBorders>
          </w:tcPr>
          <w:p w14:paraId="5266DBFD" w14:textId="77777777" w:rsidR="000B71C3" w:rsidRPr="002A0BDB" w:rsidRDefault="000B71C3" w:rsidP="00A74AB9">
            <w:pPr>
              <w:spacing w:before="240"/>
              <w:rPr>
                <w:rFonts w:ascii="Arial" w:hAnsi="Arial" w:cs="Arial"/>
                <w:lang w:eastAsia="en-US"/>
              </w:rPr>
            </w:pPr>
            <w:r w:rsidRPr="002A0BDB">
              <w:rPr>
                <w:rFonts w:ascii="Arial" w:hAnsi="Arial" w:cs="Arial"/>
                <w:lang w:eastAsia="en-US"/>
              </w:rPr>
              <w:t xml:space="preserve">Brumfield </w:t>
            </w:r>
            <w:r w:rsidRPr="002A0BDB">
              <w:rPr>
                <w:rFonts w:ascii="Arial" w:hAnsi="Arial" w:cs="Arial"/>
                <w:i/>
                <w:iCs/>
                <w:lang w:eastAsia="en-US"/>
              </w:rPr>
              <w:t>et al.</w:t>
            </w:r>
            <w:r w:rsidRPr="002A0BDB">
              <w:rPr>
                <w:rFonts w:ascii="Arial" w:hAnsi="Arial" w:cs="Arial"/>
                <w:lang w:eastAsia="en-US"/>
              </w:rPr>
              <w:t xml:space="preserve"> (2021)</w:t>
            </w:r>
          </w:p>
          <w:p w14:paraId="4F126089" w14:textId="77777777" w:rsidR="000B71C3" w:rsidRPr="002A0BDB" w:rsidRDefault="000B71C3" w:rsidP="00A74AB9">
            <w:pPr>
              <w:spacing w:before="240" w:after="240"/>
              <w:rPr>
                <w:rFonts w:ascii="Arial" w:hAnsi="Arial" w:cs="Arial"/>
                <w:lang w:eastAsia="en-US"/>
              </w:rPr>
            </w:pPr>
          </w:p>
        </w:tc>
        <w:tc>
          <w:tcPr>
            <w:tcW w:w="849" w:type="dxa"/>
            <w:tcBorders>
              <w:top w:val="single" w:sz="6" w:space="0" w:color="BFBFBF"/>
              <w:left w:val="single" w:sz="6" w:space="0" w:color="000000"/>
              <w:bottom w:val="single" w:sz="6" w:space="0" w:color="000000"/>
              <w:right w:val="single" w:sz="6" w:space="0" w:color="000000"/>
            </w:tcBorders>
            <w:hideMark/>
          </w:tcPr>
          <w:p w14:paraId="0F0E49A1"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727" w:type="dxa"/>
            <w:tcBorders>
              <w:top w:val="single" w:sz="6" w:space="0" w:color="BFBFBF"/>
              <w:left w:val="single" w:sz="6" w:space="0" w:color="000000"/>
              <w:bottom w:val="single" w:sz="6" w:space="0" w:color="000000"/>
              <w:right w:val="single" w:sz="6" w:space="0" w:color="000000"/>
            </w:tcBorders>
            <w:hideMark/>
          </w:tcPr>
          <w:p w14:paraId="322B618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BFBFBF"/>
              <w:left w:val="single" w:sz="6" w:space="0" w:color="000000"/>
              <w:bottom w:val="single" w:sz="6" w:space="0" w:color="000000"/>
              <w:right w:val="single" w:sz="6" w:space="0" w:color="000000"/>
            </w:tcBorders>
            <w:hideMark/>
          </w:tcPr>
          <w:p w14:paraId="45487EA9"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25" w:type="dxa"/>
            <w:tcBorders>
              <w:top w:val="single" w:sz="6" w:space="0" w:color="BFBFBF"/>
              <w:left w:val="single" w:sz="6" w:space="0" w:color="000000"/>
              <w:bottom w:val="single" w:sz="6" w:space="0" w:color="000000"/>
              <w:right w:val="single" w:sz="6" w:space="0" w:color="000000"/>
            </w:tcBorders>
            <w:hideMark/>
          </w:tcPr>
          <w:p w14:paraId="092FE959"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BFBFBF"/>
              <w:left w:val="single" w:sz="6" w:space="0" w:color="000000"/>
              <w:bottom w:val="single" w:sz="6" w:space="0" w:color="000000"/>
              <w:right w:val="single" w:sz="6" w:space="0" w:color="000000"/>
            </w:tcBorders>
            <w:hideMark/>
          </w:tcPr>
          <w:p w14:paraId="0E17A78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BFBFBF"/>
              <w:left w:val="single" w:sz="6" w:space="0" w:color="000000"/>
              <w:bottom w:val="single" w:sz="6" w:space="0" w:color="000000"/>
              <w:right w:val="single" w:sz="6" w:space="0" w:color="000000"/>
            </w:tcBorders>
            <w:hideMark/>
          </w:tcPr>
          <w:p w14:paraId="3C83396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37" w:type="dxa"/>
            <w:tcBorders>
              <w:top w:val="single" w:sz="6" w:space="0" w:color="BFBFBF"/>
              <w:left w:val="single" w:sz="6" w:space="0" w:color="000000"/>
              <w:bottom w:val="single" w:sz="6" w:space="0" w:color="000000"/>
              <w:right w:val="single" w:sz="6" w:space="0" w:color="000000"/>
            </w:tcBorders>
            <w:hideMark/>
          </w:tcPr>
          <w:p w14:paraId="113E8103"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BFBFBF"/>
              <w:left w:val="single" w:sz="6" w:space="0" w:color="000000"/>
              <w:bottom w:val="single" w:sz="6" w:space="0" w:color="000000"/>
              <w:right w:val="single" w:sz="6" w:space="0" w:color="000000"/>
            </w:tcBorders>
            <w:hideMark/>
          </w:tcPr>
          <w:p w14:paraId="25E7F9FA"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BFBFBF"/>
              <w:left w:val="single" w:sz="6" w:space="0" w:color="000000"/>
              <w:bottom w:val="single" w:sz="6" w:space="0" w:color="000000"/>
              <w:right w:val="single" w:sz="6" w:space="0" w:color="000000"/>
            </w:tcBorders>
            <w:hideMark/>
          </w:tcPr>
          <w:p w14:paraId="4F6DB3E7"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5</w:t>
            </w:r>
          </w:p>
        </w:tc>
      </w:tr>
      <w:tr w:rsidR="002A0BDB" w:rsidRPr="002A0BDB" w14:paraId="76FC1A09" w14:textId="77777777" w:rsidTr="00A74AB9">
        <w:trPr>
          <w:trHeight w:val="1380"/>
        </w:trPr>
        <w:tc>
          <w:tcPr>
            <w:tcW w:w="992" w:type="dxa"/>
            <w:tcBorders>
              <w:top w:val="single" w:sz="6" w:space="0" w:color="000000"/>
              <w:left w:val="single" w:sz="6" w:space="0" w:color="000000"/>
              <w:bottom w:val="single" w:sz="6" w:space="0" w:color="000000"/>
              <w:right w:val="single" w:sz="6" w:space="0" w:color="000000"/>
            </w:tcBorders>
          </w:tcPr>
          <w:p w14:paraId="6CD97B7A" w14:textId="77777777" w:rsidR="000B71C3" w:rsidRPr="002A0BDB" w:rsidRDefault="000B71C3" w:rsidP="00A74AB9">
            <w:pPr>
              <w:spacing w:before="240"/>
              <w:rPr>
                <w:rFonts w:ascii="Arial" w:hAnsi="Arial" w:cs="Arial"/>
                <w:lang w:eastAsia="en-US"/>
              </w:rPr>
            </w:pPr>
            <w:proofErr w:type="spellStart"/>
            <w:r w:rsidRPr="002A0BDB">
              <w:rPr>
                <w:rFonts w:ascii="Arial" w:hAnsi="Arial" w:cs="Arial"/>
                <w:lang w:eastAsia="en-US"/>
              </w:rPr>
              <w:t>Chowdhury</w:t>
            </w:r>
            <w:r w:rsidRPr="002A0BDB">
              <w:rPr>
                <w:rFonts w:ascii="Arial" w:hAnsi="Arial" w:cs="Arial"/>
                <w:i/>
                <w:iCs/>
                <w:lang w:eastAsia="en-US"/>
              </w:rPr>
              <w:t>et</w:t>
            </w:r>
            <w:proofErr w:type="spellEnd"/>
            <w:r w:rsidRPr="002A0BDB">
              <w:rPr>
                <w:rFonts w:ascii="Arial" w:hAnsi="Arial" w:cs="Arial"/>
                <w:i/>
                <w:iCs/>
                <w:lang w:eastAsia="en-US"/>
              </w:rPr>
              <w:t xml:space="preserve"> al.(</w:t>
            </w:r>
            <w:r w:rsidRPr="002A0BDB">
              <w:rPr>
                <w:rFonts w:ascii="Arial" w:hAnsi="Arial" w:cs="Arial"/>
                <w:lang w:eastAsia="en-US"/>
              </w:rPr>
              <w:t>2022)</w:t>
            </w:r>
          </w:p>
          <w:p w14:paraId="6E62DFD8" w14:textId="77777777" w:rsidR="000B71C3" w:rsidRPr="002A0BDB" w:rsidRDefault="000B71C3" w:rsidP="00A74AB9">
            <w:pPr>
              <w:spacing w:before="240" w:after="240"/>
              <w:rPr>
                <w:rFonts w:ascii="Arial" w:hAnsi="Arial" w:cs="Arial"/>
                <w:lang w:eastAsia="en-US"/>
              </w:rPr>
            </w:pPr>
          </w:p>
        </w:tc>
        <w:tc>
          <w:tcPr>
            <w:tcW w:w="849" w:type="dxa"/>
            <w:tcBorders>
              <w:top w:val="single" w:sz="6" w:space="0" w:color="000000"/>
              <w:left w:val="single" w:sz="6" w:space="0" w:color="000000"/>
              <w:bottom w:val="single" w:sz="6" w:space="0" w:color="000000"/>
              <w:right w:val="single" w:sz="6" w:space="0" w:color="000000"/>
            </w:tcBorders>
            <w:hideMark/>
          </w:tcPr>
          <w:p w14:paraId="62324A4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727" w:type="dxa"/>
            <w:tcBorders>
              <w:top w:val="single" w:sz="6" w:space="0" w:color="000000"/>
              <w:left w:val="single" w:sz="6" w:space="0" w:color="000000"/>
              <w:bottom w:val="single" w:sz="6" w:space="0" w:color="000000"/>
              <w:right w:val="single" w:sz="6" w:space="0" w:color="000000"/>
            </w:tcBorders>
            <w:hideMark/>
          </w:tcPr>
          <w:p w14:paraId="3E58FD9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000000"/>
              <w:left w:val="single" w:sz="6" w:space="0" w:color="000000"/>
              <w:bottom w:val="single" w:sz="6" w:space="0" w:color="000000"/>
              <w:right w:val="single" w:sz="6" w:space="0" w:color="000000"/>
            </w:tcBorders>
            <w:hideMark/>
          </w:tcPr>
          <w:p w14:paraId="77050AE7"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25" w:type="dxa"/>
            <w:tcBorders>
              <w:top w:val="single" w:sz="6" w:space="0" w:color="000000"/>
              <w:left w:val="single" w:sz="6" w:space="0" w:color="000000"/>
              <w:bottom w:val="single" w:sz="6" w:space="0" w:color="000000"/>
              <w:right w:val="single" w:sz="6" w:space="0" w:color="000000"/>
            </w:tcBorders>
            <w:hideMark/>
          </w:tcPr>
          <w:p w14:paraId="17802E97"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000000"/>
              <w:left w:val="single" w:sz="6" w:space="0" w:color="000000"/>
              <w:bottom w:val="single" w:sz="6" w:space="0" w:color="000000"/>
              <w:right w:val="single" w:sz="6" w:space="0" w:color="000000"/>
            </w:tcBorders>
            <w:hideMark/>
          </w:tcPr>
          <w:p w14:paraId="2B881546"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000000"/>
              <w:left w:val="single" w:sz="6" w:space="0" w:color="000000"/>
              <w:bottom w:val="single" w:sz="6" w:space="0" w:color="000000"/>
              <w:right w:val="single" w:sz="6" w:space="0" w:color="000000"/>
            </w:tcBorders>
            <w:hideMark/>
          </w:tcPr>
          <w:p w14:paraId="1EA4DDAC"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37" w:type="dxa"/>
            <w:tcBorders>
              <w:top w:val="single" w:sz="6" w:space="0" w:color="000000"/>
              <w:left w:val="single" w:sz="6" w:space="0" w:color="000000"/>
              <w:bottom w:val="single" w:sz="6" w:space="0" w:color="000000"/>
              <w:right w:val="single" w:sz="6" w:space="0" w:color="000000"/>
            </w:tcBorders>
            <w:hideMark/>
          </w:tcPr>
          <w:p w14:paraId="35D8CEA6"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000000"/>
              <w:left w:val="single" w:sz="6" w:space="0" w:color="000000"/>
              <w:bottom w:val="single" w:sz="6" w:space="0" w:color="000000"/>
              <w:right w:val="single" w:sz="6" w:space="0" w:color="000000"/>
            </w:tcBorders>
            <w:hideMark/>
          </w:tcPr>
          <w:p w14:paraId="597C94DD"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000000"/>
              <w:left w:val="single" w:sz="6" w:space="0" w:color="000000"/>
              <w:bottom w:val="single" w:sz="6" w:space="0" w:color="000000"/>
              <w:right w:val="single" w:sz="6" w:space="0" w:color="000000"/>
            </w:tcBorders>
            <w:hideMark/>
          </w:tcPr>
          <w:p w14:paraId="1B67C4F8"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6.5</w:t>
            </w:r>
          </w:p>
        </w:tc>
      </w:tr>
      <w:tr w:rsidR="002A0BDB" w:rsidRPr="002A0BDB" w14:paraId="596586F1" w14:textId="77777777" w:rsidTr="00A74AB9">
        <w:trPr>
          <w:trHeight w:val="1380"/>
        </w:trPr>
        <w:tc>
          <w:tcPr>
            <w:tcW w:w="992" w:type="dxa"/>
            <w:tcBorders>
              <w:top w:val="single" w:sz="6" w:space="0" w:color="000000"/>
              <w:left w:val="single" w:sz="6" w:space="0" w:color="000000"/>
              <w:bottom w:val="single" w:sz="6" w:space="0" w:color="000000"/>
              <w:right w:val="single" w:sz="6" w:space="0" w:color="000000"/>
            </w:tcBorders>
          </w:tcPr>
          <w:p w14:paraId="407FB119" w14:textId="77777777" w:rsidR="000B71C3" w:rsidRPr="002A0BDB" w:rsidRDefault="000B71C3" w:rsidP="00A74AB9">
            <w:pPr>
              <w:spacing w:before="240"/>
              <w:rPr>
                <w:rFonts w:ascii="Arial" w:hAnsi="Arial" w:cs="Arial"/>
                <w:lang w:eastAsia="en-US"/>
              </w:rPr>
            </w:pPr>
            <w:r w:rsidRPr="002A0BDB">
              <w:rPr>
                <w:rFonts w:ascii="Arial" w:hAnsi="Arial" w:cs="Arial"/>
                <w:lang w:eastAsia="en-US"/>
              </w:rPr>
              <w:t xml:space="preserve">Ebenezer </w:t>
            </w:r>
            <w:r w:rsidRPr="002A0BDB">
              <w:rPr>
                <w:rFonts w:ascii="Arial" w:hAnsi="Arial" w:cs="Arial"/>
                <w:i/>
                <w:iCs/>
                <w:lang w:eastAsia="en-US"/>
              </w:rPr>
              <w:t>et al.</w:t>
            </w:r>
            <w:r w:rsidRPr="002A0BDB">
              <w:rPr>
                <w:rFonts w:ascii="Arial" w:hAnsi="Arial" w:cs="Arial"/>
                <w:lang w:eastAsia="en-US"/>
              </w:rPr>
              <w:t xml:space="preserve"> (2025)</w:t>
            </w:r>
          </w:p>
          <w:p w14:paraId="7DB9E039" w14:textId="77777777" w:rsidR="000B71C3" w:rsidRPr="002A0BDB" w:rsidRDefault="000B71C3" w:rsidP="00A74AB9">
            <w:pPr>
              <w:spacing w:before="240" w:after="240"/>
              <w:rPr>
                <w:rFonts w:ascii="Arial" w:hAnsi="Arial" w:cs="Arial"/>
                <w:lang w:eastAsia="en-US"/>
              </w:rPr>
            </w:pPr>
          </w:p>
        </w:tc>
        <w:tc>
          <w:tcPr>
            <w:tcW w:w="849" w:type="dxa"/>
            <w:tcBorders>
              <w:top w:val="single" w:sz="6" w:space="0" w:color="000000"/>
              <w:left w:val="single" w:sz="6" w:space="0" w:color="000000"/>
              <w:bottom w:val="single" w:sz="6" w:space="0" w:color="000000"/>
              <w:right w:val="single" w:sz="6" w:space="0" w:color="000000"/>
            </w:tcBorders>
            <w:hideMark/>
          </w:tcPr>
          <w:p w14:paraId="5EDBEA3C"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727" w:type="dxa"/>
            <w:tcBorders>
              <w:top w:val="single" w:sz="6" w:space="0" w:color="000000"/>
              <w:left w:val="single" w:sz="6" w:space="0" w:color="000000"/>
              <w:bottom w:val="single" w:sz="6" w:space="0" w:color="000000"/>
              <w:right w:val="single" w:sz="6" w:space="0" w:color="000000"/>
            </w:tcBorders>
            <w:hideMark/>
          </w:tcPr>
          <w:p w14:paraId="35B5DFA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000000"/>
              <w:left w:val="single" w:sz="6" w:space="0" w:color="000000"/>
              <w:bottom w:val="single" w:sz="6" w:space="0" w:color="000000"/>
              <w:right w:val="single" w:sz="6" w:space="0" w:color="000000"/>
            </w:tcBorders>
            <w:hideMark/>
          </w:tcPr>
          <w:p w14:paraId="1D51098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25" w:type="dxa"/>
            <w:tcBorders>
              <w:top w:val="single" w:sz="6" w:space="0" w:color="000000"/>
              <w:left w:val="single" w:sz="6" w:space="0" w:color="000000"/>
              <w:bottom w:val="single" w:sz="6" w:space="0" w:color="000000"/>
              <w:right w:val="single" w:sz="6" w:space="0" w:color="000000"/>
            </w:tcBorders>
            <w:hideMark/>
          </w:tcPr>
          <w:p w14:paraId="48E7DC1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000000"/>
              <w:left w:val="single" w:sz="6" w:space="0" w:color="000000"/>
              <w:bottom w:val="single" w:sz="6" w:space="0" w:color="000000"/>
              <w:right w:val="single" w:sz="6" w:space="0" w:color="000000"/>
            </w:tcBorders>
            <w:hideMark/>
          </w:tcPr>
          <w:p w14:paraId="01F3E40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000000"/>
              <w:left w:val="single" w:sz="6" w:space="0" w:color="000000"/>
              <w:bottom w:val="single" w:sz="6" w:space="0" w:color="000000"/>
              <w:right w:val="single" w:sz="6" w:space="0" w:color="000000"/>
            </w:tcBorders>
            <w:hideMark/>
          </w:tcPr>
          <w:p w14:paraId="047EDF4C"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37" w:type="dxa"/>
            <w:tcBorders>
              <w:top w:val="single" w:sz="6" w:space="0" w:color="000000"/>
              <w:left w:val="single" w:sz="6" w:space="0" w:color="000000"/>
              <w:bottom w:val="single" w:sz="6" w:space="0" w:color="000000"/>
              <w:right w:val="single" w:sz="6" w:space="0" w:color="000000"/>
            </w:tcBorders>
            <w:hideMark/>
          </w:tcPr>
          <w:p w14:paraId="12490D6D"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000000"/>
              <w:left w:val="single" w:sz="6" w:space="0" w:color="000000"/>
              <w:bottom w:val="single" w:sz="6" w:space="0" w:color="000000"/>
              <w:right w:val="single" w:sz="6" w:space="0" w:color="000000"/>
            </w:tcBorders>
            <w:hideMark/>
          </w:tcPr>
          <w:p w14:paraId="1794DC84"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000000"/>
              <w:left w:val="single" w:sz="6" w:space="0" w:color="000000"/>
              <w:bottom w:val="single" w:sz="6" w:space="0" w:color="000000"/>
              <w:right w:val="single" w:sz="6" w:space="0" w:color="000000"/>
            </w:tcBorders>
            <w:hideMark/>
          </w:tcPr>
          <w:p w14:paraId="44DC7AF3"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4</w:t>
            </w:r>
          </w:p>
        </w:tc>
      </w:tr>
      <w:tr w:rsidR="002A0BDB" w:rsidRPr="002A0BDB" w14:paraId="1BD298E7" w14:textId="77777777" w:rsidTr="00A74AB9">
        <w:trPr>
          <w:trHeight w:val="1380"/>
        </w:trPr>
        <w:tc>
          <w:tcPr>
            <w:tcW w:w="992" w:type="dxa"/>
            <w:tcBorders>
              <w:top w:val="single" w:sz="6" w:space="0" w:color="000000"/>
              <w:left w:val="single" w:sz="6" w:space="0" w:color="000000"/>
              <w:bottom w:val="single" w:sz="6" w:space="0" w:color="000000"/>
              <w:right w:val="single" w:sz="6" w:space="0" w:color="000000"/>
            </w:tcBorders>
          </w:tcPr>
          <w:p w14:paraId="26F6B8CC" w14:textId="77777777" w:rsidR="000B71C3" w:rsidRPr="002A0BDB" w:rsidRDefault="000B71C3" w:rsidP="00A74AB9">
            <w:pPr>
              <w:spacing w:before="240"/>
              <w:rPr>
                <w:rFonts w:ascii="Arial" w:hAnsi="Arial" w:cs="Arial"/>
                <w:lang w:eastAsia="en-US"/>
              </w:rPr>
            </w:pPr>
            <w:proofErr w:type="spellStart"/>
            <w:r w:rsidRPr="002A0BDB">
              <w:rPr>
                <w:rFonts w:ascii="Arial" w:hAnsi="Arial" w:cs="Arial"/>
                <w:lang w:eastAsia="en-US"/>
              </w:rPr>
              <w:t>Jin</w:t>
            </w:r>
            <w:proofErr w:type="spellEnd"/>
            <w:r w:rsidRPr="002A0BDB">
              <w:rPr>
                <w:rFonts w:ascii="Arial" w:hAnsi="Arial" w:cs="Arial"/>
                <w:lang w:eastAsia="en-US"/>
              </w:rPr>
              <w:t xml:space="preserve"> </w:t>
            </w:r>
            <w:r w:rsidRPr="002A0BDB">
              <w:rPr>
                <w:rFonts w:ascii="Arial" w:hAnsi="Arial" w:cs="Arial"/>
                <w:i/>
                <w:iCs/>
                <w:lang w:eastAsia="en-US"/>
              </w:rPr>
              <w:t>et al.</w:t>
            </w:r>
            <w:r w:rsidRPr="002A0BDB">
              <w:rPr>
                <w:rFonts w:ascii="Arial" w:hAnsi="Arial" w:cs="Arial"/>
                <w:lang w:eastAsia="en-US"/>
              </w:rPr>
              <w:t xml:space="preserve"> (2025)</w:t>
            </w:r>
          </w:p>
          <w:p w14:paraId="621C3D81" w14:textId="77777777" w:rsidR="000B71C3" w:rsidRPr="002A0BDB" w:rsidRDefault="000B71C3" w:rsidP="00A74AB9">
            <w:pPr>
              <w:spacing w:before="240" w:after="240"/>
              <w:rPr>
                <w:rFonts w:ascii="Arial" w:hAnsi="Arial" w:cs="Arial"/>
                <w:lang w:eastAsia="en-US"/>
              </w:rPr>
            </w:pPr>
          </w:p>
        </w:tc>
        <w:tc>
          <w:tcPr>
            <w:tcW w:w="849" w:type="dxa"/>
            <w:tcBorders>
              <w:top w:val="single" w:sz="6" w:space="0" w:color="000000"/>
              <w:left w:val="single" w:sz="6" w:space="0" w:color="000000"/>
              <w:bottom w:val="single" w:sz="6" w:space="0" w:color="000000"/>
              <w:right w:val="single" w:sz="6" w:space="0" w:color="000000"/>
            </w:tcBorders>
            <w:hideMark/>
          </w:tcPr>
          <w:p w14:paraId="70705E1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727" w:type="dxa"/>
            <w:tcBorders>
              <w:top w:val="single" w:sz="6" w:space="0" w:color="000000"/>
              <w:left w:val="single" w:sz="6" w:space="0" w:color="000000"/>
              <w:bottom w:val="single" w:sz="6" w:space="0" w:color="000000"/>
              <w:right w:val="single" w:sz="6" w:space="0" w:color="000000"/>
            </w:tcBorders>
            <w:hideMark/>
          </w:tcPr>
          <w:p w14:paraId="21D5BB1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000000"/>
              <w:left w:val="single" w:sz="6" w:space="0" w:color="000000"/>
              <w:bottom w:val="single" w:sz="6" w:space="0" w:color="000000"/>
              <w:right w:val="single" w:sz="6" w:space="0" w:color="000000"/>
            </w:tcBorders>
            <w:hideMark/>
          </w:tcPr>
          <w:p w14:paraId="1F7675FC"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No</w:t>
            </w:r>
          </w:p>
        </w:tc>
        <w:tc>
          <w:tcPr>
            <w:tcW w:w="925" w:type="dxa"/>
            <w:tcBorders>
              <w:top w:val="single" w:sz="6" w:space="0" w:color="000000"/>
              <w:left w:val="single" w:sz="6" w:space="0" w:color="000000"/>
              <w:bottom w:val="single" w:sz="6" w:space="0" w:color="000000"/>
              <w:right w:val="single" w:sz="6" w:space="0" w:color="000000"/>
            </w:tcBorders>
            <w:hideMark/>
          </w:tcPr>
          <w:p w14:paraId="1E991339"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000000"/>
              <w:left w:val="single" w:sz="6" w:space="0" w:color="000000"/>
              <w:bottom w:val="single" w:sz="6" w:space="0" w:color="000000"/>
              <w:right w:val="single" w:sz="6" w:space="0" w:color="000000"/>
            </w:tcBorders>
            <w:hideMark/>
          </w:tcPr>
          <w:p w14:paraId="718340E7"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000000"/>
              <w:left w:val="single" w:sz="6" w:space="0" w:color="000000"/>
              <w:bottom w:val="single" w:sz="6" w:space="0" w:color="000000"/>
              <w:right w:val="single" w:sz="6" w:space="0" w:color="000000"/>
            </w:tcBorders>
            <w:hideMark/>
          </w:tcPr>
          <w:p w14:paraId="535DDDE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37" w:type="dxa"/>
            <w:tcBorders>
              <w:top w:val="single" w:sz="6" w:space="0" w:color="000000"/>
              <w:left w:val="single" w:sz="6" w:space="0" w:color="000000"/>
              <w:bottom w:val="single" w:sz="6" w:space="0" w:color="000000"/>
              <w:right w:val="single" w:sz="6" w:space="0" w:color="000000"/>
            </w:tcBorders>
            <w:hideMark/>
          </w:tcPr>
          <w:p w14:paraId="53167D5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000000"/>
              <w:left w:val="single" w:sz="6" w:space="0" w:color="000000"/>
              <w:bottom w:val="single" w:sz="6" w:space="0" w:color="000000"/>
              <w:right w:val="single" w:sz="6" w:space="0" w:color="000000"/>
            </w:tcBorders>
            <w:hideMark/>
          </w:tcPr>
          <w:p w14:paraId="20D2988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000000"/>
              <w:left w:val="single" w:sz="6" w:space="0" w:color="000000"/>
              <w:bottom w:val="single" w:sz="6" w:space="0" w:color="000000"/>
              <w:right w:val="single" w:sz="6" w:space="0" w:color="000000"/>
            </w:tcBorders>
            <w:hideMark/>
          </w:tcPr>
          <w:p w14:paraId="4A32D999"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7.5</w:t>
            </w:r>
          </w:p>
        </w:tc>
      </w:tr>
      <w:tr w:rsidR="002A0BDB" w:rsidRPr="002A0BDB" w14:paraId="44251F82" w14:textId="77777777" w:rsidTr="00A74AB9">
        <w:trPr>
          <w:trHeight w:val="1380"/>
        </w:trPr>
        <w:tc>
          <w:tcPr>
            <w:tcW w:w="992" w:type="dxa"/>
            <w:tcBorders>
              <w:top w:val="single" w:sz="6" w:space="0" w:color="000000"/>
              <w:left w:val="single" w:sz="6" w:space="0" w:color="000000"/>
              <w:bottom w:val="single" w:sz="6" w:space="0" w:color="000000"/>
              <w:right w:val="single" w:sz="6" w:space="0" w:color="000000"/>
            </w:tcBorders>
          </w:tcPr>
          <w:p w14:paraId="794092FB" w14:textId="77777777" w:rsidR="000B71C3" w:rsidRPr="002A0BDB" w:rsidRDefault="000B71C3" w:rsidP="00A74AB9">
            <w:pPr>
              <w:spacing w:before="240"/>
              <w:rPr>
                <w:rFonts w:ascii="Arial" w:hAnsi="Arial" w:cs="Arial"/>
                <w:lang w:eastAsia="en-US"/>
              </w:rPr>
            </w:pPr>
            <w:proofErr w:type="spellStart"/>
            <w:r w:rsidRPr="002A0BDB">
              <w:rPr>
                <w:rFonts w:ascii="Arial" w:hAnsi="Arial" w:cs="Arial"/>
                <w:lang w:eastAsia="en-US"/>
              </w:rPr>
              <w:t>Lotoux</w:t>
            </w:r>
            <w:r w:rsidRPr="002A0BDB">
              <w:rPr>
                <w:rFonts w:ascii="Arial" w:hAnsi="Arial" w:cs="Arial"/>
                <w:i/>
                <w:iCs/>
                <w:lang w:eastAsia="en-US"/>
              </w:rPr>
              <w:t>et</w:t>
            </w:r>
            <w:proofErr w:type="spellEnd"/>
            <w:r w:rsidRPr="002A0BDB">
              <w:rPr>
                <w:rFonts w:ascii="Arial" w:hAnsi="Arial" w:cs="Arial"/>
                <w:i/>
                <w:iCs/>
                <w:lang w:eastAsia="en-US"/>
              </w:rPr>
              <w:t xml:space="preserve"> al.</w:t>
            </w:r>
            <w:r w:rsidRPr="002A0BDB">
              <w:rPr>
                <w:rFonts w:ascii="Arial" w:hAnsi="Arial" w:cs="Arial"/>
                <w:lang w:eastAsia="en-US"/>
              </w:rPr>
              <w:t xml:space="preserve"> (2022)</w:t>
            </w:r>
          </w:p>
          <w:p w14:paraId="3D53A8CF" w14:textId="77777777" w:rsidR="000B71C3" w:rsidRPr="002A0BDB" w:rsidRDefault="000B71C3" w:rsidP="00A74AB9">
            <w:pPr>
              <w:spacing w:before="240" w:after="240"/>
              <w:rPr>
                <w:rFonts w:ascii="Arial" w:hAnsi="Arial" w:cs="Arial"/>
                <w:lang w:eastAsia="en-US"/>
              </w:rPr>
            </w:pPr>
          </w:p>
        </w:tc>
        <w:tc>
          <w:tcPr>
            <w:tcW w:w="849" w:type="dxa"/>
            <w:tcBorders>
              <w:top w:val="single" w:sz="6" w:space="0" w:color="000000"/>
              <w:left w:val="single" w:sz="6" w:space="0" w:color="000000"/>
              <w:bottom w:val="single" w:sz="6" w:space="0" w:color="000000"/>
              <w:right w:val="single" w:sz="6" w:space="0" w:color="000000"/>
            </w:tcBorders>
            <w:hideMark/>
          </w:tcPr>
          <w:p w14:paraId="4D7FF054"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727" w:type="dxa"/>
            <w:tcBorders>
              <w:top w:val="single" w:sz="6" w:space="0" w:color="000000"/>
              <w:left w:val="single" w:sz="6" w:space="0" w:color="000000"/>
              <w:bottom w:val="single" w:sz="6" w:space="0" w:color="000000"/>
              <w:right w:val="single" w:sz="6" w:space="0" w:color="000000"/>
            </w:tcBorders>
            <w:hideMark/>
          </w:tcPr>
          <w:p w14:paraId="4033AC4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000000"/>
              <w:left w:val="single" w:sz="6" w:space="0" w:color="000000"/>
              <w:bottom w:val="single" w:sz="6" w:space="0" w:color="000000"/>
              <w:right w:val="single" w:sz="6" w:space="0" w:color="000000"/>
            </w:tcBorders>
            <w:hideMark/>
          </w:tcPr>
          <w:p w14:paraId="1964A02C"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25" w:type="dxa"/>
            <w:tcBorders>
              <w:top w:val="single" w:sz="6" w:space="0" w:color="000000"/>
              <w:left w:val="single" w:sz="6" w:space="0" w:color="000000"/>
              <w:bottom w:val="single" w:sz="6" w:space="0" w:color="000000"/>
              <w:right w:val="single" w:sz="6" w:space="0" w:color="000000"/>
            </w:tcBorders>
            <w:hideMark/>
          </w:tcPr>
          <w:p w14:paraId="446167F0"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000000"/>
              <w:left w:val="single" w:sz="6" w:space="0" w:color="000000"/>
              <w:bottom w:val="single" w:sz="6" w:space="0" w:color="000000"/>
              <w:right w:val="single" w:sz="6" w:space="0" w:color="000000"/>
            </w:tcBorders>
            <w:hideMark/>
          </w:tcPr>
          <w:p w14:paraId="67DD459E"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000000"/>
              <w:left w:val="single" w:sz="6" w:space="0" w:color="000000"/>
              <w:bottom w:val="single" w:sz="6" w:space="0" w:color="000000"/>
              <w:right w:val="single" w:sz="6" w:space="0" w:color="000000"/>
            </w:tcBorders>
            <w:hideMark/>
          </w:tcPr>
          <w:p w14:paraId="2EC499AA"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37" w:type="dxa"/>
            <w:tcBorders>
              <w:top w:val="single" w:sz="6" w:space="0" w:color="000000"/>
              <w:left w:val="single" w:sz="6" w:space="0" w:color="000000"/>
              <w:bottom w:val="single" w:sz="6" w:space="0" w:color="000000"/>
              <w:right w:val="single" w:sz="6" w:space="0" w:color="000000"/>
            </w:tcBorders>
            <w:hideMark/>
          </w:tcPr>
          <w:p w14:paraId="4747CB60"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000000"/>
              <w:left w:val="single" w:sz="6" w:space="0" w:color="000000"/>
              <w:bottom w:val="single" w:sz="6" w:space="0" w:color="000000"/>
              <w:right w:val="single" w:sz="6" w:space="0" w:color="000000"/>
            </w:tcBorders>
            <w:hideMark/>
          </w:tcPr>
          <w:p w14:paraId="2851F9B1"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000000"/>
              <w:left w:val="single" w:sz="6" w:space="0" w:color="000000"/>
              <w:bottom w:val="single" w:sz="6" w:space="0" w:color="000000"/>
              <w:right w:val="single" w:sz="6" w:space="0" w:color="000000"/>
            </w:tcBorders>
            <w:hideMark/>
          </w:tcPr>
          <w:p w14:paraId="6BE4D0A4"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8</w:t>
            </w:r>
          </w:p>
        </w:tc>
      </w:tr>
      <w:tr w:rsidR="002A0BDB" w:rsidRPr="002A0BDB" w14:paraId="7A688E0D" w14:textId="77777777" w:rsidTr="00A74AB9">
        <w:trPr>
          <w:trHeight w:val="570"/>
        </w:trPr>
        <w:tc>
          <w:tcPr>
            <w:tcW w:w="992" w:type="dxa"/>
            <w:tcBorders>
              <w:top w:val="single" w:sz="6" w:space="0" w:color="000000"/>
              <w:left w:val="single" w:sz="6" w:space="0" w:color="000000"/>
              <w:bottom w:val="single" w:sz="6" w:space="0" w:color="000000"/>
              <w:right w:val="single" w:sz="6" w:space="0" w:color="000000"/>
            </w:tcBorders>
            <w:hideMark/>
          </w:tcPr>
          <w:p w14:paraId="5F36A8D9" w14:textId="77777777" w:rsidR="000B71C3" w:rsidRPr="002A0BDB" w:rsidRDefault="000B71C3" w:rsidP="00A74AB9">
            <w:pPr>
              <w:spacing w:before="240" w:after="240"/>
              <w:rPr>
                <w:rFonts w:ascii="Arial" w:hAnsi="Arial" w:cs="Arial"/>
                <w:lang w:eastAsia="en-US"/>
              </w:rPr>
            </w:pPr>
            <w:proofErr w:type="spellStart"/>
            <w:r w:rsidRPr="002A0BDB">
              <w:rPr>
                <w:rFonts w:ascii="Arial" w:hAnsi="Arial" w:cs="Arial"/>
                <w:lang w:eastAsia="en-US"/>
              </w:rPr>
              <w:t>Mageto</w:t>
            </w:r>
            <w:r w:rsidRPr="002A0BDB">
              <w:rPr>
                <w:rFonts w:ascii="Arial" w:hAnsi="Arial" w:cs="Arial"/>
                <w:i/>
                <w:iCs/>
                <w:lang w:eastAsia="en-US"/>
              </w:rPr>
              <w:t>et</w:t>
            </w:r>
            <w:proofErr w:type="spellEnd"/>
            <w:r w:rsidRPr="002A0BDB">
              <w:rPr>
                <w:rFonts w:ascii="Arial" w:hAnsi="Arial" w:cs="Arial"/>
                <w:i/>
                <w:iCs/>
                <w:lang w:eastAsia="en-US"/>
              </w:rPr>
              <w:t xml:space="preserve"> al. (</w:t>
            </w:r>
            <w:r w:rsidRPr="002A0BDB">
              <w:rPr>
                <w:rFonts w:ascii="Arial" w:hAnsi="Arial" w:cs="Arial"/>
                <w:lang w:eastAsia="en-US"/>
              </w:rPr>
              <w:t>2025)</w:t>
            </w:r>
          </w:p>
        </w:tc>
        <w:tc>
          <w:tcPr>
            <w:tcW w:w="849" w:type="dxa"/>
            <w:tcBorders>
              <w:top w:val="single" w:sz="6" w:space="0" w:color="000000"/>
              <w:left w:val="single" w:sz="6" w:space="0" w:color="000000"/>
              <w:bottom w:val="single" w:sz="6" w:space="0" w:color="000000"/>
              <w:right w:val="single" w:sz="6" w:space="0" w:color="000000"/>
            </w:tcBorders>
            <w:hideMark/>
          </w:tcPr>
          <w:p w14:paraId="4EF878E1"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727" w:type="dxa"/>
            <w:tcBorders>
              <w:top w:val="single" w:sz="6" w:space="0" w:color="000000"/>
              <w:left w:val="single" w:sz="6" w:space="0" w:color="000000"/>
              <w:bottom w:val="single" w:sz="6" w:space="0" w:color="000000"/>
              <w:right w:val="single" w:sz="6" w:space="0" w:color="000000"/>
            </w:tcBorders>
            <w:hideMark/>
          </w:tcPr>
          <w:p w14:paraId="2D4226B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000000"/>
              <w:left w:val="single" w:sz="6" w:space="0" w:color="000000"/>
              <w:bottom w:val="single" w:sz="6" w:space="0" w:color="000000"/>
              <w:right w:val="single" w:sz="6" w:space="0" w:color="000000"/>
            </w:tcBorders>
            <w:hideMark/>
          </w:tcPr>
          <w:p w14:paraId="5DD4A95A"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No</w:t>
            </w:r>
          </w:p>
        </w:tc>
        <w:tc>
          <w:tcPr>
            <w:tcW w:w="925" w:type="dxa"/>
            <w:tcBorders>
              <w:top w:val="single" w:sz="6" w:space="0" w:color="000000"/>
              <w:left w:val="single" w:sz="6" w:space="0" w:color="000000"/>
              <w:bottom w:val="single" w:sz="6" w:space="0" w:color="000000"/>
              <w:right w:val="single" w:sz="6" w:space="0" w:color="000000"/>
            </w:tcBorders>
            <w:hideMark/>
          </w:tcPr>
          <w:p w14:paraId="4271BE3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000000"/>
              <w:left w:val="single" w:sz="6" w:space="0" w:color="000000"/>
              <w:bottom w:val="single" w:sz="6" w:space="0" w:color="000000"/>
              <w:right w:val="single" w:sz="6" w:space="0" w:color="000000"/>
            </w:tcBorders>
            <w:hideMark/>
          </w:tcPr>
          <w:p w14:paraId="209BC3CA"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000000"/>
              <w:left w:val="single" w:sz="6" w:space="0" w:color="000000"/>
              <w:bottom w:val="single" w:sz="6" w:space="0" w:color="000000"/>
              <w:right w:val="single" w:sz="6" w:space="0" w:color="000000"/>
            </w:tcBorders>
            <w:hideMark/>
          </w:tcPr>
          <w:p w14:paraId="12B2D48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Not clear</w:t>
            </w:r>
          </w:p>
        </w:tc>
        <w:tc>
          <w:tcPr>
            <w:tcW w:w="837" w:type="dxa"/>
            <w:tcBorders>
              <w:top w:val="single" w:sz="6" w:space="0" w:color="000000"/>
              <w:left w:val="single" w:sz="6" w:space="0" w:color="000000"/>
              <w:bottom w:val="single" w:sz="6" w:space="0" w:color="000000"/>
              <w:right w:val="single" w:sz="6" w:space="0" w:color="000000"/>
            </w:tcBorders>
            <w:hideMark/>
          </w:tcPr>
          <w:p w14:paraId="718F3493"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000000"/>
              <w:left w:val="single" w:sz="6" w:space="0" w:color="000000"/>
              <w:bottom w:val="single" w:sz="6" w:space="0" w:color="000000"/>
              <w:right w:val="single" w:sz="6" w:space="0" w:color="000000"/>
            </w:tcBorders>
            <w:hideMark/>
          </w:tcPr>
          <w:p w14:paraId="1DE0D1D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000000"/>
              <w:left w:val="single" w:sz="6" w:space="0" w:color="000000"/>
              <w:bottom w:val="single" w:sz="6" w:space="0" w:color="000000"/>
              <w:right w:val="single" w:sz="6" w:space="0" w:color="000000"/>
            </w:tcBorders>
            <w:hideMark/>
          </w:tcPr>
          <w:p w14:paraId="54DE978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6</w:t>
            </w:r>
          </w:p>
        </w:tc>
      </w:tr>
      <w:tr w:rsidR="002A0BDB" w:rsidRPr="002A0BDB" w14:paraId="32B7AD23" w14:textId="77777777" w:rsidTr="00A74AB9">
        <w:trPr>
          <w:trHeight w:val="570"/>
        </w:trPr>
        <w:tc>
          <w:tcPr>
            <w:tcW w:w="992" w:type="dxa"/>
            <w:tcBorders>
              <w:top w:val="single" w:sz="6" w:space="0" w:color="000000"/>
              <w:left w:val="single" w:sz="6" w:space="0" w:color="000000"/>
              <w:bottom w:val="single" w:sz="6" w:space="0" w:color="000000"/>
              <w:right w:val="single" w:sz="6" w:space="0" w:color="000000"/>
            </w:tcBorders>
            <w:hideMark/>
          </w:tcPr>
          <w:p w14:paraId="181E91C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Mohamed </w:t>
            </w:r>
            <w:r w:rsidRPr="002A0BDB">
              <w:rPr>
                <w:rFonts w:ascii="Arial" w:hAnsi="Arial" w:cs="Arial"/>
                <w:i/>
                <w:iCs/>
                <w:lang w:eastAsia="en-US"/>
              </w:rPr>
              <w:t xml:space="preserve">et </w:t>
            </w:r>
            <w:r w:rsidRPr="002A0BDB">
              <w:rPr>
                <w:rFonts w:ascii="Arial" w:hAnsi="Arial" w:cs="Arial"/>
                <w:i/>
                <w:iCs/>
                <w:lang w:eastAsia="en-US"/>
              </w:rPr>
              <w:lastRenderedPageBreak/>
              <w:t>al.</w:t>
            </w:r>
            <w:r w:rsidRPr="002A0BDB">
              <w:rPr>
                <w:rFonts w:ascii="Arial" w:hAnsi="Arial" w:cs="Arial"/>
                <w:lang w:eastAsia="en-US"/>
              </w:rPr>
              <w:t xml:space="preserve"> (2025)</w:t>
            </w:r>
          </w:p>
        </w:tc>
        <w:tc>
          <w:tcPr>
            <w:tcW w:w="849" w:type="dxa"/>
            <w:tcBorders>
              <w:top w:val="single" w:sz="6" w:space="0" w:color="000000"/>
              <w:left w:val="single" w:sz="6" w:space="0" w:color="000000"/>
              <w:bottom w:val="single" w:sz="6" w:space="0" w:color="000000"/>
              <w:right w:val="single" w:sz="6" w:space="0" w:color="000000"/>
            </w:tcBorders>
            <w:hideMark/>
          </w:tcPr>
          <w:p w14:paraId="67CAEE9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lastRenderedPageBreak/>
              <w:t>Yes</w:t>
            </w:r>
          </w:p>
        </w:tc>
        <w:tc>
          <w:tcPr>
            <w:tcW w:w="727" w:type="dxa"/>
            <w:tcBorders>
              <w:top w:val="single" w:sz="6" w:space="0" w:color="000000"/>
              <w:left w:val="single" w:sz="6" w:space="0" w:color="000000"/>
              <w:bottom w:val="single" w:sz="6" w:space="0" w:color="000000"/>
              <w:right w:val="single" w:sz="6" w:space="0" w:color="000000"/>
            </w:tcBorders>
            <w:hideMark/>
          </w:tcPr>
          <w:p w14:paraId="6F2FB6EC"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000000"/>
              <w:left w:val="single" w:sz="6" w:space="0" w:color="000000"/>
              <w:bottom w:val="single" w:sz="6" w:space="0" w:color="000000"/>
              <w:right w:val="single" w:sz="6" w:space="0" w:color="000000"/>
            </w:tcBorders>
            <w:hideMark/>
          </w:tcPr>
          <w:p w14:paraId="1489720D"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25" w:type="dxa"/>
            <w:tcBorders>
              <w:top w:val="single" w:sz="6" w:space="0" w:color="000000"/>
              <w:left w:val="single" w:sz="6" w:space="0" w:color="000000"/>
              <w:bottom w:val="single" w:sz="6" w:space="0" w:color="000000"/>
              <w:right w:val="single" w:sz="6" w:space="0" w:color="000000"/>
            </w:tcBorders>
            <w:hideMark/>
          </w:tcPr>
          <w:p w14:paraId="77E90901"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000000"/>
              <w:left w:val="single" w:sz="6" w:space="0" w:color="000000"/>
              <w:bottom w:val="single" w:sz="6" w:space="0" w:color="000000"/>
              <w:right w:val="single" w:sz="6" w:space="0" w:color="000000"/>
            </w:tcBorders>
            <w:hideMark/>
          </w:tcPr>
          <w:p w14:paraId="420B529D"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000000"/>
              <w:left w:val="single" w:sz="6" w:space="0" w:color="000000"/>
              <w:bottom w:val="single" w:sz="6" w:space="0" w:color="000000"/>
              <w:right w:val="single" w:sz="6" w:space="0" w:color="000000"/>
            </w:tcBorders>
            <w:hideMark/>
          </w:tcPr>
          <w:p w14:paraId="476D3690"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37" w:type="dxa"/>
            <w:tcBorders>
              <w:top w:val="single" w:sz="6" w:space="0" w:color="000000"/>
              <w:left w:val="single" w:sz="6" w:space="0" w:color="000000"/>
              <w:bottom w:val="single" w:sz="6" w:space="0" w:color="000000"/>
              <w:right w:val="single" w:sz="6" w:space="0" w:color="000000"/>
            </w:tcBorders>
            <w:hideMark/>
          </w:tcPr>
          <w:p w14:paraId="43D310DF"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000000"/>
              <w:left w:val="single" w:sz="6" w:space="0" w:color="000000"/>
              <w:bottom w:val="single" w:sz="6" w:space="0" w:color="000000"/>
              <w:right w:val="single" w:sz="6" w:space="0" w:color="000000"/>
            </w:tcBorders>
            <w:hideMark/>
          </w:tcPr>
          <w:p w14:paraId="133B1DB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000000"/>
              <w:left w:val="single" w:sz="6" w:space="0" w:color="000000"/>
              <w:bottom w:val="single" w:sz="6" w:space="0" w:color="000000"/>
              <w:right w:val="single" w:sz="6" w:space="0" w:color="000000"/>
            </w:tcBorders>
            <w:hideMark/>
          </w:tcPr>
          <w:p w14:paraId="5DEEF19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6</w:t>
            </w:r>
          </w:p>
        </w:tc>
      </w:tr>
      <w:tr w:rsidR="002A0BDB" w:rsidRPr="002A0BDB" w14:paraId="30E422C3" w14:textId="77777777" w:rsidTr="00A74AB9">
        <w:trPr>
          <w:trHeight w:val="570"/>
        </w:trPr>
        <w:tc>
          <w:tcPr>
            <w:tcW w:w="992" w:type="dxa"/>
            <w:tcBorders>
              <w:top w:val="single" w:sz="6" w:space="0" w:color="000000"/>
              <w:left w:val="single" w:sz="6" w:space="0" w:color="000000"/>
              <w:bottom w:val="single" w:sz="6" w:space="0" w:color="000000"/>
              <w:right w:val="single" w:sz="6" w:space="0" w:color="000000"/>
            </w:tcBorders>
            <w:hideMark/>
          </w:tcPr>
          <w:p w14:paraId="4B79EBC9"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 Islam </w:t>
            </w:r>
            <w:r w:rsidRPr="002A0BDB">
              <w:rPr>
                <w:rFonts w:ascii="Arial" w:hAnsi="Arial" w:cs="Arial"/>
                <w:i/>
                <w:iCs/>
                <w:lang w:eastAsia="en-US"/>
              </w:rPr>
              <w:t>et al.</w:t>
            </w:r>
            <w:r w:rsidRPr="002A0BDB">
              <w:rPr>
                <w:rFonts w:ascii="Arial" w:hAnsi="Arial" w:cs="Arial"/>
                <w:lang w:eastAsia="en-US"/>
              </w:rPr>
              <w:t xml:space="preserve"> (2021)</w:t>
            </w:r>
          </w:p>
        </w:tc>
        <w:tc>
          <w:tcPr>
            <w:tcW w:w="849" w:type="dxa"/>
            <w:tcBorders>
              <w:top w:val="single" w:sz="6" w:space="0" w:color="000000"/>
              <w:left w:val="single" w:sz="6" w:space="0" w:color="000000"/>
              <w:bottom w:val="single" w:sz="6" w:space="0" w:color="000000"/>
              <w:right w:val="single" w:sz="6" w:space="0" w:color="000000"/>
            </w:tcBorders>
            <w:hideMark/>
          </w:tcPr>
          <w:p w14:paraId="1F575038"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727" w:type="dxa"/>
            <w:tcBorders>
              <w:top w:val="single" w:sz="6" w:space="0" w:color="000000"/>
              <w:left w:val="single" w:sz="6" w:space="0" w:color="000000"/>
              <w:bottom w:val="single" w:sz="6" w:space="0" w:color="000000"/>
              <w:right w:val="single" w:sz="6" w:space="0" w:color="000000"/>
            </w:tcBorders>
            <w:hideMark/>
          </w:tcPr>
          <w:p w14:paraId="73AD31C8"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69" w:type="dxa"/>
            <w:tcBorders>
              <w:top w:val="single" w:sz="6" w:space="0" w:color="000000"/>
              <w:left w:val="single" w:sz="6" w:space="0" w:color="000000"/>
              <w:bottom w:val="single" w:sz="6" w:space="0" w:color="000000"/>
              <w:right w:val="single" w:sz="6" w:space="0" w:color="000000"/>
            </w:tcBorders>
            <w:hideMark/>
          </w:tcPr>
          <w:p w14:paraId="565BC3C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25" w:type="dxa"/>
            <w:tcBorders>
              <w:top w:val="single" w:sz="6" w:space="0" w:color="000000"/>
              <w:left w:val="single" w:sz="6" w:space="0" w:color="000000"/>
              <w:bottom w:val="single" w:sz="6" w:space="0" w:color="000000"/>
              <w:right w:val="single" w:sz="6" w:space="0" w:color="000000"/>
            </w:tcBorders>
            <w:hideMark/>
          </w:tcPr>
          <w:p w14:paraId="1971DE4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1147" w:type="dxa"/>
            <w:tcBorders>
              <w:top w:val="single" w:sz="6" w:space="0" w:color="000000"/>
              <w:left w:val="single" w:sz="6" w:space="0" w:color="000000"/>
              <w:bottom w:val="single" w:sz="6" w:space="0" w:color="000000"/>
              <w:right w:val="single" w:sz="6" w:space="0" w:color="000000"/>
            </w:tcBorders>
            <w:hideMark/>
          </w:tcPr>
          <w:p w14:paraId="40699D8A"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59" w:type="dxa"/>
            <w:tcBorders>
              <w:top w:val="single" w:sz="6" w:space="0" w:color="000000"/>
              <w:left w:val="single" w:sz="6" w:space="0" w:color="000000"/>
              <w:bottom w:val="single" w:sz="6" w:space="0" w:color="000000"/>
              <w:right w:val="single" w:sz="6" w:space="0" w:color="000000"/>
            </w:tcBorders>
            <w:hideMark/>
          </w:tcPr>
          <w:p w14:paraId="2ECD9D1D"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837" w:type="dxa"/>
            <w:tcBorders>
              <w:top w:val="single" w:sz="6" w:space="0" w:color="000000"/>
              <w:left w:val="single" w:sz="6" w:space="0" w:color="000000"/>
              <w:bottom w:val="single" w:sz="6" w:space="0" w:color="000000"/>
              <w:right w:val="single" w:sz="6" w:space="0" w:color="000000"/>
            </w:tcBorders>
            <w:hideMark/>
          </w:tcPr>
          <w:p w14:paraId="21111D2E"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903" w:type="dxa"/>
            <w:tcBorders>
              <w:top w:val="single" w:sz="6" w:space="0" w:color="000000"/>
              <w:left w:val="single" w:sz="6" w:space="0" w:color="000000"/>
              <w:bottom w:val="single" w:sz="6" w:space="0" w:color="000000"/>
              <w:right w:val="single" w:sz="6" w:space="0" w:color="000000"/>
            </w:tcBorders>
            <w:hideMark/>
          </w:tcPr>
          <w:p w14:paraId="289937A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Yes</w:t>
            </w:r>
          </w:p>
        </w:tc>
        <w:tc>
          <w:tcPr>
            <w:tcW w:w="617" w:type="dxa"/>
            <w:tcBorders>
              <w:top w:val="single" w:sz="6" w:space="0" w:color="000000"/>
              <w:left w:val="single" w:sz="6" w:space="0" w:color="000000"/>
              <w:bottom w:val="single" w:sz="6" w:space="0" w:color="000000"/>
              <w:right w:val="single" w:sz="6" w:space="0" w:color="000000"/>
            </w:tcBorders>
            <w:hideMark/>
          </w:tcPr>
          <w:p w14:paraId="18F95950"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8</w:t>
            </w:r>
          </w:p>
        </w:tc>
      </w:tr>
      <w:tr w:rsidR="002A0BDB" w:rsidRPr="002A0BDB" w14:paraId="07146030" w14:textId="77777777" w:rsidTr="00A74AB9">
        <w:trPr>
          <w:trHeight w:val="570"/>
        </w:trPr>
        <w:tc>
          <w:tcPr>
            <w:tcW w:w="992" w:type="dxa"/>
            <w:tcBorders>
              <w:top w:val="single" w:sz="6" w:space="0" w:color="000000"/>
              <w:left w:val="single" w:sz="6" w:space="0" w:color="000000"/>
              <w:bottom w:val="single" w:sz="6" w:space="0" w:color="000000"/>
              <w:right w:val="single" w:sz="6" w:space="0" w:color="000000"/>
            </w:tcBorders>
            <w:hideMark/>
          </w:tcPr>
          <w:p w14:paraId="3B165E5E"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Vishal </w:t>
            </w:r>
            <w:proofErr w:type="spellStart"/>
            <w:r w:rsidRPr="002A0BDB">
              <w:rPr>
                <w:rFonts w:ascii="Arial" w:hAnsi="Arial" w:cs="Arial"/>
                <w:lang w:eastAsia="en-US"/>
              </w:rPr>
              <w:t>Mevada</w:t>
            </w:r>
            <w:proofErr w:type="spellEnd"/>
            <w:r w:rsidRPr="002A0BDB">
              <w:rPr>
                <w:rFonts w:ascii="Arial" w:hAnsi="Arial" w:cs="Arial"/>
                <w:lang w:eastAsia="en-US"/>
              </w:rPr>
              <w:t xml:space="preserve"> </w:t>
            </w:r>
            <w:r w:rsidRPr="002A0BDB">
              <w:rPr>
                <w:rFonts w:ascii="Arial" w:hAnsi="Arial" w:cs="Arial"/>
                <w:i/>
                <w:iCs/>
                <w:lang w:eastAsia="en-US"/>
              </w:rPr>
              <w:t>et al.</w:t>
            </w:r>
            <w:r w:rsidRPr="002A0BDB">
              <w:rPr>
                <w:rFonts w:ascii="Arial" w:hAnsi="Arial" w:cs="Arial"/>
                <w:lang w:eastAsia="en-US"/>
              </w:rPr>
              <w:t xml:space="preserve"> (2023)</w:t>
            </w:r>
          </w:p>
        </w:tc>
        <w:tc>
          <w:tcPr>
            <w:tcW w:w="849" w:type="dxa"/>
            <w:tcBorders>
              <w:top w:val="single" w:sz="6" w:space="0" w:color="000000"/>
              <w:left w:val="single" w:sz="6" w:space="0" w:color="000000"/>
              <w:bottom w:val="single" w:sz="6" w:space="0" w:color="000000"/>
              <w:right w:val="single" w:sz="6" w:space="0" w:color="000000"/>
            </w:tcBorders>
            <w:hideMark/>
          </w:tcPr>
          <w:p w14:paraId="642F199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727" w:type="dxa"/>
            <w:tcBorders>
              <w:top w:val="single" w:sz="6" w:space="0" w:color="000000"/>
              <w:left w:val="single" w:sz="6" w:space="0" w:color="000000"/>
              <w:bottom w:val="single" w:sz="6" w:space="0" w:color="000000"/>
              <w:right w:val="single" w:sz="6" w:space="0" w:color="000000"/>
            </w:tcBorders>
            <w:hideMark/>
          </w:tcPr>
          <w:p w14:paraId="7DF5565F"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1169" w:type="dxa"/>
            <w:tcBorders>
              <w:top w:val="single" w:sz="6" w:space="0" w:color="000000"/>
              <w:left w:val="single" w:sz="6" w:space="0" w:color="000000"/>
              <w:bottom w:val="single" w:sz="6" w:space="0" w:color="000000"/>
              <w:right w:val="single" w:sz="6" w:space="0" w:color="000000"/>
            </w:tcBorders>
            <w:hideMark/>
          </w:tcPr>
          <w:p w14:paraId="47FF744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925" w:type="dxa"/>
            <w:tcBorders>
              <w:top w:val="single" w:sz="6" w:space="0" w:color="000000"/>
              <w:left w:val="single" w:sz="6" w:space="0" w:color="000000"/>
              <w:bottom w:val="single" w:sz="6" w:space="0" w:color="000000"/>
              <w:right w:val="single" w:sz="6" w:space="0" w:color="000000"/>
            </w:tcBorders>
            <w:hideMark/>
          </w:tcPr>
          <w:p w14:paraId="2E1C5B5A"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1147" w:type="dxa"/>
            <w:tcBorders>
              <w:top w:val="single" w:sz="6" w:space="0" w:color="000000"/>
              <w:left w:val="single" w:sz="6" w:space="0" w:color="000000"/>
              <w:bottom w:val="single" w:sz="6" w:space="0" w:color="000000"/>
              <w:right w:val="single" w:sz="6" w:space="0" w:color="000000"/>
            </w:tcBorders>
            <w:hideMark/>
          </w:tcPr>
          <w:p w14:paraId="10E94ED6"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859" w:type="dxa"/>
            <w:tcBorders>
              <w:top w:val="single" w:sz="6" w:space="0" w:color="000000"/>
              <w:left w:val="single" w:sz="6" w:space="0" w:color="000000"/>
              <w:bottom w:val="single" w:sz="6" w:space="0" w:color="000000"/>
              <w:right w:val="single" w:sz="6" w:space="0" w:color="000000"/>
            </w:tcBorders>
            <w:hideMark/>
          </w:tcPr>
          <w:p w14:paraId="618211A0"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Not clear </w:t>
            </w:r>
          </w:p>
        </w:tc>
        <w:tc>
          <w:tcPr>
            <w:tcW w:w="837" w:type="dxa"/>
            <w:tcBorders>
              <w:top w:val="single" w:sz="6" w:space="0" w:color="000000"/>
              <w:left w:val="single" w:sz="6" w:space="0" w:color="000000"/>
              <w:bottom w:val="single" w:sz="6" w:space="0" w:color="000000"/>
              <w:right w:val="single" w:sz="6" w:space="0" w:color="000000"/>
            </w:tcBorders>
            <w:hideMark/>
          </w:tcPr>
          <w:p w14:paraId="55EB1591"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903" w:type="dxa"/>
            <w:tcBorders>
              <w:top w:val="single" w:sz="6" w:space="0" w:color="000000"/>
              <w:left w:val="single" w:sz="6" w:space="0" w:color="000000"/>
              <w:bottom w:val="single" w:sz="6" w:space="0" w:color="000000"/>
              <w:right w:val="single" w:sz="6" w:space="0" w:color="000000"/>
            </w:tcBorders>
            <w:hideMark/>
          </w:tcPr>
          <w:p w14:paraId="36A751D7"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617" w:type="dxa"/>
            <w:tcBorders>
              <w:top w:val="single" w:sz="6" w:space="0" w:color="000000"/>
              <w:left w:val="single" w:sz="6" w:space="0" w:color="000000"/>
              <w:bottom w:val="single" w:sz="6" w:space="0" w:color="000000"/>
              <w:right w:val="single" w:sz="6" w:space="0" w:color="000000"/>
            </w:tcBorders>
            <w:hideMark/>
          </w:tcPr>
          <w:p w14:paraId="4BFB69BD"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4.5</w:t>
            </w:r>
          </w:p>
        </w:tc>
      </w:tr>
      <w:tr w:rsidR="002A0BDB" w:rsidRPr="002A0BDB" w14:paraId="7548DDED" w14:textId="77777777" w:rsidTr="00A74AB9">
        <w:trPr>
          <w:trHeight w:val="570"/>
        </w:trPr>
        <w:tc>
          <w:tcPr>
            <w:tcW w:w="992" w:type="dxa"/>
            <w:tcBorders>
              <w:top w:val="single" w:sz="6" w:space="0" w:color="000000"/>
              <w:left w:val="single" w:sz="6" w:space="0" w:color="000000"/>
              <w:bottom w:val="single" w:sz="6" w:space="0" w:color="000000"/>
              <w:right w:val="single" w:sz="6" w:space="0" w:color="000000"/>
            </w:tcBorders>
            <w:hideMark/>
          </w:tcPr>
          <w:p w14:paraId="33BAD3D3"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Pal </w:t>
            </w:r>
            <w:r w:rsidRPr="002A0BDB">
              <w:rPr>
                <w:rFonts w:ascii="Arial" w:hAnsi="Arial" w:cs="Arial"/>
                <w:i/>
                <w:iCs/>
                <w:lang w:eastAsia="en-US"/>
              </w:rPr>
              <w:t>et al. (</w:t>
            </w:r>
            <w:r w:rsidRPr="002A0BDB">
              <w:rPr>
                <w:rFonts w:ascii="Arial" w:hAnsi="Arial" w:cs="Arial"/>
                <w:lang w:eastAsia="en-US"/>
              </w:rPr>
              <w:t>2023)</w:t>
            </w:r>
          </w:p>
        </w:tc>
        <w:tc>
          <w:tcPr>
            <w:tcW w:w="849" w:type="dxa"/>
            <w:tcBorders>
              <w:top w:val="single" w:sz="6" w:space="0" w:color="000000"/>
              <w:left w:val="single" w:sz="6" w:space="0" w:color="000000"/>
              <w:bottom w:val="single" w:sz="6" w:space="0" w:color="000000"/>
              <w:right w:val="single" w:sz="6" w:space="0" w:color="000000"/>
            </w:tcBorders>
            <w:hideMark/>
          </w:tcPr>
          <w:p w14:paraId="215D1CF2"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727" w:type="dxa"/>
            <w:tcBorders>
              <w:top w:val="single" w:sz="6" w:space="0" w:color="000000"/>
              <w:left w:val="single" w:sz="6" w:space="0" w:color="000000"/>
              <w:bottom w:val="single" w:sz="6" w:space="0" w:color="000000"/>
              <w:right w:val="single" w:sz="6" w:space="0" w:color="000000"/>
            </w:tcBorders>
            <w:hideMark/>
          </w:tcPr>
          <w:p w14:paraId="0C2C3AD9"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1169" w:type="dxa"/>
            <w:tcBorders>
              <w:top w:val="single" w:sz="6" w:space="0" w:color="000000"/>
              <w:left w:val="single" w:sz="6" w:space="0" w:color="000000"/>
              <w:bottom w:val="single" w:sz="6" w:space="0" w:color="000000"/>
              <w:right w:val="single" w:sz="6" w:space="0" w:color="000000"/>
            </w:tcBorders>
            <w:hideMark/>
          </w:tcPr>
          <w:p w14:paraId="17DA3C86"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925" w:type="dxa"/>
            <w:tcBorders>
              <w:top w:val="single" w:sz="6" w:space="0" w:color="000000"/>
              <w:left w:val="single" w:sz="6" w:space="0" w:color="000000"/>
              <w:bottom w:val="single" w:sz="6" w:space="0" w:color="000000"/>
              <w:right w:val="single" w:sz="6" w:space="0" w:color="000000"/>
            </w:tcBorders>
            <w:hideMark/>
          </w:tcPr>
          <w:p w14:paraId="2A50A22B"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1147" w:type="dxa"/>
            <w:tcBorders>
              <w:top w:val="single" w:sz="6" w:space="0" w:color="000000"/>
              <w:left w:val="single" w:sz="6" w:space="0" w:color="000000"/>
              <w:bottom w:val="single" w:sz="6" w:space="0" w:color="000000"/>
              <w:right w:val="single" w:sz="6" w:space="0" w:color="000000"/>
            </w:tcBorders>
            <w:hideMark/>
          </w:tcPr>
          <w:p w14:paraId="726A1C04"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859" w:type="dxa"/>
            <w:tcBorders>
              <w:top w:val="single" w:sz="6" w:space="0" w:color="000000"/>
              <w:left w:val="single" w:sz="6" w:space="0" w:color="000000"/>
              <w:bottom w:val="single" w:sz="6" w:space="0" w:color="000000"/>
              <w:right w:val="single" w:sz="6" w:space="0" w:color="000000"/>
            </w:tcBorders>
            <w:hideMark/>
          </w:tcPr>
          <w:p w14:paraId="6BC1C1D5"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837" w:type="dxa"/>
            <w:tcBorders>
              <w:top w:val="single" w:sz="6" w:space="0" w:color="000000"/>
              <w:left w:val="single" w:sz="6" w:space="0" w:color="000000"/>
              <w:bottom w:val="single" w:sz="6" w:space="0" w:color="000000"/>
              <w:right w:val="single" w:sz="6" w:space="0" w:color="000000"/>
            </w:tcBorders>
            <w:hideMark/>
          </w:tcPr>
          <w:p w14:paraId="0335F64E"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903" w:type="dxa"/>
            <w:tcBorders>
              <w:top w:val="single" w:sz="6" w:space="0" w:color="000000"/>
              <w:left w:val="single" w:sz="6" w:space="0" w:color="000000"/>
              <w:bottom w:val="single" w:sz="6" w:space="0" w:color="000000"/>
              <w:right w:val="single" w:sz="6" w:space="0" w:color="000000"/>
            </w:tcBorders>
            <w:hideMark/>
          </w:tcPr>
          <w:p w14:paraId="4836AD6E"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 xml:space="preserve">Yes </w:t>
            </w:r>
          </w:p>
        </w:tc>
        <w:tc>
          <w:tcPr>
            <w:tcW w:w="617" w:type="dxa"/>
            <w:tcBorders>
              <w:top w:val="single" w:sz="6" w:space="0" w:color="000000"/>
              <w:left w:val="single" w:sz="6" w:space="0" w:color="000000"/>
              <w:bottom w:val="single" w:sz="6" w:space="0" w:color="000000"/>
              <w:right w:val="single" w:sz="6" w:space="0" w:color="000000"/>
            </w:tcBorders>
            <w:hideMark/>
          </w:tcPr>
          <w:p w14:paraId="74A83D69" w14:textId="77777777" w:rsidR="000B71C3" w:rsidRPr="002A0BDB" w:rsidRDefault="000B71C3" w:rsidP="00A74AB9">
            <w:pPr>
              <w:spacing w:before="240" w:after="240"/>
              <w:rPr>
                <w:rFonts w:ascii="Arial" w:hAnsi="Arial" w:cs="Arial"/>
                <w:lang w:eastAsia="en-US"/>
              </w:rPr>
            </w:pPr>
            <w:r w:rsidRPr="002A0BDB">
              <w:rPr>
                <w:rFonts w:ascii="Arial" w:hAnsi="Arial" w:cs="Arial"/>
                <w:lang w:eastAsia="en-US"/>
              </w:rPr>
              <w:t>9</w:t>
            </w:r>
          </w:p>
        </w:tc>
      </w:tr>
    </w:tbl>
    <w:p w14:paraId="546377F8" w14:textId="2225D0DF" w:rsidR="009F64C5" w:rsidRPr="002A0BDB" w:rsidRDefault="009F64C5" w:rsidP="000B71C3">
      <w:pPr>
        <w:spacing w:after="0"/>
        <w:rPr>
          <w:rFonts w:asciiTheme="minorBidi" w:hAnsiTheme="minorBidi"/>
        </w:rPr>
      </w:pPr>
      <w:r w:rsidRPr="002A0BDB">
        <w:rPr>
          <w:rFonts w:asciiTheme="minorBidi" w:eastAsia="Calibri" w:hAnsiTheme="minorBidi"/>
        </w:rPr>
        <w:tab/>
      </w:r>
      <w:r w:rsidRPr="002A0BDB">
        <w:rPr>
          <w:rFonts w:asciiTheme="minorBidi" w:eastAsia="Times New Roman" w:hAnsiTheme="minorBidi"/>
          <w:b/>
        </w:rPr>
        <w:t xml:space="preserve"> </w:t>
      </w:r>
      <w:r w:rsidRPr="002A0BDB">
        <w:rPr>
          <w:rFonts w:asciiTheme="minorBidi" w:hAnsiTheme="minorBidi"/>
        </w:rPr>
        <w:br w:type="page"/>
      </w:r>
    </w:p>
    <w:p w14:paraId="06FE42C2" w14:textId="77777777" w:rsidR="009F64C5" w:rsidRPr="002A0BDB" w:rsidRDefault="009F64C5">
      <w:pPr>
        <w:rPr>
          <w:rFonts w:asciiTheme="minorBidi" w:hAnsiTheme="minorBidi"/>
        </w:rPr>
      </w:pPr>
      <w:r w:rsidRPr="002A0BDB">
        <w:rPr>
          <w:rFonts w:asciiTheme="minorBidi" w:eastAsia="Calibri" w:hAnsiTheme="minorBidi"/>
        </w:rPr>
        <w:lastRenderedPageBreak/>
        <w:t xml:space="preserve"> </w:t>
      </w:r>
    </w:p>
    <w:p w14:paraId="6353C1E6"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1F4281F4"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5580289C"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30A2C0A4"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6EC5107E"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1916A577"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14D68B18"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05A2C86D"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50EFB39F"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16CAB32E"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7948AC12"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73FE2FDD"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797F1EE7"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1CD17A3B"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2B4AFC15"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76B57284"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29F71755"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0746E895"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4655414B"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4FB6B7AE"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2FB17B75"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46DA0AE6"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35E0F9C3"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12DA9060" w14:textId="77777777" w:rsidR="009F64C5" w:rsidRPr="002A0BDB" w:rsidRDefault="009F64C5">
      <w:pPr>
        <w:rPr>
          <w:rFonts w:asciiTheme="minorBidi" w:hAnsiTheme="minorBidi"/>
        </w:rPr>
      </w:pPr>
      <w:r w:rsidRPr="002A0BDB">
        <w:rPr>
          <w:rFonts w:asciiTheme="minorBidi" w:eastAsia="Calibri" w:hAnsiTheme="minorBidi"/>
        </w:rPr>
        <w:t xml:space="preserve"> </w:t>
      </w:r>
    </w:p>
    <w:p w14:paraId="65E160E1" w14:textId="77777777" w:rsidR="009F64C5" w:rsidRPr="002A0BDB" w:rsidRDefault="009F64C5">
      <w:pPr>
        <w:spacing w:after="158"/>
        <w:rPr>
          <w:rFonts w:asciiTheme="minorBidi" w:hAnsiTheme="minorBidi"/>
        </w:rPr>
      </w:pPr>
      <w:r w:rsidRPr="002A0BDB">
        <w:rPr>
          <w:rFonts w:asciiTheme="minorBidi" w:eastAsia="Calibri" w:hAnsiTheme="minorBidi"/>
        </w:rPr>
        <w:t xml:space="preserve"> </w:t>
      </w:r>
    </w:p>
    <w:p w14:paraId="124E85D0" w14:textId="77777777" w:rsidR="009F64C5" w:rsidRPr="002A0BDB" w:rsidRDefault="009F64C5">
      <w:pPr>
        <w:spacing w:after="161"/>
        <w:rPr>
          <w:rFonts w:asciiTheme="minorBidi" w:hAnsiTheme="minorBidi"/>
        </w:rPr>
      </w:pPr>
      <w:r w:rsidRPr="002A0BDB">
        <w:rPr>
          <w:rFonts w:asciiTheme="minorBidi" w:eastAsia="Calibri" w:hAnsiTheme="minorBidi"/>
        </w:rPr>
        <w:t xml:space="preserve"> </w:t>
      </w:r>
    </w:p>
    <w:p w14:paraId="69702984" w14:textId="77777777" w:rsidR="009F64C5" w:rsidRPr="002A0BDB" w:rsidRDefault="009F64C5">
      <w:pPr>
        <w:spacing w:after="172"/>
        <w:rPr>
          <w:rFonts w:asciiTheme="minorBidi" w:hAnsiTheme="minorBidi"/>
        </w:rPr>
      </w:pPr>
      <w:r w:rsidRPr="002A0BDB">
        <w:rPr>
          <w:rFonts w:asciiTheme="minorBidi" w:eastAsia="Calibri" w:hAnsiTheme="minorBidi"/>
        </w:rPr>
        <w:t xml:space="preserve"> </w:t>
      </w:r>
    </w:p>
    <w:p w14:paraId="0EF5AC8F" w14:textId="77777777" w:rsidR="009F64C5" w:rsidRPr="002A0BDB" w:rsidRDefault="009F64C5" w:rsidP="009706D0">
      <w:pPr>
        <w:spacing w:after="0"/>
        <w:rPr>
          <w:rFonts w:asciiTheme="minorBidi" w:hAnsiTheme="minorBidi"/>
        </w:rPr>
      </w:pPr>
      <w:r w:rsidRPr="002A0BDB">
        <w:rPr>
          <w:rFonts w:asciiTheme="minorBidi" w:hAnsiTheme="minorBidi"/>
        </w:rPr>
        <w:t xml:space="preserve">  </w:t>
      </w:r>
    </w:p>
    <w:sectPr w:rsidR="009F64C5" w:rsidRPr="002A0BDB" w:rsidSect="00A74AB9">
      <w:footerReference w:type="even" r:id="rId33"/>
      <w:footerReference w:type="defaul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2E08D" w14:textId="77777777" w:rsidR="00072080" w:rsidRDefault="00072080">
      <w:pPr>
        <w:spacing w:after="0" w:line="240" w:lineRule="auto"/>
      </w:pPr>
      <w:r>
        <w:separator/>
      </w:r>
    </w:p>
  </w:endnote>
  <w:endnote w:type="continuationSeparator" w:id="0">
    <w:p w14:paraId="56959D72" w14:textId="77777777" w:rsidR="00072080" w:rsidRDefault="00072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BC952" w14:textId="77777777" w:rsidR="00A74AB9" w:rsidRDefault="00A74AB9">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8E730D">
      <w:rPr>
        <w:noProof/>
        <w:color w:val="000000"/>
        <w:sz w:val="20"/>
        <w:szCs w:val="20"/>
      </w:rPr>
      <w:t>47</w:t>
    </w:r>
    <w:r>
      <w:rPr>
        <w:color w:val="000000"/>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A74AB9" w:rsidRDefault="00A74AB9">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A74AB9" w:rsidRDefault="00A74AB9">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A74AB9" w:rsidRDefault="00A74AB9">
    <w:pPr>
      <w:spacing w:after="0"/>
      <w:ind w:right="-3"/>
      <w:jc w:val="right"/>
    </w:pPr>
    <w:r>
      <w:fldChar w:fldCharType="begin"/>
    </w:r>
    <w:r>
      <w:instrText xml:space="preserve"> PAGE   \* MERGEFORMAT </w:instrText>
    </w:r>
    <w:r>
      <w:fldChar w:fldCharType="separate"/>
    </w:r>
    <w:r w:rsidR="008E730D" w:rsidRPr="008E730D">
      <w:rPr>
        <w:rFonts w:ascii="Calibri" w:eastAsia="Calibri" w:hAnsi="Calibri" w:cs="Calibri"/>
        <w:noProof/>
      </w:rPr>
      <w:t>61</w:t>
    </w:r>
    <w:r>
      <w:rPr>
        <w:rFonts w:ascii="Calibri" w:eastAsia="Calibri" w:hAnsi="Calibri" w:cs="Calibri"/>
      </w:rPr>
      <w:fldChar w:fldCharType="end"/>
    </w:r>
    <w:r>
      <w:rPr>
        <w:rFonts w:ascii="Calibri" w:eastAsia="Calibri" w:hAnsi="Calibri" w:cs="Calibri"/>
      </w:rPr>
      <w:t xml:space="preserve"> </w:t>
    </w:r>
  </w:p>
  <w:p w14:paraId="3B69E3F4" w14:textId="77777777" w:rsidR="00A74AB9" w:rsidRDefault="00A74AB9">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A74AB9" w:rsidRDefault="00A74AB9">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A74AB9" w:rsidRDefault="00A74AB9">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456AA" w14:textId="77777777" w:rsidR="00072080" w:rsidRDefault="00072080">
      <w:pPr>
        <w:spacing w:after="0" w:line="240" w:lineRule="auto"/>
      </w:pPr>
      <w:r>
        <w:separator/>
      </w:r>
    </w:p>
  </w:footnote>
  <w:footnote w:type="continuationSeparator" w:id="0">
    <w:p w14:paraId="11ABD612" w14:textId="77777777" w:rsidR="00072080" w:rsidRDefault="000720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38638D9"/>
    <w:multiLevelType w:val="multilevel"/>
    <w:tmpl w:val="86A29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310789224">
    <w:abstractNumId w:val="8"/>
  </w:num>
  <w:num w:numId="2" w16cid:durableId="2001932100">
    <w:abstractNumId w:val="0"/>
  </w:num>
  <w:num w:numId="3" w16cid:durableId="1958178053">
    <w:abstractNumId w:val="5"/>
  </w:num>
  <w:num w:numId="4" w16cid:durableId="2009942589">
    <w:abstractNumId w:val="2"/>
  </w:num>
  <w:num w:numId="5" w16cid:durableId="765855655">
    <w:abstractNumId w:val="3"/>
  </w:num>
  <w:num w:numId="6" w16cid:durableId="705521696">
    <w:abstractNumId w:val="6"/>
  </w:num>
  <w:num w:numId="7" w16cid:durableId="1705205400">
    <w:abstractNumId w:val="7"/>
  </w:num>
  <w:num w:numId="8" w16cid:durableId="1108504559">
    <w:abstractNumId w:val="4"/>
  </w:num>
  <w:num w:numId="9" w16cid:durableId="1148012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4C5"/>
    <w:rsid w:val="000018D1"/>
    <w:rsid w:val="000555DE"/>
    <w:rsid w:val="00072080"/>
    <w:rsid w:val="0009586C"/>
    <w:rsid w:val="000A7152"/>
    <w:rsid w:val="000B71C3"/>
    <w:rsid w:val="000C2B0B"/>
    <w:rsid w:val="000C39D5"/>
    <w:rsid w:val="000C4FA2"/>
    <w:rsid w:val="000D3349"/>
    <w:rsid w:val="000E3E68"/>
    <w:rsid w:val="00113366"/>
    <w:rsid w:val="001711AB"/>
    <w:rsid w:val="001C5965"/>
    <w:rsid w:val="001D4732"/>
    <w:rsid w:val="00260AA5"/>
    <w:rsid w:val="00275CD8"/>
    <w:rsid w:val="002A0BDB"/>
    <w:rsid w:val="002B01AB"/>
    <w:rsid w:val="002B04A6"/>
    <w:rsid w:val="002B0D40"/>
    <w:rsid w:val="002B523E"/>
    <w:rsid w:val="002D3986"/>
    <w:rsid w:val="00326C87"/>
    <w:rsid w:val="003A42BB"/>
    <w:rsid w:val="003B60BD"/>
    <w:rsid w:val="003C35D2"/>
    <w:rsid w:val="003E6467"/>
    <w:rsid w:val="00451507"/>
    <w:rsid w:val="004528E6"/>
    <w:rsid w:val="0046222E"/>
    <w:rsid w:val="005107BD"/>
    <w:rsid w:val="00514120"/>
    <w:rsid w:val="00523B4A"/>
    <w:rsid w:val="00531E69"/>
    <w:rsid w:val="00541428"/>
    <w:rsid w:val="00580BB5"/>
    <w:rsid w:val="005B04CA"/>
    <w:rsid w:val="005C7592"/>
    <w:rsid w:val="005F46E9"/>
    <w:rsid w:val="00616EE4"/>
    <w:rsid w:val="00623C0E"/>
    <w:rsid w:val="00632B0A"/>
    <w:rsid w:val="00633AD5"/>
    <w:rsid w:val="00637138"/>
    <w:rsid w:val="006B40A3"/>
    <w:rsid w:val="006E28A0"/>
    <w:rsid w:val="0070279F"/>
    <w:rsid w:val="0072004D"/>
    <w:rsid w:val="0072079A"/>
    <w:rsid w:val="00737958"/>
    <w:rsid w:val="007446D0"/>
    <w:rsid w:val="007843AD"/>
    <w:rsid w:val="007907BB"/>
    <w:rsid w:val="007F1C8A"/>
    <w:rsid w:val="007F3292"/>
    <w:rsid w:val="008244BA"/>
    <w:rsid w:val="00851D37"/>
    <w:rsid w:val="0086274C"/>
    <w:rsid w:val="008A73BC"/>
    <w:rsid w:val="008D6BF7"/>
    <w:rsid w:val="008E730D"/>
    <w:rsid w:val="009102D2"/>
    <w:rsid w:val="00954E4C"/>
    <w:rsid w:val="009706D0"/>
    <w:rsid w:val="00986A40"/>
    <w:rsid w:val="00995B70"/>
    <w:rsid w:val="00995D8C"/>
    <w:rsid w:val="009A1B64"/>
    <w:rsid w:val="009C3DC1"/>
    <w:rsid w:val="009D3551"/>
    <w:rsid w:val="009F64C5"/>
    <w:rsid w:val="00A2514C"/>
    <w:rsid w:val="00A524A9"/>
    <w:rsid w:val="00A54C3D"/>
    <w:rsid w:val="00A56395"/>
    <w:rsid w:val="00A74AB9"/>
    <w:rsid w:val="00A87AD7"/>
    <w:rsid w:val="00A9635A"/>
    <w:rsid w:val="00B103DC"/>
    <w:rsid w:val="00B40841"/>
    <w:rsid w:val="00B933CE"/>
    <w:rsid w:val="00BC67C0"/>
    <w:rsid w:val="00BE43A9"/>
    <w:rsid w:val="00C1367C"/>
    <w:rsid w:val="00CB67F7"/>
    <w:rsid w:val="00D40117"/>
    <w:rsid w:val="00D6053C"/>
    <w:rsid w:val="00D611DE"/>
    <w:rsid w:val="00D7349D"/>
    <w:rsid w:val="00D76F2A"/>
    <w:rsid w:val="00D96E1F"/>
    <w:rsid w:val="00DC3B37"/>
    <w:rsid w:val="00DD7AA5"/>
    <w:rsid w:val="00E6798F"/>
    <w:rsid w:val="00F01061"/>
    <w:rsid w:val="00F23575"/>
    <w:rsid w:val="00F24400"/>
    <w:rsid w:val="00F538CB"/>
    <w:rsid w:val="00F64A09"/>
    <w:rsid w:val="00F90B9A"/>
    <w:rsid w:val="00FA17BE"/>
    <w:rsid w:val="00FD0BDD"/>
    <w:rsid w:val="00FF07A5"/>
    <w:rsid w:val="00FF0E19"/>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CB67F7"/>
    <w:pPr>
      <w:keepNext/>
      <w:keepLines/>
      <w:spacing w:after="181" w:line="360" w:lineRule="auto"/>
      <w:jc w:val="both"/>
      <w:outlineLvl w:val="2"/>
    </w:pPr>
    <w:rPr>
      <w:rFonts w:ascii="Arial" w:eastAsia="Times New Roman" w:hAnsi="Arial" w:cs="Arial"/>
      <w:b/>
      <w:bCs/>
      <w:u w:val="single" w:color="000000"/>
      <w:lang w:eastAsia="en-US"/>
    </w:rPr>
  </w:style>
  <w:style w:type="paragraph" w:styleId="Heading4">
    <w:name w:val="heading 4"/>
    <w:basedOn w:val="Normal"/>
    <w:next w:val="Normal"/>
    <w:link w:val="Heading4Char"/>
    <w:autoRedefine/>
    <w:uiPriority w:val="9"/>
    <w:unhideWhenUsed/>
    <w:qFormat/>
    <w:rsid w:val="005C7592"/>
    <w:pPr>
      <w:keepNext/>
      <w:keepLines/>
      <w:spacing w:before="40" w:after="0" w:line="360" w:lineRule="auto"/>
      <w:jc w:val="center"/>
      <w:outlineLvl w:val="3"/>
    </w:pPr>
    <w:rPr>
      <w:rFonts w:asciiTheme="majorHAnsi" w:eastAsiaTheme="majorEastAsia" w:hAnsiTheme="majorHAnsi" w:cstheme="majorBidi"/>
      <w:b/>
      <w:i/>
      <w:iCs/>
      <w:color w:val="000000" w:themeColor="text1"/>
    </w:rPr>
  </w:style>
  <w:style w:type="paragraph" w:styleId="Heading5">
    <w:name w:val="heading 5"/>
    <w:basedOn w:val="Normal"/>
    <w:next w:val="Normal"/>
    <w:link w:val="Heading5Char"/>
    <w:autoRedefine/>
    <w:uiPriority w:val="9"/>
    <w:unhideWhenUsed/>
    <w:qFormat/>
    <w:rsid w:val="00F64A09"/>
    <w:pPr>
      <w:keepNext/>
      <w:keepLines/>
      <w:spacing w:before="40" w:after="0" w:line="360" w:lineRule="auto"/>
      <w:jc w:val="center"/>
      <w:outlineLvl w:val="4"/>
    </w:pPr>
    <w:rPr>
      <w:rFonts w:ascii="Arial" w:eastAsiaTheme="majorEastAsia" w:hAnsi="Arial"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CB67F7"/>
    <w:rPr>
      <w:rFonts w:ascii="Arial" w:eastAsia="Times New Roman" w:hAnsi="Arial" w:cs="Arial"/>
      <w:b/>
      <w:bCs/>
      <w:u w:val="single" w:color="000000"/>
      <w:lang w:eastAsia="en-US"/>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character" w:customStyle="1" w:styleId="Heading4Char">
    <w:name w:val="Heading 4 Char"/>
    <w:basedOn w:val="DefaultParagraphFont"/>
    <w:link w:val="Heading4"/>
    <w:uiPriority w:val="9"/>
    <w:rsid w:val="005C7592"/>
    <w:rPr>
      <w:rFonts w:asciiTheme="majorHAnsi" w:eastAsiaTheme="majorEastAsia" w:hAnsiTheme="majorHAnsi" w:cstheme="majorBidi"/>
      <w:b/>
      <w:i/>
      <w:iCs/>
      <w:color w:val="000000" w:themeColor="text1"/>
    </w:rPr>
  </w:style>
  <w:style w:type="character" w:customStyle="1" w:styleId="Heading5Char">
    <w:name w:val="Heading 5 Char"/>
    <w:basedOn w:val="DefaultParagraphFont"/>
    <w:link w:val="Heading5"/>
    <w:uiPriority w:val="9"/>
    <w:rsid w:val="00F64A09"/>
    <w:rPr>
      <w:rFonts w:ascii="Arial" w:eastAsiaTheme="majorEastAsia" w:hAnsi="Arial" w:cstheme="majorBidi"/>
      <w:b/>
      <w:color w:val="000000" w:themeColor="text1"/>
    </w:rPr>
  </w:style>
  <w:style w:type="character" w:styleId="Hyperlink">
    <w:name w:val="Hyperlink"/>
    <w:basedOn w:val="DefaultParagraphFont"/>
    <w:uiPriority w:val="99"/>
    <w:unhideWhenUsed/>
    <w:rsid w:val="00B40841"/>
    <w:rPr>
      <w:color w:val="0563C1" w:themeColor="hyperlink"/>
      <w:u w:val="single"/>
    </w:rPr>
  </w:style>
  <w:style w:type="paragraph" w:styleId="TableofFigures">
    <w:name w:val="table of figures"/>
    <w:basedOn w:val="Normal"/>
    <w:next w:val="Normal"/>
    <w:uiPriority w:val="99"/>
    <w:unhideWhenUsed/>
    <w:rsid w:val="00B4084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ustomXml" Target="ink/ink4.xml" /><Relationship Id="rId18" Type="http://schemas.openxmlformats.org/officeDocument/2006/relationships/image" Target="media/image7.png" /><Relationship Id="rId26" Type="http://schemas.openxmlformats.org/officeDocument/2006/relationships/hyperlink" Target="https://www.gtfcc.org/wp-content/uploads/2025/04/public-health-surveillance-for-cholera-guidance-document-2024.pdf" TargetMode="External" /><Relationship Id="rId3" Type="http://schemas.openxmlformats.org/officeDocument/2006/relationships/styles" Target="styles.xml" /><Relationship Id="rId21" Type="http://schemas.openxmlformats.org/officeDocument/2006/relationships/hyperlink" Target="https://microbeonline.com/the-germ-theory-of-disease-experiments-an-applications/" TargetMode="External" /><Relationship Id="rId34" Type="http://schemas.openxmlformats.org/officeDocument/2006/relationships/footer" Target="footer3.xml" /><Relationship Id="rId7" Type="http://schemas.openxmlformats.org/officeDocument/2006/relationships/endnotes" Target="endnotes.xml" /><Relationship Id="rId12" Type="http://schemas.openxmlformats.org/officeDocument/2006/relationships/customXml" Target="ink/ink3.xml" /><Relationship Id="rId17" Type="http://schemas.openxmlformats.org/officeDocument/2006/relationships/image" Target="media/image6.png" /><Relationship Id="rId25" Type="http://schemas.openxmlformats.org/officeDocument/2006/relationships/hyperlink" Target="https://www.gov.uk/government/publications/copyright-acts-and-related-laws" TargetMode="External" /><Relationship Id="rId33"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5.png" /><Relationship Id="rId20" Type="http://schemas.openxmlformats.org/officeDocument/2006/relationships/footer" Target="footer1.xml" /><Relationship Id="rId29" Type="http://schemas.openxmlformats.org/officeDocument/2006/relationships/hyperlink" Target="https://assets.publishing.service.gov.uk/media/65aff68ef2718c000dfb1bd8/Pathogen_Genomics_Strategy_2024.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ustomXml" Target="ink/ink2.xml" /><Relationship Id="rId24" Type="http://schemas.openxmlformats.org/officeDocument/2006/relationships/hyperlink" Target="https://assets.publishing.service.gov.uk/media/57a08af940f0b649740008aa/Science_and_Innovation_chapter6.pdf" TargetMode="External" /><Relationship Id="rId32" Type="http://schemas.openxmlformats.org/officeDocument/2006/relationships/hyperlink" Target="https://www.who.int/health-topics/water-sanitation-and-hygiene-wash"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4.png" /><Relationship Id="rId23" Type="http://schemas.openxmlformats.org/officeDocument/2006/relationships/hyperlink" Target="https://www.ecdc.europa.eu/sites/default/files/documents/CHOL_AER_2022_Report.pdf" TargetMode="External" /><Relationship Id="rId28" Type="http://schemas.openxmlformats.org/officeDocument/2006/relationships/hyperlink" Target="https://www.gov.uk/government/publications/ukhsa-board-meeting-papers-january-2023/ukhsa-advisory-board-preparedness-for-infectious-disease-threats" TargetMode="External" /><Relationship Id="rId36"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image" Target="media/image8.png" /><Relationship Id="rId31" Type="http://schemas.openxmlformats.org/officeDocument/2006/relationships/hyperlink" Target="https://www.ncbi.nlm.nih.gov/books/NBK579445/" TargetMode="External" /><Relationship Id="rId4" Type="http://schemas.openxmlformats.org/officeDocument/2006/relationships/settings" Target="settings.xml" /><Relationship Id="rId9" Type="http://schemas.openxmlformats.org/officeDocument/2006/relationships/customXml" Target="ink/ink1.xml" /><Relationship Id="rId14" Type="http://schemas.openxmlformats.org/officeDocument/2006/relationships/image" Target="media/image3.png" /><Relationship Id="rId22" Type="http://schemas.openxmlformats.org/officeDocument/2006/relationships/hyperlink" Target="https://microbeonline.com/the-germ-theory-of-disease-experiments-an-applications/" TargetMode="External" /><Relationship Id="rId27" Type="http://schemas.openxmlformats.org/officeDocument/2006/relationships/hyperlink" Target="https://assets.publishing.service.gov.uk/media/5a7c9ac7e5274a0bb7cb82a6/Introducing_Fundamental_Standards_-_a_Consultation.pdf" TargetMode="External" /><Relationship Id="rId30" Type="http://schemas.openxmlformats.org/officeDocument/2006/relationships/hyperlink" Target="https://www.who.int/news/item/04-09-2024-data-show-marked-increase-in-annual-cholera-deaths" TargetMode="External" /><Relationship Id="rId35" Type="http://schemas.openxmlformats.org/officeDocument/2006/relationships/footer" Target="footer4.xm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45FC1-1C26-4B6E-9520-83523EBDC7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89</Pages>
  <Words>20775</Words>
  <Characters>118423</Characters>
  <Application>Microsoft Office Word</Application>
  <DocSecurity>0</DocSecurity>
  <Lines>986</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pareshchoudhary9638@gmail.com</cp:lastModifiedBy>
  <cp:revision>2</cp:revision>
  <cp:lastPrinted>2023-09-21T02:18:00Z</cp:lastPrinted>
  <dcterms:created xsi:type="dcterms:W3CDTF">2026-01-28T10:30:00Z</dcterms:created>
  <dcterms:modified xsi:type="dcterms:W3CDTF">2026-01-28T10:30:00Z</dcterms:modified>
</cp:coreProperties>
</file>