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ve:Ignorable="mv w14 w15 w16se wp14" ve:PreserveAttributes="mv:*">
  <w:body>
    <w:p>
      <w:pPr>
        <w:jc w:val="center"/>
        <w:rPr>
          <w:color w:val="222222"/>
          <w:rFonts w:hAnsi="Arial" w:ascii="Arial" w:cs="Arial"/>
          <w:b/>
          <w:sz w:val="28"/>
          <w:szCs w:val="28"/>
          <w:shd w:val="clear" w:color="auto" w:fill="FFFFFF"/>
        </w:rPr>
      </w:pPr>
      <w:r>
        <w:rPr>
          <w:color w:val="222222"/>
          <w:rFonts w:hAnsi="Arial" w:ascii="Arial" w:cs="Arial"/>
          <w:b/>
          <w:i w:val="0"/>
          <w:strike w:val="0"/>
          <w:dstrike w:val="0"/>
          <w:emboss w:val="0"/>
          <w:imprint w:val="0"/>
          <w:outline w:val="0"/>
          <w:shadow w:val="0"/>
          <w:sz w:val="28"/>
          <w:szCs w:val="28"/>
          <w:u w:val="none"/>
          <w:shd w:val="clear" w:color="auto" w:fill="FFFFFF"/>
        </w:rPr>
        <w:t xml:space="preserve">Problem Solving and Innovation</w:t>
      </w:r>
    </w:p>
    <w:p>
      <w:pPr>
        <w:jc w:val="center"/>
        <w:rPr>
          <w:color w:val="000000"/>
          <w:rFonts w:hAnsi="Arial" w:ascii="Arial" w:cs="Arial"/>
          <w:b/>
          <w:sz w:val="28"/>
          <w:szCs w:val="28"/>
          <w:shd w:val="clear" w:color="auto" w:fill="FFFFFF"/>
        </w:rPr>
      </w:pPr>
      <w:r>
        <w:rPr>
          <w:color w:val="222222"/>
          <w:rFonts w:hAnsi="Arial" w:ascii="Arial" w:cs="Arial"/>
          <w:b/>
          <w:i w:val="0"/>
          <w:strike w:val="0"/>
          <w:dstrike w:val="0"/>
          <w:emboss w:val="0"/>
          <w:imprint w:val="0"/>
          <w:outline w:val="0"/>
          <w:shadow w:val="0"/>
          <w:sz w:val="28"/>
          <w:szCs w:val="28"/>
          <w:u w:val="none"/>
          <w:shd w:val="clear" w:color="auto" w:fill="FFFFFF"/>
        </w:rPr>
        <w:t xml:space="preserve">Speaker notes</w:t>
      </w:r>
    </w:p>
    <w:p>
      <w:pPr>
        <w:jc w:val="center"/>
        <w:rPr>
          <w:color w:val="000000"/>
          <w:rFonts w:hAnsi="Arial" w:ascii="Arial" w:cs="Arial"/>
          <w:b/>
          <w:sz w:val="28"/>
          <w:szCs w:val="28"/>
          <w:shd w:val="clear" w:color="auto" w:fill="FFFFFF"/>
        </w:rPr>
      </w:pPr>
      <w:r>
        <w:rPr>
          <w:color w:val="000000"/>
          <w:rFonts w:hAnsi="Arial" w:ascii="Arial" w:cs="Arial"/>
          <w:b/>
          <w:i w:val="0"/>
          <w:strike w:val="0"/>
          <w:dstrike w:val="0"/>
          <w:emboss w:val="0"/>
          <w:imprint w:val="0"/>
          <w:outline w:val="0"/>
          <w:shadow w:val="0"/>
          <w:sz w:val="28"/>
          <w:szCs w:val="28"/>
          <w:u w:val="none"/>
          <w:shd w:val="clear" w:color="auto" w:fill="FFFFFF"/>
        </w:rPr>
        <w:t xml:space="preserve">Student Names:</w:t>
      </w:r>
    </w:p>
    <w:p>
      <w:pPr>
        <w:jc w:val="center"/>
        <w:rPr>
          <w:color w:val="000000"/>
          <w:rFonts w:hAnsi="Arial" w:ascii="Arial" w:cs="Arial"/>
          <w:b/>
          <w:sz w:val="28"/>
          <w:szCs w:val="28"/>
          <w:shd w:val="clear" w:color="auto" w:fill="FFFFFF"/>
        </w:rPr>
      </w:pPr>
      <w:r>
        <w:rPr>
          <w:color w:val="000000"/>
          <w:rFonts w:hAnsi="Arial" w:ascii="Arial" w:cs="Arial"/>
          <w:b/>
          <w:i w:val="0"/>
          <w:strike w:val="0"/>
          <w:dstrike w:val="0"/>
          <w:emboss w:val="0"/>
          <w:imprint w:val="0"/>
          <w:outline w:val="0"/>
          <w:shadow w:val="0"/>
          <w:sz w:val="28"/>
          <w:szCs w:val="28"/>
          <w:u w:val="none"/>
          <w:shd w:val="clear" w:color="auto" w:fill="FFFFFF"/>
        </w:rPr>
        <w:t xml:space="preserve">Denisa Geciova 2310990</w:t>
      </w:r>
    </w:p>
    <w:p>
      <w:pPr>
        <w:jc w:val="center"/>
        <w:rPr>
          <w:color w:val="000000"/>
          <w:rFonts w:hAnsi="Arial" w:ascii="Arial" w:cs="Arial"/>
          <w:b/>
          <w:sz w:val="28"/>
          <w:szCs w:val="28"/>
          <w:shd w:val="clear" w:color="auto" w:fill="FFFFFF"/>
        </w:rPr>
      </w:pPr>
      <w:r>
        <w:rPr>
          <w:color w:val="000000"/>
          <w:rFonts w:hAnsi="Arial" w:ascii="Arial" w:cs="Arial"/>
          <w:b/>
          <w:i w:val="0"/>
          <w:strike w:val="0"/>
          <w:dstrike w:val="0"/>
          <w:emboss w:val="0"/>
          <w:imprint w:val="0"/>
          <w:outline w:val="0"/>
          <w:shadow w:val="0"/>
          <w:sz w:val="28"/>
          <w:szCs w:val="28"/>
          <w:u w:val="none"/>
          <w:shd w:val="clear" w:color="auto" w:fill="FFFFFF"/>
        </w:rPr>
        <w:t xml:space="preserve">Nikola Janova. 2311227</w:t>
      </w:r>
    </w:p>
    <w:p>
      <w:pPr>
        <w:jc w:val="center"/>
        <w:rPr>
          <w:b/>
          <w:sz w:val="28"/>
          <w:szCs w:val="28"/>
        </w:rPr>
      </w:pPr>
      <w:r>
        <w:rPr>
          <w:color w:val="000000"/>
          <w:rFonts w:hAnsi="Arial" w:ascii="Arial" w:cs="Arial"/>
          <w:b/>
          <w:i w:val="0"/>
          <w:strike w:val="0"/>
          <w:dstrike w:val="0"/>
          <w:emboss w:val="0"/>
          <w:imprint w:val="0"/>
          <w:outline w:val="0"/>
          <w:shadow w:val="0"/>
          <w:sz w:val="28"/>
          <w:szCs w:val="28"/>
          <w:u w:val="none"/>
          <w:shd w:val="clear" w:color="auto" w:fill="FFFFFF"/>
        </w:rPr>
        <w:t xml:space="preserve">Kemetia James 2308793</w:t>
      </w:r>
    </w:p>
    <w:p>
      <w:pPr/>
    </w:p>
    <w:p>
      <w:pPr/>
      <w:r>
        <w:rPr>
          <w:rFonts w:ascii="Times New Roman"/>
          <w:b w:val="0"/>
          <w:i w:val="0"/>
          <w:strike w:val="0"/>
          <w:dstrike w:val="0"/>
          <w:emboss w:val="0"/>
          <w:imprint w:val="0"/>
          <w:outline w:val="0"/>
          <w:shadow w:val="0"/>
          <w:sz w:val="24"/>
          <w:szCs w:val="24"/>
          <w:u w:val="none"/>
        </w:rPr>
        <w:t xml:space="preserve">This presentation was centred on solutions for the crisis of declining sales and shop traffic of Wilko. including competition from e-commerce as well as changing tastes where consumers do not feel like shopping as much as they did before but prefer social activities and time spent elsewhere instead of buying furniture for their homes. As a result of this economic crushes brought by the pandemic, consumers have cut down on what is deemed non-essential items while redirect them spend to other areas as displayed by the business bodies such as the BRC. Similarly, a resolution of the issues linked to footfall and sales decline exemplify Wilko’s urgent needs to recover from its falling sales.</w:t>
      </w:r>
    </w:p>
    <w:p>
      <w:pPr/>
      <w:r>
        <w:rPr>
          <w:rFonts w:ascii="Times New Roman"/>
          <w:b w:val="0"/>
          <w:i w:val="0"/>
          <w:strike w:val="0"/>
          <w:dstrike w:val="0"/>
          <w:emboss w:val="0"/>
          <w:imprint w:val="0"/>
          <w:outline w:val="0"/>
          <w:shadow w:val="0"/>
          <w:sz w:val="24"/>
          <w:szCs w:val="24"/>
          <w:u w:val="none"/>
        </w:rPr>
        <w:t xml:space="preserve">To illustrate Digital Channels and Leverage online an example of Argos would be helpful for Wilko as it released same-day delivery starting from some stores with DPD same year by 2017, which brought about great growth in a short time (Jorgenson, 2024). Expanding by a quarter in 18 months sales only rose 15%, while 80% of customers were satisfied. Back in 2020, M&amp;S launched "Spark" same-work service for essentials in 12 UK cities such service far exceeded expectations and has since been expanded.</w:t>
      </w:r>
    </w:p>
    <w:p>
      <w:pPr/>
      <w:r>
        <w:rPr>
          <w:rFonts w:ascii="Times New Roman"/>
          <w:b w:val="0"/>
          <w:i w:val="0"/>
          <w:strike w:val="0"/>
          <w:dstrike w:val="0"/>
          <w:emboss w:val="0"/>
          <w:imprint w:val="0"/>
          <w:outline w:val="0"/>
          <w:shadow w:val="0"/>
          <w:sz w:val="24"/>
          <w:szCs w:val="24"/>
          <w:u w:val="none"/>
        </w:rPr>
        <w:t xml:space="preserve">Consecutively, Wilko could evaluate its sustainability performance through employee surveys and social listening. Within days, this data informed Wilko of the product's weak spots, prompting the revision of Wilko strategies and communications. For example, in Body Shop study case, there was a 10% rise for the sales of those ranges (Kardeş et al., 2020). Roebucks introduction weaving robot’s terminator in the scenario of perceived threats arising from technology development (Armstrong, Wilkinson and Cilliers</w:t>
        <w:t xml:space="preserve">, 2023).</w:t>
      </w:r>
    </w:p>
    <w:p>
      <w:pPr/>
      <w:r>
        <w:rPr>
          <w:rFonts w:ascii="Times New Roman"/>
          <w:b w:val="0"/>
          <w:i w:val="0"/>
          <w:strike w:val="0"/>
          <w:dstrike w:val="0"/>
          <w:emboss w:val="0"/>
          <w:imprint w:val="0"/>
          <w:outline w:val="0"/>
          <w:shadow w:val="0"/>
          <w:sz w:val="24"/>
          <w:szCs w:val="24"/>
          <w:u w:val="none"/>
        </w:rPr>
        <w:t xml:space="preserve">Another recommendation given to Wilko was to collaborate with delivery entities such as Deliveroo in the event of quick order completion (Wilkinson et al., 2020). Transitioning to click and collect for all stores allowed Wilko to more fully leverage the amalgamation of online and physical channels. Presentation of successful cases from Argos and M&amp;S allowed to use them as a proof for this strategy. Moreover, store renovations based on the model of Dunelm and interactive weekly workshops which would have been borrowed from the success strategies of Harry Corry would be helpful to revive Wilko's physical holdings. </w:t>
      </w:r>
    </w:p>
    <w:p>
      <w:pPr/>
      <w:r>
        <w:rPr>
          <w:rFonts w:ascii="Times New Roman"/>
          <w:b w:val="0"/>
          <w:i w:val="0"/>
          <w:strike w:val="0"/>
          <w:dstrike w:val="0"/>
          <w:emboss w:val="0"/>
          <w:imprint w:val="0"/>
          <w:outline w:val="0"/>
          <w:shadow w:val="0"/>
          <w:sz w:val="24"/>
          <w:szCs w:val="24"/>
          <w:u w:val="none"/>
        </w:rPr>
        <w:t xml:space="preserve">This recommendation aims to promote the in-store experience through the updated subject layout and enactment demonstrations in order to captivate more potential clients. Restructuring of Wilko's bestselling branches with a new, updated furniture design truly reflecting competition stores like Dunelm and Ikea shops would bring more inspiration into Wilko's retail environment (Sagar Srinivas and Ganesha, 2024). Moreover, the organising of showcases by YouTube players on different issues ranging from DIY to cooking every Friday could bring in bored shoppers and present Wilko stores as workshop venues. The experiential elements of similar retailers were able to reach new audiences as well as the ones shown to have made discoveries and purchases in these locations.</w:t>
        <w:t xml:space="preserve"> Concise communication strategy, with employees, customers and suppliers in focus, is aimed at building the advocacy operating model. The Body Shop was used as an example of the importance of social listening and receiving feedback via these mechanisms (Lazoriková, 2021). </w:t>
      </w:r>
    </w:p>
    <w:p>
      <w:pPr/>
      <w:r>
        <w:rPr>
          <w:rFonts w:ascii="Times New Roman"/>
          <w:b w:val="0"/>
          <w:i w:val="0"/>
          <w:strike w:val="0"/>
          <w:dstrike w:val="0"/>
          <w:emboss w:val="0"/>
          <w:imprint w:val="0"/>
          <w:outline w:val="0"/>
          <w:shadow w:val="0"/>
          <w:sz w:val="24"/>
          <w:szCs w:val="24"/>
          <w:u w:val="none"/>
        </w:rPr>
        <w:br w:type="page"/>
      </w:r>
    </w:p>
    <w:p>
      <w:pPr>
        <w:pStyle w:val="Nadpis1"/>
        <w:spacing w:line="360" w:lineRule="auto"/>
      </w:pPr>
      <w:bookmarkStart w:id="0" w:name="_Hlk160589030"/>
      <w:r>
        <w:rPr>
          <w:rFonts w:ascii="Times New Roman"/>
          <w:b/>
          <w:i w:val="0"/>
          <w:strike w:val="0"/>
          <w:dstrike w:val="0"/>
          <w:emboss w:val="0"/>
          <w:imprint w:val="0"/>
          <w:outline w:val="0"/>
          <w:shadow w:val="0"/>
          <w:sz w:val="32"/>
          <w:szCs w:val="32"/>
          <w:u w:val="none"/>
        </w:rPr>
        <w:t xml:space="preserve">References </w:t>
      </w:r>
    </w:p>
    <w:p>
      <w:pPr>
        <w:ind w:left="720" w:hanging="720"/>
      </w:pPr>
      <w:r>
        <w:rPr>
          <w:rFonts w:ascii="Times New Roman"/>
          <w:b w:val="0"/>
          <w:i w:val="0"/>
          <w:strike w:val="0"/>
          <w:dstrike w:val="0"/>
          <w:emboss w:val="0"/>
          <w:imprint w:val="0"/>
          <w:outline w:val="0"/>
          <w:shadow w:val="0"/>
          <w:sz w:val="24"/>
          <w:szCs w:val="24"/>
          <w:u w:val="none"/>
        </w:rPr>
        <w:t xml:space="preserve">Armstrong, G., Wilkinson, S. and Cilliers, E.J. (2023) 'A framework for sustainable adaptive reuse: understanding vacancy and underuse in existing urban buildings,' Frontiers in Sustainable Cities, 5. </w:t>
      </w:r>
      <w:hyperlink r:id="rId5">
        <w:r>
          <w:rPr>
            <w:rStyle w:val="Hypertextovprepojenie"/>
            <w:color w:val="0563C1"/>
            <w:rFonts w:ascii="Times New Roman"/>
            <w:b w:val="0"/>
            <w:i w:val="0"/>
            <w:strike w:val="0"/>
            <w:dstrike w:val="0"/>
            <w:emboss w:val="0"/>
            <w:imprint w:val="0"/>
            <w:outline w:val="0"/>
            <w:shadow w:val="0"/>
            <w:sz w:val="24"/>
            <w:szCs w:val="24"/>
            <w:u w:val="single"/>
          </w:rPr>
          <w:t xml:space="preserve">https://doi.org/10.3389/frsc.2023.985656</w:t>
        </w:r>
      </w:hyperlink>
      <w:r>
        <w:rPr>
          <w:rFonts w:ascii="Times New Roman"/>
          <w:b w:val="0"/>
          <w:i w:val="0"/>
          <w:strike w:val="0"/>
          <w:dstrike w:val="0"/>
          <w:emboss w:val="0"/>
          <w:imprint w:val="0"/>
          <w:outline w:val="0"/>
          <w:shadow w:val="0"/>
          <w:sz w:val="24"/>
          <w:szCs w:val="24"/>
          <w:u w:val="none"/>
        </w:rPr>
        <w:t xml:space="preserve">. </w:t>
      </w:r>
    </w:p>
    <w:p>
      <w:pPr>
        <w:ind w:left="720" w:hanging="720"/>
      </w:pPr>
      <w:r>
        <w:rPr>
          <w:rFonts w:ascii="Times New Roman"/>
          <w:b w:val="0"/>
          <w:i w:val="0"/>
          <w:strike w:val="0"/>
          <w:dstrike w:val="0"/>
          <w:emboss w:val="0"/>
          <w:imprint w:val="0"/>
          <w:outline w:val="0"/>
          <w:shadow w:val="0"/>
          <w:sz w:val="24"/>
          <w:szCs w:val="24"/>
          <w:u w:val="none"/>
        </w:rPr>
        <w:t xml:space="preserve">Hammonds, K., 2020. Sustainability, Three Generations of Consumer Psyche and “Fast-Homeware” (Doctoral dissertation, University of Huddersfield). </w:t>
      </w:r>
    </w:p>
    <w:p>
      <w:pPr>
        <w:ind w:left="720" w:hanging="720"/>
      </w:pPr>
      <w:r>
        <w:rPr>
          <w:rFonts w:ascii="Times New Roman"/>
          <w:b w:val="0"/>
          <w:i w:val="0"/>
          <w:strike w:val="0"/>
          <w:dstrike w:val="0"/>
          <w:emboss w:val="0"/>
          <w:imprint w:val="0"/>
          <w:outline w:val="0"/>
          <w:shadow w:val="0"/>
          <w:sz w:val="24"/>
          <w:szCs w:val="24"/>
          <w:u w:val="none"/>
        </w:rPr>
        <w:t xml:space="preserve">Hull, A. and Scott, P. (2020) 'The ‘value’ of business archives: assessing the academic importance of corporate archival collections,' Management &amp; Organizational History, 15(1), pp. 1–21. </w:t>
      </w:r>
      <w:hyperlink r:id="rId6">
        <w:r>
          <w:rPr>
            <w:rStyle w:val="Hypertextovprepojenie"/>
            <w:color w:val="0563C1"/>
            <w:rFonts w:ascii="Times New Roman"/>
            <w:b w:val="0"/>
            <w:i w:val="0"/>
            <w:strike w:val="0"/>
            <w:dstrike w:val="0"/>
            <w:emboss w:val="0"/>
            <w:imprint w:val="0"/>
            <w:outline w:val="0"/>
            <w:shadow w:val="0"/>
            <w:sz w:val="24"/>
            <w:szCs w:val="24"/>
            <w:u w:val="single"/>
          </w:rPr>
          <w:t xml:space="preserve">https://doi.org/10.1080/17449359.2020.1769676</w:t>
        </w:r>
      </w:hyperlink>
      <w:r>
        <w:rPr>
          <w:rFonts w:ascii="Times New Roman"/>
          <w:b w:val="0"/>
          <w:i w:val="0"/>
          <w:strike w:val="0"/>
          <w:dstrike w:val="0"/>
          <w:emboss w:val="0"/>
          <w:imprint w:val="0"/>
          <w:outline w:val="0"/>
          <w:shadow w:val="0"/>
          <w:sz w:val="24"/>
          <w:szCs w:val="24"/>
          <w:u w:val="none"/>
        </w:rPr>
        <w:t xml:space="preserve">. </w:t>
      </w:r>
    </w:p>
    <w:p>
      <w:pPr>
        <w:ind w:left="720" w:hanging="720"/>
      </w:pPr>
      <w:r>
        <w:rPr>
          <w:rFonts w:ascii="Times New Roman"/>
          <w:b w:val="0"/>
          <w:i w:val="0"/>
          <w:strike w:val="0"/>
          <w:dstrike w:val="0"/>
          <w:emboss w:val="0"/>
          <w:imprint w:val="0"/>
          <w:outline w:val="0"/>
          <w:shadow w:val="0"/>
          <w:sz w:val="24"/>
          <w:szCs w:val="24"/>
          <w:u w:val="none"/>
        </w:rPr>
        <w:t xml:space="preserve">Jorgenson, D.W. (2024) DUNELM GROUP PLC Stock Forecast, Price &amp; Rating (LON:DNLM). </w:t>
      </w:r>
      <w:hyperlink r:id="rId7">
        <w:r>
          <w:rPr>
            <w:rStyle w:val="Hypertextovprepojenie"/>
            <w:color w:val="0563C1"/>
            <w:rFonts w:ascii="Times New Roman"/>
            <w:b w:val="0"/>
            <w:i w:val="0"/>
            <w:strike w:val="0"/>
            <w:dstrike w:val="0"/>
            <w:emboss w:val="0"/>
            <w:imprint w:val="0"/>
            <w:outline w:val="0"/>
            <w:shadow w:val="0"/>
            <w:sz w:val="24"/>
            <w:szCs w:val="24"/>
            <w:u w:val="single"/>
          </w:rPr>
          <w:t xml:space="preserve">https://www.ademcetinkaya.com/2022/11/dunelm-group-plc-stock-forecast-price.html</w:t>
        </w:r>
      </w:hyperlink>
      <w:r>
        <w:rPr>
          <w:rFonts w:ascii="Times New Roman"/>
          <w:b w:val="0"/>
          <w:i w:val="0"/>
          <w:strike w:val="0"/>
          <w:dstrike w:val="0"/>
          <w:emboss w:val="0"/>
          <w:imprint w:val="0"/>
          <w:outline w:val="0"/>
          <w:shadow w:val="0"/>
          <w:sz w:val="24"/>
          <w:szCs w:val="24"/>
          <w:u w:val="none"/>
        </w:rPr>
        <w:t xml:space="preserve">. </w:t>
      </w:r>
    </w:p>
    <w:p>
      <w:pPr>
        <w:ind w:left="720" w:hanging="720"/>
      </w:pPr>
      <w:r>
        <w:rPr>
          <w:rFonts w:ascii="Times New Roman"/>
          <w:b w:val="0"/>
          <w:i w:val="0"/>
          <w:strike w:val="0"/>
          <w:dstrike w:val="0"/>
          <w:emboss w:val="0"/>
          <w:imprint w:val="0"/>
          <w:outline w:val="0"/>
          <w:shadow w:val="0"/>
          <w:sz w:val="24"/>
          <w:szCs w:val="24"/>
          <w:u w:val="none"/>
        </w:rPr>
        <w:t xml:space="preserve">Kardeş, İ., Flynn, L.R. and Dugan, M.T. (2020) 'Online retailing: determinants of competition between multinationals and local firms in emerging markets,' International Journal of Retail &amp; Distribution Management, 49(2), pp. 263–280. </w:t>
      </w:r>
      <w:hyperlink r:id="rId8">
        <w:r>
          <w:rPr>
            <w:rStyle w:val="Hypertextovprepojenie"/>
            <w:color w:val="0563C1"/>
            <w:rFonts w:ascii="Times New Roman"/>
            <w:b w:val="0"/>
            <w:i w:val="0"/>
            <w:strike w:val="0"/>
            <w:dstrike w:val="0"/>
            <w:emboss w:val="0"/>
            <w:imprint w:val="0"/>
            <w:outline w:val="0"/>
            <w:shadow w:val="0"/>
            <w:sz w:val="24"/>
            <w:szCs w:val="24"/>
            <w:u w:val="single"/>
          </w:rPr>
          <w:t xml:space="preserve">https://doi.org/10.1108/ijrdm-07-2020-0236</w:t>
        </w:r>
      </w:hyperlink>
      <w:r>
        <w:rPr>
          <w:rFonts w:ascii="Times New Roman"/>
          <w:b w:val="0"/>
          <w:i w:val="0"/>
          <w:strike w:val="0"/>
          <w:dstrike w:val="0"/>
          <w:emboss w:val="0"/>
          <w:imprint w:val="0"/>
          <w:outline w:val="0"/>
          <w:shadow w:val="0"/>
          <w:sz w:val="24"/>
          <w:szCs w:val="24"/>
          <w:u w:val="none"/>
        </w:rPr>
        <w:t xml:space="preserve">. </w:t>
      </w:r>
    </w:p>
    <w:p>
      <w:pPr>
        <w:ind w:left="720" w:hanging="720"/>
      </w:pPr>
      <w:r>
        <w:rPr>
          <w:rFonts w:ascii="Times New Roman"/>
          <w:b w:val="0"/>
          <w:i w:val="0"/>
          <w:strike w:val="0"/>
          <w:dstrike w:val="0"/>
          <w:emboss w:val="0"/>
          <w:imprint w:val="0"/>
          <w:outline w:val="0"/>
          <w:shadow w:val="0"/>
          <w:sz w:val="24"/>
          <w:szCs w:val="24"/>
          <w:u w:val="none"/>
        </w:rPr>
        <w:t xml:space="preserve">Lazoriková, L. (2021) Market research : market research of selected European countries and creating market entry strategies. </w:t>
      </w:r>
      <w:hyperlink r:id="rId9">
        <w:r>
          <w:rPr>
            <w:rStyle w:val="Hypertextovprepojenie"/>
            <w:color w:val="0563C1"/>
            <w:rFonts w:ascii="Times New Roman"/>
            <w:b w:val="0"/>
            <w:i w:val="0"/>
            <w:strike w:val="0"/>
            <w:dstrike w:val="0"/>
            <w:emboss w:val="0"/>
            <w:imprint w:val="0"/>
            <w:outline w:val="0"/>
            <w:shadow w:val="0"/>
            <w:sz w:val="24"/>
            <w:szCs w:val="24"/>
            <w:u w:val="single"/>
          </w:rPr>
          <w:t xml:space="preserve">https://www.theseus.fi/handle/10024/497821</w:t>
        </w:r>
      </w:hyperlink>
      <w:r>
        <w:rPr>
          <w:rFonts w:ascii="Times New Roman"/>
          <w:b w:val="0"/>
          <w:i w:val="0"/>
          <w:strike w:val="0"/>
          <w:dstrike w:val="0"/>
          <w:emboss w:val="0"/>
          <w:imprint w:val="0"/>
          <w:outline w:val="0"/>
          <w:shadow w:val="0"/>
          <w:sz w:val="24"/>
          <w:szCs w:val="24"/>
          <w:u w:val="none"/>
        </w:rPr>
        <w:t xml:space="preserve">. </w:t>
      </w:r>
    </w:p>
    <w:p>
      <w:pPr>
        <w:ind w:left="720" w:hanging="720"/>
      </w:pPr>
      <w:r>
        <w:rPr>
          <w:rFonts w:ascii="Times New Roman"/>
          <w:b w:val="0"/>
          <w:i w:val="0"/>
          <w:strike w:val="0"/>
          <w:dstrike w:val="0"/>
          <w:emboss w:val="0"/>
          <w:imprint w:val="0"/>
          <w:outline w:val="0"/>
          <w:shadow w:val="0"/>
          <w:sz w:val="24"/>
          <w:szCs w:val="24"/>
          <w:u w:val="none"/>
        </w:rPr>
        <w:t xml:space="preserve">Nyame-Asiamah, F. and Sughra, G. (2019) 'The relationship between CSR activity and sales growth in the UK retailing sector,' Social Responsibility Journal, 16(3), pp. 387–401. </w:t>
      </w:r>
      <w:hyperlink r:id="rId10">
        <w:r>
          <w:rPr>
            <w:rStyle w:val="Hypertextovprepojenie"/>
            <w:color w:val="0563C1"/>
            <w:rFonts w:ascii="Times New Roman"/>
            <w:b w:val="0"/>
            <w:i w:val="0"/>
            <w:strike w:val="0"/>
            <w:dstrike w:val="0"/>
            <w:emboss w:val="0"/>
            <w:imprint w:val="0"/>
            <w:outline w:val="0"/>
            <w:shadow w:val="0"/>
            <w:sz w:val="24"/>
            <w:szCs w:val="24"/>
            <w:u w:val="single"/>
          </w:rPr>
          <w:t xml:space="preserve">https://doi.org/10.1108/srj-09-2018-0245</w:t>
        </w:r>
      </w:hyperlink>
      <w:r>
        <w:rPr>
          <w:rFonts w:ascii="Times New Roman"/>
          <w:b w:val="0"/>
          <w:i w:val="0"/>
          <w:strike w:val="0"/>
          <w:dstrike w:val="0"/>
          <w:emboss w:val="0"/>
          <w:imprint w:val="0"/>
          <w:outline w:val="0"/>
          <w:shadow w:val="0"/>
          <w:sz w:val="24"/>
          <w:szCs w:val="24"/>
          <w:u w:val="none"/>
        </w:rPr>
        <w:t xml:space="preserve">. </w:t>
      </w:r>
    </w:p>
    <w:p>
      <w:pPr>
        <w:ind w:left="720" w:hanging="720"/>
      </w:pPr>
      <w:r>
        <w:rPr>
          <w:rFonts w:ascii="Times New Roman"/>
          <w:b w:val="0"/>
          <w:i w:val="0"/>
          <w:strike w:val="0"/>
          <w:dstrike w:val="0"/>
          <w:emboss w:val="0"/>
          <w:imprint w:val="0"/>
          <w:outline w:val="0"/>
          <w:shadow w:val="0"/>
          <w:sz w:val="24"/>
          <w:szCs w:val="24"/>
          <w:u w:val="none"/>
        </w:rPr>
        <w:t xml:space="preserve">Sagar Srinivas, H.R.Ganesha (2024) A RESEARCH STUDY ON IMPACT OF FASTGROWING HYPERMARKETS ON THE SMALL SCALE BUSINESS. </w:t>
      </w:r>
      <w:hyperlink r:id="rId11">
        <w:r>
          <w:rPr>
            <w:rStyle w:val="Hypertextovprepojenie"/>
            <w:color w:val="0563C1"/>
            <w:rFonts w:ascii="Times New Roman"/>
            <w:b w:val="0"/>
            <w:i w:val="0"/>
            <w:strike w:val="0"/>
            <w:dstrike w:val="0"/>
            <w:emboss w:val="0"/>
            <w:imprint w:val="0"/>
            <w:outline w:val="0"/>
            <w:shadow w:val="0"/>
            <w:sz w:val="24"/>
            <w:szCs w:val="24"/>
            <w:u w:val="single"/>
          </w:rPr>
          <w:t xml:space="preserve">https://eprajournals.net/index.php/IJMR/article/view/3482</w:t>
        </w:r>
      </w:hyperlink>
      <w:r>
        <w:rPr>
          <w:rFonts w:ascii="Times New Roman"/>
          <w:b w:val="0"/>
          <w:i w:val="0"/>
          <w:strike w:val="0"/>
          <w:dstrike w:val="0"/>
          <w:emboss w:val="0"/>
          <w:imprint w:val="0"/>
          <w:outline w:val="0"/>
          <w:shadow w:val="0"/>
          <w:sz w:val="24"/>
          <w:szCs w:val="24"/>
          <w:u w:val="none"/>
        </w:rPr>
        <w:t xml:space="preserve">. </w:t>
      </w:r>
    </w:p>
    <w:p>
      <w:pPr>
        <w:ind w:left="720" w:hanging="720"/>
      </w:pPr>
      <w:r>
        <w:rPr>
          <w:rFonts w:ascii="Times New Roman"/>
          <w:b w:val="0"/>
          <w:i w:val="0"/>
          <w:strike w:val="0"/>
          <w:dstrike w:val="0"/>
          <w:emboss w:val="0"/>
          <w:imprint w:val="0"/>
          <w:outline w:val="0"/>
          <w:shadow w:val="0"/>
          <w:sz w:val="24"/>
          <w:szCs w:val="24"/>
          <w:u w:val="none"/>
        </w:rPr>
        <w:t xml:space="preserve">Wilkinson, S. et al. (2020) 'Is peer-to-peer electricity trading empowering users? Evidence on motivations and roles in a prosumer business model trial in Australia,' Energy Research &amp; Social Science, 66, p. 101500. </w:t>
      </w:r>
      <w:hyperlink r:id="rId12">
        <w:r>
          <w:rPr>
            <w:rStyle w:val="Hypertextovprepojenie"/>
            <w:color w:val="0563C1"/>
            <w:rFonts w:ascii="Times New Roman"/>
            <w:b w:val="0"/>
            <w:i w:val="0"/>
            <w:strike w:val="0"/>
            <w:dstrike w:val="0"/>
            <w:emboss w:val="0"/>
            <w:imprint w:val="0"/>
            <w:outline w:val="0"/>
            <w:shadow w:val="0"/>
            <w:sz w:val="24"/>
            <w:szCs w:val="24"/>
            <w:u w:val="single"/>
          </w:rPr>
          <w:t xml:space="preserve">https://doi.org/10.1016/j.erss.2020.101500</w:t>
        </w:r>
      </w:hyperlink>
      <w:r>
        <w:rPr>
          <w:rFonts w:ascii="Times New Roman"/>
          <w:b w:val="0"/>
          <w:i w:val="0"/>
          <w:strike w:val="0"/>
          <w:dstrike w:val="0"/>
          <w:emboss w:val="0"/>
          <w:imprint w:val="0"/>
          <w:outline w:val="0"/>
          <w:shadow w:val="0"/>
          <w:sz w:val="24"/>
          <w:szCs w:val="24"/>
          <w:u w:val="none"/>
        </w:rPr>
        <w:t xml:space="preserve">. </w:t>
      </w:r>
    </w:p>
    <w:bookmarkEnd w:id="0"/>
    <w:p>
      <w:pPr/>
    </w:p>
    <w:p>
      <w:pPr/>
    </w:p>
    <w:p>
      <w:pPr/>
    </w:p>
    <w:p>
      <w:pPr>
        <w:spacing w:after="0"/>
        <w:jc w:val="left"/>
        <w:rPr>
          <w:rFonts w:eastAsia="Times New Roman"/>
          <w:szCs w:val="24"/>
        </w:rPr>
      </w:pPr>
    </w:p>
    <w:p>
      <w:pPr>
        <w:spacing w:after="0"/>
        <w:jc w:val="left"/>
        <w:rPr>
          <w:rFonts w:eastAsia="Times New Roman"/>
          <w:szCs w:val="24"/>
        </w:rPr>
      </w:pPr>
    </w:p>
    <w:p>
      <w:pPr>
        <w:spacing w:after="0"/>
        <w:jc w:val="left"/>
        <w:rPr>
          <w:rFonts w:eastAsia="Times New Roman"/>
          <w:szCs w:val="24"/>
        </w:rPr>
      </w:pPr>
    </w:p>
    <w:p>
      <w:pPr>
        <w:spacing w:after="0"/>
        <w:jc w:val="left"/>
        <w:rPr>
          <w:rFonts w:eastAsia="Times New Roman"/>
          <w:szCs w:val="24"/>
        </w:rPr>
      </w:pPr>
    </w:p>
    <w:p>
      <w:pPr>
        <w:spacing w:after="0"/>
        <w:jc w:val="left"/>
        <w:rPr>
          <w:rFonts w:eastAsia="Times New Roman"/>
          <w:szCs w:val="24"/>
        </w:rPr>
      </w:pPr>
    </w:p>
    <w:p>
      <w:pPr>
        <w:spacing w:after="0"/>
        <w:jc w:val="left"/>
        <w:rPr>
          <w:rFonts w:eastAsia="Times New Roman"/>
          <w:szCs w:val="24"/>
        </w:rPr>
      </w:pPr>
    </w:p>
    <w:p>
      <w:pPr>
        <w:spacing w:after="0"/>
        <w:jc w:val="left"/>
        <w:rPr>
          <w:rFonts w:eastAsia="Times New Roman"/>
          <w:szCs w:val="24"/>
        </w:rPr>
      </w:pPr>
    </w:p>
    <w:p>
      <w:pPr>
        <w:spacing w:after="0"/>
        <w:jc w:val="left"/>
        <w:rPr>
          <w:rFonts w:eastAsia="Times New Roman"/>
          <w:szCs w:val="24"/>
        </w:rPr>
      </w:pPr>
    </w:p>
    <w:p>
      <w:pPr>
        <w:spacing w:after="0"/>
        <w:jc w:val="left"/>
        <w:rPr>
          <w:rFonts w:eastAsia="Times New Roman"/>
          <w:szCs w:val="24"/>
        </w:rPr>
      </w:pPr>
    </w:p>
    <w:p>
      <w:pPr>
        <w:spacing w:after="0"/>
        <w:jc w:val="left"/>
        <w:rPr>
          <w:rFonts w:eastAsia="Times New Roman"/>
          <w:szCs w:val="24"/>
        </w:rPr>
      </w:pPr>
    </w:p>
    <w:p>
      <w:pPr>
        <w:spacing w:after="0"/>
        <w:jc w:val="left"/>
        <w:rPr>
          <w:rFonts w:eastAsia="Times New Roman"/>
          <w:szCs w:val="24"/>
        </w:rPr>
      </w:pPr>
    </w:p>
    <w:p>
      <w:pPr/>
    </w:p>
    <w:p>
      <w:pPr/>
    </w:p>
    <w:p>
      <w:pPr/>
    </w:p>
    <w:p>
      <w:pPr/>
    </w:p>
    <w:p>
      <w:pPr/>
    </w:p>
    <w:sectPr w:rsidR="009621A9" w:rsidRPr="00B10979" w:rsidSect="00834214">
      <w:pgSz w:w="12240" w:h="15840"/>
      <w:pgMar w:top="1440" w:right="1440" w:bottom="1440" w:left="1440" w:header="720" w:footer="720"/>
      <w:cols w:space="720"/>
      <w:pgBorders w:offsetFrom="page">
        <w:top w:val="double" w:sz="18" w:space="24" w:color="auto"/>
        <w:left w:val="double" w:sz="18" w:space="24" w:color="auto"/>
        <w:bottom w:val="double" w:sz="18" w:space="24" w:color="auto"/>
        <w:right w:val="double" w:sz="18" w:space="24" w:color="auto"/>
      </w:pgBorder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02A81EF8"/>
    <w:multiLevelType w:val="hybridMultilevel"/>
    <w:tmpl w:val="8C729D34"/>
    <w:lvl w:ilvl="0" w:tplc="08090001">
      <w:start w:val="1"/>
      <w:numFmt w:val="bullet"/>
      <w:lvlText w:val=""/>
      <w:lvlJc w:val="left"/>
      <w:pPr>
        <w:ind w:left="720" w:hanging="360"/>
      </w:pPr>
      <w:rPr>
        <w:rFonts w:hAnsi="Symbol" w:ascii="Symbol" w:hint="default"/>
      </w:rPr>
    </w:lvl>
    <w:lvl w:ilvl="1" w:tplc="08090003" w:tentative="1">
      <w:start w:val="1"/>
      <w:numFmt w:val="bullet"/>
      <w:lvlText w:val="o"/>
      <w:lvlJc w:val="left"/>
      <w:pPr>
        <w:ind w:left="1440" w:hanging="360"/>
      </w:pPr>
      <w:rPr>
        <w:rFonts w:hAnsi="Courier New" w:ascii="Courier New" w:cs="Courier New" w:hint="default"/>
      </w:rPr>
    </w:lvl>
    <w:lvl w:ilvl="2" w:tplc="08090005" w:tentative="1">
      <w:start w:val="1"/>
      <w:numFmt w:val="bullet"/>
      <w:lvlText w:val=""/>
      <w:lvlJc w:val="left"/>
      <w:pPr>
        <w:ind w:left="2160" w:hanging="360"/>
      </w:pPr>
      <w:rPr>
        <w:rFonts w:hAnsi="Wingdings" w:ascii="Wingdings" w:hint="default"/>
      </w:rPr>
    </w:lvl>
    <w:lvl w:ilvl="3" w:tplc="08090001" w:tentative="1">
      <w:start w:val="1"/>
      <w:numFmt w:val="bullet"/>
      <w:lvlText w:val=""/>
      <w:lvlJc w:val="left"/>
      <w:pPr>
        <w:ind w:left="2880" w:hanging="360"/>
      </w:pPr>
      <w:rPr>
        <w:rFonts w:hAnsi="Symbol" w:ascii="Symbol" w:hint="default"/>
      </w:rPr>
    </w:lvl>
    <w:lvl w:ilvl="4" w:tplc="08090003" w:tentative="1">
      <w:start w:val="1"/>
      <w:numFmt w:val="bullet"/>
      <w:lvlText w:val="o"/>
      <w:lvlJc w:val="left"/>
      <w:pPr>
        <w:ind w:left="3600" w:hanging="360"/>
      </w:pPr>
      <w:rPr>
        <w:rFonts w:hAnsi="Courier New" w:ascii="Courier New" w:cs="Courier New" w:hint="default"/>
      </w:rPr>
    </w:lvl>
    <w:lvl w:ilvl="5" w:tplc="08090005" w:tentative="1">
      <w:start w:val="1"/>
      <w:numFmt w:val="bullet"/>
      <w:lvlText w:val=""/>
      <w:lvlJc w:val="left"/>
      <w:pPr>
        <w:ind w:left="4320" w:hanging="360"/>
      </w:pPr>
      <w:rPr>
        <w:rFonts w:hAnsi="Wingdings" w:ascii="Wingdings" w:hint="default"/>
      </w:rPr>
    </w:lvl>
    <w:lvl w:ilvl="6" w:tplc="08090001" w:tentative="1">
      <w:start w:val="1"/>
      <w:numFmt w:val="bullet"/>
      <w:lvlText w:val=""/>
      <w:lvlJc w:val="left"/>
      <w:pPr>
        <w:ind w:left="5040" w:hanging="360"/>
      </w:pPr>
      <w:rPr>
        <w:rFonts w:hAnsi="Symbol" w:ascii="Symbol" w:hint="default"/>
      </w:rPr>
    </w:lvl>
    <w:lvl w:ilvl="7" w:tplc="08090003" w:tentative="1">
      <w:start w:val="1"/>
      <w:numFmt w:val="bullet"/>
      <w:lvlText w:val="o"/>
      <w:lvlJc w:val="left"/>
      <w:pPr>
        <w:ind w:left="5760" w:hanging="360"/>
      </w:pPr>
      <w:rPr>
        <w:rFonts w:hAnsi="Courier New" w:ascii="Courier New" w:cs="Courier New" w:hint="default"/>
      </w:rPr>
    </w:lvl>
    <w:lvl w:ilvl="8" w:tplc="08090005" w:tentative="1">
      <w:start w:val="1"/>
      <w:numFmt w:val="bullet"/>
      <w:lvlText w:val=""/>
      <w:lvlJc w:val="left"/>
      <w:pPr>
        <w:ind w:left="6480" w:hanging="360"/>
      </w:pPr>
      <w:rPr>
        <w:rFonts w:hAnsi="Wingdings" w:ascii="Wingdings" w:hint="default"/>
      </w:rPr>
    </w:lvl>
  </w:abstractNum>
  <w:abstractNum w:abstractNumId="1">
    <w:nsid w:val="0EE0545D"/>
    <w:multiLevelType w:val="hybridMultilevel"/>
    <w:tmpl w:val="50B0C826"/>
    <w:lvl w:ilvl="0" w:tplc="08090001">
      <w:start w:val="1"/>
      <w:numFmt w:val="bullet"/>
      <w:lvlText w:val=""/>
      <w:lvlJc w:val="left"/>
      <w:pPr>
        <w:ind w:left="720" w:hanging="360"/>
      </w:pPr>
      <w:rPr>
        <w:rFonts w:hAnsi="Symbol" w:ascii="Symbol" w:hint="default"/>
      </w:rPr>
    </w:lvl>
    <w:lvl w:ilvl="1" w:tplc="08090003" w:tentative="1">
      <w:start w:val="1"/>
      <w:numFmt w:val="bullet"/>
      <w:lvlText w:val="o"/>
      <w:lvlJc w:val="left"/>
      <w:pPr>
        <w:ind w:left="1440" w:hanging="360"/>
      </w:pPr>
      <w:rPr>
        <w:rFonts w:hAnsi="Courier New" w:ascii="Courier New" w:cs="Courier New" w:hint="default"/>
      </w:rPr>
    </w:lvl>
    <w:lvl w:ilvl="2" w:tplc="08090005" w:tentative="1">
      <w:start w:val="1"/>
      <w:numFmt w:val="bullet"/>
      <w:lvlText w:val=""/>
      <w:lvlJc w:val="left"/>
      <w:pPr>
        <w:ind w:left="2160" w:hanging="360"/>
      </w:pPr>
      <w:rPr>
        <w:rFonts w:hAnsi="Wingdings" w:ascii="Wingdings" w:hint="default"/>
      </w:rPr>
    </w:lvl>
    <w:lvl w:ilvl="3" w:tplc="08090001" w:tentative="1">
      <w:start w:val="1"/>
      <w:numFmt w:val="bullet"/>
      <w:lvlText w:val=""/>
      <w:lvlJc w:val="left"/>
      <w:pPr>
        <w:ind w:left="2880" w:hanging="360"/>
      </w:pPr>
      <w:rPr>
        <w:rFonts w:hAnsi="Symbol" w:ascii="Symbol" w:hint="default"/>
      </w:rPr>
    </w:lvl>
    <w:lvl w:ilvl="4" w:tplc="08090003" w:tentative="1">
      <w:start w:val="1"/>
      <w:numFmt w:val="bullet"/>
      <w:lvlText w:val="o"/>
      <w:lvlJc w:val="left"/>
      <w:pPr>
        <w:ind w:left="3600" w:hanging="360"/>
      </w:pPr>
      <w:rPr>
        <w:rFonts w:hAnsi="Courier New" w:ascii="Courier New" w:cs="Courier New" w:hint="default"/>
      </w:rPr>
    </w:lvl>
    <w:lvl w:ilvl="5" w:tplc="08090005" w:tentative="1">
      <w:start w:val="1"/>
      <w:numFmt w:val="bullet"/>
      <w:lvlText w:val=""/>
      <w:lvlJc w:val="left"/>
      <w:pPr>
        <w:ind w:left="4320" w:hanging="360"/>
      </w:pPr>
      <w:rPr>
        <w:rFonts w:hAnsi="Wingdings" w:ascii="Wingdings" w:hint="default"/>
      </w:rPr>
    </w:lvl>
    <w:lvl w:ilvl="6" w:tplc="08090001" w:tentative="1">
      <w:start w:val="1"/>
      <w:numFmt w:val="bullet"/>
      <w:lvlText w:val=""/>
      <w:lvlJc w:val="left"/>
      <w:pPr>
        <w:ind w:left="5040" w:hanging="360"/>
      </w:pPr>
      <w:rPr>
        <w:rFonts w:hAnsi="Symbol" w:ascii="Symbol" w:hint="default"/>
      </w:rPr>
    </w:lvl>
    <w:lvl w:ilvl="7" w:tplc="08090003" w:tentative="1">
      <w:start w:val="1"/>
      <w:numFmt w:val="bullet"/>
      <w:lvlText w:val="o"/>
      <w:lvlJc w:val="left"/>
      <w:pPr>
        <w:ind w:left="5760" w:hanging="360"/>
      </w:pPr>
      <w:rPr>
        <w:rFonts w:hAnsi="Courier New" w:ascii="Courier New" w:cs="Courier New" w:hint="default"/>
      </w:rPr>
    </w:lvl>
    <w:lvl w:ilvl="8" w:tplc="08090005" w:tentative="1">
      <w:start w:val="1"/>
      <w:numFmt w:val="bullet"/>
      <w:lvlText w:val=""/>
      <w:lvlJc w:val="left"/>
      <w:pPr>
        <w:ind w:left="6480" w:hanging="360"/>
      </w:pPr>
      <w:rPr>
        <w:rFonts w:hAnsi="Wingdings" w:ascii="Wingdings" w:hint="default"/>
      </w:rPr>
    </w:lvl>
  </w:abstractNum>
  <w:abstractNum w:abstractNumId="2">
    <w:nsid w:val="4A0443CB"/>
    <w:multiLevelType w:val="hybridMultilevel"/>
    <w:tmpl w:val="2A32213C"/>
    <w:lvl w:ilvl="0" w:tplc="08090001">
      <w:start w:val="1"/>
      <w:numFmt w:val="bullet"/>
      <w:lvlText w:val=""/>
      <w:lvlJc w:val="left"/>
      <w:pPr>
        <w:ind w:left="720" w:hanging="360"/>
      </w:pPr>
      <w:rPr>
        <w:rFonts w:hAnsi="Symbol" w:ascii="Symbol" w:hint="default"/>
      </w:rPr>
    </w:lvl>
    <w:lvl w:ilvl="1" w:tplc="08090003" w:tentative="1">
      <w:start w:val="1"/>
      <w:numFmt w:val="bullet"/>
      <w:lvlText w:val="o"/>
      <w:lvlJc w:val="left"/>
      <w:pPr>
        <w:ind w:left="1440" w:hanging="360"/>
      </w:pPr>
      <w:rPr>
        <w:rFonts w:hAnsi="Courier New" w:ascii="Courier New" w:cs="Courier New" w:hint="default"/>
      </w:rPr>
    </w:lvl>
    <w:lvl w:ilvl="2" w:tplc="08090005" w:tentative="1">
      <w:start w:val="1"/>
      <w:numFmt w:val="bullet"/>
      <w:lvlText w:val=""/>
      <w:lvlJc w:val="left"/>
      <w:pPr>
        <w:ind w:left="2160" w:hanging="360"/>
      </w:pPr>
      <w:rPr>
        <w:rFonts w:hAnsi="Wingdings" w:ascii="Wingdings" w:hint="default"/>
      </w:rPr>
    </w:lvl>
    <w:lvl w:ilvl="3" w:tplc="08090001" w:tentative="1">
      <w:start w:val="1"/>
      <w:numFmt w:val="bullet"/>
      <w:lvlText w:val=""/>
      <w:lvlJc w:val="left"/>
      <w:pPr>
        <w:ind w:left="2880" w:hanging="360"/>
      </w:pPr>
      <w:rPr>
        <w:rFonts w:hAnsi="Symbol" w:ascii="Symbol" w:hint="default"/>
      </w:rPr>
    </w:lvl>
    <w:lvl w:ilvl="4" w:tplc="08090003" w:tentative="1">
      <w:start w:val="1"/>
      <w:numFmt w:val="bullet"/>
      <w:lvlText w:val="o"/>
      <w:lvlJc w:val="left"/>
      <w:pPr>
        <w:ind w:left="3600" w:hanging="360"/>
      </w:pPr>
      <w:rPr>
        <w:rFonts w:hAnsi="Courier New" w:ascii="Courier New" w:cs="Courier New" w:hint="default"/>
      </w:rPr>
    </w:lvl>
    <w:lvl w:ilvl="5" w:tplc="08090005" w:tentative="1">
      <w:start w:val="1"/>
      <w:numFmt w:val="bullet"/>
      <w:lvlText w:val=""/>
      <w:lvlJc w:val="left"/>
      <w:pPr>
        <w:ind w:left="4320" w:hanging="360"/>
      </w:pPr>
      <w:rPr>
        <w:rFonts w:hAnsi="Wingdings" w:ascii="Wingdings" w:hint="default"/>
      </w:rPr>
    </w:lvl>
    <w:lvl w:ilvl="6" w:tplc="08090001" w:tentative="1">
      <w:start w:val="1"/>
      <w:numFmt w:val="bullet"/>
      <w:lvlText w:val=""/>
      <w:lvlJc w:val="left"/>
      <w:pPr>
        <w:ind w:left="5040" w:hanging="360"/>
      </w:pPr>
      <w:rPr>
        <w:rFonts w:hAnsi="Symbol" w:ascii="Symbol" w:hint="default"/>
      </w:rPr>
    </w:lvl>
    <w:lvl w:ilvl="7" w:tplc="08090003" w:tentative="1">
      <w:start w:val="1"/>
      <w:numFmt w:val="bullet"/>
      <w:lvlText w:val="o"/>
      <w:lvlJc w:val="left"/>
      <w:pPr>
        <w:ind w:left="5760" w:hanging="360"/>
      </w:pPr>
      <w:rPr>
        <w:rFonts w:hAnsi="Courier New" w:ascii="Courier New" w:cs="Courier New" w:hint="default"/>
      </w:rPr>
    </w:lvl>
    <w:lvl w:ilvl="8" w:tplc="08090005" w:tentative="1">
      <w:start w:val="1"/>
      <w:numFmt w:val="bullet"/>
      <w:lvlText w:val=""/>
      <w:lvlJc w:val="left"/>
      <w:pPr>
        <w:ind w:left="6480" w:hanging="360"/>
      </w:pPr>
      <w:rPr>
        <w:rFonts w:hAnsi="Wingdings" w:ascii="Wingdings" w:hint="default"/>
      </w:rPr>
    </w:lvl>
  </w:abstractNum>
  <w:abstractNum w:abstractNumId="3">
    <w:nsid w:val="66DC5438"/>
    <w:multiLevelType w:val="hybridMultilevel"/>
    <w:tmpl w:val="4FEC6460"/>
    <w:lvl w:ilvl="0" w:tplc="08090001">
      <w:start w:val="1"/>
      <w:numFmt w:val="bullet"/>
      <w:lvlText w:val=""/>
      <w:lvlJc w:val="left"/>
      <w:pPr>
        <w:ind w:left="720" w:hanging="360"/>
      </w:pPr>
      <w:rPr>
        <w:rFonts w:hAnsi="Symbol" w:ascii="Symbol" w:hint="default"/>
      </w:rPr>
    </w:lvl>
    <w:lvl w:ilvl="1" w:tplc="08090003" w:tentative="1">
      <w:start w:val="1"/>
      <w:numFmt w:val="bullet"/>
      <w:lvlText w:val="o"/>
      <w:lvlJc w:val="left"/>
      <w:pPr>
        <w:ind w:left="1440" w:hanging="360"/>
      </w:pPr>
      <w:rPr>
        <w:rFonts w:hAnsi="Courier New" w:ascii="Courier New" w:cs="Courier New" w:hint="default"/>
      </w:rPr>
    </w:lvl>
    <w:lvl w:ilvl="2" w:tplc="08090005" w:tentative="1">
      <w:start w:val="1"/>
      <w:numFmt w:val="bullet"/>
      <w:lvlText w:val=""/>
      <w:lvlJc w:val="left"/>
      <w:pPr>
        <w:ind w:left="2160" w:hanging="360"/>
      </w:pPr>
      <w:rPr>
        <w:rFonts w:hAnsi="Wingdings" w:ascii="Wingdings" w:hint="default"/>
      </w:rPr>
    </w:lvl>
    <w:lvl w:ilvl="3" w:tplc="08090001" w:tentative="1">
      <w:start w:val="1"/>
      <w:numFmt w:val="bullet"/>
      <w:lvlText w:val=""/>
      <w:lvlJc w:val="left"/>
      <w:pPr>
        <w:ind w:left="2880" w:hanging="360"/>
      </w:pPr>
      <w:rPr>
        <w:rFonts w:hAnsi="Symbol" w:ascii="Symbol" w:hint="default"/>
      </w:rPr>
    </w:lvl>
    <w:lvl w:ilvl="4" w:tplc="08090003" w:tentative="1">
      <w:start w:val="1"/>
      <w:numFmt w:val="bullet"/>
      <w:lvlText w:val="o"/>
      <w:lvlJc w:val="left"/>
      <w:pPr>
        <w:ind w:left="3600" w:hanging="360"/>
      </w:pPr>
      <w:rPr>
        <w:rFonts w:hAnsi="Courier New" w:ascii="Courier New" w:cs="Courier New" w:hint="default"/>
      </w:rPr>
    </w:lvl>
    <w:lvl w:ilvl="5" w:tplc="08090005" w:tentative="1">
      <w:start w:val="1"/>
      <w:numFmt w:val="bullet"/>
      <w:lvlText w:val=""/>
      <w:lvlJc w:val="left"/>
      <w:pPr>
        <w:ind w:left="4320" w:hanging="360"/>
      </w:pPr>
      <w:rPr>
        <w:rFonts w:hAnsi="Wingdings" w:ascii="Wingdings" w:hint="default"/>
      </w:rPr>
    </w:lvl>
    <w:lvl w:ilvl="6" w:tplc="08090001" w:tentative="1">
      <w:start w:val="1"/>
      <w:numFmt w:val="bullet"/>
      <w:lvlText w:val=""/>
      <w:lvlJc w:val="left"/>
      <w:pPr>
        <w:ind w:left="5040" w:hanging="360"/>
      </w:pPr>
      <w:rPr>
        <w:rFonts w:hAnsi="Symbol" w:ascii="Symbol" w:hint="default"/>
      </w:rPr>
    </w:lvl>
    <w:lvl w:ilvl="7" w:tplc="08090003" w:tentative="1">
      <w:start w:val="1"/>
      <w:numFmt w:val="bullet"/>
      <w:lvlText w:val="o"/>
      <w:lvlJc w:val="left"/>
      <w:pPr>
        <w:ind w:left="5760" w:hanging="360"/>
      </w:pPr>
      <w:rPr>
        <w:rFonts w:hAnsi="Courier New" w:ascii="Courier New" w:cs="Courier New" w:hint="default"/>
      </w:rPr>
    </w:lvl>
    <w:lvl w:ilvl="8" w:tplc="08090005" w:tentative="1">
      <w:start w:val="1"/>
      <w:numFmt w:val="bullet"/>
      <w:lvlText w:val=""/>
      <w:lvlJc w:val="left"/>
      <w:pPr>
        <w:ind w:left="6480" w:hanging="360"/>
      </w:pPr>
      <w:rPr>
        <w:rFonts w:hAnsi="Wingdings" w:asci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D1C"/>
    <w:rsid w:val="00012251"/>
    <w:rsid w:val="00040D62"/>
    <w:rsid w:val="00053F69"/>
    <w:rsid w:val="0007547B"/>
    <w:rsid w:val="00091CA5"/>
    <w:rsid w:val="000945C5"/>
    <w:rsid w:val="000B782C"/>
    <w:rsid w:val="000D5A09"/>
    <w:rsid w:val="000D6038"/>
    <w:rsid w:val="000F1DC3"/>
    <w:rsid w:val="0011201C"/>
    <w:rsid w:val="0012473E"/>
    <w:rsid w:val="001678B1"/>
    <w:rsid w:val="0018397B"/>
    <w:rsid w:val="001A5E7D"/>
    <w:rsid w:val="001C3580"/>
    <w:rsid w:val="001C52B8"/>
    <w:rsid w:val="001E51B2"/>
    <w:rsid w:val="001E5C65"/>
    <w:rsid w:val="001F161E"/>
    <w:rsid w:val="00204744"/>
    <w:rsid w:val="002463FD"/>
    <w:rsid w:val="002754A6"/>
    <w:rsid w:val="00284A42"/>
    <w:rsid w:val="00295CFE"/>
    <w:rsid w:val="002B7078"/>
    <w:rsid w:val="002D599B"/>
    <w:rsid w:val="002F36E0"/>
    <w:rsid w:val="00306F7D"/>
    <w:rsid w:val="00322816"/>
    <w:rsid w:val="0033590B"/>
    <w:rsid w:val="0033717E"/>
    <w:rsid w:val="003463F6"/>
    <w:rsid w:val="003951EB"/>
    <w:rsid w:val="003B4858"/>
    <w:rsid w:val="00413812"/>
    <w:rsid w:val="00413E2D"/>
    <w:rsid w:val="00425FA0"/>
    <w:rsid w:val="00446299"/>
    <w:rsid w:val="00447B2B"/>
    <w:rsid w:val="0045635C"/>
    <w:rsid w:val="004721B0"/>
    <w:rsid w:val="004859D1"/>
    <w:rsid w:val="00494319"/>
    <w:rsid w:val="004B705E"/>
    <w:rsid w:val="0051351D"/>
    <w:rsid w:val="00536EB0"/>
    <w:rsid w:val="00542B4D"/>
    <w:rsid w:val="00566B81"/>
    <w:rsid w:val="005B3F49"/>
    <w:rsid w:val="005C42AE"/>
    <w:rsid w:val="005D1174"/>
    <w:rsid w:val="005D7C91"/>
    <w:rsid w:val="005F68CB"/>
    <w:rsid w:val="00627DF7"/>
    <w:rsid w:val="006516C1"/>
    <w:rsid w:val="00687931"/>
    <w:rsid w:val="006A06FC"/>
    <w:rsid w:val="006A7BA6"/>
    <w:rsid w:val="006B504F"/>
    <w:rsid w:val="006C26CF"/>
    <w:rsid w:val="006F248C"/>
    <w:rsid w:val="00706D15"/>
    <w:rsid w:val="00713268"/>
    <w:rsid w:val="00727325"/>
    <w:rsid w:val="00732E78"/>
    <w:rsid w:val="00737CAE"/>
    <w:rsid w:val="007717C5"/>
    <w:rsid w:val="007B0CBE"/>
    <w:rsid w:val="007E15A9"/>
    <w:rsid w:val="0083415A"/>
    <w:rsid w:val="00834214"/>
    <w:rsid w:val="00845FDA"/>
    <w:rsid w:val="00865824"/>
    <w:rsid w:val="008A5894"/>
    <w:rsid w:val="008B1441"/>
    <w:rsid w:val="008B2904"/>
    <w:rsid w:val="008B74B9"/>
    <w:rsid w:val="008C1248"/>
    <w:rsid w:val="008E3AC5"/>
    <w:rsid w:val="008E6D9A"/>
    <w:rsid w:val="008F1A95"/>
    <w:rsid w:val="00901D01"/>
    <w:rsid w:val="009055B3"/>
    <w:rsid w:val="00916A0A"/>
    <w:rsid w:val="009413E5"/>
    <w:rsid w:val="009621A9"/>
    <w:rsid w:val="009968CD"/>
    <w:rsid w:val="009A06D6"/>
    <w:rsid w:val="009C1D2D"/>
    <w:rsid w:val="009C50DD"/>
    <w:rsid w:val="009D1418"/>
    <w:rsid w:val="009D3D20"/>
    <w:rsid w:val="009F5FA1"/>
    <w:rsid w:val="00A04CCE"/>
    <w:rsid w:val="00A14D1C"/>
    <w:rsid w:val="00A240F7"/>
    <w:rsid w:val="00A41374"/>
    <w:rsid w:val="00A7484F"/>
    <w:rsid w:val="00AA4EDD"/>
    <w:rsid w:val="00AA7C60"/>
    <w:rsid w:val="00AB5F9B"/>
    <w:rsid w:val="00AD3E22"/>
    <w:rsid w:val="00AE6E35"/>
    <w:rsid w:val="00B010A2"/>
    <w:rsid w:val="00B10979"/>
    <w:rsid w:val="00B125E5"/>
    <w:rsid w:val="00B603DD"/>
    <w:rsid w:val="00B73D21"/>
    <w:rsid w:val="00B82386"/>
    <w:rsid w:val="00B8245B"/>
    <w:rsid w:val="00B911A2"/>
    <w:rsid w:val="00BA2DDA"/>
    <w:rsid w:val="00BB42C2"/>
    <w:rsid w:val="00BD1351"/>
    <w:rsid w:val="00C028DB"/>
    <w:rsid w:val="00C07973"/>
    <w:rsid w:val="00C21EE1"/>
    <w:rsid w:val="00C2326E"/>
    <w:rsid w:val="00C24411"/>
    <w:rsid w:val="00C24EE2"/>
    <w:rsid w:val="00C342D4"/>
    <w:rsid w:val="00C53620"/>
    <w:rsid w:val="00C548FE"/>
    <w:rsid w:val="00C553C5"/>
    <w:rsid w:val="00C661B1"/>
    <w:rsid w:val="00C7287F"/>
    <w:rsid w:val="00C74823"/>
    <w:rsid w:val="00C91C85"/>
    <w:rsid w:val="00CA7E9D"/>
    <w:rsid w:val="00CC2548"/>
    <w:rsid w:val="00CD547A"/>
    <w:rsid w:val="00CE6C6A"/>
    <w:rsid w:val="00CE7281"/>
    <w:rsid w:val="00CF2FED"/>
    <w:rsid w:val="00D13919"/>
    <w:rsid w:val="00D30BA3"/>
    <w:rsid w:val="00D32BE6"/>
    <w:rsid w:val="00D409FA"/>
    <w:rsid w:val="00D43566"/>
    <w:rsid w:val="00D97214"/>
    <w:rsid w:val="00DC662C"/>
    <w:rsid w:val="00DD5264"/>
    <w:rsid w:val="00DF3DC9"/>
    <w:rsid w:val="00E00AFC"/>
    <w:rsid w:val="00E02F35"/>
    <w:rsid w:val="00E20ED0"/>
    <w:rsid w:val="00E61FBB"/>
    <w:rsid w:val="00E65756"/>
    <w:rsid w:val="00EB6904"/>
    <w:rsid w:val="00EE62A9"/>
    <w:rsid w:val="00EF247A"/>
    <w:rsid w:val="00EF436B"/>
    <w:rsid w:val="00EF68F4"/>
    <w:rsid w:val="00F05747"/>
    <w:rsid w:val="00F06A27"/>
    <w:rsid w:val="00F45F0C"/>
    <w:rsid w:val="00F6724E"/>
    <w:rsid w:val="00F90A57"/>
    <w:rsid w:val="00FA742B"/>
    <w:rsid w:val="00FC32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A83D5F7-991D-43F4-8A53-86BED8B98B22}"/>
  <w:trackRevisions w:val="fals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553C5"/>
    <w:pPr>
      <w:spacing w:line="360" w:lineRule="auto"/>
      <w:jc w:val="both"/>
    </w:pPr>
    <w:rPr>
      <w:rFonts w:ascii="Times New Roman" w:hAnsi="Times New Roman" w:cs="Times New Roman"/>
      <w:sz w:val="24"/>
      <w:lang w:val="en-US"/>
    </w:rPr>
  </w:style>
  <w:style w:type="paragraph" w:styleId="Nadpis1">
    <w:name w:val="heading 1"/>
    <w:basedOn w:val="Normlny"/>
    <w:next w:val="Normlny"/>
    <w:link w:val="Nadpis1Char"/>
    <w:autoRedefine/>
    <w:uiPriority w:val="9"/>
    <w:qFormat/>
    <w:rsid w:val="00566B81"/>
    <w:pPr>
      <w:keepNext/>
      <w:keepLines/>
      <w:spacing w:before="240" w:after="0" w:line="240" w:lineRule="auto"/>
      <w:outlineLvl w:val="0"/>
    </w:pPr>
    <w:rPr>
      <w:rFonts w:eastAsiaTheme="majorEastAsia" w:cstheme="majorBidi"/>
      <w:b/>
      <w:sz w:val="32"/>
      <w:szCs w:val="32"/>
    </w:rPr>
  </w:style>
  <w:style w:type="paragraph" w:styleId="Nadpis2">
    <w:name w:val="heading 2"/>
    <w:basedOn w:val="Normlny"/>
    <w:next w:val="Normlny"/>
    <w:link w:val="Nadpis2Char"/>
    <w:autoRedefine/>
    <w:uiPriority w:val="9"/>
    <w:unhideWhenUsed/>
    <w:qFormat/>
    <w:rsid w:val="00566B81"/>
    <w:pPr>
      <w:keepNext/>
      <w:keepLines/>
      <w:spacing w:before="40" w:after="0"/>
      <w:outlineLvl w:val="1"/>
    </w:pPr>
    <w:rPr>
      <w:rFonts w:eastAsiaTheme="majorEastAsia" w:cstheme="majorBidi"/>
      <w:b/>
      <w:sz w:val="28"/>
      <w:szCs w:val="26"/>
    </w:rPr>
  </w:style>
  <w:style w:type="paragraph" w:styleId="Nadpis3">
    <w:name w:val="heading 3"/>
    <w:basedOn w:val="Normlny"/>
    <w:next w:val="Normlny"/>
    <w:link w:val="Nadpis3Char"/>
    <w:uiPriority w:val="9"/>
    <w:unhideWhenUsed/>
    <w:qFormat/>
    <w:rsid w:val="00C342D4"/>
    <w:pPr>
      <w:keepNext/>
      <w:keepLines/>
      <w:spacing w:before="40" w:after="0"/>
      <w:outlineLvl w:val="2"/>
    </w:pPr>
    <w:rPr>
      <w:rFonts w:eastAsiaTheme="majorEastAsia"/>
      <w:i/>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566B81"/>
    <w:rPr>
      <w:rFonts w:ascii="Times New Roman" w:eastAsiaTheme="majorEastAsia" w:hAnsi="Times New Roman" w:cstheme="majorBidi"/>
      <w:b/>
      <w:sz w:val="32"/>
      <w:szCs w:val="32"/>
    </w:rPr>
  </w:style>
  <w:style w:type="character" w:customStyle="1" w:styleId="Nadpis2Char">
    <w:name w:val="Nadpis 2 Char"/>
    <w:basedOn w:val="Predvolenpsmoodseku"/>
    <w:link w:val="Nadpis2"/>
    <w:uiPriority w:val="9"/>
    <w:rsid w:val="00566B81"/>
    <w:rPr>
      <w:rFonts w:ascii="Times New Roman" w:eastAsiaTheme="majorEastAsia" w:hAnsi="Times New Roman" w:cstheme="majorBidi"/>
      <w:b/>
      <w:sz w:val="28"/>
      <w:szCs w:val="26"/>
    </w:rPr>
  </w:style>
  <w:style w:type="character" w:customStyle="1" w:styleId="Nadpis3Char">
    <w:name w:val="Nadpis 3 Char"/>
    <w:basedOn w:val="Predvolenpsmoodseku"/>
    <w:link w:val="Nadpis3"/>
    <w:uiPriority w:val="9"/>
    <w:rsid w:val="00C342D4"/>
    <w:rPr>
      <w:rFonts w:ascii="Times New Roman" w:eastAsiaTheme="majorEastAsia" w:hAnsi="Times New Roman" w:cs="Times New Roman"/>
      <w:i/>
      <w:sz w:val="24"/>
      <w:szCs w:val="24"/>
    </w:rPr>
  </w:style>
  <w:style w:type="paragraph" w:styleId="Normlnywebov">
    <w:name w:val="Normal (Web)"/>
    <w:basedOn w:val="Normlny"/>
    <w:uiPriority w:val="99"/>
    <w:semiHidden/>
    <w:unhideWhenUsed/>
    <w:rsid w:val="00A14D1C"/>
    <w:pPr>
      <w:spacing w:before="100" w:beforeAutospacing="1" w:after="100" w:afterAutospacing="1" w:line="240" w:lineRule="auto"/>
    </w:pPr>
    <w:rPr>
      <w:rFonts w:eastAsia="Times New Roman"/>
      <w:szCs w:val="24"/>
      <w:lang w:eastAsia="en-GB"/>
    </w:rPr>
  </w:style>
  <w:style w:type="character" w:customStyle="1" w:styleId="url">
    <w:name w:val="url"/>
    <w:basedOn w:val="Predvolenpsmoodseku"/>
    <w:rsid w:val="00CE6C6A"/>
  </w:style>
  <w:style w:type="character" w:styleId="Hypertextovprepojenie">
    <w:name w:val="Hyperlink"/>
    <w:basedOn w:val="Predvolenpsmoodseku"/>
    <w:uiPriority w:val="99"/>
    <w:unhideWhenUsed/>
    <w:rsid w:val="00CE6C6A"/>
    <w:rPr>
      <w:color w:val="0563C1" w:themeColor="hyperlink"/>
      <w:u w:val="single"/>
    </w:rPr>
  </w:style>
  <w:style w:type="character" w:customStyle="1" w:styleId="Nevyrieenzmienka1">
    <w:name w:val="Nevyriešená zmienka1"/>
    <w:basedOn w:val="Predvolenpsmoodseku"/>
    <w:uiPriority w:val="99"/>
    <w:semiHidden/>
    <w:unhideWhenUsed/>
    <w:rsid w:val="00CE6C6A"/>
    <w:rPr>
      <w:color w:val="605E5C"/>
      <w:shd w:val="clear" w:color="auto" w:fill="E1DFDD"/>
    </w:rPr>
  </w:style>
  <w:style w:type="paragraph" w:styleId="Odsekzoznamu">
    <w:name w:val="List Paragraph"/>
    <w:basedOn w:val="Normlny"/>
    <w:uiPriority w:val="34"/>
    <w:qFormat/>
    <w:rsid w:val="008C12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946531">
      <w:bodyDiv w:val="1"/>
      <w:marLeft w:val="0"/>
      <w:marRight w:val="0"/>
      <w:marTop w:val="0"/>
      <w:marBottom w:val="0"/>
      <w:divBdr>
        <w:top w:val="none" w:sz="0" w:space="0" w:color="auto"/>
        <w:left w:val="none" w:sz="0" w:space="0" w:color="auto"/>
        <w:bottom w:val="none" w:sz="0" w:space="0" w:color="auto"/>
        <w:right w:val="none" w:sz="0" w:space="0" w:color="auto"/>
      </w:divBdr>
      <w:divsChild>
        <w:div w:id="120661415">
          <w:marLeft w:val="-720"/>
          <w:marRight w:val="0"/>
          <w:marTop w:val="0"/>
          <w:marBottom w:val="0"/>
          <w:divBdr>
            <w:top w:val="none" w:sz="0" w:space="0" w:color="auto"/>
            <w:left w:val="none" w:sz="0" w:space="0" w:color="auto"/>
            <w:bottom w:val="none" w:sz="0" w:space="0" w:color="auto"/>
            <w:right w:val="none" w:sz="0" w:space="0" w:color="auto"/>
          </w:divBdr>
        </w:div>
      </w:divsChild>
    </w:div>
    <w:div w:id="327561798">
      <w:bodyDiv w:val="1"/>
      <w:marLeft w:val="0"/>
      <w:marRight w:val="0"/>
      <w:marTop w:val="0"/>
      <w:marBottom w:val="0"/>
      <w:divBdr>
        <w:top w:val="none" w:sz="0" w:space="0" w:color="auto"/>
        <w:left w:val="none" w:sz="0" w:space="0" w:color="auto"/>
        <w:bottom w:val="none" w:sz="0" w:space="0" w:color="auto"/>
        <w:right w:val="none" w:sz="0" w:space="0" w:color="auto"/>
      </w:divBdr>
    </w:div>
    <w:div w:id="345252828">
      <w:bodyDiv w:val="1"/>
      <w:marLeft w:val="0"/>
      <w:marRight w:val="0"/>
      <w:marTop w:val="0"/>
      <w:marBottom w:val="0"/>
      <w:divBdr>
        <w:top w:val="none" w:sz="0" w:space="0" w:color="auto"/>
        <w:left w:val="none" w:sz="0" w:space="0" w:color="auto"/>
        <w:bottom w:val="none" w:sz="0" w:space="0" w:color="auto"/>
        <w:right w:val="none" w:sz="0" w:space="0" w:color="auto"/>
      </w:divBdr>
    </w:div>
    <w:div w:id="438263602">
      <w:bodyDiv w:val="1"/>
      <w:marLeft w:val="0"/>
      <w:marRight w:val="0"/>
      <w:marTop w:val="0"/>
      <w:marBottom w:val="0"/>
      <w:divBdr>
        <w:top w:val="none" w:sz="0" w:space="0" w:color="auto"/>
        <w:left w:val="none" w:sz="0" w:space="0" w:color="auto"/>
        <w:bottom w:val="none" w:sz="0" w:space="0" w:color="auto"/>
        <w:right w:val="none" w:sz="0" w:space="0" w:color="auto"/>
      </w:divBdr>
    </w:div>
    <w:div w:id="609555097">
      <w:bodyDiv w:val="1"/>
      <w:marLeft w:val="0"/>
      <w:marRight w:val="0"/>
      <w:marTop w:val="0"/>
      <w:marBottom w:val="0"/>
      <w:divBdr>
        <w:top w:val="none" w:sz="0" w:space="0" w:color="auto"/>
        <w:left w:val="none" w:sz="0" w:space="0" w:color="auto"/>
        <w:bottom w:val="none" w:sz="0" w:space="0" w:color="auto"/>
        <w:right w:val="none" w:sz="0" w:space="0" w:color="auto"/>
      </w:divBdr>
    </w:div>
    <w:div w:id="700856877">
      <w:bodyDiv w:val="1"/>
      <w:marLeft w:val="0"/>
      <w:marRight w:val="0"/>
      <w:marTop w:val="0"/>
      <w:marBottom w:val="0"/>
      <w:divBdr>
        <w:top w:val="none" w:sz="0" w:space="0" w:color="auto"/>
        <w:left w:val="none" w:sz="0" w:space="0" w:color="auto"/>
        <w:bottom w:val="none" w:sz="0" w:space="0" w:color="auto"/>
        <w:right w:val="none" w:sz="0" w:space="0" w:color="auto"/>
      </w:divBdr>
      <w:divsChild>
        <w:div w:id="1522015988">
          <w:marLeft w:val="0"/>
          <w:marRight w:val="0"/>
          <w:marTop w:val="0"/>
          <w:marBottom w:val="0"/>
          <w:divBdr>
            <w:top w:val="single" w:sz="6" w:space="0" w:color="auto"/>
            <w:left w:val="single" w:sz="6" w:space="0" w:color="auto"/>
            <w:bottom w:val="single" w:sz="6" w:space="0" w:color="auto"/>
            <w:right w:val="single" w:sz="6" w:space="0" w:color="auto"/>
          </w:divBdr>
        </w:div>
      </w:divsChild>
    </w:div>
    <w:div w:id="756827851">
      <w:bodyDiv w:val="1"/>
      <w:marLeft w:val="0"/>
      <w:marRight w:val="0"/>
      <w:marTop w:val="0"/>
      <w:marBottom w:val="0"/>
      <w:divBdr>
        <w:top w:val="none" w:sz="0" w:space="0" w:color="auto"/>
        <w:left w:val="none" w:sz="0" w:space="0" w:color="auto"/>
        <w:bottom w:val="none" w:sz="0" w:space="0" w:color="auto"/>
        <w:right w:val="none" w:sz="0" w:space="0" w:color="auto"/>
      </w:divBdr>
    </w:div>
    <w:div w:id="856238671">
      <w:bodyDiv w:val="1"/>
      <w:marLeft w:val="0"/>
      <w:marRight w:val="0"/>
      <w:marTop w:val="0"/>
      <w:marBottom w:val="0"/>
      <w:divBdr>
        <w:top w:val="none" w:sz="0" w:space="0" w:color="auto"/>
        <w:left w:val="none" w:sz="0" w:space="0" w:color="auto"/>
        <w:bottom w:val="none" w:sz="0" w:space="0" w:color="auto"/>
        <w:right w:val="none" w:sz="0" w:space="0" w:color="auto"/>
      </w:divBdr>
    </w:div>
    <w:div w:id="1024481975">
      <w:bodyDiv w:val="1"/>
      <w:marLeft w:val="0"/>
      <w:marRight w:val="0"/>
      <w:marTop w:val="0"/>
      <w:marBottom w:val="0"/>
      <w:divBdr>
        <w:top w:val="none" w:sz="0" w:space="0" w:color="auto"/>
        <w:left w:val="none" w:sz="0" w:space="0" w:color="auto"/>
        <w:bottom w:val="none" w:sz="0" w:space="0" w:color="auto"/>
        <w:right w:val="none" w:sz="0" w:space="0" w:color="auto"/>
      </w:divBdr>
      <w:divsChild>
        <w:div w:id="532310809">
          <w:marLeft w:val="-720"/>
          <w:marRight w:val="0"/>
          <w:marTop w:val="0"/>
          <w:marBottom w:val="0"/>
          <w:divBdr>
            <w:top w:val="none" w:sz="0" w:space="0" w:color="auto"/>
            <w:left w:val="none" w:sz="0" w:space="0" w:color="auto"/>
            <w:bottom w:val="none" w:sz="0" w:space="0" w:color="auto"/>
            <w:right w:val="none" w:sz="0" w:space="0" w:color="auto"/>
          </w:divBdr>
        </w:div>
      </w:divsChild>
    </w:div>
    <w:div w:id="1036806425">
      <w:bodyDiv w:val="1"/>
      <w:marLeft w:val="0"/>
      <w:marRight w:val="0"/>
      <w:marTop w:val="0"/>
      <w:marBottom w:val="0"/>
      <w:divBdr>
        <w:top w:val="none" w:sz="0" w:space="0" w:color="auto"/>
        <w:left w:val="none" w:sz="0" w:space="0" w:color="auto"/>
        <w:bottom w:val="none" w:sz="0" w:space="0" w:color="auto"/>
        <w:right w:val="none" w:sz="0" w:space="0" w:color="auto"/>
      </w:divBdr>
      <w:divsChild>
        <w:div w:id="774793647">
          <w:marLeft w:val="0"/>
          <w:marRight w:val="0"/>
          <w:marTop w:val="0"/>
          <w:marBottom w:val="0"/>
          <w:divBdr>
            <w:top w:val="single" w:sz="6" w:space="0" w:color="auto"/>
            <w:left w:val="single" w:sz="6" w:space="0" w:color="auto"/>
            <w:bottom w:val="single" w:sz="6" w:space="0" w:color="auto"/>
            <w:right w:val="single" w:sz="6" w:space="0" w:color="auto"/>
          </w:divBdr>
        </w:div>
      </w:divsChild>
    </w:div>
    <w:div w:id="1091927635">
      <w:bodyDiv w:val="1"/>
      <w:marLeft w:val="0"/>
      <w:marRight w:val="0"/>
      <w:marTop w:val="0"/>
      <w:marBottom w:val="0"/>
      <w:divBdr>
        <w:top w:val="none" w:sz="0" w:space="0" w:color="auto"/>
        <w:left w:val="none" w:sz="0" w:space="0" w:color="auto"/>
        <w:bottom w:val="none" w:sz="0" w:space="0" w:color="auto"/>
        <w:right w:val="none" w:sz="0" w:space="0" w:color="auto"/>
      </w:divBdr>
    </w:div>
    <w:div w:id="1365716923">
      <w:bodyDiv w:val="1"/>
      <w:marLeft w:val="0"/>
      <w:marRight w:val="0"/>
      <w:marTop w:val="0"/>
      <w:marBottom w:val="0"/>
      <w:divBdr>
        <w:top w:val="none" w:sz="0" w:space="0" w:color="auto"/>
        <w:left w:val="none" w:sz="0" w:space="0" w:color="auto"/>
        <w:bottom w:val="none" w:sz="0" w:space="0" w:color="auto"/>
        <w:right w:val="none" w:sz="0" w:space="0" w:color="auto"/>
      </w:divBdr>
    </w:div>
    <w:div w:id="1426612035">
      <w:bodyDiv w:val="1"/>
      <w:marLeft w:val="0"/>
      <w:marRight w:val="0"/>
      <w:marTop w:val="0"/>
      <w:marBottom w:val="0"/>
      <w:divBdr>
        <w:top w:val="none" w:sz="0" w:space="0" w:color="auto"/>
        <w:left w:val="none" w:sz="0" w:space="0" w:color="auto"/>
        <w:bottom w:val="none" w:sz="0" w:space="0" w:color="auto"/>
        <w:right w:val="none" w:sz="0" w:space="0" w:color="auto"/>
      </w:divBdr>
    </w:div>
    <w:div w:id="1456831012">
      <w:bodyDiv w:val="1"/>
      <w:marLeft w:val="0"/>
      <w:marRight w:val="0"/>
      <w:marTop w:val="0"/>
      <w:marBottom w:val="0"/>
      <w:divBdr>
        <w:top w:val="none" w:sz="0" w:space="0" w:color="auto"/>
        <w:left w:val="none" w:sz="0" w:space="0" w:color="auto"/>
        <w:bottom w:val="none" w:sz="0" w:space="0" w:color="auto"/>
        <w:right w:val="none" w:sz="0" w:space="0" w:color="auto"/>
      </w:divBdr>
    </w:div>
    <w:div w:id="1457988372">
      <w:bodyDiv w:val="1"/>
      <w:marLeft w:val="0"/>
      <w:marRight w:val="0"/>
      <w:marTop w:val="0"/>
      <w:marBottom w:val="0"/>
      <w:divBdr>
        <w:top w:val="none" w:sz="0" w:space="0" w:color="auto"/>
        <w:left w:val="none" w:sz="0" w:space="0" w:color="auto"/>
        <w:bottom w:val="none" w:sz="0" w:space="0" w:color="auto"/>
        <w:right w:val="none" w:sz="0" w:space="0" w:color="auto"/>
      </w:divBdr>
    </w:div>
    <w:div w:id="1546017994">
      <w:bodyDiv w:val="1"/>
      <w:marLeft w:val="0"/>
      <w:marRight w:val="0"/>
      <w:marTop w:val="0"/>
      <w:marBottom w:val="0"/>
      <w:divBdr>
        <w:top w:val="none" w:sz="0" w:space="0" w:color="auto"/>
        <w:left w:val="none" w:sz="0" w:space="0" w:color="auto"/>
        <w:bottom w:val="none" w:sz="0" w:space="0" w:color="auto"/>
        <w:right w:val="none" w:sz="0" w:space="0" w:color="auto"/>
      </w:divBdr>
      <w:divsChild>
        <w:div w:id="730230850">
          <w:marLeft w:val="0"/>
          <w:marRight w:val="0"/>
          <w:marTop w:val="0"/>
          <w:marBottom w:val="0"/>
          <w:divBdr>
            <w:top w:val="single" w:sz="6" w:space="0" w:color="auto"/>
            <w:left w:val="single" w:sz="6" w:space="0" w:color="auto"/>
            <w:bottom w:val="single" w:sz="6" w:space="0" w:color="auto"/>
            <w:right w:val="single" w:sz="6" w:space="0" w:color="auto"/>
          </w:divBdr>
        </w:div>
      </w:divsChild>
    </w:div>
    <w:div w:id="1550535876">
      <w:bodyDiv w:val="1"/>
      <w:marLeft w:val="0"/>
      <w:marRight w:val="0"/>
      <w:marTop w:val="0"/>
      <w:marBottom w:val="0"/>
      <w:divBdr>
        <w:top w:val="none" w:sz="0" w:space="0" w:color="auto"/>
        <w:left w:val="none" w:sz="0" w:space="0" w:color="auto"/>
        <w:bottom w:val="none" w:sz="0" w:space="0" w:color="auto"/>
        <w:right w:val="none" w:sz="0" w:space="0" w:color="auto"/>
      </w:divBdr>
    </w:div>
    <w:div w:id="1603564888">
      <w:bodyDiv w:val="1"/>
      <w:marLeft w:val="0"/>
      <w:marRight w:val="0"/>
      <w:marTop w:val="0"/>
      <w:marBottom w:val="0"/>
      <w:divBdr>
        <w:top w:val="none" w:sz="0" w:space="0" w:color="auto"/>
        <w:left w:val="none" w:sz="0" w:space="0" w:color="auto"/>
        <w:bottom w:val="none" w:sz="0" w:space="0" w:color="auto"/>
        <w:right w:val="none" w:sz="0" w:space="0" w:color="auto"/>
      </w:divBdr>
    </w:div>
    <w:div w:id="1798065811">
      <w:bodyDiv w:val="1"/>
      <w:marLeft w:val="0"/>
      <w:marRight w:val="0"/>
      <w:marTop w:val="0"/>
      <w:marBottom w:val="0"/>
      <w:divBdr>
        <w:top w:val="none" w:sz="0" w:space="0" w:color="auto"/>
        <w:left w:val="none" w:sz="0" w:space="0" w:color="auto"/>
        <w:bottom w:val="none" w:sz="0" w:space="0" w:color="auto"/>
        <w:right w:val="none" w:sz="0" w:space="0" w:color="auto"/>
      </w:divBdr>
    </w:div>
    <w:div w:id="1807236337">
      <w:bodyDiv w:val="1"/>
      <w:marLeft w:val="0"/>
      <w:marRight w:val="0"/>
      <w:marTop w:val="0"/>
      <w:marBottom w:val="0"/>
      <w:divBdr>
        <w:top w:val="none" w:sz="0" w:space="0" w:color="auto"/>
        <w:left w:val="none" w:sz="0" w:space="0" w:color="auto"/>
        <w:bottom w:val="none" w:sz="0" w:space="0" w:color="auto"/>
        <w:right w:val="none" w:sz="0" w:space="0" w:color="auto"/>
      </w:divBdr>
    </w:div>
    <w:div w:id="1825972234">
      <w:bodyDiv w:val="1"/>
      <w:marLeft w:val="0"/>
      <w:marRight w:val="0"/>
      <w:marTop w:val="0"/>
      <w:marBottom w:val="0"/>
      <w:divBdr>
        <w:top w:val="none" w:sz="0" w:space="0" w:color="auto"/>
        <w:left w:val="none" w:sz="0" w:space="0" w:color="auto"/>
        <w:bottom w:val="none" w:sz="0" w:space="0" w:color="auto"/>
        <w:right w:val="none" w:sz="0" w:space="0" w:color="auto"/>
      </w:divBdr>
    </w:div>
    <w:div w:id="1867476963">
      <w:bodyDiv w:val="1"/>
      <w:marLeft w:val="0"/>
      <w:marRight w:val="0"/>
      <w:marTop w:val="0"/>
      <w:marBottom w:val="0"/>
      <w:divBdr>
        <w:top w:val="none" w:sz="0" w:space="0" w:color="auto"/>
        <w:left w:val="none" w:sz="0" w:space="0" w:color="auto"/>
        <w:bottom w:val="none" w:sz="0" w:space="0" w:color="auto"/>
        <w:right w:val="none" w:sz="0" w:space="0" w:color="auto"/>
      </w:divBdr>
    </w:div>
    <w:div w:id="1925994775">
      <w:bodyDiv w:val="1"/>
      <w:marLeft w:val="0"/>
      <w:marRight w:val="0"/>
      <w:marTop w:val="0"/>
      <w:marBottom w:val="0"/>
      <w:divBdr>
        <w:top w:val="none" w:sz="0" w:space="0" w:color="auto"/>
        <w:left w:val="none" w:sz="0" w:space="0" w:color="auto"/>
        <w:bottom w:val="none" w:sz="0" w:space="0" w:color="auto"/>
        <w:right w:val="none" w:sz="0" w:space="0" w:color="auto"/>
      </w:divBdr>
    </w:div>
    <w:div w:id="206028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10" Type="http://schemas.openxmlformats.org/officeDocument/2006/relationships/hyperlink" Target="https://doi.org/10.1108/srj-09-2018-0245" TargetMode="External"/><Relationship Id="rId11" Type="http://schemas.openxmlformats.org/officeDocument/2006/relationships/hyperlink" Target="https://eprajournals.net/index.php/IJMR/article/view/3482" TargetMode="External"/><Relationship Id="rId12" Type="http://schemas.openxmlformats.org/officeDocument/2006/relationships/hyperlink" Target="https://doi.org/10.1016/j.erss.2020.101500" TargetMode="External"/><Relationship Id="rId13" Type="http://schemas.openxmlformats.org/officeDocument/2006/relationships/fontTable" Target="fontTable.xml"/><Relationship Id="rId14" Type="http://schemas.openxmlformats.org/officeDocument/2006/relationships/theme" Target="theme/theme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doi.org/10.3389/frsc.2023.985656" TargetMode="External"/><Relationship Id="rId6" Type="http://schemas.openxmlformats.org/officeDocument/2006/relationships/hyperlink" Target="https://doi.org/10.1080/17449359.2020.1769676" TargetMode="External"/><Relationship Id="rId7" Type="http://schemas.openxmlformats.org/officeDocument/2006/relationships/hyperlink" Target="https://www.ademcetinkaya.com/2022/11/dunelm-group-plc-stock-forecast-price.html" TargetMode="External"/><Relationship Id="rId8" Type="http://schemas.openxmlformats.org/officeDocument/2006/relationships/hyperlink" Target="https://doi.org/10.1108/ijrdm-07-2020-0236" TargetMode="External"/><Relationship Id="rId9" Type="http://schemas.openxmlformats.org/officeDocument/2006/relationships/hyperlink" Target="https://www.theseus.fi/handle/10024/4978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752</Words>
  <Characters>5211</Characters>
  <Application>Microsoft Office Word</Application>
  <DocSecurity>0</DocSecurity>
  <Lines>43</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notes</dc:creator>
  <cp:keywords/>
  <dc:description/>
  <cp:lastModifiedBy>denisageciova2726@gmail.com</cp:lastModifiedBy>
  <cp:revision>2</cp:revision>
  <dcterms:created xsi:type="dcterms:W3CDTF">2024-03-10T20:59:00Z</dcterms:created>
  <dcterms:modified xsi:type="dcterms:W3CDTF">2024-03-10T20:59:00Z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20afb398a0268e5789240b097658200a98d6ea1c1467cb77f384d0e2b7539e9f</vt:lpwstr>
  </property>
</Properties>
</file>