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722E" w:rsidRDefault="00AA722E" w:rsidP="00AA722E">
      <w:pPr>
        <w:rPr>
          <w:rFonts w:cstheme="minorHAnsi"/>
          <w:b/>
          <w:sz w:val="28"/>
          <w:szCs w:val="28"/>
        </w:rPr>
      </w:pPr>
      <w:proofErr w:type="spellStart"/>
      <w:r>
        <w:rPr>
          <w:rFonts w:cstheme="minorHAnsi"/>
          <w:b/>
          <w:sz w:val="28"/>
          <w:szCs w:val="28"/>
        </w:rPr>
        <w:t>Analyse</w:t>
      </w:r>
      <w:proofErr w:type="spellEnd"/>
      <w:r>
        <w:rPr>
          <w:rFonts w:cstheme="minorHAnsi"/>
          <w:b/>
          <w:sz w:val="28"/>
          <w:szCs w:val="28"/>
        </w:rPr>
        <w:t xml:space="preserve"> the primary characteristics of Athanasius’s Christology. To what extent, if at all, is it dependent on faith in the Triune God?</w:t>
      </w:r>
    </w:p>
    <w:p w:rsidR="00AA722E" w:rsidRDefault="00AA722E" w:rsidP="00AA722E">
      <w:pPr>
        <w:rPr>
          <w:rFonts w:cstheme="minorHAnsi"/>
          <w:sz w:val="24"/>
          <w:szCs w:val="24"/>
        </w:rPr>
      </w:pPr>
      <w:r>
        <w:rPr>
          <w:rFonts w:cstheme="minorHAnsi"/>
          <w:sz w:val="24"/>
          <w:szCs w:val="24"/>
        </w:rPr>
        <w:t xml:space="preserve">The work of St Athanasius (296-373 AD) is of seminal importance in terms of the debates surrounding both Christology and The Holy Trinity (1). He, “played a crucial part in advocating for the Apostles’ Creed” (2) in opposition to the Arian heresy at the Council of Nicaea in 325AD.  Where, Arius (d.336), at least on initial reading, seemed to be continuing the </w:t>
      </w:r>
      <w:proofErr w:type="spellStart"/>
      <w:r>
        <w:rPr>
          <w:rFonts w:cstheme="minorHAnsi"/>
          <w:sz w:val="24"/>
          <w:szCs w:val="24"/>
        </w:rPr>
        <w:t>subordinationist</w:t>
      </w:r>
      <w:proofErr w:type="spellEnd"/>
      <w:r>
        <w:rPr>
          <w:rFonts w:cstheme="minorHAnsi"/>
          <w:sz w:val="24"/>
          <w:szCs w:val="24"/>
        </w:rPr>
        <w:t xml:space="preserve"> trend within Christology, arguing that ‘Jesus was a similar substance (</w:t>
      </w:r>
      <w:proofErr w:type="spellStart"/>
      <w:r>
        <w:rPr>
          <w:rFonts w:cstheme="minorHAnsi"/>
          <w:sz w:val="24"/>
          <w:szCs w:val="24"/>
        </w:rPr>
        <w:t>homoiousios</w:t>
      </w:r>
      <w:proofErr w:type="spellEnd"/>
      <w:r>
        <w:rPr>
          <w:rFonts w:cstheme="minorHAnsi"/>
          <w:sz w:val="24"/>
          <w:szCs w:val="24"/>
        </w:rPr>
        <w:t>) to God, rather than the same substance (</w:t>
      </w:r>
      <w:proofErr w:type="spellStart"/>
      <w:r>
        <w:rPr>
          <w:rFonts w:cstheme="minorHAnsi"/>
          <w:sz w:val="24"/>
          <w:szCs w:val="24"/>
        </w:rPr>
        <w:t>homoousios</w:t>
      </w:r>
      <w:proofErr w:type="spellEnd"/>
      <w:r>
        <w:rPr>
          <w:rFonts w:cstheme="minorHAnsi"/>
          <w:sz w:val="24"/>
          <w:szCs w:val="24"/>
        </w:rPr>
        <w:t>)</w:t>
      </w:r>
      <w:proofErr w:type="gramStart"/>
      <w:r>
        <w:rPr>
          <w:rFonts w:cstheme="minorHAnsi"/>
          <w:sz w:val="24"/>
          <w:szCs w:val="24"/>
        </w:rPr>
        <w:t>’(</w:t>
      </w:r>
      <w:proofErr w:type="gramEnd"/>
      <w:r>
        <w:rPr>
          <w:rFonts w:cstheme="minorHAnsi"/>
          <w:sz w:val="24"/>
          <w:szCs w:val="24"/>
        </w:rPr>
        <w:t xml:space="preserve">3). </w:t>
      </w:r>
      <w:proofErr w:type="gramStart"/>
      <w:r>
        <w:rPr>
          <w:rFonts w:cstheme="minorHAnsi"/>
          <w:sz w:val="24"/>
          <w:szCs w:val="24"/>
        </w:rPr>
        <w:t>Thus “distinguishing between the full divinity of the father, and a lesser divinity of the son.”</w:t>
      </w:r>
      <w:proofErr w:type="gramEnd"/>
      <w:r>
        <w:rPr>
          <w:rFonts w:cstheme="minorHAnsi"/>
          <w:sz w:val="24"/>
          <w:szCs w:val="24"/>
        </w:rPr>
        <w:t xml:space="preserve"> (4)    </w:t>
      </w:r>
    </w:p>
    <w:p w:rsidR="00AA722E" w:rsidRDefault="00AA722E" w:rsidP="00AA722E">
      <w:pPr>
        <w:rPr>
          <w:rFonts w:cstheme="minorHAnsi"/>
          <w:sz w:val="24"/>
          <w:szCs w:val="24"/>
        </w:rPr>
      </w:pPr>
      <w:r>
        <w:rPr>
          <w:rFonts w:cstheme="minorHAnsi"/>
          <w:sz w:val="24"/>
          <w:szCs w:val="24"/>
        </w:rPr>
        <w:t>All of which exacerbated debates about  the significance and identity of the person of Christ, the nature of his ‘Divinity’, his purpose in becoming ‘The Word’ in ‘flesh’, the whole question of ‘hypostases’, his exact relation to God and consequently the entire notion of Soteriology and how it was to be achieved.</w:t>
      </w:r>
    </w:p>
    <w:p w:rsidR="00AA722E" w:rsidRDefault="00AA722E" w:rsidP="00AA722E">
      <w:pPr>
        <w:rPr>
          <w:rFonts w:cstheme="minorHAnsi"/>
          <w:sz w:val="24"/>
          <w:szCs w:val="24"/>
        </w:rPr>
      </w:pPr>
      <w:r>
        <w:rPr>
          <w:rFonts w:cstheme="minorHAnsi"/>
          <w:sz w:val="24"/>
          <w:szCs w:val="24"/>
        </w:rPr>
        <w:t xml:space="preserve">Athanasius asserting that God himself became a human being and died a human death so as to make humans divine. No mere ‘creature’ could achieve this, he insisted, but only the very Word of God. Athanasius, in the Incarnation, distinguishing “between the Logos in himself and the Logos </w:t>
      </w:r>
      <w:proofErr w:type="spellStart"/>
      <w:r>
        <w:rPr>
          <w:rFonts w:cstheme="minorHAnsi"/>
          <w:sz w:val="24"/>
          <w:szCs w:val="24"/>
        </w:rPr>
        <w:t>enfleshed</w:t>
      </w:r>
      <w:proofErr w:type="spellEnd"/>
      <w:r>
        <w:rPr>
          <w:rFonts w:cstheme="minorHAnsi"/>
          <w:sz w:val="24"/>
          <w:szCs w:val="24"/>
        </w:rPr>
        <w:t xml:space="preserve">, or in human form” and contended that the creed adopted at Nicaea incorporated orthodox Christian belief in its entirety. </w:t>
      </w:r>
      <w:proofErr w:type="gramStart"/>
      <w:r>
        <w:rPr>
          <w:rFonts w:cstheme="minorHAnsi"/>
          <w:sz w:val="24"/>
          <w:szCs w:val="24"/>
        </w:rPr>
        <w:t xml:space="preserve">Ralph Del </w:t>
      </w:r>
      <w:proofErr w:type="spellStart"/>
      <w:r>
        <w:rPr>
          <w:rFonts w:cstheme="minorHAnsi"/>
          <w:sz w:val="24"/>
          <w:szCs w:val="24"/>
        </w:rPr>
        <w:t>Colle</w:t>
      </w:r>
      <w:proofErr w:type="spellEnd"/>
      <w:r>
        <w:rPr>
          <w:rFonts w:cstheme="minorHAnsi"/>
          <w:sz w:val="24"/>
          <w:szCs w:val="24"/>
        </w:rPr>
        <w:t xml:space="preserve"> stating ‘By the time of Athanasius and the </w:t>
      </w:r>
      <w:proofErr w:type="spellStart"/>
      <w:r>
        <w:rPr>
          <w:rFonts w:cstheme="minorHAnsi"/>
          <w:sz w:val="24"/>
          <w:szCs w:val="24"/>
        </w:rPr>
        <w:t>Cappadocians</w:t>
      </w:r>
      <w:proofErr w:type="spellEnd"/>
      <w:r>
        <w:rPr>
          <w:rFonts w:cstheme="minorHAnsi"/>
          <w:sz w:val="24"/>
          <w:szCs w:val="24"/>
        </w:rPr>
        <w:t xml:space="preserve"> a restrictive economic </w:t>
      </w:r>
      <w:proofErr w:type="spellStart"/>
      <w:r>
        <w:rPr>
          <w:rFonts w:cstheme="minorHAnsi"/>
          <w:sz w:val="24"/>
          <w:szCs w:val="24"/>
        </w:rPr>
        <w:t>trinitarianism</w:t>
      </w:r>
      <w:proofErr w:type="spellEnd"/>
      <w:r>
        <w:rPr>
          <w:rFonts w:cstheme="minorHAnsi"/>
          <w:sz w:val="24"/>
          <w:szCs w:val="24"/>
        </w:rPr>
        <w:t xml:space="preserve"> had been overcome.</w:t>
      </w:r>
      <w:proofErr w:type="gramEnd"/>
      <w:r>
        <w:rPr>
          <w:rFonts w:cstheme="minorHAnsi"/>
          <w:sz w:val="24"/>
          <w:szCs w:val="24"/>
        </w:rPr>
        <w:t xml:space="preserve"> The distinction between </w:t>
      </w:r>
      <w:proofErr w:type="spellStart"/>
      <w:r>
        <w:rPr>
          <w:rFonts w:cstheme="minorHAnsi"/>
          <w:sz w:val="24"/>
          <w:szCs w:val="24"/>
        </w:rPr>
        <w:t>theologia</w:t>
      </w:r>
      <w:proofErr w:type="spellEnd"/>
      <w:r>
        <w:rPr>
          <w:rFonts w:cstheme="minorHAnsi"/>
          <w:sz w:val="24"/>
          <w:szCs w:val="24"/>
        </w:rPr>
        <w:t xml:space="preserve"> and </w:t>
      </w:r>
      <w:proofErr w:type="spellStart"/>
      <w:r>
        <w:rPr>
          <w:rFonts w:cstheme="minorHAnsi"/>
          <w:sz w:val="24"/>
          <w:szCs w:val="24"/>
        </w:rPr>
        <w:t>oikonomia</w:t>
      </w:r>
      <w:proofErr w:type="spellEnd"/>
      <w:r>
        <w:rPr>
          <w:rFonts w:cstheme="minorHAnsi"/>
          <w:sz w:val="24"/>
          <w:szCs w:val="24"/>
        </w:rPr>
        <w:t xml:space="preserve">, that is, between God in the Trinitarian mystery of his being, and </w:t>
      </w:r>
      <w:proofErr w:type="spellStart"/>
      <w:r>
        <w:rPr>
          <w:rFonts w:cstheme="minorHAnsi"/>
          <w:sz w:val="24"/>
          <w:szCs w:val="24"/>
        </w:rPr>
        <w:t>mediatorship</w:t>
      </w:r>
      <w:proofErr w:type="spellEnd"/>
      <w:r>
        <w:rPr>
          <w:rFonts w:cstheme="minorHAnsi"/>
          <w:sz w:val="24"/>
          <w:szCs w:val="24"/>
        </w:rPr>
        <w:t xml:space="preserve"> of the Son and the Spirit in creation and redemption, was essential for the maturation of the doctrine’.  </w:t>
      </w:r>
      <w:proofErr w:type="spellStart"/>
      <w:r>
        <w:rPr>
          <w:rFonts w:cstheme="minorHAnsi"/>
          <w:sz w:val="24"/>
          <w:szCs w:val="24"/>
        </w:rPr>
        <w:t>Colle</w:t>
      </w:r>
      <w:proofErr w:type="spellEnd"/>
      <w:r>
        <w:rPr>
          <w:rFonts w:cstheme="minorHAnsi"/>
          <w:sz w:val="24"/>
          <w:szCs w:val="24"/>
        </w:rPr>
        <w:t xml:space="preserve"> prefixing his previous observation by saying ‘Athanasius in defense of Nicaea contributed to a major breakthrough in Trinitarian theology. By resolving the generation of the Son on the side of God rather than the creature, he established an intra-divine basis for the divinity of the Son and the Spirit, without excluding the soteriological principle that the Word became flesh in order that He might minister the things of God to us, and our to God (Contra </w:t>
      </w:r>
      <w:proofErr w:type="spellStart"/>
      <w:r>
        <w:rPr>
          <w:rFonts w:cstheme="minorHAnsi"/>
          <w:sz w:val="24"/>
          <w:szCs w:val="24"/>
        </w:rPr>
        <w:t>Arianos</w:t>
      </w:r>
      <w:proofErr w:type="spellEnd"/>
      <w:r>
        <w:rPr>
          <w:rFonts w:cstheme="minorHAnsi"/>
          <w:sz w:val="24"/>
          <w:szCs w:val="24"/>
        </w:rPr>
        <w:t xml:space="preserve"> 4:6). The consequence is that the Father is designated such not on the basis of his relationship to creation as the source of all that is but primarily as the one who generates the Son’. (5) </w:t>
      </w:r>
    </w:p>
    <w:p w:rsidR="00AA722E" w:rsidRDefault="00AA722E" w:rsidP="00AA722E">
      <w:pPr>
        <w:rPr>
          <w:rFonts w:cstheme="minorHAnsi"/>
          <w:sz w:val="24"/>
          <w:szCs w:val="24"/>
        </w:rPr>
      </w:pPr>
      <w:r>
        <w:rPr>
          <w:rFonts w:cstheme="minorHAnsi"/>
          <w:sz w:val="24"/>
          <w:szCs w:val="24"/>
        </w:rPr>
        <w:t xml:space="preserve"> A view shared by Colin </w:t>
      </w:r>
      <w:proofErr w:type="spellStart"/>
      <w:r>
        <w:rPr>
          <w:rFonts w:cstheme="minorHAnsi"/>
          <w:sz w:val="24"/>
          <w:szCs w:val="24"/>
        </w:rPr>
        <w:t>Gunton</w:t>
      </w:r>
      <w:proofErr w:type="spellEnd"/>
      <w:r>
        <w:rPr>
          <w:rFonts w:cstheme="minorHAnsi"/>
          <w:sz w:val="24"/>
          <w:szCs w:val="24"/>
        </w:rPr>
        <w:t xml:space="preserve"> who writes on redemption ‘as it is understood by Athanasius in On the Incarnation. In Jesus of Nazareth, the Word made flesh, the one through whom the world created comes in person to his world to remake that which threatened to fall into dissolution through sin and evil’.  With Colin Hart suggesting that for Athanasius ‘if Jesus is none other than God himself, the eternal Son of the Father, then what he effectively does by assuming and reconciling our humanity to himself, and in pouring out the eternal Spirit of </w:t>
      </w:r>
      <w:proofErr w:type="spellStart"/>
      <w:r>
        <w:rPr>
          <w:rFonts w:cstheme="minorHAnsi"/>
          <w:sz w:val="24"/>
          <w:szCs w:val="24"/>
        </w:rPr>
        <w:lastRenderedPageBreak/>
        <w:t>sonship</w:t>
      </w:r>
      <w:proofErr w:type="spellEnd"/>
      <w:r>
        <w:rPr>
          <w:rFonts w:cstheme="minorHAnsi"/>
          <w:sz w:val="24"/>
          <w:szCs w:val="24"/>
        </w:rPr>
        <w:t xml:space="preserve"> upon us, is to draw us into the Trinitarian life of God itself, enabling us to share in the heart of God’s being’ (6).     </w:t>
      </w:r>
    </w:p>
    <w:p w:rsidR="00AA722E" w:rsidRDefault="00AA722E" w:rsidP="00AA722E">
      <w:pPr>
        <w:rPr>
          <w:rFonts w:cstheme="minorHAnsi"/>
          <w:sz w:val="24"/>
          <w:szCs w:val="24"/>
        </w:rPr>
      </w:pPr>
      <w:r>
        <w:rPr>
          <w:rFonts w:cstheme="minorHAnsi"/>
          <w:sz w:val="24"/>
          <w:szCs w:val="24"/>
        </w:rPr>
        <w:t xml:space="preserve"> A position Athanasius held in a series of treatises and sermons not only at Nicaea but also in response to other interpretations (7) as evidenced in his subsequent utterances and later writings such as his dogmatic Letter to Epictetus in circa 362. In which he argued that Christ was the word of God incarnate who assumed human nature by means of his chosen vessel, Mary, and as per the words of the Archangel Gabriel in the Annunciation “from you” and not ‘in you’, so that there are two distinct natures contained within in the human form facilitating the ability to remain co-substantial with the God-Father and thus allowing for no temporal difference between the God-father and the Word of God. </w:t>
      </w:r>
    </w:p>
    <w:p w:rsidR="00AA722E" w:rsidRDefault="00AA722E" w:rsidP="00AA722E">
      <w:pPr>
        <w:rPr>
          <w:rFonts w:cstheme="minorHAnsi"/>
          <w:sz w:val="24"/>
          <w:szCs w:val="24"/>
        </w:rPr>
      </w:pPr>
      <w:r>
        <w:rPr>
          <w:rFonts w:cstheme="minorHAnsi"/>
          <w:sz w:val="24"/>
          <w:szCs w:val="24"/>
        </w:rPr>
        <w:t xml:space="preserve">An indication that for  Athanasius it was only Christ’s human body that suffered as a consequence of the crucifixion and that the Logos itself remained separate and could thus facilitate, as part of the processes set forth by the resurrection, ‘communion and union’ (8) with God through Christ as embodied in the true teachings of the Church.        </w:t>
      </w:r>
    </w:p>
    <w:p w:rsidR="00AA722E" w:rsidRDefault="00AA722E" w:rsidP="00AA722E">
      <w:pPr>
        <w:rPr>
          <w:rFonts w:cstheme="minorHAnsi"/>
          <w:sz w:val="24"/>
          <w:szCs w:val="24"/>
        </w:rPr>
      </w:pPr>
      <w:r>
        <w:rPr>
          <w:rFonts w:cstheme="minorHAnsi"/>
          <w:sz w:val="24"/>
          <w:szCs w:val="24"/>
        </w:rPr>
        <w:t>Athanasius quoting Arius in one of his key works Against the Arians:</w:t>
      </w:r>
    </w:p>
    <w:p w:rsidR="00AA722E" w:rsidRDefault="00AA722E" w:rsidP="00AA722E">
      <w:pPr>
        <w:rPr>
          <w:rFonts w:cstheme="minorHAnsi"/>
          <w:sz w:val="24"/>
          <w:szCs w:val="24"/>
        </w:rPr>
      </w:pPr>
      <w:r>
        <w:rPr>
          <w:rFonts w:cstheme="minorHAnsi"/>
          <w:sz w:val="24"/>
          <w:szCs w:val="24"/>
        </w:rPr>
        <w:t xml:space="preserve">“God was not always father. There was a time when God was all alone, and was not yet father; only later did he become a father. The Son did not always exist. Everything created is out of nothing…so the logos of God came into existence out of nothing. There was a time when he was not. Before he was brought into being, he did not exist. He also had a beginning to his created existence.” (9) </w:t>
      </w:r>
    </w:p>
    <w:p w:rsidR="00AA722E" w:rsidRDefault="00AA722E" w:rsidP="00AA722E">
      <w:pPr>
        <w:rPr>
          <w:rFonts w:cstheme="minorHAnsi"/>
          <w:sz w:val="24"/>
          <w:szCs w:val="24"/>
        </w:rPr>
      </w:pPr>
      <w:r>
        <w:rPr>
          <w:rFonts w:cstheme="minorHAnsi"/>
          <w:sz w:val="24"/>
          <w:szCs w:val="24"/>
        </w:rPr>
        <w:t>A heresy that challenged Athanasius’s more orthodox Logos-</w:t>
      </w:r>
      <w:proofErr w:type="spellStart"/>
      <w:r>
        <w:rPr>
          <w:rFonts w:cstheme="minorHAnsi"/>
          <w:sz w:val="24"/>
          <w:szCs w:val="24"/>
        </w:rPr>
        <w:t>Sarx</w:t>
      </w:r>
      <w:proofErr w:type="spellEnd"/>
      <w:r>
        <w:rPr>
          <w:rFonts w:cstheme="minorHAnsi"/>
          <w:sz w:val="24"/>
          <w:szCs w:val="24"/>
        </w:rPr>
        <w:t xml:space="preserve"> proposition that “The suffering and the humiliation of Christ belong to the Logos only by virtue of his incarnate state” (10) and that only God can save and redeem the sinner and that as a consequence Jesus is in fact God incarnate. Otherwise, if Jesus was merely a ‘created creature’ then Christians would be guilty of idolatrous behavior in that their adoration of Christ in the form of public worship would be counter to God’s will and only “worship of a human construction or creation” (11) </w:t>
      </w:r>
    </w:p>
    <w:p w:rsidR="00AA722E" w:rsidRDefault="00AA722E" w:rsidP="00AA722E">
      <w:pPr>
        <w:rPr>
          <w:rFonts w:cstheme="minorHAnsi"/>
          <w:sz w:val="24"/>
          <w:szCs w:val="24"/>
        </w:rPr>
      </w:pPr>
      <w:r>
        <w:rPr>
          <w:rFonts w:cstheme="minorHAnsi"/>
          <w:sz w:val="24"/>
          <w:szCs w:val="24"/>
        </w:rPr>
        <w:t xml:space="preserve">Athanasius arguing that Arius was undermining the way Christians worship and adore Christ, for the salvation offered by Christ on the Cross must involve divine intervention. A set of circumstances that </w:t>
      </w:r>
      <w:proofErr w:type="spellStart"/>
      <w:r>
        <w:rPr>
          <w:rFonts w:cstheme="minorHAnsi"/>
          <w:sz w:val="24"/>
          <w:szCs w:val="24"/>
        </w:rPr>
        <w:t>Athanasian</w:t>
      </w:r>
      <w:proofErr w:type="spellEnd"/>
      <w:r>
        <w:rPr>
          <w:rFonts w:cstheme="minorHAnsi"/>
          <w:sz w:val="24"/>
          <w:szCs w:val="24"/>
        </w:rPr>
        <w:t xml:space="preserve"> logic dictates requires a complementary matrix of the power-relations and interactions between the triad composing the Holy Trinity. (12) </w:t>
      </w:r>
    </w:p>
    <w:p w:rsidR="00AA722E" w:rsidRDefault="00AA722E" w:rsidP="00AA722E">
      <w:pPr>
        <w:rPr>
          <w:rFonts w:cstheme="minorHAnsi"/>
          <w:sz w:val="24"/>
          <w:szCs w:val="24"/>
        </w:rPr>
      </w:pPr>
      <w:proofErr w:type="gramStart"/>
      <w:r>
        <w:rPr>
          <w:rFonts w:cstheme="minorHAnsi"/>
          <w:sz w:val="24"/>
          <w:szCs w:val="24"/>
        </w:rPr>
        <w:t>All of which not only contradicts Arius (13) but further refutes the potential “polytheism” of the Arian heresy (14).</w:t>
      </w:r>
      <w:proofErr w:type="gramEnd"/>
      <w:r>
        <w:rPr>
          <w:rFonts w:cstheme="minorHAnsi"/>
          <w:sz w:val="24"/>
          <w:szCs w:val="24"/>
        </w:rPr>
        <w:t xml:space="preserve"> Athanasius believing that ‘only if Jesus was fully human could he atone for human sin and only if he was fully divine could he have the power to save us’, and writing in his work Against the Arians:</w:t>
      </w:r>
    </w:p>
    <w:p w:rsidR="00AA722E" w:rsidRDefault="00AA722E" w:rsidP="00AA722E">
      <w:pPr>
        <w:rPr>
          <w:rFonts w:cstheme="minorHAnsi"/>
          <w:sz w:val="24"/>
          <w:szCs w:val="24"/>
        </w:rPr>
      </w:pPr>
      <w:r>
        <w:rPr>
          <w:rFonts w:cstheme="minorHAnsi"/>
          <w:sz w:val="24"/>
          <w:szCs w:val="24"/>
        </w:rPr>
        <w:lastRenderedPageBreak/>
        <w:t xml:space="preserve">“Though he was God he had a body of his own, and using it as an instrument he had become man for our sakes. Thus it is that the properties of the flesh are said to be his, since he was in that flesh; hunger, thirst, pain, weariness and the like, to which the flesh is liable.” (15) </w:t>
      </w:r>
    </w:p>
    <w:p w:rsidR="00AA722E" w:rsidRDefault="00AA722E" w:rsidP="00AA722E">
      <w:pPr>
        <w:rPr>
          <w:rFonts w:cstheme="minorHAnsi"/>
          <w:sz w:val="24"/>
          <w:szCs w:val="24"/>
        </w:rPr>
      </w:pPr>
      <w:r>
        <w:rPr>
          <w:rFonts w:cstheme="minorHAnsi"/>
          <w:sz w:val="24"/>
          <w:szCs w:val="24"/>
        </w:rPr>
        <w:t>Athanasius, who was sympathetic to the “New Adam Christology of the New Testament” (16) - regardless of the much disputed provenance of the Creed attributed to him - offering a clear exposition of the Doctrines of the Trinity and The Incarnation by reaffirming the Trinity of the Person of God and the two-fold nature of the Divine person of Jesus Christ:</w:t>
      </w:r>
    </w:p>
    <w:p w:rsidR="00AA722E" w:rsidRDefault="00AA722E" w:rsidP="00AA722E">
      <w:pPr>
        <w:rPr>
          <w:rFonts w:cstheme="minorHAnsi"/>
          <w:sz w:val="24"/>
          <w:szCs w:val="24"/>
        </w:rPr>
      </w:pPr>
      <w:r>
        <w:rPr>
          <w:rFonts w:cstheme="minorHAnsi"/>
          <w:sz w:val="24"/>
          <w:szCs w:val="24"/>
        </w:rPr>
        <w:t xml:space="preserve">“We worship one God in Trinity and Trinity in Unity. </w:t>
      </w:r>
      <w:proofErr w:type="gramStart"/>
      <w:r>
        <w:rPr>
          <w:rFonts w:cstheme="minorHAnsi"/>
          <w:sz w:val="24"/>
          <w:szCs w:val="24"/>
        </w:rPr>
        <w:t>Neither confounding the Persons, nor dividing the substance.</w:t>
      </w:r>
      <w:proofErr w:type="gramEnd"/>
      <w:r>
        <w:rPr>
          <w:rFonts w:cstheme="minorHAnsi"/>
          <w:sz w:val="24"/>
          <w:szCs w:val="24"/>
        </w:rPr>
        <w:t xml:space="preserve"> </w:t>
      </w:r>
      <w:proofErr w:type="gramStart"/>
      <w:r>
        <w:rPr>
          <w:rFonts w:cstheme="minorHAnsi"/>
          <w:sz w:val="24"/>
          <w:szCs w:val="24"/>
        </w:rPr>
        <w:t>For there is one person of the father, another of the Son, and another of the Holy Ghost.</w:t>
      </w:r>
      <w:proofErr w:type="gramEnd"/>
      <w:r>
        <w:rPr>
          <w:rFonts w:cstheme="minorHAnsi"/>
          <w:sz w:val="24"/>
          <w:szCs w:val="24"/>
        </w:rPr>
        <w:t xml:space="preserve"> But the Godhead of the Father, of the Son and the Holy Ghost is all one, the Glory Equal, the Majesty Co-Eternal. Such as the Father is, such is the Son, and such is the Holy Ghost. The Father </w:t>
      </w:r>
      <w:proofErr w:type="spellStart"/>
      <w:r>
        <w:rPr>
          <w:rFonts w:cstheme="minorHAnsi"/>
          <w:sz w:val="24"/>
          <w:szCs w:val="24"/>
        </w:rPr>
        <w:t>Uncreate</w:t>
      </w:r>
      <w:proofErr w:type="spellEnd"/>
      <w:r>
        <w:rPr>
          <w:rFonts w:cstheme="minorHAnsi"/>
          <w:sz w:val="24"/>
          <w:szCs w:val="24"/>
        </w:rPr>
        <w:t xml:space="preserve">, the Son </w:t>
      </w:r>
      <w:proofErr w:type="spellStart"/>
      <w:r>
        <w:rPr>
          <w:rFonts w:cstheme="minorHAnsi"/>
          <w:sz w:val="24"/>
          <w:szCs w:val="24"/>
        </w:rPr>
        <w:t>Uncreate</w:t>
      </w:r>
      <w:proofErr w:type="spellEnd"/>
      <w:r>
        <w:rPr>
          <w:rFonts w:cstheme="minorHAnsi"/>
          <w:sz w:val="24"/>
          <w:szCs w:val="24"/>
        </w:rPr>
        <w:t xml:space="preserve">, and the Holy Ghost </w:t>
      </w:r>
      <w:proofErr w:type="spellStart"/>
      <w:r>
        <w:rPr>
          <w:rFonts w:cstheme="minorHAnsi"/>
          <w:sz w:val="24"/>
          <w:szCs w:val="24"/>
        </w:rPr>
        <w:t>Uncreate</w:t>
      </w:r>
      <w:proofErr w:type="spellEnd"/>
      <w:r>
        <w:rPr>
          <w:rFonts w:cstheme="minorHAnsi"/>
          <w:sz w:val="24"/>
          <w:szCs w:val="24"/>
        </w:rPr>
        <w:t xml:space="preserve">. The Father Incomprehensible, the Son Incomprehensible, and the Holy Ghost Incomprehensible. The Father Eternal, the Son Eternal, and the Holy Ghost Eternal and yet they are not Three Eternals but One Eternal. As also there are not Three Uncreated, nor Three </w:t>
      </w:r>
      <w:proofErr w:type="spellStart"/>
      <w:r>
        <w:rPr>
          <w:rFonts w:cstheme="minorHAnsi"/>
          <w:sz w:val="24"/>
          <w:szCs w:val="24"/>
        </w:rPr>
        <w:t>Incomprehensibles</w:t>
      </w:r>
      <w:proofErr w:type="spellEnd"/>
      <w:r>
        <w:rPr>
          <w:rFonts w:cstheme="minorHAnsi"/>
          <w:sz w:val="24"/>
          <w:szCs w:val="24"/>
        </w:rPr>
        <w:t xml:space="preserve">, but One </w:t>
      </w:r>
      <w:proofErr w:type="spellStart"/>
      <w:r>
        <w:rPr>
          <w:rFonts w:cstheme="minorHAnsi"/>
          <w:sz w:val="24"/>
          <w:szCs w:val="24"/>
        </w:rPr>
        <w:t>Uncreate</w:t>
      </w:r>
      <w:proofErr w:type="spellEnd"/>
      <w:r>
        <w:rPr>
          <w:rFonts w:cstheme="minorHAnsi"/>
          <w:sz w:val="24"/>
          <w:szCs w:val="24"/>
        </w:rPr>
        <w:t xml:space="preserve"> and One Incomprehensible. So likewise the Father is Almighty, the Son Almighty, and the Holy Ghost Almighty. And yet they are not Three Almighties but One Almighty.” (17) </w:t>
      </w:r>
    </w:p>
    <w:p w:rsidR="00AA722E" w:rsidRDefault="00AA722E" w:rsidP="00AA722E">
      <w:pPr>
        <w:rPr>
          <w:rFonts w:cstheme="minorHAnsi"/>
          <w:sz w:val="24"/>
          <w:szCs w:val="24"/>
        </w:rPr>
      </w:pPr>
      <w:r>
        <w:rPr>
          <w:rFonts w:cstheme="minorHAnsi"/>
          <w:sz w:val="24"/>
          <w:szCs w:val="24"/>
        </w:rPr>
        <w:t xml:space="preserve">Athanasius’s Creed insisting upon the co-equal nature of the Trinity and its ‘damnatory’ or ‘minatory’ clauses leaving no room for doubt regarding the centrality of the Trinity and its unambiguous implications for Christology. An orthodoxy, that stated, The Trinity in Unity was to be worshipped and that the route to salvation lay through the roles played by the Trinity in unison. That the incarnate Christ was of the substance both of the Father and of his Mother and in human flesh subsisting. Christ being equal to the Father in terms of his Godhead and inferior to his Father in terms of his Manhood. </w:t>
      </w:r>
      <w:proofErr w:type="gramStart"/>
      <w:r>
        <w:rPr>
          <w:rFonts w:cstheme="minorHAnsi"/>
          <w:sz w:val="24"/>
          <w:szCs w:val="24"/>
        </w:rPr>
        <w:t>So that although he is both God and man, yet he is not two, but one Christ, who suffered for our salvation.</w:t>
      </w:r>
      <w:proofErr w:type="gramEnd"/>
      <w:r>
        <w:rPr>
          <w:rFonts w:cstheme="minorHAnsi"/>
          <w:sz w:val="24"/>
          <w:szCs w:val="24"/>
        </w:rPr>
        <w:t xml:space="preserve">              </w:t>
      </w:r>
    </w:p>
    <w:p w:rsidR="00AA722E" w:rsidRDefault="00AA722E" w:rsidP="00AA722E">
      <w:pPr>
        <w:rPr>
          <w:rFonts w:cstheme="minorHAnsi"/>
          <w:sz w:val="24"/>
          <w:szCs w:val="24"/>
        </w:rPr>
      </w:pPr>
      <w:r>
        <w:rPr>
          <w:rFonts w:cstheme="minorHAnsi"/>
          <w:sz w:val="24"/>
          <w:szCs w:val="24"/>
        </w:rPr>
        <w:t xml:space="preserve">Athanasius’s De </w:t>
      </w:r>
      <w:proofErr w:type="spellStart"/>
      <w:r>
        <w:rPr>
          <w:rFonts w:cstheme="minorHAnsi"/>
          <w:sz w:val="24"/>
          <w:szCs w:val="24"/>
        </w:rPr>
        <w:t>Incarnatione</w:t>
      </w:r>
      <w:proofErr w:type="spellEnd"/>
      <w:r>
        <w:rPr>
          <w:rFonts w:cstheme="minorHAnsi"/>
          <w:sz w:val="24"/>
          <w:szCs w:val="24"/>
        </w:rPr>
        <w:t xml:space="preserve"> </w:t>
      </w:r>
      <w:proofErr w:type="spellStart"/>
      <w:r>
        <w:rPr>
          <w:rFonts w:cstheme="minorHAnsi"/>
          <w:sz w:val="24"/>
          <w:szCs w:val="24"/>
        </w:rPr>
        <w:t>Verbi</w:t>
      </w:r>
      <w:proofErr w:type="spellEnd"/>
      <w:r>
        <w:rPr>
          <w:rFonts w:cstheme="minorHAnsi"/>
          <w:sz w:val="24"/>
          <w:szCs w:val="24"/>
        </w:rPr>
        <w:t xml:space="preserve"> Dei (323 AD) further serving to reinforce the notion of the Triune composition of God and warning that deficient Christology would eventuate in equally deficient soteriology. All of which set the tone for future debates on how Christ’s divinity and humanity related to each other and how the Holy Spirit creates the union with God. Athanasius writing:</w:t>
      </w:r>
    </w:p>
    <w:p w:rsidR="00AA722E" w:rsidRDefault="00AA722E" w:rsidP="00AA722E">
      <w:pPr>
        <w:rPr>
          <w:rFonts w:cstheme="minorHAnsi"/>
          <w:sz w:val="24"/>
          <w:szCs w:val="24"/>
        </w:rPr>
      </w:pPr>
      <w:r>
        <w:rPr>
          <w:rFonts w:cstheme="minorHAnsi"/>
          <w:sz w:val="24"/>
          <w:szCs w:val="24"/>
        </w:rPr>
        <w:t xml:space="preserve">“We are united with the Godhead by participation in the Spirit; so that our being in the Father does not belong to us, but to the spirit, which is in us and dwells in us.” (18). </w:t>
      </w:r>
    </w:p>
    <w:p w:rsidR="00AA722E" w:rsidRDefault="00AA722E" w:rsidP="00AA722E">
      <w:pPr>
        <w:rPr>
          <w:rFonts w:cstheme="minorHAnsi"/>
          <w:b/>
          <w:sz w:val="28"/>
          <w:szCs w:val="28"/>
        </w:rPr>
      </w:pPr>
      <w:r>
        <w:rPr>
          <w:rFonts w:cstheme="minorHAnsi"/>
          <w:b/>
          <w:sz w:val="28"/>
          <w:szCs w:val="28"/>
        </w:rPr>
        <w:t>(1499 words)</w:t>
      </w:r>
    </w:p>
    <w:p w:rsidR="00AA722E" w:rsidRDefault="00AA722E" w:rsidP="00AA722E">
      <w:pPr>
        <w:rPr>
          <w:rFonts w:cstheme="minorHAnsi"/>
          <w:b/>
          <w:sz w:val="20"/>
          <w:szCs w:val="20"/>
        </w:rPr>
      </w:pPr>
    </w:p>
    <w:p w:rsidR="00AA722E" w:rsidRDefault="00AA722E" w:rsidP="00AA722E">
      <w:pPr>
        <w:rPr>
          <w:rFonts w:cstheme="minorHAnsi"/>
          <w:b/>
          <w:sz w:val="28"/>
          <w:szCs w:val="28"/>
        </w:rPr>
      </w:pPr>
      <w:r>
        <w:rPr>
          <w:rFonts w:cstheme="minorHAnsi"/>
          <w:b/>
          <w:sz w:val="28"/>
          <w:szCs w:val="28"/>
        </w:rPr>
        <w:lastRenderedPageBreak/>
        <w:t>Footnotes:</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 xml:space="preserve">Athanasius, who wrote: “Jesus became what we are, that he might make us what He is,” is often described as the ‘father of orthodoxy’, ‘the pillar of the church’ and the ‘champion of Christ’s divinity’. Selected as Secretary to Bishop Alexander of Alexandria in 318 (before being consecrated Bishop of Alexandria himself in 328 AD), he is recognized as having written and identified a range of early canonical Christian texts, particularly those related to the New Testament.  He was also proactive in an era of intense theological debate stimulated by the Roman Emperor Constantine’s rather convenient and pragmatic conversion to the faith in 312 AD, the ramifications of the Edict of Milan (313AD) which allowed religious toleration throughout the empire, and the </w:t>
      </w:r>
      <w:proofErr w:type="spellStart"/>
      <w:r>
        <w:rPr>
          <w:rFonts w:cstheme="minorHAnsi"/>
          <w:sz w:val="24"/>
          <w:szCs w:val="24"/>
        </w:rPr>
        <w:t>Donatist</w:t>
      </w:r>
      <w:proofErr w:type="spellEnd"/>
      <w:r>
        <w:rPr>
          <w:rFonts w:cstheme="minorHAnsi"/>
          <w:sz w:val="24"/>
          <w:szCs w:val="24"/>
        </w:rPr>
        <w:t xml:space="preserve"> schism (particularly centered in and around the city of Alexandria) which followed the end of the state-wide Great Persecution of the followers of Christ by the Emperor Diocletian in 303 AD. Events which facilitated heated discourse about the core tenets of this rapidly expanding belief system along lines most often defined by the Greek School of Philosophy and the traditions of the Hebrew Scriptures. Notions, that were, to greatly influence the approaches taken by early Patristic thinkers in the years between circa 100 AD and 451AD.  Athanasius’s conception of the soul according to Kelly (1993 p. 287) being “thoroughly Platonic” and others like Justin Martyr (c.100-C.165), who McGrath (1994) argues ‘attempts to relate the gospel to the outlook of Greek philosophy’ and Tertullian (c. 160-c. 225) a Carthaginian convert skeptical of extra-scriptural and secular philosophies who declared “What has Athens to do with Jerusalem? Or the Academy with the church?” - McGrath (1994). All of which added a certain frisson to the holy firmament  with strong nuances taken directly from Middle and Neo-Platonism, the Aristotelian peripatetic method and the logic of the Greek Stoics, as can be found in the subsequent writings of luminaries like Augustine, Boethius and Thomas Aquinas. </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 xml:space="preserve">As per Harris (2001) Athanasius attacked Arius’s critique of Christology, and his consequential comprehension of Soteriology as a whole which turned on a reading of the letter to Colossians 1.15-17 and the point that “There was a time when He (Christ) was not.” An argument we glimpse through fragmentary correspondence like Arius’s letter to Eusebius, Bishop of Nicomedia circa 320, where he writes: “But, as for us, what do we say, and believe…That the Son is not begotten, nor in any way part of the </w:t>
      </w:r>
      <w:proofErr w:type="spellStart"/>
      <w:r>
        <w:rPr>
          <w:rFonts w:cstheme="minorHAnsi"/>
          <w:sz w:val="24"/>
          <w:szCs w:val="24"/>
        </w:rPr>
        <w:t>unbegotten</w:t>
      </w:r>
      <w:proofErr w:type="spellEnd"/>
      <w:r>
        <w:rPr>
          <w:rFonts w:cstheme="minorHAnsi"/>
          <w:sz w:val="24"/>
          <w:szCs w:val="24"/>
        </w:rPr>
        <w:t>; nor from any lower essence (</w:t>
      </w:r>
      <w:proofErr w:type="spellStart"/>
      <w:r>
        <w:rPr>
          <w:rFonts w:cstheme="minorHAnsi"/>
          <w:sz w:val="24"/>
          <w:szCs w:val="24"/>
        </w:rPr>
        <w:t>ie</w:t>
      </w:r>
      <w:proofErr w:type="spellEnd"/>
      <w:r>
        <w:rPr>
          <w:rFonts w:cstheme="minorHAnsi"/>
          <w:sz w:val="24"/>
          <w:szCs w:val="24"/>
        </w:rPr>
        <w:t xml:space="preserve"> Matter); but that by his own (</w:t>
      </w:r>
      <w:proofErr w:type="spellStart"/>
      <w:r>
        <w:rPr>
          <w:rFonts w:cstheme="minorHAnsi"/>
          <w:sz w:val="24"/>
          <w:szCs w:val="24"/>
        </w:rPr>
        <w:t>ie</w:t>
      </w:r>
      <w:proofErr w:type="spellEnd"/>
      <w:r>
        <w:rPr>
          <w:rFonts w:cstheme="minorHAnsi"/>
          <w:sz w:val="24"/>
          <w:szCs w:val="24"/>
        </w:rPr>
        <w:t xml:space="preserve"> the Father’s) will and counsel he has subsisted before time, and before ages as God full of Grace and Truth, only-begotten, unchangeable. And that he was not, before he was begotten, or created, or purposed or established…We are persecuted because we say the Son had a beginning but God is without beginning and this we say because he is neither part of God, nor of any lower essence.”   </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lastRenderedPageBreak/>
        <w:t>A thesis first set in motion according to some scholars by Origen (c.185-c.254) and remained popular within the Alexandrian diaspora.</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 xml:space="preserve">As per McGrath (1994). Gerard </w:t>
      </w:r>
      <w:proofErr w:type="spellStart"/>
      <w:r>
        <w:rPr>
          <w:rFonts w:cstheme="minorHAnsi"/>
          <w:sz w:val="24"/>
          <w:szCs w:val="24"/>
        </w:rPr>
        <w:t>Loughlin</w:t>
      </w:r>
      <w:proofErr w:type="spellEnd"/>
      <w:r>
        <w:rPr>
          <w:rFonts w:cstheme="minorHAnsi"/>
          <w:sz w:val="24"/>
          <w:szCs w:val="24"/>
        </w:rPr>
        <w:t xml:space="preserve"> in his chapter The Basis and Authority of Doctrine in the Cambridge Companion to Christian Doctrine edited by Colin </w:t>
      </w:r>
      <w:proofErr w:type="spellStart"/>
      <w:r>
        <w:rPr>
          <w:rFonts w:cstheme="minorHAnsi"/>
          <w:sz w:val="24"/>
          <w:szCs w:val="24"/>
        </w:rPr>
        <w:t>Gunton</w:t>
      </w:r>
      <w:proofErr w:type="spellEnd"/>
      <w:r>
        <w:rPr>
          <w:rFonts w:cstheme="minorHAnsi"/>
          <w:sz w:val="24"/>
          <w:szCs w:val="24"/>
        </w:rPr>
        <w:t xml:space="preserve"> (1997 p. 54/55) writes - ‘Following Bernard </w:t>
      </w:r>
      <w:proofErr w:type="spellStart"/>
      <w:r>
        <w:rPr>
          <w:rFonts w:cstheme="minorHAnsi"/>
          <w:sz w:val="24"/>
          <w:szCs w:val="24"/>
        </w:rPr>
        <w:t>Lonergan</w:t>
      </w:r>
      <w:proofErr w:type="spellEnd"/>
      <w:r>
        <w:rPr>
          <w:rFonts w:cstheme="minorHAnsi"/>
          <w:sz w:val="24"/>
          <w:szCs w:val="24"/>
        </w:rPr>
        <w:t xml:space="preserve"> (1904-1985) </w:t>
      </w:r>
      <w:proofErr w:type="spellStart"/>
      <w:r>
        <w:rPr>
          <w:rFonts w:cstheme="minorHAnsi"/>
          <w:sz w:val="24"/>
          <w:szCs w:val="24"/>
        </w:rPr>
        <w:t>Lindbeck</w:t>
      </w:r>
      <w:proofErr w:type="spellEnd"/>
      <w:r>
        <w:rPr>
          <w:rFonts w:cstheme="minorHAnsi"/>
          <w:sz w:val="24"/>
          <w:szCs w:val="24"/>
        </w:rPr>
        <w:t xml:space="preserve"> argues that Athanasius has learned from Greek philosophy how to formulate propositions about propositions, and understood the creedal doctrine of the consubstantiality of Father and Son as expressing the rule that whatever is said of the Father is said of the Son, except that the Son is not the Father… For Athanasius the doctrine of Nicaea was a second-order rule for Christian speech, and to accept the doctrine meant to speak in a certain way’.  It is also worth noting that as per Ralph Del </w:t>
      </w:r>
      <w:proofErr w:type="spellStart"/>
      <w:r>
        <w:rPr>
          <w:rFonts w:cstheme="minorHAnsi"/>
          <w:sz w:val="24"/>
          <w:szCs w:val="24"/>
        </w:rPr>
        <w:t>Colle</w:t>
      </w:r>
      <w:proofErr w:type="spellEnd"/>
      <w:r>
        <w:rPr>
          <w:rFonts w:cstheme="minorHAnsi"/>
          <w:sz w:val="24"/>
          <w:szCs w:val="24"/>
        </w:rPr>
        <w:t xml:space="preserve"> in </w:t>
      </w:r>
      <w:proofErr w:type="spellStart"/>
      <w:r>
        <w:rPr>
          <w:rFonts w:cstheme="minorHAnsi"/>
          <w:sz w:val="24"/>
          <w:szCs w:val="24"/>
        </w:rPr>
        <w:t>Gunton</w:t>
      </w:r>
      <w:proofErr w:type="spellEnd"/>
      <w:r>
        <w:rPr>
          <w:rFonts w:cstheme="minorHAnsi"/>
          <w:sz w:val="24"/>
          <w:szCs w:val="24"/>
        </w:rPr>
        <w:t xml:space="preserve"> Ed. (1997 p. 124/5) the whole notion of the Father ‘Abba’ referencing in Athanasius and other Patristic thinkers and writers that has subsequently so animated feminist concerns about gender stereotyping and power relations, is a little more complex than it would at first seem. </w:t>
      </w:r>
      <w:proofErr w:type="spellStart"/>
      <w:r>
        <w:rPr>
          <w:rFonts w:cstheme="minorHAnsi"/>
          <w:sz w:val="24"/>
          <w:szCs w:val="24"/>
        </w:rPr>
        <w:t>Colle</w:t>
      </w:r>
      <w:proofErr w:type="spellEnd"/>
      <w:r>
        <w:rPr>
          <w:rFonts w:cstheme="minorHAnsi"/>
          <w:sz w:val="24"/>
          <w:szCs w:val="24"/>
        </w:rPr>
        <w:t xml:space="preserve"> arguing that ‘It is not fatherhood relative to the world as his creation per se that is of the moment but rather the relation between Jesus and God that the name Father signifies. From this perspective the notion of fatherhood is transformed (Ephesians 3:14-15).     </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 xml:space="preserve">Ralph Del </w:t>
      </w:r>
      <w:proofErr w:type="spellStart"/>
      <w:r>
        <w:rPr>
          <w:rFonts w:cstheme="minorHAnsi"/>
          <w:sz w:val="24"/>
          <w:szCs w:val="24"/>
        </w:rPr>
        <w:t>Colle</w:t>
      </w:r>
      <w:proofErr w:type="spellEnd"/>
      <w:r>
        <w:rPr>
          <w:rFonts w:cstheme="minorHAnsi"/>
          <w:sz w:val="24"/>
          <w:szCs w:val="24"/>
        </w:rPr>
        <w:t xml:space="preserve"> in his Chapter </w:t>
      </w:r>
      <w:proofErr w:type="gramStart"/>
      <w:r>
        <w:rPr>
          <w:rFonts w:cstheme="minorHAnsi"/>
          <w:sz w:val="24"/>
          <w:szCs w:val="24"/>
        </w:rPr>
        <w:t>The</w:t>
      </w:r>
      <w:proofErr w:type="gramEnd"/>
      <w:r>
        <w:rPr>
          <w:rFonts w:cstheme="minorHAnsi"/>
          <w:sz w:val="24"/>
          <w:szCs w:val="24"/>
        </w:rPr>
        <w:t xml:space="preserve"> Triune God in </w:t>
      </w:r>
      <w:proofErr w:type="spellStart"/>
      <w:r>
        <w:rPr>
          <w:rFonts w:cstheme="minorHAnsi"/>
          <w:sz w:val="24"/>
          <w:szCs w:val="24"/>
        </w:rPr>
        <w:t>Gunton</w:t>
      </w:r>
      <w:proofErr w:type="spellEnd"/>
      <w:r>
        <w:rPr>
          <w:rFonts w:cstheme="minorHAnsi"/>
          <w:sz w:val="24"/>
          <w:szCs w:val="24"/>
        </w:rPr>
        <w:t xml:space="preserve"> Ed. (1997 p.129/130). Something with which C. Greene (2003)  agrees -“In lord Jesus Christ, the begotten Son of God, begotten of the father before all worlds (</w:t>
      </w:r>
      <w:proofErr w:type="spellStart"/>
      <w:r>
        <w:rPr>
          <w:rFonts w:cstheme="minorHAnsi"/>
          <w:sz w:val="24"/>
          <w:szCs w:val="24"/>
        </w:rPr>
        <w:t>aeons</w:t>
      </w:r>
      <w:proofErr w:type="spellEnd"/>
      <w:r>
        <w:rPr>
          <w:rFonts w:cstheme="minorHAnsi"/>
          <w:sz w:val="24"/>
          <w:szCs w:val="24"/>
        </w:rPr>
        <w:t>), Light of Light, Very God of Very God, begotten, not made, being of one substance with the Father…”</w:t>
      </w:r>
    </w:p>
    <w:p w:rsidR="00AA722E" w:rsidRDefault="00AA722E" w:rsidP="00AA722E">
      <w:pPr>
        <w:pStyle w:val="ListParagraph"/>
        <w:numPr>
          <w:ilvl w:val="0"/>
          <w:numId w:val="11"/>
        </w:numPr>
        <w:ind w:left="360"/>
        <w:rPr>
          <w:rFonts w:cstheme="minorHAnsi"/>
          <w:sz w:val="24"/>
          <w:szCs w:val="24"/>
        </w:rPr>
      </w:pPr>
      <w:proofErr w:type="spellStart"/>
      <w:r>
        <w:rPr>
          <w:rFonts w:cstheme="minorHAnsi"/>
          <w:sz w:val="24"/>
          <w:szCs w:val="24"/>
        </w:rPr>
        <w:t>Gunton</w:t>
      </w:r>
      <w:proofErr w:type="spellEnd"/>
      <w:r>
        <w:rPr>
          <w:rFonts w:cstheme="minorHAnsi"/>
          <w:sz w:val="24"/>
          <w:szCs w:val="24"/>
        </w:rPr>
        <w:t xml:space="preserve">, C. in  The Doctrine of Creation (1997 p. 143)  and Hart, C. in Redemption and Fall in </w:t>
      </w:r>
      <w:proofErr w:type="spellStart"/>
      <w:r>
        <w:rPr>
          <w:rFonts w:cstheme="minorHAnsi"/>
          <w:sz w:val="24"/>
          <w:szCs w:val="24"/>
        </w:rPr>
        <w:t>Gunton</w:t>
      </w:r>
      <w:proofErr w:type="spellEnd"/>
      <w:r>
        <w:rPr>
          <w:rFonts w:cstheme="minorHAnsi"/>
          <w:sz w:val="24"/>
          <w:szCs w:val="24"/>
        </w:rPr>
        <w:t xml:space="preserve"> Ed. (1997 p. 198)    </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 xml:space="preserve">Such as those proffered by the </w:t>
      </w:r>
      <w:proofErr w:type="spellStart"/>
      <w:r>
        <w:rPr>
          <w:rFonts w:cstheme="minorHAnsi"/>
          <w:sz w:val="24"/>
          <w:szCs w:val="24"/>
        </w:rPr>
        <w:t>Appolinarianists</w:t>
      </w:r>
      <w:proofErr w:type="spellEnd"/>
      <w:r>
        <w:rPr>
          <w:rFonts w:cstheme="minorHAnsi"/>
          <w:sz w:val="24"/>
          <w:szCs w:val="24"/>
        </w:rPr>
        <w:t xml:space="preserve">, Illusionists and the early Nestorians. For, as per Thomas Watson’s Chapter, The Scope of Hermeneutics in </w:t>
      </w:r>
      <w:proofErr w:type="spellStart"/>
      <w:r>
        <w:rPr>
          <w:rFonts w:cstheme="minorHAnsi"/>
          <w:sz w:val="24"/>
          <w:szCs w:val="24"/>
        </w:rPr>
        <w:t>Gunton</w:t>
      </w:r>
      <w:proofErr w:type="spellEnd"/>
      <w:r>
        <w:rPr>
          <w:rFonts w:cstheme="minorHAnsi"/>
          <w:sz w:val="24"/>
          <w:szCs w:val="24"/>
        </w:rPr>
        <w:t xml:space="preserve"> Ed. (1997 p.74) the Christology of Athanasius was ‘shaped and permeated’ by a close reading of the biblical texts.  </w:t>
      </w:r>
    </w:p>
    <w:p w:rsidR="00AA722E" w:rsidRDefault="00AA722E" w:rsidP="00AA722E">
      <w:pPr>
        <w:pStyle w:val="ListParagraph"/>
        <w:numPr>
          <w:ilvl w:val="0"/>
          <w:numId w:val="11"/>
        </w:numPr>
        <w:ind w:left="360"/>
        <w:rPr>
          <w:rFonts w:cstheme="minorHAnsi"/>
          <w:sz w:val="24"/>
          <w:szCs w:val="24"/>
        </w:rPr>
      </w:pPr>
      <w:proofErr w:type="spellStart"/>
      <w:r>
        <w:rPr>
          <w:rFonts w:cstheme="minorHAnsi"/>
          <w:sz w:val="24"/>
          <w:szCs w:val="24"/>
        </w:rPr>
        <w:t>Kyriakos</w:t>
      </w:r>
      <w:proofErr w:type="spellEnd"/>
      <w:r>
        <w:rPr>
          <w:rFonts w:cstheme="minorHAnsi"/>
          <w:sz w:val="24"/>
          <w:szCs w:val="24"/>
        </w:rPr>
        <w:t xml:space="preserve"> S. </w:t>
      </w:r>
      <w:proofErr w:type="spellStart"/>
      <w:r>
        <w:rPr>
          <w:rFonts w:cstheme="minorHAnsi"/>
          <w:sz w:val="24"/>
          <w:szCs w:val="24"/>
        </w:rPr>
        <w:t>Stavrianos</w:t>
      </w:r>
      <w:proofErr w:type="spellEnd"/>
      <w:r>
        <w:rPr>
          <w:rFonts w:cstheme="minorHAnsi"/>
          <w:sz w:val="24"/>
          <w:szCs w:val="24"/>
        </w:rPr>
        <w:t>, Trinity Doctrine and Christology of Saint Athanasius, Archbishop of Alexandria, in His Letter to Epictetus, Bishop of Corinth (2019).</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 xml:space="preserve">As per McGrath (1994 p. 284) </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As per Greene (2003 p. 39)</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As per McGrath (1994 p. 12)</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Arius writing: “The one who has a beginning is in no position to comprehend or lay hold of the one who has no beginning”. Athanasius’s response to Arius does not however imply a ‘Tetras’ formulation, despite the duality implied by the God-Man construct of Christ because the ‘created’ one does not represent a new ‘entity’ as part of the spiritual triune nature of God.</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As per McGrath (1994 p. 285)</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lastRenderedPageBreak/>
        <w:t>As per Kelly (1993 p. 231)</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 xml:space="preserve">As per  </w:t>
      </w:r>
      <w:proofErr w:type="spellStart"/>
      <w:r>
        <w:rPr>
          <w:rFonts w:cstheme="minorHAnsi"/>
          <w:sz w:val="24"/>
          <w:szCs w:val="24"/>
        </w:rPr>
        <w:t>Irenaeus</w:t>
      </w:r>
      <w:proofErr w:type="spellEnd"/>
      <w:r>
        <w:rPr>
          <w:rFonts w:cstheme="minorHAnsi"/>
          <w:sz w:val="24"/>
          <w:szCs w:val="24"/>
        </w:rPr>
        <w:t xml:space="preserve">, Bishop of Lyon (130-200 AD), who said that the purpose of the incarnation was “to bestow life on those who see God” and the saying in St John’s Gospel “that Jesus is the Christ, the Son of God, and that believing you may have life in his name,” - The Early Church Fathers p. 288 </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As per Greene (2003 p.53/54 and p.348)</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 xml:space="preserve">An extract from the </w:t>
      </w:r>
      <w:proofErr w:type="spellStart"/>
      <w:r>
        <w:rPr>
          <w:rFonts w:cstheme="minorHAnsi"/>
          <w:sz w:val="24"/>
          <w:szCs w:val="24"/>
        </w:rPr>
        <w:t>Athanasian</w:t>
      </w:r>
      <w:proofErr w:type="spellEnd"/>
      <w:r>
        <w:rPr>
          <w:rFonts w:cstheme="minorHAnsi"/>
          <w:sz w:val="24"/>
          <w:szCs w:val="24"/>
        </w:rPr>
        <w:t xml:space="preserve"> Creed as translated by the </w:t>
      </w:r>
      <w:proofErr w:type="spellStart"/>
      <w:r>
        <w:rPr>
          <w:rFonts w:cstheme="minorHAnsi"/>
          <w:sz w:val="24"/>
          <w:szCs w:val="24"/>
        </w:rPr>
        <w:t>Marquess</w:t>
      </w:r>
      <w:proofErr w:type="spellEnd"/>
      <w:r>
        <w:rPr>
          <w:rFonts w:cstheme="minorHAnsi"/>
          <w:sz w:val="24"/>
          <w:szCs w:val="24"/>
        </w:rPr>
        <w:t xml:space="preserve"> of </w:t>
      </w:r>
      <w:proofErr w:type="spellStart"/>
      <w:r>
        <w:rPr>
          <w:rFonts w:cstheme="minorHAnsi"/>
          <w:sz w:val="24"/>
          <w:szCs w:val="24"/>
        </w:rPr>
        <w:t>Bute</w:t>
      </w:r>
      <w:proofErr w:type="spellEnd"/>
      <w:r>
        <w:rPr>
          <w:rFonts w:cstheme="minorHAnsi"/>
          <w:sz w:val="24"/>
          <w:szCs w:val="24"/>
        </w:rPr>
        <w:t xml:space="preserve"> in New Advent</w:t>
      </w:r>
    </w:p>
    <w:p w:rsidR="00AA722E" w:rsidRDefault="00AA722E" w:rsidP="00AA722E">
      <w:pPr>
        <w:pStyle w:val="ListParagraph"/>
        <w:numPr>
          <w:ilvl w:val="0"/>
          <w:numId w:val="11"/>
        </w:numPr>
        <w:ind w:left="360"/>
        <w:rPr>
          <w:rFonts w:cstheme="minorHAnsi"/>
          <w:sz w:val="24"/>
          <w:szCs w:val="24"/>
        </w:rPr>
      </w:pPr>
      <w:r>
        <w:rPr>
          <w:rFonts w:cstheme="minorHAnsi"/>
          <w:sz w:val="24"/>
          <w:szCs w:val="24"/>
        </w:rPr>
        <w:t>Ibid.</w:t>
      </w:r>
    </w:p>
    <w:p w:rsidR="00AA722E" w:rsidRDefault="00AA722E" w:rsidP="00AA722E">
      <w:pPr>
        <w:ind w:left="360"/>
        <w:rPr>
          <w:rFonts w:cstheme="minorHAnsi"/>
          <w:sz w:val="24"/>
          <w:szCs w:val="24"/>
        </w:rPr>
      </w:pPr>
    </w:p>
    <w:p w:rsidR="00AA722E" w:rsidRDefault="00AA722E" w:rsidP="00AA722E">
      <w:pPr>
        <w:rPr>
          <w:rFonts w:cstheme="minorHAnsi"/>
          <w:b/>
          <w:sz w:val="28"/>
          <w:szCs w:val="28"/>
        </w:rPr>
      </w:pPr>
      <w:r>
        <w:rPr>
          <w:rFonts w:cstheme="minorHAnsi"/>
          <w:b/>
          <w:sz w:val="28"/>
          <w:szCs w:val="28"/>
        </w:rPr>
        <w:t xml:space="preserve">Bibliography: </w:t>
      </w:r>
    </w:p>
    <w:p w:rsidR="00AA722E" w:rsidRDefault="00AA722E" w:rsidP="00AA722E">
      <w:pPr>
        <w:rPr>
          <w:rFonts w:cstheme="minorHAnsi"/>
          <w:sz w:val="24"/>
          <w:szCs w:val="24"/>
        </w:rPr>
      </w:pPr>
      <w:r>
        <w:rPr>
          <w:rFonts w:cstheme="minorHAnsi"/>
          <w:sz w:val="24"/>
          <w:szCs w:val="24"/>
        </w:rPr>
        <w:t xml:space="preserve">St Athanasius, De </w:t>
      </w:r>
      <w:proofErr w:type="spellStart"/>
      <w:r>
        <w:rPr>
          <w:rFonts w:cstheme="minorHAnsi"/>
          <w:sz w:val="24"/>
          <w:szCs w:val="24"/>
        </w:rPr>
        <w:t>Incarnatione</w:t>
      </w:r>
      <w:proofErr w:type="spellEnd"/>
      <w:r>
        <w:rPr>
          <w:rFonts w:cstheme="minorHAnsi"/>
          <w:sz w:val="24"/>
          <w:szCs w:val="24"/>
        </w:rPr>
        <w:t xml:space="preserve"> </w:t>
      </w:r>
      <w:proofErr w:type="spellStart"/>
      <w:r>
        <w:rPr>
          <w:rFonts w:cstheme="minorHAnsi"/>
          <w:sz w:val="24"/>
          <w:szCs w:val="24"/>
        </w:rPr>
        <w:t>Verbi</w:t>
      </w:r>
      <w:proofErr w:type="spellEnd"/>
      <w:r>
        <w:rPr>
          <w:rFonts w:cstheme="minorHAnsi"/>
          <w:sz w:val="24"/>
          <w:szCs w:val="24"/>
        </w:rPr>
        <w:t xml:space="preserve"> Dei (first written circa 323, Draper, Create Space edition 2017) </w:t>
      </w:r>
    </w:p>
    <w:p w:rsidR="00AA722E" w:rsidRDefault="00AA722E" w:rsidP="00AA722E">
      <w:pPr>
        <w:rPr>
          <w:rFonts w:cstheme="minorHAnsi"/>
          <w:sz w:val="24"/>
          <w:szCs w:val="24"/>
        </w:rPr>
      </w:pPr>
      <w:r>
        <w:rPr>
          <w:rFonts w:cstheme="minorHAnsi"/>
          <w:sz w:val="24"/>
          <w:szCs w:val="24"/>
        </w:rPr>
        <w:t xml:space="preserve">Harris, John Glyndwr, Christian Theology: The Spiritual Tradition, Sussex Academic Press, 2001  </w:t>
      </w:r>
    </w:p>
    <w:p w:rsidR="00AA722E" w:rsidRDefault="00AA722E" w:rsidP="00AA722E">
      <w:pPr>
        <w:rPr>
          <w:rFonts w:cstheme="minorHAnsi"/>
          <w:sz w:val="24"/>
          <w:szCs w:val="24"/>
        </w:rPr>
      </w:pPr>
      <w:r>
        <w:rPr>
          <w:rFonts w:cstheme="minorHAnsi"/>
          <w:sz w:val="24"/>
          <w:szCs w:val="24"/>
        </w:rPr>
        <w:t>Kelly, J.N.D., Early Christian Doctrines (5</w:t>
      </w:r>
      <w:r>
        <w:rPr>
          <w:rFonts w:cstheme="minorHAnsi"/>
          <w:sz w:val="24"/>
          <w:szCs w:val="24"/>
          <w:vertAlign w:val="superscript"/>
        </w:rPr>
        <w:t>th</w:t>
      </w:r>
      <w:r>
        <w:rPr>
          <w:rFonts w:cstheme="minorHAnsi"/>
          <w:sz w:val="24"/>
          <w:szCs w:val="24"/>
        </w:rPr>
        <w:t xml:space="preserve"> Ed., London: Continuum, 2000)</w:t>
      </w:r>
    </w:p>
    <w:p w:rsidR="00AA722E" w:rsidRDefault="00AA722E" w:rsidP="00AA722E">
      <w:pPr>
        <w:rPr>
          <w:rFonts w:cstheme="minorHAnsi"/>
          <w:sz w:val="24"/>
          <w:szCs w:val="24"/>
        </w:rPr>
      </w:pPr>
      <w:r>
        <w:rPr>
          <w:rFonts w:cstheme="minorHAnsi"/>
          <w:sz w:val="24"/>
          <w:szCs w:val="24"/>
        </w:rPr>
        <w:t>Greene, C., Christology in Cultural Perspective: Marking out the horizons, Paternoster Press, 2003</w:t>
      </w:r>
    </w:p>
    <w:p w:rsidR="00AA722E" w:rsidRDefault="00AA722E" w:rsidP="00AA722E">
      <w:pPr>
        <w:rPr>
          <w:rFonts w:cstheme="minorHAnsi"/>
          <w:sz w:val="24"/>
          <w:szCs w:val="24"/>
        </w:rPr>
      </w:pPr>
      <w:r>
        <w:rPr>
          <w:rFonts w:cstheme="minorHAnsi"/>
          <w:sz w:val="24"/>
          <w:szCs w:val="24"/>
        </w:rPr>
        <w:t xml:space="preserve">McGrath, </w:t>
      </w:r>
      <w:proofErr w:type="spellStart"/>
      <w:r>
        <w:rPr>
          <w:rFonts w:cstheme="minorHAnsi"/>
          <w:sz w:val="24"/>
          <w:szCs w:val="24"/>
        </w:rPr>
        <w:t>Alister</w:t>
      </w:r>
      <w:proofErr w:type="spellEnd"/>
      <w:r>
        <w:rPr>
          <w:rFonts w:cstheme="minorHAnsi"/>
          <w:sz w:val="24"/>
          <w:szCs w:val="24"/>
        </w:rPr>
        <w:t xml:space="preserve"> E., Christian Theology: An Introduction. Blackwell, 1994</w:t>
      </w:r>
    </w:p>
    <w:p w:rsidR="00AA722E" w:rsidRDefault="00AA722E" w:rsidP="00AA722E">
      <w:pPr>
        <w:rPr>
          <w:rFonts w:cstheme="minorHAnsi"/>
          <w:sz w:val="24"/>
          <w:szCs w:val="24"/>
        </w:rPr>
      </w:pPr>
      <w:r>
        <w:rPr>
          <w:rFonts w:cstheme="minorHAnsi"/>
          <w:sz w:val="24"/>
          <w:szCs w:val="24"/>
        </w:rPr>
        <w:t xml:space="preserve">McGrath, </w:t>
      </w:r>
      <w:proofErr w:type="spellStart"/>
      <w:r>
        <w:rPr>
          <w:rFonts w:cstheme="minorHAnsi"/>
          <w:sz w:val="24"/>
          <w:szCs w:val="24"/>
        </w:rPr>
        <w:t>Alister</w:t>
      </w:r>
      <w:proofErr w:type="spellEnd"/>
      <w:r>
        <w:rPr>
          <w:rFonts w:cstheme="minorHAnsi"/>
          <w:sz w:val="24"/>
          <w:szCs w:val="24"/>
        </w:rPr>
        <w:t xml:space="preserve"> E., </w:t>
      </w:r>
      <w:proofErr w:type="gramStart"/>
      <w:r>
        <w:rPr>
          <w:rFonts w:cstheme="minorHAnsi"/>
          <w:sz w:val="24"/>
          <w:szCs w:val="24"/>
        </w:rPr>
        <w:t>The</w:t>
      </w:r>
      <w:proofErr w:type="gramEnd"/>
      <w:r>
        <w:rPr>
          <w:rFonts w:cstheme="minorHAnsi"/>
          <w:sz w:val="24"/>
          <w:szCs w:val="24"/>
        </w:rPr>
        <w:t xml:space="preserve"> Christian Theology Reader, 2</w:t>
      </w:r>
      <w:r>
        <w:rPr>
          <w:rFonts w:cstheme="minorHAnsi"/>
          <w:sz w:val="24"/>
          <w:szCs w:val="24"/>
          <w:vertAlign w:val="superscript"/>
        </w:rPr>
        <w:t>nd</w:t>
      </w:r>
      <w:r>
        <w:rPr>
          <w:rFonts w:cstheme="minorHAnsi"/>
          <w:sz w:val="24"/>
          <w:szCs w:val="24"/>
        </w:rPr>
        <w:t xml:space="preserve"> Edition, Blackwell, 2002 </w:t>
      </w:r>
    </w:p>
    <w:p w:rsidR="00AA722E" w:rsidRDefault="00AA722E" w:rsidP="00AA722E">
      <w:pPr>
        <w:rPr>
          <w:rFonts w:cstheme="minorHAnsi"/>
          <w:sz w:val="24"/>
          <w:szCs w:val="24"/>
        </w:rPr>
      </w:pPr>
      <w:proofErr w:type="spellStart"/>
      <w:r>
        <w:rPr>
          <w:rFonts w:cstheme="minorHAnsi"/>
          <w:sz w:val="24"/>
          <w:szCs w:val="24"/>
        </w:rPr>
        <w:t>Gunton</w:t>
      </w:r>
      <w:proofErr w:type="spellEnd"/>
      <w:r>
        <w:rPr>
          <w:rFonts w:cstheme="minorHAnsi"/>
          <w:sz w:val="24"/>
          <w:szCs w:val="24"/>
        </w:rPr>
        <w:t>, Colin E., Editor - The Cambridge Companion to Christian Doctrine, Cambridge University Press, 1997</w:t>
      </w:r>
    </w:p>
    <w:p w:rsidR="00AA722E" w:rsidRDefault="00AA722E" w:rsidP="00AA722E">
      <w:pPr>
        <w:rPr>
          <w:rFonts w:cstheme="minorHAnsi"/>
          <w:sz w:val="24"/>
          <w:szCs w:val="24"/>
        </w:rPr>
      </w:pPr>
      <w:r>
        <w:rPr>
          <w:rFonts w:cstheme="minorHAnsi"/>
          <w:sz w:val="24"/>
          <w:szCs w:val="24"/>
        </w:rPr>
        <w:t xml:space="preserve">Gerald </w:t>
      </w:r>
      <w:proofErr w:type="spellStart"/>
      <w:r>
        <w:rPr>
          <w:rFonts w:cstheme="minorHAnsi"/>
          <w:sz w:val="24"/>
          <w:szCs w:val="24"/>
        </w:rPr>
        <w:t>O’Collins</w:t>
      </w:r>
      <w:proofErr w:type="spellEnd"/>
      <w:r>
        <w:rPr>
          <w:rFonts w:cstheme="minorHAnsi"/>
          <w:sz w:val="24"/>
          <w:szCs w:val="24"/>
        </w:rPr>
        <w:t>, S.J., Christology: A Biblical, Historical and Systematic Study of Jesus, 2</w:t>
      </w:r>
      <w:r>
        <w:rPr>
          <w:rFonts w:cstheme="minorHAnsi"/>
          <w:sz w:val="24"/>
          <w:szCs w:val="24"/>
          <w:vertAlign w:val="superscript"/>
        </w:rPr>
        <w:t>nd</w:t>
      </w:r>
      <w:r>
        <w:rPr>
          <w:rFonts w:cstheme="minorHAnsi"/>
          <w:sz w:val="24"/>
          <w:szCs w:val="24"/>
        </w:rPr>
        <w:t xml:space="preserve"> Edition, 2009</w:t>
      </w:r>
    </w:p>
    <w:p w:rsidR="00AA722E" w:rsidRDefault="00AA722E" w:rsidP="00AA722E">
      <w:pPr>
        <w:rPr>
          <w:rFonts w:cstheme="minorHAnsi"/>
          <w:sz w:val="24"/>
          <w:szCs w:val="24"/>
        </w:rPr>
      </w:pPr>
      <w:r>
        <w:rPr>
          <w:rFonts w:cstheme="minorHAnsi"/>
          <w:sz w:val="24"/>
          <w:szCs w:val="24"/>
        </w:rPr>
        <w:t xml:space="preserve">Davis, Stephen T., Kendall, Daniel SJ and </w:t>
      </w:r>
      <w:proofErr w:type="spellStart"/>
      <w:r>
        <w:rPr>
          <w:rFonts w:cstheme="minorHAnsi"/>
          <w:sz w:val="24"/>
          <w:szCs w:val="24"/>
        </w:rPr>
        <w:t>O’Collins</w:t>
      </w:r>
      <w:proofErr w:type="spellEnd"/>
      <w:r>
        <w:rPr>
          <w:rFonts w:cstheme="minorHAnsi"/>
          <w:sz w:val="24"/>
          <w:szCs w:val="24"/>
        </w:rPr>
        <w:t xml:space="preserve">, Gerald, SJ, </w:t>
      </w:r>
      <w:proofErr w:type="gramStart"/>
      <w:r>
        <w:rPr>
          <w:rFonts w:cstheme="minorHAnsi"/>
          <w:sz w:val="24"/>
          <w:szCs w:val="24"/>
        </w:rPr>
        <w:t>The</w:t>
      </w:r>
      <w:proofErr w:type="gramEnd"/>
      <w:r>
        <w:rPr>
          <w:rFonts w:cstheme="minorHAnsi"/>
          <w:sz w:val="24"/>
          <w:szCs w:val="24"/>
        </w:rPr>
        <w:t xml:space="preserve"> Incarnation, Oxford University Press, 2002            </w:t>
      </w:r>
    </w:p>
    <w:p w:rsidR="00AA722E" w:rsidRDefault="00AA722E" w:rsidP="00AA722E">
      <w:pPr>
        <w:ind w:left="360"/>
        <w:rPr>
          <w:rFonts w:cstheme="minorHAnsi"/>
          <w:sz w:val="24"/>
          <w:szCs w:val="24"/>
        </w:rPr>
      </w:pPr>
      <w:r>
        <w:rPr>
          <w:rFonts w:cstheme="minorHAnsi"/>
          <w:sz w:val="24"/>
          <w:szCs w:val="24"/>
        </w:rPr>
        <w:t xml:space="preserve"> </w:t>
      </w:r>
    </w:p>
    <w:p w:rsidR="00AA722E" w:rsidRDefault="00AA722E" w:rsidP="00AA722E">
      <w:pPr>
        <w:rPr>
          <w:rFonts w:cstheme="minorHAnsi"/>
          <w:sz w:val="24"/>
          <w:szCs w:val="24"/>
        </w:rPr>
      </w:pPr>
      <w:r>
        <w:rPr>
          <w:rFonts w:cstheme="minorHAnsi"/>
          <w:sz w:val="24"/>
          <w:szCs w:val="24"/>
        </w:rPr>
        <w:t xml:space="preserve">   </w:t>
      </w:r>
    </w:p>
    <w:p w:rsidR="00AA722E" w:rsidRDefault="00AA722E" w:rsidP="00AA722E">
      <w:pPr>
        <w:rPr>
          <w:rFonts w:cstheme="minorHAnsi"/>
          <w:sz w:val="24"/>
          <w:szCs w:val="24"/>
        </w:rPr>
      </w:pPr>
    </w:p>
    <w:p w:rsidR="00AA722E" w:rsidRDefault="00AA722E" w:rsidP="00AA722E">
      <w:pPr>
        <w:rPr>
          <w:rFonts w:cstheme="minorHAnsi"/>
          <w:sz w:val="24"/>
          <w:szCs w:val="24"/>
        </w:rPr>
      </w:pPr>
    </w:p>
    <w:p w:rsidR="009A191E" w:rsidRPr="006B52EB" w:rsidRDefault="009A191E" w:rsidP="006B52EB">
      <w:bookmarkStart w:id="0" w:name="_GoBack"/>
      <w:bookmarkEnd w:id="0"/>
    </w:p>
    <w:sectPr w:rsidR="009A191E" w:rsidRPr="006B52E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EB6021"/>
    <w:multiLevelType w:val="hybridMultilevel"/>
    <w:tmpl w:val="850208F4"/>
    <w:lvl w:ilvl="0" w:tplc="A67EC296">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203752"/>
    <w:multiLevelType w:val="multilevel"/>
    <w:tmpl w:val="266C4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4BD5DF3"/>
    <w:multiLevelType w:val="hybridMultilevel"/>
    <w:tmpl w:val="01A20DE4"/>
    <w:lvl w:ilvl="0" w:tplc="A968A58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nsid w:val="1A4A4074"/>
    <w:multiLevelType w:val="multilevel"/>
    <w:tmpl w:val="ED2AE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A88319D"/>
    <w:multiLevelType w:val="multilevel"/>
    <w:tmpl w:val="FF7A8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05367FE"/>
    <w:multiLevelType w:val="multilevel"/>
    <w:tmpl w:val="8E3E5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8B54DA8"/>
    <w:multiLevelType w:val="multilevel"/>
    <w:tmpl w:val="CBECB962"/>
    <w:lvl w:ilvl="0">
      <w:start w:val="1"/>
      <w:numFmt w:val="decimal"/>
      <w:lvlText w:val="%1."/>
      <w:lvlJc w:val="left"/>
      <w:pPr>
        <w:tabs>
          <w:tab w:val="num" w:pos="720"/>
        </w:tabs>
        <w:ind w:left="720" w:hanging="360"/>
      </w:pPr>
    </w:lvl>
    <w:lvl w:ilvl="1">
      <w:start w:val="1"/>
      <w:numFmt w:val="upp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E676C0C"/>
    <w:multiLevelType w:val="multilevel"/>
    <w:tmpl w:val="9EE426E8"/>
    <w:lvl w:ilvl="0">
      <w:start w:val="1"/>
      <w:numFmt w:val="decimal"/>
      <w:lvlText w:val="%1."/>
      <w:lvlJc w:val="left"/>
      <w:pPr>
        <w:tabs>
          <w:tab w:val="num" w:pos="720"/>
        </w:tabs>
        <w:ind w:left="720" w:hanging="360"/>
      </w:pPr>
    </w:lvl>
    <w:lvl w:ilvl="1">
      <w:start w:val="1"/>
      <w:numFmt w:val="upp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5E71014"/>
    <w:multiLevelType w:val="hybridMultilevel"/>
    <w:tmpl w:val="3ADA34A0"/>
    <w:lvl w:ilvl="0" w:tplc="D5C462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89F35A6"/>
    <w:multiLevelType w:val="multilevel"/>
    <w:tmpl w:val="9F3428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0"/>
  </w:num>
  <w:num w:numId="3">
    <w:abstractNumId w:val="1"/>
  </w:num>
  <w:num w:numId="4">
    <w:abstractNumId w:val="4"/>
  </w:num>
  <w:num w:numId="5">
    <w:abstractNumId w:val="5"/>
  </w:num>
  <w:num w:numId="6">
    <w:abstractNumId w:val="7"/>
  </w:num>
  <w:num w:numId="7">
    <w:abstractNumId w:val="3"/>
  </w:num>
  <w:num w:numId="8">
    <w:abstractNumId w:val="6"/>
  </w:num>
  <w:num w:numId="9">
    <w:abstractNumId w:val="9"/>
  </w:num>
  <w:num w:numId="10">
    <w:abstractNumId w:val="0"/>
  </w:num>
  <w:num w:numId="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4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4BFC"/>
    <w:rsid w:val="00031CCE"/>
    <w:rsid w:val="00040D47"/>
    <w:rsid w:val="00054077"/>
    <w:rsid w:val="000722AE"/>
    <w:rsid w:val="0008091F"/>
    <w:rsid w:val="000835DE"/>
    <w:rsid w:val="0009714E"/>
    <w:rsid w:val="000D7C30"/>
    <w:rsid w:val="0012695D"/>
    <w:rsid w:val="00147A80"/>
    <w:rsid w:val="0015348F"/>
    <w:rsid w:val="001C7F5F"/>
    <w:rsid w:val="001E4C93"/>
    <w:rsid w:val="00223D57"/>
    <w:rsid w:val="00271EC2"/>
    <w:rsid w:val="0027441B"/>
    <w:rsid w:val="002A1B6F"/>
    <w:rsid w:val="002A478C"/>
    <w:rsid w:val="002C59A2"/>
    <w:rsid w:val="002E03CC"/>
    <w:rsid w:val="002F19DB"/>
    <w:rsid w:val="003248DE"/>
    <w:rsid w:val="003404AD"/>
    <w:rsid w:val="0034324E"/>
    <w:rsid w:val="003512B3"/>
    <w:rsid w:val="00364BFC"/>
    <w:rsid w:val="003703DA"/>
    <w:rsid w:val="003A0125"/>
    <w:rsid w:val="003C6F1F"/>
    <w:rsid w:val="003D2CEE"/>
    <w:rsid w:val="003D33F6"/>
    <w:rsid w:val="00413148"/>
    <w:rsid w:val="00434CB9"/>
    <w:rsid w:val="00441C67"/>
    <w:rsid w:val="00446FDD"/>
    <w:rsid w:val="00455F8B"/>
    <w:rsid w:val="00464A72"/>
    <w:rsid w:val="00495664"/>
    <w:rsid w:val="004960D7"/>
    <w:rsid w:val="004D4AC9"/>
    <w:rsid w:val="004D681B"/>
    <w:rsid w:val="004F6E81"/>
    <w:rsid w:val="0056286F"/>
    <w:rsid w:val="005710ED"/>
    <w:rsid w:val="005E764E"/>
    <w:rsid w:val="005F6A88"/>
    <w:rsid w:val="00630F37"/>
    <w:rsid w:val="0066621D"/>
    <w:rsid w:val="00693EF8"/>
    <w:rsid w:val="006956B9"/>
    <w:rsid w:val="006B52EB"/>
    <w:rsid w:val="006C5328"/>
    <w:rsid w:val="006D02A5"/>
    <w:rsid w:val="00710836"/>
    <w:rsid w:val="00715FD9"/>
    <w:rsid w:val="00730B4F"/>
    <w:rsid w:val="00734A49"/>
    <w:rsid w:val="00772144"/>
    <w:rsid w:val="008059A6"/>
    <w:rsid w:val="008222F3"/>
    <w:rsid w:val="008B1DEA"/>
    <w:rsid w:val="008B7F37"/>
    <w:rsid w:val="008C6AB9"/>
    <w:rsid w:val="00912B70"/>
    <w:rsid w:val="009149D7"/>
    <w:rsid w:val="00923917"/>
    <w:rsid w:val="00953690"/>
    <w:rsid w:val="009538E7"/>
    <w:rsid w:val="009663C5"/>
    <w:rsid w:val="009A191E"/>
    <w:rsid w:val="009A44AC"/>
    <w:rsid w:val="009E4374"/>
    <w:rsid w:val="00A0306D"/>
    <w:rsid w:val="00A07BD9"/>
    <w:rsid w:val="00A83FAD"/>
    <w:rsid w:val="00AA722E"/>
    <w:rsid w:val="00AC0EBC"/>
    <w:rsid w:val="00B643DD"/>
    <w:rsid w:val="00B82322"/>
    <w:rsid w:val="00B871DD"/>
    <w:rsid w:val="00C10CCF"/>
    <w:rsid w:val="00C15736"/>
    <w:rsid w:val="00C24402"/>
    <w:rsid w:val="00C5616F"/>
    <w:rsid w:val="00C822A8"/>
    <w:rsid w:val="00CA0590"/>
    <w:rsid w:val="00CB1C3A"/>
    <w:rsid w:val="00CB4BEA"/>
    <w:rsid w:val="00CD157B"/>
    <w:rsid w:val="00CE61A5"/>
    <w:rsid w:val="00CF1896"/>
    <w:rsid w:val="00D1627F"/>
    <w:rsid w:val="00D319BF"/>
    <w:rsid w:val="00D32922"/>
    <w:rsid w:val="00D52DF3"/>
    <w:rsid w:val="00D54CD0"/>
    <w:rsid w:val="00E70E07"/>
    <w:rsid w:val="00E83D79"/>
    <w:rsid w:val="00EA06DE"/>
    <w:rsid w:val="00EB28BF"/>
    <w:rsid w:val="00F83523"/>
    <w:rsid w:val="00F87506"/>
    <w:rsid w:val="00FA032D"/>
    <w:rsid w:val="00FA41D6"/>
    <w:rsid w:val="00FB6953"/>
    <w:rsid w:val="00FC6A69"/>
    <w:rsid w:val="00FE0E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22E"/>
  </w:style>
  <w:style w:type="paragraph" w:styleId="Heading1">
    <w:name w:val="heading 1"/>
    <w:basedOn w:val="Normal"/>
    <w:next w:val="Normal"/>
    <w:link w:val="Heading1Char"/>
    <w:uiPriority w:val="9"/>
    <w:qFormat/>
    <w:rsid w:val="006662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6621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66621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66621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link w:val="Heading6Char"/>
    <w:uiPriority w:val="9"/>
    <w:qFormat/>
    <w:rsid w:val="0066621D"/>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C59A2"/>
    <w:rPr>
      <w:color w:val="0000FF"/>
      <w:u w:val="single"/>
    </w:rPr>
  </w:style>
  <w:style w:type="paragraph" w:styleId="ListParagraph">
    <w:name w:val="List Paragraph"/>
    <w:basedOn w:val="Normal"/>
    <w:uiPriority w:val="34"/>
    <w:qFormat/>
    <w:rsid w:val="00AC0EBC"/>
    <w:pPr>
      <w:ind w:left="720"/>
      <w:contextualSpacing/>
    </w:pPr>
  </w:style>
  <w:style w:type="character" w:customStyle="1" w:styleId="Heading2Char">
    <w:name w:val="Heading 2 Char"/>
    <w:basedOn w:val="DefaultParagraphFont"/>
    <w:link w:val="Heading2"/>
    <w:uiPriority w:val="9"/>
    <w:rsid w:val="0066621D"/>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66621D"/>
    <w:rPr>
      <w:rFonts w:ascii="Times New Roman" w:eastAsia="Times New Roman" w:hAnsi="Times New Roman" w:cs="Times New Roman"/>
      <w:b/>
      <w:bCs/>
      <w:sz w:val="27"/>
      <w:szCs w:val="27"/>
    </w:rPr>
  </w:style>
  <w:style w:type="character" w:customStyle="1" w:styleId="Heading6Char">
    <w:name w:val="Heading 6 Char"/>
    <w:basedOn w:val="DefaultParagraphFont"/>
    <w:link w:val="Heading6"/>
    <w:uiPriority w:val="9"/>
    <w:rsid w:val="0066621D"/>
    <w:rPr>
      <w:rFonts w:ascii="Times New Roman" w:eastAsia="Times New Roman" w:hAnsi="Times New Roman" w:cs="Times New Roman"/>
      <w:b/>
      <w:bCs/>
      <w:sz w:val="15"/>
      <w:szCs w:val="15"/>
    </w:rPr>
  </w:style>
  <w:style w:type="paragraph" w:styleId="NormalWeb">
    <w:name w:val="Normal (Web)"/>
    <w:basedOn w:val="Normal"/>
    <w:uiPriority w:val="99"/>
    <w:semiHidden/>
    <w:unhideWhenUsed/>
    <w:rsid w:val="0066621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6621D"/>
    <w:rPr>
      <w:i/>
      <w:iCs/>
    </w:rPr>
  </w:style>
  <w:style w:type="character" w:styleId="Strong">
    <w:name w:val="Strong"/>
    <w:basedOn w:val="DefaultParagraphFont"/>
    <w:uiPriority w:val="22"/>
    <w:qFormat/>
    <w:rsid w:val="0066621D"/>
    <w:rPr>
      <w:b/>
      <w:bCs/>
    </w:rPr>
  </w:style>
  <w:style w:type="paragraph" w:styleId="BalloonText">
    <w:name w:val="Balloon Text"/>
    <w:basedOn w:val="Normal"/>
    <w:link w:val="BalloonTextChar"/>
    <w:uiPriority w:val="99"/>
    <w:semiHidden/>
    <w:unhideWhenUsed/>
    <w:rsid w:val="006662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21D"/>
    <w:rPr>
      <w:rFonts w:ascii="Tahoma" w:hAnsi="Tahoma" w:cs="Tahoma"/>
      <w:sz w:val="16"/>
      <w:szCs w:val="16"/>
    </w:rPr>
  </w:style>
  <w:style w:type="character" w:customStyle="1" w:styleId="Heading1Char">
    <w:name w:val="Heading 1 Char"/>
    <w:basedOn w:val="DefaultParagraphFont"/>
    <w:link w:val="Heading1"/>
    <w:uiPriority w:val="9"/>
    <w:rsid w:val="0066621D"/>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semiHidden/>
    <w:rsid w:val="0066621D"/>
    <w:rPr>
      <w:rFonts w:asciiTheme="majorHAnsi" w:eastAsiaTheme="majorEastAsia" w:hAnsiTheme="majorHAnsi" w:cstheme="majorBidi"/>
      <w:b/>
      <w:bCs/>
      <w:i/>
      <w:iCs/>
      <w:color w:val="4F81BD" w:themeColor="accent1"/>
    </w:rPr>
  </w:style>
  <w:style w:type="paragraph" w:customStyle="1" w:styleId="byline">
    <w:name w:val="byline"/>
    <w:basedOn w:val="Normal"/>
    <w:rsid w:val="006662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DefaultParagraphFont"/>
    <w:rsid w:val="0066621D"/>
  </w:style>
  <w:style w:type="character" w:customStyle="1" w:styleId="detail-authors">
    <w:name w:val="detail-authors"/>
    <w:basedOn w:val="DefaultParagraphFont"/>
    <w:rsid w:val="0066621D"/>
  </w:style>
  <w:style w:type="character" w:customStyle="1" w:styleId="detail-date">
    <w:name w:val="detail-date"/>
    <w:basedOn w:val="DefaultParagraphFont"/>
    <w:rsid w:val="0066621D"/>
  </w:style>
  <w:style w:type="paragraph" w:customStyle="1" w:styleId="intro">
    <w:name w:val="intro"/>
    <w:basedOn w:val="Normal"/>
    <w:rsid w:val="006662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talicize">
    <w:name w:val="italicize"/>
    <w:basedOn w:val="DefaultParagraphFont"/>
    <w:rsid w:val="0066621D"/>
  </w:style>
  <w:style w:type="paragraph" w:customStyle="1" w:styleId="text">
    <w:name w:val="text"/>
    <w:basedOn w:val="Normal"/>
    <w:rsid w:val="006662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itation">
    <w:name w:val="citation"/>
    <w:basedOn w:val="DefaultParagraphFont"/>
    <w:rsid w:val="0066621D"/>
  </w:style>
  <w:style w:type="character" w:customStyle="1" w:styleId="entry-byline">
    <w:name w:val="entry-byline"/>
    <w:basedOn w:val="DefaultParagraphFont"/>
    <w:rsid w:val="0009714E"/>
  </w:style>
  <w:style w:type="character" w:styleId="FollowedHyperlink">
    <w:name w:val="FollowedHyperlink"/>
    <w:basedOn w:val="DefaultParagraphFont"/>
    <w:uiPriority w:val="99"/>
    <w:semiHidden/>
    <w:unhideWhenUsed/>
    <w:rsid w:val="0009714E"/>
    <w:rPr>
      <w:color w:val="800080"/>
      <w:u w:val="single"/>
    </w:rPr>
  </w:style>
  <w:style w:type="character" w:customStyle="1" w:styleId="current">
    <w:name w:val="current"/>
    <w:basedOn w:val="DefaultParagraphFont"/>
    <w:rsid w:val="0009714E"/>
  </w:style>
  <w:style w:type="paragraph" w:customStyle="1" w:styleId="copy-excerpt">
    <w:name w:val="copy-excerpt"/>
    <w:basedOn w:val="Normal"/>
    <w:rsid w:val="0009714E"/>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22E"/>
  </w:style>
  <w:style w:type="paragraph" w:styleId="Heading1">
    <w:name w:val="heading 1"/>
    <w:basedOn w:val="Normal"/>
    <w:next w:val="Normal"/>
    <w:link w:val="Heading1Char"/>
    <w:uiPriority w:val="9"/>
    <w:qFormat/>
    <w:rsid w:val="006662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6621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66621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66621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link w:val="Heading6Char"/>
    <w:uiPriority w:val="9"/>
    <w:qFormat/>
    <w:rsid w:val="0066621D"/>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C59A2"/>
    <w:rPr>
      <w:color w:val="0000FF"/>
      <w:u w:val="single"/>
    </w:rPr>
  </w:style>
  <w:style w:type="paragraph" w:styleId="ListParagraph">
    <w:name w:val="List Paragraph"/>
    <w:basedOn w:val="Normal"/>
    <w:uiPriority w:val="34"/>
    <w:qFormat/>
    <w:rsid w:val="00AC0EBC"/>
    <w:pPr>
      <w:ind w:left="720"/>
      <w:contextualSpacing/>
    </w:pPr>
  </w:style>
  <w:style w:type="character" w:customStyle="1" w:styleId="Heading2Char">
    <w:name w:val="Heading 2 Char"/>
    <w:basedOn w:val="DefaultParagraphFont"/>
    <w:link w:val="Heading2"/>
    <w:uiPriority w:val="9"/>
    <w:rsid w:val="0066621D"/>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66621D"/>
    <w:rPr>
      <w:rFonts w:ascii="Times New Roman" w:eastAsia="Times New Roman" w:hAnsi="Times New Roman" w:cs="Times New Roman"/>
      <w:b/>
      <w:bCs/>
      <w:sz w:val="27"/>
      <w:szCs w:val="27"/>
    </w:rPr>
  </w:style>
  <w:style w:type="character" w:customStyle="1" w:styleId="Heading6Char">
    <w:name w:val="Heading 6 Char"/>
    <w:basedOn w:val="DefaultParagraphFont"/>
    <w:link w:val="Heading6"/>
    <w:uiPriority w:val="9"/>
    <w:rsid w:val="0066621D"/>
    <w:rPr>
      <w:rFonts w:ascii="Times New Roman" w:eastAsia="Times New Roman" w:hAnsi="Times New Roman" w:cs="Times New Roman"/>
      <w:b/>
      <w:bCs/>
      <w:sz w:val="15"/>
      <w:szCs w:val="15"/>
    </w:rPr>
  </w:style>
  <w:style w:type="paragraph" w:styleId="NormalWeb">
    <w:name w:val="Normal (Web)"/>
    <w:basedOn w:val="Normal"/>
    <w:uiPriority w:val="99"/>
    <w:semiHidden/>
    <w:unhideWhenUsed/>
    <w:rsid w:val="0066621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6621D"/>
    <w:rPr>
      <w:i/>
      <w:iCs/>
    </w:rPr>
  </w:style>
  <w:style w:type="character" w:styleId="Strong">
    <w:name w:val="Strong"/>
    <w:basedOn w:val="DefaultParagraphFont"/>
    <w:uiPriority w:val="22"/>
    <w:qFormat/>
    <w:rsid w:val="0066621D"/>
    <w:rPr>
      <w:b/>
      <w:bCs/>
    </w:rPr>
  </w:style>
  <w:style w:type="paragraph" w:styleId="BalloonText">
    <w:name w:val="Balloon Text"/>
    <w:basedOn w:val="Normal"/>
    <w:link w:val="BalloonTextChar"/>
    <w:uiPriority w:val="99"/>
    <w:semiHidden/>
    <w:unhideWhenUsed/>
    <w:rsid w:val="006662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21D"/>
    <w:rPr>
      <w:rFonts w:ascii="Tahoma" w:hAnsi="Tahoma" w:cs="Tahoma"/>
      <w:sz w:val="16"/>
      <w:szCs w:val="16"/>
    </w:rPr>
  </w:style>
  <w:style w:type="character" w:customStyle="1" w:styleId="Heading1Char">
    <w:name w:val="Heading 1 Char"/>
    <w:basedOn w:val="DefaultParagraphFont"/>
    <w:link w:val="Heading1"/>
    <w:uiPriority w:val="9"/>
    <w:rsid w:val="0066621D"/>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semiHidden/>
    <w:rsid w:val="0066621D"/>
    <w:rPr>
      <w:rFonts w:asciiTheme="majorHAnsi" w:eastAsiaTheme="majorEastAsia" w:hAnsiTheme="majorHAnsi" w:cstheme="majorBidi"/>
      <w:b/>
      <w:bCs/>
      <w:i/>
      <w:iCs/>
      <w:color w:val="4F81BD" w:themeColor="accent1"/>
    </w:rPr>
  </w:style>
  <w:style w:type="paragraph" w:customStyle="1" w:styleId="byline">
    <w:name w:val="byline"/>
    <w:basedOn w:val="Normal"/>
    <w:rsid w:val="006662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DefaultParagraphFont"/>
    <w:rsid w:val="0066621D"/>
  </w:style>
  <w:style w:type="character" w:customStyle="1" w:styleId="detail-authors">
    <w:name w:val="detail-authors"/>
    <w:basedOn w:val="DefaultParagraphFont"/>
    <w:rsid w:val="0066621D"/>
  </w:style>
  <w:style w:type="character" w:customStyle="1" w:styleId="detail-date">
    <w:name w:val="detail-date"/>
    <w:basedOn w:val="DefaultParagraphFont"/>
    <w:rsid w:val="0066621D"/>
  </w:style>
  <w:style w:type="paragraph" w:customStyle="1" w:styleId="intro">
    <w:name w:val="intro"/>
    <w:basedOn w:val="Normal"/>
    <w:rsid w:val="006662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talicize">
    <w:name w:val="italicize"/>
    <w:basedOn w:val="DefaultParagraphFont"/>
    <w:rsid w:val="0066621D"/>
  </w:style>
  <w:style w:type="paragraph" w:customStyle="1" w:styleId="text">
    <w:name w:val="text"/>
    <w:basedOn w:val="Normal"/>
    <w:rsid w:val="006662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itation">
    <w:name w:val="citation"/>
    <w:basedOn w:val="DefaultParagraphFont"/>
    <w:rsid w:val="0066621D"/>
  </w:style>
  <w:style w:type="character" w:customStyle="1" w:styleId="entry-byline">
    <w:name w:val="entry-byline"/>
    <w:basedOn w:val="DefaultParagraphFont"/>
    <w:rsid w:val="0009714E"/>
  </w:style>
  <w:style w:type="character" w:styleId="FollowedHyperlink">
    <w:name w:val="FollowedHyperlink"/>
    <w:basedOn w:val="DefaultParagraphFont"/>
    <w:uiPriority w:val="99"/>
    <w:semiHidden/>
    <w:unhideWhenUsed/>
    <w:rsid w:val="0009714E"/>
    <w:rPr>
      <w:color w:val="800080"/>
      <w:u w:val="single"/>
    </w:rPr>
  </w:style>
  <w:style w:type="character" w:customStyle="1" w:styleId="current">
    <w:name w:val="current"/>
    <w:basedOn w:val="DefaultParagraphFont"/>
    <w:rsid w:val="0009714E"/>
  </w:style>
  <w:style w:type="paragraph" w:customStyle="1" w:styleId="copy-excerpt">
    <w:name w:val="copy-excerpt"/>
    <w:basedOn w:val="Normal"/>
    <w:rsid w:val="0009714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171003">
      <w:bodyDiv w:val="1"/>
      <w:marLeft w:val="0"/>
      <w:marRight w:val="0"/>
      <w:marTop w:val="0"/>
      <w:marBottom w:val="0"/>
      <w:divBdr>
        <w:top w:val="none" w:sz="0" w:space="0" w:color="auto"/>
        <w:left w:val="none" w:sz="0" w:space="0" w:color="auto"/>
        <w:bottom w:val="none" w:sz="0" w:space="0" w:color="auto"/>
        <w:right w:val="none" w:sz="0" w:space="0" w:color="auto"/>
      </w:divBdr>
      <w:divsChild>
        <w:div w:id="1180971865">
          <w:marLeft w:val="0"/>
          <w:marRight w:val="0"/>
          <w:marTop w:val="0"/>
          <w:marBottom w:val="750"/>
          <w:divBdr>
            <w:top w:val="none" w:sz="0" w:space="0" w:color="auto"/>
            <w:left w:val="none" w:sz="0" w:space="0" w:color="auto"/>
            <w:bottom w:val="none" w:sz="0" w:space="0" w:color="auto"/>
            <w:right w:val="none" w:sz="0" w:space="0" w:color="auto"/>
          </w:divBdr>
        </w:div>
      </w:divsChild>
    </w:div>
    <w:div w:id="239482564">
      <w:bodyDiv w:val="1"/>
      <w:marLeft w:val="0"/>
      <w:marRight w:val="0"/>
      <w:marTop w:val="0"/>
      <w:marBottom w:val="0"/>
      <w:divBdr>
        <w:top w:val="none" w:sz="0" w:space="0" w:color="auto"/>
        <w:left w:val="none" w:sz="0" w:space="0" w:color="auto"/>
        <w:bottom w:val="none" w:sz="0" w:space="0" w:color="auto"/>
        <w:right w:val="none" w:sz="0" w:space="0" w:color="auto"/>
      </w:divBdr>
    </w:div>
    <w:div w:id="333916748">
      <w:bodyDiv w:val="1"/>
      <w:marLeft w:val="0"/>
      <w:marRight w:val="0"/>
      <w:marTop w:val="0"/>
      <w:marBottom w:val="0"/>
      <w:divBdr>
        <w:top w:val="none" w:sz="0" w:space="0" w:color="auto"/>
        <w:left w:val="none" w:sz="0" w:space="0" w:color="auto"/>
        <w:bottom w:val="none" w:sz="0" w:space="0" w:color="auto"/>
        <w:right w:val="none" w:sz="0" w:space="0" w:color="auto"/>
      </w:divBdr>
    </w:div>
    <w:div w:id="529730902">
      <w:bodyDiv w:val="1"/>
      <w:marLeft w:val="0"/>
      <w:marRight w:val="0"/>
      <w:marTop w:val="0"/>
      <w:marBottom w:val="0"/>
      <w:divBdr>
        <w:top w:val="none" w:sz="0" w:space="0" w:color="auto"/>
        <w:left w:val="none" w:sz="0" w:space="0" w:color="auto"/>
        <w:bottom w:val="none" w:sz="0" w:space="0" w:color="auto"/>
        <w:right w:val="none" w:sz="0" w:space="0" w:color="auto"/>
      </w:divBdr>
      <w:divsChild>
        <w:div w:id="643969409">
          <w:marLeft w:val="0"/>
          <w:marRight w:val="0"/>
          <w:marTop w:val="0"/>
          <w:marBottom w:val="0"/>
          <w:divBdr>
            <w:top w:val="none" w:sz="0" w:space="0" w:color="auto"/>
            <w:left w:val="none" w:sz="0" w:space="0" w:color="auto"/>
            <w:bottom w:val="none" w:sz="0" w:space="0" w:color="auto"/>
            <w:right w:val="none" w:sz="0" w:space="0" w:color="auto"/>
          </w:divBdr>
        </w:div>
        <w:div w:id="1061488868">
          <w:marLeft w:val="0"/>
          <w:marRight w:val="0"/>
          <w:marTop w:val="0"/>
          <w:marBottom w:val="0"/>
          <w:divBdr>
            <w:top w:val="none" w:sz="0" w:space="0" w:color="auto"/>
            <w:left w:val="none" w:sz="0" w:space="0" w:color="auto"/>
            <w:bottom w:val="none" w:sz="0" w:space="0" w:color="auto"/>
            <w:right w:val="none" w:sz="0" w:space="0" w:color="auto"/>
          </w:divBdr>
        </w:div>
        <w:div w:id="292448135">
          <w:blockQuote w:val="1"/>
          <w:marLeft w:val="720"/>
          <w:marRight w:val="720"/>
          <w:marTop w:val="100"/>
          <w:marBottom w:val="100"/>
          <w:divBdr>
            <w:top w:val="none" w:sz="0" w:space="0" w:color="auto"/>
            <w:left w:val="single" w:sz="48" w:space="0" w:color="98453C"/>
            <w:bottom w:val="none" w:sz="0" w:space="0" w:color="auto"/>
            <w:right w:val="none" w:sz="0" w:space="0" w:color="auto"/>
          </w:divBdr>
        </w:div>
        <w:div w:id="1052732007">
          <w:blockQuote w:val="1"/>
          <w:marLeft w:val="720"/>
          <w:marRight w:val="720"/>
          <w:marTop w:val="100"/>
          <w:marBottom w:val="100"/>
          <w:divBdr>
            <w:top w:val="none" w:sz="0" w:space="0" w:color="auto"/>
            <w:left w:val="single" w:sz="48" w:space="0" w:color="98453C"/>
            <w:bottom w:val="none" w:sz="0" w:space="0" w:color="auto"/>
            <w:right w:val="none" w:sz="0" w:space="0" w:color="auto"/>
          </w:divBdr>
        </w:div>
        <w:div w:id="400950490">
          <w:marLeft w:val="0"/>
          <w:marRight w:val="0"/>
          <w:marTop w:val="0"/>
          <w:marBottom w:val="0"/>
          <w:divBdr>
            <w:top w:val="none" w:sz="0" w:space="0" w:color="auto"/>
            <w:left w:val="none" w:sz="0" w:space="0" w:color="auto"/>
            <w:bottom w:val="none" w:sz="0" w:space="0" w:color="auto"/>
            <w:right w:val="none" w:sz="0" w:space="0" w:color="auto"/>
          </w:divBdr>
        </w:div>
      </w:divsChild>
    </w:div>
    <w:div w:id="694383736">
      <w:bodyDiv w:val="1"/>
      <w:marLeft w:val="0"/>
      <w:marRight w:val="0"/>
      <w:marTop w:val="0"/>
      <w:marBottom w:val="0"/>
      <w:divBdr>
        <w:top w:val="none" w:sz="0" w:space="0" w:color="auto"/>
        <w:left w:val="none" w:sz="0" w:space="0" w:color="auto"/>
        <w:bottom w:val="none" w:sz="0" w:space="0" w:color="auto"/>
        <w:right w:val="none" w:sz="0" w:space="0" w:color="auto"/>
      </w:divBdr>
      <w:divsChild>
        <w:div w:id="1571382748">
          <w:marLeft w:val="225"/>
          <w:marRight w:val="0"/>
          <w:marTop w:val="0"/>
          <w:marBottom w:val="0"/>
          <w:divBdr>
            <w:top w:val="none" w:sz="0" w:space="0" w:color="auto"/>
            <w:left w:val="none" w:sz="0" w:space="0" w:color="auto"/>
            <w:bottom w:val="none" w:sz="0" w:space="0" w:color="auto"/>
            <w:right w:val="none" w:sz="0" w:space="0" w:color="auto"/>
          </w:divBdr>
        </w:div>
        <w:div w:id="986085092">
          <w:marLeft w:val="0"/>
          <w:marRight w:val="0"/>
          <w:marTop w:val="0"/>
          <w:marBottom w:val="0"/>
          <w:divBdr>
            <w:top w:val="none" w:sz="0" w:space="0" w:color="auto"/>
            <w:left w:val="none" w:sz="0" w:space="0" w:color="auto"/>
            <w:bottom w:val="none" w:sz="0" w:space="0" w:color="auto"/>
            <w:right w:val="none" w:sz="0" w:space="0" w:color="auto"/>
          </w:divBdr>
          <w:divsChild>
            <w:div w:id="1959946177">
              <w:blockQuote w:val="1"/>
              <w:marLeft w:val="720"/>
              <w:marRight w:val="720"/>
              <w:marTop w:val="100"/>
              <w:marBottom w:val="100"/>
              <w:divBdr>
                <w:top w:val="none" w:sz="0" w:space="0" w:color="auto"/>
                <w:left w:val="none" w:sz="0" w:space="0" w:color="auto"/>
                <w:bottom w:val="none" w:sz="0" w:space="0" w:color="auto"/>
                <w:right w:val="none" w:sz="0" w:space="0" w:color="auto"/>
              </w:divBdr>
            </w:div>
            <w:div w:id="249001494">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032604">
              <w:blockQuote w:val="1"/>
              <w:marLeft w:val="720"/>
              <w:marRight w:val="720"/>
              <w:marTop w:val="100"/>
              <w:marBottom w:val="100"/>
              <w:divBdr>
                <w:top w:val="none" w:sz="0" w:space="0" w:color="auto"/>
                <w:left w:val="none" w:sz="0" w:space="0" w:color="auto"/>
                <w:bottom w:val="none" w:sz="0" w:space="0" w:color="auto"/>
                <w:right w:val="none" w:sz="0" w:space="0" w:color="auto"/>
              </w:divBdr>
            </w:div>
            <w:div w:id="1724714758">
              <w:blockQuote w:val="1"/>
              <w:marLeft w:val="720"/>
              <w:marRight w:val="720"/>
              <w:marTop w:val="100"/>
              <w:marBottom w:val="100"/>
              <w:divBdr>
                <w:top w:val="none" w:sz="0" w:space="0" w:color="auto"/>
                <w:left w:val="none" w:sz="0" w:space="0" w:color="auto"/>
                <w:bottom w:val="none" w:sz="0" w:space="0" w:color="auto"/>
                <w:right w:val="none" w:sz="0" w:space="0" w:color="auto"/>
              </w:divBdr>
            </w:div>
            <w:div w:id="1847405698">
              <w:blockQuote w:val="1"/>
              <w:marLeft w:val="720"/>
              <w:marRight w:val="720"/>
              <w:marTop w:val="100"/>
              <w:marBottom w:val="100"/>
              <w:divBdr>
                <w:top w:val="none" w:sz="0" w:space="0" w:color="auto"/>
                <w:left w:val="none" w:sz="0" w:space="0" w:color="auto"/>
                <w:bottom w:val="none" w:sz="0" w:space="0" w:color="auto"/>
                <w:right w:val="none" w:sz="0" w:space="0" w:color="auto"/>
              </w:divBdr>
            </w:div>
            <w:div w:id="20587045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738745345">
      <w:bodyDiv w:val="1"/>
      <w:marLeft w:val="0"/>
      <w:marRight w:val="0"/>
      <w:marTop w:val="0"/>
      <w:marBottom w:val="0"/>
      <w:divBdr>
        <w:top w:val="none" w:sz="0" w:space="0" w:color="auto"/>
        <w:left w:val="none" w:sz="0" w:space="0" w:color="auto"/>
        <w:bottom w:val="none" w:sz="0" w:space="0" w:color="auto"/>
        <w:right w:val="none" w:sz="0" w:space="0" w:color="auto"/>
      </w:divBdr>
    </w:div>
    <w:div w:id="769012310">
      <w:bodyDiv w:val="1"/>
      <w:marLeft w:val="0"/>
      <w:marRight w:val="0"/>
      <w:marTop w:val="0"/>
      <w:marBottom w:val="0"/>
      <w:divBdr>
        <w:top w:val="none" w:sz="0" w:space="0" w:color="auto"/>
        <w:left w:val="none" w:sz="0" w:space="0" w:color="auto"/>
        <w:bottom w:val="none" w:sz="0" w:space="0" w:color="auto"/>
        <w:right w:val="none" w:sz="0" w:space="0" w:color="auto"/>
      </w:divBdr>
    </w:div>
    <w:div w:id="887452512">
      <w:bodyDiv w:val="1"/>
      <w:marLeft w:val="0"/>
      <w:marRight w:val="0"/>
      <w:marTop w:val="0"/>
      <w:marBottom w:val="0"/>
      <w:divBdr>
        <w:top w:val="none" w:sz="0" w:space="0" w:color="auto"/>
        <w:left w:val="none" w:sz="0" w:space="0" w:color="auto"/>
        <w:bottom w:val="none" w:sz="0" w:space="0" w:color="auto"/>
        <w:right w:val="none" w:sz="0" w:space="0" w:color="auto"/>
      </w:divBdr>
      <w:divsChild>
        <w:div w:id="805703959">
          <w:marLeft w:val="0"/>
          <w:marRight w:val="0"/>
          <w:marTop w:val="0"/>
          <w:marBottom w:val="0"/>
          <w:divBdr>
            <w:top w:val="none" w:sz="0" w:space="0" w:color="auto"/>
            <w:left w:val="none" w:sz="0" w:space="0" w:color="auto"/>
            <w:bottom w:val="none" w:sz="0" w:space="0" w:color="auto"/>
            <w:right w:val="none" w:sz="0" w:space="0" w:color="auto"/>
          </w:divBdr>
          <w:divsChild>
            <w:div w:id="1007709610">
              <w:marLeft w:val="0"/>
              <w:marRight w:val="0"/>
              <w:marTop w:val="0"/>
              <w:marBottom w:val="0"/>
              <w:divBdr>
                <w:top w:val="none" w:sz="0" w:space="0" w:color="auto"/>
                <w:left w:val="none" w:sz="0" w:space="0" w:color="auto"/>
                <w:bottom w:val="none" w:sz="0" w:space="0" w:color="auto"/>
                <w:right w:val="none" w:sz="0" w:space="0" w:color="auto"/>
              </w:divBdr>
              <w:divsChild>
                <w:div w:id="987049737">
                  <w:marLeft w:val="0"/>
                  <w:marRight w:val="0"/>
                  <w:marTop w:val="0"/>
                  <w:marBottom w:val="0"/>
                  <w:divBdr>
                    <w:top w:val="none" w:sz="0" w:space="0" w:color="auto"/>
                    <w:left w:val="none" w:sz="0" w:space="0" w:color="auto"/>
                    <w:bottom w:val="none" w:sz="0" w:space="0" w:color="auto"/>
                    <w:right w:val="none" w:sz="0" w:space="0" w:color="auto"/>
                  </w:divBdr>
                </w:div>
                <w:div w:id="13795913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905339804">
          <w:marLeft w:val="0"/>
          <w:marRight w:val="0"/>
          <w:marTop w:val="0"/>
          <w:marBottom w:val="0"/>
          <w:divBdr>
            <w:top w:val="none" w:sz="0" w:space="0" w:color="auto"/>
            <w:left w:val="none" w:sz="0" w:space="0" w:color="auto"/>
            <w:bottom w:val="none" w:sz="0" w:space="0" w:color="auto"/>
            <w:right w:val="none" w:sz="0" w:space="0" w:color="auto"/>
          </w:divBdr>
          <w:divsChild>
            <w:div w:id="764350699">
              <w:marLeft w:val="0"/>
              <w:marRight w:val="0"/>
              <w:marTop w:val="0"/>
              <w:marBottom w:val="0"/>
              <w:divBdr>
                <w:top w:val="none" w:sz="0" w:space="0" w:color="auto"/>
                <w:left w:val="none" w:sz="0" w:space="0" w:color="auto"/>
                <w:bottom w:val="none" w:sz="0" w:space="0" w:color="auto"/>
                <w:right w:val="none" w:sz="0" w:space="0" w:color="auto"/>
              </w:divBdr>
            </w:div>
            <w:div w:id="46993813">
              <w:marLeft w:val="450"/>
              <w:marRight w:val="0"/>
              <w:marTop w:val="0"/>
              <w:marBottom w:val="0"/>
              <w:divBdr>
                <w:top w:val="none" w:sz="0" w:space="0" w:color="auto"/>
                <w:left w:val="none" w:sz="0" w:space="0" w:color="auto"/>
                <w:bottom w:val="none" w:sz="0" w:space="0" w:color="auto"/>
                <w:right w:val="none" w:sz="0" w:space="0" w:color="auto"/>
              </w:divBdr>
            </w:div>
            <w:div w:id="464591261">
              <w:marLeft w:val="450"/>
              <w:marRight w:val="0"/>
              <w:marTop w:val="0"/>
              <w:marBottom w:val="0"/>
              <w:divBdr>
                <w:top w:val="none" w:sz="0" w:space="0" w:color="auto"/>
                <w:left w:val="none" w:sz="0" w:space="0" w:color="auto"/>
                <w:bottom w:val="none" w:sz="0" w:space="0" w:color="auto"/>
                <w:right w:val="none" w:sz="0" w:space="0" w:color="auto"/>
              </w:divBdr>
            </w:div>
          </w:divsChild>
        </w:div>
        <w:div w:id="1464733736">
          <w:marLeft w:val="0"/>
          <w:marRight w:val="0"/>
          <w:marTop w:val="0"/>
          <w:marBottom w:val="0"/>
          <w:divBdr>
            <w:top w:val="none" w:sz="0" w:space="0" w:color="auto"/>
            <w:left w:val="none" w:sz="0" w:space="0" w:color="auto"/>
            <w:bottom w:val="none" w:sz="0" w:space="0" w:color="auto"/>
            <w:right w:val="none" w:sz="0" w:space="0" w:color="auto"/>
          </w:divBdr>
          <w:divsChild>
            <w:div w:id="1957708399">
              <w:marLeft w:val="0"/>
              <w:marRight w:val="0"/>
              <w:marTop w:val="0"/>
              <w:marBottom w:val="0"/>
              <w:divBdr>
                <w:top w:val="none" w:sz="0" w:space="0" w:color="auto"/>
                <w:left w:val="none" w:sz="0" w:space="0" w:color="auto"/>
                <w:bottom w:val="none" w:sz="0" w:space="0" w:color="auto"/>
                <w:right w:val="none" w:sz="0" w:space="0" w:color="auto"/>
              </w:divBdr>
            </w:div>
            <w:div w:id="827671731">
              <w:marLeft w:val="450"/>
              <w:marRight w:val="0"/>
              <w:marTop w:val="0"/>
              <w:marBottom w:val="0"/>
              <w:divBdr>
                <w:top w:val="none" w:sz="0" w:space="0" w:color="auto"/>
                <w:left w:val="none" w:sz="0" w:space="0" w:color="auto"/>
                <w:bottom w:val="none" w:sz="0" w:space="0" w:color="auto"/>
                <w:right w:val="none" w:sz="0" w:space="0" w:color="auto"/>
              </w:divBdr>
            </w:div>
            <w:div w:id="602803013">
              <w:marLeft w:val="450"/>
              <w:marRight w:val="0"/>
              <w:marTop w:val="0"/>
              <w:marBottom w:val="0"/>
              <w:divBdr>
                <w:top w:val="none" w:sz="0" w:space="0" w:color="auto"/>
                <w:left w:val="none" w:sz="0" w:space="0" w:color="auto"/>
                <w:bottom w:val="none" w:sz="0" w:space="0" w:color="auto"/>
                <w:right w:val="none" w:sz="0" w:space="0" w:color="auto"/>
              </w:divBdr>
            </w:div>
          </w:divsChild>
        </w:div>
        <w:div w:id="836195018">
          <w:marLeft w:val="0"/>
          <w:marRight w:val="0"/>
          <w:marTop w:val="0"/>
          <w:marBottom w:val="0"/>
          <w:divBdr>
            <w:top w:val="none" w:sz="0" w:space="0" w:color="auto"/>
            <w:left w:val="none" w:sz="0" w:space="0" w:color="auto"/>
            <w:bottom w:val="none" w:sz="0" w:space="0" w:color="auto"/>
            <w:right w:val="none" w:sz="0" w:space="0" w:color="auto"/>
          </w:divBdr>
          <w:divsChild>
            <w:div w:id="513232846">
              <w:marLeft w:val="0"/>
              <w:marRight w:val="0"/>
              <w:marTop w:val="0"/>
              <w:marBottom w:val="0"/>
              <w:divBdr>
                <w:top w:val="none" w:sz="0" w:space="0" w:color="auto"/>
                <w:left w:val="none" w:sz="0" w:space="0" w:color="auto"/>
                <w:bottom w:val="none" w:sz="0" w:space="0" w:color="auto"/>
                <w:right w:val="none" w:sz="0" w:space="0" w:color="auto"/>
              </w:divBdr>
              <w:divsChild>
                <w:div w:id="135989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597374">
      <w:bodyDiv w:val="1"/>
      <w:marLeft w:val="0"/>
      <w:marRight w:val="0"/>
      <w:marTop w:val="0"/>
      <w:marBottom w:val="0"/>
      <w:divBdr>
        <w:top w:val="none" w:sz="0" w:space="0" w:color="auto"/>
        <w:left w:val="none" w:sz="0" w:space="0" w:color="auto"/>
        <w:bottom w:val="none" w:sz="0" w:space="0" w:color="auto"/>
        <w:right w:val="none" w:sz="0" w:space="0" w:color="auto"/>
      </w:divBdr>
    </w:div>
    <w:div w:id="1073087844">
      <w:bodyDiv w:val="1"/>
      <w:marLeft w:val="0"/>
      <w:marRight w:val="0"/>
      <w:marTop w:val="0"/>
      <w:marBottom w:val="0"/>
      <w:divBdr>
        <w:top w:val="none" w:sz="0" w:space="0" w:color="auto"/>
        <w:left w:val="none" w:sz="0" w:space="0" w:color="auto"/>
        <w:bottom w:val="none" w:sz="0" w:space="0" w:color="auto"/>
        <w:right w:val="none" w:sz="0" w:space="0" w:color="auto"/>
      </w:divBdr>
      <w:divsChild>
        <w:div w:id="520633575">
          <w:marLeft w:val="0"/>
          <w:marRight w:val="0"/>
          <w:marTop w:val="0"/>
          <w:marBottom w:val="0"/>
          <w:divBdr>
            <w:top w:val="none" w:sz="0" w:space="0" w:color="auto"/>
            <w:left w:val="none" w:sz="0" w:space="0" w:color="auto"/>
            <w:bottom w:val="none" w:sz="0" w:space="0" w:color="auto"/>
            <w:right w:val="none" w:sz="0" w:space="0" w:color="auto"/>
          </w:divBdr>
          <w:divsChild>
            <w:div w:id="1143161348">
              <w:marLeft w:val="0"/>
              <w:marRight w:val="0"/>
              <w:marTop w:val="0"/>
              <w:marBottom w:val="0"/>
              <w:divBdr>
                <w:top w:val="none" w:sz="0" w:space="0" w:color="auto"/>
                <w:left w:val="none" w:sz="0" w:space="0" w:color="auto"/>
                <w:bottom w:val="none" w:sz="0" w:space="0" w:color="auto"/>
                <w:right w:val="none" w:sz="0" w:space="0" w:color="auto"/>
              </w:divBdr>
            </w:div>
          </w:divsChild>
        </w:div>
        <w:div w:id="169681480">
          <w:marLeft w:val="0"/>
          <w:marRight w:val="0"/>
          <w:marTop w:val="0"/>
          <w:marBottom w:val="0"/>
          <w:divBdr>
            <w:top w:val="none" w:sz="0" w:space="0" w:color="auto"/>
            <w:left w:val="none" w:sz="0" w:space="0" w:color="auto"/>
            <w:bottom w:val="none" w:sz="0" w:space="0" w:color="auto"/>
            <w:right w:val="none" w:sz="0" w:space="0" w:color="auto"/>
          </w:divBdr>
          <w:divsChild>
            <w:div w:id="815680774">
              <w:marLeft w:val="0"/>
              <w:marRight w:val="0"/>
              <w:marTop w:val="0"/>
              <w:marBottom w:val="0"/>
              <w:divBdr>
                <w:top w:val="none" w:sz="0" w:space="0" w:color="auto"/>
                <w:left w:val="none" w:sz="0" w:space="0" w:color="auto"/>
                <w:bottom w:val="none" w:sz="0" w:space="0" w:color="auto"/>
                <w:right w:val="none" w:sz="0" w:space="0" w:color="auto"/>
              </w:divBdr>
              <w:divsChild>
                <w:div w:id="584538880">
                  <w:marLeft w:val="0"/>
                  <w:marRight w:val="0"/>
                  <w:marTop w:val="0"/>
                  <w:marBottom w:val="0"/>
                  <w:divBdr>
                    <w:top w:val="none" w:sz="0" w:space="0" w:color="auto"/>
                    <w:left w:val="none" w:sz="0" w:space="0" w:color="auto"/>
                    <w:bottom w:val="none" w:sz="0" w:space="0" w:color="auto"/>
                    <w:right w:val="none" w:sz="0" w:space="0" w:color="auto"/>
                  </w:divBdr>
                  <w:divsChild>
                    <w:div w:id="170142927">
                      <w:marLeft w:val="0"/>
                      <w:marRight w:val="0"/>
                      <w:marTop w:val="0"/>
                      <w:marBottom w:val="0"/>
                      <w:divBdr>
                        <w:top w:val="none" w:sz="0" w:space="0" w:color="auto"/>
                        <w:left w:val="none" w:sz="0" w:space="0" w:color="auto"/>
                        <w:bottom w:val="none" w:sz="0" w:space="0" w:color="auto"/>
                        <w:right w:val="none" w:sz="0" w:space="0" w:color="auto"/>
                      </w:divBdr>
                      <w:divsChild>
                        <w:div w:id="414517916">
                          <w:marLeft w:val="0"/>
                          <w:marRight w:val="0"/>
                          <w:marTop w:val="0"/>
                          <w:marBottom w:val="0"/>
                          <w:divBdr>
                            <w:top w:val="none" w:sz="0" w:space="0" w:color="auto"/>
                            <w:left w:val="none" w:sz="0" w:space="0" w:color="auto"/>
                            <w:bottom w:val="none" w:sz="0" w:space="0" w:color="auto"/>
                            <w:right w:val="none" w:sz="0" w:space="0" w:color="auto"/>
                          </w:divBdr>
                          <w:divsChild>
                            <w:div w:id="223180348">
                              <w:marLeft w:val="0"/>
                              <w:marRight w:val="0"/>
                              <w:marTop w:val="0"/>
                              <w:marBottom w:val="0"/>
                              <w:divBdr>
                                <w:top w:val="none" w:sz="0" w:space="0" w:color="auto"/>
                                <w:left w:val="none" w:sz="0" w:space="0" w:color="auto"/>
                                <w:bottom w:val="none" w:sz="0" w:space="0" w:color="auto"/>
                                <w:right w:val="none" w:sz="0" w:space="0" w:color="auto"/>
                              </w:divBdr>
                              <w:divsChild>
                                <w:div w:id="1449736073">
                                  <w:marLeft w:val="0"/>
                                  <w:marRight w:val="0"/>
                                  <w:marTop w:val="0"/>
                                  <w:marBottom w:val="0"/>
                                  <w:divBdr>
                                    <w:top w:val="none" w:sz="0" w:space="0" w:color="auto"/>
                                    <w:left w:val="none" w:sz="0" w:space="0" w:color="auto"/>
                                    <w:bottom w:val="none" w:sz="0" w:space="0" w:color="auto"/>
                                    <w:right w:val="none" w:sz="0" w:space="0" w:color="auto"/>
                                  </w:divBdr>
                                  <w:divsChild>
                                    <w:div w:id="451483492">
                                      <w:marLeft w:val="0"/>
                                      <w:marRight w:val="0"/>
                                      <w:marTop w:val="0"/>
                                      <w:marBottom w:val="0"/>
                                      <w:divBdr>
                                        <w:top w:val="none" w:sz="0" w:space="0" w:color="auto"/>
                                        <w:left w:val="none" w:sz="0" w:space="0" w:color="auto"/>
                                        <w:bottom w:val="none" w:sz="0" w:space="0" w:color="auto"/>
                                        <w:right w:val="none" w:sz="0" w:space="0" w:color="auto"/>
                                      </w:divBdr>
                                      <w:divsChild>
                                        <w:div w:id="118157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6337023">
      <w:bodyDiv w:val="1"/>
      <w:marLeft w:val="0"/>
      <w:marRight w:val="0"/>
      <w:marTop w:val="0"/>
      <w:marBottom w:val="0"/>
      <w:divBdr>
        <w:top w:val="none" w:sz="0" w:space="0" w:color="auto"/>
        <w:left w:val="none" w:sz="0" w:space="0" w:color="auto"/>
        <w:bottom w:val="none" w:sz="0" w:space="0" w:color="auto"/>
        <w:right w:val="none" w:sz="0" w:space="0" w:color="auto"/>
      </w:divBdr>
    </w:div>
    <w:div w:id="1338919472">
      <w:bodyDiv w:val="1"/>
      <w:marLeft w:val="0"/>
      <w:marRight w:val="0"/>
      <w:marTop w:val="0"/>
      <w:marBottom w:val="0"/>
      <w:divBdr>
        <w:top w:val="none" w:sz="0" w:space="0" w:color="auto"/>
        <w:left w:val="none" w:sz="0" w:space="0" w:color="auto"/>
        <w:bottom w:val="none" w:sz="0" w:space="0" w:color="auto"/>
        <w:right w:val="none" w:sz="0" w:space="0" w:color="auto"/>
      </w:divBdr>
      <w:divsChild>
        <w:div w:id="416555491">
          <w:marLeft w:val="0"/>
          <w:marRight w:val="0"/>
          <w:marTop w:val="600"/>
          <w:marBottom w:val="600"/>
          <w:divBdr>
            <w:top w:val="none" w:sz="0" w:space="0" w:color="auto"/>
            <w:left w:val="none" w:sz="0" w:space="0" w:color="auto"/>
            <w:bottom w:val="none" w:sz="0" w:space="0" w:color="auto"/>
            <w:right w:val="none" w:sz="0" w:space="0" w:color="auto"/>
          </w:divBdr>
        </w:div>
        <w:div w:id="262031004">
          <w:marLeft w:val="0"/>
          <w:marRight w:val="0"/>
          <w:marTop w:val="300"/>
          <w:marBottom w:val="0"/>
          <w:divBdr>
            <w:top w:val="single" w:sz="6" w:space="23" w:color="EEEEEE"/>
            <w:left w:val="single" w:sz="6" w:space="30" w:color="EEEEEE"/>
            <w:bottom w:val="single" w:sz="6" w:space="23" w:color="EEEEEE"/>
            <w:right w:val="single" w:sz="6" w:space="30" w:color="EEEEEE"/>
          </w:divBdr>
        </w:div>
        <w:div w:id="1916739233">
          <w:blockQuote w:val="1"/>
          <w:marLeft w:val="720"/>
          <w:marRight w:val="720"/>
          <w:marTop w:val="100"/>
          <w:marBottom w:val="100"/>
          <w:divBdr>
            <w:top w:val="none" w:sz="0" w:space="0" w:color="auto"/>
            <w:left w:val="none" w:sz="0" w:space="0" w:color="auto"/>
            <w:bottom w:val="none" w:sz="0" w:space="0" w:color="auto"/>
            <w:right w:val="none" w:sz="0" w:space="0" w:color="auto"/>
          </w:divBdr>
        </w:div>
        <w:div w:id="1631595211">
          <w:marLeft w:val="0"/>
          <w:marRight w:val="0"/>
          <w:marTop w:val="1200"/>
          <w:marBottom w:val="600"/>
          <w:divBdr>
            <w:top w:val="none" w:sz="0" w:space="0" w:color="auto"/>
            <w:left w:val="none" w:sz="0" w:space="0" w:color="auto"/>
            <w:bottom w:val="none" w:sz="0" w:space="0" w:color="auto"/>
            <w:right w:val="none" w:sz="0" w:space="0" w:color="auto"/>
          </w:divBdr>
        </w:div>
      </w:divsChild>
    </w:div>
    <w:div w:id="1357000613">
      <w:bodyDiv w:val="1"/>
      <w:marLeft w:val="0"/>
      <w:marRight w:val="0"/>
      <w:marTop w:val="0"/>
      <w:marBottom w:val="0"/>
      <w:divBdr>
        <w:top w:val="none" w:sz="0" w:space="0" w:color="auto"/>
        <w:left w:val="none" w:sz="0" w:space="0" w:color="auto"/>
        <w:bottom w:val="none" w:sz="0" w:space="0" w:color="auto"/>
        <w:right w:val="none" w:sz="0" w:space="0" w:color="auto"/>
      </w:divBdr>
      <w:divsChild>
        <w:div w:id="425810324">
          <w:blockQuote w:val="1"/>
          <w:marLeft w:val="1050"/>
          <w:marRight w:val="0"/>
          <w:marTop w:val="240"/>
          <w:marBottom w:val="240"/>
          <w:divBdr>
            <w:top w:val="single" w:sz="2" w:space="0" w:color="auto"/>
            <w:left w:val="single" w:sz="18" w:space="12" w:color="auto"/>
            <w:bottom w:val="single" w:sz="2" w:space="0" w:color="auto"/>
            <w:right w:val="single" w:sz="2" w:space="0" w:color="auto"/>
          </w:divBdr>
        </w:div>
        <w:div w:id="893005314">
          <w:blockQuote w:val="1"/>
          <w:marLeft w:val="1050"/>
          <w:marRight w:val="0"/>
          <w:marTop w:val="240"/>
          <w:marBottom w:val="240"/>
          <w:divBdr>
            <w:top w:val="single" w:sz="2" w:space="0" w:color="auto"/>
            <w:left w:val="single" w:sz="18" w:space="12" w:color="auto"/>
            <w:bottom w:val="single" w:sz="2" w:space="0" w:color="auto"/>
            <w:right w:val="single" w:sz="2" w:space="0" w:color="auto"/>
          </w:divBdr>
        </w:div>
        <w:div w:id="334386145">
          <w:blockQuote w:val="1"/>
          <w:marLeft w:val="1050"/>
          <w:marRight w:val="0"/>
          <w:marTop w:val="240"/>
          <w:marBottom w:val="240"/>
          <w:divBdr>
            <w:top w:val="single" w:sz="2" w:space="0" w:color="auto"/>
            <w:left w:val="single" w:sz="18" w:space="12" w:color="auto"/>
            <w:bottom w:val="single" w:sz="2" w:space="0" w:color="auto"/>
            <w:right w:val="single" w:sz="2" w:space="0" w:color="auto"/>
          </w:divBdr>
        </w:div>
        <w:div w:id="105540903">
          <w:blockQuote w:val="1"/>
          <w:marLeft w:val="1050"/>
          <w:marRight w:val="0"/>
          <w:marTop w:val="240"/>
          <w:marBottom w:val="240"/>
          <w:divBdr>
            <w:top w:val="single" w:sz="2" w:space="0" w:color="auto"/>
            <w:left w:val="single" w:sz="18" w:space="12" w:color="auto"/>
            <w:bottom w:val="single" w:sz="2" w:space="0" w:color="auto"/>
            <w:right w:val="single" w:sz="2" w:space="0" w:color="auto"/>
          </w:divBdr>
        </w:div>
        <w:div w:id="741103264">
          <w:blockQuote w:val="1"/>
          <w:marLeft w:val="1050"/>
          <w:marRight w:val="0"/>
          <w:marTop w:val="240"/>
          <w:marBottom w:val="240"/>
          <w:divBdr>
            <w:top w:val="single" w:sz="2" w:space="0" w:color="auto"/>
            <w:left w:val="single" w:sz="18" w:space="12" w:color="auto"/>
            <w:bottom w:val="single" w:sz="2" w:space="0" w:color="auto"/>
            <w:right w:val="single" w:sz="2" w:space="0" w:color="auto"/>
          </w:divBdr>
        </w:div>
      </w:divsChild>
    </w:div>
    <w:div w:id="1377048805">
      <w:bodyDiv w:val="1"/>
      <w:marLeft w:val="0"/>
      <w:marRight w:val="0"/>
      <w:marTop w:val="0"/>
      <w:marBottom w:val="0"/>
      <w:divBdr>
        <w:top w:val="none" w:sz="0" w:space="0" w:color="auto"/>
        <w:left w:val="none" w:sz="0" w:space="0" w:color="auto"/>
        <w:bottom w:val="none" w:sz="0" w:space="0" w:color="auto"/>
        <w:right w:val="none" w:sz="0" w:space="0" w:color="auto"/>
      </w:divBdr>
      <w:divsChild>
        <w:div w:id="962422196">
          <w:marLeft w:val="0"/>
          <w:marRight w:val="0"/>
          <w:marTop w:val="360"/>
          <w:marBottom w:val="0"/>
          <w:divBdr>
            <w:top w:val="none" w:sz="0" w:space="0" w:color="auto"/>
            <w:left w:val="none" w:sz="0" w:space="0" w:color="auto"/>
            <w:bottom w:val="none" w:sz="0" w:space="0" w:color="auto"/>
            <w:right w:val="none" w:sz="0" w:space="0" w:color="auto"/>
          </w:divBdr>
          <w:divsChild>
            <w:div w:id="1517840406">
              <w:blockQuote w:val="1"/>
              <w:marLeft w:val="360"/>
              <w:marRight w:val="360"/>
              <w:marTop w:val="0"/>
              <w:marBottom w:val="0"/>
              <w:divBdr>
                <w:top w:val="none" w:sz="0" w:space="0" w:color="auto"/>
                <w:left w:val="double" w:sz="6" w:space="18" w:color="auto"/>
                <w:bottom w:val="none" w:sz="0" w:space="0" w:color="auto"/>
                <w:right w:val="none" w:sz="0" w:space="0" w:color="auto"/>
              </w:divBdr>
            </w:div>
          </w:divsChild>
        </w:div>
      </w:divsChild>
    </w:div>
    <w:div w:id="1378045884">
      <w:bodyDiv w:val="1"/>
      <w:marLeft w:val="0"/>
      <w:marRight w:val="0"/>
      <w:marTop w:val="0"/>
      <w:marBottom w:val="0"/>
      <w:divBdr>
        <w:top w:val="none" w:sz="0" w:space="0" w:color="auto"/>
        <w:left w:val="none" w:sz="0" w:space="0" w:color="auto"/>
        <w:bottom w:val="none" w:sz="0" w:space="0" w:color="auto"/>
        <w:right w:val="none" w:sz="0" w:space="0" w:color="auto"/>
      </w:divBdr>
    </w:div>
    <w:div w:id="1513959601">
      <w:bodyDiv w:val="1"/>
      <w:marLeft w:val="0"/>
      <w:marRight w:val="0"/>
      <w:marTop w:val="0"/>
      <w:marBottom w:val="0"/>
      <w:divBdr>
        <w:top w:val="none" w:sz="0" w:space="0" w:color="auto"/>
        <w:left w:val="none" w:sz="0" w:space="0" w:color="auto"/>
        <w:bottom w:val="none" w:sz="0" w:space="0" w:color="auto"/>
        <w:right w:val="none" w:sz="0" w:space="0" w:color="auto"/>
      </w:divBdr>
    </w:div>
    <w:div w:id="1546479582">
      <w:bodyDiv w:val="1"/>
      <w:marLeft w:val="0"/>
      <w:marRight w:val="0"/>
      <w:marTop w:val="0"/>
      <w:marBottom w:val="0"/>
      <w:divBdr>
        <w:top w:val="none" w:sz="0" w:space="0" w:color="auto"/>
        <w:left w:val="none" w:sz="0" w:space="0" w:color="auto"/>
        <w:bottom w:val="none" w:sz="0" w:space="0" w:color="auto"/>
        <w:right w:val="none" w:sz="0" w:space="0" w:color="auto"/>
      </w:divBdr>
    </w:div>
    <w:div w:id="1585337872">
      <w:bodyDiv w:val="1"/>
      <w:marLeft w:val="0"/>
      <w:marRight w:val="0"/>
      <w:marTop w:val="0"/>
      <w:marBottom w:val="0"/>
      <w:divBdr>
        <w:top w:val="none" w:sz="0" w:space="0" w:color="auto"/>
        <w:left w:val="none" w:sz="0" w:space="0" w:color="auto"/>
        <w:bottom w:val="none" w:sz="0" w:space="0" w:color="auto"/>
        <w:right w:val="none" w:sz="0" w:space="0" w:color="auto"/>
      </w:divBdr>
      <w:divsChild>
        <w:div w:id="214438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78697264">
      <w:bodyDiv w:val="1"/>
      <w:marLeft w:val="0"/>
      <w:marRight w:val="0"/>
      <w:marTop w:val="0"/>
      <w:marBottom w:val="0"/>
      <w:divBdr>
        <w:top w:val="none" w:sz="0" w:space="0" w:color="auto"/>
        <w:left w:val="none" w:sz="0" w:space="0" w:color="auto"/>
        <w:bottom w:val="none" w:sz="0" w:space="0" w:color="auto"/>
        <w:right w:val="none" w:sz="0" w:space="0" w:color="auto"/>
      </w:divBdr>
      <w:divsChild>
        <w:div w:id="185487442">
          <w:marLeft w:val="375"/>
          <w:marRight w:val="0"/>
          <w:marTop w:val="0"/>
          <w:marBottom w:val="300"/>
          <w:divBdr>
            <w:top w:val="none" w:sz="0" w:space="0" w:color="auto"/>
            <w:left w:val="none" w:sz="0" w:space="0" w:color="auto"/>
            <w:bottom w:val="none" w:sz="0" w:space="0" w:color="auto"/>
            <w:right w:val="none" w:sz="0" w:space="0" w:color="auto"/>
          </w:divBdr>
          <w:divsChild>
            <w:div w:id="1152720767">
              <w:marLeft w:val="0"/>
              <w:marRight w:val="0"/>
              <w:marTop w:val="0"/>
              <w:marBottom w:val="0"/>
              <w:divBdr>
                <w:top w:val="none" w:sz="0" w:space="0" w:color="auto"/>
                <w:left w:val="none" w:sz="0" w:space="0" w:color="auto"/>
                <w:bottom w:val="none" w:sz="0" w:space="0" w:color="auto"/>
                <w:right w:val="none" w:sz="0" w:space="0" w:color="auto"/>
              </w:divBdr>
              <w:divsChild>
                <w:div w:id="1381251738">
                  <w:marLeft w:val="0"/>
                  <w:marRight w:val="0"/>
                  <w:marTop w:val="0"/>
                  <w:marBottom w:val="0"/>
                  <w:divBdr>
                    <w:top w:val="none" w:sz="0" w:space="0" w:color="auto"/>
                    <w:left w:val="none" w:sz="0" w:space="0" w:color="auto"/>
                    <w:bottom w:val="none" w:sz="0" w:space="0" w:color="auto"/>
                    <w:right w:val="none" w:sz="0" w:space="0" w:color="auto"/>
                  </w:divBdr>
                  <w:divsChild>
                    <w:div w:id="414010315">
                      <w:marLeft w:val="0"/>
                      <w:marRight w:val="0"/>
                      <w:marTop w:val="150"/>
                      <w:marBottom w:val="0"/>
                      <w:divBdr>
                        <w:top w:val="none" w:sz="0" w:space="0" w:color="auto"/>
                        <w:left w:val="none" w:sz="0" w:space="0" w:color="auto"/>
                        <w:bottom w:val="none" w:sz="0" w:space="0" w:color="auto"/>
                        <w:right w:val="none" w:sz="0" w:space="0" w:color="auto"/>
                      </w:divBdr>
                    </w:div>
                  </w:divsChild>
                </w:div>
                <w:div w:id="1593933735">
                  <w:marLeft w:val="0"/>
                  <w:marRight w:val="0"/>
                  <w:marTop w:val="225"/>
                  <w:marBottom w:val="0"/>
                  <w:divBdr>
                    <w:top w:val="none" w:sz="0" w:space="0" w:color="auto"/>
                    <w:left w:val="none" w:sz="0" w:space="0" w:color="auto"/>
                    <w:bottom w:val="none" w:sz="0" w:space="0" w:color="auto"/>
                    <w:right w:val="none" w:sz="0" w:space="0" w:color="auto"/>
                  </w:divBdr>
                  <w:divsChild>
                    <w:div w:id="87091915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779056515">
              <w:marLeft w:val="0"/>
              <w:marRight w:val="0"/>
              <w:marTop w:val="300"/>
              <w:marBottom w:val="300"/>
              <w:divBdr>
                <w:top w:val="single" w:sz="6" w:space="7" w:color="000000"/>
                <w:left w:val="none" w:sz="0" w:space="9" w:color="auto"/>
                <w:bottom w:val="none" w:sz="0" w:space="7" w:color="auto"/>
                <w:right w:val="none" w:sz="0" w:space="9" w:color="auto"/>
              </w:divBdr>
            </w:div>
            <w:div w:id="427581089">
              <w:marLeft w:val="0"/>
              <w:marRight w:val="0"/>
              <w:marTop w:val="300"/>
              <w:marBottom w:val="450"/>
              <w:divBdr>
                <w:top w:val="none" w:sz="0" w:space="0" w:color="auto"/>
                <w:left w:val="none" w:sz="0" w:space="0" w:color="auto"/>
                <w:bottom w:val="none" w:sz="0" w:space="0" w:color="auto"/>
                <w:right w:val="none" w:sz="0" w:space="0" w:color="auto"/>
              </w:divBdr>
            </w:div>
            <w:div w:id="1574586607">
              <w:marLeft w:val="0"/>
              <w:marRight w:val="150"/>
              <w:marTop w:val="0"/>
              <w:marBottom w:val="0"/>
              <w:divBdr>
                <w:top w:val="single" w:sz="6" w:space="9" w:color="000000"/>
                <w:left w:val="none" w:sz="0" w:space="0" w:color="auto"/>
                <w:bottom w:val="single" w:sz="6" w:space="13" w:color="000000"/>
                <w:right w:val="none" w:sz="0" w:space="0" w:color="auto"/>
              </w:divBdr>
              <w:divsChild>
                <w:div w:id="1641418733">
                  <w:marLeft w:val="0"/>
                  <w:marRight w:val="0"/>
                  <w:marTop w:val="0"/>
                  <w:marBottom w:val="0"/>
                  <w:divBdr>
                    <w:top w:val="none" w:sz="0" w:space="0" w:color="auto"/>
                    <w:left w:val="none" w:sz="0" w:space="0" w:color="auto"/>
                    <w:bottom w:val="none" w:sz="0" w:space="0" w:color="auto"/>
                    <w:right w:val="none" w:sz="0" w:space="0" w:color="auto"/>
                  </w:divBdr>
                </w:div>
                <w:div w:id="1559244492">
                  <w:marLeft w:val="0"/>
                  <w:marRight w:val="0"/>
                  <w:marTop w:val="150"/>
                  <w:marBottom w:val="225"/>
                  <w:divBdr>
                    <w:top w:val="none" w:sz="0" w:space="0" w:color="auto"/>
                    <w:left w:val="none" w:sz="0" w:space="0" w:color="auto"/>
                    <w:bottom w:val="none" w:sz="0" w:space="0" w:color="auto"/>
                    <w:right w:val="none" w:sz="0" w:space="0" w:color="auto"/>
                  </w:divBdr>
                  <w:divsChild>
                    <w:div w:id="205727301">
                      <w:marLeft w:val="0"/>
                      <w:marRight w:val="0"/>
                      <w:marTop w:val="0"/>
                      <w:marBottom w:val="150"/>
                      <w:divBdr>
                        <w:top w:val="none" w:sz="0" w:space="0" w:color="auto"/>
                        <w:left w:val="none" w:sz="0" w:space="0" w:color="auto"/>
                        <w:bottom w:val="none" w:sz="0" w:space="0" w:color="auto"/>
                        <w:right w:val="none" w:sz="0" w:space="0" w:color="auto"/>
                      </w:divBdr>
                    </w:div>
                    <w:div w:id="101364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109685">
          <w:marLeft w:val="0"/>
          <w:marRight w:val="0"/>
          <w:marTop w:val="525"/>
          <w:marBottom w:val="450"/>
          <w:divBdr>
            <w:top w:val="none" w:sz="0" w:space="0" w:color="auto"/>
            <w:left w:val="none" w:sz="0" w:space="0" w:color="auto"/>
            <w:bottom w:val="none" w:sz="0" w:space="0" w:color="auto"/>
            <w:right w:val="none" w:sz="0" w:space="0" w:color="auto"/>
          </w:divBdr>
          <w:divsChild>
            <w:div w:id="11668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748599">
      <w:bodyDiv w:val="1"/>
      <w:marLeft w:val="0"/>
      <w:marRight w:val="0"/>
      <w:marTop w:val="0"/>
      <w:marBottom w:val="0"/>
      <w:divBdr>
        <w:top w:val="none" w:sz="0" w:space="0" w:color="auto"/>
        <w:left w:val="none" w:sz="0" w:space="0" w:color="auto"/>
        <w:bottom w:val="none" w:sz="0" w:space="0" w:color="auto"/>
        <w:right w:val="none" w:sz="0" w:space="0" w:color="auto"/>
      </w:divBdr>
      <w:divsChild>
        <w:div w:id="1078206655">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1623344467">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596789191">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916284497">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212691291">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1965456460">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582373419">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619527757">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533856887">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166988921">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307057779">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1912232172">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1974410649">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280770200">
          <w:blockQuote w:val="1"/>
          <w:marLeft w:val="720"/>
          <w:marRight w:val="720"/>
          <w:marTop w:val="100"/>
          <w:marBottom w:val="100"/>
          <w:divBdr>
            <w:top w:val="none" w:sz="0" w:space="0" w:color="auto"/>
            <w:left w:val="single" w:sz="6" w:space="0" w:color="DDDDDD"/>
            <w:bottom w:val="none" w:sz="0" w:space="0" w:color="auto"/>
            <w:right w:val="none" w:sz="0" w:space="0" w:color="auto"/>
          </w:divBdr>
        </w:div>
        <w:div w:id="2110738604">
          <w:blockQuote w:val="1"/>
          <w:marLeft w:val="720"/>
          <w:marRight w:val="720"/>
          <w:marTop w:val="100"/>
          <w:marBottom w:val="100"/>
          <w:divBdr>
            <w:top w:val="none" w:sz="0" w:space="0" w:color="auto"/>
            <w:left w:val="single" w:sz="6" w:space="0" w:color="DDDDDD"/>
            <w:bottom w:val="none" w:sz="0" w:space="0" w:color="auto"/>
            <w:right w:val="none" w:sz="0" w:space="0" w:color="auto"/>
          </w:divBdr>
        </w:div>
      </w:divsChild>
    </w:div>
    <w:div w:id="2135976371">
      <w:bodyDiv w:val="1"/>
      <w:marLeft w:val="0"/>
      <w:marRight w:val="0"/>
      <w:marTop w:val="0"/>
      <w:marBottom w:val="0"/>
      <w:divBdr>
        <w:top w:val="none" w:sz="0" w:space="0" w:color="auto"/>
        <w:left w:val="none" w:sz="0" w:space="0" w:color="auto"/>
        <w:bottom w:val="none" w:sz="0" w:space="0" w:color="auto"/>
        <w:right w:val="none" w:sz="0" w:space="0" w:color="auto"/>
      </w:divBdr>
      <w:divsChild>
        <w:div w:id="292830112">
          <w:marLeft w:val="0"/>
          <w:marRight w:val="0"/>
          <w:marTop w:val="0"/>
          <w:marBottom w:val="0"/>
          <w:divBdr>
            <w:top w:val="single" w:sz="6" w:space="0" w:color="ECECEC"/>
            <w:left w:val="single" w:sz="6" w:space="0" w:color="ECECEC"/>
            <w:bottom w:val="single" w:sz="6" w:space="0" w:color="ECECEC"/>
            <w:right w:val="single" w:sz="6" w:space="0" w:color="ECECEC"/>
          </w:divBdr>
          <w:divsChild>
            <w:div w:id="1030256720">
              <w:marLeft w:val="0"/>
              <w:marRight w:val="0"/>
              <w:marTop w:val="0"/>
              <w:marBottom w:val="0"/>
              <w:divBdr>
                <w:top w:val="none" w:sz="0" w:space="0" w:color="auto"/>
                <w:left w:val="none" w:sz="0" w:space="0" w:color="auto"/>
                <w:bottom w:val="none" w:sz="0" w:space="0" w:color="auto"/>
                <w:right w:val="single" w:sz="6" w:space="0" w:color="ECECEC"/>
              </w:divBdr>
            </w:div>
            <w:div w:id="81267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859</TotalTime>
  <Pages>1</Pages>
  <Words>2389</Words>
  <Characters>13619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57</cp:revision>
  <dcterms:created xsi:type="dcterms:W3CDTF">2021-03-14T08:42:00Z</dcterms:created>
  <dcterms:modified xsi:type="dcterms:W3CDTF">2021-03-31T07:20:00Z</dcterms:modified>
</cp:coreProperties>
</file>