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B9F06" w14:textId="77777777" w:rsidR="00F43353" w:rsidRDefault="00F43353" w:rsidP="00D26741">
      <w:pPr>
        <w:jc w:val="both"/>
        <w:rPr>
          <w:rFonts w:cs="Arial"/>
          <w:sz w:val="40"/>
          <w:szCs w:val="40"/>
        </w:rPr>
      </w:pPr>
      <w:r w:rsidRPr="00386D6A">
        <w:rPr>
          <w:rFonts w:cs="Arial"/>
          <w:noProof/>
        </w:rPr>
        <w:drawing>
          <wp:inline distT="0" distB="0" distL="0" distR="0" wp14:anchorId="081BEF79" wp14:editId="32BEA763">
            <wp:extent cx="2157211" cy="863432"/>
            <wp:effectExtent l="0" t="0" r="0" b="0"/>
            <wp:docPr id="11"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5D19E681" w14:textId="77777777" w:rsidR="00F43353" w:rsidRDefault="00F43353" w:rsidP="00D26741">
      <w:pPr>
        <w:jc w:val="both"/>
        <w:rPr>
          <w:rFonts w:ascii="Baskerville Old Face" w:hAnsi="Baskerville Old Face" w:cs="Arial"/>
          <w:sz w:val="36"/>
          <w:szCs w:val="36"/>
        </w:rPr>
      </w:pPr>
    </w:p>
    <w:p w14:paraId="233278E3" w14:textId="7AFE5515" w:rsidR="00F43353" w:rsidRPr="00F43353" w:rsidRDefault="00F43353" w:rsidP="00D26741">
      <w:pPr>
        <w:jc w:val="both"/>
        <w:rPr>
          <w:rFonts w:ascii="Baskerville Old Face" w:hAnsi="Baskerville Old Face" w:cs="Arial"/>
          <w:sz w:val="36"/>
          <w:szCs w:val="36"/>
        </w:rPr>
      </w:pPr>
      <w:r w:rsidRPr="00F43353">
        <w:rPr>
          <w:rFonts w:ascii="Baskerville Old Face" w:hAnsi="Baskerville Old Face" w:cs="Arial"/>
          <w:sz w:val="36"/>
          <w:szCs w:val="36"/>
        </w:rPr>
        <w:t>STRATEGIC ANALYSIS OF INTERCONTINENTAL HOTEL GROUP</w:t>
      </w:r>
    </w:p>
    <w:p w14:paraId="0D7B4D66" w14:textId="2D05CC73" w:rsidR="00F43353" w:rsidRDefault="00F43353" w:rsidP="00D26741">
      <w:pPr>
        <w:jc w:val="both"/>
        <w:rPr>
          <w:rFonts w:ascii="Baskerville Old Face" w:hAnsi="Baskerville Old Face" w:cs="Arial"/>
          <w:sz w:val="36"/>
          <w:szCs w:val="36"/>
        </w:rPr>
      </w:pPr>
      <w:r>
        <w:rPr>
          <w:rFonts w:ascii="Baskerville Old Face" w:hAnsi="Baskerville Old Face" w:cs="Arial"/>
          <w:sz w:val="36"/>
          <w:szCs w:val="36"/>
        </w:rPr>
        <w:t>By</w:t>
      </w:r>
    </w:p>
    <w:p w14:paraId="62797F03" w14:textId="77777777" w:rsidR="00D26741" w:rsidRDefault="00F43353" w:rsidP="00D26741">
      <w:pPr>
        <w:jc w:val="both"/>
        <w:rPr>
          <w:rFonts w:ascii="Baskerville Old Face" w:hAnsi="Baskerville Old Face" w:cs="Arial"/>
          <w:sz w:val="36"/>
          <w:szCs w:val="36"/>
        </w:rPr>
      </w:pPr>
      <w:r>
        <w:rPr>
          <w:rFonts w:ascii="Baskerville Old Face" w:hAnsi="Baskerville Old Face" w:cs="Arial"/>
          <w:sz w:val="36"/>
          <w:szCs w:val="36"/>
        </w:rPr>
        <w:t>Saad Munir</w:t>
      </w:r>
    </w:p>
    <w:p w14:paraId="6658459F" w14:textId="77777777" w:rsidR="00D26741" w:rsidRDefault="00D26741" w:rsidP="00D26741">
      <w:pPr>
        <w:jc w:val="both"/>
        <w:rPr>
          <w:rFonts w:ascii="Baskerville Old Face" w:hAnsi="Baskerville Old Face" w:cs="Arial"/>
          <w:sz w:val="36"/>
          <w:szCs w:val="36"/>
        </w:rPr>
      </w:pPr>
      <w:r>
        <w:rPr>
          <w:rFonts w:ascii="Baskerville Old Face" w:hAnsi="Baskerville Old Face" w:cs="Arial"/>
          <w:sz w:val="36"/>
          <w:szCs w:val="36"/>
        </w:rPr>
        <w:t xml:space="preserve">MBA </w:t>
      </w:r>
    </w:p>
    <w:p w14:paraId="0AADD2F1" w14:textId="5C5FE81B" w:rsidR="00F43353" w:rsidRDefault="00F43353" w:rsidP="00D26741">
      <w:pPr>
        <w:jc w:val="both"/>
        <w:rPr>
          <w:rFonts w:ascii="Baskerville Old Face" w:hAnsi="Baskerville Old Face" w:cs="Arial"/>
          <w:sz w:val="36"/>
          <w:szCs w:val="36"/>
        </w:rPr>
      </w:pPr>
      <w:r w:rsidRPr="00B31B83">
        <w:rPr>
          <w:rFonts w:ascii="Baskerville Old Face" w:hAnsi="Baskerville Old Face" w:cs="Arial"/>
          <w:sz w:val="36"/>
          <w:szCs w:val="36"/>
        </w:rPr>
        <w:t xml:space="preserve">Student </w:t>
      </w:r>
      <w:proofErr w:type="gramStart"/>
      <w:r w:rsidRPr="00B31B83">
        <w:rPr>
          <w:rFonts w:ascii="Baskerville Old Face" w:hAnsi="Baskerville Old Face" w:cs="Arial"/>
          <w:sz w:val="36"/>
          <w:szCs w:val="36"/>
        </w:rPr>
        <w:t>Id:-</w:t>
      </w:r>
      <w:proofErr w:type="gramEnd"/>
      <w:r w:rsidR="00D26741">
        <w:rPr>
          <w:rFonts w:ascii="Baskerville Old Face" w:hAnsi="Baskerville Old Face" w:cs="Arial"/>
          <w:sz w:val="36"/>
          <w:szCs w:val="36"/>
        </w:rPr>
        <w:t xml:space="preserve"> 2214625</w:t>
      </w:r>
    </w:p>
    <w:p w14:paraId="1422092B" w14:textId="748639AF" w:rsidR="00F43353" w:rsidRDefault="00F43353" w:rsidP="00D26741">
      <w:pPr>
        <w:jc w:val="both"/>
        <w:rPr>
          <w:rFonts w:ascii="Baskerville Old Face" w:hAnsi="Baskerville Old Face" w:cs="Arial"/>
          <w:sz w:val="36"/>
          <w:szCs w:val="36"/>
        </w:rPr>
      </w:pPr>
      <w:r w:rsidRPr="00B31B83">
        <w:rPr>
          <w:rFonts w:ascii="Baskerville Old Face" w:hAnsi="Baskerville Old Face" w:cs="Arial"/>
          <w:sz w:val="36"/>
          <w:szCs w:val="36"/>
        </w:rPr>
        <w:t xml:space="preserve">Strategic </w:t>
      </w:r>
      <w:proofErr w:type="gramStart"/>
      <w:r w:rsidRPr="00B31B83">
        <w:rPr>
          <w:rFonts w:ascii="Baskerville Old Face" w:hAnsi="Baskerville Old Face" w:cs="Arial"/>
          <w:sz w:val="36"/>
          <w:szCs w:val="36"/>
        </w:rPr>
        <w:t>Management</w:t>
      </w:r>
      <w:r w:rsidR="00D26741">
        <w:rPr>
          <w:rFonts w:ascii="Baskerville Old Face" w:hAnsi="Baskerville Old Face" w:cs="Arial"/>
          <w:sz w:val="36"/>
          <w:szCs w:val="36"/>
        </w:rPr>
        <w:t>(</w:t>
      </w:r>
      <w:proofErr w:type="gramEnd"/>
      <w:r w:rsidR="00D26741">
        <w:rPr>
          <w:rFonts w:ascii="Baskerville Old Face" w:hAnsi="Baskerville Old Face" w:cs="Arial"/>
          <w:sz w:val="36"/>
          <w:szCs w:val="36"/>
        </w:rPr>
        <w:t>LCMB7003)</w:t>
      </w:r>
    </w:p>
    <w:p w14:paraId="62EBB6E6" w14:textId="2815C3B9" w:rsidR="00F43353" w:rsidRDefault="00F43353" w:rsidP="00D26741">
      <w:pPr>
        <w:jc w:val="both"/>
        <w:rPr>
          <w:rFonts w:ascii="Baskerville Old Face" w:hAnsi="Baskerville Old Face" w:cs="Arial"/>
          <w:sz w:val="36"/>
          <w:szCs w:val="36"/>
        </w:rPr>
      </w:pPr>
      <w:r w:rsidRPr="00B31B83">
        <w:rPr>
          <w:rFonts w:ascii="Baskerville Old Face" w:hAnsi="Baskerville Old Face" w:cs="Arial"/>
          <w:sz w:val="36"/>
          <w:szCs w:val="36"/>
        </w:rPr>
        <w:t>Dr. Gladius Kulothungan</w:t>
      </w:r>
    </w:p>
    <w:p w14:paraId="6FA03A27" w14:textId="0DA69D42" w:rsidR="00F43353" w:rsidRPr="00B31B83" w:rsidRDefault="00F43353" w:rsidP="00D26741">
      <w:pPr>
        <w:jc w:val="both"/>
        <w:rPr>
          <w:rFonts w:ascii="Baskerville Old Face" w:hAnsi="Baskerville Old Face" w:cs="Arial"/>
          <w:sz w:val="36"/>
          <w:szCs w:val="36"/>
        </w:rPr>
      </w:pPr>
    </w:p>
    <w:p w14:paraId="01038AD8" w14:textId="77777777" w:rsidR="00F43353" w:rsidRPr="00D77BB7" w:rsidRDefault="00000000" w:rsidP="00D26741">
      <w:pPr>
        <w:ind w:firstLine="720"/>
        <w:jc w:val="both"/>
        <w:rPr>
          <w:rFonts w:cs="Arial"/>
          <w:b/>
          <w:bCs/>
          <w:sz w:val="40"/>
          <w:szCs w:val="40"/>
        </w:rPr>
      </w:pPr>
      <w:r>
        <w:pict w14:anchorId="24C3C4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HG Announces 2020 Third Quarter Trading Update" style="width:24pt;height:24pt"/>
        </w:pict>
      </w:r>
      <w:r w:rsidR="00F43353">
        <w:rPr>
          <w:noProof/>
        </w:rPr>
        <w:drawing>
          <wp:inline distT="0" distB="0" distL="0" distR="0" wp14:anchorId="57283DCE" wp14:editId="3DD7F48F">
            <wp:extent cx="3594722" cy="2013045"/>
            <wp:effectExtent l="19050" t="0" r="5728"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3590791" cy="2010844"/>
                    </a:xfrm>
                    <a:prstGeom prst="rect">
                      <a:avLst/>
                    </a:prstGeom>
                    <a:noFill/>
                  </pic:spPr>
                </pic:pic>
              </a:graphicData>
            </a:graphic>
          </wp:inline>
        </w:drawing>
      </w:r>
    </w:p>
    <w:p w14:paraId="03D58F3E" w14:textId="77777777" w:rsidR="00F43353" w:rsidRDefault="00F43353" w:rsidP="00D26741">
      <w:pPr>
        <w:jc w:val="both"/>
        <w:rPr>
          <w:shd w:val="clear" w:color="auto" w:fill="FFFFFF"/>
        </w:rPr>
      </w:pPr>
    </w:p>
    <w:p w14:paraId="029AE58B" w14:textId="072E0132" w:rsidR="0082093D" w:rsidRPr="009C31C9" w:rsidRDefault="00F43353" w:rsidP="00D26741">
      <w:pPr>
        <w:pStyle w:val="Heading1"/>
        <w:jc w:val="both"/>
        <w:rPr>
          <w:color w:val="auto"/>
          <w:shd w:val="clear" w:color="auto" w:fill="FFFFFF"/>
        </w:rPr>
      </w:pPr>
      <w:bookmarkStart w:id="0" w:name="_Toc145025754"/>
      <w:r>
        <w:rPr>
          <w:color w:val="auto"/>
          <w:shd w:val="clear" w:color="auto" w:fill="FFFFFF"/>
        </w:rPr>
        <w:lastRenderedPageBreak/>
        <w:t xml:space="preserve">Executive </w:t>
      </w:r>
      <w:r w:rsidR="0082093D" w:rsidRPr="009C31C9">
        <w:rPr>
          <w:color w:val="auto"/>
          <w:shd w:val="clear" w:color="auto" w:fill="FFFFFF"/>
        </w:rPr>
        <w:t>Summary</w:t>
      </w:r>
      <w:bookmarkEnd w:id="0"/>
    </w:p>
    <w:p w14:paraId="0B64BAEC" w14:textId="77777777" w:rsidR="001C2EEC" w:rsidRPr="001C2EEC" w:rsidRDefault="003857CA" w:rsidP="00D26741">
      <w:pPr>
        <w:spacing w:line="360" w:lineRule="auto"/>
        <w:jc w:val="both"/>
        <w:rPr>
          <w:rFonts w:asciiTheme="majorBidi" w:hAnsiTheme="majorBidi" w:cstheme="majorBidi"/>
          <w:sz w:val="24"/>
          <w:szCs w:val="24"/>
          <w:shd w:val="clear" w:color="auto" w:fill="FFFFFF"/>
        </w:rPr>
      </w:pPr>
      <w:r w:rsidRPr="003857CA">
        <w:rPr>
          <w:rFonts w:asciiTheme="majorBidi" w:hAnsiTheme="majorBidi" w:cstheme="majorBidi"/>
          <w:sz w:val="24"/>
          <w:szCs w:val="24"/>
          <w:shd w:val="clear" w:color="auto" w:fill="FFFFFF"/>
        </w:rPr>
        <w:t xml:space="preserve">The reason for this </w:t>
      </w:r>
      <w:r w:rsidR="00764ED1">
        <w:rPr>
          <w:rFonts w:asciiTheme="majorBidi" w:hAnsiTheme="majorBidi" w:cstheme="majorBidi"/>
          <w:sz w:val="24"/>
          <w:szCs w:val="24"/>
          <w:shd w:val="clear" w:color="auto" w:fill="FFFFFF"/>
        </w:rPr>
        <w:t>study</w:t>
      </w:r>
      <w:r w:rsidRPr="003857CA">
        <w:rPr>
          <w:rFonts w:asciiTheme="majorBidi" w:hAnsiTheme="majorBidi" w:cstheme="majorBidi"/>
          <w:sz w:val="24"/>
          <w:szCs w:val="24"/>
          <w:shd w:val="clear" w:color="auto" w:fill="FFFFFF"/>
        </w:rPr>
        <w:t xml:space="preserve"> is to give a basic evaluation of Intercontinental Lodging Group PLC's situation available and vital bearings. Moreover, the report will make suggestions for conceivable future key objectives. The report depends on the global Lodging Group PLC's ecological analysis. Intercontinental Inn Group PLC's improved development is being driven by its critical presence in the overall market, especially in creating markets. The company's extension has likewise been helped by its cutthroat places of authority as well as the ascent of the inn business, especially in developing business sectors. With the presentation of new ventures, the business is getting more cutthroat. In any case, the organization is utilizing its particular and uncommon capacities to acquire an upper hand. Climate analysis utilizing different philosophies, for example, SWOT and PESTLE are utilized to assess the company's essential position. The essential goals are analyzed utilizing the Ansoff system and the BCG framework.</w:t>
      </w:r>
      <w:r w:rsidR="001C2EEC">
        <w:rPr>
          <w:rFonts w:asciiTheme="majorBidi" w:hAnsiTheme="majorBidi" w:cstheme="majorBidi"/>
          <w:sz w:val="24"/>
          <w:szCs w:val="24"/>
          <w:shd w:val="clear" w:color="auto" w:fill="FFFFFF"/>
        </w:rPr>
        <w:br w:type="page"/>
      </w:r>
    </w:p>
    <w:sdt>
      <w:sdtPr>
        <w:rPr>
          <w:rFonts w:asciiTheme="minorHAnsi" w:eastAsiaTheme="minorHAnsi" w:hAnsiTheme="minorHAnsi" w:cstheme="minorBidi"/>
          <w:b w:val="0"/>
          <w:bCs w:val="0"/>
          <w:color w:val="auto"/>
          <w:sz w:val="22"/>
          <w:szCs w:val="22"/>
        </w:rPr>
        <w:id w:val="9946235"/>
        <w:docPartObj>
          <w:docPartGallery w:val="Table of Contents"/>
          <w:docPartUnique/>
        </w:docPartObj>
      </w:sdtPr>
      <w:sdtContent>
        <w:p w14:paraId="3263B6C5" w14:textId="77777777" w:rsidR="001C2EEC" w:rsidRDefault="001C2EEC" w:rsidP="00D26741">
          <w:pPr>
            <w:pStyle w:val="TOCHeading"/>
            <w:jc w:val="both"/>
          </w:pPr>
          <w:r>
            <w:t>Table of Contents</w:t>
          </w:r>
        </w:p>
        <w:p w14:paraId="3D81C311" w14:textId="740F524A" w:rsidR="008E60C0" w:rsidRDefault="00A619B7" w:rsidP="00D26741">
          <w:pPr>
            <w:pStyle w:val="TOC1"/>
            <w:tabs>
              <w:tab w:val="right" w:leader="dot" w:pos="9350"/>
            </w:tabs>
            <w:jc w:val="both"/>
            <w:rPr>
              <w:rFonts w:eastAsiaTheme="minorEastAsia"/>
              <w:noProof/>
              <w:kern w:val="2"/>
              <w14:ligatures w14:val="standardContextual"/>
            </w:rPr>
          </w:pPr>
          <w:r>
            <w:fldChar w:fldCharType="begin"/>
          </w:r>
          <w:r w:rsidR="001C2EEC">
            <w:instrText xml:space="preserve"> TOC \o "1-3" \h \z \u </w:instrText>
          </w:r>
          <w:r>
            <w:fldChar w:fldCharType="separate"/>
          </w:r>
          <w:hyperlink w:anchor="_Toc145025754" w:history="1">
            <w:r w:rsidR="008E60C0" w:rsidRPr="005B6FAA">
              <w:rPr>
                <w:rStyle w:val="Hyperlink"/>
                <w:noProof/>
                <w:shd w:val="clear" w:color="auto" w:fill="FFFFFF"/>
              </w:rPr>
              <w:t>Executive Summary</w:t>
            </w:r>
            <w:r w:rsidR="008E60C0">
              <w:rPr>
                <w:noProof/>
                <w:webHidden/>
              </w:rPr>
              <w:tab/>
            </w:r>
            <w:r w:rsidR="008E60C0">
              <w:rPr>
                <w:noProof/>
                <w:webHidden/>
              </w:rPr>
              <w:fldChar w:fldCharType="begin"/>
            </w:r>
            <w:r w:rsidR="008E60C0">
              <w:rPr>
                <w:noProof/>
                <w:webHidden/>
              </w:rPr>
              <w:instrText xml:space="preserve"> PAGEREF _Toc145025754 \h </w:instrText>
            </w:r>
            <w:r w:rsidR="008E60C0">
              <w:rPr>
                <w:noProof/>
                <w:webHidden/>
              </w:rPr>
            </w:r>
            <w:r w:rsidR="008E60C0">
              <w:rPr>
                <w:noProof/>
                <w:webHidden/>
              </w:rPr>
              <w:fldChar w:fldCharType="separate"/>
            </w:r>
            <w:r w:rsidR="008E60C0">
              <w:rPr>
                <w:noProof/>
                <w:webHidden/>
              </w:rPr>
              <w:t>2</w:t>
            </w:r>
            <w:r w:rsidR="008E60C0">
              <w:rPr>
                <w:noProof/>
                <w:webHidden/>
              </w:rPr>
              <w:fldChar w:fldCharType="end"/>
            </w:r>
          </w:hyperlink>
        </w:p>
        <w:p w14:paraId="362529C2" w14:textId="66896CB9" w:rsidR="008E60C0" w:rsidRDefault="00000000" w:rsidP="00D26741">
          <w:pPr>
            <w:pStyle w:val="TOC1"/>
            <w:tabs>
              <w:tab w:val="left" w:pos="440"/>
              <w:tab w:val="right" w:leader="dot" w:pos="9350"/>
            </w:tabs>
            <w:jc w:val="both"/>
            <w:rPr>
              <w:rFonts w:eastAsiaTheme="minorEastAsia"/>
              <w:noProof/>
              <w:kern w:val="2"/>
              <w14:ligatures w14:val="standardContextual"/>
            </w:rPr>
          </w:pPr>
          <w:hyperlink w:anchor="_Toc145025755" w:history="1">
            <w:r w:rsidR="008E60C0" w:rsidRPr="005B6FAA">
              <w:rPr>
                <w:rStyle w:val="Hyperlink"/>
                <w:rFonts w:eastAsia="Times New Roman"/>
                <w:noProof/>
              </w:rPr>
              <w:t>1.</w:t>
            </w:r>
            <w:r w:rsidR="008E60C0">
              <w:rPr>
                <w:rFonts w:eastAsiaTheme="minorEastAsia"/>
                <w:noProof/>
                <w:kern w:val="2"/>
                <w14:ligatures w14:val="standardContextual"/>
              </w:rPr>
              <w:tab/>
            </w:r>
            <w:r w:rsidR="008E60C0" w:rsidRPr="005B6FAA">
              <w:rPr>
                <w:rStyle w:val="Hyperlink"/>
                <w:rFonts w:eastAsia="Times New Roman"/>
                <w:noProof/>
              </w:rPr>
              <w:t>Introduction</w:t>
            </w:r>
            <w:r w:rsidR="008E60C0">
              <w:rPr>
                <w:noProof/>
                <w:webHidden/>
              </w:rPr>
              <w:tab/>
            </w:r>
            <w:r w:rsidR="008E60C0">
              <w:rPr>
                <w:noProof/>
                <w:webHidden/>
              </w:rPr>
              <w:fldChar w:fldCharType="begin"/>
            </w:r>
            <w:r w:rsidR="008E60C0">
              <w:rPr>
                <w:noProof/>
                <w:webHidden/>
              </w:rPr>
              <w:instrText xml:space="preserve"> PAGEREF _Toc145025755 \h </w:instrText>
            </w:r>
            <w:r w:rsidR="008E60C0">
              <w:rPr>
                <w:noProof/>
                <w:webHidden/>
              </w:rPr>
            </w:r>
            <w:r w:rsidR="008E60C0">
              <w:rPr>
                <w:noProof/>
                <w:webHidden/>
              </w:rPr>
              <w:fldChar w:fldCharType="separate"/>
            </w:r>
            <w:r w:rsidR="008E60C0">
              <w:rPr>
                <w:noProof/>
                <w:webHidden/>
              </w:rPr>
              <w:t>5</w:t>
            </w:r>
            <w:r w:rsidR="008E60C0">
              <w:rPr>
                <w:noProof/>
                <w:webHidden/>
              </w:rPr>
              <w:fldChar w:fldCharType="end"/>
            </w:r>
          </w:hyperlink>
        </w:p>
        <w:p w14:paraId="4ABFD55D" w14:textId="60512A24"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56" w:history="1">
            <w:r w:rsidR="008E60C0" w:rsidRPr="005B6FAA">
              <w:rPr>
                <w:rStyle w:val="Hyperlink"/>
                <w:noProof/>
              </w:rPr>
              <w:t>1.1</w:t>
            </w:r>
            <w:r w:rsidR="008E60C0">
              <w:rPr>
                <w:rFonts w:eastAsiaTheme="minorEastAsia"/>
                <w:noProof/>
                <w:kern w:val="2"/>
                <w14:ligatures w14:val="standardContextual"/>
              </w:rPr>
              <w:tab/>
            </w:r>
            <w:r w:rsidR="008E60C0" w:rsidRPr="005B6FAA">
              <w:rPr>
                <w:rStyle w:val="Hyperlink"/>
                <w:noProof/>
              </w:rPr>
              <w:t>Strategic Management</w:t>
            </w:r>
            <w:r w:rsidR="008E60C0">
              <w:rPr>
                <w:noProof/>
                <w:webHidden/>
              </w:rPr>
              <w:tab/>
            </w:r>
            <w:r w:rsidR="008E60C0">
              <w:rPr>
                <w:noProof/>
                <w:webHidden/>
              </w:rPr>
              <w:fldChar w:fldCharType="begin"/>
            </w:r>
            <w:r w:rsidR="008E60C0">
              <w:rPr>
                <w:noProof/>
                <w:webHidden/>
              </w:rPr>
              <w:instrText xml:space="preserve"> PAGEREF _Toc145025756 \h </w:instrText>
            </w:r>
            <w:r w:rsidR="008E60C0">
              <w:rPr>
                <w:noProof/>
                <w:webHidden/>
              </w:rPr>
            </w:r>
            <w:r w:rsidR="008E60C0">
              <w:rPr>
                <w:noProof/>
                <w:webHidden/>
              </w:rPr>
              <w:fldChar w:fldCharType="separate"/>
            </w:r>
            <w:r w:rsidR="008E60C0">
              <w:rPr>
                <w:noProof/>
                <w:webHidden/>
              </w:rPr>
              <w:t>5</w:t>
            </w:r>
            <w:r w:rsidR="008E60C0">
              <w:rPr>
                <w:noProof/>
                <w:webHidden/>
              </w:rPr>
              <w:fldChar w:fldCharType="end"/>
            </w:r>
          </w:hyperlink>
        </w:p>
        <w:p w14:paraId="3C691B1D" w14:textId="6BFB1B92"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57" w:history="1">
            <w:r w:rsidR="008E60C0" w:rsidRPr="005B6FAA">
              <w:rPr>
                <w:rStyle w:val="Hyperlink"/>
                <w:noProof/>
              </w:rPr>
              <w:t>1.2</w:t>
            </w:r>
            <w:r w:rsidR="008E60C0">
              <w:rPr>
                <w:rFonts w:eastAsiaTheme="minorEastAsia"/>
                <w:noProof/>
                <w:kern w:val="2"/>
                <w14:ligatures w14:val="standardContextual"/>
              </w:rPr>
              <w:tab/>
            </w:r>
            <w:r w:rsidR="008E60C0" w:rsidRPr="005B6FAA">
              <w:rPr>
                <w:rStyle w:val="Hyperlink"/>
                <w:noProof/>
              </w:rPr>
              <w:t>Strategic Management steps</w:t>
            </w:r>
            <w:r w:rsidR="008E60C0">
              <w:rPr>
                <w:noProof/>
                <w:webHidden/>
              </w:rPr>
              <w:tab/>
            </w:r>
            <w:r w:rsidR="008E60C0">
              <w:rPr>
                <w:noProof/>
                <w:webHidden/>
              </w:rPr>
              <w:fldChar w:fldCharType="begin"/>
            </w:r>
            <w:r w:rsidR="008E60C0">
              <w:rPr>
                <w:noProof/>
                <w:webHidden/>
              </w:rPr>
              <w:instrText xml:space="preserve"> PAGEREF _Toc145025757 \h </w:instrText>
            </w:r>
            <w:r w:rsidR="008E60C0">
              <w:rPr>
                <w:noProof/>
                <w:webHidden/>
              </w:rPr>
            </w:r>
            <w:r w:rsidR="008E60C0">
              <w:rPr>
                <w:noProof/>
                <w:webHidden/>
              </w:rPr>
              <w:fldChar w:fldCharType="separate"/>
            </w:r>
            <w:r w:rsidR="008E60C0">
              <w:rPr>
                <w:noProof/>
                <w:webHidden/>
              </w:rPr>
              <w:t>5</w:t>
            </w:r>
            <w:r w:rsidR="008E60C0">
              <w:rPr>
                <w:noProof/>
                <w:webHidden/>
              </w:rPr>
              <w:fldChar w:fldCharType="end"/>
            </w:r>
          </w:hyperlink>
        </w:p>
        <w:p w14:paraId="27420892" w14:textId="540D8A38" w:rsidR="008E60C0" w:rsidRDefault="00000000" w:rsidP="00D26741">
          <w:pPr>
            <w:pStyle w:val="TOC3"/>
            <w:tabs>
              <w:tab w:val="left" w:pos="1320"/>
              <w:tab w:val="right" w:leader="dot" w:pos="9350"/>
            </w:tabs>
            <w:jc w:val="both"/>
            <w:rPr>
              <w:rFonts w:eastAsiaTheme="minorEastAsia"/>
              <w:noProof/>
              <w:kern w:val="2"/>
              <w14:ligatures w14:val="standardContextual"/>
            </w:rPr>
          </w:pPr>
          <w:hyperlink w:anchor="_Toc145025758" w:history="1">
            <w:r w:rsidR="008E60C0" w:rsidRPr="005B6FAA">
              <w:rPr>
                <w:rStyle w:val="Hyperlink"/>
                <w:rFonts w:asciiTheme="majorBidi" w:hAnsiTheme="majorBidi"/>
                <w:i/>
                <w:iCs/>
                <w:noProof/>
              </w:rPr>
              <w:t>1.2.1</w:t>
            </w:r>
            <w:r w:rsidR="008E60C0">
              <w:rPr>
                <w:rFonts w:eastAsiaTheme="minorEastAsia"/>
                <w:noProof/>
                <w:kern w:val="2"/>
                <w14:ligatures w14:val="standardContextual"/>
              </w:rPr>
              <w:tab/>
            </w:r>
            <w:r w:rsidR="008E60C0" w:rsidRPr="005B6FAA">
              <w:rPr>
                <w:rStyle w:val="Hyperlink"/>
                <w:rFonts w:asciiTheme="majorBidi" w:hAnsiTheme="majorBidi"/>
                <w:i/>
                <w:iCs/>
                <w:noProof/>
              </w:rPr>
              <w:t>Identifying Direction</w:t>
            </w:r>
            <w:r w:rsidR="008E60C0">
              <w:rPr>
                <w:noProof/>
                <w:webHidden/>
              </w:rPr>
              <w:tab/>
            </w:r>
            <w:r w:rsidR="008E60C0">
              <w:rPr>
                <w:noProof/>
                <w:webHidden/>
              </w:rPr>
              <w:fldChar w:fldCharType="begin"/>
            </w:r>
            <w:r w:rsidR="008E60C0">
              <w:rPr>
                <w:noProof/>
                <w:webHidden/>
              </w:rPr>
              <w:instrText xml:space="preserve"> PAGEREF _Toc145025758 \h </w:instrText>
            </w:r>
            <w:r w:rsidR="008E60C0">
              <w:rPr>
                <w:noProof/>
                <w:webHidden/>
              </w:rPr>
            </w:r>
            <w:r w:rsidR="008E60C0">
              <w:rPr>
                <w:noProof/>
                <w:webHidden/>
              </w:rPr>
              <w:fldChar w:fldCharType="separate"/>
            </w:r>
            <w:r w:rsidR="008E60C0">
              <w:rPr>
                <w:noProof/>
                <w:webHidden/>
              </w:rPr>
              <w:t>6</w:t>
            </w:r>
            <w:r w:rsidR="008E60C0">
              <w:rPr>
                <w:noProof/>
                <w:webHidden/>
              </w:rPr>
              <w:fldChar w:fldCharType="end"/>
            </w:r>
          </w:hyperlink>
        </w:p>
        <w:p w14:paraId="2B4F8522" w14:textId="60DF7598" w:rsidR="008E60C0" w:rsidRDefault="00000000" w:rsidP="00D26741">
          <w:pPr>
            <w:pStyle w:val="TOC3"/>
            <w:tabs>
              <w:tab w:val="left" w:pos="1320"/>
              <w:tab w:val="right" w:leader="dot" w:pos="9350"/>
            </w:tabs>
            <w:jc w:val="both"/>
            <w:rPr>
              <w:rFonts w:eastAsiaTheme="minorEastAsia"/>
              <w:noProof/>
              <w:kern w:val="2"/>
              <w14:ligatures w14:val="standardContextual"/>
            </w:rPr>
          </w:pPr>
          <w:hyperlink w:anchor="_Toc145025759" w:history="1">
            <w:r w:rsidR="008E60C0" w:rsidRPr="005B6FAA">
              <w:rPr>
                <w:rStyle w:val="Hyperlink"/>
                <w:rFonts w:asciiTheme="majorBidi" w:hAnsiTheme="majorBidi"/>
                <w:i/>
                <w:iCs/>
                <w:noProof/>
              </w:rPr>
              <w:t>1.2.2</w:t>
            </w:r>
            <w:r w:rsidR="008E60C0">
              <w:rPr>
                <w:rFonts w:eastAsiaTheme="minorEastAsia"/>
                <w:noProof/>
                <w:kern w:val="2"/>
                <w14:ligatures w14:val="standardContextual"/>
              </w:rPr>
              <w:tab/>
            </w:r>
            <w:r w:rsidR="008E60C0" w:rsidRPr="005B6FAA">
              <w:rPr>
                <w:rStyle w:val="Hyperlink"/>
                <w:rFonts w:asciiTheme="majorBidi" w:hAnsiTheme="majorBidi"/>
                <w:i/>
                <w:iCs/>
                <w:noProof/>
              </w:rPr>
              <w:t>Analyzing Resources</w:t>
            </w:r>
            <w:r w:rsidR="008E60C0">
              <w:rPr>
                <w:noProof/>
                <w:webHidden/>
              </w:rPr>
              <w:tab/>
            </w:r>
            <w:r w:rsidR="008E60C0">
              <w:rPr>
                <w:noProof/>
                <w:webHidden/>
              </w:rPr>
              <w:fldChar w:fldCharType="begin"/>
            </w:r>
            <w:r w:rsidR="008E60C0">
              <w:rPr>
                <w:noProof/>
                <w:webHidden/>
              </w:rPr>
              <w:instrText xml:space="preserve"> PAGEREF _Toc145025759 \h </w:instrText>
            </w:r>
            <w:r w:rsidR="008E60C0">
              <w:rPr>
                <w:noProof/>
                <w:webHidden/>
              </w:rPr>
            </w:r>
            <w:r w:rsidR="008E60C0">
              <w:rPr>
                <w:noProof/>
                <w:webHidden/>
              </w:rPr>
              <w:fldChar w:fldCharType="separate"/>
            </w:r>
            <w:r w:rsidR="008E60C0">
              <w:rPr>
                <w:noProof/>
                <w:webHidden/>
              </w:rPr>
              <w:t>6</w:t>
            </w:r>
            <w:r w:rsidR="008E60C0">
              <w:rPr>
                <w:noProof/>
                <w:webHidden/>
              </w:rPr>
              <w:fldChar w:fldCharType="end"/>
            </w:r>
          </w:hyperlink>
        </w:p>
        <w:p w14:paraId="24B336C1" w14:textId="18C4ECC2" w:rsidR="008E60C0" w:rsidRDefault="00000000" w:rsidP="00D26741">
          <w:pPr>
            <w:pStyle w:val="TOC3"/>
            <w:tabs>
              <w:tab w:val="left" w:pos="1320"/>
              <w:tab w:val="right" w:leader="dot" w:pos="9350"/>
            </w:tabs>
            <w:jc w:val="both"/>
            <w:rPr>
              <w:rFonts w:eastAsiaTheme="minorEastAsia"/>
              <w:noProof/>
              <w:kern w:val="2"/>
              <w14:ligatures w14:val="standardContextual"/>
            </w:rPr>
          </w:pPr>
          <w:hyperlink w:anchor="_Toc145025760" w:history="1">
            <w:r w:rsidR="008E60C0" w:rsidRPr="005B6FAA">
              <w:rPr>
                <w:rStyle w:val="Hyperlink"/>
                <w:rFonts w:asciiTheme="majorBidi" w:hAnsiTheme="majorBidi"/>
                <w:i/>
                <w:iCs/>
                <w:noProof/>
              </w:rPr>
              <w:t>1.2.3</w:t>
            </w:r>
            <w:r w:rsidR="008E60C0">
              <w:rPr>
                <w:rFonts w:eastAsiaTheme="minorEastAsia"/>
                <w:noProof/>
                <w:kern w:val="2"/>
                <w14:ligatures w14:val="standardContextual"/>
              </w:rPr>
              <w:tab/>
            </w:r>
            <w:r w:rsidR="008E60C0" w:rsidRPr="005B6FAA">
              <w:rPr>
                <w:rStyle w:val="Hyperlink"/>
                <w:rFonts w:asciiTheme="majorBidi" w:hAnsiTheme="majorBidi"/>
                <w:i/>
                <w:iCs/>
                <w:noProof/>
              </w:rPr>
              <w:t>Framing Strategies</w:t>
            </w:r>
            <w:r w:rsidR="008E60C0">
              <w:rPr>
                <w:noProof/>
                <w:webHidden/>
              </w:rPr>
              <w:tab/>
            </w:r>
            <w:r w:rsidR="008E60C0">
              <w:rPr>
                <w:noProof/>
                <w:webHidden/>
              </w:rPr>
              <w:fldChar w:fldCharType="begin"/>
            </w:r>
            <w:r w:rsidR="008E60C0">
              <w:rPr>
                <w:noProof/>
                <w:webHidden/>
              </w:rPr>
              <w:instrText xml:space="preserve"> PAGEREF _Toc145025760 \h </w:instrText>
            </w:r>
            <w:r w:rsidR="008E60C0">
              <w:rPr>
                <w:noProof/>
                <w:webHidden/>
              </w:rPr>
            </w:r>
            <w:r w:rsidR="008E60C0">
              <w:rPr>
                <w:noProof/>
                <w:webHidden/>
              </w:rPr>
              <w:fldChar w:fldCharType="separate"/>
            </w:r>
            <w:r w:rsidR="008E60C0">
              <w:rPr>
                <w:noProof/>
                <w:webHidden/>
              </w:rPr>
              <w:t>6</w:t>
            </w:r>
            <w:r w:rsidR="008E60C0">
              <w:rPr>
                <w:noProof/>
                <w:webHidden/>
              </w:rPr>
              <w:fldChar w:fldCharType="end"/>
            </w:r>
          </w:hyperlink>
        </w:p>
        <w:p w14:paraId="0A4855F2" w14:textId="64FC8753" w:rsidR="008E60C0" w:rsidRDefault="00000000" w:rsidP="00D26741">
          <w:pPr>
            <w:pStyle w:val="TOC3"/>
            <w:tabs>
              <w:tab w:val="left" w:pos="1320"/>
              <w:tab w:val="right" w:leader="dot" w:pos="9350"/>
            </w:tabs>
            <w:jc w:val="both"/>
            <w:rPr>
              <w:rFonts w:eastAsiaTheme="minorEastAsia"/>
              <w:noProof/>
              <w:kern w:val="2"/>
              <w14:ligatures w14:val="standardContextual"/>
            </w:rPr>
          </w:pPr>
          <w:hyperlink w:anchor="_Toc145025761" w:history="1">
            <w:r w:rsidR="008E60C0" w:rsidRPr="005B6FAA">
              <w:rPr>
                <w:rStyle w:val="Hyperlink"/>
                <w:rFonts w:asciiTheme="majorBidi" w:hAnsiTheme="majorBidi"/>
                <w:i/>
                <w:iCs/>
                <w:noProof/>
              </w:rPr>
              <w:t>1.2.4</w:t>
            </w:r>
            <w:r w:rsidR="008E60C0">
              <w:rPr>
                <w:rFonts w:eastAsiaTheme="minorEastAsia"/>
                <w:noProof/>
                <w:kern w:val="2"/>
                <w14:ligatures w14:val="standardContextual"/>
              </w:rPr>
              <w:tab/>
            </w:r>
            <w:r w:rsidR="008E60C0" w:rsidRPr="005B6FAA">
              <w:rPr>
                <w:rStyle w:val="Hyperlink"/>
                <w:rFonts w:asciiTheme="majorBidi" w:hAnsiTheme="majorBidi"/>
                <w:i/>
                <w:iCs/>
                <w:noProof/>
              </w:rPr>
              <w:t>Implementing Strategies</w:t>
            </w:r>
            <w:r w:rsidR="008E60C0">
              <w:rPr>
                <w:noProof/>
                <w:webHidden/>
              </w:rPr>
              <w:tab/>
            </w:r>
            <w:r w:rsidR="008E60C0">
              <w:rPr>
                <w:noProof/>
                <w:webHidden/>
              </w:rPr>
              <w:fldChar w:fldCharType="begin"/>
            </w:r>
            <w:r w:rsidR="008E60C0">
              <w:rPr>
                <w:noProof/>
                <w:webHidden/>
              </w:rPr>
              <w:instrText xml:space="preserve"> PAGEREF _Toc145025761 \h </w:instrText>
            </w:r>
            <w:r w:rsidR="008E60C0">
              <w:rPr>
                <w:noProof/>
                <w:webHidden/>
              </w:rPr>
            </w:r>
            <w:r w:rsidR="008E60C0">
              <w:rPr>
                <w:noProof/>
                <w:webHidden/>
              </w:rPr>
              <w:fldChar w:fldCharType="separate"/>
            </w:r>
            <w:r w:rsidR="008E60C0">
              <w:rPr>
                <w:noProof/>
                <w:webHidden/>
              </w:rPr>
              <w:t>6</w:t>
            </w:r>
            <w:r w:rsidR="008E60C0">
              <w:rPr>
                <w:noProof/>
                <w:webHidden/>
              </w:rPr>
              <w:fldChar w:fldCharType="end"/>
            </w:r>
          </w:hyperlink>
        </w:p>
        <w:p w14:paraId="1415D180" w14:textId="01D45E90" w:rsidR="008E60C0" w:rsidRDefault="00000000" w:rsidP="00D26741">
          <w:pPr>
            <w:pStyle w:val="TOC3"/>
            <w:tabs>
              <w:tab w:val="left" w:pos="1320"/>
              <w:tab w:val="right" w:leader="dot" w:pos="9350"/>
            </w:tabs>
            <w:jc w:val="both"/>
            <w:rPr>
              <w:rFonts w:eastAsiaTheme="minorEastAsia"/>
              <w:noProof/>
              <w:kern w:val="2"/>
              <w14:ligatures w14:val="standardContextual"/>
            </w:rPr>
          </w:pPr>
          <w:hyperlink w:anchor="_Toc145025762" w:history="1">
            <w:r w:rsidR="008E60C0" w:rsidRPr="005B6FAA">
              <w:rPr>
                <w:rStyle w:val="Hyperlink"/>
                <w:rFonts w:asciiTheme="majorBidi" w:hAnsiTheme="majorBidi"/>
                <w:i/>
                <w:iCs/>
                <w:noProof/>
              </w:rPr>
              <w:t>1.2.5</w:t>
            </w:r>
            <w:r w:rsidR="008E60C0">
              <w:rPr>
                <w:rFonts w:eastAsiaTheme="minorEastAsia"/>
                <w:noProof/>
                <w:kern w:val="2"/>
                <w14:ligatures w14:val="standardContextual"/>
              </w:rPr>
              <w:tab/>
            </w:r>
            <w:r w:rsidR="008E60C0" w:rsidRPr="005B6FAA">
              <w:rPr>
                <w:rStyle w:val="Hyperlink"/>
                <w:rFonts w:asciiTheme="majorBidi" w:hAnsiTheme="majorBidi"/>
                <w:i/>
                <w:iCs/>
                <w:noProof/>
              </w:rPr>
              <w:t>Evaluating Effectiveness</w:t>
            </w:r>
            <w:r w:rsidR="008E60C0">
              <w:rPr>
                <w:noProof/>
                <w:webHidden/>
              </w:rPr>
              <w:tab/>
            </w:r>
            <w:r w:rsidR="008E60C0">
              <w:rPr>
                <w:noProof/>
                <w:webHidden/>
              </w:rPr>
              <w:fldChar w:fldCharType="begin"/>
            </w:r>
            <w:r w:rsidR="008E60C0">
              <w:rPr>
                <w:noProof/>
                <w:webHidden/>
              </w:rPr>
              <w:instrText xml:space="preserve"> PAGEREF _Toc145025762 \h </w:instrText>
            </w:r>
            <w:r w:rsidR="008E60C0">
              <w:rPr>
                <w:noProof/>
                <w:webHidden/>
              </w:rPr>
            </w:r>
            <w:r w:rsidR="008E60C0">
              <w:rPr>
                <w:noProof/>
                <w:webHidden/>
              </w:rPr>
              <w:fldChar w:fldCharType="separate"/>
            </w:r>
            <w:r w:rsidR="008E60C0">
              <w:rPr>
                <w:noProof/>
                <w:webHidden/>
              </w:rPr>
              <w:t>6</w:t>
            </w:r>
            <w:r w:rsidR="008E60C0">
              <w:rPr>
                <w:noProof/>
                <w:webHidden/>
              </w:rPr>
              <w:fldChar w:fldCharType="end"/>
            </w:r>
          </w:hyperlink>
        </w:p>
        <w:p w14:paraId="2412D1E6" w14:textId="359EE5AF" w:rsidR="008E60C0" w:rsidRDefault="00000000" w:rsidP="00D26741">
          <w:pPr>
            <w:pStyle w:val="TOC1"/>
            <w:tabs>
              <w:tab w:val="left" w:pos="440"/>
              <w:tab w:val="right" w:leader="dot" w:pos="9350"/>
            </w:tabs>
            <w:jc w:val="both"/>
            <w:rPr>
              <w:rFonts w:eastAsiaTheme="minorEastAsia"/>
              <w:noProof/>
              <w:kern w:val="2"/>
              <w14:ligatures w14:val="standardContextual"/>
            </w:rPr>
          </w:pPr>
          <w:hyperlink w:anchor="_Toc145025763" w:history="1">
            <w:r w:rsidR="008E60C0" w:rsidRPr="005B6FAA">
              <w:rPr>
                <w:rStyle w:val="Hyperlink"/>
                <w:noProof/>
              </w:rPr>
              <w:t>2.</w:t>
            </w:r>
            <w:r w:rsidR="008E60C0">
              <w:rPr>
                <w:rFonts w:eastAsiaTheme="minorEastAsia"/>
                <w:noProof/>
                <w:kern w:val="2"/>
                <w14:ligatures w14:val="standardContextual"/>
              </w:rPr>
              <w:tab/>
            </w:r>
            <w:r w:rsidR="008E60C0" w:rsidRPr="005B6FAA">
              <w:rPr>
                <w:rStyle w:val="Hyperlink"/>
                <w:noProof/>
              </w:rPr>
              <w:t>Intercontinental hotel group history and background</w:t>
            </w:r>
            <w:r w:rsidR="008E60C0">
              <w:rPr>
                <w:noProof/>
                <w:webHidden/>
              </w:rPr>
              <w:tab/>
            </w:r>
            <w:r w:rsidR="008E60C0">
              <w:rPr>
                <w:noProof/>
                <w:webHidden/>
              </w:rPr>
              <w:fldChar w:fldCharType="begin"/>
            </w:r>
            <w:r w:rsidR="008E60C0">
              <w:rPr>
                <w:noProof/>
                <w:webHidden/>
              </w:rPr>
              <w:instrText xml:space="preserve"> PAGEREF _Toc145025763 \h </w:instrText>
            </w:r>
            <w:r w:rsidR="008E60C0">
              <w:rPr>
                <w:noProof/>
                <w:webHidden/>
              </w:rPr>
            </w:r>
            <w:r w:rsidR="008E60C0">
              <w:rPr>
                <w:noProof/>
                <w:webHidden/>
              </w:rPr>
              <w:fldChar w:fldCharType="separate"/>
            </w:r>
            <w:r w:rsidR="008E60C0">
              <w:rPr>
                <w:noProof/>
                <w:webHidden/>
              </w:rPr>
              <w:t>6</w:t>
            </w:r>
            <w:r w:rsidR="008E60C0">
              <w:rPr>
                <w:noProof/>
                <w:webHidden/>
              </w:rPr>
              <w:fldChar w:fldCharType="end"/>
            </w:r>
          </w:hyperlink>
        </w:p>
        <w:p w14:paraId="010B3974" w14:textId="3FE9F94E" w:rsidR="008E60C0" w:rsidRDefault="00000000" w:rsidP="00D26741">
          <w:pPr>
            <w:pStyle w:val="TOC1"/>
            <w:tabs>
              <w:tab w:val="left" w:pos="440"/>
              <w:tab w:val="right" w:leader="dot" w:pos="9350"/>
            </w:tabs>
            <w:jc w:val="both"/>
            <w:rPr>
              <w:rFonts w:eastAsiaTheme="minorEastAsia"/>
              <w:noProof/>
              <w:kern w:val="2"/>
              <w14:ligatures w14:val="standardContextual"/>
            </w:rPr>
          </w:pPr>
          <w:hyperlink w:anchor="_Toc145025764" w:history="1">
            <w:r w:rsidR="008E60C0" w:rsidRPr="005B6FAA">
              <w:rPr>
                <w:rStyle w:val="Hyperlink"/>
                <w:noProof/>
              </w:rPr>
              <w:t>3.</w:t>
            </w:r>
            <w:r w:rsidR="008E60C0">
              <w:rPr>
                <w:rFonts w:eastAsiaTheme="minorEastAsia"/>
                <w:noProof/>
                <w:kern w:val="2"/>
                <w14:ligatures w14:val="standardContextual"/>
              </w:rPr>
              <w:tab/>
            </w:r>
            <w:r w:rsidR="008E60C0" w:rsidRPr="005B6FAA">
              <w:rPr>
                <w:rStyle w:val="Hyperlink"/>
                <w:noProof/>
              </w:rPr>
              <w:t>The Vision Statement of InterContinental Hotels</w:t>
            </w:r>
            <w:r w:rsidR="008E60C0">
              <w:rPr>
                <w:noProof/>
                <w:webHidden/>
              </w:rPr>
              <w:tab/>
            </w:r>
            <w:r w:rsidR="008E60C0">
              <w:rPr>
                <w:noProof/>
                <w:webHidden/>
              </w:rPr>
              <w:fldChar w:fldCharType="begin"/>
            </w:r>
            <w:r w:rsidR="008E60C0">
              <w:rPr>
                <w:noProof/>
                <w:webHidden/>
              </w:rPr>
              <w:instrText xml:space="preserve"> PAGEREF _Toc145025764 \h </w:instrText>
            </w:r>
            <w:r w:rsidR="008E60C0">
              <w:rPr>
                <w:noProof/>
                <w:webHidden/>
              </w:rPr>
            </w:r>
            <w:r w:rsidR="008E60C0">
              <w:rPr>
                <w:noProof/>
                <w:webHidden/>
              </w:rPr>
              <w:fldChar w:fldCharType="separate"/>
            </w:r>
            <w:r w:rsidR="008E60C0">
              <w:rPr>
                <w:noProof/>
                <w:webHidden/>
              </w:rPr>
              <w:t>8</w:t>
            </w:r>
            <w:r w:rsidR="008E60C0">
              <w:rPr>
                <w:noProof/>
                <w:webHidden/>
              </w:rPr>
              <w:fldChar w:fldCharType="end"/>
            </w:r>
          </w:hyperlink>
        </w:p>
        <w:p w14:paraId="26A7C2E7" w14:textId="0206432C" w:rsidR="008E60C0" w:rsidRDefault="00000000" w:rsidP="00D26741">
          <w:pPr>
            <w:pStyle w:val="TOC1"/>
            <w:tabs>
              <w:tab w:val="left" w:pos="440"/>
              <w:tab w:val="right" w:leader="dot" w:pos="9350"/>
            </w:tabs>
            <w:jc w:val="both"/>
            <w:rPr>
              <w:rFonts w:eastAsiaTheme="minorEastAsia"/>
              <w:noProof/>
              <w:kern w:val="2"/>
              <w14:ligatures w14:val="standardContextual"/>
            </w:rPr>
          </w:pPr>
          <w:hyperlink w:anchor="_Toc145025765" w:history="1">
            <w:r w:rsidR="008E60C0" w:rsidRPr="005B6FAA">
              <w:rPr>
                <w:rStyle w:val="Hyperlink"/>
                <w:noProof/>
              </w:rPr>
              <w:t>4.</w:t>
            </w:r>
            <w:r w:rsidR="008E60C0">
              <w:rPr>
                <w:rFonts w:eastAsiaTheme="minorEastAsia"/>
                <w:noProof/>
                <w:kern w:val="2"/>
                <w14:ligatures w14:val="standardContextual"/>
              </w:rPr>
              <w:tab/>
            </w:r>
            <w:r w:rsidR="008E60C0" w:rsidRPr="005B6FAA">
              <w:rPr>
                <w:rStyle w:val="Hyperlink"/>
                <w:noProof/>
                <w:shd w:val="clear" w:color="auto" w:fill="FFFFFF"/>
              </w:rPr>
              <w:t>Intercontinental hotels group features</w:t>
            </w:r>
            <w:r w:rsidR="008E60C0">
              <w:rPr>
                <w:noProof/>
                <w:webHidden/>
              </w:rPr>
              <w:tab/>
            </w:r>
            <w:r w:rsidR="008E60C0">
              <w:rPr>
                <w:noProof/>
                <w:webHidden/>
              </w:rPr>
              <w:fldChar w:fldCharType="begin"/>
            </w:r>
            <w:r w:rsidR="008E60C0">
              <w:rPr>
                <w:noProof/>
                <w:webHidden/>
              </w:rPr>
              <w:instrText xml:space="preserve"> PAGEREF _Toc145025765 \h </w:instrText>
            </w:r>
            <w:r w:rsidR="008E60C0">
              <w:rPr>
                <w:noProof/>
                <w:webHidden/>
              </w:rPr>
            </w:r>
            <w:r w:rsidR="008E60C0">
              <w:rPr>
                <w:noProof/>
                <w:webHidden/>
              </w:rPr>
              <w:fldChar w:fldCharType="separate"/>
            </w:r>
            <w:r w:rsidR="008E60C0">
              <w:rPr>
                <w:noProof/>
                <w:webHidden/>
              </w:rPr>
              <w:t>8</w:t>
            </w:r>
            <w:r w:rsidR="008E60C0">
              <w:rPr>
                <w:noProof/>
                <w:webHidden/>
              </w:rPr>
              <w:fldChar w:fldCharType="end"/>
            </w:r>
          </w:hyperlink>
        </w:p>
        <w:p w14:paraId="0CECCE65" w14:textId="21697251"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66" w:history="1">
            <w:r w:rsidR="008E60C0" w:rsidRPr="005B6FAA">
              <w:rPr>
                <w:rStyle w:val="Hyperlink"/>
                <w:rFonts w:eastAsia="Yu Gothic UI"/>
                <w:noProof/>
              </w:rPr>
              <w:t>4.1</w:t>
            </w:r>
            <w:r w:rsidR="008E60C0">
              <w:rPr>
                <w:rFonts w:eastAsiaTheme="minorEastAsia"/>
                <w:noProof/>
                <w:kern w:val="2"/>
                <w14:ligatures w14:val="standardContextual"/>
              </w:rPr>
              <w:tab/>
            </w:r>
            <w:r w:rsidR="008E60C0" w:rsidRPr="005B6FAA">
              <w:rPr>
                <w:rStyle w:val="Hyperlink"/>
                <w:rFonts w:eastAsia="Yu Gothic UI"/>
                <w:noProof/>
              </w:rPr>
              <w:t>Exposure to China compared to competitors</w:t>
            </w:r>
            <w:r w:rsidR="008E60C0">
              <w:rPr>
                <w:noProof/>
                <w:webHidden/>
              </w:rPr>
              <w:tab/>
            </w:r>
            <w:r w:rsidR="008E60C0">
              <w:rPr>
                <w:noProof/>
                <w:webHidden/>
              </w:rPr>
              <w:fldChar w:fldCharType="begin"/>
            </w:r>
            <w:r w:rsidR="008E60C0">
              <w:rPr>
                <w:noProof/>
                <w:webHidden/>
              </w:rPr>
              <w:instrText xml:space="preserve"> PAGEREF _Toc145025766 \h </w:instrText>
            </w:r>
            <w:r w:rsidR="008E60C0">
              <w:rPr>
                <w:noProof/>
                <w:webHidden/>
              </w:rPr>
            </w:r>
            <w:r w:rsidR="008E60C0">
              <w:rPr>
                <w:noProof/>
                <w:webHidden/>
              </w:rPr>
              <w:fldChar w:fldCharType="separate"/>
            </w:r>
            <w:r w:rsidR="008E60C0">
              <w:rPr>
                <w:noProof/>
                <w:webHidden/>
              </w:rPr>
              <w:t>8</w:t>
            </w:r>
            <w:r w:rsidR="008E60C0">
              <w:rPr>
                <w:noProof/>
                <w:webHidden/>
              </w:rPr>
              <w:fldChar w:fldCharType="end"/>
            </w:r>
          </w:hyperlink>
        </w:p>
        <w:p w14:paraId="73B6B9B0" w14:textId="24614E53"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67" w:history="1">
            <w:r w:rsidR="008E60C0" w:rsidRPr="005B6FAA">
              <w:rPr>
                <w:rStyle w:val="Hyperlink"/>
                <w:rFonts w:eastAsia="Yu Gothic UI"/>
                <w:noProof/>
              </w:rPr>
              <w:t>4.2</w:t>
            </w:r>
            <w:r w:rsidR="008E60C0">
              <w:rPr>
                <w:rFonts w:eastAsiaTheme="minorEastAsia"/>
                <w:noProof/>
                <w:kern w:val="2"/>
                <w14:ligatures w14:val="standardContextual"/>
              </w:rPr>
              <w:tab/>
            </w:r>
            <w:r w:rsidR="008E60C0" w:rsidRPr="005B6FAA">
              <w:rPr>
                <w:rStyle w:val="Hyperlink"/>
                <w:rFonts w:eastAsia="Yu Gothic UI"/>
                <w:noProof/>
              </w:rPr>
              <w:t>Government support</w:t>
            </w:r>
            <w:r w:rsidR="008E60C0">
              <w:rPr>
                <w:noProof/>
                <w:webHidden/>
              </w:rPr>
              <w:tab/>
            </w:r>
            <w:r w:rsidR="008E60C0">
              <w:rPr>
                <w:noProof/>
                <w:webHidden/>
              </w:rPr>
              <w:fldChar w:fldCharType="begin"/>
            </w:r>
            <w:r w:rsidR="008E60C0">
              <w:rPr>
                <w:noProof/>
                <w:webHidden/>
              </w:rPr>
              <w:instrText xml:space="preserve"> PAGEREF _Toc145025767 \h </w:instrText>
            </w:r>
            <w:r w:rsidR="008E60C0">
              <w:rPr>
                <w:noProof/>
                <w:webHidden/>
              </w:rPr>
            </w:r>
            <w:r w:rsidR="008E60C0">
              <w:rPr>
                <w:noProof/>
                <w:webHidden/>
              </w:rPr>
              <w:fldChar w:fldCharType="separate"/>
            </w:r>
            <w:r w:rsidR="008E60C0">
              <w:rPr>
                <w:noProof/>
                <w:webHidden/>
              </w:rPr>
              <w:t>9</w:t>
            </w:r>
            <w:r w:rsidR="008E60C0">
              <w:rPr>
                <w:noProof/>
                <w:webHidden/>
              </w:rPr>
              <w:fldChar w:fldCharType="end"/>
            </w:r>
          </w:hyperlink>
        </w:p>
        <w:p w14:paraId="43FE97F3" w14:textId="414FB98E"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68" w:history="1">
            <w:r w:rsidR="008E60C0" w:rsidRPr="005B6FAA">
              <w:rPr>
                <w:rStyle w:val="Hyperlink"/>
                <w:rFonts w:eastAsia="Yu Gothic UI"/>
                <w:noProof/>
              </w:rPr>
              <w:t>4.3</w:t>
            </w:r>
            <w:r w:rsidR="008E60C0">
              <w:rPr>
                <w:rFonts w:eastAsiaTheme="minorEastAsia"/>
                <w:noProof/>
                <w:kern w:val="2"/>
                <w14:ligatures w14:val="standardContextual"/>
              </w:rPr>
              <w:tab/>
            </w:r>
            <w:r w:rsidR="008E60C0" w:rsidRPr="005B6FAA">
              <w:rPr>
                <w:rStyle w:val="Hyperlink"/>
                <w:rFonts w:eastAsia="Yu Gothic UI"/>
                <w:noProof/>
              </w:rPr>
              <w:t>Supporting staff management</w:t>
            </w:r>
            <w:r w:rsidR="008E60C0">
              <w:rPr>
                <w:noProof/>
                <w:webHidden/>
              </w:rPr>
              <w:tab/>
            </w:r>
            <w:r w:rsidR="008E60C0">
              <w:rPr>
                <w:noProof/>
                <w:webHidden/>
              </w:rPr>
              <w:fldChar w:fldCharType="begin"/>
            </w:r>
            <w:r w:rsidR="008E60C0">
              <w:rPr>
                <w:noProof/>
                <w:webHidden/>
              </w:rPr>
              <w:instrText xml:space="preserve"> PAGEREF _Toc145025768 \h </w:instrText>
            </w:r>
            <w:r w:rsidR="008E60C0">
              <w:rPr>
                <w:noProof/>
                <w:webHidden/>
              </w:rPr>
            </w:r>
            <w:r w:rsidR="008E60C0">
              <w:rPr>
                <w:noProof/>
                <w:webHidden/>
              </w:rPr>
              <w:fldChar w:fldCharType="separate"/>
            </w:r>
            <w:r w:rsidR="008E60C0">
              <w:rPr>
                <w:noProof/>
                <w:webHidden/>
              </w:rPr>
              <w:t>9</w:t>
            </w:r>
            <w:r w:rsidR="008E60C0">
              <w:rPr>
                <w:noProof/>
                <w:webHidden/>
              </w:rPr>
              <w:fldChar w:fldCharType="end"/>
            </w:r>
          </w:hyperlink>
        </w:p>
        <w:p w14:paraId="19182304" w14:textId="50A80DBA" w:rsidR="008E60C0" w:rsidRDefault="00000000" w:rsidP="00D26741">
          <w:pPr>
            <w:pStyle w:val="TOC1"/>
            <w:tabs>
              <w:tab w:val="left" w:pos="440"/>
              <w:tab w:val="right" w:leader="dot" w:pos="9350"/>
            </w:tabs>
            <w:jc w:val="both"/>
            <w:rPr>
              <w:rFonts w:eastAsiaTheme="minorEastAsia"/>
              <w:noProof/>
              <w:kern w:val="2"/>
              <w14:ligatures w14:val="standardContextual"/>
            </w:rPr>
          </w:pPr>
          <w:hyperlink w:anchor="_Toc145025769" w:history="1">
            <w:r w:rsidR="008E60C0" w:rsidRPr="005B6FAA">
              <w:rPr>
                <w:rStyle w:val="Hyperlink"/>
                <w:rFonts w:eastAsia="Yu Gothic UI"/>
                <w:noProof/>
              </w:rPr>
              <w:t>5.</w:t>
            </w:r>
            <w:r w:rsidR="008E60C0">
              <w:rPr>
                <w:rFonts w:eastAsiaTheme="minorEastAsia"/>
                <w:noProof/>
                <w:kern w:val="2"/>
                <w14:ligatures w14:val="standardContextual"/>
              </w:rPr>
              <w:tab/>
            </w:r>
            <w:r w:rsidR="008E60C0" w:rsidRPr="005B6FAA">
              <w:rPr>
                <w:rStyle w:val="Hyperlink"/>
                <w:rFonts w:eastAsia="Yu Gothic UI"/>
                <w:noProof/>
              </w:rPr>
              <w:t>InterContinental Hotel Strategic Analysis</w:t>
            </w:r>
            <w:r w:rsidR="008E60C0">
              <w:rPr>
                <w:noProof/>
                <w:webHidden/>
              </w:rPr>
              <w:tab/>
            </w:r>
            <w:r w:rsidR="008E60C0">
              <w:rPr>
                <w:noProof/>
                <w:webHidden/>
              </w:rPr>
              <w:fldChar w:fldCharType="begin"/>
            </w:r>
            <w:r w:rsidR="008E60C0">
              <w:rPr>
                <w:noProof/>
                <w:webHidden/>
              </w:rPr>
              <w:instrText xml:space="preserve"> PAGEREF _Toc145025769 \h </w:instrText>
            </w:r>
            <w:r w:rsidR="008E60C0">
              <w:rPr>
                <w:noProof/>
                <w:webHidden/>
              </w:rPr>
            </w:r>
            <w:r w:rsidR="008E60C0">
              <w:rPr>
                <w:noProof/>
                <w:webHidden/>
              </w:rPr>
              <w:fldChar w:fldCharType="separate"/>
            </w:r>
            <w:r w:rsidR="008E60C0">
              <w:rPr>
                <w:noProof/>
                <w:webHidden/>
              </w:rPr>
              <w:t>10</w:t>
            </w:r>
            <w:r w:rsidR="008E60C0">
              <w:rPr>
                <w:noProof/>
                <w:webHidden/>
              </w:rPr>
              <w:fldChar w:fldCharType="end"/>
            </w:r>
          </w:hyperlink>
        </w:p>
        <w:p w14:paraId="4E040CD8" w14:textId="6D01FEAF" w:rsidR="008E60C0" w:rsidRDefault="00000000" w:rsidP="00D26741">
          <w:pPr>
            <w:pStyle w:val="TOC1"/>
            <w:tabs>
              <w:tab w:val="left" w:pos="440"/>
              <w:tab w:val="right" w:leader="dot" w:pos="9350"/>
            </w:tabs>
            <w:jc w:val="both"/>
            <w:rPr>
              <w:rFonts w:eastAsiaTheme="minorEastAsia"/>
              <w:noProof/>
              <w:kern w:val="2"/>
              <w14:ligatures w14:val="standardContextual"/>
            </w:rPr>
          </w:pPr>
          <w:hyperlink w:anchor="_Toc145025770" w:history="1">
            <w:r w:rsidR="008E60C0" w:rsidRPr="005B6FAA">
              <w:rPr>
                <w:rStyle w:val="Hyperlink"/>
                <w:noProof/>
              </w:rPr>
              <w:t>6.</w:t>
            </w:r>
            <w:r w:rsidR="008E60C0">
              <w:rPr>
                <w:rFonts w:eastAsiaTheme="minorEastAsia"/>
                <w:noProof/>
                <w:kern w:val="2"/>
                <w14:ligatures w14:val="standardContextual"/>
              </w:rPr>
              <w:tab/>
            </w:r>
            <w:r w:rsidR="008E60C0" w:rsidRPr="005B6FAA">
              <w:rPr>
                <w:rStyle w:val="Hyperlink"/>
                <w:noProof/>
              </w:rPr>
              <w:t>Intercontinental Hotels Group PESTEL Analysis</w:t>
            </w:r>
            <w:r w:rsidR="008E60C0">
              <w:rPr>
                <w:noProof/>
                <w:webHidden/>
              </w:rPr>
              <w:tab/>
            </w:r>
            <w:r w:rsidR="008E60C0">
              <w:rPr>
                <w:noProof/>
                <w:webHidden/>
              </w:rPr>
              <w:fldChar w:fldCharType="begin"/>
            </w:r>
            <w:r w:rsidR="008E60C0">
              <w:rPr>
                <w:noProof/>
                <w:webHidden/>
              </w:rPr>
              <w:instrText xml:space="preserve"> PAGEREF _Toc145025770 \h </w:instrText>
            </w:r>
            <w:r w:rsidR="008E60C0">
              <w:rPr>
                <w:noProof/>
                <w:webHidden/>
              </w:rPr>
            </w:r>
            <w:r w:rsidR="008E60C0">
              <w:rPr>
                <w:noProof/>
                <w:webHidden/>
              </w:rPr>
              <w:fldChar w:fldCharType="separate"/>
            </w:r>
            <w:r w:rsidR="008E60C0">
              <w:rPr>
                <w:noProof/>
                <w:webHidden/>
              </w:rPr>
              <w:t>13</w:t>
            </w:r>
            <w:r w:rsidR="008E60C0">
              <w:rPr>
                <w:noProof/>
                <w:webHidden/>
              </w:rPr>
              <w:fldChar w:fldCharType="end"/>
            </w:r>
          </w:hyperlink>
        </w:p>
        <w:p w14:paraId="0C6DA3BF" w14:textId="68D3AFBA"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71" w:history="1">
            <w:r w:rsidR="008E60C0" w:rsidRPr="005B6FAA">
              <w:rPr>
                <w:rStyle w:val="Hyperlink"/>
                <w:noProof/>
              </w:rPr>
              <w:t>6.1</w:t>
            </w:r>
            <w:r w:rsidR="008E60C0">
              <w:rPr>
                <w:rFonts w:eastAsiaTheme="minorEastAsia"/>
                <w:noProof/>
                <w:kern w:val="2"/>
                <w14:ligatures w14:val="standardContextual"/>
              </w:rPr>
              <w:tab/>
            </w:r>
            <w:r w:rsidR="008E60C0" w:rsidRPr="005B6FAA">
              <w:rPr>
                <w:rStyle w:val="Hyperlink"/>
                <w:noProof/>
              </w:rPr>
              <w:t>Political Factors</w:t>
            </w:r>
            <w:r w:rsidR="008E60C0">
              <w:rPr>
                <w:noProof/>
                <w:webHidden/>
              </w:rPr>
              <w:tab/>
            </w:r>
            <w:r w:rsidR="008E60C0">
              <w:rPr>
                <w:noProof/>
                <w:webHidden/>
              </w:rPr>
              <w:fldChar w:fldCharType="begin"/>
            </w:r>
            <w:r w:rsidR="008E60C0">
              <w:rPr>
                <w:noProof/>
                <w:webHidden/>
              </w:rPr>
              <w:instrText xml:space="preserve"> PAGEREF _Toc145025771 \h </w:instrText>
            </w:r>
            <w:r w:rsidR="008E60C0">
              <w:rPr>
                <w:noProof/>
                <w:webHidden/>
              </w:rPr>
            </w:r>
            <w:r w:rsidR="008E60C0">
              <w:rPr>
                <w:noProof/>
                <w:webHidden/>
              </w:rPr>
              <w:fldChar w:fldCharType="separate"/>
            </w:r>
            <w:r w:rsidR="008E60C0">
              <w:rPr>
                <w:noProof/>
                <w:webHidden/>
              </w:rPr>
              <w:t>14</w:t>
            </w:r>
            <w:r w:rsidR="008E60C0">
              <w:rPr>
                <w:noProof/>
                <w:webHidden/>
              </w:rPr>
              <w:fldChar w:fldCharType="end"/>
            </w:r>
          </w:hyperlink>
        </w:p>
        <w:p w14:paraId="652F91BA" w14:textId="3D6CB450"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72" w:history="1">
            <w:r w:rsidR="008E60C0" w:rsidRPr="005B6FAA">
              <w:rPr>
                <w:rStyle w:val="Hyperlink"/>
                <w:noProof/>
              </w:rPr>
              <w:t>6.2</w:t>
            </w:r>
            <w:r w:rsidR="008E60C0">
              <w:rPr>
                <w:rFonts w:eastAsiaTheme="minorEastAsia"/>
                <w:noProof/>
                <w:kern w:val="2"/>
                <w14:ligatures w14:val="standardContextual"/>
              </w:rPr>
              <w:tab/>
            </w:r>
            <w:r w:rsidR="008E60C0" w:rsidRPr="005B6FAA">
              <w:rPr>
                <w:rStyle w:val="Hyperlink"/>
                <w:noProof/>
              </w:rPr>
              <w:t>Economic Factors</w:t>
            </w:r>
            <w:r w:rsidR="008E60C0">
              <w:rPr>
                <w:noProof/>
                <w:webHidden/>
              </w:rPr>
              <w:tab/>
            </w:r>
            <w:r w:rsidR="008E60C0">
              <w:rPr>
                <w:noProof/>
                <w:webHidden/>
              </w:rPr>
              <w:fldChar w:fldCharType="begin"/>
            </w:r>
            <w:r w:rsidR="008E60C0">
              <w:rPr>
                <w:noProof/>
                <w:webHidden/>
              </w:rPr>
              <w:instrText xml:space="preserve"> PAGEREF _Toc145025772 \h </w:instrText>
            </w:r>
            <w:r w:rsidR="008E60C0">
              <w:rPr>
                <w:noProof/>
                <w:webHidden/>
              </w:rPr>
            </w:r>
            <w:r w:rsidR="008E60C0">
              <w:rPr>
                <w:noProof/>
                <w:webHidden/>
              </w:rPr>
              <w:fldChar w:fldCharType="separate"/>
            </w:r>
            <w:r w:rsidR="008E60C0">
              <w:rPr>
                <w:noProof/>
                <w:webHidden/>
              </w:rPr>
              <w:t>14</w:t>
            </w:r>
            <w:r w:rsidR="008E60C0">
              <w:rPr>
                <w:noProof/>
                <w:webHidden/>
              </w:rPr>
              <w:fldChar w:fldCharType="end"/>
            </w:r>
          </w:hyperlink>
        </w:p>
        <w:p w14:paraId="6CF68760" w14:textId="32AE161E"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73" w:history="1">
            <w:r w:rsidR="008E60C0" w:rsidRPr="005B6FAA">
              <w:rPr>
                <w:rStyle w:val="Hyperlink"/>
                <w:noProof/>
              </w:rPr>
              <w:t>6.3</w:t>
            </w:r>
            <w:r w:rsidR="008E60C0">
              <w:rPr>
                <w:rFonts w:eastAsiaTheme="minorEastAsia"/>
                <w:noProof/>
                <w:kern w:val="2"/>
                <w14:ligatures w14:val="standardContextual"/>
              </w:rPr>
              <w:tab/>
            </w:r>
            <w:r w:rsidR="008E60C0" w:rsidRPr="005B6FAA">
              <w:rPr>
                <w:rStyle w:val="Hyperlink"/>
                <w:noProof/>
              </w:rPr>
              <w:t>Social Factors</w:t>
            </w:r>
            <w:r w:rsidR="008E60C0">
              <w:rPr>
                <w:noProof/>
                <w:webHidden/>
              </w:rPr>
              <w:tab/>
            </w:r>
            <w:r w:rsidR="008E60C0">
              <w:rPr>
                <w:noProof/>
                <w:webHidden/>
              </w:rPr>
              <w:fldChar w:fldCharType="begin"/>
            </w:r>
            <w:r w:rsidR="008E60C0">
              <w:rPr>
                <w:noProof/>
                <w:webHidden/>
              </w:rPr>
              <w:instrText xml:space="preserve"> PAGEREF _Toc145025773 \h </w:instrText>
            </w:r>
            <w:r w:rsidR="008E60C0">
              <w:rPr>
                <w:noProof/>
                <w:webHidden/>
              </w:rPr>
            </w:r>
            <w:r w:rsidR="008E60C0">
              <w:rPr>
                <w:noProof/>
                <w:webHidden/>
              </w:rPr>
              <w:fldChar w:fldCharType="separate"/>
            </w:r>
            <w:r w:rsidR="008E60C0">
              <w:rPr>
                <w:noProof/>
                <w:webHidden/>
              </w:rPr>
              <w:t>15</w:t>
            </w:r>
            <w:r w:rsidR="008E60C0">
              <w:rPr>
                <w:noProof/>
                <w:webHidden/>
              </w:rPr>
              <w:fldChar w:fldCharType="end"/>
            </w:r>
          </w:hyperlink>
        </w:p>
        <w:p w14:paraId="48B462EA" w14:textId="48B89595"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74" w:history="1">
            <w:r w:rsidR="008E60C0" w:rsidRPr="005B6FAA">
              <w:rPr>
                <w:rStyle w:val="Hyperlink"/>
                <w:noProof/>
              </w:rPr>
              <w:t>6.4</w:t>
            </w:r>
            <w:r w:rsidR="008E60C0">
              <w:rPr>
                <w:rFonts w:eastAsiaTheme="minorEastAsia"/>
                <w:noProof/>
                <w:kern w:val="2"/>
                <w14:ligatures w14:val="standardContextual"/>
              </w:rPr>
              <w:tab/>
            </w:r>
            <w:r w:rsidR="008E60C0" w:rsidRPr="005B6FAA">
              <w:rPr>
                <w:rStyle w:val="Hyperlink"/>
                <w:noProof/>
              </w:rPr>
              <w:t>Technological Factors</w:t>
            </w:r>
            <w:r w:rsidR="008E60C0">
              <w:rPr>
                <w:noProof/>
                <w:webHidden/>
              </w:rPr>
              <w:tab/>
            </w:r>
            <w:r w:rsidR="008E60C0">
              <w:rPr>
                <w:noProof/>
                <w:webHidden/>
              </w:rPr>
              <w:fldChar w:fldCharType="begin"/>
            </w:r>
            <w:r w:rsidR="008E60C0">
              <w:rPr>
                <w:noProof/>
                <w:webHidden/>
              </w:rPr>
              <w:instrText xml:space="preserve"> PAGEREF _Toc145025774 \h </w:instrText>
            </w:r>
            <w:r w:rsidR="008E60C0">
              <w:rPr>
                <w:noProof/>
                <w:webHidden/>
              </w:rPr>
            </w:r>
            <w:r w:rsidR="008E60C0">
              <w:rPr>
                <w:noProof/>
                <w:webHidden/>
              </w:rPr>
              <w:fldChar w:fldCharType="separate"/>
            </w:r>
            <w:r w:rsidR="008E60C0">
              <w:rPr>
                <w:noProof/>
                <w:webHidden/>
              </w:rPr>
              <w:t>16</w:t>
            </w:r>
            <w:r w:rsidR="008E60C0">
              <w:rPr>
                <w:noProof/>
                <w:webHidden/>
              </w:rPr>
              <w:fldChar w:fldCharType="end"/>
            </w:r>
          </w:hyperlink>
        </w:p>
        <w:p w14:paraId="4B437A5B" w14:textId="70E5A332"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75" w:history="1">
            <w:r w:rsidR="008E60C0" w:rsidRPr="005B6FAA">
              <w:rPr>
                <w:rStyle w:val="Hyperlink"/>
                <w:noProof/>
              </w:rPr>
              <w:t>6.5</w:t>
            </w:r>
            <w:r w:rsidR="008E60C0">
              <w:rPr>
                <w:rFonts w:eastAsiaTheme="minorEastAsia"/>
                <w:noProof/>
                <w:kern w:val="2"/>
                <w14:ligatures w14:val="standardContextual"/>
              </w:rPr>
              <w:tab/>
            </w:r>
            <w:r w:rsidR="008E60C0" w:rsidRPr="005B6FAA">
              <w:rPr>
                <w:rStyle w:val="Hyperlink"/>
                <w:noProof/>
              </w:rPr>
              <w:t>Environmental Factors</w:t>
            </w:r>
            <w:r w:rsidR="008E60C0">
              <w:rPr>
                <w:noProof/>
                <w:webHidden/>
              </w:rPr>
              <w:tab/>
            </w:r>
            <w:r w:rsidR="008E60C0">
              <w:rPr>
                <w:noProof/>
                <w:webHidden/>
              </w:rPr>
              <w:fldChar w:fldCharType="begin"/>
            </w:r>
            <w:r w:rsidR="008E60C0">
              <w:rPr>
                <w:noProof/>
                <w:webHidden/>
              </w:rPr>
              <w:instrText xml:space="preserve"> PAGEREF _Toc145025775 \h </w:instrText>
            </w:r>
            <w:r w:rsidR="008E60C0">
              <w:rPr>
                <w:noProof/>
                <w:webHidden/>
              </w:rPr>
            </w:r>
            <w:r w:rsidR="008E60C0">
              <w:rPr>
                <w:noProof/>
                <w:webHidden/>
              </w:rPr>
              <w:fldChar w:fldCharType="separate"/>
            </w:r>
            <w:r w:rsidR="008E60C0">
              <w:rPr>
                <w:noProof/>
                <w:webHidden/>
              </w:rPr>
              <w:t>17</w:t>
            </w:r>
            <w:r w:rsidR="008E60C0">
              <w:rPr>
                <w:noProof/>
                <w:webHidden/>
              </w:rPr>
              <w:fldChar w:fldCharType="end"/>
            </w:r>
          </w:hyperlink>
        </w:p>
        <w:p w14:paraId="76B9DC9B" w14:textId="24689855"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76" w:history="1">
            <w:r w:rsidR="008E60C0" w:rsidRPr="005B6FAA">
              <w:rPr>
                <w:rStyle w:val="Hyperlink"/>
                <w:noProof/>
              </w:rPr>
              <w:t>6.6</w:t>
            </w:r>
            <w:r w:rsidR="008E60C0">
              <w:rPr>
                <w:rFonts w:eastAsiaTheme="minorEastAsia"/>
                <w:noProof/>
                <w:kern w:val="2"/>
                <w14:ligatures w14:val="standardContextual"/>
              </w:rPr>
              <w:tab/>
            </w:r>
            <w:r w:rsidR="008E60C0" w:rsidRPr="005B6FAA">
              <w:rPr>
                <w:rStyle w:val="Hyperlink"/>
                <w:noProof/>
              </w:rPr>
              <w:t>Legal Factors</w:t>
            </w:r>
            <w:r w:rsidR="008E60C0">
              <w:rPr>
                <w:noProof/>
                <w:webHidden/>
              </w:rPr>
              <w:tab/>
            </w:r>
            <w:r w:rsidR="008E60C0">
              <w:rPr>
                <w:noProof/>
                <w:webHidden/>
              </w:rPr>
              <w:fldChar w:fldCharType="begin"/>
            </w:r>
            <w:r w:rsidR="008E60C0">
              <w:rPr>
                <w:noProof/>
                <w:webHidden/>
              </w:rPr>
              <w:instrText xml:space="preserve"> PAGEREF _Toc145025776 \h </w:instrText>
            </w:r>
            <w:r w:rsidR="008E60C0">
              <w:rPr>
                <w:noProof/>
                <w:webHidden/>
              </w:rPr>
            </w:r>
            <w:r w:rsidR="008E60C0">
              <w:rPr>
                <w:noProof/>
                <w:webHidden/>
              </w:rPr>
              <w:fldChar w:fldCharType="separate"/>
            </w:r>
            <w:r w:rsidR="008E60C0">
              <w:rPr>
                <w:noProof/>
                <w:webHidden/>
              </w:rPr>
              <w:t>18</w:t>
            </w:r>
            <w:r w:rsidR="008E60C0">
              <w:rPr>
                <w:noProof/>
                <w:webHidden/>
              </w:rPr>
              <w:fldChar w:fldCharType="end"/>
            </w:r>
          </w:hyperlink>
        </w:p>
        <w:p w14:paraId="5351278F" w14:textId="74E7E8ED" w:rsidR="008E60C0" w:rsidRDefault="00000000" w:rsidP="00D26741">
          <w:pPr>
            <w:pStyle w:val="TOC1"/>
            <w:tabs>
              <w:tab w:val="left" w:pos="440"/>
              <w:tab w:val="right" w:leader="dot" w:pos="9350"/>
            </w:tabs>
            <w:jc w:val="both"/>
            <w:rPr>
              <w:rFonts w:eastAsiaTheme="minorEastAsia"/>
              <w:noProof/>
              <w:kern w:val="2"/>
              <w14:ligatures w14:val="standardContextual"/>
            </w:rPr>
          </w:pPr>
          <w:hyperlink w:anchor="_Toc145025777" w:history="1">
            <w:r w:rsidR="008E60C0" w:rsidRPr="005B6FAA">
              <w:rPr>
                <w:rStyle w:val="Hyperlink"/>
                <w:noProof/>
              </w:rPr>
              <w:t>7.</w:t>
            </w:r>
            <w:r w:rsidR="008E60C0">
              <w:rPr>
                <w:rFonts w:eastAsiaTheme="minorEastAsia"/>
                <w:noProof/>
                <w:kern w:val="2"/>
                <w14:ligatures w14:val="standardContextual"/>
              </w:rPr>
              <w:tab/>
            </w:r>
            <w:r w:rsidR="008E60C0" w:rsidRPr="005B6FAA">
              <w:rPr>
                <w:rStyle w:val="Hyperlink"/>
                <w:noProof/>
              </w:rPr>
              <w:t>Porter’s five forces</w:t>
            </w:r>
            <w:r w:rsidR="008E60C0">
              <w:rPr>
                <w:noProof/>
                <w:webHidden/>
              </w:rPr>
              <w:tab/>
            </w:r>
            <w:r w:rsidR="008E60C0">
              <w:rPr>
                <w:noProof/>
                <w:webHidden/>
              </w:rPr>
              <w:fldChar w:fldCharType="begin"/>
            </w:r>
            <w:r w:rsidR="008E60C0">
              <w:rPr>
                <w:noProof/>
                <w:webHidden/>
              </w:rPr>
              <w:instrText xml:space="preserve"> PAGEREF _Toc145025777 \h </w:instrText>
            </w:r>
            <w:r w:rsidR="008E60C0">
              <w:rPr>
                <w:noProof/>
                <w:webHidden/>
              </w:rPr>
            </w:r>
            <w:r w:rsidR="008E60C0">
              <w:rPr>
                <w:noProof/>
                <w:webHidden/>
              </w:rPr>
              <w:fldChar w:fldCharType="separate"/>
            </w:r>
            <w:r w:rsidR="008E60C0">
              <w:rPr>
                <w:noProof/>
                <w:webHidden/>
              </w:rPr>
              <w:t>18</w:t>
            </w:r>
            <w:r w:rsidR="008E60C0">
              <w:rPr>
                <w:noProof/>
                <w:webHidden/>
              </w:rPr>
              <w:fldChar w:fldCharType="end"/>
            </w:r>
          </w:hyperlink>
        </w:p>
        <w:p w14:paraId="6B677F86" w14:textId="2A529714" w:rsidR="008E60C0" w:rsidRDefault="00000000" w:rsidP="00D26741">
          <w:pPr>
            <w:pStyle w:val="TOC1"/>
            <w:tabs>
              <w:tab w:val="left" w:pos="440"/>
              <w:tab w:val="right" w:leader="dot" w:pos="9350"/>
            </w:tabs>
            <w:jc w:val="both"/>
            <w:rPr>
              <w:rFonts w:eastAsiaTheme="minorEastAsia"/>
              <w:noProof/>
              <w:kern w:val="2"/>
              <w14:ligatures w14:val="standardContextual"/>
            </w:rPr>
          </w:pPr>
          <w:hyperlink w:anchor="_Toc145025778" w:history="1">
            <w:r w:rsidR="008E60C0" w:rsidRPr="005B6FAA">
              <w:rPr>
                <w:rStyle w:val="Hyperlink"/>
                <w:noProof/>
              </w:rPr>
              <w:t>8.</w:t>
            </w:r>
            <w:r w:rsidR="008E60C0">
              <w:rPr>
                <w:rFonts w:eastAsiaTheme="minorEastAsia"/>
                <w:noProof/>
                <w:kern w:val="2"/>
                <w14:ligatures w14:val="standardContextual"/>
              </w:rPr>
              <w:tab/>
            </w:r>
            <w:r w:rsidR="008E60C0" w:rsidRPr="005B6FAA">
              <w:rPr>
                <w:rStyle w:val="Hyperlink"/>
                <w:noProof/>
                <w:shd w:val="clear" w:color="auto" w:fill="FFFFFF"/>
              </w:rPr>
              <w:t xml:space="preserve">Findings from PESTAL and </w:t>
            </w:r>
            <w:r w:rsidR="008E60C0" w:rsidRPr="005B6FAA">
              <w:rPr>
                <w:rStyle w:val="Hyperlink"/>
                <w:noProof/>
              </w:rPr>
              <w:t>Porter’s five forces a</w:t>
            </w:r>
            <w:r w:rsidR="008E60C0" w:rsidRPr="005B6FAA">
              <w:rPr>
                <w:rStyle w:val="Hyperlink"/>
                <w:noProof/>
                <w:shd w:val="clear" w:color="auto" w:fill="FFFFFF"/>
              </w:rPr>
              <w:t>nalysis</w:t>
            </w:r>
            <w:r w:rsidR="008E60C0">
              <w:rPr>
                <w:noProof/>
                <w:webHidden/>
              </w:rPr>
              <w:tab/>
            </w:r>
            <w:r w:rsidR="008E60C0">
              <w:rPr>
                <w:noProof/>
                <w:webHidden/>
              </w:rPr>
              <w:fldChar w:fldCharType="begin"/>
            </w:r>
            <w:r w:rsidR="008E60C0">
              <w:rPr>
                <w:noProof/>
                <w:webHidden/>
              </w:rPr>
              <w:instrText xml:space="preserve"> PAGEREF _Toc145025778 \h </w:instrText>
            </w:r>
            <w:r w:rsidR="008E60C0">
              <w:rPr>
                <w:noProof/>
                <w:webHidden/>
              </w:rPr>
            </w:r>
            <w:r w:rsidR="008E60C0">
              <w:rPr>
                <w:noProof/>
                <w:webHidden/>
              </w:rPr>
              <w:fldChar w:fldCharType="separate"/>
            </w:r>
            <w:r w:rsidR="008E60C0">
              <w:rPr>
                <w:noProof/>
                <w:webHidden/>
              </w:rPr>
              <w:t>19</w:t>
            </w:r>
            <w:r w:rsidR="008E60C0">
              <w:rPr>
                <w:noProof/>
                <w:webHidden/>
              </w:rPr>
              <w:fldChar w:fldCharType="end"/>
            </w:r>
          </w:hyperlink>
        </w:p>
        <w:p w14:paraId="7C942B11" w14:textId="350163EE" w:rsidR="008E60C0" w:rsidRDefault="00000000" w:rsidP="00D26741">
          <w:pPr>
            <w:pStyle w:val="TOC1"/>
            <w:tabs>
              <w:tab w:val="left" w:pos="440"/>
              <w:tab w:val="right" w:leader="dot" w:pos="9350"/>
            </w:tabs>
            <w:jc w:val="both"/>
            <w:rPr>
              <w:rFonts w:eastAsiaTheme="minorEastAsia"/>
              <w:noProof/>
              <w:kern w:val="2"/>
              <w14:ligatures w14:val="standardContextual"/>
            </w:rPr>
          </w:pPr>
          <w:hyperlink w:anchor="_Toc145025779" w:history="1">
            <w:r w:rsidR="008E60C0" w:rsidRPr="005B6FAA">
              <w:rPr>
                <w:rStyle w:val="Hyperlink"/>
                <w:noProof/>
              </w:rPr>
              <w:t>9.</w:t>
            </w:r>
            <w:r w:rsidR="008E60C0">
              <w:rPr>
                <w:rFonts w:eastAsiaTheme="minorEastAsia"/>
                <w:noProof/>
                <w:kern w:val="2"/>
                <w14:ligatures w14:val="standardContextual"/>
              </w:rPr>
              <w:tab/>
            </w:r>
            <w:r w:rsidR="008E60C0" w:rsidRPr="005B6FAA">
              <w:rPr>
                <w:rStyle w:val="Hyperlink"/>
                <w:noProof/>
              </w:rPr>
              <w:t>Industry life cycle</w:t>
            </w:r>
            <w:r w:rsidR="008E60C0">
              <w:rPr>
                <w:noProof/>
                <w:webHidden/>
              </w:rPr>
              <w:tab/>
            </w:r>
            <w:r w:rsidR="008E60C0">
              <w:rPr>
                <w:noProof/>
                <w:webHidden/>
              </w:rPr>
              <w:fldChar w:fldCharType="begin"/>
            </w:r>
            <w:r w:rsidR="008E60C0">
              <w:rPr>
                <w:noProof/>
                <w:webHidden/>
              </w:rPr>
              <w:instrText xml:space="preserve"> PAGEREF _Toc145025779 \h </w:instrText>
            </w:r>
            <w:r w:rsidR="008E60C0">
              <w:rPr>
                <w:noProof/>
                <w:webHidden/>
              </w:rPr>
            </w:r>
            <w:r w:rsidR="008E60C0">
              <w:rPr>
                <w:noProof/>
                <w:webHidden/>
              </w:rPr>
              <w:fldChar w:fldCharType="separate"/>
            </w:r>
            <w:r w:rsidR="008E60C0">
              <w:rPr>
                <w:noProof/>
                <w:webHidden/>
              </w:rPr>
              <w:t>20</w:t>
            </w:r>
            <w:r w:rsidR="008E60C0">
              <w:rPr>
                <w:noProof/>
                <w:webHidden/>
              </w:rPr>
              <w:fldChar w:fldCharType="end"/>
            </w:r>
          </w:hyperlink>
        </w:p>
        <w:p w14:paraId="5B4520E3" w14:textId="41375A94" w:rsidR="008E60C0" w:rsidRDefault="00000000" w:rsidP="00D26741">
          <w:pPr>
            <w:pStyle w:val="TOC1"/>
            <w:tabs>
              <w:tab w:val="left" w:pos="660"/>
              <w:tab w:val="right" w:leader="dot" w:pos="9350"/>
            </w:tabs>
            <w:jc w:val="both"/>
            <w:rPr>
              <w:rFonts w:eastAsiaTheme="minorEastAsia"/>
              <w:noProof/>
              <w:kern w:val="2"/>
              <w14:ligatures w14:val="standardContextual"/>
            </w:rPr>
          </w:pPr>
          <w:hyperlink w:anchor="_Toc145025780" w:history="1">
            <w:r w:rsidR="008E60C0" w:rsidRPr="005B6FAA">
              <w:rPr>
                <w:rStyle w:val="Hyperlink"/>
                <w:noProof/>
              </w:rPr>
              <w:t>10.</w:t>
            </w:r>
            <w:r w:rsidR="008E60C0">
              <w:rPr>
                <w:rFonts w:eastAsiaTheme="minorEastAsia"/>
                <w:noProof/>
                <w:kern w:val="2"/>
                <w14:ligatures w14:val="standardContextual"/>
              </w:rPr>
              <w:tab/>
            </w:r>
            <w:r w:rsidR="008E60C0" w:rsidRPr="005B6FAA">
              <w:rPr>
                <w:rStyle w:val="Hyperlink"/>
                <w:noProof/>
              </w:rPr>
              <w:t>Internal environment analysis</w:t>
            </w:r>
            <w:r w:rsidR="008E60C0">
              <w:rPr>
                <w:noProof/>
                <w:webHidden/>
              </w:rPr>
              <w:tab/>
            </w:r>
            <w:r w:rsidR="008E60C0">
              <w:rPr>
                <w:noProof/>
                <w:webHidden/>
              </w:rPr>
              <w:fldChar w:fldCharType="begin"/>
            </w:r>
            <w:r w:rsidR="008E60C0">
              <w:rPr>
                <w:noProof/>
                <w:webHidden/>
              </w:rPr>
              <w:instrText xml:space="preserve"> PAGEREF _Toc145025780 \h </w:instrText>
            </w:r>
            <w:r w:rsidR="008E60C0">
              <w:rPr>
                <w:noProof/>
                <w:webHidden/>
              </w:rPr>
            </w:r>
            <w:r w:rsidR="008E60C0">
              <w:rPr>
                <w:noProof/>
                <w:webHidden/>
              </w:rPr>
              <w:fldChar w:fldCharType="separate"/>
            </w:r>
            <w:r w:rsidR="008E60C0">
              <w:rPr>
                <w:noProof/>
                <w:webHidden/>
              </w:rPr>
              <w:t>20</w:t>
            </w:r>
            <w:r w:rsidR="008E60C0">
              <w:rPr>
                <w:noProof/>
                <w:webHidden/>
              </w:rPr>
              <w:fldChar w:fldCharType="end"/>
            </w:r>
          </w:hyperlink>
        </w:p>
        <w:p w14:paraId="060B8C18" w14:textId="4D2B1BC8" w:rsidR="008E60C0" w:rsidRDefault="00000000" w:rsidP="00D26741">
          <w:pPr>
            <w:pStyle w:val="TOC1"/>
            <w:tabs>
              <w:tab w:val="right" w:leader="dot" w:pos="9350"/>
            </w:tabs>
            <w:jc w:val="both"/>
            <w:rPr>
              <w:rFonts w:eastAsiaTheme="minorEastAsia"/>
              <w:noProof/>
              <w:kern w:val="2"/>
              <w14:ligatures w14:val="standardContextual"/>
            </w:rPr>
          </w:pPr>
          <w:hyperlink w:anchor="_Toc145025781" w:history="1">
            <w:r w:rsidR="008E60C0" w:rsidRPr="005B6FAA">
              <w:rPr>
                <w:rStyle w:val="Hyperlink"/>
                <w:noProof/>
              </w:rPr>
              <w:t>Strategic capabilities</w:t>
            </w:r>
            <w:r w:rsidR="008E60C0">
              <w:rPr>
                <w:noProof/>
                <w:webHidden/>
              </w:rPr>
              <w:tab/>
            </w:r>
            <w:r w:rsidR="008E60C0">
              <w:rPr>
                <w:noProof/>
                <w:webHidden/>
              </w:rPr>
              <w:fldChar w:fldCharType="begin"/>
            </w:r>
            <w:r w:rsidR="008E60C0">
              <w:rPr>
                <w:noProof/>
                <w:webHidden/>
              </w:rPr>
              <w:instrText xml:space="preserve"> PAGEREF _Toc145025781 \h </w:instrText>
            </w:r>
            <w:r w:rsidR="008E60C0">
              <w:rPr>
                <w:noProof/>
                <w:webHidden/>
              </w:rPr>
            </w:r>
            <w:r w:rsidR="008E60C0">
              <w:rPr>
                <w:noProof/>
                <w:webHidden/>
              </w:rPr>
              <w:fldChar w:fldCharType="separate"/>
            </w:r>
            <w:r w:rsidR="008E60C0">
              <w:rPr>
                <w:noProof/>
                <w:webHidden/>
              </w:rPr>
              <w:t>20</w:t>
            </w:r>
            <w:r w:rsidR="008E60C0">
              <w:rPr>
                <w:noProof/>
                <w:webHidden/>
              </w:rPr>
              <w:fldChar w:fldCharType="end"/>
            </w:r>
          </w:hyperlink>
        </w:p>
        <w:p w14:paraId="040A3037" w14:textId="6CFE318D" w:rsidR="008E60C0" w:rsidRDefault="00000000" w:rsidP="00D26741">
          <w:pPr>
            <w:pStyle w:val="TOC1"/>
            <w:tabs>
              <w:tab w:val="left" w:pos="660"/>
              <w:tab w:val="right" w:leader="dot" w:pos="9350"/>
            </w:tabs>
            <w:jc w:val="both"/>
            <w:rPr>
              <w:rFonts w:eastAsiaTheme="minorEastAsia"/>
              <w:noProof/>
              <w:kern w:val="2"/>
              <w14:ligatures w14:val="standardContextual"/>
            </w:rPr>
          </w:pPr>
          <w:hyperlink w:anchor="_Toc145025782" w:history="1">
            <w:r w:rsidR="008E60C0" w:rsidRPr="005B6FAA">
              <w:rPr>
                <w:rStyle w:val="Hyperlink"/>
                <w:noProof/>
              </w:rPr>
              <w:t>11.</w:t>
            </w:r>
            <w:r w:rsidR="008E60C0">
              <w:rPr>
                <w:rFonts w:eastAsiaTheme="minorEastAsia"/>
                <w:noProof/>
                <w:kern w:val="2"/>
                <w14:ligatures w14:val="standardContextual"/>
              </w:rPr>
              <w:tab/>
            </w:r>
            <w:r w:rsidR="008E60C0" w:rsidRPr="005B6FAA">
              <w:rPr>
                <w:rStyle w:val="Hyperlink"/>
                <w:noProof/>
              </w:rPr>
              <w:t>VRIN analysis</w:t>
            </w:r>
            <w:r w:rsidR="008E60C0">
              <w:rPr>
                <w:noProof/>
                <w:webHidden/>
              </w:rPr>
              <w:tab/>
            </w:r>
            <w:r w:rsidR="008E60C0">
              <w:rPr>
                <w:noProof/>
                <w:webHidden/>
              </w:rPr>
              <w:fldChar w:fldCharType="begin"/>
            </w:r>
            <w:r w:rsidR="008E60C0">
              <w:rPr>
                <w:noProof/>
                <w:webHidden/>
              </w:rPr>
              <w:instrText xml:space="preserve"> PAGEREF _Toc145025782 \h </w:instrText>
            </w:r>
            <w:r w:rsidR="008E60C0">
              <w:rPr>
                <w:noProof/>
                <w:webHidden/>
              </w:rPr>
            </w:r>
            <w:r w:rsidR="008E60C0">
              <w:rPr>
                <w:noProof/>
                <w:webHidden/>
              </w:rPr>
              <w:fldChar w:fldCharType="separate"/>
            </w:r>
            <w:r w:rsidR="008E60C0">
              <w:rPr>
                <w:noProof/>
                <w:webHidden/>
              </w:rPr>
              <w:t>21</w:t>
            </w:r>
            <w:r w:rsidR="008E60C0">
              <w:rPr>
                <w:noProof/>
                <w:webHidden/>
              </w:rPr>
              <w:fldChar w:fldCharType="end"/>
            </w:r>
          </w:hyperlink>
        </w:p>
        <w:p w14:paraId="15E86A00" w14:textId="2D520D12" w:rsidR="008E60C0" w:rsidRDefault="00000000" w:rsidP="00D26741">
          <w:pPr>
            <w:pStyle w:val="TOC1"/>
            <w:tabs>
              <w:tab w:val="left" w:pos="660"/>
              <w:tab w:val="right" w:leader="dot" w:pos="9350"/>
            </w:tabs>
            <w:jc w:val="both"/>
            <w:rPr>
              <w:rFonts w:eastAsiaTheme="minorEastAsia"/>
              <w:noProof/>
              <w:kern w:val="2"/>
              <w14:ligatures w14:val="standardContextual"/>
            </w:rPr>
          </w:pPr>
          <w:hyperlink w:anchor="_Toc145025783" w:history="1">
            <w:r w:rsidR="008E60C0" w:rsidRPr="005B6FAA">
              <w:rPr>
                <w:rStyle w:val="Hyperlink"/>
                <w:noProof/>
              </w:rPr>
              <w:t>12.</w:t>
            </w:r>
            <w:r w:rsidR="008E60C0">
              <w:rPr>
                <w:rFonts w:eastAsiaTheme="minorEastAsia"/>
                <w:noProof/>
                <w:kern w:val="2"/>
                <w14:ligatures w14:val="standardContextual"/>
              </w:rPr>
              <w:tab/>
            </w:r>
            <w:r w:rsidR="008E60C0" w:rsidRPr="005B6FAA">
              <w:rPr>
                <w:rStyle w:val="Hyperlink"/>
                <w:noProof/>
              </w:rPr>
              <w:t>Value chain analysis</w:t>
            </w:r>
            <w:r w:rsidR="008E60C0">
              <w:rPr>
                <w:noProof/>
                <w:webHidden/>
              </w:rPr>
              <w:tab/>
            </w:r>
            <w:r w:rsidR="008E60C0">
              <w:rPr>
                <w:noProof/>
                <w:webHidden/>
              </w:rPr>
              <w:fldChar w:fldCharType="begin"/>
            </w:r>
            <w:r w:rsidR="008E60C0">
              <w:rPr>
                <w:noProof/>
                <w:webHidden/>
              </w:rPr>
              <w:instrText xml:space="preserve"> PAGEREF _Toc145025783 \h </w:instrText>
            </w:r>
            <w:r w:rsidR="008E60C0">
              <w:rPr>
                <w:noProof/>
                <w:webHidden/>
              </w:rPr>
            </w:r>
            <w:r w:rsidR="008E60C0">
              <w:rPr>
                <w:noProof/>
                <w:webHidden/>
              </w:rPr>
              <w:fldChar w:fldCharType="separate"/>
            </w:r>
            <w:r w:rsidR="008E60C0">
              <w:rPr>
                <w:noProof/>
                <w:webHidden/>
              </w:rPr>
              <w:t>21</w:t>
            </w:r>
            <w:r w:rsidR="008E60C0">
              <w:rPr>
                <w:noProof/>
                <w:webHidden/>
              </w:rPr>
              <w:fldChar w:fldCharType="end"/>
            </w:r>
          </w:hyperlink>
        </w:p>
        <w:p w14:paraId="10374870" w14:textId="269BE0D1" w:rsidR="008E60C0" w:rsidRDefault="00000000" w:rsidP="00D26741">
          <w:pPr>
            <w:pStyle w:val="TOC1"/>
            <w:tabs>
              <w:tab w:val="left" w:pos="660"/>
              <w:tab w:val="right" w:leader="dot" w:pos="9350"/>
            </w:tabs>
            <w:jc w:val="both"/>
            <w:rPr>
              <w:rFonts w:eastAsiaTheme="minorEastAsia"/>
              <w:noProof/>
              <w:kern w:val="2"/>
              <w14:ligatures w14:val="standardContextual"/>
            </w:rPr>
          </w:pPr>
          <w:hyperlink w:anchor="_Toc145025784" w:history="1">
            <w:r w:rsidR="008E60C0" w:rsidRPr="005B6FAA">
              <w:rPr>
                <w:rStyle w:val="Hyperlink"/>
                <w:noProof/>
              </w:rPr>
              <w:t>13.</w:t>
            </w:r>
            <w:r w:rsidR="008E60C0">
              <w:rPr>
                <w:rFonts w:eastAsiaTheme="minorEastAsia"/>
                <w:noProof/>
                <w:kern w:val="2"/>
                <w14:ligatures w14:val="standardContextual"/>
              </w:rPr>
              <w:tab/>
            </w:r>
            <w:r w:rsidR="008E60C0" w:rsidRPr="005B6FAA">
              <w:rPr>
                <w:rStyle w:val="Hyperlink"/>
                <w:noProof/>
              </w:rPr>
              <w:t>Findings from value chain analysis</w:t>
            </w:r>
            <w:r w:rsidR="008E60C0">
              <w:rPr>
                <w:noProof/>
                <w:webHidden/>
              </w:rPr>
              <w:tab/>
            </w:r>
            <w:r w:rsidR="008E60C0">
              <w:rPr>
                <w:noProof/>
                <w:webHidden/>
              </w:rPr>
              <w:fldChar w:fldCharType="begin"/>
            </w:r>
            <w:r w:rsidR="008E60C0">
              <w:rPr>
                <w:noProof/>
                <w:webHidden/>
              </w:rPr>
              <w:instrText xml:space="preserve"> PAGEREF _Toc145025784 \h </w:instrText>
            </w:r>
            <w:r w:rsidR="008E60C0">
              <w:rPr>
                <w:noProof/>
                <w:webHidden/>
              </w:rPr>
            </w:r>
            <w:r w:rsidR="008E60C0">
              <w:rPr>
                <w:noProof/>
                <w:webHidden/>
              </w:rPr>
              <w:fldChar w:fldCharType="separate"/>
            </w:r>
            <w:r w:rsidR="008E60C0">
              <w:rPr>
                <w:noProof/>
                <w:webHidden/>
              </w:rPr>
              <w:t>23</w:t>
            </w:r>
            <w:r w:rsidR="008E60C0">
              <w:rPr>
                <w:noProof/>
                <w:webHidden/>
              </w:rPr>
              <w:fldChar w:fldCharType="end"/>
            </w:r>
          </w:hyperlink>
        </w:p>
        <w:p w14:paraId="33E29A46" w14:textId="22C935B1" w:rsidR="008E60C0" w:rsidRDefault="00000000" w:rsidP="00D26741">
          <w:pPr>
            <w:pStyle w:val="TOC1"/>
            <w:tabs>
              <w:tab w:val="left" w:pos="660"/>
              <w:tab w:val="right" w:leader="dot" w:pos="9350"/>
            </w:tabs>
            <w:jc w:val="both"/>
            <w:rPr>
              <w:rFonts w:eastAsiaTheme="minorEastAsia"/>
              <w:noProof/>
              <w:kern w:val="2"/>
              <w14:ligatures w14:val="standardContextual"/>
            </w:rPr>
          </w:pPr>
          <w:hyperlink w:anchor="_Toc145025785" w:history="1">
            <w:r w:rsidR="008E60C0" w:rsidRPr="005B6FAA">
              <w:rPr>
                <w:rStyle w:val="Hyperlink"/>
                <w:noProof/>
              </w:rPr>
              <w:t>14.</w:t>
            </w:r>
            <w:r w:rsidR="008E60C0">
              <w:rPr>
                <w:rFonts w:eastAsiaTheme="minorEastAsia"/>
                <w:noProof/>
                <w:kern w:val="2"/>
                <w14:ligatures w14:val="standardContextual"/>
              </w:rPr>
              <w:tab/>
            </w:r>
            <w:r w:rsidR="008E60C0" w:rsidRPr="005B6FAA">
              <w:rPr>
                <w:rStyle w:val="Hyperlink"/>
                <w:noProof/>
              </w:rPr>
              <w:t>SWOT analysis</w:t>
            </w:r>
            <w:r w:rsidR="008E60C0">
              <w:rPr>
                <w:noProof/>
                <w:webHidden/>
              </w:rPr>
              <w:tab/>
            </w:r>
            <w:r w:rsidR="008E60C0">
              <w:rPr>
                <w:noProof/>
                <w:webHidden/>
              </w:rPr>
              <w:fldChar w:fldCharType="begin"/>
            </w:r>
            <w:r w:rsidR="008E60C0">
              <w:rPr>
                <w:noProof/>
                <w:webHidden/>
              </w:rPr>
              <w:instrText xml:space="preserve"> PAGEREF _Toc145025785 \h </w:instrText>
            </w:r>
            <w:r w:rsidR="008E60C0">
              <w:rPr>
                <w:noProof/>
                <w:webHidden/>
              </w:rPr>
            </w:r>
            <w:r w:rsidR="008E60C0">
              <w:rPr>
                <w:noProof/>
                <w:webHidden/>
              </w:rPr>
              <w:fldChar w:fldCharType="separate"/>
            </w:r>
            <w:r w:rsidR="008E60C0">
              <w:rPr>
                <w:noProof/>
                <w:webHidden/>
              </w:rPr>
              <w:t>23</w:t>
            </w:r>
            <w:r w:rsidR="008E60C0">
              <w:rPr>
                <w:noProof/>
                <w:webHidden/>
              </w:rPr>
              <w:fldChar w:fldCharType="end"/>
            </w:r>
          </w:hyperlink>
        </w:p>
        <w:p w14:paraId="17454201" w14:textId="2F30F8C7" w:rsidR="008E60C0" w:rsidRDefault="00000000" w:rsidP="00D26741">
          <w:pPr>
            <w:pStyle w:val="TOC1"/>
            <w:tabs>
              <w:tab w:val="left" w:pos="660"/>
              <w:tab w:val="right" w:leader="dot" w:pos="9350"/>
            </w:tabs>
            <w:jc w:val="both"/>
            <w:rPr>
              <w:rFonts w:eastAsiaTheme="minorEastAsia"/>
              <w:noProof/>
              <w:kern w:val="2"/>
              <w14:ligatures w14:val="standardContextual"/>
            </w:rPr>
          </w:pPr>
          <w:hyperlink w:anchor="_Toc145025786" w:history="1">
            <w:r w:rsidR="008E60C0" w:rsidRPr="005B6FAA">
              <w:rPr>
                <w:rStyle w:val="Hyperlink"/>
                <w:noProof/>
              </w:rPr>
              <w:t>15.</w:t>
            </w:r>
            <w:r w:rsidR="008E60C0">
              <w:rPr>
                <w:rFonts w:eastAsiaTheme="minorEastAsia"/>
                <w:noProof/>
                <w:kern w:val="2"/>
                <w14:ligatures w14:val="standardContextual"/>
              </w:rPr>
              <w:tab/>
            </w:r>
            <w:r w:rsidR="008E60C0" w:rsidRPr="005B6FAA">
              <w:rPr>
                <w:rStyle w:val="Hyperlink"/>
                <w:noProof/>
              </w:rPr>
              <w:t>Findings from SWOT analysis</w:t>
            </w:r>
            <w:r w:rsidR="008E60C0">
              <w:rPr>
                <w:noProof/>
                <w:webHidden/>
              </w:rPr>
              <w:tab/>
            </w:r>
            <w:r w:rsidR="008E60C0">
              <w:rPr>
                <w:noProof/>
                <w:webHidden/>
              </w:rPr>
              <w:fldChar w:fldCharType="begin"/>
            </w:r>
            <w:r w:rsidR="008E60C0">
              <w:rPr>
                <w:noProof/>
                <w:webHidden/>
              </w:rPr>
              <w:instrText xml:space="preserve"> PAGEREF _Toc145025786 \h </w:instrText>
            </w:r>
            <w:r w:rsidR="008E60C0">
              <w:rPr>
                <w:noProof/>
                <w:webHidden/>
              </w:rPr>
            </w:r>
            <w:r w:rsidR="008E60C0">
              <w:rPr>
                <w:noProof/>
                <w:webHidden/>
              </w:rPr>
              <w:fldChar w:fldCharType="separate"/>
            </w:r>
            <w:r w:rsidR="008E60C0">
              <w:rPr>
                <w:noProof/>
                <w:webHidden/>
              </w:rPr>
              <w:t>24</w:t>
            </w:r>
            <w:r w:rsidR="008E60C0">
              <w:rPr>
                <w:noProof/>
                <w:webHidden/>
              </w:rPr>
              <w:fldChar w:fldCharType="end"/>
            </w:r>
          </w:hyperlink>
        </w:p>
        <w:p w14:paraId="5701DA48" w14:textId="7A09EDB9" w:rsidR="008E60C0" w:rsidRDefault="00000000" w:rsidP="00D26741">
          <w:pPr>
            <w:pStyle w:val="TOC1"/>
            <w:tabs>
              <w:tab w:val="left" w:pos="660"/>
              <w:tab w:val="right" w:leader="dot" w:pos="9350"/>
            </w:tabs>
            <w:jc w:val="both"/>
            <w:rPr>
              <w:rFonts w:eastAsiaTheme="minorEastAsia"/>
              <w:noProof/>
              <w:kern w:val="2"/>
              <w14:ligatures w14:val="standardContextual"/>
            </w:rPr>
          </w:pPr>
          <w:hyperlink w:anchor="_Toc145025787" w:history="1">
            <w:r w:rsidR="008E60C0" w:rsidRPr="005B6FAA">
              <w:rPr>
                <w:rStyle w:val="Hyperlink"/>
                <w:noProof/>
              </w:rPr>
              <w:t>16.</w:t>
            </w:r>
            <w:r w:rsidR="008E60C0">
              <w:rPr>
                <w:rFonts w:eastAsiaTheme="minorEastAsia"/>
                <w:noProof/>
                <w:kern w:val="2"/>
                <w14:ligatures w14:val="standardContextual"/>
              </w:rPr>
              <w:tab/>
            </w:r>
            <w:r w:rsidR="008E60C0" w:rsidRPr="005B6FAA">
              <w:rPr>
                <w:rStyle w:val="Hyperlink"/>
                <w:noProof/>
              </w:rPr>
              <w:t>Strategic direction</w:t>
            </w:r>
            <w:r w:rsidR="008E60C0">
              <w:rPr>
                <w:noProof/>
                <w:webHidden/>
              </w:rPr>
              <w:tab/>
            </w:r>
            <w:r w:rsidR="008E60C0">
              <w:rPr>
                <w:noProof/>
                <w:webHidden/>
              </w:rPr>
              <w:fldChar w:fldCharType="begin"/>
            </w:r>
            <w:r w:rsidR="008E60C0">
              <w:rPr>
                <w:noProof/>
                <w:webHidden/>
              </w:rPr>
              <w:instrText xml:space="preserve"> PAGEREF _Toc145025787 \h </w:instrText>
            </w:r>
            <w:r w:rsidR="008E60C0">
              <w:rPr>
                <w:noProof/>
                <w:webHidden/>
              </w:rPr>
            </w:r>
            <w:r w:rsidR="008E60C0">
              <w:rPr>
                <w:noProof/>
                <w:webHidden/>
              </w:rPr>
              <w:fldChar w:fldCharType="separate"/>
            </w:r>
            <w:r w:rsidR="008E60C0">
              <w:rPr>
                <w:noProof/>
                <w:webHidden/>
              </w:rPr>
              <w:t>24</w:t>
            </w:r>
            <w:r w:rsidR="008E60C0">
              <w:rPr>
                <w:noProof/>
                <w:webHidden/>
              </w:rPr>
              <w:fldChar w:fldCharType="end"/>
            </w:r>
          </w:hyperlink>
        </w:p>
        <w:p w14:paraId="7D1FE5A7" w14:textId="798251C6" w:rsidR="008E60C0" w:rsidRDefault="00000000" w:rsidP="00D26741">
          <w:pPr>
            <w:pStyle w:val="TOC1"/>
            <w:tabs>
              <w:tab w:val="right" w:leader="dot" w:pos="9350"/>
            </w:tabs>
            <w:jc w:val="both"/>
            <w:rPr>
              <w:rFonts w:eastAsiaTheme="minorEastAsia"/>
              <w:noProof/>
              <w:kern w:val="2"/>
              <w14:ligatures w14:val="standardContextual"/>
            </w:rPr>
          </w:pPr>
          <w:hyperlink w:anchor="_Toc145025788" w:history="1">
            <w:r w:rsidR="008E60C0" w:rsidRPr="005B6FAA">
              <w:rPr>
                <w:rStyle w:val="Hyperlink"/>
                <w:noProof/>
              </w:rPr>
              <w:t>Boston Consulting Group (BCG) analysis</w:t>
            </w:r>
            <w:r w:rsidR="008E60C0">
              <w:rPr>
                <w:noProof/>
                <w:webHidden/>
              </w:rPr>
              <w:tab/>
            </w:r>
            <w:r w:rsidR="008E60C0">
              <w:rPr>
                <w:noProof/>
                <w:webHidden/>
              </w:rPr>
              <w:fldChar w:fldCharType="begin"/>
            </w:r>
            <w:r w:rsidR="008E60C0">
              <w:rPr>
                <w:noProof/>
                <w:webHidden/>
              </w:rPr>
              <w:instrText xml:space="preserve"> PAGEREF _Toc145025788 \h </w:instrText>
            </w:r>
            <w:r w:rsidR="008E60C0">
              <w:rPr>
                <w:noProof/>
                <w:webHidden/>
              </w:rPr>
            </w:r>
            <w:r w:rsidR="008E60C0">
              <w:rPr>
                <w:noProof/>
                <w:webHidden/>
              </w:rPr>
              <w:fldChar w:fldCharType="separate"/>
            </w:r>
            <w:r w:rsidR="008E60C0">
              <w:rPr>
                <w:noProof/>
                <w:webHidden/>
              </w:rPr>
              <w:t>24</w:t>
            </w:r>
            <w:r w:rsidR="008E60C0">
              <w:rPr>
                <w:noProof/>
                <w:webHidden/>
              </w:rPr>
              <w:fldChar w:fldCharType="end"/>
            </w:r>
          </w:hyperlink>
        </w:p>
        <w:p w14:paraId="4BBA2E47" w14:textId="0D2013E2"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89" w:history="1">
            <w:r w:rsidR="008E60C0" w:rsidRPr="005B6FAA">
              <w:rPr>
                <w:rStyle w:val="Hyperlink"/>
                <w:noProof/>
              </w:rPr>
              <w:t>16.1</w:t>
            </w:r>
            <w:r w:rsidR="008E60C0">
              <w:rPr>
                <w:rFonts w:eastAsiaTheme="minorEastAsia"/>
                <w:noProof/>
                <w:kern w:val="2"/>
                <w14:ligatures w14:val="standardContextual"/>
              </w:rPr>
              <w:tab/>
            </w:r>
            <w:r w:rsidR="008E60C0" w:rsidRPr="005B6FAA">
              <w:rPr>
                <w:rStyle w:val="Hyperlink"/>
                <w:noProof/>
              </w:rPr>
              <w:t>Stars</w:t>
            </w:r>
            <w:r w:rsidR="008E60C0">
              <w:rPr>
                <w:noProof/>
                <w:webHidden/>
              </w:rPr>
              <w:tab/>
            </w:r>
            <w:r w:rsidR="008E60C0">
              <w:rPr>
                <w:noProof/>
                <w:webHidden/>
              </w:rPr>
              <w:fldChar w:fldCharType="begin"/>
            </w:r>
            <w:r w:rsidR="008E60C0">
              <w:rPr>
                <w:noProof/>
                <w:webHidden/>
              </w:rPr>
              <w:instrText xml:space="preserve"> PAGEREF _Toc145025789 \h </w:instrText>
            </w:r>
            <w:r w:rsidR="008E60C0">
              <w:rPr>
                <w:noProof/>
                <w:webHidden/>
              </w:rPr>
            </w:r>
            <w:r w:rsidR="008E60C0">
              <w:rPr>
                <w:noProof/>
                <w:webHidden/>
              </w:rPr>
              <w:fldChar w:fldCharType="separate"/>
            </w:r>
            <w:r w:rsidR="008E60C0">
              <w:rPr>
                <w:noProof/>
                <w:webHidden/>
              </w:rPr>
              <w:t>24</w:t>
            </w:r>
            <w:r w:rsidR="008E60C0">
              <w:rPr>
                <w:noProof/>
                <w:webHidden/>
              </w:rPr>
              <w:fldChar w:fldCharType="end"/>
            </w:r>
          </w:hyperlink>
        </w:p>
        <w:p w14:paraId="408E4850" w14:textId="4E84B73C"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90" w:history="1">
            <w:r w:rsidR="008E60C0" w:rsidRPr="005B6FAA">
              <w:rPr>
                <w:rStyle w:val="Hyperlink"/>
                <w:noProof/>
              </w:rPr>
              <w:t>16.2</w:t>
            </w:r>
            <w:r w:rsidR="008E60C0">
              <w:rPr>
                <w:rFonts w:eastAsiaTheme="minorEastAsia"/>
                <w:noProof/>
                <w:kern w:val="2"/>
                <w14:ligatures w14:val="standardContextual"/>
              </w:rPr>
              <w:tab/>
            </w:r>
            <w:r w:rsidR="008E60C0" w:rsidRPr="005B6FAA">
              <w:rPr>
                <w:rStyle w:val="Hyperlink"/>
                <w:noProof/>
              </w:rPr>
              <w:t>Cash Cows</w:t>
            </w:r>
            <w:r w:rsidR="008E60C0">
              <w:rPr>
                <w:noProof/>
                <w:webHidden/>
              </w:rPr>
              <w:tab/>
            </w:r>
            <w:r w:rsidR="008E60C0">
              <w:rPr>
                <w:noProof/>
                <w:webHidden/>
              </w:rPr>
              <w:fldChar w:fldCharType="begin"/>
            </w:r>
            <w:r w:rsidR="008E60C0">
              <w:rPr>
                <w:noProof/>
                <w:webHidden/>
              </w:rPr>
              <w:instrText xml:space="preserve"> PAGEREF _Toc145025790 \h </w:instrText>
            </w:r>
            <w:r w:rsidR="008E60C0">
              <w:rPr>
                <w:noProof/>
                <w:webHidden/>
              </w:rPr>
            </w:r>
            <w:r w:rsidR="008E60C0">
              <w:rPr>
                <w:noProof/>
                <w:webHidden/>
              </w:rPr>
              <w:fldChar w:fldCharType="separate"/>
            </w:r>
            <w:r w:rsidR="008E60C0">
              <w:rPr>
                <w:noProof/>
                <w:webHidden/>
              </w:rPr>
              <w:t>25</w:t>
            </w:r>
            <w:r w:rsidR="008E60C0">
              <w:rPr>
                <w:noProof/>
                <w:webHidden/>
              </w:rPr>
              <w:fldChar w:fldCharType="end"/>
            </w:r>
          </w:hyperlink>
        </w:p>
        <w:p w14:paraId="2D78FBD5" w14:textId="6B7ECB99"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91" w:history="1">
            <w:r w:rsidR="008E60C0" w:rsidRPr="005B6FAA">
              <w:rPr>
                <w:rStyle w:val="Hyperlink"/>
                <w:noProof/>
              </w:rPr>
              <w:t>16.3</w:t>
            </w:r>
            <w:r w:rsidR="008E60C0">
              <w:rPr>
                <w:rFonts w:eastAsiaTheme="minorEastAsia"/>
                <w:noProof/>
                <w:kern w:val="2"/>
                <w14:ligatures w14:val="standardContextual"/>
              </w:rPr>
              <w:tab/>
            </w:r>
            <w:r w:rsidR="008E60C0" w:rsidRPr="005B6FAA">
              <w:rPr>
                <w:rStyle w:val="Hyperlink"/>
                <w:noProof/>
              </w:rPr>
              <w:t>Question Marks</w:t>
            </w:r>
            <w:r w:rsidR="008E60C0">
              <w:rPr>
                <w:noProof/>
                <w:webHidden/>
              </w:rPr>
              <w:tab/>
            </w:r>
            <w:r w:rsidR="008E60C0">
              <w:rPr>
                <w:noProof/>
                <w:webHidden/>
              </w:rPr>
              <w:fldChar w:fldCharType="begin"/>
            </w:r>
            <w:r w:rsidR="008E60C0">
              <w:rPr>
                <w:noProof/>
                <w:webHidden/>
              </w:rPr>
              <w:instrText xml:space="preserve"> PAGEREF _Toc145025791 \h </w:instrText>
            </w:r>
            <w:r w:rsidR="008E60C0">
              <w:rPr>
                <w:noProof/>
                <w:webHidden/>
              </w:rPr>
            </w:r>
            <w:r w:rsidR="008E60C0">
              <w:rPr>
                <w:noProof/>
                <w:webHidden/>
              </w:rPr>
              <w:fldChar w:fldCharType="separate"/>
            </w:r>
            <w:r w:rsidR="008E60C0">
              <w:rPr>
                <w:noProof/>
                <w:webHidden/>
              </w:rPr>
              <w:t>25</w:t>
            </w:r>
            <w:r w:rsidR="008E60C0">
              <w:rPr>
                <w:noProof/>
                <w:webHidden/>
              </w:rPr>
              <w:fldChar w:fldCharType="end"/>
            </w:r>
          </w:hyperlink>
        </w:p>
        <w:p w14:paraId="1561DAE5" w14:textId="6F3A2340"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92" w:history="1">
            <w:r w:rsidR="008E60C0" w:rsidRPr="005B6FAA">
              <w:rPr>
                <w:rStyle w:val="Hyperlink"/>
                <w:noProof/>
              </w:rPr>
              <w:t>16.4</w:t>
            </w:r>
            <w:r w:rsidR="008E60C0">
              <w:rPr>
                <w:rFonts w:eastAsiaTheme="minorEastAsia"/>
                <w:noProof/>
                <w:kern w:val="2"/>
                <w14:ligatures w14:val="standardContextual"/>
              </w:rPr>
              <w:tab/>
            </w:r>
            <w:r w:rsidR="008E60C0" w:rsidRPr="005B6FAA">
              <w:rPr>
                <w:rStyle w:val="Hyperlink"/>
                <w:noProof/>
              </w:rPr>
              <w:t>Dogs</w:t>
            </w:r>
            <w:r w:rsidR="008E60C0">
              <w:rPr>
                <w:noProof/>
                <w:webHidden/>
              </w:rPr>
              <w:tab/>
            </w:r>
            <w:r w:rsidR="008E60C0">
              <w:rPr>
                <w:noProof/>
                <w:webHidden/>
              </w:rPr>
              <w:fldChar w:fldCharType="begin"/>
            </w:r>
            <w:r w:rsidR="008E60C0">
              <w:rPr>
                <w:noProof/>
                <w:webHidden/>
              </w:rPr>
              <w:instrText xml:space="preserve"> PAGEREF _Toc145025792 \h </w:instrText>
            </w:r>
            <w:r w:rsidR="008E60C0">
              <w:rPr>
                <w:noProof/>
                <w:webHidden/>
              </w:rPr>
            </w:r>
            <w:r w:rsidR="008E60C0">
              <w:rPr>
                <w:noProof/>
                <w:webHidden/>
              </w:rPr>
              <w:fldChar w:fldCharType="separate"/>
            </w:r>
            <w:r w:rsidR="008E60C0">
              <w:rPr>
                <w:noProof/>
                <w:webHidden/>
              </w:rPr>
              <w:t>25</w:t>
            </w:r>
            <w:r w:rsidR="008E60C0">
              <w:rPr>
                <w:noProof/>
                <w:webHidden/>
              </w:rPr>
              <w:fldChar w:fldCharType="end"/>
            </w:r>
          </w:hyperlink>
        </w:p>
        <w:p w14:paraId="661745BA" w14:textId="76D8FA9B" w:rsidR="008E60C0" w:rsidRDefault="00000000" w:rsidP="00D26741">
          <w:pPr>
            <w:pStyle w:val="TOC1"/>
            <w:tabs>
              <w:tab w:val="left" w:pos="660"/>
              <w:tab w:val="right" w:leader="dot" w:pos="9350"/>
            </w:tabs>
            <w:jc w:val="both"/>
            <w:rPr>
              <w:rFonts w:eastAsiaTheme="minorEastAsia"/>
              <w:noProof/>
              <w:kern w:val="2"/>
              <w14:ligatures w14:val="standardContextual"/>
            </w:rPr>
          </w:pPr>
          <w:hyperlink w:anchor="_Toc145025793" w:history="1">
            <w:r w:rsidR="008E60C0" w:rsidRPr="005B6FAA">
              <w:rPr>
                <w:rStyle w:val="Hyperlink"/>
                <w:noProof/>
              </w:rPr>
              <w:t>17.</w:t>
            </w:r>
            <w:r w:rsidR="008E60C0">
              <w:rPr>
                <w:rFonts w:eastAsiaTheme="minorEastAsia"/>
                <w:noProof/>
                <w:kern w:val="2"/>
                <w14:ligatures w14:val="standardContextual"/>
              </w:rPr>
              <w:tab/>
            </w:r>
            <w:r w:rsidR="008E60C0" w:rsidRPr="005B6FAA">
              <w:rPr>
                <w:rStyle w:val="Hyperlink"/>
                <w:noProof/>
              </w:rPr>
              <w:t>Recommendations and conclusion</w:t>
            </w:r>
            <w:r w:rsidR="008E60C0">
              <w:rPr>
                <w:noProof/>
                <w:webHidden/>
              </w:rPr>
              <w:tab/>
            </w:r>
            <w:r w:rsidR="008E60C0">
              <w:rPr>
                <w:noProof/>
                <w:webHidden/>
              </w:rPr>
              <w:fldChar w:fldCharType="begin"/>
            </w:r>
            <w:r w:rsidR="008E60C0">
              <w:rPr>
                <w:noProof/>
                <w:webHidden/>
              </w:rPr>
              <w:instrText xml:space="preserve"> PAGEREF _Toc145025793 \h </w:instrText>
            </w:r>
            <w:r w:rsidR="008E60C0">
              <w:rPr>
                <w:noProof/>
                <w:webHidden/>
              </w:rPr>
            </w:r>
            <w:r w:rsidR="008E60C0">
              <w:rPr>
                <w:noProof/>
                <w:webHidden/>
              </w:rPr>
              <w:fldChar w:fldCharType="separate"/>
            </w:r>
            <w:r w:rsidR="008E60C0">
              <w:rPr>
                <w:noProof/>
                <w:webHidden/>
              </w:rPr>
              <w:t>26</w:t>
            </w:r>
            <w:r w:rsidR="008E60C0">
              <w:rPr>
                <w:noProof/>
                <w:webHidden/>
              </w:rPr>
              <w:fldChar w:fldCharType="end"/>
            </w:r>
          </w:hyperlink>
        </w:p>
        <w:p w14:paraId="25DAD5CD" w14:textId="559E1E43"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94" w:history="1">
            <w:r w:rsidR="008E60C0" w:rsidRPr="005B6FAA">
              <w:rPr>
                <w:rStyle w:val="Hyperlink"/>
                <w:noProof/>
              </w:rPr>
              <w:t>17.1</w:t>
            </w:r>
            <w:r w:rsidR="008E60C0">
              <w:rPr>
                <w:rFonts w:eastAsiaTheme="minorEastAsia"/>
                <w:noProof/>
                <w:kern w:val="2"/>
                <w14:ligatures w14:val="standardContextual"/>
              </w:rPr>
              <w:tab/>
            </w:r>
            <w:r w:rsidR="008E60C0" w:rsidRPr="005B6FAA">
              <w:rPr>
                <w:rStyle w:val="Hyperlink"/>
                <w:noProof/>
              </w:rPr>
              <w:t>Recommendations</w:t>
            </w:r>
            <w:r w:rsidR="008E60C0">
              <w:rPr>
                <w:noProof/>
                <w:webHidden/>
              </w:rPr>
              <w:tab/>
            </w:r>
            <w:r w:rsidR="008E60C0">
              <w:rPr>
                <w:noProof/>
                <w:webHidden/>
              </w:rPr>
              <w:fldChar w:fldCharType="begin"/>
            </w:r>
            <w:r w:rsidR="008E60C0">
              <w:rPr>
                <w:noProof/>
                <w:webHidden/>
              </w:rPr>
              <w:instrText xml:space="preserve"> PAGEREF _Toc145025794 \h </w:instrText>
            </w:r>
            <w:r w:rsidR="008E60C0">
              <w:rPr>
                <w:noProof/>
                <w:webHidden/>
              </w:rPr>
            </w:r>
            <w:r w:rsidR="008E60C0">
              <w:rPr>
                <w:noProof/>
                <w:webHidden/>
              </w:rPr>
              <w:fldChar w:fldCharType="separate"/>
            </w:r>
            <w:r w:rsidR="008E60C0">
              <w:rPr>
                <w:noProof/>
                <w:webHidden/>
              </w:rPr>
              <w:t>26</w:t>
            </w:r>
            <w:r w:rsidR="008E60C0">
              <w:rPr>
                <w:noProof/>
                <w:webHidden/>
              </w:rPr>
              <w:fldChar w:fldCharType="end"/>
            </w:r>
          </w:hyperlink>
        </w:p>
        <w:p w14:paraId="5748DC28" w14:textId="78CE31C5" w:rsidR="008E60C0" w:rsidRDefault="00000000" w:rsidP="00D26741">
          <w:pPr>
            <w:pStyle w:val="TOC2"/>
            <w:tabs>
              <w:tab w:val="left" w:pos="880"/>
              <w:tab w:val="right" w:leader="dot" w:pos="9350"/>
            </w:tabs>
            <w:jc w:val="both"/>
            <w:rPr>
              <w:rFonts w:eastAsiaTheme="minorEastAsia"/>
              <w:noProof/>
              <w:kern w:val="2"/>
              <w14:ligatures w14:val="standardContextual"/>
            </w:rPr>
          </w:pPr>
          <w:hyperlink w:anchor="_Toc145025795" w:history="1">
            <w:r w:rsidR="008E60C0" w:rsidRPr="005B6FAA">
              <w:rPr>
                <w:rStyle w:val="Hyperlink"/>
                <w:noProof/>
              </w:rPr>
              <w:t>17.2</w:t>
            </w:r>
            <w:r w:rsidR="008E60C0">
              <w:rPr>
                <w:rFonts w:eastAsiaTheme="minorEastAsia"/>
                <w:noProof/>
                <w:kern w:val="2"/>
                <w14:ligatures w14:val="standardContextual"/>
              </w:rPr>
              <w:tab/>
            </w:r>
            <w:r w:rsidR="008E60C0" w:rsidRPr="005B6FAA">
              <w:rPr>
                <w:rStyle w:val="Hyperlink"/>
                <w:noProof/>
              </w:rPr>
              <w:t>Conclusion</w:t>
            </w:r>
            <w:r w:rsidR="008E60C0">
              <w:rPr>
                <w:noProof/>
                <w:webHidden/>
              </w:rPr>
              <w:tab/>
            </w:r>
            <w:r w:rsidR="008E60C0">
              <w:rPr>
                <w:noProof/>
                <w:webHidden/>
              </w:rPr>
              <w:fldChar w:fldCharType="begin"/>
            </w:r>
            <w:r w:rsidR="008E60C0">
              <w:rPr>
                <w:noProof/>
                <w:webHidden/>
              </w:rPr>
              <w:instrText xml:space="preserve"> PAGEREF _Toc145025795 \h </w:instrText>
            </w:r>
            <w:r w:rsidR="008E60C0">
              <w:rPr>
                <w:noProof/>
                <w:webHidden/>
              </w:rPr>
            </w:r>
            <w:r w:rsidR="008E60C0">
              <w:rPr>
                <w:noProof/>
                <w:webHidden/>
              </w:rPr>
              <w:fldChar w:fldCharType="separate"/>
            </w:r>
            <w:r w:rsidR="008E60C0">
              <w:rPr>
                <w:noProof/>
                <w:webHidden/>
              </w:rPr>
              <w:t>26</w:t>
            </w:r>
            <w:r w:rsidR="008E60C0">
              <w:rPr>
                <w:noProof/>
                <w:webHidden/>
              </w:rPr>
              <w:fldChar w:fldCharType="end"/>
            </w:r>
          </w:hyperlink>
        </w:p>
        <w:p w14:paraId="2132DDB3" w14:textId="0FCF5131" w:rsidR="008E60C0" w:rsidRDefault="00000000" w:rsidP="00D26741">
          <w:pPr>
            <w:pStyle w:val="TOC1"/>
            <w:tabs>
              <w:tab w:val="left" w:pos="660"/>
              <w:tab w:val="right" w:leader="dot" w:pos="9350"/>
            </w:tabs>
            <w:jc w:val="both"/>
            <w:rPr>
              <w:rFonts w:eastAsiaTheme="minorEastAsia"/>
              <w:noProof/>
              <w:kern w:val="2"/>
              <w14:ligatures w14:val="standardContextual"/>
            </w:rPr>
          </w:pPr>
          <w:hyperlink w:anchor="_Toc145025796" w:history="1">
            <w:r w:rsidR="008E60C0" w:rsidRPr="005B6FAA">
              <w:rPr>
                <w:rStyle w:val="Hyperlink"/>
                <w:noProof/>
              </w:rPr>
              <w:t>18.</w:t>
            </w:r>
            <w:r w:rsidR="008E60C0">
              <w:rPr>
                <w:rFonts w:eastAsiaTheme="minorEastAsia"/>
                <w:noProof/>
                <w:kern w:val="2"/>
                <w14:ligatures w14:val="standardContextual"/>
              </w:rPr>
              <w:tab/>
            </w:r>
            <w:r w:rsidR="008E60C0" w:rsidRPr="005B6FAA">
              <w:rPr>
                <w:rStyle w:val="Hyperlink"/>
                <w:noProof/>
              </w:rPr>
              <w:t>References</w:t>
            </w:r>
            <w:r w:rsidR="008E60C0">
              <w:rPr>
                <w:noProof/>
                <w:webHidden/>
              </w:rPr>
              <w:tab/>
            </w:r>
            <w:r w:rsidR="008E60C0">
              <w:rPr>
                <w:noProof/>
                <w:webHidden/>
              </w:rPr>
              <w:fldChar w:fldCharType="begin"/>
            </w:r>
            <w:r w:rsidR="008E60C0">
              <w:rPr>
                <w:noProof/>
                <w:webHidden/>
              </w:rPr>
              <w:instrText xml:space="preserve"> PAGEREF _Toc145025796 \h </w:instrText>
            </w:r>
            <w:r w:rsidR="008E60C0">
              <w:rPr>
                <w:noProof/>
                <w:webHidden/>
              </w:rPr>
            </w:r>
            <w:r w:rsidR="008E60C0">
              <w:rPr>
                <w:noProof/>
                <w:webHidden/>
              </w:rPr>
              <w:fldChar w:fldCharType="separate"/>
            </w:r>
            <w:r w:rsidR="008E60C0">
              <w:rPr>
                <w:noProof/>
                <w:webHidden/>
              </w:rPr>
              <w:t>27</w:t>
            </w:r>
            <w:r w:rsidR="008E60C0">
              <w:rPr>
                <w:noProof/>
                <w:webHidden/>
              </w:rPr>
              <w:fldChar w:fldCharType="end"/>
            </w:r>
          </w:hyperlink>
        </w:p>
        <w:p w14:paraId="67DC1507" w14:textId="376FD679" w:rsidR="001C2EEC" w:rsidRDefault="00A619B7" w:rsidP="00D26741">
          <w:pPr>
            <w:jc w:val="both"/>
          </w:pPr>
          <w:r>
            <w:fldChar w:fldCharType="end"/>
          </w:r>
        </w:p>
      </w:sdtContent>
    </w:sdt>
    <w:p w14:paraId="011FA98E" w14:textId="77777777" w:rsidR="004537DC" w:rsidRDefault="004537DC" w:rsidP="00D26741">
      <w:pPr>
        <w:jc w:val="both"/>
        <w:rPr>
          <w:rFonts w:cs="Arial"/>
        </w:rPr>
      </w:pPr>
    </w:p>
    <w:p w14:paraId="36B8514D" w14:textId="77777777" w:rsidR="0082093D" w:rsidRDefault="0082093D" w:rsidP="00D26741">
      <w:pPr>
        <w:jc w:val="both"/>
        <w:rPr>
          <w:rFonts w:cs="Arial"/>
        </w:rPr>
      </w:pPr>
    </w:p>
    <w:p w14:paraId="5813D0F6" w14:textId="77777777" w:rsidR="0082093D" w:rsidRDefault="0082093D" w:rsidP="00D26741">
      <w:pPr>
        <w:jc w:val="both"/>
        <w:rPr>
          <w:rFonts w:cs="Arial"/>
        </w:rPr>
      </w:pPr>
    </w:p>
    <w:p w14:paraId="0B445871" w14:textId="77777777" w:rsidR="0082093D" w:rsidRDefault="0082093D" w:rsidP="00D26741">
      <w:pPr>
        <w:jc w:val="both"/>
        <w:rPr>
          <w:rFonts w:cs="Arial"/>
        </w:rPr>
      </w:pPr>
    </w:p>
    <w:p w14:paraId="5801B02E" w14:textId="77777777" w:rsidR="00C64EC0" w:rsidRDefault="00C64EC0" w:rsidP="00D26741">
      <w:pPr>
        <w:jc w:val="both"/>
        <w:rPr>
          <w:rFonts w:cs="Arial"/>
        </w:rPr>
      </w:pPr>
    </w:p>
    <w:p w14:paraId="53D0B957" w14:textId="77777777" w:rsidR="0082093D" w:rsidRDefault="0082093D" w:rsidP="00D26741">
      <w:pPr>
        <w:jc w:val="both"/>
        <w:rPr>
          <w:rFonts w:cs="Arial"/>
        </w:rPr>
      </w:pPr>
    </w:p>
    <w:p w14:paraId="09631646" w14:textId="77777777" w:rsidR="0082093D" w:rsidRDefault="0082093D" w:rsidP="00D26741">
      <w:pPr>
        <w:jc w:val="both"/>
        <w:rPr>
          <w:rFonts w:cs="Arial"/>
        </w:rPr>
      </w:pPr>
    </w:p>
    <w:p w14:paraId="395A42D6" w14:textId="77777777" w:rsidR="0082093D" w:rsidRDefault="0082093D" w:rsidP="00D26741">
      <w:pPr>
        <w:jc w:val="both"/>
        <w:rPr>
          <w:rFonts w:cs="Arial"/>
        </w:rPr>
      </w:pPr>
    </w:p>
    <w:p w14:paraId="56C2E98D" w14:textId="77777777" w:rsidR="0082093D" w:rsidRDefault="0082093D" w:rsidP="00D26741">
      <w:pPr>
        <w:jc w:val="both"/>
        <w:rPr>
          <w:rFonts w:cs="Arial"/>
        </w:rPr>
      </w:pPr>
    </w:p>
    <w:p w14:paraId="0E86AFF3" w14:textId="77777777" w:rsidR="00DE2F84" w:rsidRDefault="00DE2F84" w:rsidP="00D26741">
      <w:pPr>
        <w:jc w:val="both"/>
        <w:rPr>
          <w:rFonts w:cs="Arial"/>
        </w:rPr>
      </w:pPr>
    </w:p>
    <w:p w14:paraId="6018BC11" w14:textId="77777777" w:rsidR="0082093D" w:rsidRDefault="0082093D" w:rsidP="00D26741">
      <w:pPr>
        <w:jc w:val="both"/>
        <w:rPr>
          <w:rFonts w:cs="Arial"/>
        </w:rPr>
      </w:pPr>
    </w:p>
    <w:p w14:paraId="2FF3BA42" w14:textId="77777777" w:rsidR="0082093D" w:rsidRPr="00386D6A" w:rsidRDefault="0082093D" w:rsidP="00D26741">
      <w:pPr>
        <w:jc w:val="both"/>
        <w:rPr>
          <w:rFonts w:cs="Arial"/>
        </w:rPr>
      </w:pPr>
    </w:p>
    <w:p w14:paraId="09DACAFD" w14:textId="77777777" w:rsidR="004537DC" w:rsidRDefault="004537DC" w:rsidP="00D26741">
      <w:pPr>
        <w:jc w:val="both"/>
        <w:rPr>
          <w:rFonts w:eastAsia="Times New Roman"/>
        </w:rPr>
      </w:pPr>
    </w:p>
    <w:p w14:paraId="29A9EFBA" w14:textId="77777777" w:rsidR="00B62307" w:rsidRDefault="00B62307" w:rsidP="00D26741">
      <w:pPr>
        <w:jc w:val="both"/>
        <w:rPr>
          <w:rFonts w:eastAsia="Times New Roman"/>
        </w:rPr>
      </w:pPr>
    </w:p>
    <w:p w14:paraId="775E85AA" w14:textId="77777777" w:rsidR="00B62307" w:rsidRDefault="00B62307" w:rsidP="00D26741">
      <w:pPr>
        <w:jc w:val="both"/>
        <w:rPr>
          <w:rFonts w:eastAsia="Times New Roman"/>
        </w:rPr>
      </w:pPr>
    </w:p>
    <w:p w14:paraId="003AB576" w14:textId="77777777" w:rsidR="00FA7171" w:rsidRDefault="00FA7171" w:rsidP="00D26741">
      <w:pPr>
        <w:pStyle w:val="Heading1"/>
        <w:numPr>
          <w:ilvl w:val="0"/>
          <w:numId w:val="1"/>
        </w:numPr>
        <w:jc w:val="both"/>
        <w:rPr>
          <w:rFonts w:eastAsia="Times New Roman"/>
          <w:color w:val="auto"/>
        </w:rPr>
      </w:pPr>
      <w:bookmarkStart w:id="1" w:name="_Toc145025755"/>
      <w:r w:rsidRPr="00FA7171">
        <w:rPr>
          <w:rFonts w:eastAsia="Times New Roman"/>
          <w:color w:val="auto"/>
        </w:rPr>
        <w:lastRenderedPageBreak/>
        <w:t>Introduction</w:t>
      </w:r>
      <w:bookmarkEnd w:id="1"/>
    </w:p>
    <w:p w14:paraId="67501627" w14:textId="6653DB26" w:rsidR="00FA7171" w:rsidRPr="00FA7171" w:rsidRDefault="00EF12A9" w:rsidP="00D26741">
      <w:pPr>
        <w:spacing w:line="360" w:lineRule="auto"/>
        <w:jc w:val="both"/>
        <w:rPr>
          <w:rFonts w:ascii="Times New Roman" w:hAnsi="Times New Roman" w:cs="Times New Roman"/>
          <w:i/>
          <w:iCs/>
          <w:sz w:val="24"/>
          <w:szCs w:val="24"/>
        </w:rPr>
      </w:pPr>
      <w:r w:rsidRPr="00EF12A9">
        <w:rPr>
          <w:rFonts w:asciiTheme="majorBidi" w:hAnsiTheme="majorBidi" w:cstheme="majorBidi"/>
          <w:color w:val="212121"/>
          <w:sz w:val="24"/>
          <w:szCs w:val="24"/>
        </w:rPr>
        <w:t xml:space="preserve">Strategic leadership in an </w:t>
      </w:r>
      <w:r w:rsidR="00A7789D" w:rsidRPr="00EF12A9">
        <w:rPr>
          <w:rFonts w:asciiTheme="majorBidi" w:hAnsiTheme="majorBidi" w:cstheme="majorBidi"/>
          <w:color w:val="212121"/>
          <w:sz w:val="24"/>
          <w:szCs w:val="24"/>
        </w:rPr>
        <w:t>organization</w:t>
      </w:r>
      <w:r w:rsidRPr="00EF12A9">
        <w:rPr>
          <w:rFonts w:asciiTheme="majorBidi" w:hAnsiTheme="majorBidi" w:cstheme="majorBidi"/>
          <w:color w:val="212121"/>
          <w:sz w:val="24"/>
          <w:szCs w:val="24"/>
        </w:rPr>
        <w:t xml:space="preserve"> refers to the strategy development, leadership, and </w:t>
      </w:r>
      <w:r w:rsidR="00A7789D" w:rsidRPr="00EF12A9">
        <w:rPr>
          <w:rFonts w:asciiTheme="majorBidi" w:hAnsiTheme="majorBidi" w:cstheme="majorBidi"/>
          <w:color w:val="212121"/>
          <w:sz w:val="24"/>
          <w:szCs w:val="24"/>
        </w:rPr>
        <w:t>utilization</w:t>
      </w:r>
      <w:r w:rsidRPr="00EF12A9">
        <w:rPr>
          <w:rFonts w:asciiTheme="majorBidi" w:hAnsiTheme="majorBidi" w:cstheme="majorBidi"/>
          <w:color w:val="212121"/>
          <w:sz w:val="24"/>
          <w:szCs w:val="24"/>
        </w:rPr>
        <w:t xml:space="preserve"> of resources to establish and accomplish objectives efficiently</w:t>
      </w:r>
      <w:r w:rsidR="00B57BC2">
        <w:rPr>
          <w:rFonts w:asciiTheme="majorBidi" w:hAnsiTheme="majorBidi" w:cstheme="majorBidi"/>
          <w:color w:val="212121"/>
          <w:sz w:val="24"/>
          <w:szCs w:val="24"/>
        </w:rPr>
        <w:t>, a</w:t>
      </w:r>
      <w:r w:rsidR="00B57BC2" w:rsidRPr="00A7789D">
        <w:rPr>
          <w:rFonts w:asciiTheme="majorBidi" w:hAnsiTheme="majorBidi" w:cstheme="majorBidi"/>
          <w:color w:val="212121"/>
          <w:sz w:val="24"/>
          <w:szCs w:val="24"/>
        </w:rPr>
        <w:t>s</w:t>
      </w:r>
      <w:r w:rsidR="00A7789D" w:rsidRPr="00A7789D">
        <w:rPr>
          <w:rFonts w:asciiTheme="majorBidi" w:hAnsiTheme="majorBidi" w:cstheme="majorBidi"/>
          <w:color w:val="212121"/>
          <w:sz w:val="24"/>
          <w:szCs w:val="24"/>
        </w:rPr>
        <w:t xml:space="preserve"> well as a review of their internal operations and external factors affecting the business</w:t>
      </w:r>
      <w:r w:rsidR="00F43353">
        <w:rPr>
          <w:rFonts w:asciiTheme="majorBidi" w:hAnsiTheme="majorBidi" w:cstheme="majorBidi"/>
          <w:color w:val="212121"/>
          <w:sz w:val="24"/>
          <w:szCs w:val="24"/>
        </w:rPr>
        <w:t xml:space="preserve"> (</w:t>
      </w:r>
      <w:r w:rsidR="00F43353" w:rsidRPr="00F43353">
        <w:rPr>
          <w:rFonts w:asciiTheme="majorBidi" w:hAnsiTheme="majorBidi" w:cstheme="majorBidi"/>
          <w:sz w:val="24"/>
          <w:szCs w:val="24"/>
        </w:rPr>
        <w:t>Gass</w:t>
      </w:r>
      <w:r w:rsidR="00F43353">
        <w:rPr>
          <w:rFonts w:asciiTheme="majorBidi" w:hAnsiTheme="majorBidi" w:cstheme="majorBidi"/>
          <w:sz w:val="24"/>
          <w:szCs w:val="24"/>
        </w:rPr>
        <w:t xml:space="preserve"> &amp;</w:t>
      </w:r>
      <w:r w:rsidR="00F43353" w:rsidRPr="00F43353">
        <w:rPr>
          <w:rFonts w:asciiTheme="majorBidi" w:hAnsiTheme="majorBidi" w:cstheme="majorBidi"/>
          <w:sz w:val="24"/>
          <w:szCs w:val="24"/>
        </w:rPr>
        <w:t>Harris 1997</w:t>
      </w:r>
      <w:r w:rsidR="00F43353">
        <w:rPr>
          <w:rFonts w:asciiTheme="majorBidi" w:hAnsiTheme="majorBidi" w:cstheme="majorBidi"/>
          <w:sz w:val="24"/>
          <w:szCs w:val="24"/>
        </w:rPr>
        <w:t xml:space="preserve">, </w:t>
      </w:r>
      <w:r w:rsidR="00675E33">
        <w:rPr>
          <w:rFonts w:asciiTheme="majorBidi" w:hAnsiTheme="majorBidi" w:cstheme="majorBidi"/>
          <w:sz w:val="24"/>
          <w:szCs w:val="24"/>
        </w:rPr>
        <w:t>759</w:t>
      </w:r>
      <w:r w:rsidR="00F43353">
        <w:rPr>
          <w:rFonts w:asciiTheme="majorBidi" w:hAnsiTheme="majorBidi" w:cstheme="majorBidi"/>
          <w:color w:val="212121"/>
          <w:sz w:val="24"/>
          <w:szCs w:val="24"/>
        </w:rPr>
        <w:t>)</w:t>
      </w:r>
      <w:r w:rsidR="00A7789D" w:rsidRPr="00A7789D">
        <w:rPr>
          <w:rFonts w:asciiTheme="majorBidi" w:hAnsiTheme="majorBidi" w:cstheme="majorBidi"/>
          <w:color w:val="212121"/>
          <w:sz w:val="24"/>
          <w:szCs w:val="24"/>
        </w:rPr>
        <w:t>. Developing and carrying out strategies allow a business to proceed with its implementation plan</w:t>
      </w:r>
      <w:r w:rsidR="00A619B7">
        <w:rPr>
          <w:rFonts w:asciiTheme="majorBidi" w:hAnsiTheme="majorBidi" w:cstheme="majorBidi"/>
          <w:color w:val="212121"/>
          <w:sz w:val="24"/>
          <w:szCs w:val="24"/>
        </w:rPr>
        <w:fldChar w:fldCharType="begin" w:fldLock="1"/>
      </w:r>
      <w:r w:rsidR="00864944">
        <w:rPr>
          <w:rFonts w:asciiTheme="majorBidi" w:hAnsiTheme="majorBidi" w:cstheme="majorBidi"/>
          <w:color w:val="212121"/>
          <w:sz w:val="24"/>
          <w:szCs w:val="24"/>
        </w:rPr>
        <w:instrText>ADDIN CSL_CITATION {"citationItems":[{"id":"ITEM-1","itemData":{"DOI":"doi:10.2478/ijcm-2023-0005","author":[{"dropping-particle":"","family":"Haromszeki","given":"Łukasz","non-dropping-particle":"","parse-names":false,"suffix":""}],"container-title":"International Journal of Contemporary Management","id":"ITEM-1","issue":"3","issued":{"date-parts":[["3923"]]},"page":"1-14","title":"The Effects of TM and CM on Organizational Leadership in Foreign Entities of MNCs","type":"article-journal","volume":"59"},"uris":["http://www.mendeley.com/documents/?uuid=bf963d66-3ace-4335-9f27-d3762691828a"]}],"mendeley":{"formattedCitation":"[2]","plainTextFormattedCitation":"[2]","previouslyFormattedCitation":"[2]"},"properties":{"noteIndex":0},"schema":"https://github.com/citation-style-language/schema/raw/master/csl-citation.json"}</w:instrText>
      </w:r>
      <w:r w:rsidR="00A619B7">
        <w:rPr>
          <w:rFonts w:asciiTheme="majorBidi" w:hAnsiTheme="majorBidi" w:cstheme="majorBidi"/>
          <w:color w:val="212121"/>
          <w:sz w:val="24"/>
          <w:szCs w:val="24"/>
        </w:rPr>
        <w:fldChar w:fldCharType="separate"/>
      </w:r>
      <w:r w:rsidR="00675E33">
        <w:rPr>
          <w:rFonts w:asciiTheme="majorBidi" w:hAnsiTheme="majorBidi" w:cstheme="majorBidi"/>
          <w:noProof/>
          <w:color w:val="212121"/>
          <w:sz w:val="24"/>
          <w:szCs w:val="24"/>
        </w:rPr>
        <w:t xml:space="preserve"> </w:t>
      </w:r>
      <w:r w:rsidR="00A619B7">
        <w:rPr>
          <w:rFonts w:asciiTheme="majorBidi" w:hAnsiTheme="majorBidi" w:cstheme="majorBidi"/>
          <w:color w:val="212121"/>
          <w:sz w:val="24"/>
          <w:szCs w:val="24"/>
        </w:rPr>
        <w:fldChar w:fldCharType="end"/>
      </w:r>
      <w:r w:rsidR="00675E33">
        <w:rPr>
          <w:noProof/>
        </w:rPr>
        <w:t>(</w:t>
      </w:r>
      <w:r w:rsidR="00675E33" w:rsidRPr="00675E33">
        <w:rPr>
          <w:rFonts w:ascii="Times New Roman" w:hAnsi="Times New Roman" w:cs="Times New Roman"/>
          <w:noProof/>
          <w:sz w:val="24"/>
          <w:szCs w:val="24"/>
        </w:rPr>
        <w:t xml:space="preserve">Haromszeki </w:t>
      </w:r>
      <w:r w:rsidR="00675E33">
        <w:rPr>
          <w:rFonts w:ascii="Times New Roman" w:hAnsi="Times New Roman" w:cs="Times New Roman"/>
          <w:noProof/>
          <w:sz w:val="24"/>
          <w:szCs w:val="24"/>
        </w:rPr>
        <w:t>n.d</w:t>
      </w:r>
      <w:r w:rsidR="00675E33">
        <w:rPr>
          <w:noProof/>
        </w:rPr>
        <w:t>)</w:t>
      </w:r>
      <w:r w:rsidR="00FA7171" w:rsidRPr="00FA7171">
        <w:rPr>
          <w:rFonts w:asciiTheme="majorBidi" w:hAnsiTheme="majorBidi" w:cstheme="majorBidi"/>
          <w:color w:val="212121"/>
          <w:sz w:val="24"/>
          <w:szCs w:val="24"/>
        </w:rPr>
        <w:t xml:space="preserve">. </w:t>
      </w:r>
      <w:r w:rsidR="002641BB" w:rsidRPr="002641BB">
        <w:rPr>
          <w:rFonts w:asciiTheme="majorBidi" w:hAnsiTheme="majorBidi" w:cstheme="majorBidi"/>
          <w:i/>
          <w:iCs/>
          <w:color w:val="212121"/>
          <w:sz w:val="24"/>
          <w:szCs w:val="24"/>
        </w:rPr>
        <w:t>The continuous survey was moved by the yearning to embrace a full fundamental assessment of a picked context oriented examination using the strategies, hypotheses, and construction displayed in the fundamental business the chief's module.</w:t>
      </w:r>
      <w:r w:rsidR="00B57BC2" w:rsidRPr="00B57BC2">
        <w:rPr>
          <w:rFonts w:asciiTheme="majorBidi" w:hAnsiTheme="majorBidi" w:cstheme="majorBidi"/>
          <w:i/>
          <w:iCs/>
          <w:color w:val="212121"/>
          <w:sz w:val="24"/>
          <w:szCs w:val="24"/>
        </w:rPr>
        <w:t xml:space="preserve"> The investigation ought to focus on how the association settled its critical troubles and acquired an upper hand through essential administration choices. Understudies can exhibit their insight into key administration thoughts as well as their ability to apply them</w:t>
      </w:r>
      <w:r w:rsidR="00B57BC2">
        <w:rPr>
          <w:rFonts w:asciiTheme="majorBidi" w:hAnsiTheme="majorBidi" w:cstheme="majorBidi"/>
          <w:i/>
          <w:iCs/>
          <w:color w:val="212121"/>
          <w:sz w:val="24"/>
          <w:szCs w:val="24"/>
        </w:rPr>
        <w:t xml:space="preserve"> in genuine business conditions</w:t>
      </w:r>
      <w:r w:rsidR="00FA7171" w:rsidRPr="00FA7171">
        <w:rPr>
          <w:rFonts w:ascii="Times New Roman" w:hAnsi="Times New Roman" w:cs="Times New Roman"/>
          <w:i/>
          <w:iCs/>
          <w:sz w:val="24"/>
          <w:szCs w:val="24"/>
        </w:rPr>
        <w:t>.</w:t>
      </w:r>
    </w:p>
    <w:p w14:paraId="066ECF68" w14:textId="577CC60C" w:rsidR="0009756B" w:rsidRPr="00B43984" w:rsidRDefault="0009756B" w:rsidP="00D26741">
      <w:pPr>
        <w:pStyle w:val="Heading2"/>
        <w:numPr>
          <w:ilvl w:val="1"/>
          <w:numId w:val="1"/>
        </w:numPr>
        <w:jc w:val="both"/>
      </w:pPr>
      <w:bookmarkStart w:id="2" w:name="_Toc145025756"/>
      <w:r w:rsidRPr="00B43984">
        <w:t>Strategic Management</w:t>
      </w:r>
      <w:bookmarkEnd w:id="2"/>
    </w:p>
    <w:p w14:paraId="64178698" w14:textId="11158D12" w:rsidR="00864944" w:rsidRPr="00864944" w:rsidRDefault="00B57BC2" w:rsidP="00D26741">
      <w:pPr>
        <w:pStyle w:val="NormalWeb"/>
        <w:shd w:val="clear" w:color="auto" w:fill="FFFFFF"/>
        <w:spacing w:after="240" w:afterAutospacing="0" w:line="360" w:lineRule="auto"/>
        <w:jc w:val="both"/>
        <w:rPr>
          <w:rFonts w:asciiTheme="majorBidi" w:hAnsiTheme="majorBidi" w:cstheme="majorBidi"/>
          <w:color w:val="212121"/>
        </w:rPr>
      </w:pPr>
      <w:r w:rsidRPr="00B57BC2">
        <w:rPr>
          <w:rFonts w:asciiTheme="majorBidi" w:hAnsiTheme="majorBidi" w:cstheme="majorBidi"/>
          <w:color w:val="212121"/>
        </w:rPr>
        <w:t>The executives lay out targets for the organization's investors. It then makes draws near (prescriptive model) and carries out them (graphic model)</w:t>
      </w:r>
      <w:r w:rsidR="00A619B7">
        <w:rPr>
          <w:rFonts w:asciiTheme="majorBidi" w:hAnsiTheme="majorBidi" w:cstheme="majorBidi"/>
          <w:color w:val="212121"/>
        </w:rPr>
        <w:fldChar w:fldCharType="begin" w:fldLock="1"/>
      </w:r>
      <w:r w:rsidR="00864944">
        <w:rPr>
          <w:rFonts w:asciiTheme="majorBidi" w:hAnsiTheme="majorBidi" w:cstheme="majorBidi"/>
          <w:color w:val="212121"/>
        </w:rPr>
        <w:instrText>ADDIN CSL_CITATION {"citationItems":[{"id":"ITEM-1","itemData":{"DOI":"10.1057/s41267-021-00483-6","ISSN":"1478-6990","abstract":"The purpose of this paper is to encourage and to extend research on natural disasters and international business (IB). More specifically, we review the characteristics of natural disasters and the unique challenges they pose to the business environment and examine how they differ from other types of disasters/crises often researched in the IB literature. Next, we investigate the applicability and challenges of core IB theories to the study of natural disasters. By extending new internalization theory (NIT) to overcome challenges of bounded rationality and reliability, we identify effective strategies for managing the threat of natural disasters through establishing multi-sector partnerships and alternative supply chains. Integrating research on the characteristics of natural disasters and the insights from NIT, we propose natural disaster management strategies for multinational enterprises (MNEs) based on varying degrees of geographic scope of natural disasters and MNEs. This paper concludes with proposing new research opportunities for IB scholars in disaster preparedness, cross-organizational collaborations, and supply chain management.","author":[{"dropping-particle":"","family":"Oh","given":"Chang Hoon","non-dropping-particle":"","parse-names":false,"suffix":""},{"dropping-particle":"","family":"Oetzel","given":"Jennifer","non-dropping-particle":"","parse-names":false,"suffix":""}],"container-title":"Journal of International Business Studies","id":"ITEM-1","issue":"2","issued":{"date-parts":[["2022"]]},"page":"231-254","title":"Multinational enterprises and natural disasters: Challenges and opportunities for IB research","type":"article-journal","volume":"53"},"uris":["http://www.mendeley.com/documents/?uuid=25b09a1d-9054-41ed-b029-0e7fc07d27b3"]}],"mendeley":{"formattedCitation":"[3]","plainTextFormattedCitation":"[3]","previouslyFormattedCitation":"[3]"},"properties":{"noteIndex":0},"schema":"https://github.com/citation-style-language/schema/raw/master/csl-citation.json"}</w:instrText>
      </w:r>
      <w:r w:rsidR="00000000">
        <w:rPr>
          <w:rFonts w:asciiTheme="majorBidi" w:hAnsiTheme="majorBidi" w:cstheme="majorBidi"/>
          <w:color w:val="212121"/>
        </w:rPr>
        <w:fldChar w:fldCharType="separate"/>
      </w:r>
      <w:r w:rsidR="00A619B7">
        <w:rPr>
          <w:rFonts w:asciiTheme="majorBidi" w:hAnsiTheme="majorBidi" w:cstheme="majorBidi"/>
          <w:color w:val="212121"/>
        </w:rPr>
        <w:fldChar w:fldCharType="end"/>
      </w:r>
      <w:r w:rsidR="0009756B" w:rsidRPr="00B43984">
        <w:rPr>
          <w:rFonts w:asciiTheme="majorBidi" w:hAnsiTheme="majorBidi" w:cstheme="majorBidi"/>
          <w:color w:val="212121"/>
        </w:rPr>
        <w:t xml:space="preserve"> </w:t>
      </w:r>
      <w:r w:rsidRPr="00B57BC2">
        <w:rPr>
          <w:rFonts w:asciiTheme="majorBidi" w:hAnsiTheme="majorBidi" w:cstheme="majorBidi"/>
          <w:color w:val="212121"/>
        </w:rPr>
        <w:t>System assessment, conveyance of assets, contender examination, and the inward structure assessment are basic transitional cycles</w:t>
      </w:r>
      <w:r w:rsidR="00675E33">
        <w:rPr>
          <w:rFonts w:asciiTheme="majorBidi" w:hAnsiTheme="majorBidi" w:cstheme="majorBidi"/>
          <w:color w:val="212121"/>
        </w:rPr>
        <w:t xml:space="preserve"> (</w:t>
      </w:r>
      <w:r w:rsidR="00675E33" w:rsidRPr="00675E33">
        <w:rPr>
          <w:noProof/>
        </w:rPr>
        <w:t>Oh</w:t>
      </w:r>
      <w:r w:rsidR="00675E33">
        <w:rPr>
          <w:noProof/>
        </w:rPr>
        <w:t xml:space="preserve"> &amp;</w:t>
      </w:r>
      <w:r w:rsidR="00675E33" w:rsidRPr="00675E33">
        <w:rPr>
          <w:noProof/>
        </w:rPr>
        <w:t xml:space="preserve"> Oetzel</w:t>
      </w:r>
      <w:r w:rsidR="00675E33">
        <w:rPr>
          <w:noProof/>
        </w:rPr>
        <w:t xml:space="preserve"> </w:t>
      </w:r>
      <w:r w:rsidR="00675E33" w:rsidRPr="00675E33">
        <w:rPr>
          <w:noProof/>
        </w:rPr>
        <w:t>2022</w:t>
      </w:r>
      <w:r w:rsidR="00675E33">
        <w:rPr>
          <w:noProof/>
        </w:rPr>
        <w:t>)</w:t>
      </w:r>
      <w:r w:rsidRPr="00B57BC2">
        <w:rPr>
          <w:rFonts w:asciiTheme="majorBidi" w:hAnsiTheme="majorBidi" w:cstheme="majorBidi"/>
          <w:color w:val="212121"/>
        </w:rPr>
        <w:t>. Practically all organizations, scholarly foundations, and non-benefit associations use methodology improvement and execution to get an upper hand</w:t>
      </w:r>
      <w:r w:rsidR="00A619B7">
        <w:fldChar w:fldCharType="begin" w:fldLock="1"/>
      </w:r>
      <w:r w:rsidR="00864944">
        <w:instrText>ADDIN CSL_CITATION {"citationItems":[{"id":"ITEM-1","itemData":{"DOI":"https://doi.org/10.1016/j.tourman.2003.09.004","ISSN":"0261-5177","abstract":"This paper outlines and discusses a strategic and holistic approach to crisis management for the tourism industry. It notes the growing importance of crisis and disaster management for the tourism industry before exploring the definitions and nature of crises and disasters. The paper then proposes a strategic approach to their management from proactive pre-crisis planning through strategic implementation and finally evaluation and feedback. A discussion of crisis and disaster management literature and studies conducted in the tourism field are also introduced. It notes that although crises and disasters cannot be stopped their impacts can be limited by both public and private sector managers. The paper concludes that the understanding and subsequent management of such incidents can be vastly improved through the extension and application of crisis and disaster management theory and concepts from other disciplines, coupled with the development of specific tourism crisis management research and frameworks.","author":[{"dropping-particle":"","family":"Ritchie","given":"Brent W","non-dropping-particle":"","parse-names":false,"suffix":""}],"container-title":"Tourism Management","id":"ITEM-1","issue":"6","issued":{"date-parts":[["2004"]]},"page":"669-683","title":"Chaos, crises and disasters: a strategic approach to crisis management in the tourism industry","type":"article-journal","volume":"25"},"uris":["http://www.mendeley.com/documents/?uuid=83b22007-4c57-4d41-8aa3-57dbae86a94b"]}],"mendeley":{"formattedCitation":"[4]","plainTextFormattedCitation":"[4]","previouslyFormattedCitation":"[4]"},"properties":{"noteIndex":0},"schema":"https://github.com/citation-style-language/schema/raw/master/csl-citation.json"}</w:instrText>
      </w:r>
      <w:r w:rsidR="00A619B7">
        <w:fldChar w:fldCharType="separate"/>
      </w:r>
      <w:r w:rsidR="00675E33">
        <w:rPr>
          <w:noProof/>
        </w:rPr>
        <w:t xml:space="preserve"> (</w:t>
      </w:r>
      <w:r w:rsidR="00675E33" w:rsidRPr="00675E33">
        <w:rPr>
          <w:noProof/>
        </w:rPr>
        <w:t>Ritchie</w:t>
      </w:r>
      <w:r w:rsidR="00675E33">
        <w:rPr>
          <w:noProof/>
        </w:rPr>
        <w:t xml:space="preserve"> </w:t>
      </w:r>
      <w:r w:rsidR="00675E33" w:rsidRPr="00675E33">
        <w:rPr>
          <w:noProof/>
        </w:rPr>
        <w:t>2004</w:t>
      </w:r>
      <w:r w:rsidR="00675E33">
        <w:rPr>
          <w:noProof/>
        </w:rPr>
        <w:t>)</w:t>
      </w:r>
      <w:r w:rsidR="00A619B7">
        <w:fldChar w:fldCharType="end"/>
      </w:r>
      <w:r w:rsidR="0009756B" w:rsidRPr="00B43984">
        <w:rPr>
          <w:rFonts w:asciiTheme="majorBidi" w:hAnsiTheme="majorBidi" w:cstheme="majorBidi"/>
          <w:color w:val="212121"/>
        </w:rPr>
        <w:t>.</w:t>
      </w:r>
    </w:p>
    <w:p w14:paraId="75936FCC" w14:textId="77777777" w:rsidR="00B43984" w:rsidRPr="00DD3C1C" w:rsidRDefault="00B43984" w:rsidP="00D26741">
      <w:pPr>
        <w:pStyle w:val="Heading2"/>
        <w:numPr>
          <w:ilvl w:val="1"/>
          <w:numId w:val="1"/>
        </w:numPr>
        <w:jc w:val="both"/>
      </w:pPr>
      <w:bookmarkStart w:id="3" w:name="_Toc145025757"/>
      <w:r w:rsidRPr="003D4E03">
        <w:t>Strategic Management</w:t>
      </w:r>
      <w:r w:rsidR="003D4E03" w:rsidRPr="003D4E03">
        <w:t xml:space="preserve"> steps</w:t>
      </w:r>
      <w:bookmarkEnd w:id="3"/>
    </w:p>
    <w:p w14:paraId="3434EB9B" w14:textId="54FF235E" w:rsidR="00B43984" w:rsidRPr="003D4E03" w:rsidRDefault="007C768D" w:rsidP="00D26741">
      <w:pPr>
        <w:pStyle w:val="NormalWeb"/>
        <w:spacing w:before="0" w:beforeAutospacing="0" w:after="300" w:afterAutospacing="0"/>
        <w:jc w:val="both"/>
        <w:rPr>
          <w:rFonts w:asciiTheme="majorBidi" w:hAnsiTheme="majorBidi" w:cstheme="majorBidi"/>
          <w:color w:val="212121"/>
        </w:rPr>
      </w:pPr>
      <w:r w:rsidRPr="007C768D">
        <w:rPr>
          <w:rFonts w:asciiTheme="majorBidi" w:hAnsiTheme="majorBidi" w:cstheme="majorBidi"/>
          <w:color w:val="212121"/>
        </w:rPr>
        <w:t>To be successful and fruitful, an organization must follow an array of practices for strategic planning. The steps in the procedure for stra</w:t>
      </w:r>
      <w:r>
        <w:rPr>
          <w:rFonts w:asciiTheme="majorBidi" w:hAnsiTheme="majorBidi" w:cstheme="majorBidi"/>
          <w:color w:val="212121"/>
        </w:rPr>
        <w:t>tegic management are as follows</w:t>
      </w:r>
      <w:r w:rsidRPr="007C768D">
        <w:rPr>
          <w:rFonts w:asciiTheme="majorBidi" w:hAnsiTheme="majorBidi" w:cstheme="majorBidi"/>
          <w:color w:val="212121"/>
        </w:rPr>
        <w:t xml:space="preserve"> </w:t>
      </w:r>
      <w:r w:rsidR="00A619B7">
        <w:rPr>
          <w:rFonts w:asciiTheme="majorBidi" w:hAnsiTheme="majorBidi" w:cstheme="majorBidi"/>
          <w:color w:val="212121"/>
        </w:rPr>
        <w:fldChar w:fldCharType="begin" w:fldLock="1"/>
      </w:r>
      <w:r w:rsidR="00864944">
        <w:rPr>
          <w:rFonts w:asciiTheme="majorBidi" w:hAnsiTheme="majorBidi" w:cstheme="majorBidi"/>
          <w:color w:val="212121"/>
        </w:rPr>
        <w:instrText>ADDIN CSL_CITATION {"citationItems":[{"id":"ITEM-1","itemData":{"DOI":"https://doi.org/10.1016/j.lrp.2008.11.005","ISSN":"0024-6301","abstract":"This article shows how visualization can be used in the strategic-planning process, by examining the use of real-time, interactive visual representations in the business strategy process. Starting with a concise review of literature, we postulate that visualization can improve the quality of the strategic planning process by addressing many of its cognitive, social, and emotional challenges. We develop a conceptual framework for strategy visualization, and use this structure to group and position interactive visual representations of information along the strategic-planning process. We highlight the benefits of visual methods for strategizing, and illustrate them with five case studies covering the entire strategizing process from analysis to implementation. The cases also highlight the use of visualization at different organizational levels, and we consider some of the challenges involved in employing graphic means in strategy work, and how to address them. We highlight resulting risks and practices for visual strategizing and articulate a research agenda for this emergent domain. The key lesson for executives is that visualization should not just be seen as an attractive way to communicate strategic planning process outcomes and monitor its progress, but as a powerful process enabler that can enable strategizing as a joint managerial practice – if facilitated properly. Visualization is, however, a double edged sword and we present several caveats that need to be considered in its application in the strategy context.","author":[{"dropping-particle":"","family":"Eppler","given":"Martin J","non-dropping-particle":"","parse-names":false,"suffix":""},{"dropping-particle":"","family":"Platts","given":"Ken W","non-dropping-particle":"","parse-names":false,"suffix":""}],"container-title":"Long Range Planning","id":"ITEM-1","issue":"1","issued":{"date-parts":[["2009"]]},"page":"42-74","title":"Visual Strategizing: The Systematic Use of Visualization in the Strategic-Planning Process","type":"article-journal","volume":"42"},"uris":["http://www.mendeley.com/documents/?uuid=47bf2987-f15a-448f-b079-c6aaa47b9cb6"]}],"mendeley":{"formattedCitation":"[5]","plainTextFormattedCitation":"[5]","previouslyFormattedCitation":"[5]"},"properties":{"noteIndex":0},"schema":"https://github.com/citation-style-language/schema/raw/master/csl-citation.json"}</w:instrText>
      </w:r>
      <w:r w:rsidR="00A619B7">
        <w:rPr>
          <w:rFonts w:asciiTheme="majorBidi" w:hAnsiTheme="majorBidi" w:cstheme="majorBidi"/>
          <w:color w:val="212121"/>
        </w:rPr>
        <w:fldChar w:fldCharType="separate"/>
      </w:r>
      <w:r w:rsidR="00675E33">
        <w:rPr>
          <w:rFonts w:asciiTheme="majorBidi" w:hAnsiTheme="majorBidi" w:cstheme="majorBidi"/>
          <w:noProof/>
          <w:color w:val="212121"/>
        </w:rPr>
        <w:t>(</w:t>
      </w:r>
      <w:r w:rsidR="00675E33" w:rsidRPr="00675E33">
        <w:rPr>
          <w:rFonts w:asciiTheme="majorBidi" w:hAnsiTheme="majorBidi" w:cstheme="majorBidi"/>
        </w:rPr>
        <w:t xml:space="preserve"> Eppler</w:t>
      </w:r>
      <w:r w:rsidR="00675E33">
        <w:rPr>
          <w:rFonts w:asciiTheme="majorBidi" w:hAnsiTheme="majorBidi" w:cstheme="majorBidi"/>
        </w:rPr>
        <w:t xml:space="preserve"> &amp;</w:t>
      </w:r>
      <w:r w:rsidR="00675E33" w:rsidRPr="00675E33">
        <w:rPr>
          <w:rFonts w:asciiTheme="majorBidi" w:hAnsiTheme="majorBidi" w:cstheme="majorBidi"/>
        </w:rPr>
        <w:t xml:space="preserve"> Platts</w:t>
      </w:r>
      <w:r w:rsidR="00675E33">
        <w:rPr>
          <w:rFonts w:asciiTheme="majorBidi" w:hAnsiTheme="majorBidi" w:cstheme="majorBidi"/>
        </w:rPr>
        <w:t xml:space="preserve"> </w:t>
      </w:r>
      <w:r w:rsidR="00675E33" w:rsidRPr="00675E33">
        <w:rPr>
          <w:rFonts w:asciiTheme="majorBidi" w:hAnsiTheme="majorBidi" w:cstheme="majorBidi"/>
        </w:rPr>
        <w:t>2009</w:t>
      </w:r>
      <w:r w:rsidR="00675E33">
        <w:rPr>
          <w:rFonts w:asciiTheme="majorBidi" w:hAnsiTheme="majorBidi" w:cstheme="majorBidi"/>
          <w:noProof/>
          <w:color w:val="212121"/>
        </w:rPr>
        <w:t>)</w:t>
      </w:r>
      <w:r w:rsidR="00A619B7">
        <w:rPr>
          <w:rFonts w:asciiTheme="majorBidi" w:hAnsiTheme="majorBidi" w:cstheme="majorBidi"/>
          <w:color w:val="212121"/>
        </w:rPr>
        <w:fldChar w:fldCharType="end"/>
      </w:r>
      <w:r w:rsidR="00B43984" w:rsidRPr="003D4E03">
        <w:rPr>
          <w:rFonts w:asciiTheme="majorBidi" w:hAnsiTheme="majorBidi" w:cstheme="majorBidi"/>
          <w:color w:val="212121"/>
        </w:rPr>
        <w:t>:</w:t>
      </w:r>
    </w:p>
    <w:p w14:paraId="6D3F74F2" w14:textId="77777777" w:rsidR="003B0F5D" w:rsidRDefault="003D4E03" w:rsidP="00D26741">
      <w:pPr>
        <w:pStyle w:val="NormalWeb"/>
        <w:keepNext/>
        <w:spacing w:before="0" w:beforeAutospacing="0" w:after="300" w:afterAutospacing="0"/>
        <w:jc w:val="both"/>
      </w:pPr>
      <w:r w:rsidRPr="003D4E03">
        <w:rPr>
          <w:rFonts w:ascii="Segoe UI" w:hAnsi="Segoe UI" w:cs="Segoe UI"/>
          <w:noProof/>
          <w:color w:val="212121"/>
          <w:sz w:val="30"/>
          <w:szCs w:val="30"/>
        </w:rPr>
        <w:drawing>
          <wp:inline distT="0" distB="0" distL="0" distR="0" wp14:anchorId="1A0095FB" wp14:editId="23867B07">
            <wp:extent cx="5942203" cy="1053389"/>
            <wp:effectExtent l="19050" t="0" r="1397" b="0"/>
            <wp:docPr id="2" name="Picture 1" descr="Strategic Management Process - Meaning, Importance, Steps &amp; Example |  Marketing Overview | MBA Sk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Management Process - Meaning, Importance, Steps &amp; Example |  Marketing Overview | MBA Skool"/>
                    <pic:cNvPicPr>
                      <a:picLocks noChangeAspect="1" noChangeArrowheads="1"/>
                    </pic:cNvPicPr>
                  </pic:nvPicPr>
                  <pic:blipFill>
                    <a:blip r:embed="rId10" cstate="print"/>
                    <a:srcRect t="24359" b="14102"/>
                    <a:stretch>
                      <a:fillRect/>
                    </a:stretch>
                  </pic:blipFill>
                  <pic:spPr bwMode="auto">
                    <a:xfrm>
                      <a:off x="0" y="0"/>
                      <a:ext cx="5942203" cy="1053389"/>
                    </a:xfrm>
                    <a:prstGeom prst="rect">
                      <a:avLst/>
                    </a:prstGeom>
                    <a:noFill/>
                    <a:ln w="9525">
                      <a:noFill/>
                      <a:miter lim="800000"/>
                      <a:headEnd/>
                      <a:tailEnd/>
                    </a:ln>
                  </pic:spPr>
                </pic:pic>
              </a:graphicData>
            </a:graphic>
          </wp:inline>
        </w:drawing>
      </w:r>
    </w:p>
    <w:p w14:paraId="36764760" w14:textId="77777777" w:rsidR="003D4E03" w:rsidRPr="009C07F6" w:rsidRDefault="003B0F5D" w:rsidP="00D26741">
      <w:pPr>
        <w:pStyle w:val="Caption"/>
        <w:jc w:val="both"/>
        <w:rPr>
          <w:rFonts w:asciiTheme="majorBidi" w:hAnsiTheme="majorBidi" w:cstheme="majorBidi"/>
          <w:b w:val="0"/>
          <w:bCs w:val="0"/>
          <w:color w:val="auto"/>
          <w:sz w:val="24"/>
          <w:szCs w:val="24"/>
        </w:rPr>
      </w:pPr>
      <w:r w:rsidRPr="009C07F6">
        <w:rPr>
          <w:rFonts w:asciiTheme="majorBidi" w:hAnsiTheme="majorBidi" w:cstheme="majorBidi"/>
          <w:b w:val="0"/>
          <w:bCs w:val="0"/>
          <w:color w:val="auto"/>
          <w:sz w:val="24"/>
          <w:szCs w:val="24"/>
        </w:rPr>
        <w:t xml:space="preserve">Figure </w:t>
      </w:r>
      <w:r w:rsidR="00A619B7" w:rsidRPr="009C07F6">
        <w:rPr>
          <w:rFonts w:asciiTheme="majorBidi" w:hAnsiTheme="majorBidi" w:cstheme="majorBidi"/>
          <w:b w:val="0"/>
          <w:bCs w:val="0"/>
          <w:color w:val="auto"/>
          <w:sz w:val="24"/>
          <w:szCs w:val="24"/>
        </w:rPr>
        <w:fldChar w:fldCharType="begin"/>
      </w:r>
      <w:r w:rsidR="00FD4511" w:rsidRPr="009C07F6">
        <w:rPr>
          <w:rFonts w:asciiTheme="majorBidi" w:hAnsiTheme="majorBidi" w:cstheme="majorBidi"/>
          <w:b w:val="0"/>
          <w:bCs w:val="0"/>
          <w:color w:val="auto"/>
          <w:sz w:val="24"/>
          <w:szCs w:val="24"/>
        </w:rPr>
        <w:instrText xml:space="preserve"> SEQ Figure \* ARABIC </w:instrText>
      </w:r>
      <w:r w:rsidR="00A619B7" w:rsidRPr="009C07F6">
        <w:rPr>
          <w:rFonts w:asciiTheme="majorBidi" w:hAnsiTheme="majorBidi" w:cstheme="majorBidi"/>
          <w:b w:val="0"/>
          <w:bCs w:val="0"/>
          <w:color w:val="auto"/>
          <w:sz w:val="24"/>
          <w:szCs w:val="24"/>
        </w:rPr>
        <w:fldChar w:fldCharType="separate"/>
      </w:r>
      <w:r w:rsidR="00EF12A9" w:rsidRPr="009C07F6">
        <w:rPr>
          <w:rFonts w:asciiTheme="majorBidi" w:hAnsiTheme="majorBidi" w:cstheme="majorBidi"/>
          <w:b w:val="0"/>
          <w:bCs w:val="0"/>
          <w:noProof/>
          <w:color w:val="auto"/>
          <w:sz w:val="24"/>
          <w:szCs w:val="24"/>
        </w:rPr>
        <w:t>1</w:t>
      </w:r>
      <w:r w:rsidR="00A619B7" w:rsidRPr="009C07F6">
        <w:rPr>
          <w:rFonts w:asciiTheme="majorBidi" w:hAnsiTheme="majorBidi" w:cstheme="majorBidi"/>
          <w:b w:val="0"/>
          <w:bCs w:val="0"/>
          <w:color w:val="auto"/>
          <w:sz w:val="24"/>
          <w:szCs w:val="24"/>
        </w:rPr>
        <w:fldChar w:fldCharType="end"/>
      </w:r>
      <w:r w:rsidR="009C07F6" w:rsidRPr="009C07F6">
        <w:rPr>
          <w:rFonts w:asciiTheme="majorBidi" w:hAnsiTheme="majorBidi" w:cstheme="majorBidi"/>
          <w:b w:val="0"/>
          <w:bCs w:val="0"/>
          <w:color w:val="auto"/>
          <w:sz w:val="24"/>
          <w:szCs w:val="24"/>
        </w:rPr>
        <w:t xml:space="preserve"> steps for strategic management</w:t>
      </w:r>
    </w:p>
    <w:p w14:paraId="729CF13C" w14:textId="77777777" w:rsidR="00B43984" w:rsidRPr="009C31C9" w:rsidRDefault="00B43984" w:rsidP="00D26741">
      <w:pPr>
        <w:pStyle w:val="Heading3"/>
        <w:numPr>
          <w:ilvl w:val="2"/>
          <w:numId w:val="1"/>
        </w:numPr>
        <w:jc w:val="both"/>
        <w:rPr>
          <w:rFonts w:asciiTheme="majorBidi" w:hAnsiTheme="majorBidi"/>
          <w:i/>
          <w:iCs/>
          <w:color w:val="auto"/>
          <w:sz w:val="24"/>
          <w:szCs w:val="24"/>
        </w:rPr>
      </w:pPr>
      <w:bookmarkStart w:id="4" w:name="_Toc145025758"/>
      <w:r w:rsidRPr="009C31C9">
        <w:rPr>
          <w:rFonts w:asciiTheme="majorBidi" w:hAnsiTheme="majorBidi"/>
          <w:i/>
          <w:iCs/>
          <w:color w:val="auto"/>
          <w:sz w:val="24"/>
          <w:szCs w:val="24"/>
        </w:rPr>
        <w:lastRenderedPageBreak/>
        <w:t>Identifying Direction</w:t>
      </w:r>
      <w:bookmarkEnd w:id="4"/>
    </w:p>
    <w:p w14:paraId="09DF6FF4" w14:textId="1E2DE410" w:rsidR="00B43984" w:rsidRPr="003D4E03" w:rsidRDefault="00B57BC2" w:rsidP="00D26741">
      <w:pPr>
        <w:pStyle w:val="NormalWeb"/>
        <w:spacing w:before="0" w:beforeAutospacing="0" w:after="300" w:afterAutospacing="0" w:line="360" w:lineRule="auto"/>
        <w:jc w:val="both"/>
        <w:rPr>
          <w:rFonts w:asciiTheme="majorBidi" w:hAnsiTheme="majorBidi" w:cstheme="majorBidi"/>
          <w:color w:val="212121"/>
        </w:rPr>
      </w:pPr>
      <w:r w:rsidRPr="00B57BC2">
        <w:rPr>
          <w:rFonts w:asciiTheme="majorBidi" w:hAnsiTheme="majorBidi" w:cstheme="majorBidi"/>
          <w:color w:val="212121"/>
        </w:rPr>
        <w:t xml:space="preserve">The main stage requires that the association has an unambiguous objective and course. </w:t>
      </w:r>
      <w:r w:rsidR="00B852A8">
        <w:rPr>
          <w:rFonts w:asciiTheme="majorBidi" w:hAnsiTheme="majorBidi" w:cstheme="majorBidi"/>
          <w:color w:val="212121"/>
        </w:rPr>
        <w:t>Before</w:t>
      </w:r>
      <w:r w:rsidRPr="00B57BC2">
        <w:rPr>
          <w:rFonts w:asciiTheme="majorBidi" w:hAnsiTheme="majorBidi" w:cstheme="majorBidi"/>
          <w:color w:val="212121"/>
        </w:rPr>
        <w:t xml:space="preserve"> thinking up techniques, an organization ought to characterize its targets for a long time to come. The association won't have clearness on its methods and techniques until it initially lays out its objectives</w:t>
      </w:r>
      <w:r w:rsidR="00A619B7">
        <w:rPr>
          <w:rFonts w:asciiTheme="majorBidi" w:hAnsiTheme="majorBidi" w:cstheme="majorBidi"/>
          <w:color w:val="212121"/>
        </w:rPr>
        <w:fldChar w:fldCharType="begin" w:fldLock="1"/>
      </w:r>
      <w:r w:rsidR="00864944">
        <w:rPr>
          <w:rFonts w:asciiTheme="majorBidi" w:hAnsiTheme="majorBidi" w:cstheme="majorBidi"/>
          <w:color w:val="212121"/>
        </w:rPr>
        <w:instrText>ADDIN CSL_CITATION {"citationItems":[{"id":"ITEM-1","itemData":{"DOI":"https://doi.org/10.1016/S0040-1625(99)00120-1","ISSN":"0040-1625","abstract":"The term strategy has been misused and even abused. Worse, the word scenario is often confused with strategy to the point that clarification is needed if we are to understand one another. As a prolongation of the work done by the Rand Corporation in the 1960s, strategic planning, management and prospective approaches have been developed to help organizations master change. Over the past 25 years, we have contributed by creating or further developing various methodologies and procedures such as the Mactor and MICMAC methods for use in scenario building. These tools are doubly powerful in that they stimulate the imagination, reduce collective biases, and promote appropriation. One of the main functions of the strategic futures exercise is to eliminate two errors that we usually describe as the “hammer's risk” and the “nail's dream.” In other words, we forget what a hammer's function is when staring at a nail (the nail's dream) or we know how to use a hammer and imagine that every problem is like a nail (the hammer's risk). In our case, we strive to give simple tools that may be appropriated. However, these simple tools are inspired by intellectual rigor that enables one to ask the right questions. Of course, these tools do not come with a guarantee. The natural talent, common sense, and intuition of the futurist also count!","author":[{"dropping-particle":"","family":"Godet","given":"Michel","non-dropping-particle":"","parse-names":false,"suffix":""}],"container-title":"Technological Forecasting and Social Change","id":"ITEM-1","issue":"1","issued":{"date-parts":[["2000"]]},"page":"3-22","title":"The Art of Scenarios and Strategic Planning: Tools and Pitfalls","type":"article-journal","volume":"65"},"uris":["http://www.mendeley.com/documents/?uuid=cc3d0c22-7108-4327-a143-ecfe176a15dd"]}],"mendeley":{"formattedCitation":"[6]","plainTextFormattedCitation":"[6]","previouslyFormattedCitation":"[6]"},"properties":{"noteIndex":0},"schema":"https://github.com/citation-style-language/schema/raw/master/csl-citation.json"}</w:instrText>
      </w:r>
      <w:r w:rsidR="00A619B7">
        <w:rPr>
          <w:rFonts w:asciiTheme="majorBidi" w:hAnsiTheme="majorBidi" w:cstheme="majorBidi"/>
          <w:color w:val="212121"/>
        </w:rPr>
        <w:fldChar w:fldCharType="separate"/>
      </w:r>
      <w:r w:rsidR="00675E33">
        <w:rPr>
          <w:rFonts w:asciiTheme="majorBidi" w:hAnsiTheme="majorBidi" w:cstheme="majorBidi"/>
          <w:noProof/>
          <w:color w:val="212121"/>
        </w:rPr>
        <w:t xml:space="preserve"> </w:t>
      </w:r>
      <w:r w:rsidR="00A619B7">
        <w:rPr>
          <w:rFonts w:asciiTheme="majorBidi" w:hAnsiTheme="majorBidi" w:cstheme="majorBidi"/>
          <w:color w:val="212121"/>
        </w:rPr>
        <w:fldChar w:fldCharType="end"/>
      </w:r>
      <w:r w:rsidR="00675E33" w:rsidRPr="00675E33">
        <w:rPr>
          <w:noProof/>
        </w:rPr>
        <w:t xml:space="preserve"> </w:t>
      </w:r>
      <w:r w:rsidR="00675E33">
        <w:rPr>
          <w:noProof/>
        </w:rPr>
        <w:t>(</w:t>
      </w:r>
      <w:r w:rsidR="00675E33" w:rsidRPr="00675E33">
        <w:rPr>
          <w:noProof/>
        </w:rPr>
        <w:t>Godet</w:t>
      </w:r>
      <w:r w:rsidR="00675E33">
        <w:rPr>
          <w:noProof/>
        </w:rPr>
        <w:t xml:space="preserve"> </w:t>
      </w:r>
      <w:r w:rsidR="00675E33" w:rsidRPr="00675E33">
        <w:rPr>
          <w:noProof/>
        </w:rPr>
        <w:t>2000</w:t>
      </w:r>
      <w:r w:rsidR="00675E33">
        <w:rPr>
          <w:noProof/>
        </w:rPr>
        <w:t>)</w:t>
      </w:r>
      <w:r w:rsidR="00B43984" w:rsidRPr="003D4E03">
        <w:rPr>
          <w:rFonts w:asciiTheme="majorBidi" w:hAnsiTheme="majorBidi" w:cstheme="majorBidi"/>
          <w:color w:val="212121"/>
        </w:rPr>
        <w:t>.</w:t>
      </w:r>
    </w:p>
    <w:p w14:paraId="5BD69F82" w14:textId="77777777" w:rsidR="00B43984" w:rsidRPr="009C31C9" w:rsidRDefault="00B43984" w:rsidP="00D26741">
      <w:pPr>
        <w:pStyle w:val="Heading3"/>
        <w:numPr>
          <w:ilvl w:val="2"/>
          <w:numId w:val="1"/>
        </w:numPr>
        <w:jc w:val="both"/>
        <w:rPr>
          <w:rFonts w:asciiTheme="majorBidi" w:hAnsiTheme="majorBidi"/>
          <w:i/>
          <w:iCs/>
          <w:color w:val="auto"/>
          <w:sz w:val="24"/>
          <w:szCs w:val="24"/>
        </w:rPr>
      </w:pPr>
      <w:bookmarkStart w:id="5" w:name="_Toc145025759"/>
      <w:r w:rsidRPr="009C31C9">
        <w:rPr>
          <w:rFonts w:asciiTheme="majorBidi" w:hAnsiTheme="majorBidi"/>
          <w:i/>
          <w:iCs/>
          <w:color w:val="auto"/>
          <w:sz w:val="24"/>
          <w:szCs w:val="24"/>
        </w:rPr>
        <w:t>Analyzing Resources</w:t>
      </w:r>
      <w:bookmarkEnd w:id="5"/>
    </w:p>
    <w:p w14:paraId="53B21D16" w14:textId="580F91D8" w:rsidR="00B43984" w:rsidRPr="003D4E03" w:rsidRDefault="00B57BC2" w:rsidP="00D26741">
      <w:pPr>
        <w:pStyle w:val="NormalWeb"/>
        <w:spacing w:before="0" w:beforeAutospacing="0" w:after="300" w:afterAutospacing="0" w:line="360" w:lineRule="auto"/>
        <w:jc w:val="both"/>
        <w:rPr>
          <w:rFonts w:asciiTheme="majorBidi" w:hAnsiTheme="majorBidi" w:cstheme="majorBidi"/>
          <w:color w:val="212121"/>
        </w:rPr>
      </w:pPr>
      <w:r w:rsidRPr="00B57BC2">
        <w:rPr>
          <w:rFonts w:asciiTheme="majorBidi" w:hAnsiTheme="majorBidi" w:cstheme="majorBidi"/>
          <w:color w:val="212121"/>
        </w:rPr>
        <w:t>To acquire the advantages of key administration, an association should initially sort out its resources to do specific obligations. Someone who succeeds at promoting, for instance, may battle to deal with the association's advertising. Subsequently, the board ought to assess its assets and pick the ideal one for each interaction</w:t>
      </w:r>
      <w:r w:rsidR="00A619B7">
        <w:rPr>
          <w:rFonts w:asciiTheme="majorBidi" w:hAnsiTheme="majorBidi" w:cstheme="majorBidi"/>
          <w:color w:val="212121"/>
        </w:rPr>
        <w:fldChar w:fldCharType="begin" w:fldLock="1"/>
      </w:r>
      <w:r w:rsidR="00864944">
        <w:rPr>
          <w:rFonts w:asciiTheme="majorBidi" w:hAnsiTheme="majorBidi" w:cstheme="majorBidi"/>
          <w:color w:val="212121"/>
        </w:rPr>
        <w:instrText>ADDIN CSL_CITATION {"citationItems":[{"id":"ITEM-1","itemData":{"DOI":"doi:10.2478/ijcm-2023-0005","author":[{"dropping-particle":"","family":"Haromszeki","given":"Łukasz","non-dropping-particle":"","parse-names":false,"suffix":""}],"container-title":"International Journal of Contemporary Management","id":"ITEM-1","issue":"3","issued":{"date-parts":[["3923"]]},"page":"1-14","title":"The Effects of TM and CM on Organizational Leadership in Foreign Entities of MNCs","type":"article-journal","volume":"59"},"uris":["http://www.mendeley.com/documents/?uuid=bf963d66-3ace-4335-9f27-d3762691828a"]}],"mendeley":{"formattedCitation":"[2]","plainTextFormattedCitation":"[2]","previouslyFormattedCitation":"[2]"},"properties":{"noteIndex":0},"schema":"https://github.com/citation-style-language/schema/raw/master/csl-citation.json"}</w:instrText>
      </w:r>
      <w:r w:rsidR="00A619B7">
        <w:rPr>
          <w:rFonts w:asciiTheme="majorBidi" w:hAnsiTheme="majorBidi" w:cstheme="majorBidi"/>
          <w:color w:val="212121"/>
        </w:rPr>
        <w:fldChar w:fldCharType="separate"/>
      </w:r>
      <w:r w:rsidR="00675E33">
        <w:rPr>
          <w:rFonts w:asciiTheme="majorBidi" w:hAnsiTheme="majorBidi" w:cstheme="majorBidi"/>
          <w:noProof/>
          <w:color w:val="212121"/>
        </w:rPr>
        <w:t xml:space="preserve"> </w:t>
      </w:r>
      <w:r w:rsidR="00A619B7">
        <w:rPr>
          <w:rFonts w:asciiTheme="majorBidi" w:hAnsiTheme="majorBidi" w:cstheme="majorBidi"/>
          <w:color w:val="212121"/>
        </w:rPr>
        <w:fldChar w:fldCharType="end"/>
      </w:r>
      <w:r w:rsidR="00675E33" w:rsidRPr="00675E33">
        <w:rPr>
          <w:noProof/>
        </w:rPr>
        <w:t xml:space="preserve"> </w:t>
      </w:r>
      <w:r w:rsidR="00675E33">
        <w:rPr>
          <w:noProof/>
        </w:rPr>
        <w:t>(</w:t>
      </w:r>
      <w:r w:rsidR="00675E33" w:rsidRPr="00675E33">
        <w:rPr>
          <w:noProof/>
        </w:rPr>
        <w:t>Haromszeki</w:t>
      </w:r>
      <w:r w:rsidR="00E92B2A">
        <w:rPr>
          <w:noProof/>
        </w:rPr>
        <w:t xml:space="preserve"> </w:t>
      </w:r>
      <w:r w:rsidR="00675E33">
        <w:rPr>
          <w:noProof/>
        </w:rPr>
        <w:t>n.d)</w:t>
      </w:r>
      <w:r w:rsidR="00B43984" w:rsidRPr="003D4E03">
        <w:rPr>
          <w:rFonts w:asciiTheme="majorBidi" w:hAnsiTheme="majorBidi" w:cstheme="majorBidi"/>
          <w:color w:val="212121"/>
        </w:rPr>
        <w:t>.</w:t>
      </w:r>
    </w:p>
    <w:p w14:paraId="7312AD2E" w14:textId="77777777" w:rsidR="00B43984" w:rsidRPr="009C31C9" w:rsidRDefault="00B43984" w:rsidP="00D26741">
      <w:pPr>
        <w:pStyle w:val="Heading3"/>
        <w:numPr>
          <w:ilvl w:val="2"/>
          <w:numId w:val="1"/>
        </w:numPr>
        <w:jc w:val="both"/>
        <w:rPr>
          <w:rFonts w:asciiTheme="majorBidi" w:hAnsiTheme="majorBidi"/>
          <w:i/>
          <w:iCs/>
          <w:color w:val="auto"/>
          <w:sz w:val="24"/>
          <w:szCs w:val="24"/>
        </w:rPr>
      </w:pPr>
      <w:bookmarkStart w:id="6" w:name="_Toc145025760"/>
      <w:r w:rsidRPr="009C31C9">
        <w:rPr>
          <w:rFonts w:asciiTheme="majorBidi" w:hAnsiTheme="majorBidi"/>
          <w:i/>
          <w:iCs/>
          <w:color w:val="auto"/>
          <w:sz w:val="24"/>
          <w:szCs w:val="24"/>
        </w:rPr>
        <w:t>Framing Strategies</w:t>
      </w:r>
      <w:bookmarkEnd w:id="6"/>
    </w:p>
    <w:p w14:paraId="2E8AB5E6" w14:textId="1B2BDFEF" w:rsidR="00B43984" w:rsidRPr="003D4E03" w:rsidRDefault="00B57BC2" w:rsidP="00D26741">
      <w:pPr>
        <w:pStyle w:val="NormalWeb"/>
        <w:spacing w:before="0" w:beforeAutospacing="0" w:after="300" w:afterAutospacing="0" w:line="360" w:lineRule="auto"/>
        <w:jc w:val="both"/>
        <w:rPr>
          <w:rFonts w:asciiTheme="majorBidi" w:hAnsiTheme="majorBidi" w:cstheme="majorBidi"/>
          <w:color w:val="212121"/>
        </w:rPr>
      </w:pPr>
      <w:r w:rsidRPr="00B57BC2">
        <w:rPr>
          <w:rFonts w:asciiTheme="majorBidi" w:hAnsiTheme="majorBidi" w:cstheme="majorBidi"/>
          <w:color w:val="212121"/>
        </w:rPr>
        <w:t>Following the determination of the best assets for each interaction, the association fosters a game plan to accomplish the objective. This essential arrang</w:t>
      </w:r>
      <w:r w:rsidR="00B852A8">
        <w:rPr>
          <w:rFonts w:asciiTheme="majorBidi" w:hAnsiTheme="majorBidi" w:cstheme="majorBidi"/>
          <w:color w:val="212121"/>
        </w:rPr>
        <w:t>ement</w:t>
      </w:r>
      <w:r w:rsidRPr="00B57BC2">
        <w:rPr>
          <w:rFonts w:asciiTheme="majorBidi" w:hAnsiTheme="majorBidi" w:cstheme="majorBidi"/>
          <w:color w:val="212121"/>
        </w:rPr>
        <w:t xml:space="preserve"> incorporates the components expected to achieve the characterized goals. The review, evaluation, and the executives of cycles at each level help the business in settling inside and outer challenges</w:t>
      </w:r>
      <w:r w:rsidR="00A619B7">
        <w:rPr>
          <w:rFonts w:asciiTheme="majorBidi" w:hAnsiTheme="majorBidi" w:cstheme="majorBidi"/>
          <w:color w:val="212121"/>
        </w:rPr>
        <w:fldChar w:fldCharType="begin" w:fldLock="1"/>
      </w:r>
      <w:r w:rsidR="00864944">
        <w:rPr>
          <w:rFonts w:asciiTheme="majorBidi" w:hAnsiTheme="majorBidi" w:cstheme="majorBidi"/>
          <w:color w:val="212121"/>
        </w:rPr>
        <w:instrText>ADDIN CSL_CITATION {"citationItems":[{"id":"ITEM-1","itemData":{"DOI":"10.6007/ijarbss/v3-i10/295","abstract":"This paper is \"The Effect of Human resource Development on organizational productivity.\" The study aims to determine the extent at which effective human resource development can enhance productivity in order to reduce poor performance in organization, to determine the efficiency of human resource training and development in organization growth, to ascertain if human resource development have any significant impact on organizational profitability, to determine and identify the factors affecting human resource development and organizational productivity and to ascertain the attitude of the senior management and other employees on the need for proper utilization of available human resources which have tremendous effect on the firm's profitability. The five research questions and three hypotheses were formulated in line with the objectives of the study. To achieve the aims of the study, data were collected from both primary and secondary source. Data collected were analyzed by use of means, variance and standard deviation and the three hypothesis formulated were tested using z-test statistical tool. Based on the analysis, the study found that human resource development is very vital to any organizations ranging from small to large scare enterprise since it is well known that no business can exist entirely without human being also that one of the major functions of human resource development is the engagement of people to work in order to achieve sales growth and profitability another finding is that the method of training and development as gathered from interview contracted by the researcher are just by reason of the problems the company has due to lack of fund. Based on the findings of the study, the researcher recommends that organization should inculcate the habit of attending seminars and conference, the company should make sure that the effort of employers are appraised from time to time to find out how they contribute to the achievement of organizational goals and also educational qualification must be a pre-requisite for the recruitment, selection promotion and placement of workers.","author":[{"dropping-particle":"","family":"Okoye","given":"P.V.C.","non-dropping-particle":"","parse-names":false,"suffix":""},{"dropping-particle":"","family":"Ezejiofor","given":"Raymond A.","non-dropping-particle":"","parse-names":false,"suffix":""}],"container-title":"International Journal of Academic Research in Business and Social Sciences","id":"ITEM-1","issue":"10","issued":{"date-parts":[["2013"]]},"page":"250-268","title":"The Effect of Human Resources Development on Organizational Productivity","type":"article-journal","volume":"3"},"uris":["http://www.mendeley.com/documents/?uuid=3faa0a63-59da-42e9-ac54-830f377eaf75"]}],"mendeley":{"formattedCitation":"[7]","plainTextFormattedCitation":"[7]","previouslyFormattedCitation":"[7]"},"properties":{"noteIndex":0},"schema":"https://github.com/citation-style-language/schema/raw/master/csl-citation.json"}</w:instrText>
      </w:r>
      <w:r w:rsidR="00A619B7">
        <w:rPr>
          <w:rFonts w:asciiTheme="majorBidi" w:hAnsiTheme="majorBidi" w:cstheme="majorBidi"/>
          <w:color w:val="212121"/>
        </w:rPr>
        <w:fldChar w:fldCharType="separate"/>
      </w:r>
      <w:r w:rsidR="00675E33">
        <w:rPr>
          <w:rFonts w:asciiTheme="majorBidi" w:hAnsiTheme="majorBidi" w:cstheme="majorBidi"/>
          <w:noProof/>
          <w:color w:val="212121"/>
        </w:rPr>
        <w:t xml:space="preserve"> (</w:t>
      </w:r>
      <w:r w:rsidR="00675E33" w:rsidRPr="00675E33">
        <w:rPr>
          <w:noProof/>
        </w:rPr>
        <w:t>Okoye</w:t>
      </w:r>
      <w:r w:rsidR="00675E33">
        <w:rPr>
          <w:noProof/>
        </w:rPr>
        <w:t xml:space="preserve"> &amp; </w:t>
      </w:r>
      <w:r w:rsidR="00675E33" w:rsidRPr="00675E33">
        <w:rPr>
          <w:noProof/>
        </w:rPr>
        <w:t>Ezejiofor</w:t>
      </w:r>
      <w:r w:rsidR="00675E33">
        <w:rPr>
          <w:noProof/>
        </w:rPr>
        <w:t xml:space="preserve"> </w:t>
      </w:r>
      <w:r w:rsidR="00675E33" w:rsidRPr="00675E33">
        <w:rPr>
          <w:noProof/>
        </w:rPr>
        <w:t>2013</w:t>
      </w:r>
      <w:r w:rsidR="00675E33">
        <w:rPr>
          <w:rFonts w:asciiTheme="majorBidi" w:hAnsiTheme="majorBidi" w:cstheme="majorBidi"/>
          <w:noProof/>
          <w:color w:val="212121"/>
        </w:rPr>
        <w:t>)</w:t>
      </w:r>
      <w:r w:rsidR="00A619B7">
        <w:rPr>
          <w:rFonts w:asciiTheme="majorBidi" w:hAnsiTheme="majorBidi" w:cstheme="majorBidi"/>
          <w:color w:val="212121"/>
        </w:rPr>
        <w:fldChar w:fldCharType="end"/>
      </w:r>
      <w:r w:rsidR="00B43984" w:rsidRPr="003D4E03">
        <w:rPr>
          <w:rFonts w:asciiTheme="majorBidi" w:hAnsiTheme="majorBidi" w:cstheme="majorBidi"/>
          <w:color w:val="212121"/>
        </w:rPr>
        <w:t>.</w:t>
      </w:r>
    </w:p>
    <w:p w14:paraId="1A70F985" w14:textId="77777777" w:rsidR="00B43984" w:rsidRPr="009C31C9" w:rsidRDefault="00B43984" w:rsidP="00D26741">
      <w:pPr>
        <w:pStyle w:val="Heading3"/>
        <w:numPr>
          <w:ilvl w:val="2"/>
          <w:numId w:val="1"/>
        </w:numPr>
        <w:jc w:val="both"/>
        <w:rPr>
          <w:rFonts w:asciiTheme="majorBidi" w:hAnsiTheme="majorBidi"/>
          <w:i/>
          <w:iCs/>
          <w:color w:val="auto"/>
          <w:sz w:val="24"/>
          <w:szCs w:val="24"/>
        </w:rPr>
      </w:pPr>
      <w:bookmarkStart w:id="7" w:name="_Toc145025761"/>
      <w:r w:rsidRPr="009C31C9">
        <w:rPr>
          <w:rFonts w:asciiTheme="majorBidi" w:hAnsiTheme="majorBidi"/>
          <w:i/>
          <w:iCs/>
          <w:color w:val="auto"/>
          <w:sz w:val="24"/>
          <w:szCs w:val="24"/>
        </w:rPr>
        <w:t>Implementing Strategies</w:t>
      </w:r>
      <w:bookmarkEnd w:id="7"/>
    </w:p>
    <w:p w14:paraId="7B21294C" w14:textId="718DC02E" w:rsidR="00B43984" w:rsidRPr="003D4E03" w:rsidRDefault="00596B1E" w:rsidP="00D26741">
      <w:pPr>
        <w:pStyle w:val="NormalWeb"/>
        <w:spacing w:before="0" w:beforeAutospacing="0" w:after="300" w:afterAutospacing="0" w:line="360" w:lineRule="auto"/>
        <w:jc w:val="both"/>
        <w:rPr>
          <w:rFonts w:asciiTheme="majorBidi" w:hAnsiTheme="majorBidi" w:cstheme="majorBidi"/>
          <w:color w:val="212121"/>
        </w:rPr>
      </w:pPr>
      <w:r w:rsidRPr="00596B1E">
        <w:rPr>
          <w:rFonts w:asciiTheme="majorBidi" w:hAnsiTheme="majorBidi" w:cstheme="majorBidi"/>
          <w:color w:val="212121"/>
        </w:rPr>
        <w:t>Following the determination of the best assets for each interaction, the association fosters a game plan to accomplish the objective. This essential arrang</w:t>
      </w:r>
      <w:r w:rsidR="00B852A8">
        <w:rPr>
          <w:rFonts w:asciiTheme="majorBidi" w:hAnsiTheme="majorBidi" w:cstheme="majorBidi"/>
          <w:color w:val="212121"/>
        </w:rPr>
        <w:t>ement</w:t>
      </w:r>
      <w:r w:rsidRPr="00596B1E">
        <w:rPr>
          <w:rFonts w:asciiTheme="majorBidi" w:hAnsiTheme="majorBidi" w:cstheme="majorBidi"/>
          <w:color w:val="212121"/>
        </w:rPr>
        <w:t xml:space="preserve"> incorporates the components expected to achieve the characterized goals. The review, evaluation, and the executives of cycles at each level help the business in settling inside and outer challenges</w:t>
      </w:r>
      <w:r w:rsidR="003827FD">
        <w:rPr>
          <w:rFonts w:asciiTheme="majorBidi" w:hAnsiTheme="majorBidi" w:cstheme="majorBidi"/>
          <w:color w:val="212121"/>
        </w:rPr>
        <w:t xml:space="preserve"> </w:t>
      </w:r>
      <w:r w:rsidR="00A619B7">
        <w:rPr>
          <w:rFonts w:asciiTheme="majorBidi" w:hAnsiTheme="majorBidi" w:cstheme="majorBidi"/>
          <w:color w:val="212121"/>
        </w:rPr>
        <w:fldChar w:fldCharType="begin" w:fldLock="1"/>
      </w:r>
      <w:r w:rsidR="003B3D6C">
        <w:rPr>
          <w:rFonts w:asciiTheme="majorBidi" w:hAnsiTheme="majorBidi" w:cstheme="majorBidi"/>
          <w:color w:val="212121"/>
        </w:rPr>
        <w:instrText>ADDIN CSL_CITATION {"citationItems":[{"id":"ITEM-1","itemData":{"DOI":"10.1007/s11187-022-00718-2","ISSN":"1573-0913","abstract":"This study explores how entrepreneurial firms responded to - and displayed resilience in - coping with the uncertainty generated by an unexpected crisis. We examine how entrepreneurs leveraged slack resources to build organizational resilience and, thanks to their entrepreneurial attitude, could eventually turn adversities into opportunities. Through a multiple case study, four key entrepreneurial responses emerge about the type of slack resources (business or family) and extent of entrepreneurial attitude (favourable or unfavourable) leveraged: “waiting while seeding”, “keeping business as usual”, “striving to resist” and “surfing the pandemic”. Slack resources, both business and family, can enable the absorption of a shock, contributing to building absorptive resilience, or the adaptation to the shock, contributing to building adaptive resilience. Yet, they are not sufficient to turn adversities into opportunities because firms also require a favourable entrepreneurial attitude to activate slack.","author":[{"dropping-particle":"","family":"Conz","given":"Elisa","non-dropping-particle":"","parse-names":false,"suffix":""},{"dropping-particle":"","family":"Magnani","given":"Giovanna","non-dropping-particle":"","parse-names":false,"suffix":""},{"dropping-particle":"","family":"Zucchella","given":"Antonella","non-dropping-particle":"","parse-names":false,"suffix":""},{"dropping-particle":"","family":"Massis","given":"Alfredo","non-dropping-particle":"De","parse-names":false,"suffix":""}],"container-title":"Small Business Economics","id":"ITEM-1","issued":{"date-parts":[["2023"]]},"title":"Responding to unexpected crises: The roles of slack resources and entrepreneurial attitude to build resilience","type":"article-journal"},"uris":["http://www.mendeley.com/documents/?uuid=993105a1-4685-41b5-88c8-0aa45333a622"]}],"mendeley":{"formattedCitation":"[8]","plainTextFormattedCitation":"[8]","previouslyFormattedCitation":"[8]"},"properties":{"noteIndex":0},"schema":"https://github.com/citation-style-language/schema/raw/master/csl-citation.json"}</w:instrText>
      </w:r>
      <w:r w:rsidR="00A619B7">
        <w:rPr>
          <w:rFonts w:asciiTheme="majorBidi" w:hAnsiTheme="majorBidi" w:cstheme="majorBidi"/>
          <w:color w:val="212121"/>
        </w:rPr>
        <w:fldChar w:fldCharType="separate"/>
      </w:r>
      <w:r w:rsidR="003827FD">
        <w:rPr>
          <w:rFonts w:asciiTheme="majorBidi" w:hAnsiTheme="majorBidi" w:cstheme="majorBidi"/>
          <w:noProof/>
          <w:color w:val="212121"/>
        </w:rPr>
        <w:t>(</w:t>
      </w:r>
      <w:r w:rsidR="003827FD" w:rsidRPr="003827FD">
        <w:rPr>
          <w:rFonts w:asciiTheme="majorBidi" w:hAnsiTheme="majorBidi" w:cstheme="majorBidi"/>
        </w:rPr>
        <w:t>Conz</w:t>
      </w:r>
      <w:r w:rsidR="003827FD">
        <w:rPr>
          <w:rFonts w:asciiTheme="majorBidi" w:hAnsiTheme="majorBidi" w:cstheme="majorBidi"/>
        </w:rPr>
        <w:t xml:space="preserve"> et al. 2023</w:t>
      </w:r>
      <w:r w:rsidR="003827FD">
        <w:rPr>
          <w:rFonts w:asciiTheme="majorBidi" w:hAnsiTheme="majorBidi" w:cstheme="majorBidi"/>
          <w:noProof/>
          <w:color w:val="212121"/>
        </w:rPr>
        <w:t>)</w:t>
      </w:r>
      <w:r w:rsidR="00A619B7">
        <w:rPr>
          <w:rFonts w:asciiTheme="majorBidi" w:hAnsiTheme="majorBidi" w:cstheme="majorBidi"/>
          <w:color w:val="212121"/>
        </w:rPr>
        <w:fldChar w:fldCharType="end"/>
      </w:r>
      <w:r w:rsidR="00B43984" w:rsidRPr="003D4E03">
        <w:rPr>
          <w:rFonts w:asciiTheme="majorBidi" w:hAnsiTheme="majorBidi" w:cstheme="majorBidi"/>
          <w:color w:val="212121"/>
        </w:rPr>
        <w:t>.</w:t>
      </w:r>
    </w:p>
    <w:p w14:paraId="423A3B7A" w14:textId="77777777" w:rsidR="00B43984" w:rsidRPr="009C31C9" w:rsidRDefault="00B43984" w:rsidP="00D26741">
      <w:pPr>
        <w:pStyle w:val="Heading3"/>
        <w:numPr>
          <w:ilvl w:val="2"/>
          <w:numId w:val="1"/>
        </w:numPr>
        <w:jc w:val="both"/>
        <w:rPr>
          <w:rFonts w:asciiTheme="majorBidi" w:hAnsiTheme="majorBidi"/>
          <w:i/>
          <w:iCs/>
          <w:color w:val="auto"/>
          <w:sz w:val="24"/>
          <w:szCs w:val="24"/>
        </w:rPr>
      </w:pPr>
      <w:bookmarkStart w:id="8" w:name="_Toc145025762"/>
      <w:r w:rsidRPr="009C31C9">
        <w:rPr>
          <w:rFonts w:asciiTheme="majorBidi" w:hAnsiTheme="majorBidi"/>
          <w:i/>
          <w:iCs/>
          <w:color w:val="auto"/>
          <w:sz w:val="24"/>
          <w:szCs w:val="24"/>
        </w:rPr>
        <w:t>Evaluating Effectiveness</w:t>
      </w:r>
      <w:bookmarkEnd w:id="8"/>
    </w:p>
    <w:p w14:paraId="4F087C54" w14:textId="2ADDE5E6" w:rsidR="009C07F6" w:rsidRDefault="00596B1E" w:rsidP="00D26741">
      <w:pPr>
        <w:pStyle w:val="NormalWeb"/>
        <w:spacing w:before="0" w:beforeAutospacing="0" w:after="300" w:afterAutospacing="0" w:line="360" w:lineRule="auto"/>
        <w:jc w:val="both"/>
        <w:rPr>
          <w:rFonts w:asciiTheme="majorBidi" w:hAnsiTheme="majorBidi" w:cstheme="majorBidi"/>
          <w:color w:val="212121"/>
        </w:rPr>
      </w:pPr>
      <w:r w:rsidRPr="00596B1E">
        <w:rPr>
          <w:rFonts w:asciiTheme="majorBidi" w:hAnsiTheme="majorBidi" w:cstheme="majorBidi"/>
          <w:color w:val="212121"/>
        </w:rPr>
        <w:t>Following the determination of the best assets for each interaction, the association fosters a game plan to accomplish the objective. This essential arrang</w:t>
      </w:r>
      <w:r w:rsidR="00B852A8">
        <w:rPr>
          <w:rFonts w:asciiTheme="majorBidi" w:hAnsiTheme="majorBidi" w:cstheme="majorBidi"/>
          <w:color w:val="212121"/>
        </w:rPr>
        <w:t>ement</w:t>
      </w:r>
      <w:r w:rsidRPr="00596B1E">
        <w:rPr>
          <w:rFonts w:asciiTheme="majorBidi" w:hAnsiTheme="majorBidi" w:cstheme="majorBidi"/>
          <w:color w:val="212121"/>
        </w:rPr>
        <w:t xml:space="preserve"> incorporates the components expected to achieve the characterized goals. The review, evaluation, and the executives of cycles at each level help the business in settling inside and outer challenges</w:t>
      </w:r>
      <w:r w:rsidR="00A619B7">
        <w:rPr>
          <w:rFonts w:asciiTheme="majorBidi" w:hAnsiTheme="majorBidi" w:cstheme="majorBidi"/>
          <w:color w:val="212121"/>
        </w:rPr>
        <w:fldChar w:fldCharType="begin" w:fldLock="1"/>
      </w:r>
      <w:r w:rsidR="002F0FFC">
        <w:rPr>
          <w:rFonts w:asciiTheme="majorBidi" w:hAnsiTheme="majorBidi" w:cstheme="majorBidi"/>
          <w:color w:val="212121"/>
        </w:rPr>
        <w:instrText>ADDIN CSL_CITATION {"citationItems":[{"id":"ITEM-1","itemData":{"DOI":"10.1007/s11077-015-9235-8","ISSN":"1573-0891","abstract":"The advocacy coalition framework (ACF) has developed into a comprehensive theoretical approach to the policymaking process. Empirical findings have however posed challenges in understanding important questions about the identification of advocacy coalitions, explanations for possibilities and sources of shifting coalitions, and the role of exploitive coalitions in policy change. We argue that the integration of relevant aspects of cultural theory (CT) into the ACF provides answers to these open questions. First, the theoretical synthesis of both perspectives suggests an exhaustive typology of four distinct sets of policy actors’ cultural biases. In environmental and natural resource policy, they are mainly expressed by myths about physical nature that can be understood as deep core beliefs that entail, guide, and constrain policy core beliefs in the policy subsystem. Second, linking ACF and CT allows for the conceptualization of cognitive mechanisms for strategic cross-cultural alliances between different advocacy coalitions, which are enabled through specific shared or complementary core beliefs. Third, the synthesis provides an explanation for exploitive coalitions who take advantage of issues triggered by external and internal disruptive events through strategic issue (re-)framing and shifting coalitions that, together with ideological congruence related to veto and institutional players, make major policy change possible. To illustrate our theoretical arguments, we present a long-term analysis of policy change through forest sector reforms and forest certification in Germany and Bulgaria. We conclude by underlining the promising explanatory power of combining ACF and CT as a basis for developing a more comprehensive cognitive theory of policymaking in the context of environmental and natural resource management.","author":[{"dropping-particle":"","family":"Sotirov","given":"Metodi","non-dropping-particle":"","parse-names":false,"suffix":""},{"dropping-particle":"","family":"Winkel","given":"Georg","non-dropping-particle":"","parse-names":false,"suffix":""}],"container-title":"Policy Sciences","id":"ITEM-1","issue":"2","issued":{"date-parts":[["2016"]]},"page":"125-154","title":"Toward a cognitive theory of shifting coalitions and policy change: linking the advocacy coalition framework and cultural theory","type":"article-journal","volume":"49"},"uris":["http://www.mendeley.com/documents/?uuid=ff56a8d2-3966-4c96-8177-f20becdf5c3e"]}],"mendeley":{"formattedCitation":"[9]","plainTextFormattedCitation":"[9]","previouslyFormattedCitation":"[9]"},"properties":{"noteIndex":0},"schema":"https://github.com/citation-style-language/schema/raw/master/csl-citation.json"}</w:instrText>
      </w:r>
      <w:r w:rsidR="00A619B7">
        <w:rPr>
          <w:rFonts w:asciiTheme="majorBidi" w:hAnsiTheme="majorBidi" w:cstheme="majorBidi"/>
          <w:color w:val="212121"/>
        </w:rPr>
        <w:fldChar w:fldCharType="separate"/>
      </w:r>
      <w:r w:rsidR="003827FD">
        <w:rPr>
          <w:rFonts w:asciiTheme="majorBidi" w:hAnsiTheme="majorBidi" w:cstheme="majorBidi"/>
          <w:noProof/>
          <w:color w:val="212121"/>
        </w:rPr>
        <w:t xml:space="preserve"> (</w:t>
      </w:r>
      <w:r w:rsidR="003827FD" w:rsidRPr="003827FD">
        <w:rPr>
          <w:noProof/>
        </w:rPr>
        <w:t>Sotirov</w:t>
      </w:r>
      <w:r w:rsidR="003827FD">
        <w:rPr>
          <w:noProof/>
        </w:rPr>
        <w:t xml:space="preserve"> &amp; </w:t>
      </w:r>
      <w:r w:rsidR="003827FD" w:rsidRPr="003827FD">
        <w:rPr>
          <w:noProof/>
        </w:rPr>
        <w:t>Winkel</w:t>
      </w:r>
      <w:r w:rsidR="003827FD">
        <w:rPr>
          <w:noProof/>
        </w:rPr>
        <w:t xml:space="preserve"> </w:t>
      </w:r>
      <w:r w:rsidR="003827FD" w:rsidRPr="003827FD">
        <w:rPr>
          <w:noProof/>
        </w:rPr>
        <w:t>2016</w:t>
      </w:r>
      <w:r w:rsidR="003827FD">
        <w:rPr>
          <w:rFonts w:asciiTheme="majorBidi" w:hAnsiTheme="majorBidi" w:cstheme="majorBidi"/>
          <w:noProof/>
          <w:color w:val="212121"/>
        </w:rPr>
        <w:t>)</w:t>
      </w:r>
      <w:r w:rsidR="00A619B7">
        <w:rPr>
          <w:rFonts w:asciiTheme="majorBidi" w:hAnsiTheme="majorBidi" w:cstheme="majorBidi"/>
          <w:color w:val="212121"/>
        </w:rPr>
        <w:fldChar w:fldCharType="end"/>
      </w:r>
      <w:r w:rsidR="004537DC">
        <w:rPr>
          <w:rFonts w:asciiTheme="majorBidi" w:hAnsiTheme="majorBidi" w:cstheme="majorBidi"/>
          <w:color w:val="212121"/>
        </w:rPr>
        <w:t>.</w:t>
      </w:r>
    </w:p>
    <w:p w14:paraId="13968786" w14:textId="77777777" w:rsidR="004537DC" w:rsidRPr="004537DC" w:rsidRDefault="004537DC" w:rsidP="00D26741">
      <w:pPr>
        <w:pStyle w:val="Heading1"/>
        <w:numPr>
          <w:ilvl w:val="0"/>
          <w:numId w:val="1"/>
        </w:numPr>
        <w:jc w:val="both"/>
        <w:rPr>
          <w:color w:val="auto"/>
        </w:rPr>
      </w:pPr>
      <w:bookmarkStart w:id="9" w:name="_Toc145025763"/>
      <w:r w:rsidRPr="004537DC">
        <w:rPr>
          <w:color w:val="auto"/>
        </w:rPr>
        <w:t>Intercontinental hotel group history and background</w:t>
      </w:r>
      <w:bookmarkEnd w:id="9"/>
    </w:p>
    <w:p w14:paraId="10D9CD77" w14:textId="04AA4381" w:rsidR="0082093D" w:rsidRPr="0082093D" w:rsidRDefault="00BB6939" w:rsidP="00D26741">
      <w:pPr>
        <w:spacing w:line="360" w:lineRule="auto"/>
        <w:jc w:val="both"/>
        <w:rPr>
          <w:rFonts w:asciiTheme="majorBidi" w:hAnsiTheme="majorBidi" w:cstheme="majorBidi"/>
          <w:color w:val="1F2024"/>
          <w:sz w:val="24"/>
          <w:szCs w:val="24"/>
          <w:shd w:val="clear" w:color="auto" w:fill="FFFFFF"/>
        </w:rPr>
      </w:pPr>
      <w:r w:rsidRPr="00BB6939">
        <w:rPr>
          <w:rFonts w:asciiTheme="majorBidi" w:hAnsiTheme="majorBidi" w:cstheme="majorBidi"/>
          <w:color w:val="1F2024"/>
          <w:sz w:val="24"/>
          <w:szCs w:val="24"/>
          <w:shd w:val="clear" w:color="auto" w:fill="FFFFFF"/>
        </w:rPr>
        <w:t xml:space="preserve">InterContinental Hotel Group PLC (IHG) is one of the world's biggest hotel organizations. The enterprise works </w:t>
      </w:r>
      <w:r w:rsidR="00B852A8">
        <w:rPr>
          <w:rFonts w:asciiTheme="majorBidi" w:hAnsiTheme="majorBidi" w:cstheme="majorBidi"/>
          <w:color w:val="1F2024"/>
          <w:sz w:val="24"/>
          <w:szCs w:val="24"/>
          <w:shd w:val="clear" w:color="auto" w:fill="FFFFFF"/>
        </w:rPr>
        <w:t xml:space="preserve">with </w:t>
      </w:r>
      <w:r w:rsidRPr="00BB6939">
        <w:rPr>
          <w:rFonts w:asciiTheme="majorBidi" w:hAnsiTheme="majorBidi" w:cstheme="majorBidi"/>
          <w:color w:val="1F2024"/>
          <w:sz w:val="24"/>
          <w:szCs w:val="24"/>
          <w:shd w:val="clear" w:color="auto" w:fill="FFFFFF"/>
        </w:rPr>
        <w:t xml:space="preserve">hotels in </w:t>
      </w:r>
      <w:r w:rsidR="00B852A8">
        <w:rPr>
          <w:rFonts w:asciiTheme="majorBidi" w:hAnsiTheme="majorBidi" w:cstheme="majorBidi"/>
          <w:color w:val="1F2024"/>
          <w:sz w:val="24"/>
          <w:szCs w:val="24"/>
          <w:shd w:val="clear" w:color="auto" w:fill="FFFFFF"/>
        </w:rPr>
        <w:t xml:space="preserve">the </w:t>
      </w:r>
      <w:r w:rsidRPr="00BB6939">
        <w:rPr>
          <w:rFonts w:asciiTheme="majorBidi" w:hAnsiTheme="majorBidi" w:cstheme="majorBidi"/>
          <w:color w:val="1F2024"/>
          <w:sz w:val="24"/>
          <w:szCs w:val="24"/>
          <w:shd w:val="clear" w:color="auto" w:fill="FFFFFF"/>
        </w:rPr>
        <w:t xml:space="preserve">north of 100 countries all through the world. Latin America </w:t>
      </w:r>
      <w:r w:rsidRPr="00BB6939">
        <w:rPr>
          <w:rFonts w:asciiTheme="majorBidi" w:hAnsiTheme="majorBidi" w:cstheme="majorBidi"/>
          <w:color w:val="1F2024"/>
          <w:sz w:val="24"/>
          <w:szCs w:val="24"/>
          <w:shd w:val="clear" w:color="auto" w:fill="FFFFFF"/>
        </w:rPr>
        <w:lastRenderedPageBreak/>
        <w:t xml:space="preserve">and the US are the main topographical classes, representing most of </w:t>
      </w:r>
      <w:r w:rsidR="00B852A8">
        <w:rPr>
          <w:rFonts w:asciiTheme="majorBidi" w:hAnsiTheme="majorBidi" w:cstheme="majorBidi"/>
          <w:color w:val="1F2024"/>
          <w:sz w:val="24"/>
          <w:szCs w:val="24"/>
          <w:shd w:val="clear" w:color="auto" w:fill="FFFFFF"/>
        </w:rPr>
        <w:t xml:space="preserve">the </w:t>
      </w:r>
      <w:r w:rsidRPr="00BB6939">
        <w:rPr>
          <w:rFonts w:asciiTheme="majorBidi" w:hAnsiTheme="majorBidi" w:cstheme="majorBidi"/>
          <w:color w:val="1F2024"/>
          <w:sz w:val="24"/>
          <w:szCs w:val="24"/>
          <w:shd w:val="clear" w:color="auto" w:fill="FFFFFF"/>
        </w:rPr>
        <w:t>absolute income all through the figure period</w:t>
      </w:r>
      <w:r w:rsidR="00A619B7">
        <w:rPr>
          <w:rFonts w:asciiTheme="majorBidi" w:hAnsiTheme="majorBidi" w:cstheme="majorBidi"/>
          <w:color w:val="1F2024"/>
          <w:sz w:val="24"/>
          <w:szCs w:val="24"/>
          <w:shd w:val="clear" w:color="auto" w:fill="FFFFFF"/>
        </w:rPr>
        <w:fldChar w:fldCharType="begin" w:fldLock="1"/>
      </w:r>
      <w:r w:rsidR="002F0FFC">
        <w:rPr>
          <w:rFonts w:asciiTheme="majorBidi" w:hAnsiTheme="majorBidi" w:cstheme="majorBidi"/>
          <w:color w:val="1F2024"/>
          <w:sz w:val="24"/>
          <w:szCs w:val="24"/>
          <w:shd w:val="clear" w:color="auto" w:fill="FFFFFF"/>
        </w:rPr>
        <w:instrText>ADDIN CSL_CITATION {"citationItems":[{"id":"ITEM-1","itemData":{"DOI":"10.1007/BF02405107","ISSN":"1432-0827","container-title":"Calcified Tissue International","id":"ITEM-1","issue":"1","issued":{"date-parts":[["1983"]]},"page":"631-706","title":"Abstracts Fifth annual scientific meeting of the American Society for bone and mineral research June 5–7, 1993 Hotel Intercontinental San Antonio, Texas","type":"article-journal","volume":"35"},"uris":["http://www.mendeley.com/documents/?uuid=b2aad697-9e54-481d-b4b3-bd021d040d7d"]}],"mendeley":{"formattedCitation":"[10]","plainTextFormattedCitation":"[10]","previouslyFormattedCitation":"[10]"},"properties":{"noteIndex":0},"schema":"https://github.com/citation-style-language/schema/raw/master/csl-citation.json"}</w:instrText>
      </w:r>
      <w:r w:rsidR="00A619B7">
        <w:rPr>
          <w:rFonts w:asciiTheme="majorBidi" w:hAnsiTheme="majorBidi" w:cstheme="majorBidi"/>
          <w:color w:val="1F2024"/>
          <w:sz w:val="24"/>
          <w:szCs w:val="24"/>
          <w:shd w:val="clear" w:color="auto" w:fill="FFFFFF"/>
        </w:rPr>
        <w:fldChar w:fldCharType="separate"/>
      </w:r>
      <w:r w:rsidR="003827FD">
        <w:rPr>
          <w:rFonts w:asciiTheme="majorBidi" w:hAnsiTheme="majorBidi" w:cstheme="majorBidi"/>
          <w:noProof/>
          <w:color w:val="1F2024"/>
          <w:sz w:val="24"/>
          <w:szCs w:val="24"/>
          <w:shd w:val="clear" w:color="auto" w:fill="FFFFFF"/>
        </w:rPr>
        <w:t xml:space="preserve"> (</w:t>
      </w:r>
      <w:r w:rsidR="003827FD" w:rsidRPr="003827FD">
        <w:rPr>
          <w:rFonts w:ascii="Times New Roman" w:hAnsi="Times New Roman" w:cs="Times New Roman"/>
          <w:noProof/>
          <w:sz w:val="24"/>
          <w:szCs w:val="24"/>
        </w:rPr>
        <w:t>Son</w:t>
      </w:r>
      <w:r w:rsidR="003827FD">
        <w:rPr>
          <w:rFonts w:ascii="Times New Roman" w:hAnsi="Times New Roman" w:cs="Times New Roman"/>
          <w:noProof/>
          <w:sz w:val="24"/>
          <w:szCs w:val="24"/>
        </w:rPr>
        <w:t xml:space="preserve"> et al. 2021, 135</w:t>
      </w:r>
      <w:r w:rsidR="003827FD">
        <w:rPr>
          <w:rFonts w:asciiTheme="majorBidi" w:hAnsiTheme="majorBidi" w:cstheme="majorBidi"/>
          <w:noProof/>
          <w:color w:val="1F2024"/>
          <w:sz w:val="24"/>
          <w:szCs w:val="24"/>
          <w:shd w:val="clear" w:color="auto" w:fill="FFFFFF"/>
        </w:rPr>
        <w:t>)</w:t>
      </w:r>
      <w:r w:rsidR="00A619B7">
        <w:rPr>
          <w:rFonts w:asciiTheme="majorBidi" w:hAnsiTheme="majorBidi" w:cstheme="majorBidi"/>
          <w:color w:val="1F2024"/>
          <w:sz w:val="24"/>
          <w:szCs w:val="24"/>
          <w:shd w:val="clear" w:color="auto" w:fill="FFFFFF"/>
        </w:rPr>
        <w:fldChar w:fldCharType="end"/>
      </w:r>
      <w:r w:rsidR="0082093D" w:rsidRPr="0082093D">
        <w:rPr>
          <w:rFonts w:asciiTheme="majorBidi" w:hAnsiTheme="majorBidi" w:cstheme="majorBidi"/>
          <w:color w:val="1F2024"/>
          <w:sz w:val="24"/>
          <w:szCs w:val="24"/>
          <w:shd w:val="clear" w:color="auto" w:fill="FFFFFF"/>
        </w:rPr>
        <w:t xml:space="preserve">. </w:t>
      </w:r>
      <w:r w:rsidRPr="00BB6939">
        <w:rPr>
          <w:rFonts w:asciiTheme="majorBidi" w:hAnsiTheme="majorBidi" w:cstheme="majorBidi"/>
          <w:color w:val="1F2024"/>
          <w:sz w:val="24"/>
          <w:szCs w:val="24"/>
          <w:shd w:val="clear" w:color="auto" w:fill="FFFFFF"/>
        </w:rPr>
        <w:t xml:space="preserve">InterContinental Hotel Group is among the </w:t>
      </w:r>
      <w:r w:rsidR="006750B1" w:rsidRPr="00BB6939">
        <w:rPr>
          <w:rFonts w:asciiTheme="majorBidi" w:hAnsiTheme="majorBidi" w:cstheme="majorBidi"/>
          <w:color w:val="1F2024"/>
          <w:sz w:val="24"/>
          <w:szCs w:val="24"/>
          <w:shd w:val="clear" w:color="auto" w:fill="FFFFFF"/>
        </w:rPr>
        <w:t>world</w:t>
      </w:r>
      <w:r w:rsidR="006750B1">
        <w:rPr>
          <w:rFonts w:asciiTheme="majorBidi" w:hAnsiTheme="majorBidi" w:cstheme="majorBidi"/>
          <w:color w:val="1F2024"/>
          <w:sz w:val="24"/>
          <w:szCs w:val="24"/>
          <w:shd w:val="clear" w:color="auto" w:fill="FFFFFF"/>
        </w:rPr>
        <w:t>’</w:t>
      </w:r>
      <w:r w:rsidR="006750B1" w:rsidRPr="00BB6939">
        <w:rPr>
          <w:rFonts w:asciiTheme="majorBidi" w:hAnsiTheme="majorBidi" w:cstheme="majorBidi"/>
          <w:color w:val="1F2024"/>
          <w:sz w:val="24"/>
          <w:szCs w:val="24"/>
          <w:shd w:val="clear" w:color="auto" w:fill="FFFFFF"/>
        </w:rPr>
        <w:t>s</w:t>
      </w:r>
      <w:r w:rsidRPr="00BB6939">
        <w:rPr>
          <w:rFonts w:asciiTheme="majorBidi" w:hAnsiTheme="majorBidi" w:cstheme="majorBidi"/>
          <w:color w:val="1F2024"/>
          <w:sz w:val="24"/>
          <w:szCs w:val="24"/>
          <w:shd w:val="clear" w:color="auto" w:fill="FFFFFF"/>
        </w:rPr>
        <w:t xml:space="preserve"> biggest with regards to bed limit or limit or limit, cost, and </w:t>
      </w:r>
      <w:r w:rsidR="00B852A8">
        <w:rPr>
          <w:rFonts w:asciiTheme="majorBidi" w:hAnsiTheme="majorBidi" w:cstheme="majorBidi"/>
          <w:color w:val="1F2024"/>
          <w:sz w:val="24"/>
          <w:szCs w:val="24"/>
          <w:shd w:val="clear" w:color="auto" w:fill="FFFFFF"/>
        </w:rPr>
        <w:t xml:space="preserve">a </w:t>
      </w:r>
      <w:r w:rsidRPr="00BB6939">
        <w:rPr>
          <w:rFonts w:asciiTheme="majorBidi" w:hAnsiTheme="majorBidi" w:cstheme="majorBidi"/>
          <w:color w:val="1F2024"/>
          <w:sz w:val="24"/>
          <w:szCs w:val="24"/>
          <w:shd w:val="clear" w:color="auto" w:fill="FFFFFF"/>
        </w:rPr>
        <w:t xml:space="preserve">portion of the overall industry, trailed by the Marriott Enterprise and the Hilton Hotel Group. The partnership works </w:t>
      </w:r>
      <w:r w:rsidR="00B852A8">
        <w:rPr>
          <w:rFonts w:asciiTheme="majorBidi" w:hAnsiTheme="majorBidi" w:cstheme="majorBidi"/>
          <w:color w:val="1F2024"/>
          <w:sz w:val="24"/>
          <w:szCs w:val="24"/>
          <w:shd w:val="clear" w:color="auto" w:fill="FFFFFF"/>
        </w:rPr>
        <w:t xml:space="preserve">with </w:t>
      </w:r>
      <w:r w:rsidRPr="00BB6939">
        <w:rPr>
          <w:rFonts w:asciiTheme="majorBidi" w:hAnsiTheme="majorBidi" w:cstheme="majorBidi"/>
          <w:color w:val="1F2024"/>
          <w:sz w:val="24"/>
          <w:szCs w:val="24"/>
          <w:shd w:val="clear" w:color="auto" w:fill="FFFFFF"/>
        </w:rPr>
        <w:t>hotel chains under an assortment of brand names, including InterContinental and Hotel Indigo. Moreover, hotel chains utilize various business strategies, for example, diversifying, the executives, and completely claim</w:t>
      </w:r>
      <w:r w:rsidR="00B852A8">
        <w:rPr>
          <w:rFonts w:asciiTheme="majorBidi" w:hAnsiTheme="majorBidi" w:cstheme="majorBidi"/>
          <w:color w:val="1F2024"/>
          <w:sz w:val="24"/>
          <w:szCs w:val="24"/>
          <w:shd w:val="clear" w:color="auto" w:fill="FFFFFF"/>
        </w:rPr>
        <w:t>ing</w:t>
      </w:r>
      <w:r w:rsidRPr="00BB6939">
        <w:rPr>
          <w:rFonts w:asciiTheme="majorBidi" w:hAnsiTheme="majorBidi" w:cstheme="majorBidi"/>
          <w:color w:val="1F2024"/>
          <w:sz w:val="24"/>
          <w:szCs w:val="24"/>
          <w:shd w:val="clear" w:color="auto" w:fill="FFFFFF"/>
        </w:rPr>
        <w:t xml:space="preserve"> or rent</w:t>
      </w:r>
      <w:r w:rsidR="00B852A8">
        <w:rPr>
          <w:rFonts w:asciiTheme="majorBidi" w:hAnsiTheme="majorBidi" w:cstheme="majorBidi"/>
          <w:color w:val="1F2024"/>
          <w:sz w:val="24"/>
          <w:szCs w:val="24"/>
          <w:shd w:val="clear" w:color="auto" w:fill="FFFFFF"/>
        </w:rPr>
        <w:t>ing</w:t>
      </w:r>
      <w:r w:rsidRPr="00BB6939">
        <w:rPr>
          <w:rFonts w:asciiTheme="majorBidi" w:hAnsiTheme="majorBidi" w:cstheme="majorBidi"/>
          <w:color w:val="1F2024"/>
          <w:sz w:val="24"/>
          <w:szCs w:val="24"/>
          <w:shd w:val="clear" w:color="auto" w:fill="FFFFFF"/>
        </w:rPr>
        <w:t xml:space="preserve"> auxiliaries</w:t>
      </w:r>
      <w:r w:rsidR="003827FD">
        <w:rPr>
          <w:rFonts w:asciiTheme="majorBidi" w:hAnsiTheme="majorBidi" w:cstheme="majorBidi"/>
          <w:color w:val="1F2024"/>
          <w:sz w:val="24"/>
          <w:szCs w:val="24"/>
          <w:shd w:val="clear" w:color="auto" w:fill="FFFFFF"/>
        </w:rPr>
        <w:t xml:space="preserve"> </w:t>
      </w:r>
      <w:r w:rsidR="00A619B7">
        <w:rPr>
          <w:rFonts w:asciiTheme="majorBidi" w:hAnsiTheme="majorBidi" w:cstheme="majorBidi"/>
          <w:color w:val="1F2024"/>
          <w:sz w:val="24"/>
          <w:szCs w:val="24"/>
          <w:shd w:val="clear" w:color="auto" w:fill="FFFFFF"/>
        </w:rPr>
        <w:fldChar w:fldCharType="begin" w:fldLock="1"/>
      </w:r>
      <w:r w:rsidR="002F0FFC">
        <w:rPr>
          <w:rFonts w:asciiTheme="majorBidi" w:hAnsiTheme="majorBidi" w:cstheme="majorBidi"/>
          <w:color w:val="1F2024"/>
          <w:sz w:val="24"/>
          <w:szCs w:val="24"/>
          <w:shd w:val="clear" w:color="auto" w:fill="FFFFFF"/>
        </w:rPr>
        <w:instrText>ADDIN CSL_CITATION {"citationItems":[{"id":"ITEM-1","itemData":{"DOI":"10.1057/palgrave.rlp.5090197","ISSN":"1750-2098","abstract":"This paper looks at the patterns of inward investment into the heavily-fragmented European hotel sector. It notes that there have been relatively fewer transactions than one might expect, given the globalisation of the industry. This is largely because overseas buyers are also small companies, often split (eg in the US markets) between real estate owners and management companies. They are often discouraged from corporate acquisitions by the complexity of doing deals in Europe's often impenetrable markets and the heavy property portfolios of most European players. Moreover, at the luxury/upscale ends of the market there are few independent players left to acquire. In terms of single-asset acquisitions, there has been a diversity of buyers, largely driven by capital availability in their home markets — Middle Eastern money in the 1970s, Japanese in the 1980s and US and South-East Asian in the 1990s. As with corporate deals, low yields and complexity have deterred many investors, especially those from the USA who are used to dealing in only one jurisdiction. In the future, the only certainty is change. New buyers are perhaps most likely to come from the emerging economies — China, India and Russia — while new ownership structures such as the spread of European REITs may attract larger numbers of institutional buyers. This in turn may produce a greater standardisation of brands and products, as these investors seek greater certainty, leading to a more predictable investment market — but probably also a more boring hotel experience for guests.","author":[{"dropping-particle":"","family":"Allison","given":"Simon","non-dropping-particle":"","parse-names":false,"suffix":""}],"container-title":"Journal of Retail &amp; Leisure Property","id":"ITEM-1","issue":"1","issued":{"date-parts":[["2004"]]},"page":"50-59","title":"Inward investment into the European hotel investment market","type":"article-journal","volume":"4"},"uris":["http://www.mendeley.com/documents/?uuid=1a0114af-80d3-42d1-bdb5-5ac9ce393b5c"]}],"mendeley":{"formattedCitation":"[11]","plainTextFormattedCitation":"[11]","previouslyFormattedCitation":"[11]"},"properties":{"noteIndex":0},"schema":"https://github.com/citation-style-language/schema/raw/master/csl-citation.json"}</w:instrText>
      </w:r>
      <w:r w:rsidR="00A619B7">
        <w:rPr>
          <w:rFonts w:asciiTheme="majorBidi" w:hAnsiTheme="majorBidi" w:cstheme="majorBidi"/>
          <w:color w:val="1F2024"/>
          <w:sz w:val="24"/>
          <w:szCs w:val="24"/>
          <w:shd w:val="clear" w:color="auto" w:fill="FFFFFF"/>
        </w:rPr>
        <w:fldChar w:fldCharType="separate"/>
      </w:r>
      <w:r w:rsidR="003827FD">
        <w:rPr>
          <w:rFonts w:asciiTheme="majorBidi" w:hAnsiTheme="majorBidi" w:cstheme="majorBidi"/>
          <w:noProof/>
          <w:color w:val="1F2024"/>
          <w:sz w:val="24"/>
          <w:szCs w:val="24"/>
          <w:shd w:val="clear" w:color="auto" w:fill="FFFFFF"/>
        </w:rPr>
        <w:t>(</w:t>
      </w:r>
      <w:r w:rsidR="003827FD" w:rsidRPr="003827FD">
        <w:rPr>
          <w:rFonts w:asciiTheme="majorBidi" w:hAnsiTheme="majorBidi" w:cstheme="majorBidi"/>
          <w:sz w:val="24"/>
          <w:szCs w:val="24"/>
        </w:rPr>
        <w:t xml:space="preserve"> Allison 2004</w:t>
      </w:r>
      <w:r w:rsidR="003827FD">
        <w:rPr>
          <w:rFonts w:asciiTheme="majorBidi" w:hAnsiTheme="majorBidi" w:cstheme="majorBidi"/>
          <w:sz w:val="24"/>
          <w:szCs w:val="24"/>
        </w:rPr>
        <w:t>, 52</w:t>
      </w:r>
      <w:r w:rsidR="003827FD">
        <w:rPr>
          <w:rFonts w:asciiTheme="majorBidi" w:hAnsiTheme="majorBidi" w:cstheme="majorBidi"/>
          <w:noProof/>
          <w:color w:val="1F2024"/>
          <w:sz w:val="24"/>
          <w:szCs w:val="24"/>
          <w:shd w:val="clear" w:color="auto" w:fill="FFFFFF"/>
        </w:rPr>
        <w:t>)</w:t>
      </w:r>
      <w:r w:rsidR="00A619B7">
        <w:rPr>
          <w:rFonts w:asciiTheme="majorBidi" w:hAnsiTheme="majorBidi" w:cstheme="majorBidi"/>
          <w:color w:val="1F2024"/>
          <w:sz w:val="24"/>
          <w:szCs w:val="24"/>
          <w:shd w:val="clear" w:color="auto" w:fill="FFFFFF"/>
        </w:rPr>
        <w:fldChar w:fldCharType="end"/>
      </w:r>
      <w:r w:rsidR="0082093D" w:rsidRPr="0082093D">
        <w:rPr>
          <w:rFonts w:asciiTheme="majorBidi" w:hAnsiTheme="majorBidi" w:cstheme="majorBidi"/>
          <w:color w:val="1F2024"/>
          <w:sz w:val="24"/>
          <w:szCs w:val="24"/>
          <w:shd w:val="clear" w:color="auto" w:fill="FFFFFF"/>
        </w:rPr>
        <w:t>.</w:t>
      </w:r>
    </w:p>
    <w:p w14:paraId="0EAC0109" w14:textId="77777777" w:rsidR="00E741DF" w:rsidRDefault="002641BB" w:rsidP="00D26741">
      <w:pPr>
        <w:spacing w:line="360" w:lineRule="auto"/>
        <w:jc w:val="both"/>
        <w:rPr>
          <w:rFonts w:ascii="Times New Roman" w:hAnsi="Times New Roman" w:cs="Times New Roman"/>
          <w:color w:val="0A0A0A"/>
          <w:spacing w:val="-1"/>
          <w:sz w:val="24"/>
          <w:szCs w:val="24"/>
          <w:shd w:val="clear" w:color="auto" w:fill="FEFEFE"/>
        </w:rPr>
      </w:pPr>
      <w:r w:rsidRPr="002641BB">
        <w:rPr>
          <w:rFonts w:ascii="Times New Roman" w:hAnsi="Times New Roman" w:cs="Times New Roman"/>
          <w:color w:val="0A0A0A"/>
          <w:spacing w:val="-1"/>
          <w:sz w:val="24"/>
          <w:szCs w:val="24"/>
          <w:shd w:val="clear" w:color="auto" w:fill="FEFEFE"/>
        </w:rPr>
        <w:t xml:space="preserve">IHG (InterContinental Inns Gathering) is a worldwide inn enterprise. The organization's base camp </w:t>
      </w:r>
      <w:proofErr w:type="gramStart"/>
      <w:r w:rsidRPr="002641BB">
        <w:rPr>
          <w:rFonts w:ascii="Times New Roman" w:hAnsi="Times New Roman" w:cs="Times New Roman"/>
          <w:color w:val="0A0A0A"/>
          <w:spacing w:val="-1"/>
          <w:sz w:val="24"/>
          <w:szCs w:val="24"/>
          <w:shd w:val="clear" w:color="auto" w:fill="FEFEFE"/>
        </w:rPr>
        <w:t>are</w:t>
      </w:r>
      <w:proofErr w:type="gramEnd"/>
      <w:r w:rsidRPr="002641BB">
        <w:rPr>
          <w:rFonts w:ascii="Times New Roman" w:hAnsi="Times New Roman" w:cs="Times New Roman"/>
          <w:color w:val="0A0A0A"/>
          <w:spacing w:val="-1"/>
          <w:sz w:val="24"/>
          <w:szCs w:val="24"/>
          <w:shd w:val="clear" w:color="auto" w:fill="FEFEFE"/>
        </w:rPr>
        <w:t xml:space="preserve"> in Denham, Britain. They have right around 4900 lodgings in around 100 nations with roughly 674,000 rooms. Intercontinental Lodgings and Inns and Resorts, Hua Luxury Inns and Resorts, Crowne Court Inns and Resorts, KIMPTON Lodgings and Eateries, Inn Indigo, EVEN inns, Occasion Motel, Occasion Motel Express Transportation, Occasion Motel Resort, Occasion Hotel Club Get-aways, Remain Extension Suites, and Candlewood Suites are InterCo</w:t>
      </w:r>
      <w:r>
        <w:rPr>
          <w:rFonts w:ascii="Times New Roman" w:hAnsi="Times New Roman" w:cs="Times New Roman"/>
          <w:color w:val="0A0A0A"/>
          <w:spacing w:val="-1"/>
          <w:sz w:val="24"/>
          <w:szCs w:val="24"/>
          <w:shd w:val="clear" w:color="auto" w:fill="FEFEFE"/>
        </w:rPr>
        <w:t>ntinental Inns Gathering brands</w:t>
      </w:r>
      <w:r w:rsidR="004537DC" w:rsidRPr="004537DC">
        <w:rPr>
          <w:rFonts w:ascii="Times New Roman" w:hAnsi="Times New Roman" w:cs="Times New Roman"/>
          <w:color w:val="0A0A0A"/>
          <w:spacing w:val="-1"/>
          <w:sz w:val="24"/>
          <w:szCs w:val="24"/>
          <w:shd w:val="clear" w:color="auto" w:fill="FEFEFE"/>
        </w:rPr>
        <w:t>.</w:t>
      </w:r>
    </w:p>
    <w:p w14:paraId="77B06F96" w14:textId="284444B7" w:rsidR="00E741DF" w:rsidRDefault="002641BB" w:rsidP="00D26741">
      <w:pPr>
        <w:spacing w:line="360" w:lineRule="auto"/>
        <w:jc w:val="both"/>
        <w:rPr>
          <w:rFonts w:ascii="Times New Roman" w:hAnsi="Times New Roman" w:cs="Times New Roman"/>
          <w:color w:val="0A0A0A"/>
          <w:spacing w:val="-1"/>
          <w:sz w:val="24"/>
          <w:szCs w:val="24"/>
          <w:shd w:val="clear" w:color="auto" w:fill="FEFEFE"/>
        </w:rPr>
      </w:pPr>
      <w:r w:rsidRPr="002641BB">
        <w:rPr>
          <w:rFonts w:ascii="Times New Roman" w:hAnsi="Times New Roman" w:cs="Times New Roman"/>
          <w:color w:val="0A0A0A"/>
          <w:spacing w:val="-1"/>
          <w:sz w:val="24"/>
          <w:szCs w:val="24"/>
          <w:shd w:val="clear" w:color="auto" w:fill="FEFEFE"/>
        </w:rPr>
        <w:t>Out of the 4900 inns around the world, 4900 are run under establishment arrangements or are overseen by an organization whose stock is independently possessed, and constrained by a firm that is straightforwardly claimed. The basses Blue Triangle is the underlying brand name to be laid out in the Unified Realm in 1876. In 1989, the English government restricted the quantity of bars that the firm could straightforwardly claim, provoking Bass to put resources into a humble line of lodgings (known as Bass Inn)</w:t>
      </w:r>
      <w:r w:rsidR="00A619B7">
        <w:rPr>
          <w:rFonts w:ascii="Times New Roman" w:hAnsi="Times New Roman" w:cs="Times New Roman"/>
          <w:color w:val="0A0A0A"/>
          <w:spacing w:val="-1"/>
          <w:sz w:val="24"/>
          <w:szCs w:val="24"/>
          <w:shd w:val="clear" w:color="auto" w:fill="FEFEFE"/>
        </w:rPr>
        <w:fldChar w:fldCharType="begin" w:fldLock="1"/>
      </w:r>
      <w:r w:rsidR="002F0FFC">
        <w:rPr>
          <w:rFonts w:ascii="Times New Roman" w:hAnsi="Times New Roman" w:cs="Times New Roman"/>
          <w:color w:val="0A0A0A"/>
          <w:spacing w:val="-1"/>
          <w:sz w:val="24"/>
          <w:szCs w:val="24"/>
          <w:shd w:val="clear" w:color="auto" w:fill="FEFEFE"/>
        </w:rPr>
        <w:instrText>ADDIN CSL_CITATION {"citationItems":[{"id":"ITEM-1","itemData":{"DOI":"10.1007/s13127-015-0243-5","ISSN":"1618-1077","abstract":"Examination of type specimens and additional vouchers has revealed that the African Taxilejeunea pulchriflora and the tropical Asian Lejeunea propagulifera and Lejeunea tamaspocsii show considerable morphological overlap; however, morphological similarity does not necessarily indicate genetic similarity. Thus, sequences of two chloroplast regions (trnL-trnF, rbcL) and the nuclear ribosomal ITS region were generated from accessions of these taxa from Tanzania, Ethiopia, Thailand, Malaysia, and the Fiji Islands and integrated into an existing Lejeunea dataset. Phylogenetic analyses of the three-marker dataset resolved the three taxa in a robust monophyletic lineage and indicated relationships to Neotropical and Holarctic species. Based on the morphological similarities and the low molecular variation of the investigated accessions, we consider the three taxa as conspecific and propose two synonyms and a new combination, Lejeunea pulchriflora. Lejeunea pulchriflora is characterized by its asymmetrical leaf lobes, small, distant underleaves, toothed perianth keels, and autoicy and ranges from tropical Africa to the Pacific region.","author":[{"dropping-particle":"","family":"Lee","given":"Gaik Ee","non-dropping-particle":"","parse-names":false,"suffix":""},{"dropping-particle":"","family":"Bechteler","given":"Julia","non-dropping-particle":"","parse-names":false,"suffix":""},{"dropping-particle":"","family":"Pócs","given":"Tamás","non-dropping-particle":"","parse-names":false,"suffix":""},{"dropping-particle":"","family":"Schäfer-Verwimp","given":"Alfons","non-dropping-particle":"","parse-names":false,"suffix":""},{"dropping-particle":"","family":"Heinrichs","given":"Jochen","non-dropping-particle":"","parse-names":false,"suffix":""}],"container-title":"Organisms Diversity &amp; Evolution","id":"ITEM-1","issue":"1","issued":{"date-parts":[["2016"]]},"page":"13-21","title":"Molecular and morphological evidence for an intercontinental range of the liverwort Lejeunea pulchriflora (Marchantiophyta: Lejeuneaceae)","type":"article-journal","volume":"16"},"uris":["http://www.mendeley.com/documents/?uuid=9fa0d641-338d-4af8-8cba-277748994a6e"]}],"mendeley":{"formattedCitation":"[12]","plainTextFormattedCitation":"[12]","previouslyFormattedCitation":"[12]"},"properties":{"noteIndex":0},"schema":"https://github.com/citation-style-language/schema/raw/master/csl-citation.json"}</w:instrText>
      </w:r>
      <w:r w:rsidR="00A619B7">
        <w:rPr>
          <w:rFonts w:ascii="Times New Roman" w:hAnsi="Times New Roman" w:cs="Times New Roman"/>
          <w:color w:val="0A0A0A"/>
          <w:spacing w:val="-1"/>
          <w:sz w:val="24"/>
          <w:szCs w:val="24"/>
          <w:shd w:val="clear" w:color="auto" w:fill="FEFEFE"/>
        </w:rPr>
        <w:fldChar w:fldCharType="separate"/>
      </w:r>
      <w:r w:rsidR="003827FD">
        <w:rPr>
          <w:rFonts w:ascii="Times New Roman" w:hAnsi="Times New Roman" w:cs="Times New Roman"/>
          <w:noProof/>
          <w:color w:val="0A0A0A"/>
          <w:spacing w:val="-1"/>
          <w:sz w:val="24"/>
          <w:szCs w:val="24"/>
          <w:shd w:val="clear" w:color="auto" w:fill="FEFEFE"/>
        </w:rPr>
        <w:t xml:space="preserve"> (</w:t>
      </w:r>
      <w:r w:rsidR="003827FD" w:rsidRPr="003827FD">
        <w:rPr>
          <w:rFonts w:ascii="Times New Roman" w:hAnsi="Times New Roman" w:cs="Times New Roman"/>
          <w:noProof/>
          <w:sz w:val="24"/>
          <w:szCs w:val="24"/>
        </w:rPr>
        <w:t>Lee</w:t>
      </w:r>
      <w:r w:rsidR="003827FD">
        <w:rPr>
          <w:rFonts w:ascii="Times New Roman" w:hAnsi="Times New Roman" w:cs="Times New Roman"/>
          <w:noProof/>
          <w:sz w:val="24"/>
          <w:szCs w:val="24"/>
        </w:rPr>
        <w:t xml:space="preserve"> et al. 2016, p.14</w:t>
      </w:r>
      <w:r w:rsidR="003827FD">
        <w:rPr>
          <w:rFonts w:ascii="Times New Roman" w:hAnsi="Times New Roman" w:cs="Times New Roman"/>
          <w:noProof/>
          <w:color w:val="0A0A0A"/>
          <w:spacing w:val="-1"/>
          <w:sz w:val="24"/>
          <w:szCs w:val="24"/>
          <w:shd w:val="clear" w:color="auto" w:fill="FEFEFE"/>
        </w:rPr>
        <w:t>)</w:t>
      </w:r>
      <w:r w:rsidR="00A619B7">
        <w:rPr>
          <w:rFonts w:ascii="Times New Roman" w:hAnsi="Times New Roman" w:cs="Times New Roman"/>
          <w:color w:val="0A0A0A"/>
          <w:spacing w:val="-1"/>
          <w:sz w:val="24"/>
          <w:szCs w:val="24"/>
          <w:shd w:val="clear" w:color="auto" w:fill="FEFEFE"/>
        </w:rPr>
        <w:fldChar w:fldCharType="end"/>
      </w:r>
      <w:r w:rsidR="004537DC" w:rsidRPr="004537DC">
        <w:rPr>
          <w:rFonts w:ascii="Times New Roman" w:hAnsi="Times New Roman" w:cs="Times New Roman"/>
          <w:color w:val="0A0A0A"/>
          <w:spacing w:val="-1"/>
          <w:sz w:val="24"/>
          <w:szCs w:val="24"/>
          <w:shd w:val="clear" w:color="auto" w:fill="FEFEFE"/>
        </w:rPr>
        <w:t>.</w:t>
      </w:r>
    </w:p>
    <w:p w14:paraId="46B5CBF9" w14:textId="78348162" w:rsidR="004537DC" w:rsidRDefault="002641BB" w:rsidP="00D26741">
      <w:pPr>
        <w:spacing w:line="360" w:lineRule="auto"/>
        <w:jc w:val="both"/>
        <w:rPr>
          <w:rFonts w:ascii="Times New Roman" w:hAnsi="Times New Roman" w:cs="Times New Roman"/>
          <w:color w:val="0A0A0A"/>
          <w:spacing w:val="-1"/>
          <w:sz w:val="24"/>
          <w:szCs w:val="24"/>
          <w:shd w:val="clear" w:color="auto" w:fill="FEFEFE"/>
        </w:rPr>
      </w:pPr>
      <w:r w:rsidRPr="002641BB">
        <w:rPr>
          <w:rFonts w:ascii="Times New Roman" w:hAnsi="Times New Roman" w:cs="Times New Roman"/>
          <w:color w:val="0A0A0A"/>
          <w:spacing w:val="-1"/>
          <w:sz w:val="24"/>
          <w:szCs w:val="24"/>
          <w:shd w:val="clear" w:color="auto" w:fill="FEFEFE"/>
        </w:rPr>
        <w:t>Occasion Motel Worldwide bought the Bass Lodging from its investor in 1990 and ventured into North America. Juan Trippe is the organization's pioneer behind Skillet American World Aviation routes (</w:t>
      </w:r>
      <w:proofErr w:type="spellStart"/>
      <w:r w:rsidRPr="002641BB">
        <w:rPr>
          <w:rFonts w:ascii="Times New Roman" w:hAnsi="Times New Roman" w:cs="Times New Roman"/>
          <w:color w:val="0A0A0A"/>
          <w:spacing w:val="-1"/>
          <w:sz w:val="24"/>
          <w:szCs w:val="24"/>
          <w:shd w:val="clear" w:color="auto" w:fill="FEFEFE"/>
        </w:rPr>
        <w:t>PanAm</w:t>
      </w:r>
      <w:proofErr w:type="spellEnd"/>
      <w:r w:rsidRPr="002641BB">
        <w:rPr>
          <w:rFonts w:ascii="Times New Roman" w:hAnsi="Times New Roman" w:cs="Times New Roman"/>
          <w:color w:val="0A0A0A"/>
          <w:spacing w:val="-1"/>
          <w:sz w:val="24"/>
          <w:szCs w:val="24"/>
          <w:shd w:val="clear" w:color="auto" w:fill="FEFEFE"/>
        </w:rPr>
        <w:t xml:space="preserve">), and he established the principal InterContinental brand as a component of </w:t>
      </w:r>
      <w:proofErr w:type="spellStart"/>
      <w:r w:rsidRPr="002641BB">
        <w:rPr>
          <w:rFonts w:ascii="Times New Roman" w:hAnsi="Times New Roman" w:cs="Times New Roman"/>
          <w:color w:val="0A0A0A"/>
          <w:spacing w:val="-1"/>
          <w:sz w:val="24"/>
          <w:szCs w:val="24"/>
          <w:shd w:val="clear" w:color="auto" w:fill="FEFEFE"/>
        </w:rPr>
        <w:t>PanAm</w:t>
      </w:r>
      <w:proofErr w:type="spellEnd"/>
      <w:r w:rsidR="00A619B7">
        <w:rPr>
          <w:rFonts w:ascii="Times New Roman" w:hAnsi="Times New Roman" w:cs="Times New Roman"/>
          <w:color w:val="0A0A0A"/>
          <w:spacing w:val="-1"/>
          <w:sz w:val="24"/>
          <w:szCs w:val="24"/>
          <w:shd w:val="clear" w:color="auto" w:fill="FEFEFE"/>
        </w:rPr>
        <w:fldChar w:fldCharType="begin" w:fldLock="1"/>
      </w:r>
      <w:r w:rsidR="002F0FFC">
        <w:rPr>
          <w:rFonts w:ascii="Times New Roman" w:hAnsi="Times New Roman" w:cs="Times New Roman"/>
          <w:color w:val="0A0A0A"/>
          <w:spacing w:val="-1"/>
          <w:sz w:val="24"/>
          <w:szCs w:val="24"/>
          <w:shd w:val="clear" w:color="auto" w:fill="FEFEFE"/>
        </w:rPr>
        <w:instrText>ADDIN CSL_CITATION {"citationItems":[{"id":"ITEM-1","itemData":{"DOI":"10.1007/s004200050401","ISSN":"1432-1246","abstract":"Objectives: To measure and compare the urinary cotinine concentration (U-cotinine) in non-smoking cabin attendants (C/A) working with the Scandinavian Airlines System, before and after work on intercontinental flights with exposure to environmental tobacco smoke (ETS). Methods: The study material consisted of 24 cabin attendants and one pilot, all volunteers and all without exposure to ETS in the home, working on 15 intercontinental flights. Information on age, gender and occupation was gathered, as well as possible sources of ETS exposure in other places, outside work and during previous flights, during a 3-day period prior to the investigation. Urine samples were taken before departure and after landing, on board, and were kept frozen (−20 °C) until analysis. Cotinine was analyzed by a previously developed gas chromatographic method, using mass spectrometry (MS) with selected-ion monitoring (SIM). The difference in U-cotinine before and after the flight was compared. Moreover, the change in U-cotinine during the flight was related to occupation (work in the forward or aft galley) and observed degree of smoking during each flight. Results: The median U-cotinine was 3.71 μg/g crea; 2.4 μg/l (unadjusted) (interquartile range 2.08–8.67 μg/g crea) before departure, and 6.37 μg/g crea; 7.1 μg/l (interquartile range 3.98–19 μg/g crea) after landing, a significant difference (P &lt; 0.003). C/A in the aft galley had a significantly higher concentration of U-cotinine after landing than subjects working in the front of the aircraft (P=0.01). In C/A working in the aft galley, the median increase of U-cotinine was 3.67 μg/g crea; 3.2 μg/l (interquartile range 0.04–13.8 μg/g crea) during flight. In contrast, those seven subjects working in the forward part of the aircraft had no increase in U-cotinine during the flight (median increase 0.97 μg/g crea; 0.5 μg/l interquartile range 0.27–2.65 μg/g crea). Conclusion: Tobacco smoking in commercial aircraft may cause significant exposure to environmental tobacco smoke among C/A working in the aft galley, despite high air exchange rates and spatial separation between smokers and non-smokers. This agrees with earlier studies, as well as measurements on the aircraft, showing a higher degree of ETS-related air pollution in the aft galley than in the forward galley. The average cotinine concentration in urine was similar to that in other groups with occupational exposure to ETS, e.g., restaurant staff, police interrogators and …","author":[{"dropping-particle":"","family":"Lindgren","given":"T","non-dropping-particle":"","parse-names":false,"suffix":""},{"dropping-particle":"","family":"Willers","given":"S","non-dropping-particle":"","parse-names":false,"suffix":""},{"dropping-particle":"","family":"Skarping","given":"G","non-dropping-particle":"","parse-names":false,"suffix":""},{"dropping-particle":"","family":"Norbäck","given":"D","non-dropping-particle":"","parse-names":false,"suffix":""}],"container-title":"International Archives of Occupational and Environmental Health","id":"ITEM-1","issue":"7","issued":{"date-parts":[["1999"]]},"page":"475-479","title":"Urinary cotinine concentration in flight attendants, in relation to exposure to environmental tobacco smoke during intercontinental flights","type":"article-journal","volume":"72"},"uris":["http://www.mendeley.com/documents/?uuid=c05a4ede-33d1-44ec-afa2-603b4e77f618"]}],"mendeley":{"formattedCitation":"[13]","plainTextFormattedCitation":"[13]","previouslyFormattedCitation":"[13]"},"properties":{"noteIndex":0},"schema":"https://github.com/citation-style-language/schema/raw/master/csl-citation.json"}</w:instrText>
      </w:r>
      <w:r w:rsidR="00A619B7">
        <w:rPr>
          <w:rFonts w:ascii="Times New Roman" w:hAnsi="Times New Roman" w:cs="Times New Roman"/>
          <w:color w:val="0A0A0A"/>
          <w:spacing w:val="-1"/>
          <w:sz w:val="24"/>
          <w:szCs w:val="24"/>
          <w:shd w:val="clear" w:color="auto" w:fill="FEFEFE"/>
        </w:rPr>
        <w:fldChar w:fldCharType="separate"/>
      </w:r>
      <w:r w:rsidR="00EE00CA">
        <w:rPr>
          <w:rFonts w:ascii="Times New Roman" w:hAnsi="Times New Roman" w:cs="Times New Roman"/>
          <w:noProof/>
          <w:color w:val="0A0A0A"/>
          <w:spacing w:val="-1"/>
          <w:sz w:val="24"/>
          <w:szCs w:val="24"/>
          <w:shd w:val="clear" w:color="auto" w:fill="FEFEFE"/>
        </w:rPr>
        <w:t xml:space="preserve"> (</w:t>
      </w:r>
      <w:r w:rsidR="00EE00CA" w:rsidRPr="003827FD">
        <w:rPr>
          <w:rFonts w:ascii="Times New Roman" w:hAnsi="Times New Roman" w:cs="Times New Roman"/>
          <w:noProof/>
          <w:sz w:val="24"/>
          <w:szCs w:val="24"/>
        </w:rPr>
        <w:t>Lindgren</w:t>
      </w:r>
      <w:r w:rsidR="00EE00CA">
        <w:rPr>
          <w:rFonts w:ascii="Times New Roman" w:hAnsi="Times New Roman" w:cs="Times New Roman"/>
          <w:noProof/>
          <w:sz w:val="24"/>
          <w:szCs w:val="24"/>
        </w:rPr>
        <w:t xml:space="preserve"> et al. 1999, 475</w:t>
      </w:r>
      <w:r w:rsidR="00EE00CA">
        <w:rPr>
          <w:rFonts w:ascii="Times New Roman" w:hAnsi="Times New Roman" w:cs="Times New Roman"/>
          <w:noProof/>
          <w:color w:val="0A0A0A"/>
          <w:spacing w:val="-1"/>
          <w:sz w:val="24"/>
          <w:szCs w:val="24"/>
          <w:shd w:val="clear" w:color="auto" w:fill="FEFEFE"/>
        </w:rPr>
        <w:t>)</w:t>
      </w:r>
      <w:r w:rsidR="00A619B7">
        <w:rPr>
          <w:rFonts w:ascii="Times New Roman" w:hAnsi="Times New Roman" w:cs="Times New Roman"/>
          <w:color w:val="0A0A0A"/>
          <w:spacing w:val="-1"/>
          <w:sz w:val="24"/>
          <w:szCs w:val="24"/>
          <w:shd w:val="clear" w:color="auto" w:fill="FEFEFE"/>
        </w:rPr>
        <w:fldChar w:fldCharType="end"/>
      </w:r>
      <w:r w:rsidR="004537DC" w:rsidRPr="004537DC">
        <w:rPr>
          <w:rFonts w:ascii="Times New Roman" w:hAnsi="Times New Roman" w:cs="Times New Roman"/>
          <w:color w:val="0A0A0A"/>
          <w:spacing w:val="-1"/>
          <w:sz w:val="24"/>
          <w:szCs w:val="24"/>
          <w:shd w:val="clear" w:color="auto" w:fill="FEFEFE"/>
        </w:rPr>
        <w:t>.</w:t>
      </w:r>
      <w:r w:rsidR="0043737B">
        <w:rPr>
          <w:rFonts w:ascii="Times New Roman" w:hAnsi="Times New Roman" w:cs="Times New Roman"/>
          <w:color w:val="0A0A0A"/>
          <w:spacing w:val="-1"/>
          <w:sz w:val="24"/>
          <w:szCs w:val="24"/>
          <w:shd w:val="clear" w:color="auto" w:fill="FEFEFE"/>
        </w:rPr>
        <w:t xml:space="preserve"> </w:t>
      </w:r>
      <w:r w:rsidR="006750B1" w:rsidRPr="006750B1">
        <w:rPr>
          <w:rFonts w:ascii="Times New Roman" w:hAnsi="Times New Roman" w:cs="Times New Roman"/>
          <w:color w:val="0A0A0A"/>
          <w:spacing w:val="-1"/>
          <w:sz w:val="24"/>
          <w:szCs w:val="24"/>
          <w:shd w:val="clear" w:color="auto" w:fill="FEFEFE"/>
        </w:rPr>
        <w:t xml:space="preserve">In 1946, Container American World Aviation routes lays out the principal Mainland Resort in Belem, Brazil. </w:t>
      </w:r>
      <w:proofErr w:type="spellStart"/>
      <w:r w:rsidR="006750B1" w:rsidRPr="006750B1">
        <w:rPr>
          <w:rFonts w:ascii="Times New Roman" w:hAnsi="Times New Roman" w:cs="Times New Roman"/>
          <w:color w:val="0A0A0A"/>
          <w:spacing w:val="-1"/>
          <w:sz w:val="24"/>
          <w:szCs w:val="24"/>
          <w:shd w:val="clear" w:color="auto" w:fill="FEFEFE"/>
        </w:rPr>
        <w:t>Kemmons</w:t>
      </w:r>
      <w:proofErr w:type="spellEnd"/>
      <w:r w:rsidR="006750B1" w:rsidRPr="006750B1">
        <w:rPr>
          <w:rFonts w:ascii="Times New Roman" w:hAnsi="Times New Roman" w:cs="Times New Roman"/>
          <w:color w:val="0A0A0A"/>
          <w:spacing w:val="-1"/>
          <w:sz w:val="24"/>
          <w:szCs w:val="24"/>
          <w:shd w:val="clear" w:color="auto" w:fill="FEFEFE"/>
        </w:rPr>
        <w:t xml:space="preserve"> Wilsons opens the absolute first Occasion Motel Express in Memphis, Tennessee in 1952. Occasion Motel is the underlying establishment hotel brand following two years. Occasion Motel was the main hotel chain to present a mechanized reservation framework in 1965. It's called HOLIDEX. Occasion Motel presents the world's most memorable hotel reward program, Need Club Prizes, in 1983. Occasion Motel was the primary unfamiliar hotel brand to work in China in 1984</w:t>
      </w:r>
      <w:r w:rsidR="00A619B7">
        <w:rPr>
          <w:rFonts w:ascii="Times New Roman" w:hAnsi="Times New Roman" w:cs="Times New Roman"/>
          <w:color w:val="0A0A0A"/>
          <w:spacing w:val="-1"/>
          <w:sz w:val="24"/>
          <w:szCs w:val="24"/>
          <w:shd w:val="clear" w:color="auto" w:fill="FEFEFE"/>
        </w:rPr>
        <w:fldChar w:fldCharType="begin" w:fldLock="1"/>
      </w:r>
      <w:r w:rsidR="002F0FFC">
        <w:rPr>
          <w:rFonts w:ascii="Times New Roman" w:hAnsi="Times New Roman" w:cs="Times New Roman"/>
          <w:color w:val="0A0A0A"/>
          <w:spacing w:val="-1"/>
          <w:sz w:val="24"/>
          <w:szCs w:val="24"/>
          <w:shd w:val="clear" w:color="auto" w:fill="FEFEFE"/>
        </w:rPr>
        <w:instrText>ADDIN CSL_CITATION {"citationItems":[{"id":"ITEM-1","itemData":{"DOI":"10.1057/palgrave.rlp.5090200","ISSN":"1750-2098","abstract":"The authors are delighted to introduce a series of quarterly papers which aim to observe the latest trends in the key industry sectors. Subjects to be covered in forthcoming issues will be boutique/lifestyle hotels, budget hotels, luxury hotels, mid-market hotels, serviced apartments and timeshare/resort developments. This first paper in the series presents a snapshot of current trends in the market generally concerning values, acquisitions and disposals, funding and development, and includes highlights of recent events from the year so far.","author":[{"dropping-particle":"","family":"Waite","given":"Ruth","non-dropping-particle":"","parse-names":false,"suffix":""},{"dropping-particle":"","family":"Kett","given":"Russell","non-dropping-particle":"","parse-names":false,"suffix":""}],"container-title":"Journal of Retail &amp; Leisure Property","id":"ITEM-1","issue":"1","issued":{"date-parts":[["2004"]]},"page":"86-92","title":"What is happening in the European hotel sector?","type":"article-journal","volume":"4"},"uris":["http://www.mendeley.com/documents/?uuid=967b1796-0f31-4305-b54b-47113d6dd5fb"]}],"mendeley":{"formattedCitation":"[14]","plainTextFormattedCitation":"[14]","previouslyFormattedCitation":"[14]"},"properties":{"noteIndex":0},"schema":"https://github.com/citation-style-language/schema/raw/master/csl-citation.json"}</w:instrText>
      </w:r>
      <w:r w:rsidR="00A619B7">
        <w:rPr>
          <w:rFonts w:ascii="Times New Roman" w:hAnsi="Times New Roman" w:cs="Times New Roman"/>
          <w:color w:val="0A0A0A"/>
          <w:spacing w:val="-1"/>
          <w:sz w:val="24"/>
          <w:szCs w:val="24"/>
          <w:shd w:val="clear" w:color="auto" w:fill="FEFEFE"/>
        </w:rPr>
        <w:fldChar w:fldCharType="separate"/>
      </w:r>
      <w:r w:rsidR="00EE00CA">
        <w:rPr>
          <w:rFonts w:ascii="Times New Roman" w:hAnsi="Times New Roman" w:cs="Times New Roman"/>
          <w:noProof/>
          <w:color w:val="0A0A0A"/>
          <w:spacing w:val="-1"/>
          <w:sz w:val="24"/>
          <w:szCs w:val="24"/>
          <w:shd w:val="clear" w:color="auto" w:fill="FEFEFE"/>
        </w:rPr>
        <w:t xml:space="preserve"> (</w:t>
      </w:r>
      <w:r w:rsidR="00EE00CA" w:rsidRPr="00EE00CA">
        <w:rPr>
          <w:rFonts w:ascii="Times New Roman" w:hAnsi="Times New Roman" w:cs="Times New Roman"/>
          <w:noProof/>
          <w:sz w:val="24"/>
          <w:szCs w:val="24"/>
        </w:rPr>
        <w:t>Waite</w:t>
      </w:r>
      <w:r w:rsidR="00EE00CA">
        <w:rPr>
          <w:rFonts w:ascii="Times New Roman" w:hAnsi="Times New Roman" w:cs="Times New Roman"/>
          <w:noProof/>
          <w:sz w:val="24"/>
          <w:szCs w:val="24"/>
        </w:rPr>
        <w:t xml:space="preserve"> &amp; </w:t>
      </w:r>
      <w:r w:rsidR="00EE00CA" w:rsidRPr="00EE00CA">
        <w:rPr>
          <w:rFonts w:ascii="Times New Roman" w:hAnsi="Times New Roman" w:cs="Times New Roman"/>
          <w:noProof/>
          <w:sz w:val="24"/>
          <w:szCs w:val="24"/>
        </w:rPr>
        <w:t>Kett 2004</w:t>
      </w:r>
      <w:r w:rsidR="00EE00CA">
        <w:rPr>
          <w:rFonts w:ascii="Times New Roman" w:hAnsi="Times New Roman" w:cs="Times New Roman"/>
          <w:noProof/>
          <w:sz w:val="24"/>
          <w:szCs w:val="24"/>
        </w:rPr>
        <w:t>, 87</w:t>
      </w:r>
      <w:r w:rsidR="00EE00CA">
        <w:rPr>
          <w:rFonts w:ascii="Times New Roman" w:hAnsi="Times New Roman" w:cs="Times New Roman"/>
          <w:noProof/>
          <w:color w:val="0A0A0A"/>
          <w:spacing w:val="-1"/>
          <w:sz w:val="24"/>
          <w:szCs w:val="24"/>
          <w:shd w:val="clear" w:color="auto" w:fill="FEFEFE"/>
        </w:rPr>
        <w:t>)</w:t>
      </w:r>
      <w:r w:rsidR="00A619B7">
        <w:rPr>
          <w:rFonts w:ascii="Times New Roman" w:hAnsi="Times New Roman" w:cs="Times New Roman"/>
          <w:color w:val="0A0A0A"/>
          <w:spacing w:val="-1"/>
          <w:sz w:val="24"/>
          <w:szCs w:val="24"/>
          <w:shd w:val="clear" w:color="auto" w:fill="FEFEFE"/>
        </w:rPr>
        <w:fldChar w:fldCharType="end"/>
      </w:r>
      <w:r w:rsidR="005A0678">
        <w:rPr>
          <w:rFonts w:ascii="Times New Roman" w:hAnsi="Times New Roman" w:cs="Times New Roman"/>
          <w:color w:val="0A0A0A"/>
          <w:spacing w:val="-1"/>
          <w:sz w:val="24"/>
          <w:szCs w:val="24"/>
          <w:shd w:val="clear" w:color="auto" w:fill="FEFEFE"/>
        </w:rPr>
        <w:t>.</w:t>
      </w:r>
    </w:p>
    <w:p w14:paraId="475EDA4F" w14:textId="77777777" w:rsidR="005A0678" w:rsidRDefault="005A0678" w:rsidP="00D26741">
      <w:pPr>
        <w:keepNext/>
        <w:spacing w:line="360" w:lineRule="auto"/>
        <w:jc w:val="both"/>
      </w:pPr>
      <w:r>
        <w:rPr>
          <w:noProof/>
        </w:rPr>
        <w:lastRenderedPageBreak/>
        <w:drawing>
          <wp:inline distT="0" distB="0" distL="0" distR="0" wp14:anchorId="792A81E6" wp14:editId="6EC643E5">
            <wp:extent cx="4255502" cy="2784221"/>
            <wp:effectExtent l="19050" t="0" r="0" b="0"/>
            <wp:docPr id="6" name="Picture 3" descr="InterContinental Hotels Stock: Recovery Work Yet To Be Done (NYSE:IHG)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Continental Hotels Stock: Recovery Work Yet To Be Done (NYSE:IHG) |  Seeking Alpha"/>
                    <pic:cNvPicPr>
                      <a:picLocks noChangeAspect="1" noChangeArrowheads="1"/>
                    </pic:cNvPicPr>
                  </pic:nvPicPr>
                  <pic:blipFill>
                    <a:blip r:embed="rId11" cstate="print"/>
                    <a:srcRect/>
                    <a:stretch>
                      <a:fillRect/>
                    </a:stretch>
                  </pic:blipFill>
                  <pic:spPr bwMode="auto">
                    <a:xfrm>
                      <a:off x="0" y="0"/>
                      <a:ext cx="4254616" cy="2783641"/>
                    </a:xfrm>
                    <a:prstGeom prst="rect">
                      <a:avLst/>
                    </a:prstGeom>
                    <a:noFill/>
                    <a:ln w="9525">
                      <a:noFill/>
                      <a:miter lim="800000"/>
                      <a:headEnd/>
                      <a:tailEnd/>
                    </a:ln>
                  </pic:spPr>
                </pic:pic>
              </a:graphicData>
            </a:graphic>
          </wp:inline>
        </w:drawing>
      </w:r>
    </w:p>
    <w:p w14:paraId="1CE9F426" w14:textId="77777777" w:rsidR="005A0678" w:rsidRPr="009C07F6" w:rsidRDefault="005A0678" w:rsidP="00D26741">
      <w:pPr>
        <w:pStyle w:val="Caption"/>
        <w:jc w:val="both"/>
        <w:rPr>
          <w:rFonts w:asciiTheme="majorBidi" w:hAnsiTheme="majorBidi" w:cstheme="majorBidi"/>
          <w:b w:val="0"/>
          <w:bCs w:val="0"/>
          <w:color w:val="auto"/>
          <w:sz w:val="24"/>
          <w:szCs w:val="24"/>
        </w:rPr>
      </w:pPr>
      <w:r w:rsidRPr="009C07F6">
        <w:rPr>
          <w:rFonts w:asciiTheme="majorBidi" w:hAnsiTheme="majorBidi" w:cstheme="majorBidi"/>
          <w:b w:val="0"/>
          <w:bCs w:val="0"/>
          <w:color w:val="auto"/>
          <w:sz w:val="24"/>
          <w:szCs w:val="24"/>
        </w:rPr>
        <w:t xml:space="preserve">Figure </w:t>
      </w:r>
      <w:r w:rsidR="00A619B7" w:rsidRPr="009C07F6">
        <w:rPr>
          <w:rFonts w:asciiTheme="majorBidi" w:hAnsiTheme="majorBidi" w:cstheme="majorBidi"/>
          <w:b w:val="0"/>
          <w:bCs w:val="0"/>
          <w:color w:val="auto"/>
          <w:sz w:val="24"/>
          <w:szCs w:val="24"/>
        </w:rPr>
        <w:fldChar w:fldCharType="begin"/>
      </w:r>
      <w:r w:rsidR="00FD4511" w:rsidRPr="009C07F6">
        <w:rPr>
          <w:rFonts w:asciiTheme="majorBidi" w:hAnsiTheme="majorBidi" w:cstheme="majorBidi"/>
          <w:b w:val="0"/>
          <w:bCs w:val="0"/>
          <w:color w:val="auto"/>
          <w:sz w:val="24"/>
          <w:szCs w:val="24"/>
        </w:rPr>
        <w:instrText xml:space="preserve"> SEQ Figure \* ARABIC </w:instrText>
      </w:r>
      <w:r w:rsidR="00A619B7" w:rsidRPr="009C07F6">
        <w:rPr>
          <w:rFonts w:asciiTheme="majorBidi" w:hAnsiTheme="majorBidi" w:cstheme="majorBidi"/>
          <w:b w:val="0"/>
          <w:bCs w:val="0"/>
          <w:color w:val="auto"/>
          <w:sz w:val="24"/>
          <w:szCs w:val="24"/>
        </w:rPr>
        <w:fldChar w:fldCharType="separate"/>
      </w:r>
      <w:r w:rsidR="00EF12A9" w:rsidRPr="009C07F6">
        <w:rPr>
          <w:rFonts w:asciiTheme="majorBidi" w:hAnsiTheme="majorBidi" w:cstheme="majorBidi"/>
          <w:b w:val="0"/>
          <w:bCs w:val="0"/>
          <w:noProof/>
          <w:color w:val="auto"/>
          <w:sz w:val="24"/>
          <w:szCs w:val="24"/>
        </w:rPr>
        <w:t>2</w:t>
      </w:r>
      <w:r w:rsidR="00A619B7" w:rsidRPr="009C07F6">
        <w:rPr>
          <w:rFonts w:asciiTheme="majorBidi" w:hAnsiTheme="majorBidi" w:cstheme="majorBidi"/>
          <w:b w:val="0"/>
          <w:bCs w:val="0"/>
          <w:color w:val="auto"/>
          <w:sz w:val="24"/>
          <w:szCs w:val="24"/>
        </w:rPr>
        <w:fldChar w:fldCharType="end"/>
      </w:r>
      <w:r w:rsidR="009C07F6" w:rsidRPr="009C07F6">
        <w:rPr>
          <w:rFonts w:asciiTheme="majorBidi" w:hAnsiTheme="majorBidi" w:cstheme="majorBidi"/>
          <w:b w:val="0"/>
          <w:bCs w:val="0"/>
          <w:color w:val="auto"/>
          <w:sz w:val="24"/>
          <w:szCs w:val="24"/>
        </w:rPr>
        <w:t xml:space="preserve"> </w:t>
      </w:r>
      <w:r w:rsidR="009C07F6">
        <w:rPr>
          <w:rFonts w:asciiTheme="majorBidi" w:hAnsiTheme="majorBidi" w:cstheme="majorBidi"/>
          <w:b w:val="0"/>
          <w:bCs w:val="0"/>
          <w:color w:val="auto"/>
          <w:sz w:val="24"/>
          <w:szCs w:val="24"/>
        </w:rPr>
        <w:t>Revenue over time</w:t>
      </w:r>
    </w:p>
    <w:p w14:paraId="56481B69" w14:textId="77777777" w:rsidR="00332612" w:rsidRPr="00332612" w:rsidRDefault="00332612" w:rsidP="00D26741">
      <w:pPr>
        <w:pStyle w:val="Heading1"/>
        <w:numPr>
          <w:ilvl w:val="0"/>
          <w:numId w:val="1"/>
        </w:numPr>
        <w:jc w:val="both"/>
        <w:rPr>
          <w:color w:val="auto"/>
        </w:rPr>
      </w:pPr>
      <w:bookmarkStart w:id="10" w:name="_Toc145025764"/>
      <w:r w:rsidRPr="00332612">
        <w:rPr>
          <w:color w:val="auto"/>
        </w:rPr>
        <w:t>The Vision Statement of InterContinental Hotels</w:t>
      </w:r>
      <w:bookmarkEnd w:id="10"/>
    </w:p>
    <w:p w14:paraId="27508188" w14:textId="77777777" w:rsidR="00332612" w:rsidRPr="00332612" w:rsidRDefault="00332612" w:rsidP="00D26741">
      <w:pPr>
        <w:jc w:val="both"/>
      </w:pPr>
    </w:p>
    <w:p w14:paraId="568617F2" w14:textId="31542A9A" w:rsidR="00332612" w:rsidRDefault="002641BB" w:rsidP="00D26741">
      <w:pPr>
        <w:spacing w:line="360" w:lineRule="auto"/>
        <w:jc w:val="both"/>
        <w:rPr>
          <w:rFonts w:asciiTheme="majorBidi" w:hAnsiTheme="majorBidi" w:cstheme="majorBidi"/>
          <w:sz w:val="24"/>
          <w:szCs w:val="24"/>
          <w:shd w:val="clear" w:color="auto" w:fill="FFFFFF"/>
        </w:rPr>
      </w:pPr>
      <w:r w:rsidRPr="002641BB">
        <w:rPr>
          <w:rFonts w:asciiTheme="majorBidi" w:hAnsiTheme="majorBidi" w:cstheme="majorBidi"/>
          <w:sz w:val="24"/>
          <w:szCs w:val="24"/>
          <w:shd w:val="clear" w:color="auto" w:fill="FFFFFF"/>
        </w:rPr>
        <w:t>InterContinental Inns Gathering PLC's vision articulation is its essential system for what's in store; it determines what and where the organization wishes to be in the future</w:t>
      </w:r>
      <w:r w:rsidR="003827FD">
        <w:rPr>
          <w:rFonts w:ascii="Times New Roman" w:hAnsi="Times New Roman" w:cs="Times New Roman"/>
          <w:color w:val="0A0A0A"/>
          <w:spacing w:val="-1"/>
          <w:sz w:val="24"/>
          <w:szCs w:val="24"/>
          <w:shd w:val="clear" w:color="auto" w:fill="FEFEFE"/>
        </w:rPr>
        <w:fldChar w:fldCharType="begin" w:fldLock="1"/>
      </w:r>
      <w:r w:rsidR="003827FD">
        <w:rPr>
          <w:rFonts w:ascii="Times New Roman" w:hAnsi="Times New Roman" w:cs="Times New Roman"/>
          <w:color w:val="0A0A0A"/>
          <w:spacing w:val="-1"/>
          <w:sz w:val="24"/>
          <w:szCs w:val="24"/>
          <w:shd w:val="clear" w:color="auto" w:fill="FEFEFE"/>
        </w:rPr>
        <w:instrText>ADDIN CSL_CITATION {"citationItems":[{"id":"ITEM-1","itemData":{"DOI":"10.1007/s13127-015-0243-5","ISSN":"1618-1077","abstract":"Examination of type specimens and additional vouchers has revealed that the African Taxilejeunea pulchriflora and the tropical Asian Lejeunea propagulifera and Lejeunea tamaspocsii show considerable morphological overlap; however, morphological similarity does not necessarily indicate genetic similarity. Thus, sequences of two chloroplast regions (trnL-trnF, rbcL) and the nuclear ribosomal ITS region were generated from accessions of these taxa from Tanzania, Ethiopia, Thailand, Malaysia, and the Fiji Islands and integrated into an existing Lejeunea dataset. Phylogenetic analyses of the three-marker dataset resolved the three taxa in a robust monophyletic lineage and indicated relationships to Neotropical and Holarctic species. Based on the morphological similarities and the low molecular variation of the investigated accessions, we consider the three taxa as conspecific and propose two synonyms and a new combination, Lejeunea pulchriflora. Lejeunea pulchriflora is characterized by its asymmetrical leaf lobes, small, distant underleaves, toothed perianth keels, and autoicy and ranges from tropical Africa to the Pacific region.","author":[{"dropping-particle":"","family":"Lee","given":"Gaik Ee","non-dropping-particle":"","parse-names":false,"suffix":""},{"dropping-particle":"","family":"Bechteler","given":"Julia","non-dropping-particle":"","parse-names":false,"suffix":""},{"dropping-particle":"","family":"Pócs","given":"Tamás","non-dropping-particle":"","parse-names":false,"suffix":""},{"dropping-particle":"","family":"Schäfer-Verwimp","given":"Alfons","non-dropping-particle":"","parse-names":false,"suffix":""},{"dropping-particle":"","family":"Heinrichs","given":"Jochen","non-dropping-particle":"","parse-names":false,"suffix":""}],"container-title":"Organisms Diversity &amp; Evolution","id":"ITEM-1","issue":"1","issued":{"date-parts":[["2016"]]},"page":"13-21","title":"Molecular and morphological evidence for an intercontinental range of the liverwort Lejeunea pulchriflora (Marchantiophyta: Lejeuneaceae)","type":"article-journal","volume":"16"},"uris":["http://www.mendeley.com/documents/?uuid=9fa0d641-338d-4af8-8cba-277748994a6e"]}],"mendeley":{"formattedCitation":"[12]","plainTextFormattedCitation":"[12]","previouslyFormattedCitation":"[12]"},"properties":{"noteIndex":0},"schema":"https://github.com/citation-style-language/schema/raw/master/csl-citation.json"}</w:instrText>
      </w:r>
      <w:r w:rsidR="003827FD">
        <w:rPr>
          <w:rFonts w:ascii="Times New Roman" w:hAnsi="Times New Roman" w:cs="Times New Roman"/>
          <w:color w:val="0A0A0A"/>
          <w:spacing w:val="-1"/>
          <w:sz w:val="24"/>
          <w:szCs w:val="24"/>
          <w:shd w:val="clear" w:color="auto" w:fill="FEFEFE"/>
        </w:rPr>
        <w:fldChar w:fldCharType="separate"/>
      </w:r>
      <w:r w:rsidR="003827FD">
        <w:rPr>
          <w:rFonts w:ascii="Times New Roman" w:hAnsi="Times New Roman" w:cs="Times New Roman"/>
          <w:noProof/>
          <w:color w:val="0A0A0A"/>
          <w:spacing w:val="-1"/>
          <w:sz w:val="24"/>
          <w:szCs w:val="24"/>
          <w:shd w:val="clear" w:color="auto" w:fill="FEFEFE"/>
        </w:rPr>
        <w:t xml:space="preserve"> (</w:t>
      </w:r>
      <w:r w:rsidR="003827FD" w:rsidRPr="003827FD">
        <w:rPr>
          <w:rFonts w:ascii="Times New Roman" w:hAnsi="Times New Roman" w:cs="Times New Roman"/>
          <w:noProof/>
          <w:sz w:val="24"/>
          <w:szCs w:val="24"/>
        </w:rPr>
        <w:t>Lee</w:t>
      </w:r>
      <w:r w:rsidR="003827FD">
        <w:rPr>
          <w:rFonts w:ascii="Times New Roman" w:hAnsi="Times New Roman" w:cs="Times New Roman"/>
          <w:noProof/>
          <w:sz w:val="24"/>
          <w:szCs w:val="24"/>
        </w:rPr>
        <w:t xml:space="preserve"> et al. 2016, p.18</w:t>
      </w:r>
      <w:r w:rsidR="003827FD">
        <w:rPr>
          <w:rFonts w:ascii="Times New Roman" w:hAnsi="Times New Roman" w:cs="Times New Roman"/>
          <w:noProof/>
          <w:color w:val="0A0A0A"/>
          <w:spacing w:val="-1"/>
          <w:sz w:val="24"/>
          <w:szCs w:val="24"/>
          <w:shd w:val="clear" w:color="auto" w:fill="FEFEFE"/>
        </w:rPr>
        <w:t>)</w:t>
      </w:r>
      <w:r w:rsidR="003827FD">
        <w:rPr>
          <w:rFonts w:ascii="Times New Roman" w:hAnsi="Times New Roman" w:cs="Times New Roman"/>
          <w:color w:val="0A0A0A"/>
          <w:spacing w:val="-1"/>
          <w:sz w:val="24"/>
          <w:szCs w:val="24"/>
          <w:shd w:val="clear" w:color="auto" w:fill="FEFEFE"/>
        </w:rPr>
        <w:fldChar w:fldCharType="end"/>
      </w:r>
      <w:r w:rsidR="00332612" w:rsidRPr="00332612">
        <w:rPr>
          <w:rFonts w:asciiTheme="majorBidi" w:hAnsiTheme="majorBidi" w:cstheme="majorBidi"/>
          <w:sz w:val="24"/>
          <w:szCs w:val="24"/>
          <w:shd w:val="clear" w:color="auto" w:fill="FFFFFF"/>
        </w:rPr>
        <w:t xml:space="preserve">. </w:t>
      </w:r>
      <w:r w:rsidRPr="002641BB">
        <w:rPr>
          <w:rFonts w:asciiTheme="majorBidi" w:hAnsiTheme="majorBidi" w:cstheme="majorBidi"/>
          <w:sz w:val="24"/>
          <w:szCs w:val="24"/>
          <w:shd w:val="clear" w:color="auto" w:fill="FFFFFF"/>
        </w:rPr>
        <w:t>The InterContinental Cordiality Gathering PLC vision explanation is a record that distinguishes the objectives of Worldwide Inns Gathering PLC to work with key, administrative, and general decision making processes</w:t>
      </w:r>
      <w:r w:rsidR="006750B1" w:rsidRPr="006750B1">
        <w:rPr>
          <w:rFonts w:asciiTheme="majorBidi" w:hAnsiTheme="majorBidi" w:cstheme="majorBidi"/>
          <w:sz w:val="24"/>
          <w:szCs w:val="24"/>
          <w:shd w:val="clear" w:color="auto" w:fill="FFFFFF"/>
        </w:rPr>
        <w:t>. This shows that the organization didn't utilize extensive talks and exchanges to impart its situation to the general population and other relevant partners. The mission statement ought to be brief and exhaustive; it ought to make sense of the crucial standards of the organization and its future goals to assist customers with figuring out the organization's way of thinking and procedure.</w:t>
      </w:r>
      <w:r w:rsidR="006750B1">
        <w:rPr>
          <w:rFonts w:asciiTheme="majorBidi" w:hAnsiTheme="majorBidi" w:cstheme="majorBidi"/>
          <w:sz w:val="24"/>
          <w:szCs w:val="24"/>
          <w:shd w:val="clear" w:color="auto" w:fill="FFFFFF"/>
        </w:rPr>
        <w:t xml:space="preserve"> </w:t>
      </w:r>
      <w:r w:rsidR="006750B1" w:rsidRPr="006750B1">
        <w:rPr>
          <w:rFonts w:asciiTheme="majorBidi" w:hAnsiTheme="majorBidi" w:cstheme="majorBidi"/>
          <w:sz w:val="24"/>
          <w:szCs w:val="24"/>
          <w:shd w:val="clear" w:color="auto" w:fill="FFFFFF"/>
        </w:rPr>
        <w:t>InterContinental Hotels Group PLC's vision proclamation ought to be compact yet complete</w:t>
      </w:r>
      <w:r w:rsidR="0043737B">
        <w:rPr>
          <w:rFonts w:asciiTheme="majorBidi" w:hAnsiTheme="majorBidi" w:cstheme="majorBidi"/>
          <w:sz w:val="24"/>
          <w:szCs w:val="24"/>
          <w:shd w:val="clear" w:color="auto" w:fill="FFFFFF"/>
        </w:rPr>
        <w:t xml:space="preserve"> </w:t>
      </w:r>
      <w:r w:rsidR="00A619B7">
        <w:rPr>
          <w:rFonts w:asciiTheme="majorBidi" w:hAnsiTheme="majorBidi" w:cstheme="majorBidi"/>
          <w:sz w:val="24"/>
          <w:szCs w:val="24"/>
          <w:shd w:val="clear" w:color="auto" w:fill="FFFFFF"/>
        </w:rPr>
        <w:fldChar w:fldCharType="begin" w:fldLock="1"/>
      </w:r>
      <w:r w:rsidR="00B5160D">
        <w:rPr>
          <w:rFonts w:asciiTheme="majorBidi" w:hAnsiTheme="majorBidi" w:cstheme="majorBidi"/>
          <w:sz w:val="24"/>
          <w:szCs w:val="24"/>
          <w:shd w:val="clear" w:color="auto" w:fill="FFFFFF"/>
        </w:rPr>
        <w:instrText>ADDIN CSL_CITATION {"citationItems":[{"id":"ITEM-1","itemData":{"DOI":"10.1007/s004200050401","ISSN":"1432-1246","abstract":"Objectives: To measure and compare the urinary cotinine concentration (U-cotinine) in non-smoking cabin attendants (C/A) working with the Scandinavian Airlines System, before and after work on intercontinental flights with exposure to environmental tobacco smoke (ETS). Methods: The study material consisted of 24 cabin attendants and one pilot, all volunteers and all without exposure to ETS in the home, working on 15 intercontinental flights. Information on age, gender and occupation was gathered, as well as possible sources of ETS exposure in other places, outside work and during previous flights, during a 3-day period prior to the investigation. Urine samples were taken before departure and after landing, on board, and were kept frozen (−20 °C) until analysis. Cotinine was analyzed by a previously developed gas chromatographic method, using mass spectrometry (MS) with selected-ion monitoring (SIM). The difference in U-cotinine before and after the flight was compared. Moreover, the change in U-cotinine during the flight was related to occupation (work in the forward or aft galley) and observed degree of smoking during each flight. Results: The median U-cotinine was 3.71 μg/g crea; 2.4 μg/l (unadjusted) (interquartile range 2.08–8.67 μg/g crea) before departure, and 6.37 μg/g crea; 7.1 μg/l (interquartile range 3.98–19 μg/g crea) after landing, a significant difference (P &lt; 0.003). C/A in the aft galley had a significantly higher concentration of U-cotinine after landing than subjects working in the front of the aircraft (P=0.01). In C/A working in the aft galley, the median increase of U-cotinine was 3.67 μg/g crea; 3.2 μg/l (interquartile range 0.04–13.8 μg/g crea) during flight. In contrast, those seven subjects working in the forward part of the aircraft had no increase in U-cotinine during the flight (median increase 0.97 μg/g crea; 0.5 μg/l interquartile range 0.27–2.65 μg/g crea). Conclusion: Tobacco smoking in commercial aircraft may cause significant exposure to environmental tobacco smoke among C/A working in the aft galley, despite high air exchange rates and spatial separation between smokers and non-smokers. This agrees with earlier studies, as well as measurements on the aircraft, showing a higher degree of ETS-related air pollution in the aft galley than in the forward galley. The average cotinine concentration in urine was similar to that in other groups with occupational exposure to ETS, e.g., restaurant staff, police interrogators and …","author":[{"dropping-particle":"","family":"Lindgren","given":"T","non-dropping-particle":"","parse-names":false,"suffix":""},{"dropping-particle":"","family":"Willers","given":"S","non-dropping-particle":"","parse-names":false,"suffix":""},{"dropping-particle":"","family":"Skarping","given":"G","non-dropping-particle":"","parse-names":false,"suffix":""},{"dropping-particle":"","family":"Norbäck","given":"D","non-dropping-particle":"","parse-names":false,"suffix":""}],"container-title":"International Archives of Occupational and Environmental Health","id":"ITEM-1","issue":"7","issued":{"date-parts":[["1999"]]},"page":"475-479","title":"Urinary cotinine concentration in flight attendants, in relation to exposure to environmental tobacco smoke during intercontinental flights","type":"article-journal","volume":"72"},"uris":["http://www.mendeley.com/documents/?uuid=c05a4ede-33d1-44ec-afa2-603b4e77f618"]}],"mendeley":{"formattedCitation":"[13]","plainTextFormattedCitation":"[13]","previouslyFormattedCitation":"[13]"},"properties":{"noteIndex":0},"schema":"https://github.com/citation-style-language/schema/raw/master/csl-citation.json"}</w:instrText>
      </w:r>
      <w:r w:rsidR="00A619B7">
        <w:rPr>
          <w:rFonts w:asciiTheme="majorBidi" w:hAnsiTheme="majorBidi" w:cstheme="majorBidi"/>
          <w:sz w:val="24"/>
          <w:szCs w:val="24"/>
          <w:shd w:val="clear" w:color="auto" w:fill="FFFFFF"/>
        </w:rPr>
        <w:fldChar w:fldCharType="separate"/>
      </w:r>
      <w:r w:rsidR="00EE00CA">
        <w:rPr>
          <w:rFonts w:ascii="Times New Roman" w:hAnsi="Times New Roman" w:cs="Times New Roman"/>
          <w:noProof/>
          <w:color w:val="0A0A0A"/>
          <w:spacing w:val="-1"/>
          <w:sz w:val="24"/>
          <w:szCs w:val="24"/>
          <w:shd w:val="clear" w:color="auto" w:fill="FEFEFE"/>
        </w:rPr>
        <w:t>(</w:t>
      </w:r>
      <w:r w:rsidR="00EE00CA" w:rsidRPr="003827FD">
        <w:rPr>
          <w:rFonts w:ascii="Times New Roman" w:hAnsi="Times New Roman" w:cs="Times New Roman"/>
          <w:noProof/>
          <w:sz w:val="24"/>
          <w:szCs w:val="24"/>
        </w:rPr>
        <w:t>Lindgren</w:t>
      </w:r>
      <w:r w:rsidR="00EE00CA">
        <w:rPr>
          <w:rFonts w:ascii="Times New Roman" w:hAnsi="Times New Roman" w:cs="Times New Roman"/>
          <w:noProof/>
          <w:sz w:val="24"/>
          <w:szCs w:val="24"/>
        </w:rPr>
        <w:t xml:space="preserve"> et al. 1999, 478</w:t>
      </w:r>
      <w:r w:rsidR="00EE00CA">
        <w:rPr>
          <w:rFonts w:ascii="Times New Roman" w:hAnsi="Times New Roman" w:cs="Times New Roman"/>
          <w:noProof/>
          <w:color w:val="0A0A0A"/>
          <w:spacing w:val="-1"/>
          <w:sz w:val="24"/>
          <w:szCs w:val="24"/>
          <w:shd w:val="clear" w:color="auto" w:fill="FEFEFE"/>
        </w:rPr>
        <w:t>)</w:t>
      </w:r>
      <w:r w:rsidR="00A619B7">
        <w:rPr>
          <w:rFonts w:asciiTheme="majorBidi" w:hAnsiTheme="majorBidi" w:cstheme="majorBidi"/>
          <w:sz w:val="24"/>
          <w:szCs w:val="24"/>
          <w:shd w:val="clear" w:color="auto" w:fill="FFFFFF"/>
        </w:rPr>
        <w:fldChar w:fldCharType="end"/>
      </w:r>
      <w:r w:rsidR="00332612" w:rsidRPr="00332612">
        <w:rPr>
          <w:rFonts w:asciiTheme="majorBidi" w:hAnsiTheme="majorBidi" w:cstheme="majorBidi"/>
          <w:sz w:val="24"/>
          <w:szCs w:val="24"/>
          <w:shd w:val="clear" w:color="auto" w:fill="FFFFFF"/>
        </w:rPr>
        <w:t>.</w:t>
      </w:r>
    </w:p>
    <w:p w14:paraId="71517B13" w14:textId="77777777" w:rsidR="009C31C9" w:rsidRPr="002F5929" w:rsidRDefault="002F5929" w:rsidP="00D26741">
      <w:pPr>
        <w:pStyle w:val="Heading1"/>
        <w:numPr>
          <w:ilvl w:val="0"/>
          <w:numId w:val="1"/>
        </w:numPr>
        <w:jc w:val="both"/>
        <w:rPr>
          <w:color w:val="auto"/>
          <w:shd w:val="clear" w:color="auto" w:fill="FFFFFF"/>
        </w:rPr>
      </w:pPr>
      <w:bookmarkStart w:id="11" w:name="_Toc145025765"/>
      <w:r w:rsidRPr="002F5929">
        <w:rPr>
          <w:color w:val="auto"/>
          <w:shd w:val="clear" w:color="auto" w:fill="FFFFFF"/>
        </w:rPr>
        <w:t>Intercontinental</w:t>
      </w:r>
      <w:r w:rsidR="009C31C9" w:rsidRPr="002F5929">
        <w:rPr>
          <w:color w:val="auto"/>
          <w:shd w:val="clear" w:color="auto" w:fill="FFFFFF"/>
        </w:rPr>
        <w:t xml:space="preserve"> hotels group features</w:t>
      </w:r>
      <w:bookmarkEnd w:id="11"/>
    </w:p>
    <w:p w14:paraId="5DEB71C6" w14:textId="77777777" w:rsidR="00332612" w:rsidRDefault="00332612" w:rsidP="00D26741">
      <w:pPr>
        <w:pStyle w:val="Heading2"/>
        <w:numPr>
          <w:ilvl w:val="1"/>
          <w:numId w:val="1"/>
        </w:numPr>
        <w:jc w:val="both"/>
        <w:rPr>
          <w:rFonts w:eastAsia="Yu Gothic UI"/>
        </w:rPr>
      </w:pPr>
      <w:bookmarkStart w:id="12" w:name="_Toc145025766"/>
      <w:r w:rsidRPr="00332612">
        <w:rPr>
          <w:rFonts w:eastAsia="Yu Gothic UI"/>
        </w:rPr>
        <w:t>Exposure to China compared to competitors</w:t>
      </w:r>
      <w:bookmarkEnd w:id="12"/>
    </w:p>
    <w:p w14:paraId="2C78AC19" w14:textId="0D964463" w:rsidR="00332612" w:rsidRDefault="003B4CB2" w:rsidP="00D26741">
      <w:pPr>
        <w:autoSpaceDE w:val="0"/>
        <w:autoSpaceDN w:val="0"/>
        <w:adjustRightInd w:val="0"/>
        <w:spacing w:after="0" w:line="360" w:lineRule="auto"/>
        <w:jc w:val="both"/>
        <w:rPr>
          <w:rFonts w:ascii="Baskerville Old Face" w:hAnsi="Baskerville Old Face" w:cs="Calibri"/>
          <w:sz w:val="24"/>
          <w:szCs w:val="24"/>
        </w:rPr>
      </w:pPr>
      <w:r w:rsidRPr="003B4CB2">
        <w:rPr>
          <w:rFonts w:ascii="Baskerville Old Face" w:hAnsi="Baskerville Old Face" w:cs="Calibri"/>
          <w:sz w:val="24"/>
          <w:szCs w:val="24"/>
        </w:rPr>
        <w:t xml:space="preserve">HG has a stronger exposure to China than companies such as Hilton and was affected by the pandemic early. The hotel chain declared that it only managed to survive for 18 months if its </w:t>
      </w:r>
      <w:r w:rsidRPr="003B4CB2">
        <w:rPr>
          <w:rFonts w:ascii="Baskerville Old Face" w:hAnsi="Baskerville Old Face" w:cs="Calibri"/>
          <w:sz w:val="24"/>
          <w:szCs w:val="24"/>
        </w:rPr>
        <w:lastRenderedPageBreak/>
        <w:t>properties had no capacity. Only 12 of IHG's 470 hotels in China are shuttered, indicating that the circumstance is improving. RevPAR increased from a like-for-like fall of 89% in February to around 75% in April. However, ten percent of its facilities in the United States are currently closed. Approximately fifty percent of hotels in the EMEAA regions are now shuttered</w:t>
      </w:r>
      <w:r w:rsidR="00EE00CA">
        <w:rPr>
          <w:rFonts w:ascii="Baskerville Old Face" w:hAnsi="Baskerville Old Face" w:cs="Calibri"/>
          <w:sz w:val="24"/>
          <w:szCs w:val="24"/>
        </w:rPr>
        <w:t xml:space="preserve"> </w:t>
      </w:r>
      <w:r w:rsidR="00EE00CA">
        <w:rPr>
          <w:rFonts w:asciiTheme="majorBidi" w:hAnsiTheme="majorBidi" w:cstheme="majorBidi"/>
          <w:noProof/>
          <w:color w:val="000000"/>
          <w:sz w:val="24"/>
          <w:szCs w:val="24"/>
        </w:rPr>
        <w:t>(</w:t>
      </w:r>
      <w:r w:rsidR="00EE00CA" w:rsidRPr="00EE00CA">
        <w:rPr>
          <w:rFonts w:ascii="Times New Roman" w:hAnsi="Times New Roman" w:cs="Times New Roman"/>
          <w:noProof/>
          <w:sz w:val="24"/>
          <w:szCs w:val="24"/>
        </w:rPr>
        <w:t>Hao</w:t>
      </w:r>
      <w:r w:rsidR="00EE00CA">
        <w:rPr>
          <w:rFonts w:ascii="Times New Roman" w:hAnsi="Times New Roman" w:cs="Times New Roman"/>
          <w:noProof/>
          <w:sz w:val="24"/>
          <w:szCs w:val="24"/>
        </w:rPr>
        <w:t xml:space="preserve"> et al. 2020</w:t>
      </w:r>
      <w:r w:rsidR="00EE00CA">
        <w:rPr>
          <w:rFonts w:asciiTheme="majorBidi" w:hAnsiTheme="majorBidi" w:cstheme="majorBidi"/>
          <w:noProof/>
          <w:color w:val="000000"/>
          <w:sz w:val="24"/>
          <w:szCs w:val="24"/>
        </w:rPr>
        <w:t>)</w:t>
      </w:r>
      <w:r w:rsidR="00EE00CA">
        <w:rPr>
          <w:rFonts w:ascii="Baskerville Old Face" w:hAnsi="Baskerville Old Face" w:cs="Calibri"/>
          <w:sz w:val="24"/>
          <w:szCs w:val="24"/>
        </w:rPr>
        <w:t>.</w:t>
      </w:r>
      <w:r w:rsidR="00332612" w:rsidRPr="00332612">
        <w:rPr>
          <w:rFonts w:ascii="Baskerville Old Face" w:hAnsi="Baskerville Old Face" w:cs="Calibri"/>
          <w:sz w:val="24"/>
          <w:szCs w:val="24"/>
        </w:rPr>
        <w:t xml:space="preserve"> </w:t>
      </w:r>
      <w:r w:rsidRPr="003B4CB2">
        <w:rPr>
          <w:rFonts w:ascii="Baskerville Old Face" w:hAnsi="Baskerville Old Face" w:cs="Calibri"/>
          <w:sz w:val="24"/>
          <w:szCs w:val="24"/>
        </w:rPr>
        <w:t>Across the company, occupancy numbers in open hotels are at present in the lower to mid 20% range. These data show that the company is still a long way from recovery; infection rates in the United States and Europe must fall dramatically before travel restrictions are eased and confidence in IHG's target markets is restored</w:t>
      </w:r>
      <w:r w:rsidR="00A619B7">
        <w:rPr>
          <w:rFonts w:ascii="Baskerville Old Face" w:hAnsi="Baskerville Old Face" w:cs="Calibri"/>
          <w:sz w:val="24"/>
          <w:szCs w:val="24"/>
        </w:rPr>
        <w:fldChar w:fldCharType="begin" w:fldLock="1"/>
      </w:r>
      <w:r w:rsidR="007F75B0">
        <w:rPr>
          <w:rFonts w:ascii="Baskerville Old Face" w:hAnsi="Baskerville Old Face" w:cs="Calibri"/>
          <w:sz w:val="24"/>
          <w:szCs w:val="24"/>
        </w:rPr>
        <w:instrText>ADDIN CSL_CITATION {"citationItems":[{"id":"ITEM-1","itemData":{"abstract":"The world has and continues to suffer sizeable losses and setbacks due to COVID-19. Not least among those setbacks is the shock to the Travel &amp; Tourism sector. As 90% of the global population adjusted to life under travel restrictions and others stayed home in fear of the virus itself, the sector came to a near-total standstill. Yet, Travel &amp; Tourism leaders have remained strong and steadfast in the face of adversity.","author":[{"dropping-particle":"","family":"World Travel &amp; Tourism Council [WTTC]","given":"","non-dropping-particle":"","parse-names":false,"suffix":""}],"container-title":"World Travel and Tourism Council","id":"ITEM-1","issue":"September","issued":{"date-parts":[["2020"]]},"page":"14-22","title":"WTTC: The future of travel &amp; tourism in the wake of Covid-19","type":"article-journal"},"uris":["http://www.mendeley.com/documents/?uuid=06ae99a0-6c56-472c-ad86-eb3c956a804a"]}],"mendeley":{"formattedCitation":"[16]","plainTextFormattedCitation":"[16]","previouslyFormattedCitation":"[16]"},"properties":{"noteIndex":0},"schema":"https://github.com/citation-style-language/schema/raw/master/csl-citation.json"}</w:instrText>
      </w:r>
      <w:r w:rsidR="00A619B7">
        <w:rPr>
          <w:rFonts w:ascii="Baskerville Old Face" w:hAnsi="Baskerville Old Face" w:cs="Calibri"/>
          <w:sz w:val="24"/>
          <w:szCs w:val="24"/>
        </w:rPr>
        <w:fldChar w:fldCharType="separate"/>
      </w:r>
      <w:r w:rsidR="00EE00CA">
        <w:rPr>
          <w:rFonts w:ascii="Baskerville Old Face" w:hAnsi="Baskerville Old Face" w:cs="Calibri"/>
          <w:noProof/>
          <w:sz w:val="24"/>
          <w:szCs w:val="24"/>
        </w:rPr>
        <w:t xml:space="preserve"> </w:t>
      </w:r>
      <w:r w:rsidR="00A619B7">
        <w:rPr>
          <w:rFonts w:ascii="Baskerville Old Face" w:hAnsi="Baskerville Old Face" w:cs="Calibri"/>
          <w:sz w:val="24"/>
          <w:szCs w:val="24"/>
        </w:rPr>
        <w:fldChar w:fldCharType="end"/>
      </w:r>
      <w:r w:rsidR="00EE00CA" w:rsidRPr="00EE00CA">
        <w:rPr>
          <w:rFonts w:ascii="Times New Roman" w:hAnsi="Times New Roman" w:cs="Times New Roman"/>
          <w:noProof/>
          <w:sz w:val="24"/>
          <w:szCs w:val="24"/>
        </w:rPr>
        <w:t xml:space="preserve"> </w:t>
      </w:r>
      <w:r w:rsidR="00EE00CA">
        <w:rPr>
          <w:rFonts w:ascii="Times New Roman" w:hAnsi="Times New Roman" w:cs="Times New Roman"/>
          <w:noProof/>
          <w:sz w:val="24"/>
          <w:szCs w:val="24"/>
        </w:rPr>
        <w:t>(</w:t>
      </w:r>
      <w:r w:rsidR="00EE00CA" w:rsidRPr="00EF12A9">
        <w:rPr>
          <w:rFonts w:ascii="Times New Roman" w:hAnsi="Times New Roman" w:cs="Times New Roman"/>
          <w:noProof/>
          <w:sz w:val="24"/>
          <w:szCs w:val="24"/>
        </w:rPr>
        <w:t>World Travel &amp; Tourism Council [WTTC] 2020</w:t>
      </w:r>
      <w:r w:rsidR="00EE00CA">
        <w:rPr>
          <w:rFonts w:ascii="Times New Roman" w:hAnsi="Times New Roman" w:cs="Times New Roman"/>
          <w:noProof/>
          <w:sz w:val="24"/>
          <w:szCs w:val="24"/>
        </w:rPr>
        <w:t>, p.14)</w:t>
      </w:r>
      <w:r w:rsidR="00332612">
        <w:rPr>
          <w:rFonts w:ascii="Baskerville Old Face" w:hAnsi="Baskerville Old Face" w:cs="Calibri"/>
          <w:sz w:val="24"/>
          <w:szCs w:val="24"/>
        </w:rPr>
        <w:t>.</w:t>
      </w:r>
    </w:p>
    <w:p w14:paraId="2C6EF587" w14:textId="77777777" w:rsidR="00332612" w:rsidRDefault="00332612" w:rsidP="00D26741">
      <w:pPr>
        <w:pStyle w:val="Heading2"/>
        <w:numPr>
          <w:ilvl w:val="1"/>
          <w:numId w:val="1"/>
        </w:numPr>
        <w:jc w:val="both"/>
        <w:rPr>
          <w:rFonts w:eastAsia="Yu Gothic UI"/>
        </w:rPr>
      </w:pPr>
      <w:bookmarkStart w:id="13" w:name="_Toc145025767"/>
      <w:r w:rsidRPr="00332612">
        <w:rPr>
          <w:rFonts w:eastAsia="Yu Gothic UI"/>
        </w:rPr>
        <w:t>Government support</w:t>
      </w:r>
      <w:bookmarkEnd w:id="13"/>
    </w:p>
    <w:p w14:paraId="37CE0998" w14:textId="36C71653" w:rsidR="00000CA9" w:rsidRDefault="003B4CB2" w:rsidP="00D26741">
      <w:pPr>
        <w:autoSpaceDE w:val="0"/>
        <w:autoSpaceDN w:val="0"/>
        <w:adjustRightInd w:val="0"/>
        <w:spacing w:after="0" w:line="360" w:lineRule="auto"/>
        <w:jc w:val="both"/>
        <w:rPr>
          <w:rFonts w:asciiTheme="majorBidi" w:hAnsiTheme="majorBidi" w:cstheme="majorBidi"/>
          <w:color w:val="000000"/>
          <w:sz w:val="24"/>
          <w:szCs w:val="24"/>
        </w:rPr>
      </w:pPr>
      <w:r w:rsidRPr="003B4CB2">
        <w:rPr>
          <w:rFonts w:asciiTheme="majorBidi" w:hAnsiTheme="majorBidi" w:cstheme="majorBidi"/>
          <w:color w:val="000000"/>
          <w:sz w:val="24"/>
          <w:szCs w:val="24"/>
        </w:rPr>
        <w:t xml:space="preserve">IHG has achieved new financing arrangements, including the modification of its syndicated unsecured credit facility that includes an exemption of existing covenants until December 31, 2021. Furthermore, the Bank </w:t>
      </w:r>
      <w:r w:rsidR="00B852A8">
        <w:rPr>
          <w:rFonts w:asciiTheme="majorBidi" w:hAnsiTheme="majorBidi" w:cstheme="majorBidi"/>
          <w:color w:val="000000"/>
          <w:sz w:val="24"/>
          <w:szCs w:val="24"/>
        </w:rPr>
        <w:t>of</w:t>
      </w:r>
      <w:r w:rsidRPr="003B4CB2">
        <w:rPr>
          <w:rFonts w:asciiTheme="majorBidi" w:hAnsiTheme="majorBidi" w:cstheme="majorBidi"/>
          <w:color w:val="000000"/>
          <w:sz w:val="24"/>
          <w:szCs w:val="24"/>
        </w:rPr>
        <w:t xml:space="preserve"> England approved IHG as a suitable issuer for the United Kingdom's Government's CCFF, and IHG issued $600 million (US$745.2 million) in commercial paper through this facility</w:t>
      </w:r>
      <w:r w:rsidR="00EE00CA">
        <w:rPr>
          <w:rFonts w:asciiTheme="majorBidi" w:hAnsiTheme="majorBidi" w:cstheme="majorBidi"/>
          <w:color w:val="000000"/>
          <w:sz w:val="24"/>
          <w:szCs w:val="24"/>
        </w:rPr>
        <w:t xml:space="preserve"> (</w:t>
      </w:r>
      <w:proofErr w:type="spellStart"/>
      <w:r w:rsidR="00EE00CA" w:rsidRPr="00EE00CA">
        <w:rPr>
          <w:rFonts w:ascii="Times New Roman" w:hAnsi="Times New Roman" w:cs="Times New Roman"/>
          <w:noProof/>
          <w:sz w:val="24"/>
          <w:szCs w:val="24"/>
        </w:rPr>
        <w:t>Hahang</w:t>
      </w:r>
      <w:proofErr w:type="spellEnd"/>
      <w:r w:rsidR="00EE00CA">
        <w:rPr>
          <w:rFonts w:ascii="Times New Roman" w:hAnsi="Times New Roman" w:cs="Times New Roman"/>
          <w:noProof/>
          <w:sz w:val="24"/>
          <w:szCs w:val="24"/>
        </w:rPr>
        <w:t xml:space="preserve"> et al. 2022, 498</w:t>
      </w:r>
      <w:r w:rsidR="00EE00CA">
        <w:rPr>
          <w:rFonts w:asciiTheme="majorBidi" w:hAnsiTheme="majorBidi" w:cstheme="majorBidi"/>
          <w:color w:val="000000"/>
          <w:sz w:val="24"/>
          <w:szCs w:val="24"/>
        </w:rPr>
        <w:t>)</w:t>
      </w:r>
      <w:r w:rsidR="00A619B7">
        <w:rPr>
          <w:rFonts w:asciiTheme="majorBidi" w:hAnsiTheme="majorBidi" w:cstheme="majorBidi"/>
          <w:color w:val="000000"/>
          <w:sz w:val="24"/>
          <w:szCs w:val="24"/>
        </w:rPr>
        <w:fldChar w:fldCharType="begin" w:fldLock="1"/>
      </w:r>
      <w:r w:rsidR="007F75B0">
        <w:rPr>
          <w:rFonts w:asciiTheme="majorBidi" w:hAnsiTheme="majorBidi" w:cstheme="majorBidi"/>
          <w:color w:val="000000"/>
          <w:sz w:val="24"/>
          <w:szCs w:val="24"/>
        </w:rPr>
        <w:instrText>ADDIN CSL_CITATION {"citationItems":[{"id":"ITEM-1","itemData":{"DOI":"10.1108/CCSM-03-2021-0041","ISSN":"2059-5794","abstract":"Purpose Given the critical consequences of the current Coronavirus (COVID-19) crisis worldwide, displaying good leadership has been of utmost importance. Hospitality has been among the industries that have been hit the hardest by the pandemic, and it requires exceptional leadership skills unique to this crisis and sector. This multi-country study aims to contribute to the understanding of some of the most important skills and strategies that leaders in the hospitality industry may use to navigate the COVID-19 crisis effectively. Design/methodology/approach This paper employs a qualitative study. Semi-structured interviews are conducted with managers of international hospitality groups or local hotel chains in seven different countries. Findings The results show that positive thinking, decision-making, flexibility, divergent thinking, trust-building and communication skills have a positive impact on leadership effectiveness in the hospitality sector during the pandemic. Besides, saving payroll costs, elaborating contingency plans and leveraging from partners' strengths are highlighted as crucial strategies. Practical implications This paper provides hospitality professionals across borders preliminary insights and recommendations to manage the COVID-19 crisis. Originality/value Especially being one of the sectors that have been hit the hardest by the COVID-19 crisis worldwide, the dynamics and leadership requirements of the hospitality sector need further attention. The findings contribute to the literature by illustrating how managers have navigated the initial stages of the crisis in the under-researched hotel sector, and also by gathering evidence about the sector dynamics related to the early stages of this crisis.","author":[{"dropping-particle":"","family":"Hahang","given":"Evelyne","non-dropping-particle":"","parse-names":false,"suffix":""},{"dropping-particle":"","family":"Bayraktar","given":"Secil","non-dropping-particle":"","parse-names":false,"suffix":""},{"dropping-particle":"","family":"Jiménez","given":"Alfredo","non-dropping-particle":"","parse-names":false,"suffix":""}],"container-title":"Cross Cultural &amp; Strategic Management","id":"ITEM-1","issue":"3","issued":{"date-parts":[["2022","1","1"]]},"page":"493-515","publisher":"Emerald Publishing Limited","title":"Early evidence of leadership skills and strategies in managing the impact of COVID-19 pandemic in the hospitality industry","type":"article-journal","volume":"29"},"uris":["http://www.mendeley.com/documents/?uuid=968de712-0846-4b55-8b5c-01a958af7713"]}],"mendeley":{"formattedCitation":"[17]","plainTextFormattedCitation":"[17]","previouslyFormattedCitation":"[17]"},"properties":{"noteIndex":0},"schema":"https://github.com/citation-style-language/schema/raw/master/csl-citation.json"}</w:instrText>
      </w:r>
      <w:r w:rsidR="00000000">
        <w:rPr>
          <w:rFonts w:asciiTheme="majorBidi" w:hAnsiTheme="majorBidi" w:cstheme="majorBidi"/>
          <w:color w:val="000000"/>
          <w:sz w:val="24"/>
          <w:szCs w:val="24"/>
        </w:rPr>
        <w:fldChar w:fldCharType="separate"/>
      </w:r>
      <w:r w:rsidR="00A619B7">
        <w:rPr>
          <w:rFonts w:asciiTheme="majorBidi" w:hAnsiTheme="majorBidi" w:cstheme="majorBidi"/>
          <w:color w:val="000000"/>
          <w:sz w:val="24"/>
          <w:szCs w:val="24"/>
        </w:rPr>
        <w:fldChar w:fldCharType="end"/>
      </w:r>
      <w:r w:rsidR="00332612" w:rsidRPr="00332612">
        <w:rPr>
          <w:rFonts w:asciiTheme="majorBidi" w:hAnsiTheme="majorBidi" w:cstheme="majorBidi"/>
          <w:color w:val="000000"/>
          <w:sz w:val="24"/>
          <w:szCs w:val="24"/>
        </w:rPr>
        <w:t xml:space="preserve">. </w:t>
      </w:r>
      <w:r w:rsidRPr="003B4CB2">
        <w:rPr>
          <w:rFonts w:asciiTheme="majorBidi" w:hAnsiTheme="majorBidi" w:cstheme="majorBidi"/>
          <w:color w:val="000000"/>
          <w:sz w:val="24"/>
          <w:szCs w:val="24"/>
        </w:rPr>
        <w:t xml:space="preserve">IHG stated that it now </w:t>
      </w:r>
      <w:r w:rsidR="00B852A8">
        <w:rPr>
          <w:rFonts w:asciiTheme="majorBidi" w:hAnsiTheme="majorBidi" w:cstheme="majorBidi"/>
          <w:color w:val="000000"/>
          <w:sz w:val="24"/>
          <w:szCs w:val="24"/>
        </w:rPr>
        <w:t>can</w:t>
      </w:r>
      <w:r w:rsidRPr="003B4CB2">
        <w:rPr>
          <w:rFonts w:asciiTheme="majorBidi" w:hAnsiTheme="majorBidi" w:cstheme="majorBidi"/>
          <w:color w:val="000000"/>
          <w:sz w:val="24"/>
          <w:szCs w:val="24"/>
        </w:rPr>
        <w:t xml:space="preserve"> access US$1.4 billion in cash on deposit and that existing financial institutions are now undrawn to the tune of US$660 million, bringing total liquidity on hand to US$2 billion. This amount of capital positions the company for dealing with the financial repercussions of COVID-19 in addition to expansion once the pandemic is finished</w:t>
      </w:r>
      <w:r w:rsidR="00A619B7">
        <w:rPr>
          <w:rFonts w:asciiTheme="majorBidi" w:hAnsiTheme="majorBidi" w:cstheme="majorBidi"/>
          <w:color w:val="000000"/>
          <w:sz w:val="24"/>
          <w:szCs w:val="24"/>
        </w:rPr>
        <w:fldChar w:fldCharType="begin" w:fldLock="1"/>
      </w:r>
      <w:r w:rsidR="007B5B24">
        <w:rPr>
          <w:rFonts w:asciiTheme="majorBidi" w:hAnsiTheme="majorBidi" w:cstheme="majorBidi"/>
          <w:color w:val="000000"/>
          <w:sz w:val="24"/>
          <w:szCs w:val="24"/>
        </w:rPr>
        <w:instrText>ADDIN CSL_CITATION {"citationItems":[{"id":"ITEM-1","itemData":{"DOI":"10.1108/IJCHM-04-2020-0357","ISSN":"0959-6119","abstract":"Purpose This paper offers some reflections on changes in the relationships between sustainability and the hospitality industry following the onset of the Coronavirus Disease 2019 (COVID-19) crisis. (Covid-19 is officially a pandemic, but the term “COVID-19 crisis” is used throughout this paper because the authors feel that it captures the wider impacts of the crisis, rather than just focussing on the disease itself). Design/methodology/approach The paper describes the COVID-19 crisis, emphasises the role of hospitality in economic and social life and reviews how the crisis has changed the relationships between sustainability and the hospitality industry. Findings The paper reveals the dramatic effect the crisis has had on sustainability in the hospitality industry. That said, though the crisis has offered a vision of a more sustainable future, this vision may pose a major challenge for the industry and for many of its traditional customers. Research limitations/implications The paper outlines some of the theoretical, operational, strategic and research implications of the crisis for the hospitality industry and for hospitality scholars. Originality/value This paper provides a reflective review of changes in the relationships between sustainability and the hospitality industry following the onset of COVID-19.","author":[{"dropping-particle":"","family":"Jones","given":"Peter","non-dropping-particle":"","parse-names":false,"suffix":""},{"dropping-particle":"","family":"Comfort","given":"Daphne","non-dropping-particle":"","parse-names":false,"suffix":""}],"container-title":"International Journal of Contemporary Hospitality Management","id":"ITEM-1","issue":"10","issued":{"date-parts":[["2020","1","1"]]},"page":"3037-3050","publisher":"Emerald Publishing Limited","title":"The COVID-19 crisis and sustainability in the hospitality industry","type":"article-journal","volume":"32"},"uris":["http://www.mendeley.com/documents/?uuid=e1ebfc2e-c5d0-4e03-acec-7d37f14f4d67"]}],"mendeley":{"formattedCitation":"[18]","plainTextFormattedCitation":"[18]","previouslyFormattedCitation":"[18]"},"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11195C">
        <w:rPr>
          <w:rFonts w:asciiTheme="majorBidi" w:hAnsiTheme="majorBidi" w:cstheme="majorBidi"/>
          <w:noProof/>
          <w:color w:val="000000"/>
          <w:sz w:val="24"/>
          <w:szCs w:val="24"/>
        </w:rPr>
        <w:t xml:space="preserve"> </w:t>
      </w:r>
      <w:r w:rsidR="00A619B7">
        <w:rPr>
          <w:rFonts w:asciiTheme="majorBidi" w:hAnsiTheme="majorBidi" w:cstheme="majorBidi"/>
          <w:color w:val="000000"/>
          <w:sz w:val="24"/>
          <w:szCs w:val="24"/>
        </w:rPr>
        <w:fldChar w:fldCharType="end"/>
      </w:r>
      <w:r w:rsidR="0011195C">
        <w:rPr>
          <w:rFonts w:asciiTheme="majorBidi" w:hAnsiTheme="majorBidi" w:cstheme="majorBidi"/>
          <w:color w:val="000000"/>
          <w:sz w:val="24"/>
          <w:szCs w:val="24"/>
        </w:rPr>
        <w:fldChar w:fldCharType="begin" w:fldLock="1"/>
      </w:r>
      <w:r w:rsidR="0011195C">
        <w:rPr>
          <w:rFonts w:asciiTheme="majorBidi" w:hAnsiTheme="majorBidi" w:cstheme="majorBidi"/>
          <w:color w:val="000000"/>
          <w:sz w:val="24"/>
          <w:szCs w:val="24"/>
        </w:rPr>
        <w:instrText>ADDIN CSL_CITATION {"citationItems":[{"id":"ITEM-1","itemData":{"DOI":"10.1108/IJCHM-04-2020-0357","ISSN":"0959-6119","abstract":"Purpose This paper offers some reflections on changes in the relationships between sustainability and the hospitality industry following the onset of the Coronavirus Disease 2019 (COVID-19) crisis. (Covid-19 is officially a pandemic, but the term “COVID-19 crisis” is used throughout this paper because the authors feel that it captures the wider impacts of the crisis, rather than just focussing on the disease itself). Design/methodology/approach The paper describes the COVID-19 crisis, emphasises the role of hospitality in economic and social life and reviews how the crisis has changed the relationships between sustainability and the hospitality industry. Findings The paper reveals the dramatic effect the crisis has had on sustainability in the hospitality industry. That said, though the crisis has offered a vision of a more sustainable future, this vision may pose a major challenge for the industry and for many of its traditional customers. Research limitations/implications The paper outlines some of the theoretical, operational, strategic and research implications of the crisis for the hospitality industry and for hospitality scholars. Originality/value This paper provides a reflective review of changes in the relationships between sustainability and the hospitality industry following the onset of COVID-19.","author":[{"dropping-particle":"","family":"Jones","given":"Peter","non-dropping-particle":"","parse-names":false,"suffix":""},{"dropping-particle":"","family":"Comfort","given":"Daphne","non-dropping-particle":"","parse-names":false,"suffix":""}],"container-title":"International Journal of Contemporary Hospitality Management","id":"ITEM-1","issue":"10","issued":{"date-parts":[["2020","1","1"]]},"page":"3037-3050","publisher":"Emerald Publishing Limited","title":"The COVID-19 crisis and sustainability in the hospitality industry","type":"article-journal","volume":"32"},"uris":["http://www.mendeley.com/documents/?uuid=e1ebfc2e-c5d0-4e03-acec-7d37f14f4d67"]}],"mendeley":{"formattedCitation":"[18]","plainTextFormattedCitation":"[18]","previouslyFormattedCitation":"[18]"},"properties":{"noteIndex":0},"schema":"https://github.com/citation-style-language/schema/raw/master/csl-citation.json"}</w:instrText>
      </w:r>
      <w:r w:rsidR="0011195C">
        <w:rPr>
          <w:rFonts w:asciiTheme="majorBidi" w:hAnsiTheme="majorBidi" w:cstheme="majorBidi"/>
          <w:color w:val="000000"/>
          <w:sz w:val="24"/>
          <w:szCs w:val="24"/>
        </w:rPr>
        <w:fldChar w:fldCharType="separate"/>
      </w:r>
      <w:r w:rsidR="0011195C">
        <w:rPr>
          <w:rFonts w:asciiTheme="majorBidi" w:hAnsiTheme="majorBidi" w:cstheme="majorBidi"/>
          <w:noProof/>
          <w:color w:val="000000"/>
          <w:sz w:val="24"/>
          <w:szCs w:val="24"/>
        </w:rPr>
        <w:t xml:space="preserve"> (</w:t>
      </w:r>
      <w:r w:rsidR="0011195C" w:rsidRPr="0011195C">
        <w:rPr>
          <w:rFonts w:ascii="Times New Roman" w:hAnsi="Times New Roman" w:cs="Times New Roman"/>
          <w:noProof/>
          <w:sz w:val="24"/>
          <w:szCs w:val="24"/>
        </w:rPr>
        <w:t xml:space="preserve">Jones </w:t>
      </w:r>
      <w:r w:rsidR="0011195C">
        <w:rPr>
          <w:rFonts w:ascii="Times New Roman" w:hAnsi="Times New Roman" w:cs="Times New Roman"/>
          <w:noProof/>
          <w:sz w:val="24"/>
          <w:szCs w:val="24"/>
        </w:rPr>
        <w:t>&amp;</w:t>
      </w:r>
      <w:r w:rsidR="0011195C" w:rsidRPr="0011195C">
        <w:rPr>
          <w:rFonts w:ascii="Times New Roman" w:hAnsi="Times New Roman" w:cs="Times New Roman"/>
          <w:noProof/>
          <w:sz w:val="24"/>
          <w:szCs w:val="24"/>
        </w:rPr>
        <w:t xml:space="preserve"> Comfort 2020</w:t>
      </w:r>
      <w:r w:rsidR="0011195C">
        <w:rPr>
          <w:rFonts w:ascii="Times New Roman" w:hAnsi="Times New Roman" w:cs="Times New Roman"/>
          <w:noProof/>
          <w:sz w:val="24"/>
          <w:szCs w:val="24"/>
        </w:rPr>
        <w:t>, 3039</w:t>
      </w:r>
      <w:r w:rsidR="0011195C">
        <w:rPr>
          <w:rFonts w:asciiTheme="majorBidi" w:hAnsiTheme="majorBidi" w:cstheme="majorBidi"/>
          <w:noProof/>
          <w:color w:val="000000"/>
          <w:sz w:val="24"/>
          <w:szCs w:val="24"/>
        </w:rPr>
        <w:t>)</w:t>
      </w:r>
      <w:r w:rsidR="0011195C">
        <w:rPr>
          <w:rFonts w:asciiTheme="majorBidi" w:hAnsiTheme="majorBidi" w:cstheme="majorBidi"/>
          <w:color w:val="000000"/>
          <w:sz w:val="24"/>
          <w:szCs w:val="24"/>
        </w:rPr>
        <w:fldChar w:fldCharType="end"/>
      </w:r>
      <w:r w:rsidR="00332612" w:rsidRPr="00332612">
        <w:rPr>
          <w:rFonts w:asciiTheme="majorBidi" w:hAnsiTheme="majorBidi" w:cstheme="majorBidi"/>
          <w:color w:val="000000"/>
          <w:sz w:val="24"/>
          <w:szCs w:val="24"/>
        </w:rPr>
        <w:t>.</w:t>
      </w:r>
    </w:p>
    <w:p w14:paraId="7652E5FB" w14:textId="77777777" w:rsidR="00BD3916" w:rsidRPr="00BD3916" w:rsidRDefault="00BD3916" w:rsidP="00D26741">
      <w:pPr>
        <w:pStyle w:val="Heading2"/>
        <w:numPr>
          <w:ilvl w:val="1"/>
          <w:numId w:val="1"/>
        </w:numPr>
        <w:jc w:val="both"/>
        <w:rPr>
          <w:rFonts w:eastAsia="Yu Gothic UI"/>
        </w:rPr>
      </w:pPr>
      <w:bookmarkStart w:id="14" w:name="_Toc145025768"/>
      <w:r w:rsidRPr="00BD3916">
        <w:rPr>
          <w:rFonts w:eastAsia="Yu Gothic UI"/>
        </w:rPr>
        <w:t>Supporting staff management</w:t>
      </w:r>
      <w:bookmarkEnd w:id="14"/>
    </w:p>
    <w:p w14:paraId="654DBF40" w14:textId="5FDADA1D" w:rsidR="00BD3916" w:rsidRDefault="00922263" w:rsidP="00D26741">
      <w:pPr>
        <w:autoSpaceDE w:val="0"/>
        <w:autoSpaceDN w:val="0"/>
        <w:adjustRightInd w:val="0"/>
        <w:spacing w:after="0" w:line="360" w:lineRule="auto"/>
        <w:jc w:val="both"/>
        <w:rPr>
          <w:rFonts w:asciiTheme="majorBidi" w:hAnsiTheme="majorBidi" w:cstheme="majorBidi"/>
          <w:color w:val="000000"/>
          <w:sz w:val="24"/>
          <w:szCs w:val="24"/>
        </w:rPr>
      </w:pPr>
      <w:r w:rsidRPr="00922263">
        <w:rPr>
          <w:rFonts w:asciiTheme="majorBidi" w:hAnsiTheme="majorBidi" w:cstheme="majorBidi"/>
          <w:color w:val="000000"/>
          <w:sz w:val="24"/>
          <w:szCs w:val="24"/>
        </w:rPr>
        <w:t xml:space="preserve">As capacity is reduced, fewer people are employed. IHG announced "substantial decreases" in incentive payments and salaries for its upper management, as well as the cancellation of the dividend. Keith Barr, </w:t>
      </w:r>
      <w:r w:rsidR="00B852A8">
        <w:rPr>
          <w:rFonts w:asciiTheme="majorBidi" w:hAnsiTheme="majorBidi" w:cstheme="majorBidi"/>
          <w:color w:val="000000"/>
          <w:sz w:val="24"/>
          <w:szCs w:val="24"/>
        </w:rPr>
        <w:t xml:space="preserve">the </w:t>
      </w:r>
      <w:r w:rsidRPr="00922263">
        <w:rPr>
          <w:rFonts w:asciiTheme="majorBidi" w:hAnsiTheme="majorBidi" w:cstheme="majorBidi"/>
          <w:color w:val="000000"/>
          <w:sz w:val="24"/>
          <w:szCs w:val="24"/>
        </w:rPr>
        <w:t>CEO, stated that this has been an attempt to decrease expenses while retaining workers for when activities resume. The corporation has also developed a webpage to assist employees. The consequences of COVID-19 on hospitality workers ha</w:t>
      </w:r>
      <w:r w:rsidR="00B852A8">
        <w:rPr>
          <w:rFonts w:asciiTheme="majorBidi" w:hAnsiTheme="majorBidi" w:cstheme="majorBidi"/>
          <w:color w:val="000000"/>
          <w:sz w:val="24"/>
          <w:szCs w:val="24"/>
        </w:rPr>
        <w:t>ve</w:t>
      </w:r>
      <w:r w:rsidRPr="00922263">
        <w:rPr>
          <w:rFonts w:asciiTheme="majorBidi" w:hAnsiTheme="majorBidi" w:cstheme="majorBidi"/>
          <w:color w:val="000000"/>
          <w:sz w:val="24"/>
          <w:szCs w:val="24"/>
        </w:rPr>
        <w:t xml:space="preserve"> been severe</w:t>
      </w:r>
      <w:r w:rsidR="00EE00CA">
        <w:rPr>
          <w:rFonts w:asciiTheme="majorBidi" w:hAnsiTheme="majorBidi" w:cstheme="majorBidi"/>
          <w:color w:val="000000"/>
          <w:sz w:val="24"/>
          <w:szCs w:val="24"/>
        </w:rPr>
        <w:t xml:space="preserve"> </w:t>
      </w:r>
      <w:r w:rsidR="00EE00CA">
        <w:rPr>
          <w:rFonts w:ascii="Times New Roman" w:hAnsi="Times New Roman" w:cs="Times New Roman"/>
          <w:noProof/>
          <w:sz w:val="24"/>
          <w:szCs w:val="24"/>
        </w:rPr>
        <w:t>(</w:t>
      </w:r>
      <w:r w:rsidR="00EE00CA" w:rsidRPr="00EF12A9">
        <w:rPr>
          <w:rFonts w:ascii="Times New Roman" w:hAnsi="Times New Roman" w:cs="Times New Roman"/>
          <w:noProof/>
          <w:sz w:val="24"/>
          <w:szCs w:val="24"/>
        </w:rPr>
        <w:t>World Travel &amp; Tourism Council [WTTC] 2020</w:t>
      </w:r>
      <w:r w:rsidR="00EE00CA">
        <w:rPr>
          <w:rFonts w:ascii="Times New Roman" w:hAnsi="Times New Roman" w:cs="Times New Roman"/>
          <w:noProof/>
          <w:sz w:val="24"/>
          <w:szCs w:val="24"/>
        </w:rPr>
        <w:t>, p.15)</w:t>
      </w:r>
      <w:r w:rsidR="00A619B7">
        <w:rPr>
          <w:rFonts w:asciiTheme="majorBidi" w:hAnsiTheme="majorBidi" w:cstheme="majorBidi"/>
          <w:color w:val="000000"/>
          <w:sz w:val="24"/>
          <w:szCs w:val="24"/>
        </w:rPr>
        <w:fldChar w:fldCharType="begin" w:fldLock="1"/>
      </w:r>
      <w:r w:rsidR="007B5B24">
        <w:rPr>
          <w:rFonts w:asciiTheme="majorBidi" w:hAnsiTheme="majorBidi" w:cstheme="majorBidi"/>
          <w:color w:val="000000"/>
          <w:sz w:val="24"/>
          <w:szCs w:val="24"/>
        </w:rPr>
        <w:instrText>ADDIN CSL_CITATION {"citationItems":[{"id":"ITEM-1","itemData":{"abstract":"The world has and continues to suffer sizeable losses and setbacks due to COVID-19. Not least among those setbacks is the shock to the Travel &amp; Tourism sector. As 90% of the global population adjusted to life under travel restrictions and others stayed home in fear of the virus itself, the sector came to a near-total standstill. Yet, Travel &amp; Tourism leaders have remained strong and steadfast in the face of adversity.","author":[{"dropping-particle":"","family":"World Travel &amp; Tourism Council [WTTC]","given":"","non-dropping-particle":"","parse-names":false,"suffix":""}],"container-title":"World Travel and Tourism Council","id":"ITEM-1","issue":"September","issued":{"date-parts":[["2020"]]},"page":"14-22","title":"WTTC: The future of travel &amp; tourism in the wake of Covid-19","type":"article-journal"},"uris":["http://www.mendeley.com/documents/?uuid=06ae99a0-6c56-472c-ad86-eb3c956a804a"]}],"mendeley":{"formattedCitation":"[16]","plainTextFormattedCitation":"[16]","previouslyFormattedCitation":"[16]"},"properties":{"noteIndex":0},"schema":"https://github.com/citation-style-language/schema/raw/master/csl-citation.json"}</w:instrText>
      </w:r>
      <w:r w:rsidR="00000000">
        <w:rPr>
          <w:rFonts w:asciiTheme="majorBidi" w:hAnsiTheme="majorBidi" w:cstheme="majorBidi"/>
          <w:color w:val="000000"/>
          <w:sz w:val="24"/>
          <w:szCs w:val="24"/>
        </w:rPr>
        <w:fldChar w:fldCharType="separate"/>
      </w:r>
      <w:r w:rsidR="00A619B7">
        <w:rPr>
          <w:rFonts w:asciiTheme="majorBidi" w:hAnsiTheme="majorBidi" w:cstheme="majorBidi"/>
          <w:color w:val="000000"/>
          <w:sz w:val="24"/>
          <w:szCs w:val="24"/>
        </w:rPr>
        <w:fldChar w:fldCharType="end"/>
      </w:r>
      <w:r w:rsidR="00BD3916" w:rsidRPr="00BD3916">
        <w:rPr>
          <w:rFonts w:asciiTheme="majorBidi" w:hAnsiTheme="majorBidi" w:cstheme="majorBidi"/>
          <w:color w:val="000000"/>
          <w:sz w:val="24"/>
          <w:szCs w:val="24"/>
        </w:rPr>
        <w:t xml:space="preserve">. </w:t>
      </w:r>
      <w:r w:rsidRPr="00922263">
        <w:rPr>
          <w:rFonts w:asciiTheme="majorBidi" w:hAnsiTheme="majorBidi" w:cstheme="majorBidi"/>
          <w:color w:val="000000"/>
          <w:sz w:val="24"/>
          <w:szCs w:val="24"/>
        </w:rPr>
        <w:t xml:space="preserve">With the opening of the IHG Hotel </w:t>
      </w:r>
      <w:r w:rsidR="00B852A8">
        <w:rPr>
          <w:rFonts w:asciiTheme="majorBidi" w:hAnsiTheme="majorBidi" w:cstheme="majorBidi"/>
          <w:color w:val="000000"/>
          <w:sz w:val="24"/>
          <w:szCs w:val="24"/>
        </w:rPr>
        <w:t>C</w:t>
      </w:r>
      <w:r w:rsidRPr="00922263">
        <w:rPr>
          <w:rFonts w:asciiTheme="majorBidi" w:hAnsiTheme="majorBidi" w:cstheme="majorBidi"/>
          <w:color w:val="000000"/>
          <w:sz w:val="24"/>
          <w:szCs w:val="24"/>
        </w:rPr>
        <w:t xml:space="preserve">olleagues Job Centre, IHG is </w:t>
      </w:r>
      <w:r w:rsidR="00B852A8">
        <w:rPr>
          <w:rFonts w:asciiTheme="majorBidi" w:hAnsiTheme="majorBidi" w:cstheme="majorBidi"/>
          <w:color w:val="000000"/>
          <w:sz w:val="24"/>
          <w:szCs w:val="24"/>
        </w:rPr>
        <w:t>assisting</w:t>
      </w:r>
      <w:r w:rsidRPr="00922263">
        <w:rPr>
          <w:rFonts w:asciiTheme="majorBidi" w:hAnsiTheme="majorBidi" w:cstheme="majorBidi"/>
          <w:color w:val="000000"/>
          <w:sz w:val="24"/>
          <w:szCs w:val="24"/>
        </w:rPr>
        <w:t xml:space="preserve"> its employees. The new website intends to link employees from IHG establishments in the United States with potential employers from prominent US organi</w:t>
      </w:r>
      <w:r w:rsidR="00B852A8">
        <w:rPr>
          <w:rFonts w:asciiTheme="majorBidi" w:hAnsiTheme="majorBidi" w:cstheme="majorBidi"/>
          <w:color w:val="000000"/>
          <w:sz w:val="24"/>
          <w:szCs w:val="24"/>
        </w:rPr>
        <w:t>z</w:t>
      </w:r>
      <w:r w:rsidRPr="00922263">
        <w:rPr>
          <w:rFonts w:asciiTheme="majorBidi" w:hAnsiTheme="majorBidi" w:cstheme="majorBidi"/>
          <w:color w:val="000000"/>
          <w:sz w:val="24"/>
          <w:szCs w:val="24"/>
        </w:rPr>
        <w:t xml:space="preserve">ations looking to staff members with service industry skill sets. Amazon, Walmart, CVS, Albertsons, Domino, Pizza Hut, Lowe's, and The Home Depot are just a few of </w:t>
      </w:r>
      <w:r w:rsidRPr="00922263">
        <w:rPr>
          <w:rFonts w:asciiTheme="majorBidi" w:hAnsiTheme="majorBidi" w:cstheme="majorBidi"/>
          <w:color w:val="000000"/>
          <w:sz w:val="24"/>
          <w:szCs w:val="24"/>
        </w:rPr>
        <w:lastRenderedPageBreak/>
        <w:t>the firms with whom IHG is collaborating to divert job seekers during this crisis. This means that employees will be enabled to reduce financial losses and then come back to IHG once operations resume</w:t>
      </w:r>
      <w:r w:rsidR="00A619B7">
        <w:rPr>
          <w:rFonts w:asciiTheme="majorBidi" w:hAnsiTheme="majorBidi" w:cstheme="majorBidi"/>
          <w:color w:val="000000"/>
          <w:sz w:val="24"/>
          <w:szCs w:val="24"/>
        </w:rPr>
        <w:fldChar w:fldCharType="begin" w:fldLock="1"/>
      </w:r>
      <w:r w:rsidR="007B5B24">
        <w:rPr>
          <w:rFonts w:asciiTheme="majorBidi" w:hAnsiTheme="majorBidi" w:cstheme="majorBidi"/>
          <w:color w:val="000000"/>
          <w:sz w:val="24"/>
          <w:szCs w:val="24"/>
        </w:rPr>
        <w:instrText>ADDIN CSL_CITATION {"citationItems":[{"id":"ITEM-1","itemData":{"DOI":"10.1108/IJCHM-04-2020-0357","ISSN":"0959-6119","abstract":"Purpose This paper offers some reflections on changes in the relationships between sustainability and the hospitality industry following the onset of the Coronavirus Disease 2019 (COVID-19) crisis. (Covid-19 is officially a pandemic, but the term “COVID-19 crisis” is used throughout this paper because the authors feel that it captures the wider impacts of the crisis, rather than just focussing on the disease itself). Design/methodology/approach The paper describes the COVID-19 crisis, emphasises the role of hospitality in economic and social life and reviews how the crisis has changed the relationships between sustainability and the hospitality industry. Findings The paper reveals the dramatic effect the crisis has had on sustainability in the hospitality industry. That said, though the crisis has offered a vision of a more sustainable future, this vision may pose a major challenge for the industry and for many of its traditional customers. Research limitations/implications The paper outlines some of the theoretical, operational, strategic and research implications of the crisis for the hospitality industry and for hospitality scholars. Originality/value This paper provides a reflective review of changes in the relationships between sustainability and the hospitality industry following the onset of COVID-19.","author":[{"dropping-particle":"","family":"Jones","given":"Peter","non-dropping-particle":"","parse-names":false,"suffix":""},{"dropping-particle":"","family":"Comfort","given":"Daphne","non-dropping-particle":"","parse-names":false,"suffix":""}],"container-title":"International Journal of Contemporary Hospitality Management","id":"ITEM-1","issue":"10","issued":{"date-parts":[["2020","1","1"]]},"page":"3037-3050","publisher":"Emerald Publishing Limited","title":"The COVID-19 crisis and sustainability in the hospitality industry","type":"article-journal","volume":"32"},"uris":["http://www.mendeley.com/documents/?uuid=e1ebfc2e-c5d0-4e03-acec-7d37f14f4d67"]}],"mendeley":{"formattedCitation":"[18]","plainTextFormattedCitation":"[18]","previouslyFormattedCitation":"[18]"},"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11195C">
        <w:rPr>
          <w:rFonts w:asciiTheme="majorBidi" w:hAnsiTheme="majorBidi" w:cstheme="majorBidi"/>
          <w:noProof/>
          <w:color w:val="000000"/>
          <w:sz w:val="24"/>
          <w:szCs w:val="24"/>
        </w:rPr>
        <w:t xml:space="preserve"> </w:t>
      </w:r>
      <w:r w:rsidR="00A619B7">
        <w:rPr>
          <w:rFonts w:asciiTheme="majorBidi" w:hAnsiTheme="majorBidi" w:cstheme="majorBidi"/>
          <w:color w:val="000000"/>
          <w:sz w:val="24"/>
          <w:szCs w:val="24"/>
        </w:rPr>
        <w:fldChar w:fldCharType="end"/>
      </w:r>
      <w:r w:rsidR="0011195C">
        <w:rPr>
          <w:rFonts w:asciiTheme="majorBidi" w:hAnsiTheme="majorBidi" w:cstheme="majorBidi"/>
          <w:color w:val="000000"/>
          <w:sz w:val="24"/>
          <w:szCs w:val="24"/>
        </w:rPr>
        <w:fldChar w:fldCharType="begin" w:fldLock="1"/>
      </w:r>
      <w:r w:rsidR="0011195C">
        <w:rPr>
          <w:rFonts w:asciiTheme="majorBidi" w:hAnsiTheme="majorBidi" w:cstheme="majorBidi"/>
          <w:color w:val="000000"/>
          <w:sz w:val="24"/>
          <w:szCs w:val="24"/>
        </w:rPr>
        <w:instrText>ADDIN CSL_CITATION {"citationItems":[{"id":"ITEM-1","itemData":{"DOI":"10.1108/IJCHM-04-2020-0357","ISSN":"0959-6119","abstract":"Purpose This paper offers some reflections on changes in the relationships between sustainability and the hospitality industry following the onset of the Coronavirus Disease 2019 (COVID-19) crisis. (Covid-19 is officially a pandemic, but the term “COVID-19 crisis” is used throughout this paper because the authors feel that it captures the wider impacts of the crisis, rather than just focussing on the disease itself). Design/methodology/approach The paper describes the COVID-19 crisis, emphasises the role of hospitality in economic and social life and reviews how the crisis has changed the relationships between sustainability and the hospitality industry. Findings The paper reveals the dramatic effect the crisis has had on sustainability in the hospitality industry. That said, though the crisis has offered a vision of a more sustainable future, this vision may pose a major challenge for the industry and for many of its traditional customers. Research limitations/implications The paper outlines some of the theoretical, operational, strategic and research implications of the crisis for the hospitality industry and for hospitality scholars. Originality/value This paper provides a reflective review of changes in the relationships between sustainability and the hospitality industry following the onset of COVID-19.","author":[{"dropping-particle":"","family":"Jones","given":"Peter","non-dropping-particle":"","parse-names":false,"suffix":""},{"dropping-particle":"","family":"Comfort","given":"Daphne","non-dropping-particle":"","parse-names":false,"suffix":""}],"container-title":"International Journal of Contemporary Hospitality Management","id":"ITEM-1","issue":"10","issued":{"date-parts":[["2020","1","1"]]},"page":"3037-3050","publisher":"Emerald Publishing Limited","title":"The COVID-19 crisis and sustainability in the hospitality industry","type":"article-journal","volume":"32"},"uris":["http://www.mendeley.com/documents/?uuid=e1ebfc2e-c5d0-4e03-acec-7d37f14f4d67"]}],"mendeley":{"formattedCitation":"[18]","plainTextFormattedCitation":"[18]","previouslyFormattedCitation":"[18]"},"properties":{"noteIndex":0},"schema":"https://github.com/citation-style-language/schema/raw/master/csl-citation.json"}</w:instrText>
      </w:r>
      <w:r w:rsidR="0011195C">
        <w:rPr>
          <w:rFonts w:asciiTheme="majorBidi" w:hAnsiTheme="majorBidi" w:cstheme="majorBidi"/>
          <w:color w:val="000000"/>
          <w:sz w:val="24"/>
          <w:szCs w:val="24"/>
        </w:rPr>
        <w:fldChar w:fldCharType="separate"/>
      </w:r>
      <w:r w:rsidR="0011195C">
        <w:rPr>
          <w:rFonts w:asciiTheme="majorBidi" w:hAnsiTheme="majorBidi" w:cstheme="majorBidi"/>
          <w:noProof/>
          <w:color w:val="000000"/>
          <w:sz w:val="24"/>
          <w:szCs w:val="24"/>
        </w:rPr>
        <w:t xml:space="preserve"> (</w:t>
      </w:r>
      <w:r w:rsidR="0011195C" w:rsidRPr="0011195C">
        <w:rPr>
          <w:rFonts w:ascii="Times New Roman" w:hAnsi="Times New Roman" w:cs="Times New Roman"/>
          <w:noProof/>
          <w:sz w:val="24"/>
          <w:szCs w:val="24"/>
        </w:rPr>
        <w:t xml:space="preserve">Jones </w:t>
      </w:r>
      <w:r w:rsidR="0011195C">
        <w:rPr>
          <w:rFonts w:ascii="Times New Roman" w:hAnsi="Times New Roman" w:cs="Times New Roman"/>
          <w:noProof/>
          <w:sz w:val="24"/>
          <w:szCs w:val="24"/>
        </w:rPr>
        <w:t>&amp;</w:t>
      </w:r>
      <w:r w:rsidR="0011195C" w:rsidRPr="0011195C">
        <w:rPr>
          <w:rFonts w:ascii="Times New Roman" w:hAnsi="Times New Roman" w:cs="Times New Roman"/>
          <w:noProof/>
          <w:sz w:val="24"/>
          <w:szCs w:val="24"/>
        </w:rPr>
        <w:t xml:space="preserve"> Comfort 2020</w:t>
      </w:r>
      <w:r w:rsidR="0011195C">
        <w:rPr>
          <w:rFonts w:ascii="Times New Roman" w:hAnsi="Times New Roman" w:cs="Times New Roman"/>
          <w:noProof/>
          <w:sz w:val="24"/>
          <w:szCs w:val="24"/>
        </w:rPr>
        <w:t>, 3040</w:t>
      </w:r>
      <w:r w:rsidR="0011195C">
        <w:rPr>
          <w:rFonts w:asciiTheme="majorBidi" w:hAnsiTheme="majorBidi" w:cstheme="majorBidi"/>
          <w:noProof/>
          <w:color w:val="000000"/>
          <w:sz w:val="24"/>
          <w:szCs w:val="24"/>
        </w:rPr>
        <w:t>)</w:t>
      </w:r>
      <w:r w:rsidR="0011195C">
        <w:rPr>
          <w:rFonts w:asciiTheme="majorBidi" w:hAnsiTheme="majorBidi" w:cstheme="majorBidi"/>
          <w:color w:val="000000"/>
          <w:sz w:val="24"/>
          <w:szCs w:val="24"/>
        </w:rPr>
        <w:fldChar w:fldCharType="end"/>
      </w:r>
      <w:r w:rsidR="00BD3916" w:rsidRPr="00BD3916">
        <w:rPr>
          <w:rFonts w:asciiTheme="majorBidi" w:hAnsiTheme="majorBidi" w:cstheme="majorBidi"/>
          <w:color w:val="000000"/>
          <w:sz w:val="24"/>
          <w:szCs w:val="24"/>
        </w:rPr>
        <w:t>.</w:t>
      </w:r>
    </w:p>
    <w:p w14:paraId="72AED7D5" w14:textId="77777777" w:rsidR="00BD3916" w:rsidRDefault="00BD3916" w:rsidP="00D26741">
      <w:pPr>
        <w:keepNext/>
        <w:autoSpaceDE w:val="0"/>
        <w:autoSpaceDN w:val="0"/>
        <w:adjustRightInd w:val="0"/>
        <w:spacing w:after="0" w:line="360" w:lineRule="auto"/>
        <w:jc w:val="both"/>
      </w:pPr>
      <w:r w:rsidRPr="00BD3916">
        <w:rPr>
          <w:noProof/>
          <w:szCs w:val="24"/>
        </w:rPr>
        <w:drawing>
          <wp:inline distT="0" distB="0" distL="0" distR="0" wp14:anchorId="4727A565" wp14:editId="5701019C">
            <wp:extent cx="3767024" cy="1777593"/>
            <wp:effectExtent l="19050" t="0" r="4876"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3767805" cy="1777962"/>
                    </a:xfrm>
                    <a:prstGeom prst="rect">
                      <a:avLst/>
                    </a:prstGeom>
                    <a:noFill/>
                    <a:ln w="9525">
                      <a:noFill/>
                      <a:miter lim="800000"/>
                      <a:headEnd/>
                      <a:tailEnd/>
                    </a:ln>
                  </pic:spPr>
                </pic:pic>
              </a:graphicData>
            </a:graphic>
          </wp:inline>
        </w:drawing>
      </w:r>
    </w:p>
    <w:p w14:paraId="389B0190" w14:textId="77777777" w:rsidR="00BD3916" w:rsidRDefault="00BD3916" w:rsidP="00D26741">
      <w:pPr>
        <w:pStyle w:val="Caption"/>
        <w:jc w:val="both"/>
      </w:pPr>
      <w:r>
        <w:t xml:space="preserve">Figure </w:t>
      </w:r>
      <w:fldSimple w:instr=" SEQ Figure \* ARABIC ">
        <w:r w:rsidR="00EF12A9">
          <w:rPr>
            <w:noProof/>
          </w:rPr>
          <w:t>3</w:t>
        </w:r>
      </w:fldSimple>
    </w:p>
    <w:p w14:paraId="2D97BC78" w14:textId="79ACAEA9" w:rsidR="00BD3916" w:rsidRPr="00181DD9" w:rsidRDefault="00922263" w:rsidP="00D26741">
      <w:pPr>
        <w:autoSpaceDE w:val="0"/>
        <w:autoSpaceDN w:val="0"/>
        <w:adjustRightInd w:val="0"/>
        <w:spacing w:after="0" w:line="360" w:lineRule="auto"/>
        <w:jc w:val="both"/>
        <w:rPr>
          <w:rFonts w:asciiTheme="majorBidi" w:hAnsiTheme="majorBidi" w:cstheme="majorBidi"/>
          <w:color w:val="000000"/>
          <w:sz w:val="24"/>
          <w:szCs w:val="24"/>
        </w:rPr>
      </w:pPr>
      <w:r w:rsidRPr="00922263">
        <w:rPr>
          <w:rFonts w:asciiTheme="majorBidi" w:hAnsiTheme="majorBidi" w:cstheme="majorBidi"/>
          <w:color w:val="000000"/>
          <w:sz w:val="24"/>
          <w:szCs w:val="24"/>
        </w:rPr>
        <w:t>These findings highlight the economic damage sustained by IHG. As shown in the graph above, the company's worldwide Rev PAR dropped 24.9%, with March having the worst month, with Rev PAR down 55%.</w:t>
      </w:r>
      <w:r w:rsidR="00A619B7">
        <w:rPr>
          <w:rFonts w:asciiTheme="majorBidi" w:hAnsiTheme="majorBidi" w:cstheme="majorBidi"/>
          <w:color w:val="000000"/>
          <w:sz w:val="24"/>
          <w:szCs w:val="24"/>
        </w:rPr>
        <w:fldChar w:fldCharType="begin" w:fldLock="1"/>
      </w:r>
      <w:r w:rsidR="007B5B24">
        <w:rPr>
          <w:rFonts w:asciiTheme="majorBidi" w:hAnsiTheme="majorBidi" w:cstheme="majorBidi"/>
          <w:color w:val="000000"/>
          <w:sz w:val="24"/>
          <w:szCs w:val="24"/>
        </w:rPr>
        <w:instrText>ADDIN CSL_CITATION {"citationItems":[{"id":"ITEM-1","itemData":{"DOI":"https://doi.org/10.1016/j.ijhm.2020.102636","ISSN":"0278-4319","abstract":"This exploratory study reviews the overall impacts of coronavirus disease 2019 (COVID-19) pandemic on China’s hotel industry. A COVID-19 management framework is proposed to address the anti-pandemic phases, principles, and strategies. This study also suggests that COVID-19 will significantly and permanently affect four major aspects of China’s hotel industry—multi-business and multi-channels, product design and investment preference, digital and intelligent transformation, and market reshuffle.","author":[{"dropping-particle":"","family":"Hao","given":"Fei","non-dropping-particle":"","parse-names":false,"suffix":""},{"dropping-particle":"","family":"Xiao","given":"Qu","non-dropping-particle":"","parse-names":false,"suffix":""},{"dropping-particle":"","family":"Chon","given":"Kaye","non-dropping-particle":"","parse-names":false,"suffix":""}],"container-title":"International Journal of Hospitality Management","id":"ITEM-1","issued":{"date-parts":[["2020"]]},"page":"102636","title":"COVID-19 and China’s Hotel Industry: Impacts, a Disaster Management Framework, and Post-Pandemic Agenda","type":"article-journal","volume":"90"},"uris":["http://www.mendeley.com/documents/?uuid=1dadd2a9-c8de-44ec-bef7-00228d9520cf"]}],"mendeley":{"formattedCitation":"[15]","plainTextFormattedCitation":"[15]","previouslyFormattedCitation":"[15]"},"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EE00CA">
        <w:rPr>
          <w:rFonts w:asciiTheme="majorBidi" w:hAnsiTheme="majorBidi" w:cstheme="majorBidi"/>
          <w:noProof/>
          <w:color w:val="000000"/>
          <w:sz w:val="24"/>
          <w:szCs w:val="24"/>
        </w:rPr>
        <w:t xml:space="preserve"> (</w:t>
      </w:r>
      <w:r w:rsidR="00EE00CA" w:rsidRPr="00EE00CA">
        <w:rPr>
          <w:rFonts w:ascii="Times New Roman" w:hAnsi="Times New Roman" w:cs="Times New Roman"/>
          <w:noProof/>
          <w:sz w:val="24"/>
          <w:szCs w:val="24"/>
        </w:rPr>
        <w:t>Hao</w:t>
      </w:r>
      <w:r w:rsidR="00EE00CA">
        <w:rPr>
          <w:rFonts w:ascii="Times New Roman" w:hAnsi="Times New Roman" w:cs="Times New Roman"/>
          <w:noProof/>
          <w:sz w:val="24"/>
          <w:szCs w:val="24"/>
        </w:rPr>
        <w:t xml:space="preserve"> et al. 2020</w:t>
      </w:r>
      <w:r w:rsidR="00EE00CA">
        <w:rPr>
          <w:rFonts w:asciiTheme="majorBidi" w:hAnsiTheme="majorBidi" w:cstheme="majorBidi"/>
          <w:noProof/>
          <w:color w:val="000000"/>
          <w:sz w:val="24"/>
          <w:szCs w:val="24"/>
        </w:rPr>
        <w:t>)</w:t>
      </w:r>
      <w:r w:rsidR="00A619B7">
        <w:rPr>
          <w:rFonts w:asciiTheme="majorBidi" w:hAnsiTheme="majorBidi" w:cstheme="majorBidi"/>
          <w:color w:val="000000"/>
          <w:sz w:val="24"/>
          <w:szCs w:val="24"/>
        </w:rPr>
        <w:fldChar w:fldCharType="end"/>
      </w:r>
      <w:r w:rsidR="00BD3916" w:rsidRPr="00181DD9">
        <w:rPr>
          <w:rFonts w:asciiTheme="majorBidi" w:hAnsiTheme="majorBidi" w:cstheme="majorBidi"/>
          <w:color w:val="000000"/>
          <w:sz w:val="24"/>
          <w:szCs w:val="24"/>
        </w:rPr>
        <w:t xml:space="preserve">. </w:t>
      </w:r>
      <w:r w:rsidRPr="00922263">
        <w:rPr>
          <w:rFonts w:asciiTheme="majorBidi" w:hAnsiTheme="majorBidi" w:cstheme="majorBidi"/>
          <w:color w:val="000000"/>
          <w:sz w:val="24"/>
          <w:szCs w:val="24"/>
        </w:rPr>
        <w:t xml:space="preserve">The month of April was expected to be considerably worse, </w:t>
      </w:r>
      <w:r w:rsidR="00B852A8">
        <w:rPr>
          <w:rFonts w:asciiTheme="majorBidi" w:hAnsiTheme="majorBidi" w:cstheme="majorBidi"/>
          <w:color w:val="000000"/>
          <w:sz w:val="24"/>
          <w:szCs w:val="24"/>
        </w:rPr>
        <w:t xml:space="preserve">with </w:t>
      </w:r>
      <w:r w:rsidRPr="00922263">
        <w:rPr>
          <w:rFonts w:asciiTheme="majorBidi" w:hAnsiTheme="majorBidi" w:cstheme="majorBidi"/>
          <w:color w:val="000000"/>
          <w:sz w:val="24"/>
          <w:szCs w:val="24"/>
        </w:rPr>
        <w:t>the Rev PAR plummeting by about 80%. This is owing to a major drop in demand, with approximately fifteen percent (1,000 hotels) of the property closed by the end of April. However, IHG is concentrating on cost saving and hopes to save up to $150 million in operating expenses. This will have a positive economic impact. IHG's company approach should initially provide some protection. Despite possessing over 5,000 hotels around the world, the hotel company is not the owner of many of them and hence is asset</w:t>
      </w:r>
      <w:r w:rsidR="00B852A8">
        <w:rPr>
          <w:rFonts w:asciiTheme="majorBidi" w:hAnsiTheme="majorBidi" w:cstheme="majorBidi"/>
          <w:color w:val="000000"/>
          <w:sz w:val="24"/>
          <w:szCs w:val="24"/>
        </w:rPr>
        <w:t>-</w:t>
      </w:r>
      <w:r w:rsidRPr="00922263">
        <w:rPr>
          <w:rFonts w:asciiTheme="majorBidi" w:hAnsiTheme="majorBidi" w:cstheme="majorBidi"/>
          <w:color w:val="000000"/>
          <w:sz w:val="24"/>
          <w:szCs w:val="24"/>
        </w:rPr>
        <w:t>light. Furthermore, the company has $2 billion in assets and has negotiated fresh financing arrangements, such as amending its syndicated revolver credit agreement to include a relaxation of existing limits until December</w:t>
      </w:r>
      <w:r w:rsidR="00A619B7">
        <w:rPr>
          <w:rFonts w:asciiTheme="majorBidi" w:hAnsiTheme="majorBidi" w:cstheme="majorBidi"/>
          <w:color w:val="000000"/>
          <w:sz w:val="24"/>
          <w:szCs w:val="24"/>
        </w:rPr>
        <w:fldChar w:fldCharType="begin" w:fldLock="1"/>
      </w:r>
      <w:r w:rsidR="007B5B24">
        <w:rPr>
          <w:rFonts w:asciiTheme="majorBidi" w:hAnsiTheme="majorBidi" w:cstheme="majorBidi"/>
          <w:color w:val="000000"/>
          <w:sz w:val="24"/>
          <w:szCs w:val="24"/>
        </w:rPr>
        <w:instrText>ADDIN CSL_CITATION {"citationItems":[{"id":"ITEM-1","itemData":{"DOI":"10.1108/IJCHM-04-2020-0357","ISSN":"0959-6119","abstract":"Purpose This paper offers some reflections on changes in the relationships between sustainability and the hospitality industry following the onset of the Coronavirus Disease 2019 (COVID-19) crisis. (Covid-19 is officially a pandemic, but the term “COVID-19 crisis” is used throughout this paper because the authors feel that it captures the wider impacts of the crisis, rather than just focussing on the disease itself). Design/methodology/approach The paper describes the COVID-19 crisis, emphasises the role of hospitality in economic and social life and reviews how the crisis has changed the relationships between sustainability and the hospitality industry. Findings The paper reveals the dramatic effect the crisis has had on sustainability in the hospitality industry. That said, though the crisis has offered a vision of a more sustainable future, this vision may pose a major challenge for the industry and for many of its traditional customers. Research limitations/implications The paper outlines some of the theoretical, operational, strategic and research implications of the crisis for the hospitality industry and for hospitality scholars. Originality/value This paper provides a reflective review of changes in the relationships between sustainability and the hospitality industry following the onset of COVID-19.","author":[{"dropping-particle":"","family":"Jones","given":"Peter","non-dropping-particle":"","parse-names":false,"suffix":""},{"dropping-particle":"","family":"Comfort","given":"Daphne","non-dropping-particle":"","parse-names":false,"suffix":""}],"container-title":"International Journal of Contemporary Hospitality Management","id":"ITEM-1","issue":"10","issued":{"date-parts":[["2020","1","1"]]},"page":"3037-3050","publisher":"Emerald Publishing Limited","title":"The COVID-19 crisis and sustainability in the hospitality industry","type":"article-journal","volume":"32"},"uris":["http://www.mendeley.com/documents/?uuid=e1ebfc2e-c5d0-4e03-acec-7d37f14f4d67"]}],"mendeley":{"formattedCitation":"[18]","plainTextFormattedCitation":"[18]","previouslyFormattedCitation":"[18]"},"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11195C">
        <w:rPr>
          <w:rFonts w:asciiTheme="majorBidi" w:hAnsiTheme="majorBidi" w:cstheme="majorBidi"/>
          <w:noProof/>
          <w:color w:val="000000"/>
          <w:sz w:val="24"/>
          <w:szCs w:val="24"/>
        </w:rPr>
        <w:t xml:space="preserve"> </w:t>
      </w:r>
      <w:r w:rsidR="00A619B7">
        <w:rPr>
          <w:rFonts w:asciiTheme="majorBidi" w:hAnsiTheme="majorBidi" w:cstheme="majorBidi"/>
          <w:color w:val="000000"/>
          <w:sz w:val="24"/>
          <w:szCs w:val="24"/>
        </w:rPr>
        <w:fldChar w:fldCharType="end"/>
      </w:r>
      <w:r w:rsidR="0011195C">
        <w:rPr>
          <w:rFonts w:asciiTheme="majorBidi" w:hAnsiTheme="majorBidi" w:cstheme="majorBidi"/>
          <w:color w:val="000000"/>
          <w:sz w:val="24"/>
          <w:szCs w:val="24"/>
        </w:rPr>
        <w:fldChar w:fldCharType="begin" w:fldLock="1"/>
      </w:r>
      <w:r w:rsidR="0011195C">
        <w:rPr>
          <w:rFonts w:asciiTheme="majorBidi" w:hAnsiTheme="majorBidi" w:cstheme="majorBidi"/>
          <w:color w:val="000000"/>
          <w:sz w:val="24"/>
          <w:szCs w:val="24"/>
        </w:rPr>
        <w:instrText>ADDIN CSL_CITATION {"citationItems":[{"id":"ITEM-1","itemData":{"DOI":"10.1108/IJCHM-04-2020-0357","ISSN":"0959-6119","abstract":"Purpose This paper offers some reflections on changes in the relationships between sustainability and the hospitality industry following the onset of the Coronavirus Disease 2019 (COVID-19) crisis. (Covid-19 is officially a pandemic, but the term “COVID-19 crisis” is used throughout this paper because the authors feel that it captures the wider impacts of the crisis, rather than just focussing on the disease itself). Design/methodology/approach The paper describes the COVID-19 crisis, emphasises the role of hospitality in economic and social life and reviews how the crisis has changed the relationships between sustainability and the hospitality industry. Findings The paper reveals the dramatic effect the crisis has had on sustainability in the hospitality industry. That said, though the crisis has offered a vision of a more sustainable future, this vision may pose a major challenge for the industry and for many of its traditional customers. Research limitations/implications The paper outlines some of the theoretical, operational, strategic and research implications of the crisis for the hospitality industry and for hospitality scholars. Originality/value This paper provides a reflective review of changes in the relationships between sustainability and the hospitality industry following the onset of COVID-19.","author":[{"dropping-particle":"","family":"Jones","given":"Peter","non-dropping-particle":"","parse-names":false,"suffix":""},{"dropping-particle":"","family":"Comfort","given":"Daphne","non-dropping-particle":"","parse-names":false,"suffix":""}],"container-title":"International Journal of Contemporary Hospitality Management","id":"ITEM-1","issue":"10","issued":{"date-parts":[["2020","1","1"]]},"page":"3037-3050","publisher":"Emerald Publishing Limited","title":"The COVID-19 crisis and sustainability in the hospitality industry","type":"article-journal","volume":"32"},"uris":["http://www.mendeley.com/documents/?uuid=e1ebfc2e-c5d0-4e03-acec-7d37f14f4d67"]}],"mendeley":{"formattedCitation":"[18]","plainTextFormattedCitation":"[18]","previouslyFormattedCitation":"[18]"},"properties":{"noteIndex":0},"schema":"https://github.com/citation-style-language/schema/raw/master/csl-citation.json"}</w:instrText>
      </w:r>
      <w:r w:rsidR="0011195C">
        <w:rPr>
          <w:rFonts w:asciiTheme="majorBidi" w:hAnsiTheme="majorBidi" w:cstheme="majorBidi"/>
          <w:color w:val="000000"/>
          <w:sz w:val="24"/>
          <w:szCs w:val="24"/>
        </w:rPr>
        <w:fldChar w:fldCharType="separate"/>
      </w:r>
      <w:r w:rsidR="0011195C">
        <w:rPr>
          <w:rFonts w:asciiTheme="majorBidi" w:hAnsiTheme="majorBidi" w:cstheme="majorBidi"/>
          <w:noProof/>
          <w:color w:val="000000"/>
          <w:sz w:val="24"/>
          <w:szCs w:val="24"/>
        </w:rPr>
        <w:t xml:space="preserve"> (</w:t>
      </w:r>
      <w:r w:rsidR="0011195C" w:rsidRPr="0011195C">
        <w:rPr>
          <w:rFonts w:ascii="Times New Roman" w:hAnsi="Times New Roman" w:cs="Times New Roman"/>
          <w:noProof/>
          <w:sz w:val="24"/>
          <w:szCs w:val="24"/>
        </w:rPr>
        <w:t xml:space="preserve">Jones </w:t>
      </w:r>
      <w:r w:rsidR="0011195C">
        <w:rPr>
          <w:rFonts w:ascii="Times New Roman" w:hAnsi="Times New Roman" w:cs="Times New Roman"/>
          <w:noProof/>
          <w:sz w:val="24"/>
          <w:szCs w:val="24"/>
        </w:rPr>
        <w:t>&amp;</w:t>
      </w:r>
      <w:r w:rsidR="0011195C" w:rsidRPr="0011195C">
        <w:rPr>
          <w:rFonts w:ascii="Times New Roman" w:hAnsi="Times New Roman" w:cs="Times New Roman"/>
          <w:noProof/>
          <w:sz w:val="24"/>
          <w:szCs w:val="24"/>
        </w:rPr>
        <w:t xml:space="preserve"> Comfort 2020</w:t>
      </w:r>
      <w:r w:rsidR="0011195C">
        <w:rPr>
          <w:rFonts w:ascii="Times New Roman" w:hAnsi="Times New Roman" w:cs="Times New Roman"/>
          <w:noProof/>
          <w:sz w:val="24"/>
          <w:szCs w:val="24"/>
        </w:rPr>
        <w:t>, 3042</w:t>
      </w:r>
      <w:r w:rsidR="0011195C">
        <w:rPr>
          <w:rFonts w:asciiTheme="majorBidi" w:hAnsiTheme="majorBidi" w:cstheme="majorBidi"/>
          <w:noProof/>
          <w:color w:val="000000"/>
          <w:sz w:val="24"/>
          <w:szCs w:val="24"/>
        </w:rPr>
        <w:t>)</w:t>
      </w:r>
      <w:r w:rsidR="0011195C">
        <w:rPr>
          <w:rFonts w:asciiTheme="majorBidi" w:hAnsiTheme="majorBidi" w:cstheme="majorBidi"/>
          <w:color w:val="000000"/>
          <w:sz w:val="24"/>
          <w:szCs w:val="24"/>
        </w:rPr>
        <w:fldChar w:fldCharType="end"/>
      </w:r>
      <w:r w:rsidR="007B5B24">
        <w:rPr>
          <w:rFonts w:asciiTheme="majorBidi" w:hAnsiTheme="majorBidi" w:cstheme="majorBidi"/>
          <w:color w:val="000000"/>
          <w:sz w:val="24"/>
          <w:szCs w:val="24"/>
        </w:rPr>
        <w:t>.</w:t>
      </w:r>
    </w:p>
    <w:p w14:paraId="31260230" w14:textId="77777777" w:rsidR="00BD3916" w:rsidRPr="002F5929" w:rsidRDefault="00BD3916" w:rsidP="00D26741">
      <w:pPr>
        <w:pStyle w:val="Heading1"/>
        <w:numPr>
          <w:ilvl w:val="0"/>
          <w:numId w:val="1"/>
        </w:numPr>
        <w:jc w:val="both"/>
        <w:rPr>
          <w:rFonts w:eastAsia="Yu Gothic UI"/>
          <w:color w:val="auto"/>
          <w:sz w:val="28"/>
          <w:szCs w:val="36"/>
        </w:rPr>
      </w:pPr>
      <w:bookmarkStart w:id="15" w:name="_Toc145025769"/>
      <w:r w:rsidRPr="002F5929">
        <w:rPr>
          <w:rFonts w:eastAsia="Yu Gothic UI"/>
          <w:color w:val="auto"/>
        </w:rPr>
        <w:t xml:space="preserve">InterContinental Hotel </w:t>
      </w:r>
      <w:r w:rsidR="00DB1EE1" w:rsidRPr="002F5929">
        <w:rPr>
          <w:rFonts w:eastAsia="Yu Gothic UI"/>
          <w:color w:val="auto"/>
        </w:rPr>
        <w:t>S</w:t>
      </w:r>
      <w:r w:rsidRPr="002F5929">
        <w:rPr>
          <w:rFonts w:eastAsia="Yu Gothic UI"/>
          <w:color w:val="auto"/>
        </w:rPr>
        <w:t xml:space="preserve">trategic </w:t>
      </w:r>
      <w:r w:rsidR="00DB1EE1" w:rsidRPr="002F5929">
        <w:rPr>
          <w:rFonts w:eastAsia="Yu Gothic UI"/>
          <w:color w:val="auto"/>
        </w:rPr>
        <w:t>A</w:t>
      </w:r>
      <w:r w:rsidRPr="002F5929">
        <w:rPr>
          <w:rFonts w:eastAsia="Yu Gothic UI"/>
          <w:color w:val="auto"/>
        </w:rPr>
        <w:t>nalysis</w:t>
      </w:r>
      <w:bookmarkEnd w:id="15"/>
    </w:p>
    <w:p w14:paraId="1A2EC6ED" w14:textId="68C6AB6D" w:rsidR="00BD3916" w:rsidRDefault="00A37DEA" w:rsidP="00D26741">
      <w:pPr>
        <w:autoSpaceDE w:val="0"/>
        <w:autoSpaceDN w:val="0"/>
        <w:adjustRightInd w:val="0"/>
        <w:spacing w:after="0" w:line="360" w:lineRule="auto"/>
        <w:jc w:val="both"/>
        <w:rPr>
          <w:rFonts w:asciiTheme="majorBidi" w:hAnsiTheme="majorBidi" w:cstheme="majorBidi"/>
          <w:color w:val="000000"/>
          <w:sz w:val="24"/>
          <w:szCs w:val="24"/>
        </w:rPr>
      </w:pPr>
      <w:r w:rsidRPr="00A37DEA">
        <w:rPr>
          <w:rFonts w:asciiTheme="majorBidi" w:hAnsiTheme="majorBidi" w:cstheme="majorBidi"/>
          <w:color w:val="000000"/>
          <w:sz w:val="24"/>
          <w:szCs w:val="24"/>
        </w:rPr>
        <w:t xml:space="preserve">Intercontinental has adopted a variety of strategies for remaining in company operations, although overall survival seems to be difficult. The goal is to maintain doing business as usual but with higher attention </w:t>
      </w:r>
      <w:r w:rsidR="00B852A8">
        <w:rPr>
          <w:rFonts w:asciiTheme="majorBidi" w:hAnsiTheme="majorBidi" w:cstheme="majorBidi"/>
          <w:color w:val="000000"/>
          <w:sz w:val="24"/>
          <w:szCs w:val="24"/>
        </w:rPr>
        <w:t>to</w:t>
      </w:r>
      <w:r w:rsidRPr="00A37DEA">
        <w:rPr>
          <w:rFonts w:asciiTheme="majorBidi" w:hAnsiTheme="majorBidi" w:cstheme="majorBidi"/>
          <w:color w:val="000000"/>
          <w:sz w:val="24"/>
          <w:szCs w:val="24"/>
        </w:rPr>
        <w:t xml:space="preserve"> cleanliness and other issues such as cyber dangers. Regardless of the changes, it is clear that the group will remain financially reliant on assistance from the government</w:t>
      </w:r>
      <w:r w:rsidR="0011195C">
        <w:rPr>
          <w:rFonts w:asciiTheme="majorBidi" w:hAnsiTheme="majorBidi" w:cstheme="majorBidi"/>
          <w:color w:val="000000"/>
          <w:sz w:val="24"/>
          <w:szCs w:val="24"/>
        </w:rPr>
        <w:t xml:space="preserve"> (</w:t>
      </w:r>
      <w:r w:rsidR="0011195C" w:rsidRPr="0011195C">
        <w:rPr>
          <w:rFonts w:ascii="Times New Roman" w:hAnsi="Times New Roman" w:cs="Times New Roman"/>
          <w:noProof/>
          <w:sz w:val="24"/>
          <w:szCs w:val="24"/>
        </w:rPr>
        <w:t>Shi</w:t>
      </w:r>
      <w:r w:rsidR="0011195C">
        <w:rPr>
          <w:rFonts w:ascii="Times New Roman" w:hAnsi="Times New Roman" w:cs="Times New Roman"/>
          <w:noProof/>
          <w:sz w:val="24"/>
          <w:szCs w:val="24"/>
        </w:rPr>
        <w:t xml:space="preserve"> et al. 2021, 2891</w:t>
      </w:r>
      <w:r w:rsidR="0011195C">
        <w:rPr>
          <w:rFonts w:asciiTheme="majorBidi" w:hAnsiTheme="majorBidi" w:cstheme="majorBidi"/>
          <w:color w:val="000000"/>
          <w:sz w:val="24"/>
          <w:szCs w:val="24"/>
        </w:rPr>
        <w:t>)</w:t>
      </w:r>
      <w:r w:rsidRPr="00A37DEA">
        <w:rPr>
          <w:rFonts w:asciiTheme="majorBidi" w:hAnsiTheme="majorBidi" w:cstheme="majorBidi"/>
          <w:color w:val="000000"/>
          <w:sz w:val="24"/>
          <w:szCs w:val="24"/>
        </w:rPr>
        <w:t>.</w:t>
      </w:r>
      <w:r w:rsidR="00A619B7">
        <w:rPr>
          <w:rFonts w:asciiTheme="majorBidi" w:hAnsiTheme="majorBidi" w:cstheme="majorBidi"/>
          <w:color w:val="000000"/>
          <w:sz w:val="24"/>
          <w:szCs w:val="24"/>
        </w:rPr>
        <w:fldChar w:fldCharType="begin" w:fldLock="1"/>
      </w:r>
      <w:r w:rsidR="007B5B24">
        <w:rPr>
          <w:rFonts w:asciiTheme="majorBidi" w:hAnsiTheme="majorBidi" w:cstheme="majorBidi"/>
          <w:color w:val="000000"/>
          <w:sz w:val="24"/>
          <w:szCs w:val="24"/>
        </w:rPr>
        <w:instrText>ADDIN CSL_CITATION {"citationItems":[{"id":"ITEM-1","itemData":{"DOI":"10.1108/IJCHM-10-2020-1194","ISSN":"0959-6119","abstract":"Purpose This research aims to explore the strategies and tactics taken by five-star hotels to create and sustain competitiveness at difficult times, the role of innovation among the initiatives taken and the factors that influence managers’ decision in selection of coping measures. Design/methodology/approach The research was conducted in two stages. The first stage focused on textual analysis of online news reports on luxury hotels’ coping strategies taken between 2013 and 2018. At the second stage, expert interviews were carried out with 25 managers of five-star hotels to obtain richer information of hotels’ responsive measures. The qualitative data were analyzed by thematic analysis. Findings The results revealed that five-star hotels in China made adjustment in physical resource management, human resource management, marketing mix, operation process and external relations to maintain competitiveness during difficult times. A model of hotel resilience was developed based on the findings. Innovation was imbedded in the responsive measures throughout these areas. Managers’ selection of coping measures was affected by the hotel’s organizational culture, location, brand image and competitors. Practical implications The model of hotel resilience serves as a useful reference to plan and select strategies and tactics to respond to similar external challenges. Hotel managers are recommended to embrace a variety of innovations directed at both internal management and customer service during challenging times. Originality/value To the best of the authors’ knowledge, this study is the first empirical research that systematically examines the measures taken by hotels during critical times to maintain competitiveness, linking these to contemporary post-Fordist operational trends.","author":[{"dropping-particle":"","family":"Shi","given":"Fangfang","non-dropping-particle":"","parse-names":false,"suffix":""},{"dropping-particle":"","family":"Shi","given":"Da","non-dropping-particle":"","parse-names":false,"suffix":""},{"dropping-particle":"","family":"Weaver","given":"David","non-dropping-particle":"","parse-names":false,"suffix":""},{"dropping-particle":"","family":"Samaniego Chavez","given":"Carla Estefania","non-dropping-particle":"","parse-names":false,"suffix":""}],"container-title":"International Journal of Contemporary Hospitality Management","id":"ITEM-1","issue":"9","issued":{"date-parts":[["2021","1","1"]]},"page":"2886-2906","publisher":"Emerald Publishing Limited","title":"Adapt to not just survive but thrive: resilience strategies of five-star hotels at difficult times","type":"article-journal","volume":"33"},"uris":["http://www.mendeley.com/documents/?uuid=8ac9deb8-75f8-4da2-95b4-3a810336d668"]}],"mendeley":{"formattedCitation":"[19]","plainTextFormattedCitation":"[19]","previouslyFormattedCitation":"[19]"},"properties":{"noteIndex":0},"schema":"https://github.com/citation-style-language/schema/raw/master/csl-citation.json"}</w:instrText>
      </w:r>
      <w:r w:rsidR="00000000">
        <w:rPr>
          <w:rFonts w:asciiTheme="majorBidi" w:hAnsiTheme="majorBidi" w:cstheme="majorBidi"/>
          <w:color w:val="000000"/>
          <w:sz w:val="24"/>
          <w:szCs w:val="24"/>
        </w:rPr>
        <w:fldChar w:fldCharType="separate"/>
      </w:r>
      <w:r w:rsidR="00A619B7">
        <w:rPr>
          <w:rFonts w:asciiTheme="majorBidi" w:hAnsiTheme="majorBidi" w:cstheme="majorBidi"/>
          <w:color w:val="000000"/>
          <w:sz w:val="24"/>
          <w:szCs w:val="24"/>
        </w:rPr>
        <w:fldChar w:fldCharType="end"/>
      </w:r>
    </w:p>
    <w:p w14:paraId="0F92439F" w14:textId="28AB521C" w:rsidR="00181DD9" w:rsidRPr="002F5929" w:rsidRDefault="00181DD9" w:rsidP="00D26741">
      <w:pPr>
        <w:pStyle w:val="ListParagraph"/>
        <w:numPr>
          <w:ilvl w:val="1"/>
          <w:numId w:val="1"/>
        </w:numPr>
        <w:autoSpaceDE w:val="0"/>
        <w:autoSpaceDN w:val="0"/>
        <w:adjustRightInd w:val="0"/>
        <w:spacing w:after="0" w:line="240" w:lineRule="auto"/>
        <w:jc w:val="both"/>
        <w:rPr>
          <w:rFonts w:ascii="Times New Roman" w:hAnsi="Times New Roman" w:cs="Times New Roman"/>
          <w:sz w:val="24"/>
          <w:szCs w:val="24"/>
        </w:rPr>
      </w:pPr>
      <w:r w:rsidRPr="002F5929">
        <w:rPr>
          <w:rFonts w:ascii="Times New Roman" w:eastAsia="Yu Gothic UI" w:hAnsi="Times New Roman" w:cs="Times New Roman"/>
          <w:b/>
          <w:bCs/>
          <w:sz w:val="28"/>
          <w:szCs w:val="36"/>
        </w:rPr>
        <w:t>Continuing with deals and business</w:t>
      </w:r>
    </w:p>
    <w:p w14:paraId="7938F636" w14:textId="4F79CA06" w:rsidR="00181DD9" w:rsidRPr="00DB1EE1" w:rsidRDefault="00A37DEA" w:rsidP="00D26741">
      <w:pPr>
        <w:autoSpaceDE w:val="0"/>
        <w:autoSpaceDN w:val="0"/>
        <w:adjustRightInd w:val="0"/>
        <w:spacing w:after="0" w:line="360" w:lineRule="auto"/>
        <w:jc w:val="both"/>
        <w:rPr>
          <w:rFonts w:asciiTheme="majorBidi" w:hAnsiTheme="majorBidi" w:cstheme="majorBidi"/>
          <w:sz w:val="24"/>
          <w:szCs w:val="24"/>
        </w:rPr>
      </w:pPr>
      <w:r w:rsidRPr="00A37DEA">
        <w:rPr>
          <w:rFonts w:asciiTheme="majorBidi" w:hAnsiTheme="majorBidi" w:cstheme="majorBidi"/>
          <w:color w:val="000000"/>
          <w:sz w:val="24"/>
          <w:szCs w:val="24"/>
        </w:rPr>
        <w:lastRenderedPageBreak/>
        <w:t xml:space="preserve">Despite the dramatic decline in revenue, IHG stated that new hotel deals were still being pursued. Keith Barr, </w:t>
      </w:r>
      <w:r w:rsidR="00B852A8">
        <w:rPr>
          <w:rFonts w:asciiTheme="majorBidi" w:hAnsiTheme="majorBidi" w:cstheme="majorBidi"/>
          <w:color w:val="000000"/>
          <w:sz w:val="24"/>
          <w:szCs w:val="24"/>
        </w:rPr>
        <w:t xml:space="preserve">the </w:t>
      </w:r>
      <w:r w:rsidRPr="00A37DEA">
        <w:rPr>
          <w:rFonts w:asciiTheme="majorBidi" w:hAnsiTheme="majorBidi" w:cstheme="majorBidi"/>
          <w:color w:val="000000"/>
          <w:sz w:val="24"/>
          <w:szCs w:val="24"/>
        </w:rPr>
        <w:t>CEO, indicated that the company had signed many contracts for bigger lodging properties in China, particularly one in the city of Shanghai under the upscale Regent brand. Hilton, a competitor, reported an increase of 8,800 room</w:t>
      </w:r>
      <w:r w:rsidR="00B852A8">
        <w:rPr>
          <w:rFonts w:asciiTheme="majorBidi" w:hAnsiTheme="majorBidi" w:cstheme="majorBidi"/>
          <w:color w:val="000000"/>
          <w:sz w:val="24"/>
          <w:szCs w:val="24"/>
        </w:rPr>
        <w:t>s</w:t>
      </w:r>
      <w:r w:rsidRPr="00A37DEA">
        <w:rPr>
          <w:rFonts w:asciiTheme="majorBidi" w:hAnsiTheme="majorBidi" w:cstheme="majorBidi"/>
          <w:color w:val="000000"/>
          <w:sz w:val="24"/>
          <w:szCs w:val="24"/>
        </w:rPr>
        <w:t xml:space="preserve"> in the third quarter</w:t>
      </w:r>
      <w:r w:rsidR="00A619B7">
        <w:rPr>
          <w:rFonts w:asciiTheme="majorBidi" w:hAnsiTheme="majorBidi" w:cstheme="majorBidi"/>
          <w:color w:val="000000"/>
          <w:sz w:val="24"/>
          <w:szCs w:val="24"/>
        </w:rPr>
        <w:fldChar w:fldCharType="begin" w:fldLock="1"/>
      </w:r>
      <w:r w:rsidR="007B5B24">
        <w:rPr>
          <w:rFonts w:asciiTheme="majorBidi" w:hAnsiTheme="majorBidi" w:cstheme="majorBidi"/>
          <w:color w:val="000000"/>
          <w:sz w:val="24"/>
          <w:szCs w:val="24"/>
        </w:rPr>
        <w:instrText>ADDIN CSL_CITATION {"citationItems":[{"id":"ITEM-1","itemData":{"DOI":"10.1108/IJCHM-09-2020-1013","ISSN":"0959-6119","abstract":"Purpose The COVID-19 pandemic has tremendously affected the hospitality industry. With the experiences of severe acute respiratory syndrome in 2003 and commitments to ensure guests’ health and safety, many hotels in Asia have actively engaged in updating and implementing new service standards and measures. This study aims to investigate hotels’ service standard changes, processes of management decisions and preparations for the future. Design/methodology/approach Using grounded theory methodology, this research interviews 24 hotel managers from mainland China and Hong Kong. It examines the differences among hotels with different operation types, classifications and locations, and analyzes the service standards in physical and social services cape. Findings Building on the service marketing and crisis management literature, this research provides a synthesis that reflects how hotels have coped with the COVID-19 crisis. It depicts the service standard update process during the COVID-19. Research limitations/implications In line with the literature in disaster management, hotels experienced the outbreak, response and recovery phases of the crisis management procedure. However, given the severity and scope of the COVID-19 pandemic, undertaking particular processes is necessary at every procedure such as following local guidelines and updating local standard operating procedures (LSOPs). This research also expands the literature on the process of adopting new technology in hotels during crisis management. Practical implications The paper suggests that hotel managers should update and use well-thought-out standards on the bases of available scientific evidence. For example, hotels should use LSOPs according to the local situations. Hotels are also suggested to exert additional efforts and attention in service innovation, guest experience and enhancing hospitableness. Originality/value To the best of the authors’ knowledge, this paper is one of the first efforts to investigate the impact of COVID-19 on hotel operations. It offers empirical evidence from hotel operators who worked against the crisis during the pandemic and provides valuable theoretical contribution to the hospitality service literature as well as managerial implications for hotel operators globally.","author":[{"dropping-particle":"","family":"Chan","given":"Janelle","non-dropping-particle":"","parse-names":false,"suffix":""},{"dropping-particle":"","family":"Gao","given":"Yixing (Lisa)","non-dropping-particle":"","parse-names":false,"suffix":""},{"dropping-particle":"","family":"McGinley","given":"Sean","non-dropping-particle":"","parse-names":false,"suffix":""}],"container-title":"International Journal of Contemporary Hospitality Management","id":"ITEM-1","issue":"5","issued":{"date-parts":[["2021","1","1"]]},"page":"1668-1687","publisher":"Emerald Publishing Limited","title":"Updates in service standards in hotels: how COVID-19 changed operations","type":"article-journal","volume":"33"},"uris":["http://www.mendeley.com/documents/?uuid=942008bb-d401-4e32-ab00-349aaae2be3a"]}],"mendeley":{"formattedCitation":"[20]","plainTextFormattedCitation":"[20]","previouslyFormattedCitation":"[20]"},"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11195C">
        <w:rPr>
          <w:rFonts w:asciiTheme="majorBidi" w:hAnsiTheme="majorBidi" w:cstheme="majorBidi"/>
          <w:noProof/>
          <w:color w:val="000000"/>
          <w:sz w:val="24"/>
          <w:szCs w:val="24"/>
        </w:rPr>
        <w:t xml:space="preserve"> </w:t>
      </w:r>
      <w:r w:rsidR="00A619B7">
        <w:rPr>
          <w:rFonts w:asciiTheme="majorBidi" w:hAnsiTheme="majorBidi" w:cstheme="majorBidi"/>
          <w:color w:val="000000"/>
          <w:sz w:val="24"/>
          <w:szCs w:val="24"/>
        </w:rPr>
        <w:fldChar w:fldCharType="end"/>
      </w:r>
      <w:r w:rsidR="0011195C">
        <w:rPr>
          <w:rFonts w:ascii="Times New Roman" w:hAnsi="Times New Roman" w:cs="Times New Roman"/>
          <w:noProof/>
          <w:sz w:val="24"/>
          <w:szCs w:val="24"/>
        </w:rPr>
        <w:t>(</w:t>
      </w:r>
      <w:r w:rsidR="0011195C" w:rsidRPr="0011195C">
        <w:rPr>
          <w:rFonts w:asciiTheme="majorBidi" w:hAnsiTheme="majorBidi" w:cstheme="majorBidi"/>
          <w:sz w:val="24"/>
          <w:szCs w:val="24"/>
        </w:rPr>
        <w:t>Chan</w:t>
      </w:r>
      <w:r w:rsidR="0011195C" w:rsidRPr="00EF12A9">
        <w:rPr>
          <w:rFonts w:ascii="Times New Roman" w:hAnsi="Times New Roman" w:cs="Times New Roman"/>
          <w:noProof/>
          <w:sz w:val="24"/>
          <w:szCs w:val="24"/>
        </w:rPr>
        <w:t xml:space="preserve"> </w:t>
      </w:r>
      <w:r w:rsidR="0011195C">
        <w:rPr>
          <w:rFonts w:ascii="Times New Roman" w:hAnsi="Times New Roman" w:cs="Times New Roman"/>
          <w:noProof/>
          <w:sz w:val="24"/>
          <w:szCs w:val="24"/>
        </w:rPr>
        <w:t>et al. 2021)</w:t>
      </w:r>
      <w:r w:rsidR="00181DD9" w:rsidRPr="00DB1EE1">
        <w:rPr>
          <w:rFonts w:asciiTheme="majorBidi" w:hAnsiTheme="majorBidi" w:cstheme="majorBidi"/>
          <w:color w:val="000000"/>
          <w:sz w:val="24"/>
          <w:szCs w:val="24"/>
        </w:rPr>
        <w:t xml:space="preserve">. </w:t>
      </w:r>
      <w:r w:rsidRPr="00A37DEA">
        <w:rPr>
          <w:rFonts w:asciiTheme="majorBidi" w:hAnsiTheme="majorBidi" w:cstheme="majorBidi"/>
          <w:color w:val="000000"/>
          <w:sz w:val="24"/>
          <w:szCs w:val="24"/>
        </w:rPr>
        <w:t xml:space="preserve">Despite the crisis, IHG continued to sign new properties, with one of the most recent being the Regent </w:t>
      </w:r>
      <w:r w:rsidR="00B852A8">
        <w:rPr>
          <w:rFonts w:asciiTheme="majorBidi" w:hAnsiTheme="majorBidi" w:cstheme="majorBidi"/>
          <w:color w:val="000000"/>
          <w:sz w:val="24"/>
          <w:szCs w:val="24"/>
        </w:rPr>
        <w:t>H</w:t>
      </w:r>
      <w:r w:rsidRPr="00A37DEA">
        <w:rPr>
          <w:rFonts w:asciiTheme="majorBidi" w:hAnsiTheme="majorBidi" w:cstheme="majorBidi"/>
          <w:color w:val="000000"/>
          <w:sz w:val="24"/>
          <w:szCs w:val="24"/>
        </w:rPr>
        <w:t xml:space="preserve">otel in Shanghai Pudong in </w:t>
      </w:r>
      <w:proofErr w:type="spellStart"/>
      <w:r w:rsidRPr="00A37DEA">
        <w:rPr>
          <w:rFonts w:asciiTheme="majorBidi" w:hAnsiTheme="majorBidi" w:cstheme="majorBidi"/>
          <w:color w:val="000000"/>
          <w:sz w:val="24"/>
          <w:szCs w:val="24"/>
        </w:rPr>
        <w:t>Lujiazui</w:t>
      </w:r>
      <w:proofErr w:type="spellEnd"/>
      <w:r w:rsidRPr="00A37DEA">
        <w:rPr>
          <w:rFonts w:asciiTheme="majorBidi" w:hAnsiTheme="majorBidi" w:cstheme="majorBidi"/>
          <w:color w:val="000000"/>
          <w:sz w:val="24"/>
          <w:szCs w:val="24"/>
        </w:rPr>
        <w:t>, Shanghai, a Chinese city, which is set to open in May after a makeover</w:t>
      </w:r>
      <w:r w:rsidR="0011195C">
        <w:rPr>
          <w:rFonts w:asciiTheme="majorBidi" w:hAnsiTheme="majorBidi" w:cstheme="majorBidi"/>
          <w:color w:val="000000"/>
          <w:sz w:val="24"/>
          <w:szCs w:val="24"/>
        </w:rPr>
        <w:t xml:space="preserve"> </w:t>
      </w:r>
      <w:r w:rsidR="0011195C">
        <w:rPr>
          <w:rFonts w:ascii="Times New Roman" w:hAnsi="Times New Roman" w:cs="Times New Roman"/>
          <w:noProof/>
          <w:sz w:val="24"/>
          <w:szCs w:val="24"/>
        </w:rPr>
        <w:t>(</w:t>
      </w:r>
      <w:r w:rsidR="0011195C" w:rsidRPr="0011195C">
        <w:rPr>
          <w:rFonts w:asciiTheme="majorBidi" w:hAnsiTheme="majorBidi" w:cstheme="majorBidi"/>
          <w:sz w:val="24"/>
          <w:szCs w:val="24"/>
        </w:rPr>
        <w:t>Chan</w:t>
      </w:r>
      <w:r w:rsidR="0011195C" w:rsidRPr="00EF12A9">
        <w:rPr>
          <w:rFonts w:ascii="Times New Roman" w:hAnsi="Times New Roman" w:cs="Times New Roman"/>
          <w:noProof/>
          <w:sz w:val="24"/>
          <w:szCs w:val="24"/>
        </w:rPr>
        <w:t xml:space="preserve"> </w:t>
      </w:r>
      <w:r w:rsidR="0011195C">
        <w:rPr>
          <w:rFonts w:ascii="Times New Roman" w:hAnsi="Times New Roman" w:cs="Times New Roman"/>
          <w:noProof/>
          <w:sz w:val="24"/>
          <w:szCs w:val="24"/>
        </w:rPr>
        <w:t>et al. 2021)</w:t>
      </w:r>
      <w:r w:rsidR="00A619B7">
        <w:rPr>
          <w:rFonts w:asciiTheme="majorBidi" w:hAnsiTheme="majorBidi" w:cstheme="majorBidi"/>
          <w:color w:val="000000"/>
          <w:sz w:val="24"/>
          <w:szCs w:val="24"/>
        </w:rPr>
        <w:fldChar w:fldCharType="begin" w:fldLock="1"/>
      </w:r>
      <w:r w:rsidR="007B5B24">
        <w:rPr>
          <w:rFonts w:asciiTheme="majorBidi" w:hAnsiTheme="majorBidi" w:cstheme="majorBidi"/>
          <w:color w:val="000000"/>
          <w:sz w:val="24"/>
          <w:szCs w:val="24"/>
        </w:rPr>
        <w:instrText>ADDIN CSL_CITATION {"citationItems":[{"id":"ITEM-1","itemData":{"DOI":"10.1108/IJCHM-09-2020-1013","ISSN":"0959-6119","abstract":"Purpose The COVID-19 pandemic has tremendously affected the hospitality industry. With the experiences of severe acute respiratory syndrome in 2003 and commitments to ensure guests’ health and safety, many hotels in Asia have actively engaged in updating and implementing new service standards and measures. This study aims to investigate hotels’ service standard changes, processes of management decisions and preparations for the future. Design/methodology/approach Using grounded theory methodology, this research interviews 24 hotel managers from mainland China and Hong Kong. It examines the differences among hotels with different operation types, classifications and locations, and analyzes the service standards in physical and social services cape. Findings Building on the service marketing and crisis management literature, this research provides a synthesis that reflects how hotels have coped with the COVID-19 crisis. It depicts the service standard update process during the COVID-19. Research limitations/implications In line with the literature in disaster management, hotels experienced the outbreak, response and recovery phases of the crisis management procedure. However, given the severity and scope of the COVID-19 pandemic, undertaking particular processes is necessary at every procedure such as following local guidelines and updating local standard operating procedures (LSOPs). This research also expands the literature on the process of adopting new technology in hotels during crisis management. Practical implications The paper suggests that hotel managers should update and use well-thought-out standards on the bases of available scientific evidence. For example, hotels should use LSOPs according to the local situations. Hotels are also suggested to exert additional efforts and attention in service innovation, guest experience and enhancing hospitableness. Originality/value To the best of the authors’ knowledge, this paper is one of the first efforts to investigate the impact of COVID-19 on hotel operations. It offers empirical evidence from hotel operators who worked against the crisis during the pandemic and provides valuable theoretical contribution to the hospitality service literature as well as managerial implications for hotel operators globally.","author":[{"dropping-particle":"","family":"Chan","given":"Janelle","non-dropping-particle":"","parse-names":false,"suffix":""},{"dropping-particle":"","family":"Gao","given":"Yixing (Lisa)","non-dropping-particle":"","parse-names":false,"suffix":""},{"dropping-particle":"","family":"McGinley","given":"Sean","non-dropping-particle":"","parse-names":false,"suffix":""}],"container-title":"International Journal of Contemporary Hospitality Management","id":"ITEM-1","issue":"5","issued":{"date-parts":[["2021","1","1"]]},"page":"1668-1687","publisher":"Emerald Publishing Limited","title":"Updates in service standards in hotels: how COVID-19 changed operations","type":"article-journal","volume":"33"},"uris":["http://www.mendeley.com/documents/?uuid=e685cd72-6072-4191-8f8e-4c7713b8851c"]}],"mendeley":{"formattedCitation":"[20]","plainTextFormattedCitation":"[20]","previouslyFormattedCitation":"[20]"},"properties":{"noteIndex":0},"schema":"https://github.com/citation-style-language/schema/raw/master/csl-citation.json"}</w:instrText>
      </w:r>
      <w:r w:rsidR="00000000">
        <w:rPr>
          <w:rFonts w:asciiTheme="majorBidi" w:hAnsiTheme="majorBidi" w:cstheme="majorBidi"/>
          <w:color w:val="000000"/>
          <w:sz w:val="24"/>
          <w:szCs w:val="24"/>
        </w:rPr>
        <w:fldChar w:fldCharType="separate"/>
      </w:r>
      <w:r w:rsidR="00A619B7">
        <w:rPr>
          <w:rFonts w:asciiTheme="majorBidi" w:hAnsiTheme="majorBidi" w:cstheme="majorBidi"/>
          <w:color w:val="000000"/>
          <w:sz w:val="24"/>
          <w:szCs w:val="24"/>
        </w:rPr>
        <w:fldChar w:fldCharType="end"/>
      </w:r>
      <w:r w:rsidR="00181DD9" w:rsidRPr="00DB1EE1">
        <w:rPr>
          <w:rFonts w:asciiTheme="majorBidi" w:hAnsiTheme="majorBidi" w:cstheme="majorBidi"/>
          <w:color w:val="000000"/>
          <w:sz w:val="24"/>
          <w:szCs w:val="24"/>
        </w:rPr>
        <w:t xml:space="preserve">. </w:t>
      </w:r>
      <w:r w:rsidR="006750B1" w:rsidRPr="006750B1">
        <w:rPr>
          <w:rFonts w:asciiTheme="majorBidi" w:hAnsiTheme="majorBidi" w:cstheme="majorBidi"/>
          <w:color w:val="000000"/>
          <w:sz w:val="24"/>
          <w:szCs w:val="24"/>
        </w:rPr>
        <w:t>This is supposed to be the main Officials property opened by IHG since the brand was bought in 2018. Proceed</w:t>
      </w:r>
      <w:r w:rsidR="00B852A8">
        <w:rPr>
          <w:rFonts w:asciiTheme="majorBidi" w:hAnsiTheme="majorBidi" w:cstheme="majorBidi"/>
          <w:color w:val="000000"/>
          <w:sz w:val="24"/>
          <w:szCs w:val="24"/>
        </w:rPr>
        <w:t>ing</w:t>
      </w:r>
      <w:r w:rsidR="006750B1" w:rsidRPr="006750B1">
        <w:rPr>
          <w:rFonts w:asciiTheme="majorBidi" w:hAnsiTheme="majorBidi" w:cstheme="majorBidi"/>
          <w:color w:val="000000"/>
          <w:sz w:val="24"/>
          <w:szCs w:val="24"/>
        </w:rPr>
        <w:t xml:space="preserve"> with arrangements and obtaining will assist IHG with recovering financial strength later on; the pandemic is just temporary, and friendliness organizations ought to keep on anticipating what's in store</w:t>
      </w:r>
      <w:r w:rsidR="00A619B7">
        <w:rPr>
          <w:rFonts w:asciiTheme="majorBidi" w:hAnsiTheme="majorBidi" w:cstheme="majorBidi"/>
          <w:color w:val="000000"/>
          <w:sz w:val="24"/>
          <w:szCs w:val="24"/>
        </w:rPr>
        <w:fldChar w:fldCharType="begin" w:fldLock="1"/>
      </w:r>
      <w:r w:rsidR="007B5B24">
        <w:rPr>
          <w:rFonts w:asciiTheme="majorBidi" w:hAnsiTheme="majorBidi" w:cstheme="majorBidi"/>
          <w:color w:val="000000"/>
          <w:sz w:val="24"/>
          <w:szCs w:val="24"/>
        </w:rPr>
        <w:instrText>ADDIN CSL_CITATION {"citationItems":[{"id":"ITEM-1","itemData":{"DOI":"https://doi.org/10.1016/j.ijhm.2021.102991","ISSN":"0278-4319","abstract":"Based on protection motivation theory (PMT), this study conceptualizes a research framework to explain and examine customer intentions regarding hotel stays during the COVID-19 pandemic. Data were collected from 700 U.S. consumers via a crowdsourcing website in July 2020. Structural equation modeling was used to analyze the collected data for testing proposed hypotheses. The analytical results showed that the level of threat perceived by customers significantly reduced their intention to stay at a hotel. On the contrary, individual customer response efficacy significantly enhanced their intention to stay at a hotel. Additionally, both government and social trust, as well as hotel response efficacy, were found to significantly increase hotel stay intention by mediating the effects of threat perception and individual response efficacy. To the best of our knowledge, this study is one of the first attempts to apply PMT to explain customer hotel stay intentions during the COVID-19 pandemic.","author":[{"dropping-particle":"","family":"Hsieh","given":"Yuchin (Jerrie)","non-dropping-particle":"","parse-names":false,"suffix":""},{"dropping-particle":"","family":"Chen","given":"Ya-Ling","non-dropping-particle":"","parse-names":false,"suffix":""},{"dropping-particle":"","family":"Wang","given":"Yao-Chin","non-dropping-particle":"","parse-names":false,"suffix":""}],"container-title":"International Journal of Hospitality Management","id":"ITEM-1","issued":{"date-parts":[["2021"]]},"page":"102991","title":"Government and social trust vs. hotel response efficacy: A protection motivation perspective on hotel stay intention during the COVID-19 pandemic","type":"article-journal","volume":"97"},"uris":["http://www.mendeley.com/documents/?uuid=b1f50bcf-78c5-46ca-97b3-889be3d91bf3"]}],"mendeley":{"formattedCitation":"[21]","plainTextFormattedCitation":"[21]","previouslyFormattedCitation":"[21]"},"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E22DFC">
        <w:rPr>
          <w:rFonts w:asciiTheme="majorBidi" w:hAnsiTheme="majorBidi" w:cstheme="majorBidi"/>
          <w:noProof/>
          <w:color w:val="000000"/>
          <w:sz w:val="24"/>
          <w:szCs w:val="24"/>
        </w:rPr>
        <w:t xml:space="preserve"> </w:t>
      </w:r>
      <w:r w:rsidR="00A619B7">
        <w:rPr>
          <w:rFonts w:asciiTheme="majorBidi" w:hAnsiTheme="majorBidi" w:cstheme="majorBidi"/>
          <w:color w:val="000000"/>
          <w:sz w:val="24"/>
          <w:szCs w:val="24"/>
        </w:rPr>
        <w:fldChar w:fldCharType="end"/>
      </w:r>
      <w:r w:rsidR="00E22DFC">
        <w:rPr>
          <w:rFonts w:asciiTheme="majorBidi" w:hAnsiTheme="majorBidi" w:cstheme="majorBidi"/>
          <w:color w:val="000000"/>
          <w:sz w:val="24"/>
          <w:szCs w:val="24"/>
        </w:rPr>
        <w:fldChar w:fldCharType="begin" w:fldLock="1"/>
      </w:r>
      <w:r w:rsidR="00E22DFC">
        <w:rPr>
          <w:rFonts w:asciiTheme="majorBidi" w:hAnsiTheme="majorBidi" w:cstheme="majorBidi"/>
          <w:color w:val="000000"/>
          <w:sz w:val="24"/>
          <w:szCs w:val="24"/>
        </w:rPr>
        <w:instrText>ADDIN CSL_CITATION {"citationItems":[{"id":"ITEM-1","itemData":{"DOI":"https://doi.org/10.1016/j.ijhm.2021.102991","ISSN":"0278-4319","abstract":"Based on protection motivation theory (PMT), this study conceptualizes a research framework to explain and examine customer intentions regarding hotel stays during the COVID-19 pandemic. Data were collected from 700 U.S. consumers via a crowdsourcing website in July 2020. Structural equation modeling was used to analyze the collected data for testing proposed hypotheses. The analytical results showed that the level of threat perceived by customers significantly reduced their intention to stay at a hotel. On the contrary, individual customer response efficacy significantly enhanced their intention to stay at a hotel. Additionally, both government and social trust, as well as hotel response efficacy, were found to significantly increase hotel stay intention by mediating the effects of threat perception and individual response efficacy. To the best of our knowledge, this study is one of the first attempts to apply PMT to explain customer hotel stay intentions during the COVID-19 pandemic.","author":[{"dropping-particle":"","family":"Hsieh","given":"Yuchin (Jerrie)","non-dropping-particle":"","parse-names":false,"suffix":""},{"dropping-particle":"","family":"Chen","given":"Ya-Ling","non-dropping-particle":"","parse-names":false,"suffix":""},{"dropping-particle":"","family":"Wang","given":"Yao-Chin","non-dropping-particle":"","parse-names":false,"suffix":""}],"container-title":"International Journal of Hospitality Management","id":"ITEM-1","issued":{"date-parts":[["2021"]]},"page":"102991","title":"Government and social trust vs. hotel response efficacy: A protection motivation perspective on hotel stay intention during the COVID-19 pandemic","type":"article-journal","volume":"97"},"uris":["http://www.mendeley.com/documents/?uuid=b1f50bcf-78c5-46ca-97b3-889be3d91bf3"]}],"mendeley":{"formattedCitation":"[21]","plainTextFormattedCitation":"[21]","previouslyFormattedCitation":"[21]"},"properties":{"noteIndex":0},"schema":"https://github.com/citation-style-language/schema/raw/master/csl-citation.json"}</w:instrText>
      </w:r>
      <w:r w:rsidR="00E22DFC">
        <w:rPr>
          <w:rFonts w:asciiTheme="majorBidi" w:hAnsiTheme="majorBidi" w:cstheme="majorBidi"/>
          <w:color w:val="000000"/>
          <w:sz w:val="24"/>
          <w:szCs w:val="24"/>
        </w:rPr>
        <w:fldChar w:fldCharType="separate"/>
      </w:r>
      <w:r w:rsidR="00E22DFC">
        <w:rPr>
          <w:rFonts w:asciiTheme="majorBidi" w:hAnsiTheme="majorBidi" w:cstheme="majorBidi"/>
          <w:noProof/>
          <w:color w:val="000000"/>
          <w:sz w:val="24"/>
          <w:szCs w:val="24"/>
        </w:rPr>
        <w:t>(</w:t>
      </w:r>
      <w:r w:rsidR="00E22DFC" w:rsidRPr="00E22DFC">
        <w:rPr>
          <w:rFonts w:ascii="Times New Roman" w:hAnsi="Times New Roman" w:cs="Times New Roman"/>
          <w:noProof/>
          <w:sz w:val="24"/>
          <w:szCs w:val="24"/>
        </w:rPr>
        <w:t>Hsieh</w:t>
      </w:r>
      <w:r w:rsidR="00E22DFC">
        <w:rPr>
          <w:rFonts w:ascii="Times New Roman" w:hAnsi="Times New Roman" w:cs="Times New Roman"/>
          <w:noProof/>
          <w:sz w:val="24"/>
          <w:szCs w:val="24"/>
        </w:rPr>
        <w:t xml:space="preserve"> et al. 2021</w:t>
      </w:r>
      <w:r w:rsidR="00E22DFC">
        <w:rPr>
          <w:rFonts w:asciiTheme="majorBidi" w:hAnsiTheme="majorBidi" w:cstheme="majorBidi"/>
          <w:noProof/>
          <w:color w:val="000000"/>
          <w:sz w:val="24"/>
          <w:szCs w:val="24"/>
        </w:rPr>
        <w:t>)</w:t>
      </w:r>
      <w:r w:rsidR="00E22DFC">
        <w:rPr>
          <w:rFonts w:asciiTheme="majorBidi" w:hAnsiTheme="majorBidi" w:cstheme="majorBidi"/>
          <w:color w:val="000000"/>
          <w:sz w:val="24"/>
          <w:szCs w:val="24"/>
        </w:rPr>
        <w:fldChar w:fldCharType="end"/>
      </w:r>
      <w:r w:rsidR="00181DD9" w:rsidRPr="00DB1EE1">
        <w:rPr>
          <w:rFonts w:asciiTheme="majorBidi" w:hAnsiTheme="majorBidi" w:cstheme="majorBidi"/>
          <w:color w:val="000000"/>
          <w:sz w:val="24"/>
          <w:szCs w:val="24"/>
        </w:rPr>
        <w:t>.</w:t>
      </w:r>
    </w:p>
    <w:p w14:paraId="194A7273" w14:textId="0E481775" w:rsidR="00181DD9" w:rsidRPr="002F5929" w:rsidRDefault="00181DD9" w:rsidP="00D26741">
      <w:pPr>
        <w:pStyle w:val="ListParagraph"/>
        <w:numPr>
          <w:ilvl w:val="1"/>
          <w:numId w:val="1"/>
        </w:numPr>
        <w:autoSpaceDE w:val="0"/>
        <w:autoSpaceDN w:val="0"/>
        <w:adjustRightInd w:val="0"/>
        <w:spacing w:after="0" w:line="240" w:lineRule="auto"/>
        <w:jc w:val="both"/>
        <w:rPr>
          <w:rFonts w:ascii="Times New Roman" w:eastAsia="Yu Gothic UI" w:hAnsi="Times New Roman" w:cs="Times New Roman"/>
          <w:b/>
          <w:bCs/>
          <w:sz w:val="28"/>
          <w:szCs w:val="36"/>
        </w:rPr>
      </w:pPr>
      <w:r w:rsidRPr="002F5929">
        <w:rPr>
          <w:rFonts w:ascii="Times New Roman" w:eastAsia="Yu Gothic UI" w:hAnsi="Times New Roman" w:cs="Times New Roman"/>
          <w:b/>
          <w:bCs/>
          <w:sz w:val="28"/>
          <w:szCs w:val="36"/>
        </w:rPr>
        <w:t xml:space="preserve">Hygiene procedures hold significance now more than </w:t>
      </w:r>
      <w:proofErr w:type="gramStart"/>
      <w:r w:rsidRPr="002F5929">
        <w:rPr>
          <w:rFonts w:ascii="Times New Roman" w:eastAsia="Yu Gothic UI" w:hAnsi="Times New Roman" w:cs="Times New Roman"/>
          <w:b/>
          <w:bCs/>
          <w:sz w:val="28"/>
          <w:szCs w:val="36"/>
        </w:rPr>
        <w:t>ever</w:t>
      </w:r>
      <w:proofErr w:type="gramEnd"/>
    </w:p>
    <w:p w14:paraId="581570EE" w14:textId="039C162C" w:rsidR="00181DD9" w:rsidRPr="00DB1EE1" w:rsidRDefault="00A27924" w:rsidP="00D26741">
      <w:pPr>
        <w:autoSpaceDE w:val="0"/>
        <w:autoSpaceDN w:val="0"/>
        <w:adjustRightInd w:val="0"/>
        <w:spacing w:after="0" w:line="360" w:lineRule="auto"/>
        <w:jc w:val="both"/>
        <w:rPr>
          <w:rFonts w:asciiTheme="majorBidi" w:hAnsiTheme="majorBidi" w:cstheme="majorBidi"/>
          <w:color w:val="000000"/>
          <w:sz w:val="24"/>
          <w:szCs w:val="24"/>
        </w:rPr>
      </w:pPr>
      <w:r w:rsidRPr="00A27924">
        <w:rPr>
          <w:rFonts w:asciiTheme="majorBidi" w:hAnsiTheme="majorBidi" w:cstheme="majorBidi"/>
          <w:color w:val="000000"/>
          <w:sz w:val="24"/>
          <w:szCs w:val="24"/>
        </w:rPr>
        <w:t>As per Worldwide Information's Coronavirus purchaser studies from week 5, 83% of worldwide responders are either 'really' or 'to some degree' stressed in regards to the worldwide Coronavirus pandemic</w:t>
      </w:r>
      <w:r w:rsidR="00A619B7">
        <w:rPr>
          <w:rFonts w:asciiTheme="majorBidi" w:hAnsiTheme="majorBidi" w:cstheme="majorBidi"/>
          <w:color w:val="000000"/>
          <w:sz w:val="24"/>
          <w:szCs w:val="24"/>
        </w:rPr>
        <w:fldChar w:fldCharType="begin" w:fldLock="1"/>
      </w:r>
      <w:r w:rsidR="007B5B24">
        <w:rPr>
          <w:rFonts w:asciiTheme="majorBidi" w:hAnsiTheme="majorBidi" w:cstheme="majorBidi"/>
          <w:color w:val="000000"/>
          <w:sz w:val="24"/>
          <w:szCs w:val="24"/>
        </w:rPr>
        <w:instrText>ADDIN CSL_CITATION {"citationItems":[{"id":"ITEM-1","itemData":{"DOI":"10.1108/IJCHM-09-2020-1013","ISSN":"0959-6119","abstract":"Purpose The COVID-19 pandemic has tremendously affected the hospitality industry. With the experiences of severe acute respiratory syndrome in 2003 and commitments to ensure guests’ health and safety, many hotels in Asia have actively engaged in updating and implementing new service standards and measures. This study aims to investigate hotels’ service standard changes, processes of management decisions and preparations for the future. Design/methodology/approach Using grounded theory methodology, this research interviews 24 hotel managers from mainland China and Hong Kong. It examines the differences among hotels with different operation types, classifications and locations, and analyzes the service standards in physical and social services cape. Findings Building on the service marketing and crisis management literature, this research provides a synthesis that reflects how hotels have coped with the COVID-19 crisis. It depicts the service standard update process during the COVID-19. Research limitations/implications In line with the literature in disaster management, hotels experienced the outbreak, response and recovery phases of the crisis management procedure. However, given the severity and scope of the COVID-19 pandemic, undertaking particular processes is necessary at every procedure such as following local guidelines and updating local standard operating procedures (LSOPs). This research also expands the literature on the process of adopting new technology in hotels during crisis management. Practical implications The paper suggests that hotel managers should update and use well-thought-out standards on the bases of available scientific evidence. For example, hotels should use LSOPs according to the local situations. Hotels are also suggested to exert additional efforts and attention in service innovation, guest experience and enhancing hospitableness. Originality/value To the best of the authors’ knowledge, this paper is one of the first efforts to investigate the impact of COVID-19 on hotel operations. It offers empirical evidence from hotel operators who worked against the crisis during the pandemic and provides valuable theoretical contribution to the hospitality service literature as well as managerial implications for hotel operators globally.","author":[{"dropping-particle":"","family":"Chan","given":"Janelle","non-dropping-particle":"","parse-names":false,"suffix":""},{"dropping-particle":"","family":"Gao","given":"Yixing (Lisa)","non-dropping-particle":"","parse-names":false,"suffix":""},{"dropping-particle":"","family":"McGinley","given":"Sean","non-dropping-particle":"","parse-names":false,"suffix":""}],"container-title":"International Journal of Contemporary Hospitality Management","id":"ITEM-1","issue":"5","issued":{"date-parts":[["2021","1","1"]]},"page":"1668-1687","publisher":"Emerald Publishing Limited","title":"Updates in service standards in hotels: how COVID-19 changed operations","type":"article-journal","volume":"33"},"uris":["http://www.mendeley.com/documents/?uuid=942008bb-d401-4e32-ab00-349aaae2be3a"]}],"mendeley":{"formattedCitation":"[20]","plainTextFormattedCitation":"[20]","previouslyFormattedCitation":"[20]"},"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E22DFC">
        <w:rPr>
          <w:rFonts w:asciiTheme="majorBidi" w:hAnsiTheme="majorBidi" w:cstheme="majorBidi"/>
          <w:noProof/>
          <w:color w:val="000000"/>
          <w:sz w:val="24"/>
          <w:szCs w:val="24"/>
        </w:rPr>
        <w:t xml:space="preserve"> </w:t>
      </w:r>
      <w:r w:rsidR="00A619B7">
        <w:rPr>
          <w:rFonts w:asciiTheme="majorBidi" w:hAnsiTheme="majorBidi" w:cstheme="majorBidi"/>
          <w:color w:val="000000"/>
          <w:sz w:val="24"/>
          <w:szCs w:val="24"/>
        </w:rPr>
        <w:fldChar w:fldCharType="end"/>
      </w:r>
      <w:r w:rsidR="00E22DFC">
        <w:rPr>
          <w:rFonts w:ascii="Times New Roman" w:hAnsi="Times New Roman" w:cs="Times New Roman"/>
          <w:noProof/>
          <w:sz w:val="24"/>
          <w:szCs w:val="24"/>
        </w:rPr>
        <w:t>(</w:t>
      </w:r>
      <w:r w:rsidR="00E22DFC" w:rsidRPr="0011195C">
        <w:rPr>
          <w:rFonts w:asciiTheme="majorBidi" w:hAnsiTheme="majorBidi" w:cstheme="majorBidi"/>
          <w:sz w:val="24"/>
          <w:szCs w:val="24"/>
        </w:rPr>
        <w:t>Chan</w:t>
      </w:r>
      <w:r w:rsidR="00E22DFC" w:rsidRPr="00EF12A9">
        <w:rPr>
          <w:rFonts w:ascii="Times New Roman" w:hAnsi="Times New Roman" w:cs="Times New Roman"/>
          <w:noProof/>
          <w:sz w:val="24"/>
          <w:szCs w:val="24"/>
        </w:rPr>
        <w:t xml:space="preserve"> </w:t>
      </w:r>
      <w:r w:rsidR="00E22DFC">
        <w:rPr>
          <w:rFonts w:ascii="Times New Roman" w:hAnsi="Times New Roman" w:cs="Times New Roman"/>
          <w:noProof/>
          <w:sz w:val="24"/>
          <w:szCs w:val="24"/>
        </w:rPr>
        <w:t>et al. 2021)</w:t>
      </w:r>
      <w:r w:rsidR="00181DD9" w:rsidRPr="00DB1EE1">
        <w:rPr>
          <w:rFonts w:asciiTheme="majorBidi" w:hAnsiTheme="majorBidi" w:cstheme="majorBidi"/>
          <w:color w:val="000000"/>
          <w:sz w:val="24"/>
          <w:szCs w:val="24"/>
        </w:rPr>
        <w:t xml:space="preserve">. </w:t>
      </w:r>
      <w:r w:rsidR="003455C9" w:rsidRPr="003455C9">
        <w:rPr>
          <w:rFonts w:asciiTheme="majorBidi" w:hAnsiTheme="majorBidi" w:cstheme="majorBidi"/>
          <w:color w:val="000000"/>
          <w:sz w:val="24"/>
          <w:szCs w:val="24"/>
        </w:rPr>
        <w:t xml:space="preserve">The fear of getting the virus because becoming extremely ill is a major source of global concern, and the likelihood of this happening boosts a hotel. Lodging companies </w:t>
      </w:r>
      <w:r w:rsidR="00B852A8">
        <w:rPr>
          <w:rFonts w:asciiTheme="majorBidi" w:hAnsiTheme="majorBidi" w:cstheme="majorBidi"/>
          <w:color w:val="000000"/>
          <w:sz w:val="24"/>
          <w:szCs w:val="24"/>
        </w:rPr>
        <w:t>that</w:t>
      </w:r>
      <w:r w:rsidR="003455C9" w:rsidRPr="003455C9">
        <w:rPr>
          <w:rFonts w:asciiTheme="majorBidi" w:hAnsiTheme="majorBidi" w:cstheme="majorBidi"/>
          <w:color w:val="000000"/>
          <w:sz w:val="24"/>
          <w:szCs w:val="24"/>
        </w:rPr>
        <w:t xml:space="preserve"> launch new efforts to promote hygiene and the well-being of their visitors are likely to see an increase in reservations in the near to medium term, shortening their recovery time. According to IHG, it gives best practices and guidelines to its hotels. It has additionally complemented these resources with COVID-19</w:t>
      </w:r>
      <w:r w:rsidR="00B852A8">
        <w:rPr>
          <w:rFonts w:asciiTheme="majorBidi" w:hAnsiTheme="majorBidi" w:cstheme="majorBidi"/>
          <w:color w:val="000000"/>
          <w:sz w:val="24"/>
          <w:szCs w:val="24"/>
        </w:rPr>
        <w:t>-</w:t>
      </w:r>
      <w:r w:rsidR="003455C9" w:rsidRPr="003455C9">
        <w:rPr>
          <w:rFonts w:asciiTheme="majorBidi" w:hAnsiTheme="majorBidi" w:cstheme="majorBidi"/>
          <w:color w:val="000000"/>
          <w:sz w:val="24"/>
          <w:szCs w:val="24"/>
        </w:rPr>
        <w:t>specific hygiene recommendations, training, and information</w:t>
      </w:r>
      <w:r w:rsidR="00A619B7">
        <w:rPr>
          <w:rFonts w:asciiTheme="majorBidi" w:hAnsiTheme="majorBidi" w:cstheme="majorBidi"/>
          <w:color w:val="000000"/>
          <w:sz w:val="24"/>
          <w:szCs w:val="24"/>
        </w:rPr>
        <w:fldChar w:fldCharType="begin" w:fldLock="1"/>
      </w:r>
      <w:r w:rsidR="007A39FF">
        <w:rPr>
          <w:rFonts w:asciiTheme="majorBidi" w:hAnsiTheme="majorBidi" w:cstheme="majorBidi"/>
          <w:color w:val="000000"/>
          <w:sz w:val="24"/>
          <w:szCs w:val="24"/>
        </w:rPr>
        <w:instrText>ADDIN CSL_CITATION {"citationItems":[{"id":"ITEM-1","itemData":{"DOI":"10.1108/IJCHM-09-2020-1013","ISSN":"0959-6119","abstract":"Purpose The COVID-19 pandemic has tremendously affected the hospitality industry. With the experiences of severe acute respiratory syndrome in 2003 and commitments to ensure guests’ health and safety, many hotels in Asia have actively engaged in updating and implementing new service standards and measures. This study aims to investigate hotels’ service standard changes, processes of management decisions and preparations for the future. Design/methodology/approach Using grounded theory methodology, this research interviews 24 hotel managers from mainland China and Hong Kong. It examines the differences among hotels with different operation types, classifications and locations, and analyzes the service standards in physical and social services cape. Findings Building on the service marketing and crisis management literature, this research provides a synthesis that reflects how hotels have coped with the COVID-19 crisis. It depicts the service standard update process during the COVID-19. Research limitations/implications In line with the literature in disaster management, hotels experienced the outbreak, response and recovery phases of the crisis management procedure. However, given the severity and scope of the COVID-19 pandemic, undertaking particular processes is necessary at every procedure such as following local guidelines and updating local standard operating procedures (LSOPs). This research also expands the literature on the process of adopting new technology in hotels during crisis management. Practical implications The paper suggests that hotel managers should update and use well-thought-out standards on the bases of available scientific evidence. For example, hotels should use LSOPs according to the local situations. Hotels are also suggested to exert additional efforts and attention in service innovation, guest experience and enhancing hospitableness. Originality/value To the best of the authors’ knowledge, this paper is one of the first efforts to investigate the impact of COVID-19 on hotel operations. It offers empirical evidence from hotel operators who worked against the crisis during the pandemic and provides valuable theoretical contribution to the hospitality service literature as well as managerial implications for hotel operators globally.","author":[{"dropping-particle":"","family":"Chan","given":"Janelle","non-dropping-particle":"","parse-names":false,"suffix":""},{"dropping-particle":"","family":"Gao","given":"Yixing (Lisa)","non-dropping-particle":"","parse-names":false,"suffix":""},{"dropping-particle":"","family":"McGinley","given":"Sean","non-dropping-particle":"","parse-names":false,"suffix":""}],"container-title":"International Journal of Contemporary Hospitality Management","id":"ITEM-1","issue":"5","issued":{"date-parts":[["2021","1","1"]]},"page":"1668-1687","publisher":"Emerald Publishing Limited","title":"Updates in service standards in hotels: how COVID-19 changed operations","type":"article-journal","volume":"33"},"uris":["http://www.mendeley.com/documents/?uuid=e685cd72-6072-4191-8f8e-4c7713b8851c"]}],"mendeley":{"formattedCitation":"[20]","plainTextFormattedCitation":"[20]","previouslyFormattedCitation":"[20]"},"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E22DFC">
        <w:rPr>
          <w:rFonts w:asciiTheme="majorBidi" w:hAnsiTheme="majorBidi" w:cstheme="majorBidi"/>
          <w:noProof/>
          <w:color w:val="000000"/>
          <w:sz w:val="24"/>
          <w:szCs w:val="24"/>
        </w:rPr>
        <w:t xml:space="preserve"> </w:t>
      </w:r>
      <w:r w:rsidR="00A619B7">
        <w:rPr>
          <w:rFonts w:asciiTheme="majorBidi" w:hAnsiTheme="majorBidi" w:cstheme="majorBidi"/>
          <w:color w:val="000000"/>
          <w:sz w:val="24"/>
          <w:szCs w:val="24"/>
        </w:rPr>
        <w:fldChar w:fldCharType="end"/>
      </w:r>
      <w:r w:rsidR="00E22DFC">
        <w:rPr>
          <w:rFonts w:ascii="Times New Roman" w:hAnsi="Times New Roman" w:cs="Times New Roman"/>
          <w:noProof/>
          <w:sz w:val="24"/>
          <w:szCs w:val="24"/>
        </w:rPr>
        <w:t>(</w:t>
      </w:r>
      <w:r w:rsidR="00E22DFC" w:rsidRPr="0011195C">
        <w:rPr>
          <w:rFonts w:asciiTheme="majorBidi" w:hAnsiTheme="majorBidi" w:cstheme="majorBidi"/>
          <w:sz w:val="24"/>
          <w:szCs w:val="24"/>
        </w:rPr>
        <w:t>Chan</w:t>
      </w:r>
      <w:r w:rsidR="00E22DFC" w:rsidRPr="00EF12A9">
        <w:rPr>
          <w:rFonts w:ascii="Times New Roman" w:hAnsi="Times New Roman" w:cs="Times New Roman"/>
          <w:noProof/>
          <w:sz w:val="24"/>
          <w:szCs w:val="24"/>
        </w:rPr>
        <w:t xml:space="preserve"> </w:t>
      </w:r>
      <w:r w:rsidR="00E22DFC">
        <w:rPr>
          <w:rFonts w:ascii="Times New Roman" w:hAnsi="Times New Roman" w:cs="Times New Roman"/>
          <w:noProof/>
          <w:sz w:val="24"/>
          <w:szCs w:val="24"/>
        </w:rPr>
        <w:t>et al. 2021)</w:t>
      </w:r>
      <w:r w:rsidR="00181DD9" w:rsidRPr="00DB1EE1">
        <w:rPr>
          <w:rFonts w:asciiTheme="majorBidi" w:hAnsiTheme="majorBidi" w:cstheme="majorBidi"/>
          <w:color w:val="000000"/>
          <w:sz w:val="24"/>
          <w:szCs w:val="24"/>
        </w:rPr>
        <w:t>.</w:t>
      </w:r>
    </w:p>
    <w:p w14:paraId="499A3B6B" w14:textId="0B87A138" w:rsidR="00181DD9" w:rsidRPr="002F5929" w:rsidRDefault="00181DD9" w:rsidP="00D26741">
      <w:pPr>
        <w:pStyle w:val="ListParagraph"/>
        <w:numPr>
          <w:ilvl w:val="1"/>
          <w:numId w:val="1"/>
        </w:numPr>
        <w:autoSpaceDE w:val="0"/>
        <w:autoSpaceDN w:val="0"/>
        <w:adjustRightInd w:val="0"/>
        <w:spacing w:after="0" w:line="240" w:lineRule="auto"/>
        <w:jc w:val="both"/>
        <w:rPr>
          <w:rFonts w:ascii="Times New Roman" w:eastAsia="Yu Gothic UI" w:hAnsi="Times New Roman" w:cs="Times New Roman"/>
          <w:b/>
          <w:bCs/>
          <w:sz w:val="28"/>
          <w:szCs w:val="36"/>
        </w:rPr>
      </w:pPr>
      <w:r w:rsidRPr="002F5929">
        <w:rPr>
          <w:rFonts w:ascii="Times New Roman" w:eastAsia="Yu Gothic UI" w:hAnsi="Times New Roman" w:cs="Times New Roman"/>
          <w:b/>
          <w:bCs/>
          <w:sz w:val="28"/>
          <w:szCs w:val="36"/>
        </w:rPr>
        <w:t>Prioritizing loyalty schemes over rate reductions</w:t>
      </w:r>
    </w:p>
    <w:p w14:paraId="3CE6535C" w14:textId="6D40A11B" w:rsidR="00181DD9" w:rsidRPr="00DB1EE1" w:rsidRDefault="003455C9" w:rsidP="00D26741">
      <w:pPr>
        <w:autoSpaceDE w:val="0"/>
        <w:autoSpaceDN w:val="0"/>
        <w:adjustRightInd w:val="0"/>
        <w:spacing w:after="0" w:line="360" w:lineRule="auto"/>
        <w:jc w:val="both"/>
        <w:rPr>
          <w:rFonts w:asciiTheme="majorBidi" w:hAnsiTheme="majorBidi" w:cstheme="majorBidi"/>
          <w:sz w:val="24"/>
          <w:szCs w:val="24"/>
        </w:rPr>
      </w:pPr>
      <w:r w:rsidRPr="003455C9">
        <w:rPr>
          <w:rFonts w:asciiTheme="majorBidi" w:hAnsiTheme="majorBidi" w:cstheme="majorBidi"/>
          <w:color w:val="000000"/>
          <w:sz w:val="24"/>
          <w:szCs w:val="24"/>
        </w:rPr>
        <w:t>Instead of promoting prospective room rates at reduced rates, delivering rewards through loyalty programmers allows hotels to retain pricing power. IHG has reduced the admission requirements for the next membership tier, which means that consumers are more likely to stay loyal</w:t>
      </w:r>
      <w:r w:rsidR="00A619B7">
        <w:rPr>
          <w:rFonts w:asciiTheme="majorBidi" w:hAnsiTheme="majorBidi" w:cstheme="majorBidi"/>
          <w:color w:val="000000"/>
          <w:sz w:val="24"/>
          <w:szCs w:val="24"/>
        </w:rPr>
        <w:fldChar w:fldCharType="begin" w:fldLock="1"/>
      </w:r>
      <w:r w:rsidR="007A39FF">
        <w:rPr>
          <w:rFonts w:asciiTheme="majorBidi" w:hAnsiTheme="majorBidi" w:cstheme="majorBidi"/>
          <w:color w:val="000000"/>
          <w:sz w:val="24"/>
          <w:szCs w:val="24"/>
        </w:rPr>
        <w:instrText>ADDIN CSL_CITATION {"citationItems":[{"id":"ITEM-1","itemData":{"DOI":"https://doi.org/10.1016/j.ijhm.2021.102991","ISSN":"0278-4319","abstract":"Based on protection motivation theory (PMT), this study conceptualizes a research framework to explain and examine customer intentions regarding hotel stays during the COVID-19 pandemic. Data were collected from 700 U.S. consumers via a crowdsourcing website in July 2020. Structural equation modeling was used to analyze the collected data for testing proposed hypotheses. The analytical results showed that the level of threat perceived by customers significantly reduced their intention to stay at a hotel. On the contrary, individual customer response efficacy significantly enhanced their intention to stay at a hotel. Additionally, both government and social trust, as well as hotel response efficacy, were found to significantly increase hotel stay intention by mediating the effects of threat perception and individual response efficacy. To the best of our knowledge, this study is one of the first attempts to apply PMT to explain customer hotel stay intentions during the COVID-19 pandemic.","author":[{"dropping-particle":"","family":"Hsieh","given":"Yuchin (Jerrie)","non-dropping-particle":"","parse-names":false,"suffix":""},{"dropping-particle":"","family":"Chen","given":"Ya-Ling","non-dropping-particle":"","parse-names":false,"suffix":""},{"dropping-particle":"","family":"Wang","given":"Yao-Chin","non-dropping-particle":"","parse-names":false,"suffix":""}],"container-title":"International Journal of Hospitality Management","id":"ITEM-1","issued":{"date-parts":[["2021"]]},"page":"102991","title":"Government and social trust vs. hotel response efficacy: A protection motivation perspective on hotel stay intention during the COVID-19 pandemic","type":"article-journal","volume":"97"},"uris":["http://www.mendeley.com/documents/?uuid=b1f50bcf-78c5-46ca-97b3-889be3d91bf3"]}],"mendeley":{"formattedCitation":"[21]","plainTextFormattedCitation":"[21]","previouslyFormattedCitation":"[21]"},"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E22DFC">
        <w:rPr>
          <w:rFonts w:asciiTheme="majorBidi" w:hAnsiTheme="majorBidi" w:cstheme="majorBidi"/>
          <w:noProof/>
          <w:color w:val="000000"/>
          <w:sz w:val="24"/>
          <w:szCs w:val="24"/>
        </w:rPr>
        <w:t xml:space="preserve"> </w:t>
      </w:r>
      <w:r w:rsidR="00A619B7">
        <w:rPr>
          <w:rFonts w:asciiTheme="majorBidi" w:hAnsiTheme="majorBidi" w:cstheme="majorBidi"/>
          <w:color w:val="000000"/>
          <w:sz w:val="24"/>
          <w:szCs w:val="24"/>
        </w:rPr>
        <w:fldChar w:fldCharType="end"/>
      </w:r>
      <w:r w:rsidR="00E22DFC">
        <w:rPr>
          <w:rFonts w:asciiTheme="majorBidi" w:hAnsiTheme="majorBidi" w:cstheme="majorBidi"/>
          <w:color w:val="000000"/>
          <w:sz w:val="24"/>
          <w:szCs w:val="24"/>
        </w:rPr>
        <w:fldChar w:fldCharType="begin" w:fldLock="1"/>
      </w:r>
      <w:r w:rsidR="00E22DFC">
        <w:rPr>
          <w:rFonts w:asciiTheme="majorBidi" w:hAnsiTheme="majorBidi" w:cstheme="majorBidi"/>
          <w:color w:val="000000"/>
          <w:sz w:val="24"/>
          <w:szCs w:val="24"/>
        </w:rPr>
        <w:instrText>ADDIN CSL_CITATION {"citationItems":[{"id":"ITEM-1","itemData":{"DOI":"https://doi.org/10.1016/j.ijhm.2021.102991","ISSN":"0278-4319","abstract":"Based on protection motivation theory (PMT), this study conceptualizes a research framework to explain and examine customer intentions regarding hotel stays during the COVID-19 pandemic. Data were collected from 700 U.S. consumers via a crowdsourcing website in July 2020. Structural equation modeling was used to analyze the collected data for testing proposed hypotheses. The analytical results showed that the level of threat perceived by customers significantly reduced their intention to stay at a hotel. On the contrary, individual customer response efficacy significantly enhanced their intention to stay at a hotel. Additionally, both government and social trust, as well as hotel response efficacy, were found to significantly increase hotel stay intention by mediating the effects of threat perception and individual response efficacy. To the best of our knowledge, this study is one of the first attempts to apply PMT to explain customer hotel stay intentions during the COVID-19 pandemic.","author":[{"dropping-particle":"","family":"Hsieh","given":"Yuchin (Jerrie)","non-dropping-particle":"","parse-names":false,"suffix":""},{"dropping-particle":"","family":"Chen","given":"Ya-Ling","non-dropping-particle":"","parse-names":false,"suffix":""},{"dropping-particle":"","family":"Wang","given":"Yao-Chin","non-dropping-particle":"","parse-names":false,"suffix":""}],"container-title":"International Journal of Hospitality Management","id":"ITEM-1","issued":{"date-parts":[["2021"]]},"page":"102991","title":"Government and social trust vs. hotel response efficacy: A protection motivation perspective on hotel stay intention during the COVID-19 pandemic","type":"article-journal","volume":"97"},"uris":["http://www.mendeley.com/documents/?uuid=b1f50bcf-78c5-46ca-97b3-889be3d91bf3"]}],"mendeley":{"formattedCitation":"[21]","plainTextFormattedCitation":"[21]","previouslyFormattedCitation":"[21]"},"properties":{"noteIndex":0},"schema":"https://github.com/citation-style-language/schema/raw/master/csl-citation.json"}</w:instrText>
      </w:r>
      <w:r w:rsidR="00E22DFC">
        <w:rPr>
          <w:rFonts w:asciiTheme="majorBidi" w:hAnsiTheme="majorBidi" w:cstheme="majorBidi"/>
          <w:color w:val="000000"/>
          <w:sz w:val="24"/>
          <w:szCs w:val="24"/>
        </w:rPr>
        <w:fldChar w:fldCharType="separate"/>
      </w:r>
      <w:r w:rsidR="00E22DFC">
        <w:rPr>
          <w:rFonts w:asciiTheme="majorBidi" w:hAnsiTheme="majorBidi" w:cstheme="majorBidi"/>
          <w:noProof/>
          <w:color w:val="000000"/>
          <w:sz w:val="24"/>
          <w:szCs w:val="24"/>
        </w:rPr>
        <w:t>(</w:t>
      </w:r>
      <w:r w:rsidR="00E22DFC" w:rsidRPr="00E22DFC">
        <w:rPr>
          <w:rFonts w:ascii="Times New Roman" w:hAnsi="Times New Roman" w:cs="Times New Roman"/>
          <w:noProof/>
          <w:sz w:val="24"/>
          <w:szCs w:val="24"/>
        </w:rPr>
        <w:t>Hsieh</w:t>
      </w:r>
      <w:r w:rsidR="00E22DFC">
        <w:rPr>
          <w:rFonts w:ascii="Times New Roman" w:hAnsi="Times New Roman" w:cs="Times New Roman"/>
          <w:noProof/>
          <w:sz w:val="24"/>
          <w:szCs w:val="24"/>
        </w:rPr>
        <w:t xml:space="preserve"> et al. 2021</w:t>
      </w:r>
      <w:r w:rsidR="00E22DFC">
        <w:rPr>
          <w:rFonts w:asciiTheme="majorBidi" w:hAnsiTheme="majorBidi" w:cstheme="majorBidi"/>
          <w:noProof/>
          <w:color w:val="000000"/>
          <w:sz w:val="24"/>
          <w:szCs w:val="24"/>
        </w:rPr>
        <w:t>)</w:t>
      </w:r>
      <w:r w:rsidR="00E22DFC">
        <w:rPr>
          <w:rFonts w:asciiTheme="majorBidi" w:hAnsiTheme="majorBidi" w:cstheme="majorBidi"/>
          <w:color w:val="000000"/>
          <w:sz w:val="24"/>
          <w:szCs w:val="24"/>
        </w:rPr>
        <w:fldChar w:fldCharType="end"/>
      </w:r>
      <w:r w:rsidR="00181DD9" w:rsidRPr="00DB1EE1">
        <w:rPr>
          <w:rFonts w:asciiTheme="majorBidi" w:hAnsiTheme="majorBidi" w:cstheme="majorBidi"/>
          <w:color w:val="000000"/>
          <w:sz w:val="24"/>
          <w:szCs w:val="24"/>
        </w:rPr>
        <w:t xml:space="preserve">. </w:t>
      </w:r>
      <w:r w:rsidRPr="003455C9">
        <w:rPr>
          <w:rFonts w:asciiTheme="majorBidi" w:hAnsiTheme="majorBidi" w:cstheme="majorBidi"/>
          <w:color w:val="000000"/>
          <w:sz w:val="24"/>
          <w:szCs w:val="24"/>
        </w:rPr>
        <w:t>Customers may be enticed to explore a competitor's offerings during the height of travel limitations and lockdowns due to the greater amount of time to themselves available to them. As a result, during this moment of economic depression, this technique is incredibly helpful to a corporation</w:t>
      </w:r>
      <w:r w:rsidR="00A619B7">
        <w:rPr>
          <w:rFonts w:asciiTheme="majorBidi" w:hAnsiTheme="majorBidi" w:cstheme="majorBidi"/>
          <w:color w:val="000000"/>
          <w:sz w:val="24"/>
          <w:szCs w:val="24"/>
        </w:rPr>
        <w:fldChar w:fldCharType="begin" w:fldLock="1"/>
      </w:r>
      <w:r w:rsidR="007A39FF">
        <w:rPr>
          <w:rFonts w:asciiTheme="majorBidi" w:hAnsiTheme="majorBidi" w:cstheme="majorBidi"/>
          <w:color w:val="000000"/>
          <w:sz w:val="24"/>
          <w:szCs w:val="24"/>
        </w:rPr>
        <w:instrText>ADDIN CSL_CITATION {"citationItems":[{"id":"ITEM-1","itemData":{"DOI":"10.1108/IJCHM-10-2020-1194","ISSN":"0959-6119","abstract":"Purpose This research aims to explore the strategies and tactics taken by five-star hotels to create and sustain competitiveness at difficult times, the role of innovation among the initiatives taken and the factors that influence managers’ decision in selection of coping measures. Design/methodology/approach The research was conducted in two stages. The first stage focused on textual analysis of online news reports on luxury hotels’ coping strategies taken between 2013 and 2018. At the second stage, expert interviews were carried out with 25 managers of five-star hotels to obtain richer information of hotels’ responsive measures. The qualitative data were analyzed by thematic analysis. Findings The results revealed that five-star hotels in China made adjustment in physical resource management, human resource management, marketing mix, operation process and external relations to maintain competitiveness during difficult times. A model of hotel resilience was developed based on the findings. Innovation was imbedded in the responsive measures throughout these areas. Managers’ selection of coping measures was affected by the hotel’s organizational culture, location, brand image and competitors. Practical implications The model of hotel resilience serves as a useful reference to plan and select strategies and tactics to respond to similar external challenges. Hotel managers are recommended to embrace a variety of innovations directed at both internal management and customer service during challenging times. Originality/value To the best of the authors’ knowledge, this study is the first empirical research that systematically examines the measures taken by hotels during critical times to maintain competitiveness, linking these to contemporary post-Fordist operational trends.","author":[{"dropping-particle":"","family":"Shi","given":"Fangfang","non-dropping-particle":"","parse-names":false,"suffix":""},{"dropping-particle":"","family":"Shi","given":"Da","non-dropping-particle":"","parse-names":false,"suffix":""},{"dropping-particle":"","family":"Weaver","given":"David","non-dropping-particle":"","parse-names":false,"suffix":""},{"dropping-particle":"","family":"Samaniego Chavez","given":"Carla Estefania","non-dropping-particle":"","parse-names":false,"suffix":""}],"container-title":"International Journal of Contemporary Hospitality Management","id":"ITEM-1","issue":"9","issued":{"date-parts":[["2021","1","1"]]},"page":"2886-2906","publisher":"Emerald Publishing Limited","title":"Adapt to not just survive but thrive: resilience strategies of five-star hotels at difficult times","type":"article-journal","volume":"33"},"uris":["http://www.mendeley.com/documents/?uuid=8ac9deb8-75f8-4da2-95b4-3a810336d668"]}],"mendeley":{"formattedCitation":"[19]","plainTextFormattedCitation":"[19]","previouslyFormattedCitation":"[19]"},"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11195C">
        <w:rPr>
          <w:rFonts w:asciiTheme="majorBidi" w:hAnsiTheme="majorBidi" w:cstheme="majorBidi"/>
          <w:noProof/>
          <w:color w:val="000000"/>
          <w:sz w:val="24"/>
          <w:szCs w:val="24"/>
        </w:rPr>
        <w:t xml:space="preserve"> </w:t>
      </w:r>
      <w:r w:rsidR="00A619B7">
        <w:rPr>
          <w:rFonts w:asciiTheme="majorBidi" w:hAnsiTheme="majorBidi" w:cstheme="majorBidi"/>
          <w:color w:val="000000"/>
          <w:sz w:val="24"/>
          <w:szCs w:val="24"/>
        </w:rPr>
        <w:fldChar w:fldCharType="end"/>
      </w:r>
      <w:r w:rsidR="0011195C">
        <w:rPr>
          <w:rFonts w:asciiTheme="majorBidi" w:hAnsiTheme="majorBidi" w:cstheme="majorBidi"/>
          <w:color w:val="000000"/>
          <w:sz w:val="24"/>
          <w:szCs w:val="24"/>
        </w:rPr>
        <w:t>(</w:t>
      </w:r>
      <w:r w:rsidR="0011195C" w:rsidRPr="0011195C">
        <w:rPr>
          <w:rFonts w:ascii="Times New Roman" w:hAnsi="Times New Roman" w:cs="Times New Roman"/>
          <w:noProof/>
          <w:sz w:val="24"/>
          <w:szCs w:val="24"/>
        </w:rPr>
        <w:t>Shi</w:t>
      </w:r>
      <w:r w:rsidR="0011195C">
        <w:rPr>
          <w:rFonts w:ascii="Times New Roman" w:hAnsi="Times New Roman" w:cs="Times New Roman"/>
          <w:noProof/>
          <w:sz w:val="24"/>
          <w:szCs w:val="24"/>
        </w:rPr>
        <w:t xml:space="preserve"> et al. 2021, 2893</w:t>
      </w:r>
      <w:r w:rsidR="0011195C">
        <w:rPr>
          <w:rFonts w:asciiTheme="majorBidi" w:hAnsiTheme="majorBidi" w:cstheme="majorBidi"/>
          <w:color w:val="000000"/>
          <w:sz w:val="24"/>
          <w:szCs w:val="24"/>
        </w:rPr>
        <w:t>)</w:t>
      </w:r>
      <w:r w:rsidR="00181DD9" w:rsidRPr="00DB1EE1">
        <w:rPr>
          <w:rFonts w:asciiTheme="majorBidi" w:hAnsiTheme="majorBidi" w:cstheme="majorBidi"/>
          <w:color w:val="000000"/>
          <w:sz w:val="24"/>
          <w:szCs w:val="24"/>
        </w:rPr>
        <w:t>.</w:t>
      </w:r>
    </w:p>
    <w:p w14:paraId="6B18C1F1" w14:textId="637178C0" w:rsidR="00181DD9" w:rsidRDefault="00181DD9" w:rsidP="00D26741">
      <w:pPr>
        <w:pStyle w:val="ListParagraph"/>
        <w:numPr>
          <w:ilvl w:val="1"/>
          <w:numId w:val="1"/>
        </w:numPr>
        <w:autoSpaceDE w:val="0"/>
        <w:autoSpaceDN w:val="0"/>
        <w:adjustRightInd w:val="0"/>
        <w:spacing w:after="0" w:line="240" w:lineRule="auto"/>
        <w:jc w:val="both"/>
        <w:rPr>
          <w:rFonts w:ascii="Times New Roman" w:hAnsi="Times New Roman" w:cs="Times New Roman"/>
          <w:sz w:val="24"/>
          <w:szCs w:val="24"/>
        </w:rPr>
      </w:pPr>
      <w:r w:rsidRPr="002F5929">
        <w:rPr>
          <w:rFonts w:ascii="Times New Roman" w:eastAsia="Yu Gothic UI" w:hAnsi="Times New Roman" w:cs="Times New Roman"/>
          <w:b/>
          <w:bCs/>
          <w:sz w:val="28"/>
          <w:szCs w:val="36"/>
        </w:rPr>
        <w:t>Ensuring protection against cyber attacks</w:t>
      </w:r>
    </w:p>
    <w:p w14:paraId="2FD52C5E" w14:textId="0DC6F6D6" w:rsidR="00181DD9" w:rsidRPr="00DB1EE1" w:rsidRDefault="003455C9" w:rsidP="00D26741">
      <w:pPr>
        <w:autoSpaceDE w:val="0"/>
        <w:autoSpaceDN w:val="0"/>
        <w:adjustRightInd w:val="0"/>
        <w:spacing w:after="0" w:line="360" w:lineRule="auto"/>
        <w:jc w:val="both"/>
        <w:rPr>
          <w:rFonts w:asciiTheme="majorBidi" w:hAnsiTheme="majorBidi" w:cstheme="majorBidi"/>
          <w:color w:val="000000"/>
          <w:sz w:val="24"/>
          <w:szCs w:val="24"/>
        </w:rPr>
      </w:pPr>
      <w:r w:rsidRPr="003455C9">
        <w:rPr>
          <w:rFonts w:asciiTheme="majorBidi" w:hAnsiTheme="majorBidi" w:cstheme="majorBidi"/>
          <w:color w:val="000000"/>
          <w:sz w:val="24"/>
          <w:szCs w:val="24"/>
        </w:rPr>
        <w:t xml:space="preserve">Hackers could exploit the predicament that many big hotel chains are currently in, with potentially greater vulnerability due to the use of one's own computing devices. Hotel firms are </w:t>
      </w:r>
      <w:r w:rsidRPr="003455C9">
        <w:rPr>
          <w:rFonts w:asciiTheme="majorBidi" w:hAnsiTheme="majorBidi" w:cstheme="majorBidi"/>
          <w:color w:val="000000"/>
          <w:sz w:val="24"/>
          <w:szCs w:val="24"/>
        </w:rPr>
        <w:lastRenderedPageBreak/>
        <w:t>losing money at an alarming rate as a result of COVID-19's effects; they cannot afford to be the target of a high-profile cyber-attack, which might result in either a fine they cannot pay or damage to their general image. IHG previously collaborated with debit and credit card networks and cyber security professionals to remove insufficient spyware from each location. It has also pushed for sites to use the company's Secure Payment Solution (SPS)</w:t>
      </w:r>
      <w:r w:rsidR="00A619B7">
        <w:rPr>
          <w:rFonts w:asciiTheme="majorBidi" w:hAnsiTheme="majorBidi" w:cstheme="majorBidi"/>
          <w:color w:val="000000"/>
          <w:sz w:val="24"/>
          <w:szCs w:val="24"/>
        </w:rPr>
        <w:fldChar w:fldCharType="begin" w:fldLock="1"/>
      </w:r>
      <w:r w:rsidR="007A39FF">
        <w:rPr>
          <w:rFonts w:asciiTheme="majorBidi" w:hAnsiTheme="majorBidi" w:cstheme="majorBidi"/>
          <w:color w:val="000000"/>
          <w:sz w:val="24"/>
          <w:szCs w:val="24"/>
        </w:rPr>
        <w:instrText>ADDIN CSL_CITATION {"citationItems":[{"id":"ITEM-1","itemData":{"abstract":"… of April, examined the impact at the state, national, and … The ultimate economic impact of the COVID-19 pandemic … mitigate structural damage to the economy while containing the virus. …","author":[{"dropping-particle":"","family":"Lund","given":"Susan","non-dropping-particle":"","parse-names":false,"suffix":""},{"dropping-particle":"","family":"Ellingrud","given":"Kweilin","non-dropping-particle":"","parse-names":false,"suffix":""},{"dropping-particle":"","family":"Hancock","given":"Bryan","non-dropping-particle":"","parse-names":false,"suffix":""},{"dropping-particle":"","family":"Manyika","given":"James","non-dropping-particle":"","parse-names":false,"suffix":""}],"container-title":"McKinsey Global Institute website","id":"ITEM-1","issue":"April","issued":{"date-parts":[["2020"]]},"page":"1-10","title":"COVID-19 and jobs : Monitoring the US impact on people and places","type":"article-journal"},"uris":["http://www.mendeley.com/documents/?uuid=ed408a24-1a94-4f8e-bae6-4918dd24fb7e"]}],"mendeley":{"formattedCitation":"[22]","plainTextFormattedCitation":"[22]","previouslyFormattedCitation":"[22]"},"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E22DFC">
        <w:rPr>
          <w:rFonts w:asciiTheme="majorBidi" w:hAnsiTheme="majorBidi" w:cstheme="majorBidi"/>
          <w:noProof/>
          <w:color w:val="000000"/>
          <w:sz w:val="24"/>
          <w:szCs w:val="24"/>
        </w:rPr>
        <w:t xml:space="preserve"> </w:t>
      </w:r>
      <w:r w:rsidR="00A619B7">
        <w:rPr>
          <w:rFonts w:asciiTheme="majorBidi" w:hAnsiTheme="majorBidi" w:cstheme="majorBidi"/>
          <w:color w:val="000000"/>
          <w:sz w:val="24"/>
          <w:szCs w:val="24"/>
        </w:rPr>
        <w:fldChar w:fldCharType="end"/>
      </w:r>
      <w:r w:rsidR="00E22DFC">
        <w:rPr>
          <w:rFonts w:asciiTheme="majorBidi" w:hAnsiTheme="majorBidi" w:cstheme="majorBidi"/>
          <w:color w:val="000000"/>
          <w:sz w:val="24"/>
          <w:szCs w:val="24"/>
        </w:rPr>
        <w:t>(</w:t>
      </w:r>
      <w:r w:rsidR="00E22DFC" w:rsidRPr="00E22DFC">
        <w:rPr>
          <w:rFonts w:ascii="Times New Roman" w:hAnsi="Times New Roman" w:cs="Times New Roman"/>
          <w:noProof/>
          <w:sz w:val="24"/>
          <w:szCs w:val="24"/>
        </w:rPr>
        <w:t>Lund</w:t>
      </w:r>
      <w:r w:rsidR="00E22DFC">
        <w:rPr>
          <w:rFonts w:ascii="Times New Roman" w:hAnsi="Times New Roman" w:cs="Times New Roman"/>
          <w:noProof/>
          <w:sz w:val="24"/>
          <w:szCs w:val="24"/>
        </w:rPr>
        <w:t xml:space="preserve"> et al. 2020</w:t>
      </w:r>
      <w:r w:rsidR="00E22DFC">
        <w:rPr>
          <w:rFonts w:asciiTheme="majorBidi" w:hAnsiTheme="majorBidi" w:cstheme="majorBidi"/>
          <w:color w:val="000000"/>
          <w:sz w:val="24"/>
          <w:szCs w:val="24"/>
        </w:rPr>
        <w:t>)</w:t>
      </w:r>
      <w:r w:rsidR="00181DD9" w:rsidRPr="00DB1EE1">
        <w:rPr>
          <w:rFonts w:asciiTheme="majorBidi" w:hAnsiTheme="majorBidi" w:cstheme="majorBidi"/>
          <w:color w:val="000000"/>
          <w:sz w:val="24"/>
          <w:szCs w:val="24"/>
        </w:rPr>
        <w:t>.</w:t>
      </w:r>
    </w:p>
    <w:p w14:paraId="2013E8B1" w14:textId="0AB354B3" w:rsidR="00181DD9" w:rsidRPr="002F5929" w:rsidRDefault="00181DD9" w:rsidP="00D26741">
      <w:pPr>
        <w:pStyle w:val="ListParagraph"/>
        <w:numPr>
          <w:ilvl w:val="1"/>
          <w:numId w:val="1"/>
        </w:numPr>
        <w:autoSpaceDE w:val="0"/>
        <w:autoSpaceDN w:val="0"/>
        <w:adjustRightInd w:val="0"/>
        <w:spacing w:after="0" w:line="240" w:lineRule="auto"/>
        <w:jc w:val="both"/>
        <w:rPr>
          <w:rFonts w:ascii="Times New Roman" w:eastAsia="Yu Gothic UI" w:hAnsi="Times New Roman" w:cs="Times New Roman"/>
          <w:b/>
          <w:bCs/>
          <w:sz w:val="28"/>
          <w:szCs w:val="36"/>
        </w:rPr>
      </w:pPr>
      <w:r w:rsidRPr="002F5929">
        <w:rPr>
          <w:rFonts w:ascii="Times New Roman" w:eastAsia="Yu Gothic UI" w:hAnsi="Times New Roman" w:cs="Times New Roman"/>
          <w:b/>
          <w:bCs/>
          <w:sz w:val="28"/>
          <w:szCs w:val="36"/>
        </w:rPr>
        <w:t xml:space="preserve">Utilizing technology will be </w:t>
      </w:r>
      <w:proofErr w:type="gramStart"/>
      <w:r w:rsidRPr="002F5929">
        <w:rPr>
          <w:rFonts w:ascii="Times New Roman" w:eastAsia="Yu Gothic UI" w:hAnsi="Times New Roman" w:cs="Times New Roman"/>
          <w:b/>
          <w:bCs/>
          <w:sz w:val="28"/>
          <w:szCs w:val="36"/>
        </w:rPr>
        <w:t>beneficial</w:t>
      </w:r>
      <w:proofErr w:type="gramEnd"/>
    </w:p>
    <w:p w14:paraId="36D2A046" w14:textId="1CC51871" w:rsidR="003455C9" w:rsidRDefault="003455C9" w:rsidP="00D26741">
      <w:pPr>
        <w:autoSpaceDE w:val="0"/>
        <w:autoSpaceDN w:val="0"/>
        <w:adjustRightInd w:val="0"/>
        <w:spacing w:after="0" w:line="360" w:lineRule="auto"/>
        <w:jc w:val="both"/>
        <w:rPr>
          <w:rFonts w:asciiTheme="majorBidi" w:hAnsiTheme="majorBidi" w:cstheme="majorBidi"/>
          <w:color w:val="000000"/>
          <w:sz w:val="24"/>
          <w:szCs w:val="24"/>
        </w:rPr>
      </w:pPr>
      <w:r w:rsidRPr="003455C9">
        <w:rPr>
          <w:rFonts w:asciiTheme="majorBidi" w:hAnsiTheme="majorBidi" w:cstheme="majorBidi"/>
          <w:color w:val="000000"/>
          <w:sz w:val="24"/>
          <w:szCs w:val="24"/>
        </w:rPr>
        <w:t>In this digital age, technology has a strong presence and can be used to give economic and promotional benefits. Technology has assisted in lowering costs, increasing operational efficiency, and improving services and customer experience</w:t>
      </w:r>
      <w:r w:rsidR="00A619B7">
        <w:rPr>
          <w:rFonts w:asciiTheme="majorBidi" w:hAnsiTheme="majorBidi" w:cstheme="majorBidi"/>
          <w:color w:val="000000"/>
          <w:sz w:val="24"/>
          <w:szCs w:val="24"/>
        </w:rPr>
        <w:fldChar w:fldCharType="begin" w:fldLock="1"/>
      </w:r>
      <w:r w:rsidR="007A39FF">
        <w:rPr>
          <w:rFonts w:asciiTheme="majorBidi" w:hAnsiTheme="majorBidi" w:cstheme="majorBidi"/>
          <w:color w:val="000000"/>
          <w:sz w:val="24"/>
          <w:szCs w:val="24"/>
        </w:rPr>
        <w:instrText>ADDIN CSL_CITATION {"citationItems":[{"id":"ITEM-1","itemData":{"abstract":"The world has and continues to suffer sizeable losses and setbacks due to COVID-19. Not least among those setbacks is the shock to the Travel &amp; Tourism sector. As 90% of the global population adjusted to life under travel restrictions and others stayed home in fear of the virus itself, the sector came to a near-total standstill. Yet, Travel &amp; Tourism leaders have remained strong and steadfast in the face of adversity.","author":[{"dropping-particle":"","family":"World Travel &amp; Tourism Council [WTTC]","given":"","non-dropping-particle":"","parse-names":false,"suffix":""}],"container-title":"World Travel and Tourism Council","id":"ITEM-1","issue":"September","issued":{"date-parts":[["2020"]]},"page":"14-22","title":"WTTC: The future of travel &amp; tourism in the wake of Covid-19","type":"article-journal"},"uris":["http://www.mendeley.com/documents/?uuid=06ae99a0-6c56-472c-ad86-eb3c956a804a"]}],"mendeley":{"formattedCitation":"[16]","plainTextFormattedCitation":"[16]","previouslyFormattedCitation":"[16]"},"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EE00CA">
        <w:rPr>
          <w:rFonts w:asciiTheme="majorBidi" w:hAnsiTheme="majorBidi" w:cstheme="majorBidi"/>
          <w:noProof/>
          <w:color w:val="000000"/>
          <w:sz w:val="24"/>
          <w:szCs w:val="24"/>
        </w:rPr>
        <w:t xml:space="preserve"> </w:t>
      </w:r>
      <w:r w:rsidR="00A619B7">
        <w:rPr>
          <w:rFonts w:asciiTheme="majorBidi" w:hAnsiTheme="majorBidi" w:cstheme="majorBidi"/>
          <w:color w:val="000000"/>
          <w:sz w:val="24"/>
          <w:szCs w:val="24"/>
        </w:rPr>
        <w:fldChar w:fldCharType="end"/>
      </w:r>
      <w:r w:rsidR="00EE00CA">
        <w:rPr>
          <w:rFonts w:ascii="Times New Roman" w:hAnsi="Times New Roman" w:cs="Times New Roman"/>
          <w:noProof/>
          <w:sz w:val="24"/>
          <w:szCs w:val="24"/>
        </w:rPr>
        <w:t>(</w:t>
      </w:r>
      <w:r w:rsidR="00EE00CA" w:rsidRPr="00EF12A9">
        <w:rPr>
          <w:rFonts w:ascii="Times New Roman" w:hAnsi="Times New Roman" w:cs="Times New Roman"/>
          <w:noProof/>
          <w:sz w:val="24"/>
          <w:szCs w:val="24"/>
        </w:rPr>
        <w:t>World Travel &amp; Tourism Council [WTTC] 2020</w:t>
      </w:r>
      <w:r w:rsidR="00EE00CA">
        <w:rPr>
          <w:rFonts w:ascii="Times New Roman" w:hAnsi="Times New Roman" w:cs="Times New Roman"/>
          <w:noProof/>
          <w:sz w:val="24"/>
          <w:szCs w:val="24"/>
        </w:rPr>
        <w:t>, p.16)</w:t>
      </w:r>
      <w:r w:rsidR="00181DD9" w:rsidRPr="005832A3">
        <w:rPr>
          <w:rFonts w:asciiTheme="majorBidi" w:hAnsiTheme="majorBidi" w:cstheme="majorBidi"/>
          <w:color w:val="000000"/>
          <w:sz w:val="24"/>
          <w:szCs w:val="24"/>
        </w:rPr>
        <w:t xml:space="preserve">. </w:t>
      </w:r>
      <w:r w:rsidRPr="003455C9">
        <w:rPr>
          <w:rFonts w:asciiTheme="majorBidi" w:hAnsiTheme="majorBidi" w:cstheme="majorBidi"/>
          <w:color w:val="000000"/>
          <w:sz w:val="24"/>
          <w:szCs w:val="24"/>
        </w:rPr>
        <w:t>As customers spend more time online, IHG should adopt AR/VR to deliver immersive ads. Over the previous decade, it has played an essential role in the hotel and tourism industries. Augmented reality, virtual reality, artificial intelligence, and technological gadgets such as smartphones are examples of technology employed in the sector. This approach has the potential to be extremely effective in reducing the effects of COVID-19</w:t>
      </w:r>
      <w:r w:rsidR="00A619B7">
        <w:rPr>
          <w:rFonts w:asciiTheme="majorBidi" w:hAnsiTheme="majorBidi" w:cstheme="majorBidi"/>
          <w:color w:val="000000"/>
          <w:sz w:val="24"/>
          <w:szCs w:val="24"/>
        </w:rPr>
        <w:fldChar w:fldCharType="begin" w:fldLock="1"/>
      </w:r>
      <w:r w:rsidR="007A39FF">
        <w:rPr>
          <w:rFonts w:asciiTheme="majorBidi" w:hAnsiTheme="majorBidi" w:cstheme="majorBidi"/>
          <w:color w:val="000000"/>
          <w:sz w:val="24"/>
          <w:szCs w:val="24"/>
        </w:rPr>
        <w:instrText>ADDIN CSL_CITATION {"citationItems":[{"id":"ITEM-1","itemData":{"abstract":"… of April, examined the impact at the state, national, and … The ultimate economic impact of the COVID-19 pandemic … mitigate structural damage to the economy while containing the virus. …","author":[{"dropping-particle":"","family":"Lund","given":"Susan","non-dropping-particle":"","parse-names":false,"suffix":""},{"dropping-particle":"","family":"Ellingrud","given":"Kweilin","non-dropping-particle":"","parse-names":false,"suffix":""},{"dropping-particle":"","family":"Hancock","given":"Bryan","non-dropping-particle":"","parse-names":false,"suffix":""},{"dropping-particle":"","family":"Manyika","given":"James","non-dropping-particle":"","parse-names":false,"suffix":""}],"container-title":"McKinsey Global Institute website","id":"ITEM-1","issue":"April","issued":{"date-parts":[["2020"]]},"page":"1-10","title":"COVID-19 and jobs : Monitoring the US impact on people and places","type":"article-journal"},"uris":["http://www.mendeley.com/documents/?uuid=ed408a24-1a94-4f8e-bae6-4918dd24fb7e"]}],"mendeley":{"formattedCitation":"[22]","plainTextFormattedCitation":"[22]","previouslyFormattedCitation":"[22]"},"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E22DFC">
        <w:rPr>
          <w:rFonts w:asciiTheme="majorBidi" w:hAnsiTheme="majorBidi" w:cstheme="majorBidi"/>
          <w:noProof/>
          <w:color w:val="000000"/>
          <w:sz w:val="24"/>
          <w:szCs w:val="24"/>
        </w:rPr>
        <w:t xml:space="preserve"> (</w:t>
      </w:r>
      <w:r w:rsidR="00E22DFC" w:rsidRPr="00E22DFC">
        <w:rPr>
          <w:rFonts w:ascii="Times New Roman" w:hAnsi="Times New Roman" w:cs="Times New Roman"/>
          <w:noProof/>
          <w:sz w:val="24"/>
          <w:szCs w:val="24"/>
        </w:rPr>
        <w:t>Lund</w:t>
      </w:r>
      <w:r w:rsidR="00E22DFC">
        <w:rPr>
          <w:rFonts w:ascii="Times New Roman" w:hAnsi="Times New Roman" w:cs="Times New Roman"/>
          <w:noProof/>
          <w:sz w:val="24"/>
          <w:szCs w:val="24"/>
        </w:rPr>
        <w:t xml:space="preserve"> et al. 2020</w:t>
      </w:r>
      <w:r w:rsidR="00E22DFC">
        <w:rPr>
          <w:rFonts w:asciiTheme="majorBidi" w:hAnsiTheme="majorBidi" w:cstheme="majorBidi"/>
          <w:noProof/>
          <w:color w:val="000000"/>
          <w:sz w:val="24"/>
          <w:szCs w:val="24"/>
        </w:rPr>
        <w:t>)</w:t>
      </w:r>
      <w:r w:rsidR="00A619B7">
        <w:rPr>
          <w:rFonts w:asciiTheme="majorBidi" w:hAnsiTheme="majorBidi" w:cstheme="majorBidi"/>
          <w:color w:val="000000"/>
          <w:sz w:val="24"/>
          <w:szCs w:val="24"/>
        </w:rPr>
        <w:fldChar w:fldCharType="end"/>
      </w:r>
      <w:r w:rsidR="00181DD9" w:rsidRPr="005832A3">
        <w:rPr>
          <w:rFonts w:asciiTheme="majorBidi" w:hAnsiTheme="majorBidi" w:cstheme="majorBidi"/>
          <w:color w:val="000000"/>
          <w:sz w:val="24"/>
          <w:szCs w:val="24"/>
        </w:rPr>
        <w:t>.</w:t>
      </w:r>
    </w:p>
    <w:p w14:paraId="495B6C54" w14:textId="5047707B" w:rsidR="00181DD9" w:rsidRDefault="003455C9" w:rsidP="00D26741">
      <w:pPr>
        <w:autoSpaceDE w:val="0"/>
        <w:autoSpaceDN w:val="0"/>
        <w:adjustRightInd w:val="0"/>
        <w:spacing w:after="0" w:line="360" w:lineRule="auto"/>
        <w:jc w:val="both"/>
        <w:rPr>
          <w:rFonts w:asciiTheme="majorBidi" w:hAnsiTheme="majorBidi" w:cstheme="majorBidi"/>
          <w:color w:val="000000"/>
          <w:sz w:val="24"/>
          <w:szCs w:val="24"/>
        </w:rPr>
      </w:pPr>
      <w:r w:rsidRPr="003455C9">
        <w:rPr>
          <w:rFonts w:asciiTheme="majorBidi" w:hAnsiTheme="majorBidi" w:cstheme="majorBidi"/>
          <w:color w:val="000000"/>
          <w:sz w:val="24"/>
          <w:szCs w:val="24"/>
        </w:rPr>
        <w:t xml:space="preserve">According to the 2020 COVID-19 worldwide consumer survey conducted by </w:t>
      </w:r>
      <w:r w:rsidR="00B852A8">
        <w:rPr>
          <w:rFonts w:asciiTheme="majorBidi" w:hAnsiTheme="majorBidi" w:cstheme="majorBidi"/>
          <w:color w:val="000000"/>
          <w:sz w:val="24"/>
          <w:szCs w:val="24"/>
        </w:rPr>
        <w:t>W</w:t>
      </w:r>
      <w:r w:rsidRPr="003455C9">
        <w:rPr>
          <w:rFonts w:asciiTheme="majorBidi" w:hAnsiTheme="majorBidi" w:cstheme="majorBidi"/>
          <w:color w:val="000000"/>
          <w:sz w:val="24"/>
          <w:szCs w:val="24"/>
        </w:rPr>
        <w:t>orldwide Data, 57% of respondents stated that how pleasurable or distinctive the product/service is always or frequently influences their decision in the current circumstance</w:t>
      </w:r>
      <w:r w:rsidR="00A619B7">
        <w:rPr>
          <w:rFonts w:asciiTheme="majorBidi" w:hAnsiTheme="majorBidi" w:cstheme="majorBidi"/>
          <w:color w:val="000000"/>
          <w:sz w:val="24"/>
          <w:szCs w:val="24"/>
        </w:rPr>
        <w:fldChar w:fldCharType="begin" w:fldLock="1"/>
      </w:r>
      <w:r w:rsidR="007A39FF">
        <w:rPr>
          <w:rFonts w:asciiTheme="majorBidi" w:hAnsiTheme="majorBidi" w:cstheme="majorBidi"/>
          <w:color w:val="000000"/>
          <w:sz w:val="24"/>
          <w:szCs w:val="24"/>
        </w:rPr>
        <w:instrText>ADDIN CSL_CITATION {"citationItems":[{"id":"ITEM-1","itemData":{"DOI":"10.1108/IJCHM-04-2020-0357","ISSN":"0959-6119","abstract":"Purpose This paper offers some reflections on changes in the relationships between sustainability and the hospitality industry following the onset of the Coronavirus Disease 2019 (COVID-19) crisis. (Covid-19 is officially a pandemic, but the term “COVID-19 crisis” is used throughout this paper because the authors feel that it captures the wider impacts of the crisis, rather than just focussing on the disease itself). Design/methodology/approach The paper describes the COVID-19 crisis, emphasises the role of hospitality in economic and social life and reviews how the crisis has changed the relationships between sustainability and the hospitality industry. Findings The paper reveals the dramatic effect the crisis has had on sustainability in the hospitality industry. That said, though the crisis has offered a vision of a more sustainable future, this vision may pose a major challenge for the industry and for many of its traditional customers. Research limitations/implications The paper outlines some of the theoretical, operational, strategic and research implications of the crisis for the hospitality industry and for hospitality scholars. Originality/value This paper provides a reflective review of changes in the relationships between sustainability and the hospitality industry following the onset of COVID-19.","author":[{"dropping-particle":"","family":"Jones","given":"Peter","non-dropping-particle":"","parse-names":false,"suffix":""},{"dropping-particle":"","family":"Comfort","given":"Daphne","non-dropping-particle":"","parse-names":false,"suffix":""}],"container-title":"International Journal of Contemporary Hospitality Management","id":"ITEM-1","issue":"10","issued":{"date-parts":[["2020","1","1"]]},"page":"3037-3050","publisher":"Emerald Publishing Limited","title":"The COVID-19 crisis and sustainability in the hospitality industry","type":"article-journal","volume":"32"},"uris":["http://www.mendeley.com/documents/?uuid=e1ebfc2e-c5d0-4e03-acec-7d37f14f4d67"]}],"mendeley":{"formattedCitation":"[18]","plainTextFormattedCitation":"[18]","previouslyFormattedCitation":"[18]"},"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11195C">
        <w:rPr>
          <w:rFonts w:asciiTheme="majorBidi" w:hAnsiTheme="majorBidi" w:cstheme="majorBidi"/>
          <w:noProof/>
          <w:color w:val="000000"/>
          <w:sz w:val="24"/>
          <w:szCs w:val="24"/>
        </w:rPr>
        <w:t xml:space="preserve"> (</w:t>
      </w:r>
      <w:r w:rsidR="0011195C" w:rsidRPr="0011195C">
        <w:rPr>
          <w:rFonts w:ascii="Times New Roman" w:hAnsi="Times New Roman" w:cs="Times New Roman"/>
          <w:noProof/>
          <w:sz w:val="24"/>
          <w:szCs w:val="24"/>
        </w:rPr>
        <w:t xml:space="preserve">Jones </w:t>
      </w:r>
      <w:r w:rsidR="0011195C">
        <w:rPr>
          <w:rFonts w:ascii="Times New Roman" w:hAnsi="Times New Roman" w:cs="Times New Roman"/>
          <w:noProof/>
          <w:sz w:val="24"/>
          <w:szCs w:val="24"/>
        </w:rPr>
        <w:t>&amp;</w:t>
      </w:r>
      <w:r w:rsidR="0011195C" w:rsidRPr="0011195C">
        <w:rPr>
          <w:rFonts w:ascii="Times New Roman" w:hAnsi="Times New Roman" w:cs="Times New Roman"/>
          <w:noProof/>
          <w:sz w:val="24"/>
          <w:szCs w:val="24"/>
        </w:rPr>
        <w:t xml:space="preserve"> Comfort 2020</w:t>
      </w:r>
      <w:r w:rsidR="0011195C">
        <w:rPr>
          <w:rFonts w:ascii="Times New Roman" w:hAnsi="Times New Roman" w:cs="Times New Roman"/>
          <w:noProof/>
          <w:sz w:val="24"/>
          <w:szCs w:val="24"/>
        </w:rPr>
        <w:t>, 3037</w:t>
      </w:r>
      <w:r w:rsidR="0011195C">
        <w:rPr>
          <w:rFonts w:asciiTheme="majorBidi" w:hAnsiTheme="majorBidi" w:cstheme="majorBidi"/>
          <w:noProof/>
          <w:color w:val="000000"/>
          <w:sz w:val="24"/>
          <w:szCs w:val="24"/>
        </w:rPr>
        <w:t>)</w:t>
      </w:r>
      <w:r w:rsidR="00A619B7">
        <w:rPr>
          <w:rFonts w:asciiTheme="majorBidi" w:hAnsiTheme="majorBidi" w:cstheme="majorBidi"/>
          <w:color w:val="000000"/>
          <w:sz w:val="24"/>
          <w:szCs w:val="24"/>
        </w:rPr>
        <w:fldChar w:fldCharType="end"/>
      </w:r>
      <w:r w:rsidR="00181DD9" w:rsidRPr="005832A3">
        <w:rPr>
          <w:rFonts w:asciiTheme="majorBidi" w:hAnsiTheme="majorBidi" w:cstheme="majorBidi"/>
          <w:color w:val="000000"/>
          <w:sz w:val="24"/>
          <w:szCs w:val="24"/>
        </w:rPr>
        <w:t>.</w:t>
      </w:r>
    </w:p>
    <w:p w14:paraId="5357B69E" w14:textId="77777777" w:rsidR="001B65BD" w:rsidRPr="005832A3" w:rsidRDefault="001B65BD" w:rsidP="00D26741">
      <w:pPr>
        <w:autoSpaceDE w:val="0"/>
        <w:autoSpaceDN w:val="0"/>
        <w:adjustRightInd w:val="0"/>
        <w:spacing w:after="0" w:line="360" w:lineRule="auto"/>
        <w:jc w:val="both"/>
        <w:rPr>
          <w:rFonts w:asciiTheme="majorBidi" w:hAnsiTheme="majorBidi" w:cstheme="majorBidi"/>
          <w:sz w:val="24"/>
          <w:szCs w:val="24"/>
        </w:rPr>
      </w:pPr>
    </w:p>
    <w:p w14:paraId="6705BF03" w14:textId="5FB2F8D2" w:rsidR="00181DD9" w:rsidRPr="002F5929" w:rsidRDefault="00181DD9" w:rsidP="00D26741">
      <w:pPr>
        <w:pStyle w:val="ListParagraph"/>
        <w:numPr>
          <w:ilvl w:val="1"/>
          <w:numId w:val="1"/>
        </w:numPr>
        <w:autoSpaceDE w:val="0"/>
        <w:autoSpaceDN w:val="0"/>
        <w:adjustRightInd w:val="0"/>
        <w:spacing w:after="0" w:line="240" w:lineRule="auto"/>
        <w:jc w:val="both"/>
        <w:rPr>
          <w:rFonts w:ascii="Times New Roman" w:eastAsia="Yu Gothic UI" w:hAnsi="Times New Roman" w:cs="Times New Roman"/>
          <w:b/>
          <w:bCs/>
          <w:sz w:val="28"/>
          <w:szCs w:val="36"/>
        </w:rPr>
      </w:pPr>
      <w:r w:rsidRPr="002F5929">
        <w:rPr>
          <w:rFonts w:ascii="Times New Roman" w:eastAsia="Yu Gothic UI" w:hAnsi="Times New Roman" w:cs="Times New Roman"/>
          <w:b/>
          <w:bCs/>
          <w:sz w:val="28"/>
          <w:szCs w:val="36"/>
        </w:rPr>
        <w:t xml:space="preserve">Recovery will be </w:t>
      </w:r>
      <w:proofErr w:type="gramStart"/>
      <w:r w:rsidRPr="002F5929">
        <w:rPr>
          <w:rFonts w:ascii="Times New Roman" w:eastAsia="Yu Gothic UI" w:hAnsi="Times New Roman" w:cs="Times New Roman"/>
          <w:b/>
          <w:bCs/>
          <w:sz w:val="28"/>
          <w:szCs w:val="36"/>
        </w:rPr>
        <w:t>slow</w:t>
      </w:r>
      <w:proofErr w:type="gramEnd"/>
    </w:p>
    <w:p w14:paraId="627DBA58" w14:textId="70007DD5" w:rsidR="00181DD9" w:rsidRDefault="00716C65" w:rsidP="00D26741">
      <w:pPr>
        <w:autoSpaceDE w:val="0"/>
        <w:autoSpaceDN w:val="0"/>
        <w:adjustRightInd w:val="0"/>
        <w:spacing w:after="0" w:line="360" w:lineRule="auto"/>
        <w:jc w:val="both"/>
        <w:rPr>
          <w:rFonts w:asciiTheme="majorBidi" w:hAnsiTheme="majorBidi" w:cstheme="majorBidi"/>
          <w:color w:val="000000"/>
          <w:sz w:val="24"/>
          <w:szCs w:val="24"/>
        </w:rPr>
      </w:pPr>
      <w:r w:rsidRPr="00716C65">
        <w:rPr>
          <w:rFonts w:asciiTheme="majorBidi" w:hAnsiTheme="majorBidi" w:cstheme="majorBidi"/>
          <w:color w:val="000000"/>
          <w:sz w:val="24"/>
          <w:szCs w:val="24"/>
        </w:rPr>
        <w:t>April was even worse than March, with Rev PAR falling by about 80%. This is due to a significant drop in demand, with around 15% of its properties closed as of the final day of April. However, IHG is focusing on cost</w:t>
      </w:r>
      <w:r w:rsidR="00B852A8">
        <w:rPr>
          <w:rFonts w:asciiTheme="majorBidi" w:hAnsiTheme="majorBidi" w:cstheme="majorBidi"/>
          <w:color w:val="000000"/>
          <w:sz w:val="24"/>
          <w:szCs w:val="24"/>
        </w:rPr>
        <w:t>-</w:t>
      </w:r>
      <w:r w:rsidRPr="00716C65">
        <w:rPr>
          <w:rFonts w:asciiTheme="majorBidi" w:hAnsiTheme="majorBidi" w:cstheme="majorBidi"/>
          <w:color w:val="000000"/>
          <w:sz w:val="24"/>
          <w:szCs w:val="24"/>
        </w:rPr>
        <w:t>cutting and is on target to save its operating expenditures by as much as fifteen million. This will reduce the economic consequences. Initially, IHG's business strategy</w:t>
      </w:r>
      <w:r>
        <w:rPr>
          <w:rFonts w:asciiTheme="majorBidi" w:hAnsiTheme="majorBidi" w:cstheme="majorBidi"/>
          <w:color w:val="000000"/>
          <w:sz w:val="24"/>
          <w:szCs w:val="24"/>
        </w:rPr>
        <w:t xml:space="preserve"> should provide some protection</w:t>
      </w:r>
      <w:r w:rsidRPr="00716C65">
        <w:rPr>
          <w:rFonts w:asciiTheme="majorBidi" w:hAnsiTheme="majorBidi" w:cstheme="majorBidi"/>
          <w:color w:val="000000"/>
          <w:sz w:val="24"/>
          <w:szCs w:val="24"/>
        </w:rPr>
        <w:t xml:space="preserve"> </w:t>
      </w:r>
      <w:r w:rsidR="00A619B7">
        <w:rPr>
          <w:rFonts w:asciiTheme="majorBidi" w:hAnsiTheme="majorBidi" w:cstheme="majorBidi"/>
          <w:color w:val="000000"/>
          <w:sz w:val="24"/>
          <w:szCs w:val="24"/>
        </w:rPr>
        <w:fldChar w:fldCharType="begin" w:fldLock="1"/>
      </w:r>
      <w:r w:rsidR="007A39FF">
        <w:rPr>
          <w:rFonts w:asciiTheme="majorBidi" w:hAnsiTheme="majorBidi" w:cstheme="majorBidi"/>
          <w:color w:val="000000"/>
          <w:sz w:val="24"/>
          <w:szCs w:val="24"/>
        </w:rPr>
        <w:instrText>ADDIN CSL_CITATION {"citationItems":[{"id":"ITEM-1","itemData":{"DOI":"https://doi.org/10.1016/j.ijhm.2021.102991","ISSN":"0278-4319","abstract":"Based on protection motivation theory (PMT), this study conceptualizes a research framework to explain and examine customer intentions regarding hotel stays during the COVID-19 pandemic. Data were collected from 700 U.S. consumers via a crowdsourcing website in July 2020. Structural equation modeling was used to analyze the collected data for testing proposed hypotheses. The analytical results showed that the level of threat perceived by customers significantly reduced their intention to stay at a hotel. On the contrary, individual customer response efficacy significantly enhanced their intention to stay at a hotel. Additionally, both government and social trust, as well as hotel response efficacy, were found to significantly increase hotel stay intention by mediating the effects of threat perception and individual response efficacy. To the best of our knowledge, this study is one of the first attempts to apply PMT to explain customer hotel stay intentions during the COVID-19 pandemic.","author":[{"dropping-particle":"","family":"Hsieh","given":"Yuchin (Jerrie)","non-dropping-particle":"","parse-names":false,"suffix":""},{"dropping-particle":"","family":"Chen","given":"Ya-Ling","non-dropping-particle":"","parse-names":false,"suffix":""},{"dropping-particle":"","family":"Wang","given":"Yao-Chin","non-dropping-particle":"","parse-names":false,"suffix":""}],"container-title":"International Journal of Hospitality Management","id":"ITEM-1","issued":{"date-parts":[["2021"]]},"page":"102991","title":"Government and social trust vs. hotel response efficacy: A protection motivation perspective on hotel stay intention during the COVID-19 pandemic","type":"article-journal","volume":"97"},"uris":["http://www.mendeley.com/documents/?uuid=b1f50bcf-78c5-46ca-97b3-889be3d91bf3"]}],"mendeley":{"formattedCitation":"[21]","plainTextFormattedCitation":"[21]","previouslyFormattedCitation":"[21]"},"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E22DFC">
        <w:rPr>
          <w:rFonts w:asciiTheme="majorBidi" w:hAnsiTheme="majorBidi" w:cstheme="majorBidi"/>
          <w:noProof/>
          <w:color w:val="000000"/>
          <w:sz w:val="24"/>
          <w:szCs w:val="24"/>
        </w:rPr>
        <w:t>(</w:t>
      </w:r>
      <w:r w:rsidR="00E22DFC" w:rsidRPr="00E22DFC">
        <w:rPr>
          <w:rFonts w:ascii="Times New Roman" w:hAnsi="Times New Roman" w:cs="Times New Roman"/>
          <w:noProof/>
          <w:sz w:val="24"/>
          <w:szCs w:val="24"/>
        </w:rPr>
        <w:t>Hsieh</w:t>
      </w:r>
      <w:r w:rsidR="00E22DFC">
        <w:rPr>
          <w:rFonts w:ascii="Times New Roman" w:hAnsi="Times New Roman" w:cs="Times New Roman"/>
          <w:noProof/>
          <w:sz w:val="24"/>
          <w:szCs w:val="24"/>
        </w:rPr>
        <w:t xml:space="preserve"> et al. 2021</w:t>
      </w:r>
      <w:r w:rsidR="00E22DFC">
        <w:rPr>
          <w:rFonts w:asciiTheme="majorBidi" w:hAnsiTheme="majorBidi" w:cstheme="majorBidi"/>
          <w:noProof/>
          <w:color w:val="000000"/>
          <w:sz w:val="24"/>
          <w:szCs w:val="24"/>
        </w:rPr>
        <w:t>)</w:t>
      </w:r>
      <w:r w:rsidR="00A619B7">
        <w:rPr>
          <w:rFonts w:asciiTheme="majorBidi" w:hAnsiTheme="majorBidi" w:cstheme="majorBidi"/>
          <w:color w:val="000000"/>
          <w:sz w:val="24"/>
          <w:szCs w:val="24"/>
        </w:rPr>
        <w:fldChar w:fldCharType="end"/>
      </w:r>
      <w:r w:rsidR="00181DD9" w:rsidRPr="005832A3">
        <w:rPr>
          <w:rFonts w:asciiTheme="majorBidi" w:hAnsiTheme="majorBidi" w:cstheme="majorBidi"/>
          <w:color w:val="000000"/>
          <w:sz w:val="24"/>
          <w:szCs w:val="24"/>
        </w:rPr>
        <w:t xml:space="preserve">. </w:t>
      </w:r>
      <w:r w:rsidRPr="00716C65">
        <w:rPr>
          <w:rFonts w:asciiTheme="majorBidi" w:hAnsiTheme="majorBidi" w:cstheme="majorBidi"/>
          <w:color w:val="000000"/>
          <w:sz w:val="24"/>
          <w:szCs w:val="24"/>
        </w:rPr>
        <w:t>It is difficult to see how the outlook for other large hotels could be any different, given that future consumer sentiments remain unknown and government help entails taking on loans that would saddle aircraft with mid-to-long-term debt.  IHG also has $2 billion in liquidity and has achieved new financing arrangements, including the modification of its unsecured revolving credit agreement to include an exception of existing covenants through December 31, 2021</w:t>
      </w:r>
      <w:r w:rsidR="00E22DFC">
        <w:rPr>
          <w:rFonts w:asciiTheme="majorBidi" w:hAnsiTheme="majorBidi" w:cstheme="majorBidi"/>
          <w:color w:val="000000"/>
          <w:sz w:val="24"/>
          <w:szCs w:val="24"/>
        </w:rPr>
        <w:t xml:space="preserve"> </w:t>
      </w:r>
      <w:r w:rsidR="00E22DFC">
        <w:rPr>
          <w:rFonts w:ascii="Times New Roman" w:hAnsi="Times New Roman" w:cs="Times New Roman"/>
          <w:noProof/>
          <w:sz w:val="24"/>
          <w:szCs w:val="24"/>
        </w:rPr>
        <w:t>(</w:t>
      </w:r>
      <w:r w:rsidR="00E22DFC" w:rsidRPr="0011195C">
        <w:rPr>
          <w:rFonts w:asciiTheme="majorBidi" w:hAnsiTheme="majorBidi" w:cstheme="majorBidi"/>
          <w:sz w:val="24"/>
          <w:szCs w:val="24"/>
        </w:rPr>
        <w:t>Chan</w:t>
      </w:r>
      <w:r w:rsidR="00E22DFC" w:rsidRPr="00EF12A9">
        <w:rPr>
          <w:rFonts w:ascii="Times New Roman" w:hAnsi="Times New Roman" w:cs="Times New Roman"/>
          <w:noProof/>
          <w:sz w:val="24"/>
          <w:szCs w:val="24"/>
        </w:rPr>
        <w:t xml:space="preserve"> </w:t>
      </w:r>
      <w:r w:rsidR="00E22DFC">
        <w:rPr>
          <w:rFonts w:ascii="Times New Roman" w:hAnsi="Times New Roman" w:cs="Times New Roman"/>
          <w:noProof/>
          <w:sz w:val="24"/>
          <w:szCs w:val="24"/>
        </w:rPr>
        <w:t>et al. 2021)</w:t>
      </w:r>
      <w:r w:rsidR="00A619B7">
        <w:rPr>
          <w:rFonts w:asciiTheme="majorBidi" w:hAnsiTheme="majorBidi" w:cstheme="majorBidi"/>
          <w:color w:val="000000"/>
          <w:sz w:val="24"/>
          <w:szCs w:val="24"/>
        </w:rPr>
        <w:fldChar w:fldCharType="begin" w:fldLock="1"/>
      </w:r>
      <w:r w:rsidR="007A39FF">
        <w:rPr>
          <w:rFonts w:asciiTheme="majorBidi" w:hAnsiTheme="majorBidi" w:cstheme="majorBidi"/>
          <w:color w:val="000000"/>
          <w:sz w:val="24"/>
          <w:szCs w:val="24"/>
        </w:rPr>
        <w:instrText>ADDIN CSL_CITATION {"citationItems":[{"id":"ITEM-1","itemData":{"DOI":"10.1108/IJCHM-09-2020-1013","ISSN":"0959-6119","abstract":"Purpose The COVID-19 pandemic has tremendously affected the hospitality industry. With the experiences of severe acute respiratory syndrome in 2003 and commitments to ensure guests’ health and safety, many hotels in Asia have actively engaged in updating and implementing new service standards and measures. This study aims to investigate hotels’ service standard changes, processes of management decisions and preparations for the future. Design/methodology/approach Using grounded theory methodology, this research interviews 24 hotel managers from mainland China and Hong Kong. It examines the differences among hotels with different operation types, classifications and locations, and analyzes the service standards in physical and social services cape. Findings Building on the service marketing and crisis management literature, this research provides a synthesis that reflects how hotels have coped with the COVID-19 crisis. It depicts the service standard update process during the COVID-19. Research limitations/implications In line with the literature in disaster management, hotels experienced the outbreak, response and recovery phases of the crisis management procedure. However, given the severity and scope of the COVID-19 pandemic, undertaking particular processes is necessary at every procedure such as following local guidelines and updating local standard operating procedures (LSOPs). This research also expands the literature on the process of adopting new technology in hotels during crisis management. Practical implications The paper suggests that hotel managers should update and use well-thought-out standards on the bases of available scientific evidence. For example, hotels should use LSOPs according to the local situations. Hotels are also suggested to exert additional efforts and attention in service innovation, guest experience and enhancing hospitableness. Originality/value To the best of the authors’ knowledge, this paper is one of the first efforts to investigate the impact of COVID-19 on hotel operations. It offers empirical evidence from hotel operators who worked against the crisis during the pandemic and provides valuable theoretical contribution to the hospitality service literature as well as managerial implications for hotel operators globally.","author":[{"dropping-particle":"","family":"Chan","given":"Janelle","non-dropping-particle":"","parse-names":false,"suffix":""},{"dropping-particle":"","family":"Gao","given":"Yixing (Lisa)","non-dropping-particle":"","parse-names":false,"suffix":""},{"dropping-particle":"","family":"McGinley","given":"Sean","non-dropping-particle":"","parse-names":false,"suffix":""}],"container-title":"International Journal of Contemporary Hospitality Management","id":"ITEM-1","issue":"5","issued":{"date-parts":[["2021","1","1"]]},"page":"1668-1687","publisher":"Emerald Publishing Limited","title":"Updates in service standards in hotels: how COVID-19 changed operations","type":"article-journal","volume":"33"},"uris":["http://www.mendeley.com/documents/?uuid=e685cd72-6072-4191-8f8e-4c7713b8851c"]}],"mendeley":{"formattedCitation":"[20]","plainTextFormattedCitation":"[20]","previouslyFormattedCitation":"[20]"},"properties":{"noteIndex":0},"schema":"https://github.com/citation-style-language/schema/raw/master/csl-citation.json"}</w:instrText>
      </w:r>
      <w:r w:rsidR="00000000">
        <w:rPr>
          <w:rFonts w:asciiTheme="majorBidi" w:hAnsiTheme="majorBidi" w:cstheme="majorBidi"/>
          <w:color w:val="000000"/>
          <w:sz w:val="24"/>
          <w:szCs w:val="24"/>
        </w:rPr>
        <w:fldChar w:fldCharType="separate"/>
      </w:r>
      <w:r w:rsidR="00A619B7">
        <w:rPr>
          <w:rFonts w:asciiTheme="majorBidi" w:hAnsiTheme="majorBidi" w:cstheme="majorBidi"/>
          <w:color w:val="000000"/>
          <w:sz w:val="24"/>
          <w:szCs w:val="24"/>
        </w:rPr>
        <w:fldChar w:fldCharType="end"/>
      </w:r>
      <w:r w:rsidR="00181DD9" w:rsidRPr="005832A3">
        <w:rPr>
          <w:rFonts w:asciiTheme="majorBidi" w:hAnsiTheme="majorBidi" w:cstheme="majorBidi"/>
          <w:color w:val="000000"/>
          <w:sz w:val="24"/>
          <w:szCs w:val="24"/>
        </w:rPr>
        <w:t xml:space="preserve">. </w:t>
      </w:r>
      <w:r w:rsidRPr="00716C65">
        <w:rPr>
          <w:rFonts w:asciiTheme="majorBidi" w:hAnsiTheme="majorBidi" w:cstheme="majorBidi"/>
          <w:color w:val="000000"/>
          <w:sz w:val="24"/>
          <w:szCs w:val="24"/>
        </w:rPr>
        <w:t>China has started demonstrating improvement for many substantial hotel chains, including IHG, with utili</w:t>
      </w:r>
      <w:r w:rsidR="00B852A8">
        <w:rPr>
          <w:rFonts w:asciiTheme="majorBidi" w:hAnsiTheme="majorBidi" w:cstheme="majorBidi"/>
          <w:color w:val="000000"/>
          <w:sz w:val="24"/>
          <w:szCs w:val="24"/>
        </w:rPr>
        <w:t>z</w:t>
      </w:r>
      <w:r w:rsidRPr="00716C65">
        <w:rPr>
          <w:rFonts w:asciiTheme="majorBidi" w:hAnsiTheme="majorBidi" w:cstheme="majorBidi"/>
          <w:color w:val="000000"/>
          <w:sz w:val="24"/>
          <w:szCs w:val="24"/>
        </w:rPr>
        <w:t>ation addressing 25% a</w:t>
      </w:r>
      <w:r w:rsidR="00B852A8">
        <w:rPr>
          <w:rFonts w:asciiTheme="majorBidi" w:hAnsiTheme="majorBidi" w:cstheme="majorBidi"/>
          <w:color w:val="000000"/>
          <w:sz w:val="24"/>
          <w:szCs w:val="24"/>
        </w:rPr>
        <w:t>fter</w:t>
      </w:r>
      <w:r w:rsidRPr="00716C65">
        <w:rPr>
          <w:rFonts w:asciiTheme="majorBidi" w:hAnsiTheme="majorBidi" w:cstheme="majorBidi"/>
          <w:color w:val="000000"/>
          <w:sz w:val="24"/>
          <w:szCs w:val="24"/>
        </w:rPr>
        <w:t xml:space="preserve"> April after submitting only a few percent at its lowest point, </w:t>
      </w:r>
      <w:r w:rsidRPr="00716C65">
        <w:rPr>
          <w:rFonts w:asciiTheme="majorBidi" w:hAnsiTheme="majorBidi" w:cstheme="majorBidi"/>
          <w:color w:val="000000"/>
          <w:sz w:val="24"/>
          <w:szCs w:val="24"/>
        </w:rPr>
        <w:lastRenderedPageBreak/>
        <w:t>indicating that, while slow, recovery is possible, and IHG has proved prudent in maintaining finance to help it move around the choppy waters</w:t>
      </w:r>
      <w:r w:rsidR="00A619B7">
        <w:rPr>
          <w:rFonts w:asciiTheme="majorBidi" w:hAnsiTheme="majorBidi" w:cstheme="majorBidi"/>
          <w:color w:val="000000"/>
          <w:sz w:val="24"/>
          <w:szCs w:val="24"/>
        </w:rPr>
        <w:fldChar w:fldCharType="begin" w:fldLock="1"/>
      </w:r>
      <w:r w:rsidR="007A39FF">
        <w:rPr>
          <w:rFonts w:asciiTheme="majorBidi" w:hAnsiTheme="majorBidi" w:cstheme="majorBidi"/>
          <w:color w:val="000000"/>
          <w:sz w:val="24"/>
          <w:szCs w:val="24"/>
        </w:rPr>
        <w:instrText>ADDIN CSL_CITATION {"citationItems":[{"id":"ITEM-1","itemData":{"DOI":"10.1108/IJCHM-10-2020-1194","ISSN":"0959-6119","abstract":"Purpose This research aims to explore the strategies and tactics taken by five-star hotels to create and sustain competitiveness at difficult times, the role of innovation among the initiatives taken and the factors that influence managers’ decision in selection of coping measures. Design/methodology/approach The research was conducted in two stages. The first stage focused on textual analysis of online news reports on luxury hotels’ coping strategies taken between 2013 and 2018. At the second stage, expert interviews were carried out with 25 managers of five-star hotels to obtain richer information of hotels’ responsive measures. The qualitative data were analyzed by thematic analysis. Findings The results revealed that five-star hotels in China made adjustment in physical resource management, human resource management, marketing mix, operation process and external relations to maintain competitiveness during difficult times. A model of hotel resilience was developed based on the findings. Innovation was imbedded in the responsive measures throughout these areas. Managers’ selection of coping measures was affected by the hotel’s organizational culture, location, brand image and competitors. Practical implications The model of hotel resilience serves as a useful reference to plan and select strategies and tactics to respond to similar external challenges. Hotel managers are recommended to embrace a variety of innovations directed at both internal management and customer service during challenging times. Originality/value To the best of the authors’ knowledge, this study is the first empirical research that systematically examines the measures taken by hotels during critical times to maintain competitiveness, linking these to contemporary post-Fordist operational trends.","author":[{"dropping-particle":"","family":"Shi","given":"Fangfang","non-dropping-particle":"","parse-names":false,"suffix":""},{"dropping-particle":"","family":"Shi","given":"Da","non-dropping-particle":"","parse-names":false,"suffix":""},{"dropping-particle":"","family":"Weaver","given":"David","non-dropping-particle":"","parse-names":false,"suffix":""},{"dropping-particle":"","family":"Samaniego Chavez","given":"Carla Estefania","non-dropping-particle":"","parse-names":false,"suffix":""}],"container-title":"International Journal of Contemporary Hospitality Management","id":"ITEM-1","issue":"9","issued":{"date-parts":[["2021","1","1"]]},"page":"2886-2906","publisher":"Emerald Publishing Limited","title":"Adapt to not just survive but thrive: resilience strategies of five-star hotels at difficult times","type":"article-journal","volume":"33"},"uris":["http://www.mendeley.com/documents/?uuid=8ac9deb8-75f8-4da2-95b4-3a810336d668"]}],"mendeley":{"formattedCitation":"[19]","plainTextFormattedCitation":"[19]","previouslyFormattedCitation":"[19]"},"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11195C">
        <w:rPr>
          <w:rFonts w:asciiTheme="majorBidi" w:hAnsiTheme="majorBidi" w:cstheme="majorBidi"/>
          <w:noProof/>
          <w:color w:val="000000"/>
          <w:sz w:val="24"/>
          <w:szCs w:val="24"/>
        </w:rPr>
        <w:t xml:space="preserve"> </w:t>
      </w:r>
      <w:r w:rsidR="00A619B7">
        <w:rPr>
          <w:rFonts w:asciiTheme="majorBidi" w:hAnsiTheme="majorBidi" w:cstheme="majorBidi"/>
          <w:color w:val="000000"/>
          <w:sz w:val="24"/>
          <w:szCs w:val="24"/>
        </w:rPr>
        <w:fldChar w:fldCharType="end"/>
      </w:r>
      <w:r w:rsidR="0011195C">
        <w:rPr>
          <w:rFonts w:asciiTheme="majorBidi" w:hAnsiTheme="majorBidi" w:cstheme="majorBidi"/>
          <w:color w:val="000000"/>
          <w:sz w:val="24"/>
          <w:szCs w:val="24"/>
        </w:rPr>
        <w:t>(</w:t>
      </w:r>
      <w:r w:rsidR="0011195C" w:rsidRPr="0011195C">
        <w:rPr>
          <w:rFonts w:ascii="Times New Roman" w:hAnsi="Times New Roman" w:cs="Times New Roman"/>
          <w:noProof/>
          <w:sz w:val="24"/>
          <w:szCs w:val="24"/>
        </w:rPr>
        <w:t>Shi</w:t>
      </w:r>
      <w:r w:rsidR="0011195C">
        <w:rPr>
          <w:rFonts w:ascii="Times New Roman" w:hAnsi="Times New Roman" w:cs="Times New Roman"/>
          <w:noProof/>
          <w:sz w:val="24"/>
          <w:szCs w:val="24"/>
        </w:rPr>
        <w:t xml:space="preserve"> et al. 2021, 2893</w:t>
      </w:r>
      <w:r w:rsidR="0011195C">
        <w:rPr>
          <w:rFonts w:asciiTheme="majorBidi" w:hAnsiTheme="majorBidi" w:cstheme="majorBidi"/>
          <w:color w:val="000000"/>
          <w:sz w:val="24"/>
          <w:szCs w:val="24"/>
        </w:rPr>
        <w:t>)</w:t>
      </w:r>
      <w:r w:rsidR="00181DD9" w:rsidRPr="005832A3">
        <w:rPr>
          <w:rFonts w:asciiTheme="majorBidi" w:hAnsiTheme="majorBidi" w:cstheme="majorBidi"/>
          <w:color w:val="000000"/>
          <w:sz w:val="24"/>
          <w:szCs w:val="24"/>
        </w:rPr>
        <w:t>.</w:t>
      </w:r>
    </w:p>
    <w:p w14:paraId="0C629D29" w14:textId="77777777" w:rsidR="0043737B" w:rsidRPr="005832A3" w:rsidRDefault="0043737B" w:rsidP="00D26741">
      <w:pPr>
        <w:autoSpaceDE w:val="0"/>
        <w:autoSpaceDN w:val="0"/>
        <w:adjustRightInd w:val="0"/>
        <w:spacing w:after="0" w:line="360" w:lineRule="auto"/>
        <w:jc w:val="both"/>
        <w:rPr>
          <w:rFonts w:asciiTheme="majorBidi" w:hAnsiTheme="majorBidi" w:cstheme="majorBidi"/>
          <w:color w:val="000000"/>
          <w:sz w:val="24"/>
          <w:szCs w:val="24"/>
        </w:rPr>
      </w:pPr>
    </w:p>
    <w:p w14:paraId="3E33E38B" w14:textId="3278071B" w:rsidR="00181DD9" w:rsidRPr="002F5929" w:rsidRDefault="00181DD9" w:rsidP="00D26741">
      <w:pPr>
        <w:pStyle w:val="ListParagraph"/>
        <w:numPr>
          <w:ilvl w:val="1"/>
          <w:numId w:val="1"/>
        </w:numPr>
        <w:autoSpaceDE w:val="0"/>
        <w:autoSpaceDN w:val="0"/>
        <w:adjustRightInd w:val="0"/>
        <w:spacing w:after="0" w:line="240" w:lineRule="auto"/>
        <w:jc w:val="both"/>
        <w:rPr>
          <w:rFonts w:ascii="Times New Roman" w:eastAsia="Yu Gothic UI" w:hAnsi="Times New Roman" w:cs="Times New Roman"/>
          <w:b/>
          <w:bCs/>
          <w:sz w:val="28"/>
          <w:szCs w:val="36"/>
        </w:rPr>
      </w:pPr>
      <w:r w:rsidRPr="002F5929">
        <w:rPr>
          <w:rFonts w:ascii="Times New Roman" w:eastAsia="Yu Gothic UI" w:hAnsi="Times New Roman" w:cs="Times New Roman"/>
          <w:b/>
          <w:bCs/>
          <w:sz w:val="28"/>
          <w:szCs w:val="36"/>
        </w:rPr>
        <w:t xml:space="preserve">Government assistance is key </w:t>
      </w:r>
      <w:r w:rsidR="00B852A8">
        <w:rPr>
          <w:rFonts w:ascii="Times New Roman" w:eastAsia="Yu Gothic UI" w:hAnsi="Times New Roman" w:cs="Times New Roman"/>
          <w:b/>
          <w:bCs/>
          <w:sz w:val="28"/>
          <w:szCs w:val="36"/>
        </w:rPr>
        <w:t>to</w:t>
      </w:r>
      <w:r w:rsidRPr="002F5929">
        <w:rPr>
          <w:rFonts w:ascii="Times New Roman" w:eastAsia="Yu Gothic UI" w:hAnsi="Times New Roman" w:cs="Times New Roman"/>
          <w:b/>
          <w:bCs/>
          <w:sz w:val="28"/>
          <w:szCs w:val="36"/>
        </w:rPr>
        <w:t xml:space="preserve"> </w:t>
      </w:r>
      <w:proofErr w:type="gramStart"/>
      <w:r w:rsidRPr="002F5929">
        <w:rPr>
          <w:rFonts w:ascii="Times New Roman" w:eastAsia="Yu Gothic UI" w:hAnsi="Times New Roman" w:cs="Times New Roman"/>
          <w:b/>
          <w:bCs/>
          <w:sz w:val="28"/>
          <w:szCs w:val="36"/>
        </w:rPr>
        <w:t>survival</w:t>
      </w:r>
      <w:proofErr w:type="gramEnd"/>
    </w:p>
    <w:p w14:paraId="67AD276E" w14:textId="41B55B71" w:rsidR="001B65BD" w:rsidRDefault="00716C65" w:rsidP="00D26741">
      <w:pPr>
        <w:autoSpaceDE w:val="0"/>
        <w:autoSpaceDN w:val="0"/>
        <w:adjustRightInd w:val="0"/>
        <w:spacing w:after="0" w:line="360" w:lineRule="auto"/>
        <w:jc w:val="both"/>
        <w:rPr>
          <w:rFonts w:asciiTheme="majorBidi" w:hAnsiTheme="majorBidi" w:cstheme="majorBidi"/>
          <w:color w:val="000000"/>
          <w:sz w:val="24"/>
          <w:szCs w:val="24"/>
        </w:rPr>
      </w:pPr>
      <w:r w:rsidRPr="00716C65">
        <w:rPr>
          <w:rFonts w:asciiTheme="majorBidi" w:hAnsiTheme="majorBidi" w:cstheme="majorBidi"/>
          <w:color w:val="000000"/>
          <w:sz w:val="24"/>
          <w:szCs w:val="24"/>
        </w:rPr>
        <w:t>If the dissemination of COVID-19 remains unpredictable and unmanageable, travel restrictions will almost certainly be extended. This means that there will be barely any demand for the foreseeable future. Travel disruption during the peak summer season would harm a crucial revenue generator. Many hotels would lack enough money to remain functioning, and catastrophes would be very likely. As previously stated, IHG is working to substantially reduce expenses and has received assistance from the United States government.</w:t>
      </w:r>
    </w:p>
    <w:p w14:paraId="78CEA24A" w14:textId="6581E693" w:rsidR="00181DD9" w:rsidRPr="00450707" w:rsidRDefault="00D421A8" w:rsidP="00D26741">
      <w:pPr>
        <w:autoSpaceDE w:val="0"/>
        <w:autoSpaceDN w:val="0"/>
        <w:adjustRightInd w:val="0"/>
        <w:spacing w:after="0" w:line="360" w:lineRule="auto"/>
        <w:jc w:val="both"/>
        <w:rPr>
          <w:rFonts w:asciiTheme="majorBidi" w:hAnsiTheme="majorBidi" w:cstheme="majorBidi"/>
          <w:sz w:val="24"/>
          <w:szCs w:val="24"/>
        </w:rPr>
      </w:pPr>
      <w:r w:rsidRPr="00D421A8">
        <w:rPr>
          <w:rFonts w:asciiTheme="majorBidi" w:hAnsiTheme="majorBidi" w:cstheme="majorBidi"/>
          <w:color w:val="000000"/>
          <w:sz w:val="24"/>
          <w:szCs w:val="24"/>
        </w:rPr>
        <w:t>IHG has accomplished new supporting courses of action, including the alteration of its lengthy rotating funding consent to incorporate an exception of existing pledges until December 31, 2021. Besides, the Bank of London endorsed IHG as a reasonable issuance for the UK Government's CCFF, and IHG gave $600 million (US$745.2 million) in business paper through this office. IHG expressed that it has acquired admittance to US$1.4 billion in real money on store and that past bank offices are currently undrawn to the tune of US$660 million, bringing complete liquidity promptly available to $2 billion. This amount of cash sets the venture strategically set up to fight with the monetary repercussions of Coronavirus</w:t>
      </w:r>
      <w:r w:rsidR="00A619B7">
        <w:rPr>
          <w:rFonts w:asciiTheme="majorBidi" w:hAnsiTheme="majorBidi" w:cstheme="majorBidi"/>
          <w:color w:val="000000"/>
          <w:sz w:val="24"/>
          <w:szCs w:val="24"/>
        </w:rPr>
        <w:fldChar w:fldCharType="begin" w:fldLock="1"/>
      </w:r>
      <w:r w:rsidR="007A39FF">
        <w:rPr>
          <w:rFonts w:asciiTheme="majorBidi" w:hAnsiTheme="majorBidi" w:cstheme="majorBidi"/>
          <w:color w:val="000000"/>
          <w:sz w:val="24"/>
          <w:szCs w:val="24"/>
        </w:rPr>
        <w:instrText xml:space="preserve">ADDIN CSL_CITATION {"citationItems":[{"id":"ITEM-1","itemData":{"DOI":"10.13140/RG.2.2.13584.02562","abstract":"The negative effects are undermining the major sectors of the Indian economy in terms of airfare, airline and hospitality, and you are feeling vulnerable. Digital, online and offline transactions, operated by leading firms are impacted because of the set limits for ending COVID-19 outbreaks before they become uncontrolled. While customer traffic to digital channels is still high, the price of payment has dropped dramatically. If this trend continues to persist for a long time, businesses in the digital payments sector will suffer in the next two or three months as people become increasingly aware of the outages. The unpredictable times in which we live, when the impact of the Coronavirus outbreak has gone on economically and socially, can have a temporary impact on purchase patterns, among others. It would be a great boost for ecommerce including popular food, entertainment and food. Going back, over the last four years, digital payments have grown substantially from 5% to 30%, backed by demonetisation and the Government's ongoing drive to further the unwanted Indian economy. Online Travel Aggregators, movies and resorts and the entertainment industry, make up the largest share of the digital payments industry in India, contributing around 40%. Everything else comes from local debt and financial services.","author":[{"dropping-particle":"","family":"Jain","given":"Anil","non-dropping-particle":"","parse-names":false,"suffix":""},{"dropping-particle":"","family":"Sarupria","given":"Apurva","non-dropping-particle":"","parse-names":false,"suffix":""},{"dropping-particle":"","family":"Kothari","given":"Ankita","non-dropping-particle":"","parse-names":false,"suffix":""},{"dropping-particle":"","family":"Professor","given":"Associate","non-dropping-particle":"","parse-names":false,"suffix":""}],"container-title":"International Journal of Creative Research Thoughts","id":"ITEM-1","issue":"6","issued":{"date-parts":[["2020"]]},"page":"2320-2882","title":"The Impact of COVID-19 on E-wallet's Payments in Indian Economy </w:instrText>
      </w:r>
      <w:r w:rsidR="007A39FF">
        <w:rPr>
          <w:rFonts w:asciiTheme="majorBidi" w:hAnsiTheme="majorBidi" w:cs="Arial Unicode MS" w:hint="cs"/>
          <w:color w:val="000000"/>
          <w:sz w:val="24"/>
          <w:szCs w:val="24"/>
          <w:cs/>
          <w:lang w:bidi="hi-IN"/>
        </w:rPr>
        <w:instrText>भारतीय</w:instrText>
      </w:r>
      <w:r w:rsidR="007A39FF">
        <w:rPr>
          <w:rFonts w:asciiTheme="majorBidi" w:hAnsiTheme="majorBidi" w:cs="Arial Unicode MS"/>
          <w:color w:val="000000"/>
          <w:sz w:val="24"/>
          <w:szCs w:val="24"/>
          <w:cs/>
          <w:lang w:bidi="hi-IN"/>
        </w:rPr>
        <w:instrText xml:space="preserve"> </w:instrText>
      </w:r>
      <w:r w:rsidR="007A39FF">
        <w:rPr>
          <w:rFonts w:asciiTheme="majorBidi" w:hAnsiTheme="majorBidi" w:cs="Arial Unicode MS" w:hint="cs"/>
          <w:color w:val="000000"/>
          <w:sz w:val="24"/>
          <w:szCs w:val="24"/>
          <w:cs/>
          <w:lang w:bidi="hi-IN"/>
        </w:rPr>
        <w:instrText>अर्थ</w:instrText>
      </w:r>
      <w:r w:rsidR="007A39FF">
        <w:rPr>
          <w:rFonts w:asciiTheme="majorBidi" w:hAnsiTheme="majorBidi" w:cs="Arial Unicode MS"/>
          <w:color w:val="000000"/>
          <w:sz w:val="24"/>
          <w:szCs w:val="24"/>
          <w:cs/>
          <w:lang w:bidi="hi-IN"/>
        </w:rPr>
        <w:instrText xml:space="preserve"> </w:instrText>
      </w:r>
      <w:r w:rsidR="007A39FF">
        <w:rPr>
          <w:rFonts w:asciiTheme="majorBidi" w:hAnsiTheme="majorBidi" w:cs="Arial Unicode MS" w:hint="cs"/>
          <w:color w:val="000000"/>
          <w:sz w:val="24"/>
          <w:szCs w:val="24"/>
          <w:cs/>
          <w:lang w:bidi="hi-IN"/>
        </w:rPr>
        <w:instrText>व्यवस्र्ा</w:instrText>
      </w:r>
      <w:r w:rsidR="007A39FF">
        <w:rPr>
          <w:rFonts w:asciiTheme="majorBidi" w:hAnsiTheme="majorBidi" w:cs="Arial Unicode MS"/>
          <w:color w:val="000000"/>
          <w:sz w:val="24"/>
          <w:szCs w:val="24"/>
          <w:cs/>
          <w:lang w:bidi="hi-IN"/>
        </w:rPr>
        <w:instrText xml:space="preserve"> </w:instrText>
      </w:r>
      <w:r w:rsidR="007A39FF">
        <w:rPr>
          <w:rFonts w:asciiTheme="majorBidi" w:hAnsiTheme="majorBidi" w:cs="Arial Unicode MS" w:hint="cs"/>
          <w:color w:val="000000"/>
          <w:sz w:val="24"/>
          <w:szCs w:val="24"/>
          <w:cs/>
          <w:lang w:bidi="hi-IN"/>
        </w:rPr>
        <w:instrText>में</w:instrText>
      </w:r>
      <w:r w:rsidR="007A39FF">
        <w:rPr>
          <w:rFonts w:asciiTheme="majorBidi" w:hAnsiTheme="majorBidi" w:cs="Arial Unicode MS"/>
          <w:color w:val="000000"/>
          <w:sz w:val="24"/>
          <w:szCs w:val="24"/>
          <w:cs/>
          <w:lang w:bidi="hi-IN"/>
        </w:rPr>
        <w:instrText xml:space="preserve"> </w:instrText>
      </w:r>
      <w:r w:rsidR="007A39FF">
        <w:rPr>
          <w:rFonts w:asciiTheme="majorBidi" w:hAnsiTheme="majorBidi" w:cs="Arial Unicode MS" w:hint="cs"/>
          <w:color w:val="000000"/>
          <w:sz w:val="24"/>
          <w:szCs w:val="24"/>
          <w:cs/>
          <w:lang w:bidi="hi-IN"/>
        </w:rPr>
        <w:instrText>ई</w:instrText>
      </w:r>
      <w:r w:rsidR="007A39FF">
        <w:rPr>
          <w:rFonts w:asciiTheme="majorBidi" w:hAnsiTheme="majorBidi" w:cs="Arial Unicode MS"/>
          <w:color w:val="000000"/>
          <w:sz w:val="24"/>
          <w:szCs w:val="24"/>
          <w:cs/>
          <w:lang w:bidi="hi-IN"/>
        </w:rPr>
        <w:instrText>-</w:instrText>
      </w:r>
      <w:r w:rsidR="007A39FF">
        <w:rPr>
          <w:rFonts w:asciiTheme="majorBidi" w:hAnsiTheme="majorBidi" w:cs="Arial Unicode MS" w:hint="cs"/>
          <w:color w:val="000000"/>
          <w:sz w:val="24"/>
          <w:szCs w:val="24"/>
          <w:cs/>
          <w:lang w:bidi="hi-IN"/>
        </w:rPr>
        <w:instrText>वॉले</w:instrText>
      </w:r>
      <w:r w:rsidR="007A39FF">
        <w:rPr>
          <w:rFonts w:asciiTheme="majorBidi" w:hAnsiTheme="majorBidi" w:cs="Arial Unicode MS"/>
          <w:color w:val="000000"/>
          <w:sz w:val="24"/>
          <w:szCs w:val="24"/>
          <w:cs/>
          <w:lang w:bidi="hi-IN"/>
        </w:rPr>
        <w:instrText xml:space="preserve"> </w:instrText>
      </w:r>
      <w:r w:rsidR="007A39FF">
        <w:rPr>
          <w:rFonts w:asciiTheme="majorBidi" w:hAnsiTheme="majorBidi" w:cs="Arial Unicode MS" w:hint="cs"/>
          <w:color w:val="000000"/>
          <w:sz w:val="24"/>
          <w:szCs w:val="24"/>
          <w:cs/>
          <w:lang w:bidi="hi-IN"/>
        </w:rPr>
        <w:instrText>ट</w:instrText>
      </w:r>
      <w:r w:rsidR="007A39FF">
        <w:rPr>
          <w:rFonts w:asciiTheme="majorBidi" w:hAnsiTheme="majorBidi" w:cs="Arial Unicode MS"/>
          <w:color w:val="000000"/>
          <w:sz w:val="24"/>
          <w:szCs w:val="24"/>
          <w:cs/>
          <w:lang w:bidi="hi-IN"/>
        </w:rPr>
        <w:instrText xml:space="preserve"> </w:instrText>
      </w:r>
      <w:r w:rsidR="007A39FF">
        <w:rPr>
          <w:rFonts w:asciiTheme="majorBidi" w:hAnsiTheme="majorBidi" w:cs="Arial Unicode MS" w:hint="cs"/>
          <w:color w:val="000000"/>
          <w:sz w:val="24"/>
          <w:szCs w:val="24"/>
          <w:cs/>
          <w:lang w:bidi="hi-IN"/>
        </w:rPr>
        <w:instrText>के</w:instrText>
      </w:r>
      <w:r w:rsidR="007A39FF">
        <w:rPr>
          <w:rFonts w:asciiTheme="majorBidi" w:hAnsiTheme="majorBidi" w:cs="Arial Unicode MS"/>
          <w:color w:val="000000"/>
          <w:sz w:val="24"/>
          <w:szCs w:val="24"/>
          <w:cs/>
          <w:lang w:bidi="hi-IN"/>
        </w:rPr>
        <w:instrText xml:space="preserve"> </w:instrText>
      </w:r>
      <w:r w:rsidR="007A39FF">
        <w:rPr>
          <w:rFonts w:asciiTheme="majorBidi" w:hAnsiTheme="majorBidi" w:cs="Arial Unicode MS" w:hint="cs"/>
          <w:color w:val="000000"/>
          <w:sz w:val="24"/>
          <w:szCs w:val="24"/>
          <w:cs/>
          <w:lang w:bidi="hi-IN"/>
        </w:rPr>
        <w:instrText>भु</w:instrText>
      </w:r>
      <w:r w:rsidR="007A39FF">
        <w:rPr>
          <w:rFonts w:asciiTheme="majorBidi" w:hAnsiTheme="majorBidi" w:cs="Arial Unicode MS"/>
          <w:color w:val="000000"/>
          <w:sz w:val="24"/>
          <w:szCs w:val="24"/>
          <w:cs/>
          <w:lang w:bidi="hi-IN"/>
        </w:rPr>
        <w:instrText xml:space="preserve"> </w:instrText>
      </w:r>
      <w:r w:rsidR="007A39FF">
        <w:rPr>
          <w:rFonts w:asciiTheme="majorBidi" w:hAnsiTheme="majorBidi" w:cs="Arial Unicode MS" w:hint="cs"/>
          <w:color w:val="000000"/>
          <w:sz w:val="24"/>
          <w:szCs w:val="24"/>
          <w:cs/>
          <w:lang w:bidi="hi-IN"/>
        </w:rPr>
        <w:instrText>गतान</w:instrText>
      </w:r>
      <w:r w:rsidR="007A39FF">
        <w:rPr>
          <w:rFonts w:asciiTheme="majorBidi" w:hAnsiTheme="majorBidi" w:cs="Arial Unicode MS"/>
          <w:color w:val="000000"/>
          <w:sz w:val="24"/>
          <w:szCs w:val="24"/>
          <w:cs/>
          <w:lang w:bidi="hi-IN"/>
        </w:rPr>
        <w:instrText xml:space="preserve"> </w:instrText>
      </w:r>
      <w:r w:rsidR="007A39FF">
        <w:rPr>
          <w:rFonts w:asciiTheme="majorBidi" w:hAnsiTheme="majorBidi" w:cs="Arial Unicode MS" w:hint="cs"/>
          <w:color w:val="000000"/>
          <w:sz w:val="24"/>
          <w:szCs w:val="24"/>
          <w:cs/>
          <w:lang w:bidi="hi-IN"/>
        </w:rPr>
        <w:instrText>पर</w:instrText>
      </w:r>
      <w:r w:rsidR="007A39FF">
        <w:rPr>
          <w:rFonts w:asciiTheme="majorBidi" w:hAnsiTheme="majorBidi" w:cs="Arial Unicode MS"/>
          <w:color w:val="000000"/>
          <w:sz w:val="24"/>
          <w:szCs w:val="24"/>
          <w:cs/>
          <w:lang w:bidi="hi-IN"/>
        </w:rPr>
        <w:instrText xml:space="preserve"> </w:instrText>
      </w:r>
      <w:r w:rsidR="007A39FF">
        <w:rPr>
          <w:rFonts w:asciiTheme="majorBidi" w:hAnsiTheme="majorBidi" w:cstheme="majorBidi"/>
          <w:color w:val="000000"/>
          <w:sz w:val="24"/>
          <w:szCs w:val="24"/>
        </w:rPr>
        <w:instrText xml:space="preserve">COVID-19 </w:instrText>
      </w:r>
      <w:r w:rsidR="007A39FF">
        <w:rPr>
          <w:rFonts w:asciiTheme="majorBidi" w:hAnsiTheme="majorBidi" w:cs="Arial Unicode MS" w:hint="cs"/>
          <w:color w:val="000000"/>
          <w:sz w:val="24"/>
          <w:szCs w:val="24"/>
          <w:cs/>
          <w:lang w:bidi="hi-IN"/>
        </w:rPr>
        <w:instrText>के</w:instrText>
      </w:r>
      <w:r w:rsidR="007A39FF">
        <w:rPr>
          <w:rFonts w:asciiTheme="majorBidi" w:hAnsiTheme="majorBidi" w:cs="Arial Unicode MS"/>
          <w:color w:val="000000"/>
          <w:sz w:val="24"/>
          <w:szCs w:val="24"/>
          <w:cs/>
          <w:lang w:bidi="hi-IN"/>
        </w:rPr>
        <w:instrText xml:space="preserve"> </w:instrText>
      </w:r>
      <w:r w:rsidR="007A39FF">
        <w:rPr>
          <w:rFonts w:asciiTheme="majorBidi" w:hAnsiTheme="majorBidi" w:cs="Arial Unicode MS" w:hint="cs"/>
          <w:color w:val="000000"/>
          <w:sz w:val="24"/>
          <w:szCs w:val="24"/>
          <w:cs/>
          <w:lang w:bidi="hi-IN"/>
        </w:rPr>
        <w:instrText>प्रकोप</w:instrText>
      </w:r>
      <w:r w:rsidR="007A39FF">
        <w:rPr>
          <w:rFonts w:asciiTheme="majorBidi" w:hAnsiTheme="majorBidi" w:cs="Arial Unicode MS"/>
          <w:color w:val="000000"/>
          <w:sz w:val="24"/>
          <w:szCs w:val="24"/>
          <w:cs/>
          <w:lang w:bidi="hi-IN"/>
        </w:rPr>
        <w:instrText xml:space="preserve"> </w:instrText>
      </w:r>
      <w:r w:rsidR="007A39FF">
        <w:rPr>
          <w:rFonts w:asciiTheme="majorBidi" w:hAnsiTheme="majorBidi" w:cs="Arial Unicode MS" w:hint="cs"/>
          <w:color w:val="000000"/>
          <w:sz w:val="24"/>
          <w:szCs w:val="24"/>
          <w:cs/>
          <w:lang w:bidi="hi-IN"/>
        </w:rPr>
        <w:instrText>का</w:instrText>
      </w:r>
      <w:r w:rsidR="007A39FF">
        <w:rPr>
          <w:rFonts w:asciiTheme="majorBidi" w:hAnsiTheme="majorBidi" w:cs="Arial Unicode MS"/>
          <w:color w:val="000000"/>
          <w:sz w:val="24"/>
          <w:szCs w:val="24"/>
          <w:cs/>
          <w:lang w:bidi="hi-IN"/>
        </w:rPr>
        <w:instrText xml:space="preserve"> </w:instrText>
      </w:r>
      <w:r w:rsidR="007A39FF">
        <w:rPr>
          <w:rFonts w:asciiTheme="majorBidi" w:hAnsiTheme="majorBidi" w:cs="Arial Unicode MS" w:hint="cs"/>
          <w:color w:val="000000"/>
          <w:sz w:val="24"/>
          <w:szCs w:val="24"/>
          <w:cs/>
          <w:lang w:bidi="hi-IN"/>
        </w:rPr>
        <w:instrText>प्रभाव</w:instrText>
      </w:r>
      <w:r w:rsidR="007A39FF">
        <w:rPr>
          <w:rFonts w:asciiTheme="majorBidi" w:hAnsiTheme="majorBidi" w:cs="Arial Unicode MS"/>
          <w:color w:val="000000"/>
          <w:sz w:val="24"/>
          <w:szCs w:val="24"/>
          <w:cs/>
          <w:lang w:bidi="hi-IN"/>
        </w:rPr>
        <w:instrText>"</w:instrText>
      </w:r>
      <w:r w:rsidR="007A39FF">
        <w:rPr>
          <w:rFonts w:asciiTheme="majorBidi" w:hAnsiTheme="majorBidi" w:cstheme="majorBidi"/>
          <w:color w:val="000000"/>
          <w:sz w:val="24"/>
          <w:szCs w:val="24"/>
        </w:rPr>
        <w:instrText>,"type":"article-journal","volume":"8"},"uris":["http://www.mendeley.com/documents/?uuid=469cd1e6-a0e7-4454-9693-b400ad07228c"]}],"mendeley":{"formattedCitation":"[23]","plainTextFormattedCitation":"[23]","previouslyFormattedCitation":"[23]"},"properties":{"noteIndex":0},"schema":"https://github.com/citation-style-language/schema/raw/master/csl-citation.json"}</w:instrText>
      </w:r>
      <w:r w:rsidR="00000000">
        <w:rPr>
          <w:rFonts w:asciiTheme="majorBidi" w:hAnsiTheme="majorBidi" w:cstheme="majorBidi"/>
          <w:color w:val="000000"/>
          <w:sz w:val="24"/>
          <w:szCs w:val="24"/>
        </w:rPr>
        <w:fldChar w:fldCharType="separate"/>
      </w:r>
      <w:r w:rsidR="00A619B7">
        <w:rPr>
          <w:rFonts w:asciiTheme="majorBidi" w:hAnsiTheme="majorBidi" w:cstheme="majorBidi"/>
          <w:color w:val="000000"/>
          <w:sz w:val="24"/>
          <w:szCs w:val="24"/>
        </w:rPr>
        <w:fldChar w:fldCharType="end"/>
      </w:r>
      <w:r w:rsidR="00A619B7">
        <w:rPr>
          <w:rFonts w:asciiTheme="majorBidi" w:hAnsiTheme="majorBidi" w:cstheme="majorBidi"/>
          <w:color w:val="000000"/>
          <w:sz w:val="24"/>
          <w:szCs w:val="24"/>
        </w:rPr>
        <w:fldChar w:fldCharType="begin" w:fldLock="1"/>
      </w:r>
      <w:r w:rsidR="007A39FF">
        <w:rPr>
          <w:rFonts w:asciiTheme="majorBidi" w:hAnsiTheme="majorBidi" w:cstheme="majorBidi"/>
          <w:color w:val="000000"/>
          <w:sz w:val="24"/>
          <w:szCs w:val="24"/>
        </w:rPr>
        <w:instrText>ADDIN CSL_CITATION {"citationItems":[{"id":"ITEM-1","itemData":{"DOI":"10.1108/IJCHM-09-2020-1013","ISSN":"0959-6119","abstract":"Purpose The COVID-19 pandemic has tremendously affected the hospitality industry. With the experiences of severe acute respiratory syndrome in 2003 and commitments to ensure guests’ health and safety, many hotels in Asia have actively engaged in updating and implementing new service standards and measures. This study aims to investigate hotels’ service standard changes, processes of management decisions and preparations for the future. Design/methodology/approach Using grounded theory methodology, this research interviews 24 hotel managers from mainland China and Hong Kong. It examines the differences among hotels with different operation types, classifications and locations, and analyzes the service standards in physical and social services cape. Findings Building on the service marketing and crisis management literature, this research provides a synthesis that reflects how hotels have coped with the COVID-19 crisis. It depicts the service standard update process during the COVID-19. Research limitations/implications In line with the literature in disaster management, hotels experienced the outbreak, response and recovery phases of the crisis management procedure. However, given the severity and scope of the COVID-19 pandemic, undertaking particular processes is necessary at every procedure such as following local guidelines and updating local standard operating procedures (LSOPs). This research also expands the literature on the process of adopting new technology in hotels during crisis management. Practical implications The paper suggests that hotel managers should update and use well-thought-out standards on the bases of available scientific evidence. For example, hotels should use LSOPs according to the local situations. Hotels are also suggested to exert additional efforts and attention in service innovation, guest experience and enhancing hospitableness. Originality/value To the best of the authors’ knowledge, this paper is one of the first efforts to investigate the impact of COVID-19 on hotel operations. It offers empirical evidence from hotel operators who worked against the crisis during the pandemic and provides valuable theoretical contribution to the hospitality service literature as well as managerial implications for hotel operators globally.","author":[{"dropping-particle":"","family":"Chan","given":"Janelle","non-dropping-particle":"","parse-names":false,"suffix":""},{"dropping-particle":"","family":"Gao","given":"Yixing (Lisa)","non-dropping-particle":"","parse-names":false,"suffix":""},{"dropping-particle":"","family":"McGinley","given":"Sean","non-dropping-particle":"","parse-names":false,"suffix":""}],"container-title":"International Journal of Contemporary Hospitality Management","id":"ITEM-1","issue":"5","issued":{"date-parts":[["2021","1","1"]]},"page":"1668-1687","publisher":"Emerald Publishing Limited","title":"Updates in service standards in hotels: how COVID-19 changed operations","type":"article-journal","volume":"33"},"uris":["http://www.mendeley.com/documents/?uuid=942008bb-d401-4e32-ab00-349aaae2be3a"]}],"mendeley":{"formattedCitation":"[20]","plainTextFormattedCitation":"[20]","previouslyFormattedCitation":"[20]"},"properties":{"noteIndex":0},"schema":"https://github.com/citation-style-language/schema/raw/master/csl-citation.json"}</w:instrText>
      </w:r>
      <w:r w:rsidR="00000000">
        <w:rPr>
          <w:rFonts w:asciiTheme="majorBidi" w:hAnsiTheme="majorBidi" w:cstheme="majorBidi"/>
          <w:color w:val="000000"/>
          <w:sz w:val="24"/>
          <w:szCs w:val="24"/>
        </w:rPr>
        <w:fldChar w:fldCharType="separate"/>
      </w:r>
      <w:r w:rsidR="00A619B7">
        <w:rPr>
          <w:rFonts w:asciiTheme="majorBidi" w:hAnsiTheme="majorBidi" w:cstheme="majorBidi"/>
          <w:color w:val="000000"/>
          <w:sz w:val="24"/>
          <w:szCs w:val="24"/>
        </w:rPr>
        <w:fldChar w:fldCharType="end"/>
      </w:r>
      <w:r w:rsidR="00A619B7">
        <w:rPr>
          <w:rFonts w:asciiTheme="majorBidi" w:hAnsiTheme="majorBidi" w:cstheme="majorBidi"/>
          <w:color w:val="000000"/>
          <w:sz w:val="24"/>
          <w:szCs w:val="24"/>
        </w:rPr>
        <w:fldChar w:fldCharType="begin" w:fldLock="1"/>
      </w:r>
      <w:r w:rsidR="00515D02">
        <w:rPr>
          <w:rFonts w:asciiTheme="majorBidi" w:hAnsiTheme="majorBidi" w:cstheme="majorBidi"/>
          <w:color w:val="000000"/>
          <w:sz w:val="24"/>
          <w:szCs w:val="24"/>
        </w:rPr>
        <w:instrText>ADDIN CSL_CITATION {"citationItems":[{"id":"ITEM-1","itemData":{"abstract":"The world has and continues to suffer sizeable losses and setbacks due to COVID-19. Not least among those setbacks is the shock to the Travel &amp; Tourism sector. As 90% of the global population adjusted to life under travel restrictions and others stayed home in fear of the virus itself, the sector came to a near-total standstill. Yet, Travel &amp; Tourism leaders have remained strong and steadfast in the face of adversity.","author":[{"dropping-particle":"","family":"World Travel &amp; Tourism Council [WTTC]","given":"","non-dropping-particle":"","parse-names":false,"suffix":""}],"container-title":"World Travel and Tourism Council","id":"ITEM-1","issue":"September","issued":{"date-parts":[["2020"]]},"page":"14-22","title":"WTTC: The future of travel &amp; tourism in the wake of Covid-19","type":"article-journal"},"uris":["http://www.mendeley.com/documents/?uuid=06ae99a0-6c56-472c-ad86-eb3c956a804a"]}],"mendeley":{"formattedCitation":"[16]","plainTextFormattedCitation":"[16]","previouslyFormattedCitation":"[16]"},"properties":{"noteIndex":0},"schema":"https://github.com/citation-style-language/schema/raw/master/csl-citation.json"}</w:instrText>
      </w:r>
      <w:r w:rsidR="00A619B7">
        <w:rPr>
          <w:rFonts w:asciiTheme="majorBidi" w:hAnsiTheme="majorBidi" w:cstheme="majorBidi"/>
          <w:color w:val="000000"/>
          <w:sz w:val="24"/>
          <w:szCs w:val="24"/>
        </w:rPr>
        <w:fldChar w:fldCharType="separate"/>
      </w:r>
      <w:r w:rsidR="00EE00CA">
        <w:rPr>
          <w:rFonts w:asciiTheme="majorBidi" w:hAnsiTheme="majorBidi" w:cstheme="majorBidi"/>
          <w:noProof/>
          <w:color w:val="000000"/>
          <w:sz w:val="24"/>
          <w:szCs w:val="24"/>
        </w:rPr>
        <w:t xml:space="preserve"> </w:t>
      </w:r>
      <w:r w:rsidR="00A619B7">
        <w:rPr>
          <w:rFonts w:asciiTheme="majorBidi" w:hAnsiTheme="majorBidi" w:cstheme="majorBidi"/>
          <w:color w:val="000000"/>
          <w:sz w:val="24"/>
          <w:szCs w:val="24"/>
        </w:rPr>
        <w:fldChar w:fldCharType="end"/>
      </w:r>
      <w:r w:rsidR="00EE00CA">
        <w:rPr>
          <w:rFonts w:ascii="Times New Roman" w:hAnsi="Times New Roman" w:cs="Times New Roman"/>
          <w:noProof/>
          <w:sz w:val="24"/>
          <w:szCs w:val="24"/>
        </w:rPr>
        <w:t>(</w:t>
      </w:r>
      <w:r w:rsidR="00E22DFC" w:rsidRPr="00E22DFC">
        <w:rPr>
          <w:rFonts w:ascii="Times New Roman" w:hAnsi="Times New Roman" w:cs="Times New Roman"/>
          <w:noProof/>
          <w:sz w:val="24"/>
          <w:szCs w:val="24"/>
        </w:rPr>
        <w:t>Jain</w:t>
      </w:r>
      <w:r w:rsidR="00E22DFC">
        <w:rPr>
          <w:rFonts w:ascii="Times New Roman" w:hAnsi="Times New Roman" w:cs="Times New Roman"/>
          <w:noProof/>
          <w:sz w:val="24"/>
          <w:szCs w:val="24"/>
        </w:rPr>
        <w:t xml:space="preserve"> et al. 2020, 2448; </w:t>
      </w:r>
      <w:r w:rsidR="0011195C" w:rsidRPr="0011195C">
        <w:rPr>
          <w:rFonts w:asciiTheme="majorBidi" w:hAnsiTheme="majorBidi" w:cstheme="majorBidi"/>
          <w:sz w:val="24"/>
          <w:szCs w:val="24"/>
        </w:rPr>
        <w:t>Chan</w:t>
      </w:r>
      <w:r w:rsidR="0011195C" w:rsidRPr="00EF12A9">
        <w:rPr>
          <w:rFonts w:ascii="Times New Roman" w:hAnsi="Times New Roman" w:cs="Times New Roman"/>
          <w:noProof/>
          <w:sz w:val="24"/>
          <w:szCs w:val="24"/>
        </w:rPr>
        <w:t xml:space="preserve"> </w:t>
      </w:r>
      <w:r w:rsidR="0011195C">
        <w:rPr>
          <w:rFonts w:ascii="Times New Roman" w:hAnsi="Times New Roman" w:cs="Times New Roman"/>
          <w:noProof/>
          <w:sz w:val="24"/>
          <w:szCs w:val="24"/>
        </w:rPr>
        <w:t>et al. 2021;</w:t>
      </w:r>
      <w:r w:rsidR="00EE00CA" w:rsidRPr="00EF12A9">
        <w:rPr>
          <w:rFonts w:ascii="Times New Roman" w:hAnsi="Times New Roman" w:cs="Times New Roman"/>
          <w:noProof/>
          <w:sz w:val="24"/>
          <w:szCs w:val="24"/>
        </w:rPr>
        <w:t>World Travel &amp; Tourism Council [WTTC] 2020</w:t>
      </w:r>
      <w:r w:rsidR="00EE00CA">
        <w:rPr>
          <w:rFonts w:ascii="Times New Roman" w:hAnsi="Times New Roman" w:cs="Times New Roman"/>
          <w:noProof/>
          <w:sz w:val="24"/>
          <w:szCs w:val="24"/>
        </w:rPr>
        <w:t>, p.19)</w:t>
      </w:r>
      <w:r w:rsidR="00181DD9" w:rsidRPr="007E0D36">
        <w:rPr>
          <w:rFonts w:asciiTheme="majorBidi" w:hAnsiTheme="majorBidi" w:cstheme="majorBidi"/>
          <w:color w:val="000000"/>
          <w:sz w:val="24"/>
          <w:szCs w:val="24"/>
        </w:rPr>
        <w:t>.</w:t>
      </w:r>
    </w:p>
    <w:p w14:paraId="2A34F056" w14:textId="77777777" w:rsidR="00DB1EE1" w:rsidRPr="002F5929" w:rsidRDefault="00DB1EE1" w:rsidP="00D26741">
      <w:pPr>
        <w:pStyle w:val="Heading1"/>
        <w:numPr>
          <w:ilvl w:val="0"/>
          <w:numId w:val="1"/>
        </w:numPr>
        <w:jc w:val="both"/>
        <w:rPr>
          <w:color w:val="auto"/>
        </w:rPr>
      </w:pPr>
      <w:bookmarkStart w:id="16" w:name="_Toc145025770"/>
      <w:r w:rsidRPr="002F5929">
        <w:rPr>
          <w:color w:val="auto"/>
        </w:rPr>
        <w:t>Intercontinental Hotels Group PESTEL Analysis</w:t>
      </w:r>
      <w:bookmarkEnd w:id="16"/>
    </w:p>
    <w:p w14:paraId="4BF4EC08" w14:textId="309D929B" w:rsidR="00181DD9" w:rsidRDefault="00B62307" w:rsidP="00D26741">
      <w:pPr>
        <w:autoSpaceDE w:val="0"/>
        <w:autoSpaceDN w:val="0"/>
        <w:adjustRightInd w:val="0"/>
        <w:spacing w:after="0" w:line="360" w:lineRule="auto"/>
        <w:jc w:val="both"/>
        <w:rPr>
          <w:rFonts w:asciiTheme="majorBidi" w:hAnsiTheme="majorBidi" w:cstheme="majorBidi"/>
          <w:sz w:val="24"/>
          <w:szCs w:val="24"/>
          <w:shd w:val="clear" w:color="auto" w:fill="FFFFFF"/>
        </w:rPr>
      </w:pPr>
      <w:r w:rsidRPr="00B62307">
        <w:rPr>
          <w:rFonts w:asciiTheme="majorBidi" w:hAnsiTheme="majorBidi" w:cstheme="majorBidi"/>
          <w:sz w:val="24"/>
          <w:szCs w:val="24"/>
          <w:shd w:val="clear" w:color="auto" w:fill="FFFFFF"/>
        </w:rPr>
        <w:t>PESTEL analysis International Hotel Group Plc is a management tool for analy</w:t>
      </w:r>
      <w:r w:rsidR="00B852A8">
        <w:rPr>
          <w:rFonts w:asciiTheme="majorBidi" w:hAnsiTheme="majorBidi" w:cstheme="majorBidi"/>
          <w:sz w:val="24"/>
          <w:szCs w:val="24"/>
          <w:shd w:val="clear" w:color="auto" w:fill="FFFFFF"/>
        </w:rPr>
        <w:t>z</w:t>
      </w:r>
      <w:r w:rsidRPr="00B62307">
        <w:rPr>
          <w:rFonts w:asciiTheme="majorBidi" w:hAnsiTheme="majorBidi" w:cstheme="majorBidi"/>
          <w:sz w:val="24"/>
          <w:szCs w:val="24"/>
          <w:shd w:val="clear" w:color="auto" w:fill="FFFFFF"/>
        </w:rPr>
        <w:t>ing an organization's surroundings. PESTEL refers to the socioeconomic, technical, ecological, political, and legal factors that influence the microenvironment of Intercontinental Hotels Group Plc. Changes in macro</w:t>
      </w:r>
      <w:r w:rsidR="00B852A8">
        <w:rPr>
          <w:rFonts w:asciiTheme="majorBidi" w:hAnsiTheme="majorBidi" w:cstheme="majorBidi"/>
          <w:sz w:val="24"/>
          <w:szCs w:val="24"/>
          <w:shd w:val="clear" w:color="auto" w:fill="FFFFFF"/>
        </w:rPr>
        <w:t>-</w:t>
      </w:r>
      <w:r w:rsidRPr="00B62307">
        <w:rPr>
          <w:rFonts w:asciiTheme="majorBidi" w:hAnsiTheme="majorBidi" w:cstheme="majorBidi"/>
          <w:sz w:val="24"/>
          <w:szCs w:val="24"/>
          <w:shd w:val="clear" w:color="auto" w:fill="FFFFFF"/>
        </w:rPr>
        <w:t xml:space="preserve">environmental factors may have an immediate </w:t>
      </w:r>
      <w:r w:rsidR="00B852A8">
        <w:rPr>
          <w:rFonts w:asciiTheme="majorBidi" w:hAnsiTheme="majorBidi" w:cstheme="majorBidi"/>
          <w:sz w:val="24"/>
          <w:szCs w:val="24"/>
          <w:shd w:val="clear" w:color="auto" w:fill="FFFFFF"/>
        </w:rPr>
        <w:t>e</w:t>
      </w:r>
      <w:r w:rsidRPr="00B62307">
        <w:rPr>
          <w:rFonts w:asciiTheme="majorBidi" w:hAnsiTheme="majorBidi" w:cstheme="majorBidi"/>
          <w:sz w:val="24"/>
          <w:szCs w:val="24"/>
          <w:shd w:val="clear" w:color="auto" w:fill="FFFFFF"/>
        </w:rPr>
        <w:t xml:space="preserve">ffect not only on The Intercontinental Hotels Group Plc, yet on other </w:t>
      </w:r>
      <w:r>
        <w:rPr>
          <w:rFonts w:asciiTheme="majorBidi" w:hAnsiTheme="majorBidi" w:cstheme="majorBidi"/>
          <w:sz w:val="24"/>
          <w:szCs w:val="24"/>
          <w:shd w:val="clear" w:color="auto" w:fill="FFFFFF"/>
        </w:rPr>
        <w:t xml:space="preserve">Consumer Services </w:t>
      </w:r>
      <w:r w:rsidR="001B65BD">
        <w:rPr>
          <w:rFonts w:asciiTheme="majorBidi" w:hAnsiTheme="majorBidi" w:cstheme="majorBidi"/>
          <w:sz w:val="24"/>
          <w:szCs w:val="24"/>
          <w:shd w:val="clear" w:color="auto" w:fill="FFFFFF"/>
        </w:rPr>
        <w:t>organizations</w:t>
      </w:r>
      <w:r w:rsidR="00DB1EE1" w:rsidRPr="00B95D17">
        <w:rPr>
          <w:rFonts w:asciiTheme="majorBidi" w:hAnsiTheme="majorBidi" w:cstheme="majorBidi"/>
          <w:sz w:val="24"/>
          <w:szCs w:val="24"/>
          <w:shd w:val="clear" w:color="auto" w:fill="FFFFFF"/>
        </w:rPr>
        <w:t xml:space="preserve">. </w:t>
      </w:r>
      <w:r w:rsidRPr="00B62307">
        <w:rPr>
          <w:rFonts w:asciiTheme="majorBidi" w:hAnsiTheme="majorBidi" w:cstheme="majorBidi"/>
          <w:sz w:val="24"/>
          <w:szCs w:val="24"/>
          <w:shd w:val="clear" w:color="auto" w:fill="FFFFFF"/>
        </w:rPr>
        <w:t xml:space="preserve">PESTEL analysis offers great detail concerning operating difficulties Intercontinental Hotels and Hotels Group Plc will face in the current macro environment other than forces of competition. For example, a business may be highly profitable with an impressive trajectory of expansion but it will be no good for Intercontinental Hotels and Hotels Group Plc if it is located in a </w:t>
      </w:r>
      <w:r w:rsidR="00B852A8">
        <w:rPr>
          <w:rFonts w:asciiTheme="majorBidi" w:hAnsiTheme="majorBidi" w:cstheme="majorBidi"/>
          <w:sz w:val="24"/>
          <w:szCs w:val="24"/>
          <w:shd w:val="clear" w:color="auto" w:fill="FFFFFF"/>
        </w:rPr>
        <w:t>volatile political climat</w:t>
      </w:r>
      <w:r w:rsidRPr="00B62307">
        <w:rPr>
          <w:rFonts w:asciiTheme="majorBidi" w:hAnsiTheme="majorBidi" w:cstheme="majorBidi"/>
          <w:sz w:val="24"/>
          <w:szCs w:val="24"/>
          <w:shd w:val="clear" w:color="auto" w:fill="FFFFFF"/>
        </w:rPr>
        <w:t>e. Spanish oil giant Repsol faced a similar situation</w:t>
      </w:r>
      <w:r w:rsidR="00A619B7">
        <w:rPr>
          <w:rFonts w:asciiTheme="majorBidi" w:hAnsiTheme="majorBidi" w:cstheme="majorBidi"/>
          <w:sz w:val="24"/>
          <w:szCs w:val="24"/>
          <w:shd w:val="clear" w:color="auto" w:fill="FFFFFF"/>
        </w:rPr>
        <w:fldChar w:fldCharType="begin" w:fldLock="1"/>
      </w:r>
      <w:r w:rsidR="00BD0038">
        <w:rPr>
          <w:rFonts w:asciiTheme="majorBidi" w:hAnsiTheme="majorBidi" w:cstheme="majorBidi"/>
          <w:sz w:val="24"/>
          <w:szCs w:val="24"/>
          <w:shd w:val="clear" w:color="auto" w:fill="FFFFFF"/>
        </w:rPr>
        <w:instrText>ADDIN CSL_CITATION {"citationItems":[{"id":"ITEM-1","itemData":{"author":[{"dropping-particle":"","family":"Buye","given":"Ronald","non-dropping-particle":"","parse-names":false,"suffix":""}],"id":"ITEM-1","issued":{"date-parts":[["2021","2","22"]]},"title":"Critical examination of the PESTEL Analysis Model","type":"book"},"uris":["http://www.mendeley.com/documents/?uuid=f537bb44-af51-41b8-8461-1ad8b267a1d9"]}],"mendeley":{"formattedCitation":"[24]","plainTextFormattedCitation":"[24]","previouslyFormattedCitation":"[24]"},"properties":{"noteIndex":0},"schema":"https://github.com/citation-style-language/schema/raw/master/csl-citation.json"}</w:instrText>
      </w:r>
      <w:r w:rsidR="00A619B7">
        <w:rPr>
          <w:rFonts w:asciiTheme="majorBidi" w:hAnsiTheme="majorBidi" w:cstheme="majorBidi"/>
          <w:sz w:val="24"/>
          <w:szCs w:val="24"/>
          <w:shd w:val="clear" w:color="auto" w:fill="FFFFFF"/>
        </w:rPr>
        <w:fldChar w:fldCharType="separate"/>
      </w:r>
      <w:r w:rsidR="00E22DFC">
        <w:rPr>
          <w:rFonts w:asciiTheme="majorBidi" w:hAnsiTheme="majorBidi" w:cstheme="majorBidi"/>
          <w:noProof/>
          <w:sz w:val="24"/>
          <w:szCs w:val="24"/>
          <w:shd w:val="clear" w:color="auto" w:fill="FFFFFF"/>
        </w:rPr>
        <w:t xml:space="preserve"> (</w:t>
      </w:r>
      <w:r w:rsidR="00E22DFC" w:rsidRPr="00E22DFC">
        <w:rPr>
          <w:rFonts w:asciiTheme="majorBidi" w:hAnsiTheme="majorBidi" w:cstheme="majorBidi"/>
          <w:sz w:val="24"/>
          <w:szCs w:val="24"/>
        </w:rPr>
        <w:t>Buye 2021</w:t>
      </w:r>
      <w:r w:rsidR="00E22DFC">
        <w:rPr>
          <w:rFonts w:asciiTheme="majorBidi" w:hAnsiTheme="majorBidi" w:cstheme="majorBidi"/>
          <w:noProof/>
          <w:sz w:val="24"/>
          <w:szCs w:val="24"/>
          <w:shd w:val="clear" w:color="auto" w:fill="FFFFFF"/>
        </w:rPr>
        <w:t>)</w:t>
      </w:r>
      <w:r w:rsidR="00A619B7">
        <w:rPr>
          <w:rFonts w:asciiTheme="majorBidi" w:hAnsiTheme="majorBidi" w:cstheme="majorBidi"/>
          <w:sz w:val="24"/>
          <w:szCs w:val="24"/>
          <w:shd w:val="clear" w:color="auto" w:fill="FFFFFF"/>
        </w:rPr>
        <w:fldChar w:fldCharType="end"/>
      </w:r>
      <w:r w:rsidR="00DB1EE1" w:rsidRPr="00B95D17">
        <w:rPr>
          <w:rFonts w:asciiTheme="majorBidi" w:hAnsiTheme="majorBidi" w:cstheme="majorBidi"/>
          <w:sz w:val="24"/>
          <w:szCs w:val="24"/>
          <w:shd w:val="clear" w:color="auto" w:fill="FFFFFF"/>
        </w:rPr>
        <w:t>.</w:t>
      </w:r>
    </w:p>
    <w:p w14:paraId="0E0FD21D" w14:textId="77777777" w:rsidR="002F5929" w:rsidRPr="002F5929" w:rsidRDefault="002F5929" w:rsidP="00D26741">
      <w:pPr>
        <w:pStyle w:val="Heading2"/>
        <w:numPr>
          <w:ilvl w:val="1"/>
          <w:numId w:val="1"/>
        </w:numPr>
        <w:jc w:val="both"/>
      </w:pPr>
      <w:bookmarkStart w:id="17" w:name="_Toc145025771"/>
      <w:r w:rsidRPr="002F5929">
        <w:lastRenderedPageBreak/>
        <w:t>Political Factors</w:t>
      </w:r>
      <w:bookmarkEnd w:id="17"/>
    </w:p>
    <w:p w14:paraId="0FFC68E5" w14:textId="43777E27" w:rsidR="002F5929" w:rsidRDefault="006750B1" w:rsidP="00D26741">
      <w:pPr>
        <w:shd w:val="clear" w:color="auto" w:fill="FFFFFF"/>
        <w:spacing w:after="480" w:line="360" w:lineRule="auto"/>
        <w:jc w:val="both"/>
        <w:textAlignment w:val="baseline"/>
        <w:rPr>
          <w:rFonts w:asciiTheme="majorBidi" w:eastAsia="Times New Roman" w:hAnsiTheme="majorBidi" w:cstheme="majorBidi"/>
          <w:sz w:val="24"/>
          <w:szCs w:val="24"/>
        </w:rPr>
      </w:pPr>
      <w:r w:rsidRPr="006750B1">
        <w:rPr>
          <w:rFonts w:asciiTheme="majorBidi" w:eastAsia="Times New Roman" w:hAnsiTheme="majorBidi" w:cstheme="majorBidi"/>
          <w:sz w:val="24"/>
          <w:szCs w:val="24"/>
        </w:rPr>
        <w:t xml:space="preserve">Political factors expect a basic part in concluding the components that can influence Intercontinental Lodgings Assembling Plc's somewhat long efficiency in a particular country or market. </w:t>
      </w:r>
      <w:r w:rsidR="00E50277" w:rsidRPr="00E50277">
        <w:rPr>
          <w:rFonts w:asciiTheme="majorBidi" w:eastAsia="Times New Roman" w:hAnsiTheme="majorBidi" w:cstheme="majorBidi"/>
          <w:sz w:val="24"/>
          <w:szCs w:val="24"/>
        </w:rPr>
        <w:t xml:space="preserve">Intercontinental Lodgings Get-together Plc is working Being developed and </w:t>
      </w:r>
      <w:proofErr w:type="gramStart"/>
      <w:r w:rsidR="00E50277" w:rsidRPr="00E50277">
        <w:rPr>
          <w:rFonts w:asciiTheme="majorBidi" w:eastAsia="Times New Roman" w:hAnsiTheme="majorBidi" w:cstheme="majorBidi"/>
          <w:sz w:val="24"/>
          <w:szCs w:val="24"/>
        </w:rPr>
        <w:t>Loosening</w:t>
      </w:r>
      <w:proofErr w:type="gramEnd"/>
      <w:r w:rsidR="00E50277" w:rsidRPr="00E50277">
        <w:rPr>
          <w:rFonts w:asciiTheme="majorBidi" w:eastAsia="Times New Roman" w:hAnsiTheme="majorBidi" w:cstheme="majorBidi"/>
          <w:sz w:val="24"/>
          <w:szCs w:val="24"/>
        </w:rPr>
        <w:t xml:space="preserve"> up in excess of twelve nations and opens itself to various kinds of the universe of regulative issues and political design wagers. The make progress in such a unique Travel and Loosening up industry across different nations is to develop the specific dangers of a vast expanse of regulative issues</w:t>
      </w:r>
      <w:r w:rsidR="00E22DFC">
        <w:rPr>
          <w:rFonts w:asciiTheme="majorBidi" w:eastAsia="Times New Roman" w:hAnsiTheme="majorBidi" w:cstheme="majorBidi"/>
          <w:sz w:val="24"/>
          <w:szCs w:val="24"/>
        </w:rPr>
        <w:t xml:space="preserve"> (</w:t>
      </w:r>
      <w:r w:rsidR="00E22DFC" w:rsidRPr="00EF12A9">
        <w:rPr>
          <w:rFonts w:ascii="Times New Roman" w:hAnsi="Times New Roman" w:cs="Times New Roman"/>
          <w:noProof/>
          <w:sz w:val="24"/>
          <w:szCs w:val="24"/>
        </w:rPr>
        <w:t>Report</w:t>
      </w:r>
      <w:r w:rsidR="00E22DFC">
        <w:rPr>
          <w:rFonts w:ascii="Times New Roman" w:hAnsi="Times New Roman" w:cs="Times New Roman"/>
          <w:noProof/>
          <w:sz w:val="24"/>
          <w:szCs w:val="24"/>
        </w:rPr>
        <w:t xml:space="preserve"> </w:t>
      </w:r>
      <w:r w:rsidR="00E22DFC" w:rsidRPr="00EF12A9">
        <w:rPr>
          <w:rFonts w:ascii="Times New Roman" w:hAnsi="Times New Roman" w:cs="Times New Roman"/>
          <w:noProof/>
          <w:sz w:val="24"/>
          <w:szCs w:val="24"/>
        </w:rPr>
        <w:t>2021</w:t>
      </w:r>
      <w:r w:rsidR="00E22DFC">
        <w:rPr>
          <w:rFonts w:asciiTheme="majorBidi" w:eastAsia="Times New Roman" w:hAnsiTheme="majorBidi" w:cstheme="majorBidi"/>
          <w:sz w:val="24"/>
          <w:szCs w:val="24"/>
        </w:rPr>
        <w:t>)</w:t>
      </w:r>
    </w:p>
    <w:p w14:paraId="6150E22B" w14:textId="77777777" w:rsidR="001B65BD" w:rsidRDefault="00515D02" w:rsidP="00D26741">
      <w:pPr>
        <w:shd w:val="clear" w:color="auto" w:fill="FFFFFF"/>
        <w:spacing w:after="480" w:line="360" w:lineRule="auto"/>
        <w:jc w:val="both"/>
        <w:textAlignment w:val="baseline"/>
      </w:pPr>
      <w:r w:rsidRPr="00515D02">
        <w:rPr>
          <w:rFonts w:asciiTheme="majorBidi" w:eastAsia="Times New Roman" w:hAnsiTheme="majorBidi" w:cstheme="majorBidi"/>
          <w:noProof/>
          <w:sz w:val="24"/>
          <w:szCs w:val="24"/>
        </w:rPr>
        <w:drawing>
          <wp:inline distT="0" distB="0" distL="0" distR="0" wp14:anchorId="5CA7A96B" wp14:editId="271B4F5B">
            <wp:extent cx="3644374" cy="2275027"/>
            <wp:effectExtent l="19050" t="0" r="0" b="0"/>
            <wp:docPr id="5" name="Picture 9" descr="Hospitality Industry: All your questions answ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spitality Industry: All your questions answered"/>
                    <pic:cNvPicPr>
                      <a:picLocks noChangeAspect="1" noChangeArrowheads="1"/>
                    </pic:cNvPicPr>
                  </pic:nvPicPr>
                  <pic:blipFill>
                    <a:blip r:embed="rId13" cstate="print"/>
                    <a:srcRect/>
                    <a:stretch>
                      <a:fillRect/>
                    </a:stretch>
                  </pic:blipFill>
                  <pic:spPr bwMode="auto">
                    <a:xfrm>
                      <a:off x="0" y="0"/>
                      <a:ext cx="3641764" cy="2273398"/>
                    </a:xfrm>
                    <a:prstGeom prst="rect">
                      <a:avLst/>
                    </a:prstGeom>
                    <a:noFill/>
                    <a:ln w="9525">
                      <a:noFill/>
                      <a:miter lim="800000"/>
                      <a:headEnd/>
                      <a:tailEnd/>
                    </a:ln>
                  </pic:spPr>
                </pic:pic>
              </a:graphicData>
            </a:graphic>
          </wp:inline>
        </w:drawing>
      </w:r>
    </w:p>
    <w:p w14:paraId="770188AC" w14:textId="77777777" w:rsidR="00310211" w:rsidRPr="001B65BD" w:rsidRDefault="002F5929" w:rsidP="00D26741">
      <w:pPr>
        <w:shd w:val="clear" w:color="auto" w:fill="FFFFFF"/>
        <w:spacing w:after="480" w:line="360" w:lineRule="auto"/>
        <w:jc w:val="both"/>
        <w:textAlignment w:val="baseline"/>
      </w:pPr>
      <w:r w:rsidRPr="00310211">
        <w:rPr>
          <w:rFonts w:asciiTheme="majorBidi" w:hAnsiTheme="majorBidi" w:cstheme="majorBidi"/>
          <w:sz w:val="24"/>
          <w:szCs w:val="24"/>
        </w:rPr>
        <w:t xml:space="preserve">Figure </w:t>
      </w:r>
      <w:r w:rsidR="00A619B7" w:rsidRPr="00310211">
        <w:rPr>
          <w:rFonts w:asciiTheme="majorBidi" w:hAnsiTheme="majorBidi" w:cstheme="majorBidi"/>
          <w:sz w:val="24"/>
          <w:szCs w:val="24"/>
        </w:rPr>
        <w:fldChar w:fldCharType="begin"/>
      </w:r>
      <w:r w:rsidR="00FD4511" w:rsidRPr="00310211">
        <w:rPr>
          <w:rFonts w:asciiTheme="majorBidi" w:hAnsiTheme="majorBidi" w:cstheme="majorBidi"/>
          <w:sz w:val="24"/>
          <w:szCs w:val="24"/>
        </w:rPr>
        <w:instrText xml:space="preserve"> SEQ Figure \* ARABIC </w:instrText>
      </w:r>
      <w:r w:rsidR="00A619B7" w:rsidRPr="00310211">
        <w:rPr>
          <w:rFonts w:asciiTheme="majorBidi" w:hAnsiTheme="majorBidi" w:cstheme="majorBidi"/>
          <w:sz w:val="24"/>
          <w:szCs w:val="24"/>
        </w:rPr>
        <w:fldChar w:fldCharType="separate"/>
      </w:r>
      <w:r w:rsidR="00EF12A9" w:rsidRPr="00310211">
        <w:rPr>
          <w:rFonts w:asciiTheme="majorBidi" w:hAnsiTheme="majorBidi" w:cstheme="majorBidi"/>
          <w:noProof/>
          <w:sz w:val="24"/>
          <w:szCs w:val="24"/>
        </w:rPr>
        <w:t>4</w:t>
      </w:r>
      <w:r w:rsidR="00A619B7" w:rsidRPr="00310211">
        <w:rPr>
          <w:rFonts w:asciiTheme="majorBidi" w:hAnsiTheme="majorBidi" w:cstheme="majorBidi"/>
          <w:sz w:val="24"/>
          <w:szCs w:val="24"/>
        </w:rPr>
        <w:fldChar w:fldCharType="end"/>
      </w:r>
      <w:r w:rsidR="00310211" w:rsidRPr="00310211">
        <w:rPr>
          <w:rFonts w:asciiTheme="majorBidi" w:hAnsiTheme="majorBidi" w:cstheme="majorBidi"/>
          <w:sz w:val="24"/>
          <w:szCs w:val="24"/>
        </w:rPr>
        <w:t xml:space="preserve"> Economy growth with political changes</w:t>
      </w:r>
    </w:p>
    <w:p w14:paraId="10E534C2" w14:textId="77777777" w:rsidR="00E50277" w:rsidRDefault="002F5929" w:rsidP="00D26741">
      <w:pPr>
        <w:pStyle w:val="Heading2"/>
        <w:numPr>
          <w:ilvl w:val="1"/>
          <w:numId w:val="1"/>
        </w:numPr>
        <w:jc w:val="both"/>
      </w:pPr>
      <w:bookmarkStart w:id="18" w:name="_Toc145025772"/>
      <w:r w:rsidRPr="002F5929">
        <w:t>Economic Factors</w:t>
      </w:r>
      <w:bookmarkEnd w:id="18"/>
    </w:p>
    <w:p w14:paraId="4425BD22" w14:textId="77777777" w:rsidR="002F5929" w:rsidRPr="00E50277" w:rsidRDefault="00E50277" w:rsidP="00D26741">
      <w:pPr>
        <w:spacing w:line="360" w:lineRule="auto"/>
        <w:jc w:val="both"/>
        <w:rPr>
          <w:rFonts w:asciiTheme="majorBidi" w:hAnsiTheme="majorBidi" w:cstheme="majorBidi"/>
          <w:sz w:val="32"/>
          <w:szCs w:val="40"/>
        </w:rPr>
      </w:pPr>
      <w:r w:rsidRPr="00E50277">
        <w:rPr>
          <w:rFonts w:asciiTheme="majorBidi" w:hAnsiTheme="majorBidi" w:cstheme="majorBidi"/>
          <w:sz w:val="24"/>
          <w:szCs w:val="24"/>
        </w:rPr>
        <w:t xml:space="preserve">The Full scale climate factors, for example, - improvement rate, save upholds rate, subsidizing cost, new change standard and cash related cycle pick the total income and hard and fast income in an economy. While tiny climate factors, for example, challenge standards influence the key position of the firm. Intercontinental Lodgings Get-together Plc can utilize the country's cash related part, for example, improvement rate, augmentation, and industry's financial pointers like Travel and Loosening up industry progression rate, purchaser spending, and so on to gauge the headway orientation of - - region name- - locale as well as that of the connection. Cash related </w:t>
      </w:r>
      <w:r w:rsidRPr="00E50277">
        <w:rPr>
          <w:rFonts w:asciiTheme="majorBidi" w:hAnsiTheme="majorBidi" w:cstheme="majorBidi"/>
          <w:sz w:val="24"/>
          <w:szCs w:val="24"/>
        </w:rPr>
        <w:lastRenderedPageBreak/>
        <w:t>parts that Intercontinental Lodgings Social Event Plc ought to consider while organizing PESTEL evaluation are</w:t>
      </w:r>
    </w:p>
    <w:p w14:paraId="76D5A634" w14:textId="77777777" w:rsidR="00E50277" w:rsidRDefault="00E50277" w:rsidP="00D26741">
      <w:pPr>
        <w:keepNext/>
        <w:shd w:val="clear" w:color="auto" w:fill="FFFFFF"/>
        <w:spacing w:after="480" w:line="360" w:lineRule="auto"/>
        <w:jc w:val="both"/>
        <w:textAlignment w:val="baseline"/>
      </w:pPr>
      <w:r w:rsidRPr="00E50277">
        <w:rPr>
          <w:noProof/>
        </w:rPr>
        <w:drawing>
          <wp:inline distT="0" distB="0" distL="0" distR="0" wp14:anchorId="5DC01599" wp14:editId="2D09699F">
            <wp:extent cx="4313474" cy="2655418"/>
            <wp:effectExtent l="19050" t="0" r="0" b="0"/>
            <wp:docPr id="1" name="Picture 12" descr="Tourism &amp; Hotel industry in the post-COVID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ourism &amp; Hotel industry in the post-COVID world"/>
                    <pic:cNvPicPr>
                      <a:picLocks noChangeAspect="1" noChangeArrowheads="1"/>
                    </pic:cNvPicPr>
                  </pic:nvPicPr>
                  <pic:blipFill>
                    <a:blip r:embed="rId14" cstate="print"/>
                    <a:srcRect t="14153" b="14153"/>
                    <a:stretch>
                      <a:fillRect/>
                    </a:stretch>
                  </pic:blipFill>
                  <pic:spPr bwMode="auto">
                    <a:xfrm>
                      <a:off x="0" y="0"/>
                      <a:ext cx="4313474" cy="2655418"/>
                    </a:xfrm>
                    <a:prstGeom prst="rect">
                      <a:avLst/>
                    </a:prstGeom>
                    <a:noFill/>
                    <a:ln w="9525">
                      <a:noFill/>
                      <a:miter lim="800000"/>
                      <a:headEnd/>
                      <a:tailEnd/>
                    </a:ln>
                  </pic:spPr>
                </pic:pic>
              </a:graphicData>
            </a:graphic>
          </wp:inline>
        </w:drawing>
      </w:r>
    </w:p>
    <w:p w14:paraId="7D560575" w14:textId="77777777" w:rsidR="002F5929" w:rsidRPr="00310211" w:rsidRDefault="002F5929" w:rsidP="00D26741">
      <w:pPr>
        <w:pStyle w:val="Caption"/>
        <w:jc w:val="both"/>
        <w:rPr>
          <w:rFonts w:asciiTheme="majorBidi" w:eastAsia="Times New Roman" w:hAnsiTheme="majorBidi" w:cstheme="majorBidi"/>
          <w:b w:val="0"/>
          <w:bCs w:val="0"/>
          <w:color w:val="auto"/>
          <w:sz w:val="36"/>
          <w:szCs w:val="36"/>
        </w:rPr>
      </w:pPr>
      <w:r w:rsidRPr="00310211">
        <w:rPr>
          <w:rFonts w:asciiTheme="majorBidi" w:hAnsiTheme="majorBidi" w:cstheme="majorBidi"/>
          <w:b w:val="0"/>
          <w:bCs w:val="0"/>
          <w:color w:val="auto"/>
          <w:sz w:val="24"/>
          <w:szCs w:val="24"/>
        </w:rPr>
        <w:t xml:space="preserve">Figure </w:t>
      </w:r>
      <w:r w:rsidR="00A619B7" w:rsidRPr="00310211">
        <w:rPr>
          <w:rFonts w:asciiTheme="majorBidi" w:hAnsiTheme="majorBidi" w:cstheme="majorBidi"/>
          <w:b w:val="0"/>
          <w:bCs w:val="0"/>
          <w:color w:val="auto"/>
          <w:sz w:val="24"/>
          <w:szCs w:val="24"/>
        </w:rPr>
        <w:fldChar w:fldCharType="begin"/>
      </w:r>
      <w:r w:rsidR="00FD4511" w:rsidRPr="00310211">
        <w:rPr>
          <w:rFonts w:asciiTheme="majorBidi" w:hAnsiTheme="majorBidi" w:cstheme="majorBidi"/>
          <w:b w:val="0"/>
          <w:bCs w:val="0"/>
          <w:color w:val="auto"/>
          <w:sz w:val="24"/>
          <w:szCs w:val="24"/>
        </w:rPr>
        <w:instrText xml:space="preserve"> SEQ Figure \* ARABIC </w:instrText>
      </w:r>
      <w:r w:rsidR="00A619B7" w:rsidRPr="00310211">
        <w:rPr>
          <w:rFonts w:asciiTheme="majorBidi" w:hAnsiTheme="majorBidi" w:cstheme="majorBidi"/>
          <w:b w:val="0"/>
          <w:bCs w:val="0"/>
          <w:color w:val="auto"/>
          <w:sz w:val="24"/>
          <w:szCs w:val="24"/>
        </w:rPr>
        <w:fldChar w:fldCharType="separate"/>
      </w:r>
      <w:r w:rsidR="00EF12A9" w:rsidRPr="00310211">
        <w:rPr>
          <w:rFonts w:asciiTheme="majorBidi" w:hAnsiTheme="majorBidi" w:cstheme="majorBidi"/>
          <w:b w:val="0"/>
          <w:bCs w:val="0"/>
          <w:noProof/>
          <w:color w:val="auto"/>
          <w:sz w:val="24"/>
          <w:szCs w:val="24"/>
        </w:rPr>
        <w:t>5</w:t>
      </w:r>
      <w:r w:rsidR="00A619B7" w:rsidRPr="00310211">
        <w:rPr>
          <w:rFonts w:asciiTheme="majorBidi" w:hAnsiTheme="majorBidi" w:cstheme="majorBidi"/>
          <w:b w:val="0"/>
          <w:bCs w:val="0"/>
          <w:color w:val="auto"/>
          <w:sz w:val="24"/>
          <w:szCs w:val="24"/>
        </w:rPr>
        <w:fldChar w:fldCharType="end"/>
      </w:r>
      <w:r w:rsidR="00310211" w:rsidRPr="00310211">
        <w:rPr>
          <w:rFonts w:asciiTheme="majorBidi" w:hAnsiTheme="majorBidi" w:cstheme="majorBidi"/>
          <w:b w:val="0"/>
          <w:bCs w:val="0"/>
          <w:color w:val="auto"/>
          <w:sz w:val="24"/>
          <w:szCs w:val="24"/>
        </w:rPr>
        <w:t xml:space="preserve"> </w:t>
      </w:r>
      <w:r w:rsidR="00B852A8">
        <w:rPr>
          <w:rFonts w:asciiTheme="majorBidi" w:hAnsiTheme="majorBidi" w:cstheme="majorBidi"/>
          <w:b w:val="0"/>
          <w:bCs w:val="0"/>
          <w:color w:val="auto"/>
          <w:sz w:val="24"/>
          <w:szCs w:val="24"/>
        </w:rPr>
        <w:t>S</w:t>
      </w:r>
      <w:r w:rsidR="00310211" w:rsidRPr="00310211">
        <w:rPr>
          <w:rFonts w:asciiTheme="majorBidi" w:hAnsiTheme="majorBidi" w:cstheme="majorBidi"/>
          <w:b w:val="0"/>
          <w:bCs w:val="0"/>
          <w:color w:val="auto"/>
          <w:sz w:val="24"/>
          <w:szCs w:val="24"/>
        </w:rPr>
        <w:t>tability in economic conditions</w:t>
      </w:r>
    </w:p>
    <w:p w14:paraId="681C6159" w14:textId="77777777" w:rsidR="002F5929" w:rsidRPr="002F5929" w:rsidRDefault="002F5929" w:rsidP="00D26741">
      <w:pPr>
        <w:pStyle w:val="Heading2"/>
        <w:numPr>
          <w:ilvl w:val="1"/>
          <w:numId w:val="1"/>
        </w:numPr>
        <w:jc w:val="both"/>
      </w:pPr>
      <w:bookmarkStart w:id="19" w:name="_Toc145025773"/>
      <w:r w:rsidRPr="002F5929">
        <w:t>Social Factors</w:t>
      </w:r>
      <w:bookmarkEnd w:id="19"/>
    </w:p>
    <w:p w14:paraId="23CF7950" w14:textId="326C0712" w:rsidR="002F5929" w:rsidRDefault="00700A17" w:rsidP="00D26741">
      <w:pPr>
        <w:shd w:val="clear" w:color="auto" w:fill="FFFFFF"/>
        <w:spacing w:after="480" w:line="360" w:lineRule="auto"/>
        <w:jc w:val="both"/>
        <w:textAlignment w:val="baseline"/>
        <w:rPr>
          <w:rFonts w:asciiTheme="majorBidi" w:eastAsia="Times New Roman" w:hAnsiTheme="majorBidi" w:cstheme="majorBidi"/>
          <w:sz w:val="24"/>
          <w:szCs w:val="24"/>
        </w:rPr>
      </w:pPr>
      <w:r w:rsidRPr="00700A17">
        <w:rPr>
          <w:rFonts w:asciiTheme="majorBidi" w:eastAsia="Times New Roman" w:hAnsiTheme="majorBidi" w:cstheme="majorBidi"/>
          <w:sz w:val="24"/>
          <w:szCs w:val="24"/>
        </w:rPr>
        <w:t xml:space="preserve">Society's lifestyle and way to deal with doing things impact the lifestyle of a relationship in an environment. Shared convictions and viewpoints of the general population expect a phenomenal part in how publicists at Intercontinental Lodgings Social occasion Plc will understand the clients of a given market and how they plan the advancing directive for Development and Unwinding industry customers. Social factors that the organization of Intercontinental Motels Get-together Plc should analyze for PESTEL assessment </w:t>
      </w:r>
      <w:r w:rsidR="00A619B7">
        <w:rPr>
          <w:rFonts w:asciiTheme="majorBidi" w:eastAsia="Times New Roman" w:hAnsiTheme="majorBidi" w:cstheme="majorBidi"/>
          <w:sz w:val="24"/>
          <w:szCs w:val="24"/>
        </w:rPr>
        <w:fldChar w:fldCharType="begin" w:fldLock="1"/>
      </w:r>
      <w:r w:rsidR="00EF12A9">
        <w:rPr>
          <w:rFonts w:asciiTheme="majorBidi" w:eastAsia="Times New Roman" w:hAnsiTheme="majorBidi" w:cstheme="majorBidi"/>
          <w:sz w:val="24"/>
          <w:szCs w:val="24"/>
        </w:rPr>
        <w:instrText>ADDIN CSL_CITATION {"citationItems":[{"id":"ITEM-1","itemData":{"DOI":"10.1287/orsc.1100.0541","ISSN":"10477039","abstract":"Two contradictory perspectives of family business conduct and performance are prominent in the literature. The stewardship perspective argues that family business owners and managers will act as farsighted stewards of their companies, investing generously in the business to enhance value for all stakeholders. By contrast, the agency and behavioral agency perspectives maintain that major family owners, in catering to family self-interest, will underinvest in the firm, avoid risk, and extract resources. This paper argues that both these views have application but under different circumstances, determined in part by the degree to which the firm and its executive actors are embedded within the family and thus identify with its interests. Stewardship behavior will be less common, and agency behavior will be more common the greater the number of family directors, officers, generations, and votes, and the more executives are susceptible to family influence. These findings are supported among Fortune 1000 firms, as well as among the subsample of those firms that are family businesses. © 2011 INFORMS.","author":[{"dropping-particle":"","family":"Breton-Miller","given":"Isabelle","non-dropping-particle":"Le","parse-names":false,"suffix":""},{"dropping-particle":"","family":"Miller","given":"Danny","non-dropping-particle":"","parse-names":false,"suffix":""},{"dropping-particle":"","family":"Lester","given":"Richard H.","non-dropping-particle":"","parse-names":false,"suffix":""}],"container-title":"Organization Science","id":"ITEM-1","issue":"3","issued":{"date-parts":[["2011"]]},"page":"704-721","title":"Stewardship or agency? A social embeddedness reconciliation of conduct and performance in public family businesses","type":"article-journal","volume":"22"},"uris":["http://www.mendeley.com/documents/?uuid=54f2b9dc-0f53-4f73-ace6-73d288926828"]}],"mendeley":{"formattedCitation":"[26]","plainTextFormattedCitation":"[26]","previouslyFormattedCitation":"[26]"},"properties":{"noteIndex":0},"schema":"https://github.com/citation-style-language/schema/raw/master/csl-citation.json"}</w:instrText>
      </w:r>
      <w:r w:rsidR="00A619B7">
        <w:rPr>
          <w:rFonts w:asciiTheme="majorBidi" w:eastAsia="Times New Roman" w:hAnsiTheme="majorBidi" w:cstheme="majorBidi"/>
          <w:sz w:val="24"/>
          <w:szCs w:val="24"/>
        </w:rPr>
        <w:fldChar w:fldCharType="separate"/>
      </w:r>
      <w:r w:rsidR="00E22DFC">
        <w:rPr>
          <w:rFonts w:asciiTheme="majorBidi" w:eastAsia="Times New Roman" w:hAnsiTheme="majorBidi" w:cstheme="majorBidi"/>
          <w:noProof/>
          <w:sz w:val="24"/>
          <w:szCs w:val="24"/>
        </w:rPr>
        <w:t>(</w:t>
      </w:r>
      <w:r w:rsidR="00E22DFC" w:rsidRPr="00E22DFC">
        <w:rPr>
          <w:rFonts w:ascii="Times New Roman" w:hAnsi="Times New Roman" w:cs="Times New Roman"/>
          <w:noProof/>
          <w:sz w:val="24"/>
          <w:szCs w:val="24"/>
        </w:rPr>
        <w:t xml:space="preserve"> Le Breton-Miller</w:t>
      </w:r>
      <w:r w:rsidR="00E22DFC">
        <w:rPr>
          <w:rFonts w:ascii="Times New Roman" w:hAnsi="Times New Roman" w:cs="Times New Roman"/>
          <w:noProof/>
          <w:sz w:val="24"/>
          <w:szCs w:val="24"/>
        </w:rPr>
        <w:t xml:space="preserve"> et al. 2011, 704</w:t>
      </w:r>
      <w:r w:rsidR="00E22DFC">
        <w:rPr>
          <w:rFonts w:asciiTheme="majorBidi" w:eastAsia="Times New Roman" w:hAnsiTheme="majorBidi" w:cstheme="majorBidi"/>
          <w:noProof/>
          <w:sz w:val="24"/>
          <w:szCs w:val="24"/>
        </w:rPr>
        <w:t>)</w:t>
      </w:r>
      <w:r w:rsidR="00A619B7">
        <w:rPr>
          <w:rFonts w:asciiTheme="majorBidi" w:eastAsia="Times New Roman" w:hAnsiTheme="majorBidi" w:cstheme="majorBidi"/>
          <w:sz w:val="24"/>
          <w:szCs w:val="24"/>
        </w:rPr>
        <w:fldChar w:fldCharType="end"/>
      </w:r>
      <w:r w:rsidR="00E22DFC">
        <w:rPr>
          <w:rFonts w:asciiTheme="majorBidi" w:eastAsia="Times New Roman" w:hAnsiTheme="majorBidi" w:cstheme="majorBidi"/>
          <w:sz w:val="24"/>
          <w:szCs w:val="24"/>
        </w:rPr>
        <w:t>.</w:t>
      </w:r>
    </w:p>
    <w:p w14:paraId="696DADB4" w14:textId="77777777" w:rsidR="00EF12A9" w:rsidRDefault="00EF12A9" w:rsidP="00D26741">
      <w:pPr>
        <w:keepNext/>
        <w:shd w:val="clear" w:color="auto" w:fill="FFFFFF"/>
        <w:spacing w:after="480" w:line="360" w:lineRule="auto"/>
        <w:jc w:val="both"/>
        <w:textAlignment w:val="baseline"/>
      </w:pPr>
      <w:r>
        <w:rPr>
          <w:rFonts w:asciiTheme="majorBidi" w:eastAsia="Times New Roman" w:hAnsiTheme="majorBidi" w:cstheme="majorBidi"/>
          <w:noProof/>
          <w:sz w:val="24"/>
          <w:szCs w:val="24"/>
        </w:rPr>
        <w:lastRenderedPageBreak/>
        <w:drawing>
          <wp:inline distT="0" distB="0" distL="0" distR="0" wp14:anchorId="5D25C6D6" wp14:editId="0D49E3ED">
            <wp:extent cx="3280105" cy="2443277"/>
            <wp:effectExtent l="1905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srcRect/>
                    <a:stretch>
                      <a:fillRect/>
                    </a:stretch>
                  </pic:blipFill>
                  <pic:spPr bwMode="auto">
                    <a:xfrm>
                      <a:off x="0" y="0"/>
                      <a:ext cx="3281396" cy="2444239"/>
                    </a:xfrm>
                    <a:prstGeom prst="rect">
                      <a:avLst/>
                    </a:prstGeom>
                    <a:noFill/>
                    <a:ln w="9525">
                      <a:noFill/>
                      <a:miter lim="800000"/>
                      <a:headEnd/>
                      <a:tailEnd/>
                    </a:ln>
                  </pic:spPr>
                </pic:pic>
              </a:graphicData>
            </a:graphic>
          </wp:inline>
        </w:drawing>
      </w:r>
    </w:p>
    <w:p w14:paraId="2FADC2B6" w14:textId="77777777" w:rsidR="00EF12A9" w:rsidRPr="00310211" w:rsidRDefault="00EF12A9" w:rsidP="00D26741">
      <w:pPr>
        <w:pStyle w:val="Caption"/>
        <w:jc w:val="both"/>
        <w:rPr>
          <w:rFonts w:asciiTheme="majorBidi" w:eastAsia="Times New Roman" w:hAnsiTheme="majorBidi" w:cstheme="majorBidi"/>
          <w:b w:val="0"/>
          <w:bCs w:val="0"/>
          <w:color w:val="auto"/>
          <w:sz w:val="36"/>
          <w:szCs w:val="36"/>
        </w:rPr>
      </w:pPr>
      <w:r w:rsidRPr="00310211">
        <w:rPr>
          <w:rFonts w:asciiTheme="majorBidi" w:hAnsiTheme="majorBidi" w:cstheme="majorBidi"/>
          <w:b w:val="0"/>
          <w:bCs w:val="0"/>
          <w:color w:val="auto"/>
          <w:sz w:val="24"/>
          <w:szCs w:val="24"/>
        </w:rPr>
        <w:t xml:space="preserve">Figure </w:t>
      </w:r>
      <w:r w:rsidR="00A619B7" w:rsidRPr="00310211">
        <w:rPr>
          <w:rFonts w:asciiTheme="majorBidi" w:hAnsiTheme="majorBidi" w:cstheme="majorBidi"/>
          <w:b w:val="0"/>
          <w:bCs w:val="0"/>
          <w:color w:val="auto"/>
          <w:sz w:val="24"/>
          <w:szCs w:val="24"/>
        </w:rPr>
        <w:fldChar w:fldCharType="begin"/>
      </w:r>
      <w:r w:rsidR="00FD4511" w:rsidRPr="00310211">
        <w:rPr>
          <w:rFonts w:asciiTheme="majorBidi" w:hAnsiTheme="majorBidi" w:cstheme="majorBidi"/>
          <w:b w:val="0"/>
          <w:bCs w:val="0"/>
          <w:color w:val="auto"/>
          <w:sz w:val="24"/>
          <w:szCs w:val="24"/>
        </w:rPr>
        <w:instrText xml:space="preserve"> SEQ Figure \* ARABIC </w:instrText>
      </w:r>
      <w:r w:rsidR="00A619B7" w:rsidRPr="00310211">
        <w:rPr>
          <w:rFonts w:asciiTheme="majorBidi" w:hAnsiTheme="majorBidi" w:cstheme="majorBidi"/>
          <w:b w:val="0"/>
          <w:bCs w:val="0"/>
          <w:color w:val="auto"/>
          <w:sz w:val="24"/>
          <w:szCs w:val="24"/>
        </w:rPr>
        <w:fldChar w:fldCharType="separate"/>
      </w:r>
      <w:r w:rsidRPr="00310211">
        <w:rPr>
          <w:rFonts w:asciiTheme="majorBidi" w:hAnsiTheme="majorBidi" w:cstheme="majorBidi"/>
          <w:b w:val="0"/>
          <w:bCs w:val="0"/>
          <w:noProof/>
          <w:color w:val="auto"/>
          <w:sz w:val="24"/>
          <w:szCs w:val="24"/>
        </w:rPr>
        <w:t>6</w:t>
      </w:r>
      <w:r w:rsidR="00A619B7" w:rsidRPr="00310211">
        <w:rPr>
          <w:rFonts w:asciiTheme="majorBidi" w:hAnsiTheme="majorBidi" w:cstheme="majorBidi"/>
          <w:b w:val="0"/>
          <w:bCs w:val="0"/>
          <w:color w:val="auto"/>
          <w:sz w:val="24"/>
          <w:szCs w:val="24"/>
        </w:rPr>
        <w:fldChar w:fldCharType="end"/>
      </w:r>
      <w:r w:rsidR="00310211" w:rsidRPr="00310211">
        <w:rPr>
          <w:rFonts w:asciiTheme="majorBidi" w:hAnsiTheme="majorBidi" w:cstheme="majorBidi"/>
          <w:b w:val="0"/>
          <w:bCs w:val="0"/>
          <w:color w:val="auto"/>
          <w:sz w:val="24"/>
          <w:szCs w:val="24"/>
        </w:rPr>
        <w:t xml:space="preserve"> </w:t>
      </w:r>
      <w:r w:rsidR="00B852A8">
        <w:rPr>
          <w:rFonts w:asciiTheme="majorBidi" w:hAnsiTheme="majorBidi" w:cstheme="majorBidi"/>
          <w:b w:val="0"/>
          <w:bCs w:val="0"/>
          <w:color w:val="auto"/>
          <w:sz w:val="24"/>
          <w:szCs w:val="24"/>
        </w:rPr>
        <w:t>S</w:t>
      </w:r>
      <w:r w:rsidR="00310211" w:rsidRPr="00310211">
        <w:rPr>
          <w:rFonts w:asciiTheme="majorBidi" w:hAnsiTheme="majorBidi" w:cstheme="majorBidi"/>
          <w:b w:val="0"/>
          <w:bCs w:val="0"/>
          <w:color w:val="auto"/>
          <w:sz w:val="24"/>
          <w:szCs w:val="24"/>
        </w:rPr>
        <w:t>ociety and business</w:t>
      </w:r>
    </w:p>
    <w:p w14:paraId="38137E4F" w14:textId="77777777" w:rsidR="00515D02" w:rsidRPr="00515D02" w:rsidRDefault="00515D02" w:rsidP="00D26741">
      <w:pPr>
        <w:pStyle w:val="Heading2"/>
        <w:numPr>
          <w:ilvl w:val="1"/>
          <w:numId w:val="1"/>
        </w:numPr>
        <w:jc w:val="both"/>
      </w:pPr>
      <w:bookmarkStart w:id="20" w:name="_Toc145025774"/>
      <w:r w:rsidRPr="002F5929">
        <w:t>Technological Factors</w:t>
      </w:r>
      <w:bookmarkEnd w:id="20"/>
    </w:p>
    <w:p w14:paraId="5EE16D65" w14:textId="1C492C77" w:rsidR="00B82783" w:rsidRDefault="001B3170" w:rsidP="00D26741">
      <w:pPr>
        <w:shd w:val="clear" w:color="auto" w:fill="FFFFFF"/>
        <w:spacing w:after="480" w:line="360" w:lineRule="auto"/>
        <w:ind w:left="360"/>
        <w:jc w:val="both"/>
        <w:textAlignment w:val="baseline"/>
        <w:rPr>
          <w:rFonts w:asciiTheme="majorBidi" w:eastAsia="Times New Roman" w:hAnsiTheme="majorBidi" w:cstheme="majorBidi"/>
          <w:sz w:val="24"/>
          <w:szCs w:val="24"/>
        </w:rPr>
      </w:pPr>
      <w:r w:rsidRPr="001B3170">
        <w:rPr>
          <w:rFonts w:asciiTheme="majorBidi" w:eastAsia="Times New Roman" w:hAnsiTheme="majorBidi" w:cstheme="majorBidi"/>
          <w:sz w:val="24"/>
          <w:szCs w:val="24"/>
        </w:rPr>
        <w:t>Improvement is expedient disturbing different endeavors in all cases. The transportation business is a decent case to address this point. All through late years the business has been evolving quick, not in any case, giving an entryway to the spread-out players to acclimate to the changes. The taxi business is at present destroyed by players like Uber and Lyft. The vehicle business is fast toward robotization driven by advancement firms like Google and gathering is annoyed about Tesla, which has conveyed electronic vehicle turmoil</w:t>
      </w:r>
      <w:r w:rsidR="002F5929">
        <w:rPr>
          <w:rFonts w:asciiTheme="majorBidi" w:eastAsia="Times New Roman" w:hAnsiTheme="majorBidi" w:cstheme="majorBidi"/>
          <w:sz w:val="24"/>
          <w:szCs w:val="24"/>
        </w:rPr>
        <w:t>.</w:t>
      </w:r>
      <w:r w:rsidR="002F5929" w:rsidRPr="00DB1EE1">
        <w:rPr>
          <w:rFonts w:asciiTheme="majorBidi" w:eastAsia="Times New Roman" w:hAnsiTheme="majorBidi" w:cstheme="majorBidi"/>
          <w:sz w:val="24"/>
          <w:szCs w:val="24"/>
        </w:rPr>
        <w:br/>
      </w:r>
      <w:r w:rsidRPr="001B3170">
        <w:rPr>
          <w:rFonts w:asciiTheme="majorBidi" w:eastAsia="Times New Roman" w:hAnsiTheme="majorBidi" w:cstheme="majorBidi"/>
          <w:sz w:val="24"/>
          <w:szCs w:val="24"/>
        </w:rPr>
        <w:t>A firm shouldn't just do an imaginative evaluation of the business yet moreover the speed at which improvement upsets that industry. Slow speed will give additional time while quick speed of imaginative disrupting impact could give a firm brief period to change and be valuable</w:t>
      </w:r>
      <w:r w:rsidR="00CE2F94">
        <w:rPr>
          <w:rFonts w:asciiTheme="majorBidi" w:eastAsia="Times New Roman" w:hAnsiTheme="majorBidi" w:cstheme="majorBidi"/>
          <w:sz w:val="24"/>
          <w:szCs w:val="24"/>
        </w:rPr>
        <w:t xml:space="preserve"> </w:t>
      </w:r>
      <w:r w:rsidR="00CE2F94">
        <w:rPr>
          <w:rFonts w:asciiTheme="majorBidi" w:eastAsia="Times New Roman" w:hAnsiTheme="majorBidi" w:cstheme="majorBidi"/>
          <w:sz w:val="24"/>
          <w:szCs w:val="24"/>
        </w:rPr>
        <w:fldChar w:fldCharType="begin" w:fldLock="1"/>
      </w:r>
      <w:r w:rsidR="00CE2F94">
        <w:rPr>
          <w:rFonts w:asciiTheme="majorBidi" w:eastAsia="Times New Roman" w:hAnsiTheme="majorBidi" w:cstheme="majorBidi"/>
          <w:sz w:val="24"/>
          <w:szCs w:val="24"/>
        </w:rPr>
        <w:instrText>ADDIN CSL_CITATION {"citationItems":[{"id":"ITEM-1","itemData":{"DOI":"10.1080/19416520.2010.495525","ISSN":"1941-6520","author":[{"dropping-particle":"V","family":"Aguilera","given":"Ruth","non-dropping-particle":"","parse-names":false,"suffix":""},{"dropping-particle":"","family":"Jackson","given":"Gregory","non-dropping-particle":"","parse-names":false,"suffix":""}],"container-title":"The Academy of Management Annals","id":"ITEM-1","issue":"1","issued":{"date-parts":[["2010","1","1"]]},"note":"doi: 10.1080/19416520.2010.495525","page":"485-556","publisher":"Routledge","title":"Comparative and International Corporate Governance","type":"article-journal","volume":"4"},"uris":["http://www.mendeley.com/documents/?uuid=087111ef-d43a-4d5c-916f-3ae54d0403be"]}],"mendeley":{"formattedCitation":"[27]","plainTextFormattedCitation":"[27]","previouslyFormattedCitation":"[27]"},"properties":{"noteIndex":0},"schema":"https://github.com/citation-style-language/schema/raw/master/csl-citation.json"}</w:instrText>
      </w:r>
      <w:r w:rsidR="00CE2F94">
        <w:rPr>
          <w:rFonts w:asciiTheme="majorBidi" w:eastAsia="Times New Roman" w:hAnsiTheme="majorBidi" w:cstheme="majorBidi"/>
          <w:sz w:val="24"/>
          <w:szCs w:val="24"/>
        </w:rPr>
        <w:fldChar w:fldCharType="separate"/>
      </w:r>
      <w:r w:rsidR="00CE2F94">
        <w:rPr>
          <w:rFonts w:asciiTheme="majorBidi" w:eastAsia="Times New Roman" w:hAnsiTheme="majorBidi" w:cstheme="majorBidi"/>
          <w:noProof/>
          <w:sz w:val="24"/>
          <w:szCs w:val="24"/>
        </w:rPr>
        <w:t>(</w:t>
      </w:r>
      <w:r w:rsidR="00CE2F94" w:rsidRPr="00CE2F94">
        <w:rPr>
          <w:rFonts w:asciiTheme="majorBidi" w:hAnsiTheme="majorBidi" w:cstheme="majorBidi"/>
          <w:sz w:val="24"/>
          <w:szCs w:val="24"/>
        </w:rPr>
        <w:t>Aguilera</w:t>
      </w:r>
      <w:r w:rsidR="00CE2F94">
        <w:rPr>
          <w:rFonts w:asciiTheme="majorBidi" w:hAnsiTheme="majorBidi" w:cstheme="majorBidi"/>
          <w:sz w:val="24"/>
          <w:szCs w:val="24"/>
        </w:rPr>
        <w:t xml:space="preserve"> &amp; </w:t>
      </w:r>
      <w:r w:rsidR="00CE2F94" w:rsidRPr="00CE2F94">
        <w:rPr>
          <w:rFonts w:asciiTheme="majorBidi" w:hAnsiTheme="majorBidi" w:cstheme="majorBidi"/>
          <w:sz w:val="24"/>
          <w:szCs w:val="24"/>
        </w:rPr>
        <w:t>Jackson 2010</w:t>
      </w:r>
      <w:r w:rsidR="00CE2F94">
        <w:rPr>
          <w:rFonts w:asciiTheme="majorBidi" w:eastAsia="Times New Roman" w:hAnsiTheme="majorBidi" w:cstheme="majorBidi"/>
          <w:noProof/>
          <w:sz w:val="24"/>
          <w:szCs w:val="24"/>
        </w:rPr>
        <w:t>)</w:t>
      </w:r>
      <w:r w:rsidR="00CE2F94">
        <w:rPr>
          <w:rFonts w:asciiTheme="majorBidi" w:eastAsia="Times New Roman" w:hAnsiTheme="majorBidi" w:cstheme="majorBidi"/>
          <w:sz w:val="24"/>
          <w:szCs w:val="24"/>
        </w:rPr>
        <w:fldChar w:fldCharType="end"/>
      </w:r>
      <w:r w:rsidRPr="001B3170">
        <w:rPr>
          <w:rFonts w:asciiTheme="majorBidi" w:eastAsia="Times New Roman" w:hAnsiTheme="majorBidi" w:cstheme="majorBidi"/>
          <w:sz w:val="24"/>
          <w:szCs w:val="24"/>
        </w:rPr>
        <w:t>. Improvement appraisal consolidates figuring out the going with influences - Late imaginative overhauls by Intercontinental Lodgings Party Plc contenders</w:t>
      </w:r>
      <w:r w:rsidR="00CE2F94">
        <w:rPr>
          <w:rFonts w:asciiTheme="majorBidi" w:eastAsia="Times New Roman" w:hAnsiTheme="majorBidi" w:cstheme="majorBidi"/>
          <w:sz w:val="24"/>
          <w:szCs w:val="24"/>
        </w:rPr>
        <w:t>.</w:t>
      </w:r>
    </w:p>
    <w:p w14:paraId="092EAD96" w14:textId="77777777" w:rsidR="004D59DB" w:rsidRDefault="002F5929" w:rsidP="00D26741">
      <w:pPr>
        <w:keepNext/>
        <w:shd w:val="clear" w:color="auto" w:fill="FFFFFF"/>
        <w:spacing w:after="0" w:line="360" w:lineRule="auto"/>
        <w:jc w:val="both"/>
        <w:textAlignment w:val="baseline"/>
      </w:pPr>
      <w:r>
        <w:rPr>
          <w:noProof/>
        </w:rPr>
        <w:lastRenderedPageBreak/>
        <w:drawing>
          <wp:inline distT="0" distB="0" distL="0" distR="0" wp14:anchorId="66B9A8F4" wp14:editId="7B9378C5">
            <wp:extent cx="4988966" cy="2265328"/>
            <wp:effectExtent l="19050" t="0" r="2134" b="0"/>
            <wp:docPr id="19" name="Picture 18" descr="Impact of Digitalization on Hotel Industry Development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pact of Digitalization on Hotel Industry Development | SpringerLink"/>
                    <pic:cNvPicPr>
                      <a:picLocks noChangeAspect="1" noChangeArrowheads="1"/>
                    </pic:cNvPicPr>
                  </pic:nvPicPr>
                  <pic:blipFill>
                    <a:blip r:embed="rId16" cstate="print"/>
                    <a:srcRect/>
                    <a:stretch>
                      <a:fillRect/>
                    </a:stretch>
                  </pic:blipFill>
                  <pic:spPr bwMode="auto">
                    <a:xfrm>
                      <a:off x="0" y="0"/>
                      <a:ext cx="4989606" cy="2265618"/>
                    </a:xfrm>
                    <a:prstGeom prst="rect">
                      <a:avLst/>
                    </a:prstGeom>
                    <a:noFill/>
                    <a:ln w="9525">
                      <a:noFill/>
                      <a:miter lim="800000"/>
                      <a:headEnd/>
                      <a:tailEnd/>
                    </a:ln>
                  </pic:spPr>
                </pic:pic>
              </a:graphicData>
            </a:graphic>
          </wp:inline>
        </w:drawing>
      </w:r>
    </w:p>
    <w:p w14:paraId="5EC60A90" w14:textId="77777777" w:rsidR="002F5929" w:rsidRPr="00310211" w:rsidRDefault="004D59DB" w:rsidP="00D26741">
      <w:pPr>
        <w:pStyle w:val="Caption"/>
        <w:jc w:val="both"/>
        <w:rPr>
          <w:rFonts w:asciiTheme="majorBidi" w:eastAsia="Times New Roman" w:hAnsiTheme="majorBidi" w:cstheme="majorBidi"/>
          <w:b w:val="0"/>
          <w:bCs w:val="0"/>
          <w:color w:val="auto"/>
          <w:sz w:val="36"/>
          <w:szCs w:val="36"/>
        </w:rPr>
      </w:pPr>
      <w:r w:rsidRPr="00310211">
        <w:rPr>
          <w:rFonts w:asciiTheme="majorBidi" w:hAnsiTheme="majorBidi" w:cstheme="majorBidi"/>
          <w:b w:val="0"/>
          <w:bCs w:val="0"/>
          <w:color w:val="auto"/>
          <w:sz w:val="24"/>
          <w:szCs w:val="24"/>
        </w:rPr>
        <w:t xml:space="preserve">Figure </w:t>
      </w:r>
      <w:r w:rsidR="00A619B7" w:rsidRPr="00310211">
        <w:rPr>
          <w:rFonts w:asciiTheme="majorBidi" w:hAnsiTheme="majorBidi" w:cstheme="majorBidi"/>
          <w:b w:val="0"/>
          <w:bCs w:val="0"/>
          <w:color w:val="auto"/>
          <w:sz w:val="24"/>
          <w:szCs w:val="24"/>
        </w:rPr>
        <w:fldChar w:fldCharType="begin"/>
      </w:r>
      <w:r w:rsidR="00FD4511" w:rsidRPr="00310211">
        <w:rPr>
          <w:rFonts w:asciiTheme="majorBidi" w:hAnsiTheme="majorBidi" w:cstheme="majorBidi"/>
          <w:b w:val="0"/>
          <w:bCs w:val="0"/>
          <w:color w:val="auto"/>
          <w:sz w:val="24"/>
          <w:szCs w:val="24"/>
        </w:rPr>
        <w:instrText xml:space="preserve"> SEQ Figure \* ARABIC </w:instrText>
      </w:r>
      <w:r w:rsidR="00A619B7" w:rsidRPr="00310211">
        <w:rPr>
          <w:rFonts w:asciiTheme="majorBidi" w:hAnsiTheme="majorBidi" w:cstheme="majorBidi"/>
          <w:b w:val="0"/>
          <w:bCs w:val="0"/>
          <w:color w:val="auto"/>
          <w:sz w:val="24"/>
          <w:szCs w:val="24"/>
        </w:rPr>
        <w:fldChar w:fldCharType="separate"/>
      </w:r>
      <w:r w:rsidR="00EF12A9" w:rsidRPr="00310211">
        <w:rPr>
          <w:rFonts w:asciiTheme="majorBidi" w:hAnsiTheme="majorBidi" w:cstheme="majorBidi"/>
          <w:b w:val="0"/>
          <w:bCs w:val="0"/>
          <w:noProof/>
          <w:color w:val="auto"/>
          <w:sz w:val="24"/>
          <w:szCs w:val="24"/>
        </w:rPr>
        <w:t>8</w:t>
      </w:r>
      <w:r w:rsidR="00A619B7" w:rsidRPr="00310211">
        <w:rPr>
          <w:rFonts w:asciiTheme="majorBidi" w:hAnsiTheme="majorBidi" w:cstheme="majorBidi"/>
          <w:b w:val="0"/>
          <w:bCs w:val="0"/>
          <w:color w:val="auto"/>
          <w:sz w:val="24"/>
          <w:szCs w:val="24"/>
        </w:rPr>
        <w:fldChar w:fldCharType="end"/>
      </w:r>
      <w:r w:rsidR="00310211" w:rsidRPr="00310211">
        <w:rPr>
          <w:rFonts w:asciiTheme="majorBidi" w:hAnsiTheme="majorBidi" w:cstheme="majorBidi"/>
          <w:b w:val="0"/>
          <w:bCs w:val="0"/>
          <w:color w:val="auto"/>
          <w:sz w:val="24"/>
          <w:szCs w:val="24"/>
        </w:rPr>
        <w:t xml:space="preserve"> technology and hotel industry</w:t>
      </w:r>
    </w:p>
    <w:p w14:paraId="6E90238E" w14:textId="77777777" w:rsidR="002F5929" w:rsidRPr="002F5929" w:rsidRDefault="002F5929" w:rsidP="00D26741">
      <w:pPr>
        <w:pStyle w:val="Heading2"/>
        <w:numPr>
          <w:ilvl w:val="1"/>
          <w:numId w:val="1"/>
        </w:numPr>
        <w:jc w:val="both"/>
      </w:pPr>
      <w:bookmarkStart w:id="21" w:name="_Toc145025775"/>
      <w:r w:rsidRPr="002F5929">
        <w:t>Environmental Factors</w:t>
      </w:r>
      <w:bookmarkEnd w:id="21"/>
    </w:p>
    <w:p w14:paraId="2AB0F859" w14:textId="1524A0BD" w:rsidR="002F5929" w:rsidRPr="00DB1EE1" w:rsidRDefault="005E541A" w:rsidP="00D26741">
      <w:pPr>
        <w:shd w:val="clear" w:color="auto" w:fill="FFFFFF"/>
        <w:spacing w:after="480" w:line="360" w:lineRule="auto"/>
        <w:jc w:val="both"/>
        <w:textAlignment w:val="baseline"/>
        <w:rPr>
          <w:rFonts w:asciiTheme="majorBidi" w:eastAsia="Times New Roman" w:hAnsiTheme="majorBidi" w:cstheme="majorBidi"/>
          <w:sz w:val="24"/>
          <w:szCs w:val="24"/>
        </w:rPr>
      </w:pPr>
      <w:r w:rsidRPr="005E541A">
        <w:rPr>
          <w:rFonts w:asciiTheme="majorBidi" w:eastAsia="Times New Roman" w:hAnsiTheme="majorBidi" w:cstheme="majorBidi"/>
          <w:sz w:val="24"/>
          <w:szCs w:val="24"/>
        </w:rPr>
        <w:t xml:space="preserve">Different business areas have different principles or normal rules which can influence the advantage of a relationship in those business areas. For sure, even inside a country often states can have different environmental guidelines and commitment guidelines. For example in </w:t>
      </w:r>
      <w:r w:rsidR="00B852A8">
        <w:rPr>
          <w:rFonts w:asciiTheme="majorBidi" w:eastAsia="Times New Roman" w:hAnsiTheme="majorBidi" w:cstheme="majorBidi"/>
          <w:sz w:val="24"/>
          <w:szCs w:val="24"/>
        </w:rPr>
        <w:t xml:space="preserve">the </w:t>
      </w:r>
      <w:r w:rsidRPr="005E541A">
        <w:rPr>
          <w:rFonts w:asciiTheme="majorBidi" w:eastAsia="Times New Roman" w:hAnsiTheme="majorBidi" w:cstheme="majorBidi"/>
          <w:sz w:val="24"/>
          <w:szCs w:val="24"/>
        </w:rPr>
        <w:t>US - Texas and Florida have different obligation arrangements assuming that there ought to emerge an event of mishaps or environmental disaster. Correspondingly a lot of European countries give strong expense decreases to associations that work in the supportable region</w:t>
      </w:r>
      <w:r w:rsidR="00A619B7">
        <w:rPr>
          <w:rFonts w:asciiTheme="majorBidi" w:eastAsia="Times New Roman" w:hAnsiTheme="majorBidi" w:cstheme="majorBidi"/>
          <w:sz w:val="24"/>
          <w:szCs w:val="24"/>
        </w:rPr>
        <w:fldChar w:fldCharType="begin" w:fldLock="1"/>
      </w:r>
      <w:r w:rsidR="00EF12A9">
        <w:rPr>
          <w:rFonts w:asciiTheme="majorBidi" w:eastAsia="Times New Roman" w:hAnsiTheme="majorBidi" w:cstheme="majorBidi"/>
          <w:sz w:val="24"/>
          <w:szCs w:val="24"/>
        </w:rPr>
        <w:instrText>ADDIN CSL_CITATION {"citationItems":[{"id":"ITEM-1","itemData":{"DOI":"10.1080/05775132.2005.11034302","author":[{"dropping-particle":"","family":"Jacoby","given":"Sanford","non-dropping-particle":"","parse-names":false,"suffix":""}],"container-title":"Challenge","id":"ITEM-1","issue":"4","issued":{"date-parts":[["2005"]]},"page":"69-87","publisher":"Routledge","title":"Corporate Governance and Society","type":"article-journal","volume":"48"},"uris":["http://www.mendeley.com/documents/?uuid=67d9cf1d-343e-4168-abc1-680c4143e005"]}],"mendeley":{"formattedCitation":"[28]","plainTextFormattedCitation":"[28]"},"properties":{"noteIndex":0},"schema":"https://github.com/citation-style-language/schema/raw/master/csl-citation.json"}</w:instrText>
      </w:r>
      <w:r w:rsidR="00A619B7">
        <w:rPr>
          <w:rFonts w:asciiTheme="majorBidi" w:eastAsia="Times New Roman" w:hAnsiTheme="majorBidi" w:cstheme="majorBidi"/>
          <w:sz w:val="24"/>
          <w:szCs w:val="24"/>
        </w:rPr>
        <w:fldChar w:fldCharType="separate"/>
      </w:r>
      <w:r w:rsidR="00CE2F94">
        <w:rPr>
          <w:rFonts w:asciiTheme="majorBidi" w:eastAsia="Times New Roman" w:hAnsiTheme="majorBidi" w:cstheme="majorBidi"/>
          <w:noProof/>
          <w:sz w:val="24"/>
          <w:szCs w:val="24"/>
        </w:rPr>
        <w:t xml:space="preserve"> (</w:t>
      </w:r>
      <w:r w:rsidR="00CE2F94" w:rsidRPr="00CE2F94">
        <w:rPr>
          <w:rFonts w:ascii="Times New Roman" w:hAnsi="Times New Roman" w:cs="Times New Roman"/>
          <w:noProof/>
          <w:sz w:val="24"/>
          <w:szCs w:val="24"/>
        </w:rPr>
        <w:t>Jacoby 2005</w:t>
      </w:r>
      <w:r w:rsidR="00CE2F94">
        <w:rPr>
          <w:rFonts w:ascii="Times New Roman" w:hAnsi="Times New Roman" w:cs="Times New Roman"/>
          <w:noProof/>
          <w:sz w:val="24"/>
          <w:szCs w:val="24"/>
        </w:rPr>
        <w:t>, p.69</w:t>
      </w:r>
      <w:r w:rsidR="00CE2F94">
        <w:rPr>
          <w:rFonts w:asciiTheme="majorBidi" w:eastAsia="Times New Roman" w:hAnsiTheme="majorBidi" w:cstheme="majorBidi"/>
          <w:noProof/>
          <w:sz w:val="24"/>
          <w:szCs w:val="24"/>
        </w:rPr>
        <w:t>)</w:t>
      </w:r>
      <w:r w:rsidR="00A619B7">
        <w:rPr>
          <w:rFonts w:asciiTheme="majorBidi" w:eastAsia="Times New Roman" w:hAnsiTheme="majorBidi" w:cstheme="majorBidi"/>
          <w:sz w:val="24"/>
          <w:szCs w:val="24"/>
        </w:rPr>
        <w:fldChar w:fldCharType="end"/>
      </w:r>
      <w:r w:rsidR="001B65BD">
        <w:rPr>
          <w:rFonts w:asciiTheme="majorBidi" w:eastAsia="Times New Roman" w:hAnsiTheme="majorBidi" w:cstheme="majorBidi"/>
          <w:sz w:val="24"/>
          <w:szCs w:val="24"/>
        </w:rPr>
        <w:t xml:space="preserve">. </w:t>
      </w:r>
      <w:r w:rsidRPr="005E541A">
        <w:rPr>
          <w:rFonts w:asciiTheme="majorBidi" w:eastAsia="Times New Roman" w:hAnsiTheme="majorBidi" w:cstheme="majorBidi"/>
          <w:sz w:val="24"/>
          <w:szCs w:val="24"/>
        </w:rPr>
        <w:t xml:space="preserve">Before entering new business areas or starting one more business in </w:t>
      </w:r>
      <w:r w:rsidR="00B852A8">
        <w:rPr>
          <w:rFonts w:asciiTheme="majorBidi" w:eastAsia="Times New Roman" w:hAnsiTheme="majorBidi" w:cstheme="majorBidi"/>
          <w:sz w:val="24"/>
          <w:szCs w:val="24"/>
        </w:rPr>
        <w:t xml:space="preserve">an </w:t>
      </w:r>
      <w:r w:rsidRPr="005E541A">
        <w:rPr>
          <w:rFonts w:asciiTheme="majorBidi" w:eastAsia="Times New Roman" w:hAnsiTheme="majorBidi" w:cstheme="majorBidi"/>
          <w:sz w:val="24"/>
          <w:szCs w:val="24"/>
        </w:rPr>
        <w:t xml:space="preserve">existing business area the firm should meticulously survey the biological rules that are supposed to work in those business areas. </w:t>
      </w:r>
      <w:r w:rsidR="00B852A8">
        <w:rPr>
          <w:rFonts w:asciiTheme="majorBidi" w:eastAsia="Times New Roman" w:hAnsiTheme="majorBidi" w:cstheme="majorBidi"/>
          <w:sz w:val="24"/>
          <w:szCs w:val="24"/>
        </w:rPr>
        <w:t>P</w:t>
      </w:r>
      <w:r w:rsidRPr="005E541A">
        <w:rPr>
          <w:rFonts w:asciiTheme="majorBidi" w:eastAsia="Times New Roman" w:hAnsiTheme="majorBidi" w:cstheme="majorBidi"/>
          <w:sz w:val="24"/>
          <w:szCs w:val="24"/>
        </w:rPr>
        <w:t xml:space="preserve">iece of the environmental factors that a firm should </w:t>
      </w:r>
      <w:r>
        <w:rPr>
          <w:rFonts w:asciiTheme="majorBidi" w:eastAsia="Times New Roman" w:hAnsiTheme="majorBidi" w:cstheme="majorBidi"/>
          <w:sz w:val="24"/>
          <w:szCs w:val="24"/>
        </w:rPr>
        <w:t xml:space="preserve">consider quite a bit early </w:t>
      </w:r>
      <w:r w:rsidR="00B852A8">
        <w:rPr>
          <w:rFonts w:asciiTheme="majorBidi" w:eastAsia="Times New Roman" w:hAnsiTheme="majorBidi" w:cstheme="majorBidi"/>
          <w:sz w:val="24"/>
          <w:szCs w:val="24"/>
        </w:rPr>
        <w:t>is</w:t>
      </w:r>
      <w:r>
        <w:rPr>
          <w:rFonts w:asciiTheme="majorBidi" w:eastAsia="Times New Roman" w:hAnsiTheme="majorBidi" w:cstheme="majorBidi"/>
          <w:sz w:val="24"/>
          <w:szCs w:val="24"/>
        </w:rPr>
        <w:t xml:space="preserve"> </w:t>
      </w:r>
      <w:r w:rsidR="002F5929" w:rsidRPr="00DB1EE1">
        <w:rPr>
          <w:rFonts w:asciiTheme="majorBidi" w:eastAsia="Times New Roman" w:hAnsiTheme="majorBidi" w:cstheme="majorBidi"/>
          <w:sz w:val="24"/>
          <w:szCs w:val="24"/>
        </w:rPr>
        <w:t>-</w:t>
      </w:r>
    </w:p>
    <w:p w14:paraId="62342840" w14:textId="77777777" w:rsidR="004D59DB" w:rsidRDefault="002F5929" w:rsidP="00D26741">
      <w:pPr>
        <w:keepNext/>
        <w:shd w:val="clear" w:color="auto" w:fill="FFFFFF"/>
        <w:spacing w:after="0" w:line="360" w:lineRule="auto"/>
        <w:jc w:val="both"/>
        <w:textAlignment w:val="baseline"/>
      </w:pPr>
      <w:r>
        <w:rPr>
          <w:noProof/>
        </w:rPr>
        <w:drawing>
          <wp:inline distT="0" distB="0" distL="0" distR="0" wp14:anchorId="638D1F7D" wp14:editId="37FDFD6A">
            <wp:extent cx="4572000" cy="2043109"/>
            <wp:effectExtent l="19050" t="0" r="0" b="0"/>
            <wp:docPr id="20" name="Picture 21" descr="Hospitality in an increasingly inhospitable world - Technology and  Operation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ospitality in an increasingly inhospitable world - Technology and  Operations Management"/>
                    <pic:cNvPicPr>
                      <a:picLocks noChangeAspect="1" noChangeArrowheads="1"/>
                    </pic:cNvPicPr>
                  </pic:nvPicPr>
                  <pic:blipFill>
                    <a:blip r:embed="rId17" cstate="print"/>
                    <a:srcRect b="6923"/>
                    <a:stretch>
                      <a:fillRect/>
                    </a:stretch>
                  </pic:blipFill>
                  <pic:spPr bwMode="auto">
                    <a:xfrm>
                      <a:off x="0" y="0"/>
                      <a:ext cx="4572000" cy="2043109"/>
                    </a:xfrm>
                    <a:prstGeom prst="rect">
                      <a:avLst/>
                    </a:prstGeom>
                    <a:noFill/>
                    <a:ln w="9525">
                      <a:noFill/>
                      <a:miter lim="800000"/>
                      <a:headEnd/>
                      <a:tailEnd/>
                    </a:ln>
                  </pic:spPr>
                </pic:pic>
              </a:graphicData>
            </a:graphic>
          </wp:inline>
        </w:drawing>
      </w:r>
    </w:p>
    <w:p w14:paraId="05F908C1" w14:textId="77777777" w:rsidR="002F5929" w:rsidRPr="00310211" w:rsidRDefault="004D59DB" w:rsidP="00D26741">
      <w:pPr>
        <w:pStyle w:val="Caption"/>
        <w:jc w:val="both"/>
        <w:rPr>
          <w:rFonts w:asciiTheme="majorBidi" w:eastAsia="Times New Roman" w:hAnsiTheme="majorBidi" w:cstheme="majorBidi"/>
          <w:b w:val="0"/>
          <w:bCs w:val="0"/>
          <w:color w:val="auto"/>
          <w:sz w:val="36"/>
          <w:szCs w:val="36"/>
        </w:rPr>
      </w:pPr>
      <w:r w:rsidRPr="00310211">
        <w:rPr>
          <w:rFonts w:asciiTheme="majorBidi" w:hAnsiTheme="majorBidi" w:cstheme="majorBidi"/>
          <w:b w:val="0"/>
          <w:bCs w:val="0"/>
          <w:color w:val="auto"/>
          <w:sz w:val="24"/>
          <w:szCs w:val="24"/>
        </w:rPr>
        <w:t xml:space="preserve">Figure </w:t>
      </w:r>
      <w:r w:rsidR="00A619B7" w:rsidRPr="00310211">
        <w:rPr>
          <w:rFonts w:asciiTheme="majorBidi" w:hAnsiTheme="majorBidi" w:cstheme="majorBidi"/>
          <w:b w:val="0"/>
          <w:bCs w:val="0"/>
          <w:color w:val="auto"/>
          <w:sz w:val="24"/>
          <w:szCs w:val="24"/>
        </w:rPr>
        <w:fldChar w:fldCharType="begin"/>
      </w:r>
      <w:r w:rsidR="00FD4511" w:rsidRPr="00310211">
        <w:rPr>
          <w:rFonts w:asciiTheme="majorBidi" w:hAnsiTheme="majorBidi" w:cstheme="majorBidi"/>
          <w:b w:val="0"/>
          <w:bCs w:val="0"/>
          <w:color w:val="auto"/>
          <w:sz w:val="24"/>
          <w:szCs w:val="24"/>
        </w:rPr>
        <w:instrText xml:space="preserve"> SEQ Figure \* ARABIC </w:instrText>
      </w:r>
      <w:r w:rsidR="00A619B7" w:rsidRPr="00310211">
        <w:rPr>
          <w:rFonts w:asciiTheme="majorBidi" w:hAnsiTheme="majorBidi" w:cstheme="majorBidi"/>
          <w:b w:val="0"/>
          <w:bCs w:val="0"/>
          <w:color w:val="auto"/>
          <w:sz w:val="24"/>
          <w:szCs w:val="24"/>
        </w:rPr>
        <w:fldChar w:fldCharType="separate"/>
      </w:r>
      <w:r w:rsidR="00EF12A9" w:rsidRPr="00310211">
        <w:rPr>
          <w:rFonts w:asciiTheme="majorBidi" w:hAnsiTheme="majorBidi" w:cstheme="majorBidi"/>
          <w:b w:val="0"/>
          <w:bCs w:val="0"/>
          <w:noProof/>
          <w:color w:val="auto"/>
          <w:sz w:val="24"/>
          <w:szCs w:val="24"/>
        </w:rPr>
        <w:t>9</w:t>
      </w:r>
      <w:r w:rsidR="00A619B7" w:rsidRPr="00310211">
        <w:rPr>
          <w:rFonts w:asciiTheme="majorBidi" w:hAnsiTheme="majorBidi" w:cstheme="majorBidi"/>
          <w:b w:val="0"/>
          <w:bCs w:val="0"/>
          <w:color w:val="auto"/>
          <w:sz w:val="24"/>
          <w:szCs w:val="24"/>
        </w:rPr>
        <w:fldChar w:fldCharType="end"/>
      </w:r>
      <w:r w:rsidR="00310211" w:rsidRPr="00310211">
        <w:rPr>
          <w:rFonts w:asciiTheme="majorBidi" w:hAnsiTheme="majorBidi" w:cstheme="majorBidi"/>
          <w:b w:val="0"/>
          <w:bCs w:val="0"/>
          <w:color w:val="auto"/>
          <w:sz w:val="24"/>
          <w:szCs w:val="24"/>
        </w:rPr>
        <w:t xml:space="preserve"> environmental effects on business</w:t>
      </w:r>
    </w:p>
    <w:p w14:paraId="3DD17E00" w14:textId="77777777" w:rsidR="002F5929" w:rsidRPr="002F5929" w:rsidRDefault="002F5929" w:rsidP="00D26741">
      <w:pPr>
        <w:pStyle w:val="Heading2"/>
        <w:numPr>
          <w:ilvl w:val="1"/>
          <w:numId w:val="1"/>
        </w:numPr>
        <w:jc w:val="both"/>
      </w:pPr>
      <w:bookmarkStart w:id="22" w:name="_Toc145025776"/>
      <w:r w:rsidRPr="002F5929">
        <w:lastRenderedPageBreak/>
        <w:t>Legal Factors</w:t>
      </w:r>
      <w:bookmarkEnd w:id="22"/>
    </w:p>
    <w:p w14:paraId="28DB8E15" w14:textId="77777777" w:rsidR="001B0880" w:rsidRDefault="001B0880" w:rsidP="00D26741">
      <w:pPr>
        <w:pStyle w:val="Caption"/>
        <w:keepNext/>
        <w:spacing w:line="360" w:lineRule="auto"/>
        <w:jc w:val="both"/>
        <w:rPr>
          <w:rFonts w:asciiTheme="majorBidi" w:eastAsia="Times New Roman" w:hAnsiTheme="majorBidi" w:cstheme="majorBidi"/>
          <w:b w:val="0"/>
          <w:bCs w:val="0"/>
          <w:color w:val="auto"/>
          <w:sz w:val="24"/>
          <w:szCs w:val="24"/>
        </w:rPr>
      </w:pPr>
      <w:r w:rsidRPr="001B0880">
        <w:rPr>
          <w:rFonts w:asciiTheme="majorBidi" w:eastAsia="Times New Roman" w:hAnsiTheme="majorBidi" w:cstheme="majorBidi"/>
          <w:b w:val="0"/>
          <w:bCs w:val="0"/>
          <w:color w:val="auto"/>
          <w:sz w:val="24"/>
          <w:szCs w:val="24"/>
        </w:rPr>
        <w:t>In certain nations, the lawful system and foundations are not solid areas for enough protecting the defended progression chances of a connection. A firm ought to painstakingly overview prior to entering such business regions as it can incite burglary of connection's mystery fixing in this way the in ordinary key position. A piece of the genuine parts that Intercontinental Inns Get-together Plc drive ought to consider while entering another market is</w:t>
      </w:r>
    </w:p>
    <w:p w14:paraId="09E68B6E" w14:textId="77777777" w:rsidR="002F5929" w:rsidRDefault="002F5929" w:rsidP="00D26741">
      <w:pPr>
        <w:pStyle w:val="Caption"/>
        <w:keepNext/>
        <w:jc w:val="both"/>
        <w:rPr>
          <w:rFonts w:asciiTheme="majorBidi" w:eastAsia="Times New Roman" w:hAnsiTheme="majorBidi" w:cstheme="majorBidi"/>
          <w:i/>
          <w:iCs/>
          <w:color w:val="auto"/>
          <w:sz w:val="24"/>
          <w:szCs w:val="24"/>
        </w:rPr>
      </w:pPr>
      <w:r w:rsidRPr="002F5929">
        <w:rPr>
          <w:rFonts w:asciiTheme="majorBidi" w:hAnsiTheme="majorBidi" w:cstheme="majorBidi"/>
          <w:color w:val="auto"/>
          <w:sz w:val="24"/>
          <w:szCs w:val="24"/>
        </w:rPr>
        <w:t xml:space="preserve">Table </w:t>
      </w:r>
      <w:r w:rsidR="00A619B7" w:rsidRPr="002F5929">
        <w:rPr>
          <w:rFonts w:asciiTheme="majorBidi" w:hAnsiTheme="majorBidi" w:cstheme="majorBidi"/>
          <w:color w:val="auto"/>
          <w:sz w:val="24"/>
          <w:szCs w:val="24"/>
        </w:rPr>
        <w:fldChar w:fldCharType="begin"/>
      </w:r>
      <w:r w:rsidRPr="002F5929">
        <w:rPr>
          <w:rFonts w:asciiTheme="majorBidi" w:hAnsiTheme="majorBidi" w:cstheme="majorBidi"/>
          <w:color w:val="auto"/>
          <w:sz w:val="24"/>
          <w:szCs w:val="24"/>
        </w:rPr>
        <w:instrText xml:space="preserve"> SEQ Table \* ARABIC </w:instrText>
      </w:r>
      <w:r w:rsidR="00A619B7" w:rsidRPr="002F5929">
        <w:rPr>
          <w:rFonts w:asciiTheme="majorBidi" w:hAnsiTheme="majorBidi" w:cstheme="majorBidi"/>
          <w:color w:val="auto"/>
          <w:sz w:val="24"/>
          <w:szCs w:val="24"/>
        </w:rPr>
        <w:fldChar w:fldCharType="separate"/>
      </w:r>
      <w:r w:rsidR="0088516C">
        <w:rPr>
          <w:rFonts w:asciiTheme="majorBidi" w:hAnsiTheme="majorBidi" w:cstheme="majorBidi"/>
          <w:noProof/>
          <w:color w:val="auto"/>
          <w:sz w:val="24"/>
          <w:szCs w:val="24"/>
        </w:rPr>
        <w:t>1</w:t>
      </w:r>
      <w:r w:rsidR="00A619B7" w:rsidRPr="002F5929">
        <w:rPr>
          <w:rFonts w:asciiTheme="majorBidi" w:hAnsiTheme="majorBidi" w:cstheme="majorBidi"/>
          <w:color w:val="auto"/>
          <w:sz w:val="24"/>
          <w:szCs w:val="24"/>
        </w:rPr>
        <w:fldChar w:fldCharType="end"/>
      </w:r>
      <w:r w:rsidRPr="002F5929">
        <w:rPr>
          <w:rFonts w:asciiTheme="majorBidi" w:hAnsiTheme="majorBidi" w:cstheme="majorBidi"/>
          <w:color w:val="auto"/>
          <w:sz w:val="24"/>
          <w:szCs w:val="24"/>
        </w:rPr>
        <w:t xml:space="preserve"> </w:t>
      </w:r>
      <w:r w:rsidRPr="002F5929">
        <w:rPr>
          <w:rFonts w:asciiTheme="majorBidi" w:eastAsia="Times New Roman" w:hAnsiTheme="majorBidi" w:cstheme="majorBidi"/>
          <w:i/>
          <w:iCs/>
          <w:color w:val="auto"/>
          <w:sz w:val="24"/>
          <w:szCs w:val="24"/>
        </w:rPr>
        <w:t>PESTEL analysis</w:t>
      </w:r>
    </w:p>
    <w:p w14:paraId="6C7FBF98" w14:textId="77777777" w:rsidR="001B65BD" w:rsidRPr="001B65BD" w:rsidRDefault="003D6017" w:rsidP="00D26741">
      <w:pPr>
        <w:jc w:val="both"/>
      </w:pPr>
      <w:r>
        <w:rPr>
          <w:noProof/>
        </w:rPr>
        <w:drawing>
          <wp:inline distT="0" distB="0" distL="0" distR="0" wp14:anchorId="25EFA0C7" wp14:editId="74F7C0E4">
            <wp:extent cx="5974080" cy="4815840"/>
            <wp:effectExtent l="19050" t="0" r="7620" b="0"/>
            <wp:docPr id="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srcRect/>
                    <a:stretch>
                      <a:fillRect/>
                    </a:stretch>
                  </pic:blipFill>
                  <pic:spPr bwMode="auto">
                    <a:xfrm>
                      <a:off x="0" y="0"/>
                      <a:ext cx="5974080" cy="4815840"/>
                    </a:xfrm>
                    <a:prstGeom prst="rect">
                      <a:avLst/>
                    </a:prstGeom>
                    <a:noFill/>
                  </pic:spPr>
                </pic:pic>
              </a:graphicData>
            </a:graphic>
          </wp:inline>
        </w:drawing>
      </w:r>
    </w:p>
    <w:p w14:paraId="7BE612BE" w14:textId="77777777" w:rsidR="0082093D" w:rsidRPr="00310211" w:rsidRDefault="0082093D" w:rsidP="00D26741">
      <w:pPr>
        <w:pStyle w:val="Heading1"/>
        <w:numPr>
          <w:ilvl w:val="0"/>
          <w:numId w:val="1"/>
        </w:numPr>
        <w:jc w:val="both"/>
        <w:rPr>
          <w:color w:val="auto"/>
        </w:rPr>
      </w:pPr>
      <w:bookmarkStart w:id="23" w:name="_Toc145025777"/>
      <w:r w:rsidRPr="00310211">
        <w:rPr>
          <w:color w:val="auto"/>
        </w:rPr>
        <w:t>Porter’s five forces</w:t>
      </w:r>
      <w:bookmarkEnd w:id="23"/>
    </w:p>
    <w:p w14:paraId="4469EBD9" w14:textId="77777777" w:rsidR="00B852A8" w:rsidRPr="0088516C" w:rsidRDefault="00B852A8" w:rsidP="00D26741">
      <w:pPr>
        <w:pStyle w:val="NormalWeb"/>
        <w:shd w:val="clear" w:color="auto" w:fill="FFFFFF"/>
        <w:spacing w:before="0" w:beforeAutospacing="0" w:line="360" w:lineRule="auto"/>
        <w:jc w:val="both"/>
        <w:rPr>
          <w:rFonts w:asciiTheme="majorBidi" w:hAnsiTheme="majorBidi" w:cstheme="majorBidi"/>
          <w:color w:val="1F2024"/>
        </w:rPr>
      </w:pPr>
      <w:r>
        <w:rPr>
          <w:rFonts w:asciiTheme="majorBidi" w:hAnsiTheme="majorBidi" w:cstheme="majorBidi"/>
          <w:color w:val="1F2024"/>
        </w:rPr>
        <w:t>According</w:t>
      </w:r>
      <w:r w:rsidR="00FC7624" w:rsidRPr="00FC7624">
        <w:rPr>
          <w:rFonts w:asciiTheme="majorBidi" w:hAnsiTheme="majorBidi" w:cstheme="majorBidi"/>
          <w:color w:val="1F2024"/>
        </w:rPr>
        <w:t xml:space="preserve"> to the structure</w:t>
      </w:r>
      <w:r>
        <w:rPr>
          <w:rFonts w:asciiTheme="majorBidi" w:hAnsiTheme="majorBidi" w:cstheme="majorBidi"/>
          <w:color w:val="1F2024"/>
        </w:rPr>
        <w:t>,</w:t>
      </w:r>
      <w:r w:rsidR="00FC7624" w:rsidRPr="00FC7624">
        <w:rPr>
          <w:rFonts w:asciiTheme="majorBidi" w:hAnsiTheme="majorBidi" w:cstheme="majorBidi"/>
          <w:color w:val="1F2024"/>
        </w:rPr>
        <w:t xml:space="preserve"> there is greater competitive competition in the industry, as mentioned in </w:t>
      </w:r>
      <w:r>
        <w:rPr>
          <w:rFonts w:asciiTheme="majorBidi" w:hAnsiTheme="majorBidi" w:cstheme="majorBidi"/>
          <w:color w:val="1F2024"/>
        </w:rPr>
        <w:t>A</w:t>
      </w:r>
      <w:r w:rsidR="00FC7624" w:rsidRPr="00FC7624">
        <w:rPr>
          <w:rFonts w:asciiTheme="majorBidi" w:hAnsiTheme="majorBidi" w:cstheme="majorBidi"/>
          <w:color w:val="1F2024"/>
        </w:rPr>
        <w:t xml:space="preserve">ppendix 2. The heightened competitive competition is exacerbated by a large number of </w:t>
      </w:r>
      <w:r w:rsidR="00FC7624" w:rsidRPr="00FC7624">
        <w:rPr>
          <w:rFonts w:asciiTheme="majorBidi" w:hAnsiTheme="majorBidi" w:cstheme="majorBidi"/>
          <w:color w:val="1F2024"/>
        </w:rPr>
        <w:lastRenderedPageBreak/>
        <w:t>competitors, less client loyalty, and a high cost of living. However, the firm outperforms its competitors by leveraging its market strategic position along with other competencies. Furthermore, greater financial and managerial capabilities, as well as increased infrastructure development, have put the firm in a better position in the face of rising industry entry costs. Furthermore, the capabilities have positioned the firm in an advantageous spot to cou</w:t>
      </w:r>
      <w:r w:rsidR="00FC7624">
        <w:rPr>
          <w:rFonts w:asciiTheme="majorBidi" w:hAnsiTheme="majorBidi" w:cstheme="majorBidi"/>
          <w:color w:val="1F2024"/>
        </w:rPr>
        <w:t>nteract growing entry obstacles</w:t>
      </w:r>
      <w:r w:rsidR="0082093D" w:rsidRPr="0088516C">
        <w:rPr>
          <w:rFonts w:asciiTheme="majorBidi" w:hAnsiTheme="majorBidi" w:cstheme="majorBidi"/>
          <w:color w:val="1F2024"/>
        </w:rPr>
        <w:t>.</w:t>
      </w:r>
    </w:p>
    <w:p w14:paraId="2E89C22B" w14:textId="77777777" w:rsidR="002F5929" w:rsidRDefault="002F5929" w:rsidP="00D26741">
      <w:pPr>
        <w:autoSpaceDE w:val="0"/>
        <w:autoSpaceDN w:val="0"/>
        <w:adjustRightInd w:val="0"/>
        <w:spacing w:after="0" w:line="360" w:lineRule="auto"/>
        <w:jc w:val="both"/>
        <w:rPr>
          <w:rStyle w:val="Emphasis"/>
          <w:rFonts w:asciiTheme="majorBidi" w:hAnsiTheme="majorBidi" w:cstheme="majorBidi"/>
          <w:b/>
          <w:bCs/>
          <w:sz w:val="24"/>
          <w:szCs w:val="24"/>
          <w:shd w:val="clear" w:color="auto" w:fill="FFFFFF"/>
        </w:rPr>
      </w:pPr>
      <w:r w:rsidRPr="002F5929">
        <w:rPr>
          <w:rFonts w:asciiTheme="majorBidi" w:hAnsiTheme="majorBidi" w:cstheme="majorBidi"/>
          <w:b/>
          <w:bCs/>
          <w:sz w:val="24"/>
          <w:szCs w:val="24"/>
        </w:rPr>
        <w:t xml:space="preserve">Table </w:t>
      </w:r>
      <w:r w:rsidR="00A619B7" w:rsidRPr="002F5929">
        <w:rPr>
          <w:rFonts w:asciiTheme="majorBidi" w:hAnsiTheme="majorBidi" w:cstheme="majorBidi"/>
          <w:b/>
          <w:bCs/>
          <w:sz w:val="24"/>
          <w:szCs w:val="24"/>
        </w:rPr>
        <w:fldChar w:fldCharType="begin"/>
      </w:r>
      <w:r w:rsidRPr="002F5929">
        <w:rPr>
          <w:rFonts w:asciiTheme="majorBidi" w:hAnsiTheme="majorBidi" w:cstheme="majorBidi"/>
          <w:b/>
          <w:bCs/>
          <w:sz w:val="24"/>
          <w:szCs w:val="24"/>
        </w:rPr>
        <w:instrText xml:space="preserve"> SEQ Table \* ARABIC </w:instrText>
      </w:r>
      <w:r w:rsidR="00A619B7" w:rsidRPr="002F5929">
        <w:rPr>
          <w:rFonts w:asciiTheme="majorBidi" w:hAnsiTheme="majorBidi" w:cstheme="majorBidi"/>
          <w:b/>
          <w:bCs/>
          <w:sz w:val="24"/>
          <w:szCs w:val="24"/>
        </w:rPr>
        <w:fldChar w:fldCharType="separate"/>
      </w:r>
      <w:r w:rsidR="0088516C">
        <w:rPr>
          <w:rFonts w:asciiTheme="majorBidi" w:hAnsiTheme="majorBidi" w:cstheme="majorBidi"/>
          <w:b/>
          <w:bCs/>
          <w:noProof/>
          <w:sz w:val="24"/>
          <w:szCs w:val="24"/>
        </w:rPr>
        <w:t>2</w:t>
      </w:r>
      <w:r w:rsidR="00A619B7" w:rsidRPr="002F5929">
        <w:rPr>
          <w:rFonts w:asciiTheme="majorBidi" w:hAnsiTheme="majorBidi" w:cstheme="majorBidi"/>
          <w:b/>
          <w:bCs/>
          <w:sz w:val="24"/>
          <w:szCs w:val="24"/>
        </w:rPr>
        <w:fldChar w:fldCharType="end"/>
      </w:r>
      <w:r w:rsidRPr="002F5929">
        <w:rPr>
          <w:rFonts w:asciiTheme="majorBidi" w:hAnsiTheme="majorBidi" w:cstheme="majorBidi"/>
          <w:b/>
          <w:bCs/>
          <w:sz w:val="24"/>
          <w:szCs w:val="24"/>
        </w:rPr>
        <w:t xml:space="preserve"> </w:t>
      </w:r>
      <w:r w:rsidRPr="002F5929">
        <w:rPr>
          <w:rStyle w:val="Emphasis"/>
          <w:rFonts w:asciiTheme="majorBidi" w:hAnsiTheme="majorBidi" w:cstheme="majorBidi"/>
          <w:b/>
          <w:bCs/>
          <w:sz w:val="24"/>
          <w:szCs w:val="24"/>
          <w:shd w:val="clear" w:color="auto" w:fill="FFFFFF"/>
        </w:rPr>
        <w:t>Porter</w:t>
      </w:r>
      <w:r w:rsidR="00B852A8">
        <w:rPr>
          <w:rStyle w:val="Emphasis"/>
          <w:rFonts w:asciiTheme="majorBidi" w:hAnsiTheme="majorBidi" w:cstheme="majorBidi"/>
          <w:b/>
          <w:bCs/>
          <w:sz w:val="24"/>
          <w:szCs w:val="24"/>
          <w:shd w:val="clear" w:color="auto" w:fill="FFFFFF"/>
        </w:rPr>
        <w:t>'s</w:t>
      </w:r>
      <w:r w:rsidRPr="002F5929">
        <w:rPr>
          <w:rStyle w:val="Emphasis"/>
          <w:rFonts w:asciiTheme="majorBidi" w:hAnsiTheme="majorBidi" w:cstheme="majorBidi"/>
          <w:b/>
          <w:bCs/>
          <w:sz w:val="24"/>
          <w:szCs w:val="24"/>
          <w:shd w:val="clear" w:color="auto" w:fill="FFFFFF"/>
        </w:rPr>
        <w:t xml:space="preserve"> five forces.</w:t>
      </w:r>
    </w:p>
    <w:p w14:paraId="75EAB965" w14:textId="77777777" w:rsidR="001B65BD" w:rsidRPr="002F5929" w:rsidRDefault="003D6017" w:rsidP="00D26741">
      <w:pPr>
        <w:autoSpaceDE w:val="0"/>
        <w:autoSpaceDN w:val="0"/>
        <w:adjustRightInd w:val="0"/>
        <w:spacing w:after="0" w:line="360" w:lineRule="auto"/>
        <w:jc w:val="both"/>
        <w:rPr>
          <w:rFonts w:asciiTheme="majorBidi" w:hAnsiTheme="majorBidi" w:cstheme="majorBidi"/>
          <w:b/>
          <w:bCs/>
          <w:i/>
          <w:iCs/>
          <w:sz w:val="24"/>
          <w:szCs w:val="24"/>
          <w:shd w:val="clear" w:color="auto" w:fill="FFFFFF"/>
        </w:rPr>
      </w:pPr>
      <w:r>
        <w:rPr>
          <w:rFonts w:asciiTheme="majorBidi" w:hAnsiTheme="majorBidi" w:cstheme="majorBidi"/>
          <w:b/>
          <w:bCs/>
          <w:i/>
          <w:iCs/>
          <w:noProof/>
          <w:sz w:val="24"/>
          <w:szCs w:val="24"/>
          <w:shd w:val="clear" w:color="auto" w:fill="FFFFFF"/>
        </w:rPr>
        <w:drawing>
          <wp:inline distT="0" distB="0" distL="0" distR="0" wp14:anchorId="5FAFD96C" wp14:editId="7834E1F7">
            <wp:extent cx="5971794" cy="3878968"/>
            <wp:effectExtent l="19050" t="0" r="0" b="0"/>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b="7620"/>
                    <a:stretch>
                      <a:fillRect/>
                    </a:stretch>
                  </pic:blipFill>
                  <pic:spPr bwMode="auto">
                    <a:xfrm>
                      <a:off x="0" y="0"/>
                      <a:ext cx="5971794" cy="3878968"/>
                    </a:xfrm>
                    <a:prstGeom prst="rect">
                      <a:avLst/>
                    </a:prstGeom>
                    <a:noFill/>
                  </pic:spPr>
                </pic:pic>
              </a:graphicData>
            </a:graphic>
          </wp:inline>
        </w:drawing>
      </w:r>
    </w:p>
    <w:p w14:paraId="48D7465C" w14:textId="77777777" w:rsidR="00A7019D" w:rsidRPr="00A7019D" w:rsidRDefault="00A7019D" w:rsidP="00D26741">
      <w:pPr>
        <w:pStyle w:val="Heading1"/>
        <w:numPr>
          <w:ilvl w:val="0"/>
          <w:numId w:val="1"/>
        </w:numPr>
        <w:jc w:val="both"/>
        <w:rPr>
          <w:color w:val="auto"/>
        </w:rPr>
      </w:pPr>
      <w:bookmarkStart w:id="24" w:name="_Toc145025778"/>
      <w:r w:rsidRPr="00450707">
        <w:rPr>
          <w:color w:val="auto"/>
          <w:shd w:val="clear" w:color="auto" w:fill="FFFFFF"/>
        </w:rPr>
        <w:t>Finding</w:t>
      </w:r>
      <w:r w:rsidR="00D867CB">
        <w:rPr>
          <w:color w:val="auto"/>
          <w:shd w:val="clear" w:color="auto" w:fill="FFFFFF"/>
        </w:rPr>
        <w:t>s</w:t>
      </w:r>
      <w:r w:rsidRPr="00450707">
        <w:rPr>
          <w:color w:val="auto"/>
          <w:shd w:val="clear" w:color="auto" w:fill="FFFFFF"/>
        </w:rPr>
        <w:t xml:space="preserve"> from PESTAL </w:t>
      </w:r>
      <w:r>
        <w:rPr>
          <w:color w:val="auto"/>
          <w:shd w:val="clear" w:color="auto" w:fill="FFFFFF"/>
        </w:rPr>
        <w:t xml:space="preserve">and </w:t>
      </w:r>
      <w:r w:rsidRPr="002F5929">
        <w:rPr>
          <w:color w:val="auto"/>
        </w:rPr>
        <w:t>Porter’s five forces</w:t>
      </w:r>
      <w:r>
        <w:rPr>
          <w:color w:val="auto"/>
        </w:rPr>
        <w:t xml:space="preserve"> a</w:t>
      </w:r>
      <w:r w:rsidRPr="00A7019D">
        <w:rPr>
          <w:color w:val="auto"/>
          <w:shd w:val="clear" w:color="auto" w:fill="FFFFFF"/>
        </w:rPr>
        <w:t>nalysis</w:t>
      </w:r>
      <w:bookmarkEnd w:id="24"/>
    </w:p>
    <w:p w14:paraId="05B31C34" w14:textId="77777777" w:rsidR="00FC7624" w:rsidRPr="001B65BD" w:rsidRDefault="003B2594" w:rsidP="00D26741">
      <w:pPr>
        <w:spacing w:line="360" w:lineRule="auto"/>
        <w:jc w:val="both"/>
        <w:rPr>
          <w:rFonts w:asciiTheme="majorBidi" w:eastAsia="Times New Roman" w:hAnsiTheme="majorBidi" w:cstheme="majorBidi"/>
          <w:color w:val="1F2024"/>
          <w:sz w:val="24"/>
          <w:szCs w:val="24"/>
        </w:rPr>
      </w:pPr>
      <w:r w:rsidRPr="003B2594">
        <w:rPr>
          <w:rFonts w:asciiTheme="majorBidi" w:eastAsia="Times New Roman" w:hAnsiTheme="majorBidi" w:cstheme="majorBidi"/>
          <w:color w:val="1F2024"/>
          <w:sz w:val="24"/>
          <w:szCs w:val="24"/>
        </w:rPr>
        <w:t>PESTLE assessment fills in as a technique for organizations to acquire understanding into the outer impacts that might affect their tasks. You can all the more successfully plan your business objectives, limit gambles, and expect the future by inspecting the different outside factors that can influence your association. Chiefs should be educated about advancements and modifications in the more extensive climate as well as the condition of the specific business, as both can change decisively over the long run</w:t>
      </w:r>
      <w:r w:rsidR="00A7019D" w:rsidRPr="001B65BD">
        <w:rPr>
          <w:rFonts w:asciiTheme="majorBidi" w:eastAsia="Times New Roman" w:hAnsiTheme="majorBidi" w:cstheme="majorBidi"/>
          <w:color w:val="1F2024"/>
          <w:sz w:val="24"/>
          <w:szCs w:val="24"/>
        </w:rPr>
        <w:t>.</w:t>
      </w:r>
    </w:p>
    <w:p w14:paraId="434DB621" w14:textId="5A2F7575" w:rsidR="0082093D" w:rsidRPr="001B65BD" w:rsidRDefault="00FC7624" w:rsidP="00D26741">
      <w:pPr>
        <w:spacing w:line="360" w:lineRule="auto"/>
        <w:jc w:val="both"/>
        <w:rPr>
          <w:rFonts w:asciiTheme="majorBidi" w:eastAsia="Times New Roman" w:hAnsiTheme="majorBidi" w:cstheme="majorBidi"/>
          <w:color w:val="1F2024"/>
          <w:sz w:val="24"/>
          <w:szCs w:val="24"/>
        </w:rPr>
      </w:pPr>
      <w:r w:rsidRPr="001B65BD">
        <w:rPr>
          <w:rFonts w:asciiTheme="majorBidi" w:eastAsia="Times New Roman" w:hAnsiTheme="majorBidi" w:cstheme="majorBidi"/>
          <w:color w:val="1F2024"/>
          <w:sz w:val="24"/>
          <w:szCs w:val="24"/>
        </w:rPr>
        <w:lastRenderedPageBreak/>
        <w:t xml:space="preserve">While PESTEL evaluation is beneficial for understanding the broad environment, Porter's five forces analysis is effective for determining an industry's profit potential. Strategic groupings are useful for </w:t>
      </w:r>
      <w:r w:rsidR="00310211" w:rsidRPr="001B65BD">
        <w:rPr>
          <w:rFonts w:asciiTheme="majorBidi" w:eastAsia="Times New Roman" w:hAnsiTheme="majorBidi" w:cstheme="majorBidi"/>
          <w:color w:val="1F2024"/>
          <w:sz w:val="24"/>
          <w:szCs w:val="24"/>
        </w:rPr>
        <w:t>analyzing</w:t>
      </w:r>
      <w:r w:rsidRPr="001B65BD">
        <w:rPr>
          <w:rFonts w:asciiTheme="majorBidi" w:eastAsia="Times New Roman" w:hAnsiTheme="majorBidi" w:cstheme="majorBidi"/>
          <w:color w:val="1F2024"/>
          <w:sz w:val="24"/>
          <w:szCs w:val="24"/>
        </w:rPr>
        <w:t xml:space="preserve"> close competitors who have a greater impact on a company than other industry participants. When CEOs use these tools to closely monitor their organization's surroundings, they considerably boost </w:t>
      </w:r>
      <w:proofErr w:type="gramStart"/>
      <w:r w:rsidRPr="001B65BD">
        <w:rPr>
          <w:rFonts w:asciiTheme="majorBidi" w:eastAsia="Times New Roman" w:hAnsiTheme="majorBidi" w:cstheme="majorBidi"/>
          <w:color w:val="1F2024"/>
          <w:sz w:val="24"/>
          <w:szCs w:val="24"/>
        </w:rPr>
        <w:t>their the</w:t>
      </w:r>
      <w:proofErr w:type="gramEnd"/>
      <w:r w:rsidRPr="001B65BD">
        <w:rPr>
          <w:rFonts w:asciiTheme="majorBidi" w:eastAsia="Times New Roman" w:hAnsiTheme="majorBidi" w:cstheme="majorBidi"/>
          <w:color w:val="1F2024"/>
          <w:sz w:val="24"/>
          <w:szCs w:val="24"/>
        </w:rPr>
        <w:t xml:space="preserve"> company's chances of success</w:t>
      </w:r>
      <w:r w:rsidR="00A7019D" w:rsidRPr="001B65BD">
        <w:rPr>
          <w:rFonts w:asciiTheme="majorBidi" w:eastAsia="Times New Roman" w:hAnsiTheme="majorBidi" w:cstheme="majorBidi"/>
          <w:color w:val="1F2024"/>
          <w:sz w:val="24"/>
          <w:szCs w:val="24"/>
        </w:rPr>
        <w:t>.</w:t>
      </w:r>
    </w:p>
    <w:p w14:paraId="1750F585" w14:textId="77777777" w:rsidR="0082093D" w:rsidRPr="0088516C" w:rsidRDefault="0082093D" w:rsidP="00D26741">
      <w:pPr>
        <w:pStyle w:val="Heading1"/>
        <w:numPr>
          <w:ilvl w:val="0"/>
          <w:numId w:val="1"/>
        </w:numPr>
        <w:jc w:val="both"/>
        <w:rPr>
          <w:color w:val="auto"/>
        </w:rPr>
      </w:pPr>
      <w:bookmarkStart w:id="25" w:name="_Toc145025779"/>
      <w:r w:rsidRPr="0088516C">
        <w:rPr>
          <w:color w:val="auto"/>
        </w:rPr>
        <w:t>Industry life cycle</w:t>
      </w:r>
      <w:bookmarkEnd w:id="25"/>
    </w:p>
    <w:p w14:paraId="17E7A784" w14:textId="77777777" w:rsidR="0082093D" w:rsidRDefault="005E541A" w:rsidP="00D26741">
      <w:pPr>
        <w:pStyle w:val="NormalWeb"/>
        <w:shd w:val="clear" w:color="auto" w:fill="FFFFFF"/>
        <w:spacing w:before="0" w:beforeAutospacing="0" w:line="360" w:lineRule="auto"/>
        <w:jc w:val="both"/>
        <w:rPr>
          <w:rFonts w:asciiTheme="majorBidi" w:hAnsiTheme="majorBidi" w:cstheme="majorBidi"/>
          <w:color w:val="1F2024"/>
        </w:rPr>
      </w:pPr>
      <w:r w:rsidRPr="005E541A">
        <w:rPr>
          <w:rFonts w:asciiTheme="majorBidi" w:hAnsiTheme="majorBidi" w:cstheme="majorBidi"/>
          <w:color w:val="1F2024"/>
        </w:rPr>
        <w:t>Figure 10 portrays the development phase of InterContinental Hotel Group PLC. InterContinental Hotel Group PLC has a vital situation in the overall market because of advances in innovation and associations with client administration, creations that advance the upgrade of client relations and give ecological arrangements, as well as local area improvement support. Besides, chasing after a supportable arrangement is urgent for the company's future development and improvement</w:t>
      </w:r>
      <w:r w:rsidR="0082093D" w:rsidRPr="0088516C">
        <w:rPr>
          <w:rFonts w:asciiTheme="majorBidi" w:hAnsiTheme="majorBidi" w:cstheme="majorBidi"/>
          <w:color w:val="1F2024"/>
        </w:rPr>
        <w:t>.</w:t>
      </w:r>
    </w:p>
    <w:p w14:paraId="2D122F46" w14:textId="77777777" w:rsidR="001C2EEC" w:rsidRDefault="001C2EEC" w:rsidP="00D26741">
      <w:pPr>
        <w:pStyle w:val="NormalWeb"/>
        <w:keepNext/>
        <w:shd w:val="clear" w:color="auto" w:fill="FFFFFF"/>
        <w:spacing w:before="0" w:beforeAutospacing="0" w:line="360" w:lineRule="auto"/>
        <w:jc w:val="both"/>
      </w:pPr>
      <w:r>
        <w:rPr>
          <w:noProof/>
        </w:rPr>
        <w:drawing>
          <wp:inline distT="0" distB="0" distL="0" distR="0" wp14:anchorId="1FCDC9DA" wp14:editId="34C57342">
            <wp:extent cx="4584547" cy="1837279"/>
            <wp:effectExtent l="19050" t="0" r="6503" b="0"/>
            <wp:docPr id="24" name="Picture 24" descr="The Intercontinental Hotel Group PLC Evaluation - 2386 Words | Report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he Intercontinental Hotel Group PLC Evaluation - 2386 Words | Report  Example"/>
                    <pic:cNvPicPr>
                      <a:picLocks noChangeAspect="1" noChangeArrowheads="1"/>
                    </pic:cNvPicPr>
                  </pic:nvPicPr>
                  <pic:blipFill>
                    <a:blip r:embed="rId20" cstate="print"/>
                    <a:srcRect/>
                    <a:stretch>
                      <a:fillRect/>
                    </a:stretch>
                  </pic:blipFill>
                  <pic:spPr bwMode="auto">
                    <a:xfrm>
                      <a:off x="0" y="0"/>
                      <a:ext cx="4584007" cy="1837063"/>
                    </a:xfrm>
                    <a:prstGeom prst="rect">
                      <a:avLst/>
                    </a:prstGeom>
                    <a:noFill/>
                    <a:ln w="9525">
                      <a:noFill/>
                      <a:miter lim="800000"/>
                      <a:headEnd/>
                      <a:tailEnd/>
                    </a:ln>
                  </pic:spPr>
                </pic:pic>
              </a:graphicData>
            </a:graphic>
          </wp:inline>
        </w:drawing>
      </w:r>
    </w:p>
    <w:p w14:paraId="2DAC4C60" w14:textId="77777777" w:rsidR="001C2EEC" w:rsidRPr="00310211" w:rsidRDefault="001C2EEC" w:rsidP="00D26741">
      <w:pPr>
        <w:pStyle w:val="Caption"/>
        <w:jc w:val="both"/>
        <w:rPr>
          <w:rFonts w:asciiTheme="majorBidi" w:hAnsiTheme="majorBidi" w:cstheme="majorBidi"/>
          <w:b w:val="0"/>
          <w:bCs w:val="0"/>
          <w:color w:val="auto"/>
          <w:sz w:val="24"/>
          <w:szCs w:val="24"/>
        </w:rPr>
      </w:pPr>
      <w:r w:rsidRPr="00310211">
        <w:rPr>
          <w:rFonts w:asciiTheme="majorBidi" w:hAnsiTheme="majorBidi" w:cstheme="majorBidi"/>
          <w:b w:val="0"/>
          <w:bCs w:val="0"/>
          <w:color w:val="auto"/>
          <w:sz w:val="24"/>
          <w:szCs w:val="24"/>
        </w:rPr>
        <w:t xml:space="preserve">Figure </w:t>
      </w:r>
      <w:r w:rsidR="00A619B7" w:rsidRPr="00310211">
        <w:rPr>
          <w:rFonts w:asciiTheme="majorBidi" w:hAnsiTheme="majorBidi" w:cstheme="majorBidi"/>
          <w:b w:val="0"/>
          <w:bCs w:val="0"/>
          <w:color w:val="auto"/>
          <w:sz w:val="24"/>
          <w:szCs w:val="24"/>
        </w:rPr>
        <w:fldChar w:fldCharType="begin"/>
      </w:r>
      <w:r w:rsidR="00FD4511" w:rsidRPr="00310211">
        <w:rPr>
          <w:rFonts w:asciiTheme="majorBidi" w:hAnsiTheme="majorBidi" w:cstheme="majorBidi"/>
          <w:b w:val="0"/>
          <w:bCs w:val="0"/>
          <w:color w:val="auto"/>
          <w:sz w:val="24"/>
          <w:szCs w:val="24"/>
        </w:rPr>
        <w:instrText xml:space="preserve"> SEQ Figure \* ARABIC </w:instrText>
      </w:r>
      <w:r w:rsidR="00A619B7" w:rsidRPr="00310211">
        <w:rPr>
          <w:rFonts w:asciiTheme="majorBidi" w:hAnsiTheme="majorBidi" w:cstheme="majorBidi"/>
          <w:b w:val="0"/>
          <w:bCs w:val="0"/>
          <w:color w:val="auto"/>
          <w:sz w:val="24"/>
          <w:szCs w:val="24"/>
        </w:rPr>
        <w:fldChar w:fldCharType="separate"/>
      </w:r>
      <w:r w:rsidR="00EF12A9" w:rsidRPr="00310211">
        <w:rPr>
          <w:rFonts w:asciiTheme="majorBidi" w:hAnsiTheme="majorBidi" w:cstheme="majorBidi"/>
          <w:b w:val="0"/>
          <w:bCs w:val="0"/>
          <w:noProof/>
          <w:color w:val="auto"/>
          <w:sz w:val="24"/>
          <w:szCs w:val="24"/>
        </w:rPr>
        <w:t>10</w:t>
      </w:r>
      <w:r w:rsidR="00A619B7" w:rsidRPr="00310211">
        <w:rPr>
          <w:rFonts w:asciiTheme="majorBidi" w:hAnsiTheme="majorBidi" w:cstheme="majorBidi"/>
          <w:b w:val="0"/>
          <w:bCs w:val="0"/>
          <w:color w:val="auto"/>
          <w:sz w:val="24"/>
          <w:szCs w:val="24"/>
        </w:rPr>
        <w:fldChar w:fldCharType="end"/>
      </w:r>
      <w:r w:rsidR="00310211" w:rsidRPr="00310211">
        <w:rPr>
          <w:rFonts w:asciiTheme="majorBidi" w:hAnsiTheme="majorBidi" w:cstheme="majorBidi"/>
          <w:b w:val="0"/>
          <w:bCs w:val="0"/>
          <w:color w:val="auto"/>
          <w:sz w:val="24"/>
          <w:szCs w:val="24"/>
        </w:rPr>
        <w:t xml:space="preserve"> </w:t>
      </w:r>
      <w:r w:rsidR="00B852A8">
        <w:rPr>
          <w:rFonts w:asciiTheme="majorBidi" w:hAnsiTheme="majorBidi" w:cstheme="majorBidi"/>
          <w:b w:val="0"/>
          <w:bCs w:val="0"/>
          <w:color w:val="auto"/>
          <w:sz w:val="24"/>
          <w:szCs w:val="24"/>
        </w:rPr>
        <w:t>I</w:t>
      </w:r>
      <w:r w:rsidR="00310211" w:rsidRPr="00310211">
        <w:rPr>
          <w:rFonts w:asciiTheme="majorBidi" w:hAnsiTheme="majorBidi" w:cstheme="majorBidi"/>
          <w:b w:val="0"/>
          <w:bCs w:val="0"/>
          <w:color w:val="auto"/>
          <w:sz w:val="24"/>
          <w:szCs w:val="24"/>
        </w:rPr>
        <w:t>ndustry life cycle</w:t>
      </w:r>
    </w:p>
    <w:p w14:paraId="45FABE57" w14:textId="77777777" w:rsidR="0082093D" w:rsidRPr="0088516C" w:rsidRDefault="003238FB" w:rsidP="00D26741">
      <w:pPr>
        <w:pStyle w:val="Heading1"/>
        <w:numPr>
          <w:ilvl w:val="0"/>
          <w:numId w:val="1"/>
        </w:numPr>
        <w:jc w:val="both"/>
        <w:rPr>
          <w:color w:val="auto"/>
        </w:rPr>
      </w:pPr>
      <w:bookmarkStart w:id="26" w:name="_Toc145025780"/>
      <w:r w:rsidRPr="0088516C">
        <w:rPr>
          <w:color w:val="auto"/>
        </w:rPr>
        <w:t>Internal</w:t>
      </w:r>
      <w:r w:rsidR="0082093D" w:rsidRPr="0088516C">
        <w:rPr>
          <w:color w:val="auto"/>
        </w:rPr>
        <w:t xml:space="preserve"> environment analysis</w:t>
      </w:r>
      <w:bookmarkEnd w:id="26"/>
    </w:p>
    <w:p w14:paraId="3F64E3AD" w14:textId="77777777" w:rsidR="0082093D" w:rsidRPr="003D6017" w:rsidRDefault="0082093D" w:rsidP="00D26741">
      <w:pPr>
        <w:pStyle w:val="Heading1"/>
        <w:jc w:val="both"/>
        <w:rPr>
          <w:color w:val="auto"/>
        </w:rPr>
      </w:pPr>
      <w:bookmarkStart w:id="27" w:name="_Toc145025781"/>
      <w:r w:rsidRPr="003D6017">
        <w:rPr>
          <w:color w:val="auto"/>
        </w:rPr>
        <w:t>Strategic capabilities</w:t>
      </w:r>
      <w:bookmarkEnd w:id="27"/>
    </w:p>
    <w:p w14:paraId="1C7F360C" w14:textId="77777777" w:rsidR="0082093D" w:rsidRDefault="003B2594" w:rsidP="00D26741">
      <w:pPr>
        <w:pStyle w:val="NormalWeb"/>
        <w:shd w:val="clear" w:color="auto" w:fill="FFFFFF"/>
        <w:spacing w:before="0" w:beforeAutospacing="0" w:line="360" w:lineRule="auto"/>
        <w:jc w:val="both"/>
        <w:rPr>
          <w:rFonts w:ascii="Arial" w:hAnsi="Arial" w:cs="Arial"/>
          <w:color w:val="1F2024"/>
          <w:sz w:val="20"/>
          <w:szCs w:val="20"/>
        </w:rPr>
      </w:pPr>
      <w:r w:rsidRPr="003B2594">
        <w:rPr>
          <w:rFonts w:asciiTheme="majorBidi" w:hAnsiTheme="majorBidi" w:cstheme="majorBidi"/>
          <w:color w:val="1F2024"/>
        </w:rPr>
        <w:t xml:space="preserve">As displayed in Reference section 3, the company's limit capacities contain areas of strength for an establishment that considers upgraded upper hand. Specialized gifts, profoundly qualified experts, and a capable labor force are among the distinctive </w:t>
      </w:r>
      <w:proofErr w:type="gramStart"/>
      <w:r w:rsidRPr="003B2594">
        <w:rPr>
          <w:rFonts w:asciiTheme="majorBidi" w:hAnsiTheme="majorBidi" w:cstheme="majorBidi"/>
          <w:color w:val="1F2024"/>
        </w:rPr>
        <w:t>qualities.</w:t>
      </w:r>
      <w:r w:rsidR="0082093D">
        <w:rPr>
          <w:rFonts w:ascii="Arial" w:hAnsi="Arial" w:cs="Arial"/>
          <w:color w:val="1F2024"/>
          <w:sz w:val="20"/>
          <w:szCs w:val="20"/>
        </w:rPr>
        <w:t>.</w:t>
      </w:r>
      <w:proofErr w:type="gramEnd"/>
    </w:p>
    <w:p w14:paraId="574927CD" w14:textId="77777777" w:rsidR="0088516C" w:rsidRDefault="0088516C" w:rsidP="00D26741">
      <w:pPr>
        <w:pStyle w:val="Caption"/>
        <w:keepNext/>
        <w:jc w:val="both"/>
        <w:rPr>
          <w:rFonts w:asciiTheme="majorBidi" w:hAnsiTheme="majorBidi" w:cstheme="majorBidi"/>
          <w:color w:val="auto"/>
          <w:sz w:val="24"/>
          <w:szCs w:val="24"/>
        </w:rPr>
      </w:pPr>
      <w:r w:rsidRPr="0088516C">
        <w:rPr>
          <w:rFonts w:asciiTheme="majorBidi" w:hAnsiTheme="majorBidi" w:cstheme="majorBidi"/>
          <w:color w:val="auto"/>
          <w:sz w:val="24"/>
          <w:szCs w:val="24"/>
        </w:rPr>
        <w:lastRenderedPageBreak/>
        <w:t xml:space="preserve">Table </w:t>
      </w:r>
      <w:r w:rsidR="00A619B7" w:rsidRPr="0088516C">
        <w:rPr>
          <w:rFonts w:asciiTheme="majorBidi" w:hAnsiTheme="majorBidi" w:cstheme="majorBidi"/>
          <w:color w:val="auto"/>
          <w:sz w:val="24"/>
          <w:szCs w:val="24"/>
        </w:rPr>
        <w:fldChar w:fldCharType="begin"/>
      </w:r>
      <w:r w:rsidRPr="0088516C">
        <w:rPr>
          <w:rFonts w:asciiTheme="majorBidi" w:hAnsiTheme="majorBidi" w:cstheme="majorBidi"/>
          <w:color w:val="auto"/>
          <w:sz w:val="24"/>
          <w:szCs w:val="24"/>
        </w:rPr>
        <w:instrText xml:space="preserve"> SEQ Table \* ARABIC </w:instrText>
      </w:r>
      <w:r w:rsidR="00A619B7" w:rsidRPr="0088516C">
        <w:rPr>
          <w:rFonts w:asciiTheme="majorBidi" w:hAnsiTheme="majorBidi" w:cstheme="majorBidi"/>
          <w:color w:val="auto"/>
          <w:sz w:val="24"/>
          <w:szCs w:val="24"/>
        </w:rPr>
        <w:fldChar w:fldCharType="separate"/>
      </w:r>
      <w:r>
        <w:rPr>
          <w:rFonts w:asciiTheme="majorBidi" w:hAnsiTheme="majorBidi" w:cstheme="majorBidi"/>
          <w:noProof/>
          <w:color w:val="auto"/>
          <w:sz w:val="24"/>
          <w:szCs w:val="24"/>
        </w:rPr>
        <w:t>3</w:t>
      </w:r>
      <w:r w:rsidR="00A619B7" w:rsidRPr="0088516C">
        <w:rPr>
          <w:rFonts w:asciiTheme="majorBidi" w:hAnsiTheme="majorBidi" w:cstheme="majorBidi"/>
          <w:color w:val="auto"/>
          <w:sz w:val="24"/>
          <w:szCs w:val="24"/>
        </w:rPr>
        <w:fldChar w:fldCharType="end"/>
      </w:r>
      <w:r w:rsidRPr="0088516C">
        <w:rPr>
          <w:rFonts w:asciiTheme="majorBidi" w:hAnsiTheme="majorBidi" w:cstheme="majorBidi"/>
          <w:color w:val="auto"/>
          <w:sz w:val="24"/>
          <w:szCs w:val="24"/>
        </w:rPr>
        <w:t xml:space="preserve"> Strategic capabilities</w:t>
      </w:r>
    </w:p>
    <w:p w14:paraId="2C88BB37" w14:textId="77777777" w:rsidR="001B65BD" w:rsidRPr="001B65BD" w:rsidRDefault="003D6017" w:rsidP="00D26741">
      <w:pPr>
        <w:jc w:val="both"/>
      </w:pPr>
      <w:r>
        <w:rPr>
          <w:noProof/>
        </w:rPr>
        <w:drawing>
          <wp:inline distT="0" distB="0" distL="0" distR="0" wp14:anchorId="15E37442" wp14:editId="51EFD42E">
            <wp:extent cx="5974080" cy="1760220"/>
            <wp:effectExtent l="19050" t="0" r="7620" b="0"/>
            <wp:docPr id="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srcRect/>
                    <a:stretch>
                      <a:fillRect/>
                    </a:stretch>
                  </pic:blipFill>
                  <pic:spPr bwMode="auto">
                    <a:xfrm>
                      <a:off x="0" y="0"/>
                      <a:ext cx="5974080" cy="1760220"/>
                    </a:xfrm>
                    <a:prstGeom prst="rect">
                      <a:avLst/>
                    </a:prstGeom>
                    <a:noFill/>
                  </pic:spPr>
                </pic:pic>
              </a:graphicData>
            </a:graphic>
          </wp:inline>
        </w:drawing>
      </w:r>
    </w:p>
    <w:p w14:paraId="1482FB5C" w14:textId="77777777" w:rsidR="0082093D" w:rsidRPr="0088516C" w:rsidRDefault="0082093D" w:rsidP="00D26741">
      <w:pPr>
        <w:pStyle w:val="Heading1"/>
        <w:numPr>
          <w:ilvl w:val="0"/>
          <w:numId w:val="1"/>
        </w:numPr>
        <w:jc w:val="both"/>
        <w:rPr>
          <w:color w:val="auto"/>
        </w:rPr>
      </w:pPr>
      <w:bookmarkStart w:id="28" w:name="_Toc145025782"/>
      <w:r w:rsidRPr="0088516C">
        <w:rPr>
          <w:color w:val="auto"/>
        </w:rPr>
        <w:t>VRIN analysis</w:t>
      </w:r>
      <w:bookmarkEnd w:id="28"/>
    </w:p>
    <w:p w14:paraId="7FF1ABBF" w14:textId="77777777" w:rsidR="0082093D" w:rsidRPr="0088516C" w:rsidRDefault="003D6017" w:rsidP="00D26741">
      <w:pPr>
        <w:pStyle w:val="NormalWeb"/>
        <w:shd w:val="clear" w:color="auto" w:fill="FFFFFF"/>
        <w:spacing w:before="0" w:beforeAutospacing="0" w:line="360" w:lineRule="auto"/>
        <w:jc w:val="both"/>
        <w:rPr>
          <w:rFonts w:asciiTheme="majorBidi" w:hAnsiTheme="majorBidi" w:cstheme="majorBidi"/>
          <w:color w:val="1F2024"/>
        </w:rPr>
      </w:pPr>
      <w:r w:rsidRPr="003D6017">
        <w:rPr>
          <w:rFonts w:asciiTheme="majorBidi" w:hAnsiTheme="majorBidi" w:cstheme="majorBidi"/>
          <w:color w:val="1F2024"/>
        </w:rPr>
        <w:t xml:space="preserve">The VRIN procedure is utilized to evaluate a company's seriousness </w:t>
      </w:r>
      <w:r w:rsidR="00B852A8">
        <w:rPr>
          <w:rFonts w:asciiTheme="majorBidi" w:hAnsiTheme="majorBidi" w:cstheme="majorBidi"/>
          <w:color w:val="1F2024"/>
        </w:rPr>
        <w:t>because</w:t>
      </w:r>
      <w:r w:rsidRPr="003D6017">
        <w:rPr>
          <w:rFonts w:asciiTheme="majorBidi" w:hAnsiTheme="majorBidi" w:cstheme="majorBidi"/>
          <w:color w:val="1F2024"/>
        </w:rPr>
        <w:t xml:space="preserve"> of its own exceptional and limit</w:t>
      </w:r>
      <w:r w:rsidR="00B852A8">
        <w:rPr>
          <w:rFonts w:asciiTheme="majorBidi" w:hAnsiTheme="majorBidi" w:cstheme="majorBidi"/>
          <w:color w:val="1F2024"/>
        </w:rPr>
        <w:t>ed</w:t>
      </w:r>
      <w:r w:rsidRPr="003D6017">
        <w:rPr>
          <w:rFonts w:asciiTheme="majorBidi" w:hAnsiTheme="majorBidi" w:cstheme="majorBidi"/>
          <w:color w:val="1F2024"/>
        </w:rPr>
        <w:t xml:space="preserve"> abilities. As per the discoveries, the company's recogni</w:t>
      </w:r>
      <w:r w:rsidR="00B852A8">
        <w:rPr>
          <w:rFonts w:asciiTheme="majorBidi" w:hAnsiTheme="majorBidi" w:cstheme="majorBidi"/>
          <w:color w:val="1F2024"/>
        </w:rPr>
        <w:t>tion</w:t>
      </w:r>
      <w:r w:rsidRPr="003D6017">
        <w:rPr>
          <w:rFonts w:asciiTheme="majorBidi" w:hAnsiTheme="majorBidi" w:cstheme="majorBidi"/>
          <w:color w:val="1F2024"/>
        </w:rPr>
        <w:t xml:space="preserve"> and edge abilities have both helped its seriousness. The company's transient upper hands and burdens are very interesting. Nonetheless, long</w:t>
      </w:r>
      <w:r w:rsidR="00B852A8">
        <w:rPr>
          <w:rFonts w:asciiTheme="majorBidi" w:hAnsiTheme="majorBidi" w:cstheme="majorBidi"/>
          <w:color w:val="1F2024"/>
        </w:rPr>
        <w:t>-</w:t>
      </w:r>
      <w:r w:rsidRPr="003D6017">
        <w:rPr>
          <w:rFonts w:asciiTheme="majorBidi" w:hAnsiTheme="majorBidi" w:cstheme="majorBidi"/>
          <w:color w:val="1F2024"/>
        </w:rPr>
        <w:t>haul upper hands, serious equality, and long</w:t>
      </w:r>
      <w:r w:rsidR="00B852A8">
        <w:rPr>
          <w:rFonts w:asciiTheme="majorBidi" w:hAnsiTheme="majorBidi" w:cstheme="majorBidi"/>
          <w:color w:val="1F2024"/>
        </w:rPr>
        <w:t>-</w:t>
      </w:r>
      <w:r w:rsidRPr="003D6017">
        <w:rPr>
          <w:rFonts w:asciiTheme="majorBidi" w:hAnsiTheme="majorBidi" w:cstheme="majorBidi"/>
          <w:color w:val="1F2024"/>
        </w:rPr>
        <w:t>haul cutthroat offers are very important</w:t>
      </w:r>
      <w:r w:rsidR="0082093D" w:rsidRPr="0088516C">
        <w:rPr>
          <w:rFonts w:asciiTheme="majorBidi" w:hAnsiTheme="majorBidi" w:cstheme="majorBidi"/>
          <w:color w:val="1F2024"/>
        </w:rPr>
        <w:t>.</w:t>
      </w:r>
    </w:p>
    <w:p w14:paraId="7556A87B" w14:textId="77777777" w:rsidR="0088516C" w:rsidRDefault="0088516C" w:rsidP="00D26741">
      <w:pPr>
        <w:pStyle w:val="Caption"/>
        <w:keepNext/>
        <w:jc w:val="both"/>
        <w:rPr>
          <w:rFonts w:asciiTheme="majorBidi" w:hAnsiTheme="majorBidi" w:cstheme="majorBidi"/>
          <w:b w:val="0"/>
          <w:bCs w:val="0"/>
          <w:color w:val="auto"/>
          <w:sz w:val="24"/>
          <w:szCs w:val="24"/>
        </w:rPr>
      </w:pPr>
      <w:r w:rsidRPr="0088516C">
        <w:rPr>
          <w:rFonts w:asciiTheme="majorBidi" w:hAnsiTheme="majorBidi" w:cstheme="majorBidi"/>
          <w:b w:val="0"/>
          <w:bCs w:val="0"/>
          <w:color w:val="auto"/>
          <w:sz w:val="24"/>
          <w:szCs w:val="24"/>
        </w:rPr>
        <w:t xml:space="preserve">Table </w:t>
      </w:r>
      <w:r w:rsidR="00A619B7" w:rsidRPr="0088516C">
        <w:rPr>
          <w:rFonts w:asciiTheme="majorBidi" w:hAnsiTheme="majorBidi" w:cstheme="majorBidi"/>
          <w:b w:val="0"/>
          <w:bCs w:val="0"/>
          <w:color w:val="auto"/>
          <w:sz w:val="24"/>
          <w:szCs w:val="24"/>
        </w:rPr>
        <w:fldChar w:fldCharType="begin"/>
      </w:r>
      <w:r w:rsidRPr="0088516C">
        <w:rPr>
          <w:rFonts w:asciiTheme="majorBidi" w:hAnsiTheme="majorBidi" w:cstheme="majorBidi"/>
          <w:b w:val="0"/>
          <w:bCs w:val="0"/>
          <w:color w:val="auto"/>
          <w:sz w:val="24"/>
          <w:szCs w:val="24"/>
        </w:rPr>
        <w:instrText xml:space="preserve"> SEQ Table \* ARABIC </w:instrText>
      </w:r>
      <w:r w:rsidR="00A619B7" w:rsidRPr="0088516C">
        <w:rPr>
          <w:rFonts w:asciiTheme="majorBidi" w:hAnsiTheme="majorBidi" w:cstheme="majorBidi"/>
          <w:b w:val="0"/>
          <w:bCs w:val="0"/>
          <w:color w:val="auto"/>
          <w:sz w:val="24"/>
          <w:szCs w:val="24"/>
        </w:rPr>
        <w:fldChar w:fldCharType="separate"/>
      </w:r>
      <w:r>
        <w:rPr>
          <w:rFonts w:asciiTheme="majorBidi" w:hAnsiTheme="majorBidi" w:cstheme="majorBidi"/>
          <w:b w:val="0"/>
          <w:bCs w:val="0"/>
          <w:noProof/>
          <w:color w:val="auto"/>
          <w:sz w:val="24"/>
          <w:szCs w:val="24"/>
        </w:rPr>
        <w:t>4</w:t>
      </w:r>
      <w:r w:rsidR="00A619B7" w:rsidRPr="0088516C">
        <w:rPr>
          <w:rFonts w:asciiTheme="majorBidi" w:hAnsiTheme="majorBidi" w:cstheme="majorBidi"/>
          <w:b w:val="0"/>
          <w:bCs w:val="0"/>
          <w:color w:val="auto"/>
          <w:sz w:val="24"/>
          <w:szCs w:val="24"/>
        </w:rPr>
        <w:fldChar w:fldCharType="end"/>
      </w:r>
      <w:r w:rsidRPr="0088516C">
        <w:rPr>
          <w:rFonts w:asciiTheme="majorBidi" w:hAnsiTheme="majorBidi" w:cstheme="majorBidi"/>
          <w:b w:val="0"/>
          <w:bCs w:val="0"/>
          <w:color w:val="auto"/>
          <w:sz w:val="24"/>
          <w:szCs w:val="24"/>
        </w:rPr>
        <w:t xml:space="preserve"> VRIN Analysis: Impacts on Intercontinental Hotel Group Performance.</w:t>
      </w:r>
    </w:p>
    <w:p w14:paraId="188A7EAE" w14:textId="77777777" w:rsidR="001B65BD" w:rsidRPr="001B65BD" w:rsidRDefault="003D6017" w:rsidP="00D26741">
      <w:pPr>
        <w:jc w:val="both"/>
      </w:pPr>
      <w:r>
        <w:rPr>
          <w:noProof/>
        </w:rPr>
        <w:drawing>
          <wp:inline distT="0" distB="0" distL="0" distR="0" wp14:anchorId="78ABB822" wp14:editId="6EC3DEDE">
            <wp:extent cx="5974080" cy="2346960"/>
            <wp:effectExtent l="19050" t="0" r="7620" b="0"/>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a:stretch>
                      <a:fillRect/>
                    </a:stretch>
                  </pic:blipFill>
                  <pic:spPr bwMode="auto">
                    <a:xfrm>
                      <a:off x="0" y="0"/>
                      <a:ext cx="5974080" cy="2346960"/>
                    </a:xfrm>
                    <a:prstGeom prst="rect">
                      <a:avLst/>
                    </a:prstGeom>
                    <a:noFill/>
                  </pic:spPr>
                </pic:pic>
              </a:graphicData>
            </a:graphic>
          </wp:inline>
        </w:drawing>
      </w:r>
    </w:p>
    <w:p w14:paraId="142AA6C4" w14:textId="77777777" w:rsidR="0082093D" w:rsidRPr="0088516C" w:rsidRDefault="0082093D" w:rsidP="00D26741">
      <w:pPr>
        <w:pStyle w:val="Heading1"/>
        <w:numPr>
          <w:ilvl w:val="0"/>
          <w:numId w:val="1"/>
        </w:numPr>
        <w:jc w:val="both"/>
        <w:rPr>
          <w:color w:val="auto"/>
          <w:sz w:val="24"/>
          <w:szCs w:val="24"/>
        </w:rPr>
      </w:pPr>
      <w:bookmarkStart w:id="29" w:name="_Toc145025783"/>
      <w:r w:rsidRPr="0088516C">
        <w:rPr>
          <w:color w:val="auto"/>
        </w:rPr>
        <w:t>Value chain analysis</w:t>
      </w:r>
      <w:bookmarkEnd w:id="29"/>
    </w:p>
    <w:p w14:paraId="434C609B" w14:textId="77777777" w:rsidR="0082093D" w:rsidRPr="00957017" w:rsidRDefault="003D6017" w:rsidP="00D26741">
      <w:pPr>
        <w:pStyle w:val="NormalWeb"/>
        <w:shd w:val="clear" w:color="auto" w:fill="FFFFFF"/>
        <w:spacing w:before="0" w:beforeAutospacing="0" w:line="360" w:lineRule="auto"/>
        <w:jc w:val="both"/>
        <w:rPr>
          <w:rFonts w:asciiTheme="majorBidi" w:hAnsiTheme="majorBidi" w:cstheme="majorBidi"/>
          <w:color w:val="1F2024"/>
        </w:rPr>
      </w:pPr>
      <w:r w:rsidRPr="003D6017">
        <w:rPr>
          <w:rFonts w:asciiTheme="majorBidi" w:hAnsiTheme="majorBidi" w:cstheme="majorBidi"/>
          <w:color w:val="33333F"/>
          <w:shd w:val="clear" w:color="auto" w:fill="F8F8F8"/>
        </w:rPr>
        <w:t xml:space="preserve">The value chain makes sense of the sorts of tasks inside an association that, when joined, bring about the production of help or great. Most associations are moreover essential for a bigger value framework, which is the assortment of hierarchical ties and connections expected to give an item </w:t>
      </w:r>
      <w:r w:rsidRPr="003D6017">
        <w:rPr>
          <w:rFonts w:asciiTheme="majorBidi" w:hAnsiTheme="majorBidi" w:cstheme="majorBidi"/>
          <w:color w:val="33333F"/>
          <w:shd w:val="clear" w:color="auto" w:fill="F8F8F8"/>
        </w:rPr>
        <w:lastRenderedPageBreak/>
        <w:t xml:space="preserve">or administration. Both fill a need in surveying an association's essential position and where critical assets and skills are found. Figures portray the value of the cycle for InterContinental Lodging Group. </w:t>
      </w:r>
      <w:r w:rsidR="00B852A8">
        <w:rPr>
          <w:rFonts w:asciiTheme="majorBidi" w:hAnsiTheme="majorBidi" w:cstheme="majorBidi"/>
          <w:color w:val="33333F"/>
          <w:shd w:val="clear" w:color="auto" w:fill="F8F8F8"/>
        </w:rPr>
        <w:t>Despite</w:t>
      </w:r>
      <w:r w:rsidRPr="003D6017">
        <w:rPr>
          <w:rFonts w:asciiTheme="majorBidi" w:hAnsiTheme="majorBidi" w:cstheme="majorBidi"/>
          <w:color w:val="33333F"/>
          <w:shd w:val="clear" w:color="auto" w:fill="F8F8F8"/>
        </w:rPr>
        <w:t xml:space="preserve"> the way that the value chain is practically identical to the ones of rivals, the InterContinental Inn Group value channel is unmistakable because of the utilization of its abilities</w:t>
      </w:r>
      <w:r w:rsidR="0082093D" w:rsidRPr="00957017">
        <w:rPr>
          <w:rFonts w:asciiTheme="majorBidi" w:hAnsiTheme="majorBidi" w:cstheme="majorBidi"/>
          <w:color w:val="1F2024"/>
        </w:rPr>
        <w:t>.</w:t>
      </w:r>
    </w:p>
    <w:p w14:paraId="6422E503" w14:textId="77777777" w:rsidR="00957017" w:rsidRDefault="00957017" w:rsidP="00D26741">
      <w:pPr>
        <w:pStyle w:val="NormalWeb"/>
        <w:keepNext/>
        <w:shd w:val="clear" w:color="auto" w:fill="FFFFFF"/>
        <w:spacing w:before="0" w:beforeAutospacing="0" w:line="360" w:lineRule="auto"/>
        <w:jc w:val="both"/>
      </w:pPr>
      <w:r>
        <w:rPr>
          <w:rFonts w:asciiTheme="majorBidi" w:hAnsiTheme="majorBidi" w:cstheme="majorBidi"/>
          <w:noProof/>
          <w:color w:val="1F2024"/>
        </w:rPr>
        <w:drawing>
          <wp:inline distT="0" distB="0" distL="0" distR="0" wp14:anchorId="6B49E7DA" wp14:editId="0D50841E">
            <wp:extent cx="4572000" cy="2390954"/>
            <wp:effectExtent l="1905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4572000" cy="2390954"/>
                    </a:xfrm>
                    <a:prstGeom prst="rect">
                      <a:avLst/>
                    </a:prstGeom>
                    <a:noFill/>
                    <a:ln w="9525">
                      <a:noFill/>
                      <a:miter lim="800000"/>
                      <a:headEnd/>
                      <a:tailEnd/>
                    </a:ln>
                  </pic:spPr>
                </pic:pic>
              </a:graphicData>
            </a:graphic>
          </wp:inline>
        </w:drawing>
      </w:r>
    </w:p>
    <w:p w14:paraId="29B8819A" w14:textId="77777777" w:rsidR="00957017" w:rsidRPr="00310211" w:rsidRDefault="00957017" w:rsidP="00D26741">
      <w:pPr>
        <w:pStyle w:val="Caption"/>
        <w:jc w:val="both"/>
        <w:rPr>
          <w:rFonts w:asciiTheme="majorBidi" w:hAnsiTheme="majorBidi" w:cstheme="majorBidi"/>
          <w:b w:val="0"/>
          <w:bCs w:val="0"/>
          <w:color w:val="auto"/>
          <w:sz w:val="24"/>
          <w:szCs w:val="24"/>
        </w:rPr>
      </w:pPr>
      <w:r w:rsidRPr="00310211">
        <w:rPr>
          <w:rFonts w:asciiTheme="majorBidi" w:hAnsiTheme="majorBidi" w:cstheme="majorBidi"/>
          <w:b w:val="0"/>
          <w:bCs w:val="0"/>
          <w:color w:val="auto"/>
          <w:sz w:val="24"/>
          <w:szCs w:val="24"/>
        </w:rPr>
        <w:t xml:space="preserve">Figure </w:t>
      </w:r>
      <w:r w:rsidR="00A619B7" w:rsidRPr="00310211">
        <w:rPr>
          <w:rFonts w:asciiTheme="majorBidi" w:hAnsiTheme="majorBidi" w:cstheme="majorBidi"/>
          <w:b w:val="0"/>
          <w:bCs w:val="0"/>
          <w:color w:val="auto"/>
          <w:sz w:val="24"/>
          <w:szCs w:val="24"/>
        </w:rPr>
        <w:fldChar w:fldCharType="begin"/>
      </w:r>
      <w:r w:rsidR="00FD4511" w:rsidRPr="00310211">
        <w:rPr>
          <w:rFonts w:asciiTheme="majorBidi" w:hAnsiTheme="majorBidi" w:cstheme="majorBidi"/>
          <w:b w:val="0"/>
          <w:bCs w:val="0"/>
          <w:color w:val="auto"/>
          <w:sz w:val="24"/>
          <w:szCs w:val="24"/>
        </w:rPr>
        <w:instrText xml:space="preserve"> SEQ Figure \* ARABIC </w:instrText>
      </w:r>
      <w:r w:rsidR="00A619B7" w:rsidRPr="00310211">
        <w:rPr>
          <w:rFonts w:asciiTheme="majorBidi" w:hAnsiTheme="majorBidi" w:cstheme="majorBidi"/>
          <w:b w:val="0"/>
          <w:bCs w:val="0"/>
          <w:color w:val="auto"/>
          <w:sz w:val="24"/>
          <w:szCs w:val="24"/>
        </w:rPr>
        <w:fldChar w:fldCharType="separate"/>
      </w:r>
      <w:r w:rsidR="00EF12A9" w:rsidRPr="00310211">
        <w:rPr>
          <w:rFonts w:asciiTheme="majorBidi" w:hAnsiTheme="majorBidi" w:cstheme="majorBidi"/>
          <w:b w:val="0"/>
          <w:bCs w:val="0"/>
          <w:noProof/>
          <w:color w:val="auto"/>
          <w:sz w:val="24"/>
          <w:szCs w:val="24"/>
        </w:rPr>
        <w:t>11</w:t>
      </w:r>
      <w:r w:rsidR="00A619B7" w:rsidRPr="00310211">
        <w:rPr>
          <w:rFonts w:asciiTheme="majorBidi" w:hAnsiTheme="majorBidi" w:cstheme="majorBidi"/>
          <w:b w:val="0"/>
          <w:bCs w:val="0"/>
          <w:color w:val="auto"/>
          <w:sz w:val="24"/>
          <w:szCs w:val="24"/>
        </w:rPr>
        <w:fldChar w:fldCharType="end"/>
      </w:r>
      <w:r w:rsidR="00310211" w:rsidRPr="00310211">
        <w:rPr>
          <w:rFonts w:asciiTheme="majorBidi" w:hAnsiTheme="majorBidi" w:cstheme="majorBidi"/>
          <w:b w:val="0"/>
          <w:bCs w:val="0"/>
          <w:color w:val="auto"/>
          <w:sz w:val="24"/>
          <w:szCs w:val="24"/>
        </w:rPr>
        <w:t xml:space="preserve"> </w:t>
      </w:r>
      <w:r w:rsidR="00B852A8">
        <w:rPr>
          <w:rFonts w:asciiTheme="majorBidi" w:hAnsiTheme="majorBidi" w:cstheme="majorBidi"/>
          <w:b w:val="0"/>
          <w:bCs w:val="0"/>
          <w:color w:val="auto"/>
          <w:sz w:val="24"/>
          <w:szCs w:val="24"/>
        </w:rPr>
        <w:t>V</w:t>
      </w:r>
      <w:r w:rsidR="00310211" w:rsidRPr="00310211">
        <w:rPr>
          <w:rFonts w:asciiTheme="majorBidi" w:hAnsiTheme="majorBidi" w:cstheme="majorBidi"/>
          <w:b w:val="0"/>
          <w:bCs w:val="0"/>
          <w:color w:val="auto"/>
          <w:sz w:val="24"/>
          <w:szCs w:val="24"/>
        </w:rPr>
        <w:t>alue chain activities</w:t>
      </w:r>
    </w:p>
    <w:p w14:paraId="2650BECC" w14:textId="77777777" w:rsidR="00957017" w:rsidRPr="00957017" w:rsidRDefault="00957017" w:rsidP="00D26741">
      <w:pPr>
        <w:jc w:val="both"/>
      </w:pPr>
    </w:p>
    <w:p w14:paraId="02B46763" w14:textId="77777777" w:rsidR="0088516C" w:rsidRDefault="0088516C" w:rsidP="00D26741">
      <w:pPr>
        <w:pStyle w:val="Caption"/>
        <w:keepNext/>
        <w:jc w:val="both"/>
        <w:rPr>
          <w:rFonts w:asciiTheme="majorBidi" w:hAnsiTheme="majorBidi" w:cstheme="majorBidi"/>
          <w:b w:val="0"/>
          <w:bCs w:val="0"/>
          <w:color w:val="auto"/>
          <w:sz w:val="28"/>
          <w:szCs w:val="28"/>
        </w:rPr>
      </w:pPr>
      <w:r w:rsidRPr="0088516C">
        <w:rPr>
          <w:rFonts w:asciiTheme="majorBidi" w:hAnsiTheme="majorBidi" w:cstheme="majorBidi"/>
          <w:b w:val="0"/>
          <w:bCs w:val="0"/>
          <w:color w:val="auto"/>
          <w:sz w:val="28"/>
          <w:szCs w:val="28"/>
        </w:rPr>
        <w:t xml:space="preserve">Table </w:t>
      </w:r>
      <w:r w:rsidR="00A619B7" w:rsidRPr="0088516C">
        <w:rPr>
          <w:rFonts w:asciiTheme="majorBidi" w:hAnsiTheme="majorBidi" w:cstheme="majorBidi"/>
          <w:b w:val="0"/>
          <w:bCs w:val="0"/>
          <w:color w:val="auto"/>
          <w:sz w:val="28"/>
          <w:szCs w:val="28"/>
        </w:rPr>
        <w:fldChar w:fldCharType="begin"/>
      </w:r>
      <w:r w:rsidRPr="0088516C">
        <w:rPr>
          <w:rFonts w:asciiTheme="majorBidi" w:hAnsiTheme="majorBidi" w:cstheme="majorBidi"/>
          <w:b w:val="0"/>
          <w:bCs w:val="0"/>
          <w:color w:val="auto"/>
          <w:sz w:val="28"/>
          <w:szCs w:val="28"/>
        </w:rPr>
        <w:instrText xml:space="preserve"> SEQ Table \* ARABIC </w:instrText>
      </w:r>
      <w:r w:rsidR="00A619B7" w:rsidRPr="0088516C">
        <w:rPr>
          <w:rFonts w:asciiTheme="majorBidi" w:hAnsiTheme="majorBidi" w:cstheme="majorBidi"/>
          <w:b w:val="0"/>
          <w:bCs w:val="0"/>
          <w:color w:val="auto"/>
          <w:sz w:val="28"/>
          <w:szCs w:val="28"/>
        </w:rPr>
        <w:fldChar w:fldCharType="separate"/>
      </w:r>
      <w:r>
        <w:rPr>
          <w:rFonts w:asciiTheme="majorBidi" w:hAnsiTheme="majorBidi" w:cstheme="majorBidi"/>
          <w:b w:val="0"/>
          <w:bCs w:val="0"/>
          <w:noProof/>
          <w:color w:val="auto"/>
          <w:sz w:val="28"/>
          <w:szCs w:val="28"/>
        </w:rPr>
        <w:t>5</w:t>
      </w:r>
      <w:r w:rsidR="00A619B7" w:rsidRPr="0088516C">
        <w:rPr>
          <w:rFonts w:asciiTheme="majorBidi" w:hAnsiTheme="majorBidi" w:cstheme="majorBidi"/>
          <w:b w:val="0"/>
          <w:bCs w:val="0"/>
          <w:color w:val="auto"/>
          <w:sz w:val="28"/>
          <w:szCs w:val="28"/>
        </w:rPr>
        <w:fldChar w:fldCharType="end"/>
      </w:r>
      <w:r w:rsidRPr="0088516C">
        <w:rPr>
          <w:rFonts w:asciiTheme="majorBidi" w:hAnsiTheme="majorBidi" w:cstheme="majorBidi"/>
          <w:b w:val="0"/>
          <w:bCs w:val="0"/>
          <w:color w:val="auto"/>
          <w:sz w:val="28"/>
          <w:szCs w:val="28"/>
        </w:rPr>
        <w:t xml:space="preserve"> </w:t>
      </w:r>
      <w:r w:rsidR="00B852A8">
        <w:rPr>
          <w:rFonts w:asciiTheme="majorBidi" w:hAnsiTheme="majorBidi" w:cstheme="majorBidi"/>
          <w:b w:val="0"/>
          <w:bCs w:val="0"/>
          <w:color w:val="auto"/>
          <w:sz w:val="28"/>
          <w:szCs w:val="28"/>
        </w:rPr>
        <w:t>V</w:t>
      </w:r>
      <w:r w:rsidRPr="0088516C">
        <w:rPr>
          <w:rFonts w:asciiTheme="majorBidi" w:hAnsiTheme="majorBidi" w:cstheme="majorBidi"/>
          <w:b w:val="0"/>
          <w:bCs w:val="0"/>
          <w:color w:val="auto"/>
          <w:sz w:val="28"/>
          <w:szCs w:val="28"/>
        </w:rPr>
        <w:t>alue chain analysis</w:t>
      </w:r>
    </w:p>
    <w:p w14:paraId="5DEEFB2F" w14:textId="77777777" w:rsidR="001B65BD" w:rsidRPr="001B65BD" w:rsidRDefault="003D6017" w:rsidP="00D26741">
      <w:pPr>
        <w:jc w:val="both"/>
      </w:pPr>
      <w:r>
        <w:rPr>
          <w:noProof/>
        </w:rPr>
        <w:drawing>
          <wp:inline distT="0" distB="0" distL="0" distR="0" wp14:anchorId="64E9385B" wp14:editId="6223E382">
            <wp:extent cx="5974080" cy="2971800"/>
            <wp:effectExtent l="19050" t="0" r="7620" b="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a:stretch>
                      <a:fillRect/>
                    </a:stretch>
                  </pic:blipFill>
                  <pic:spPr bwMode="auto">
                    <a:xfrm>
                      <a:off x="0" y="0"/>
                      <a:ext cx="5974080" cy="2971800"/>
                    </a:xfrm>
                    <a:prstGeom prst="rect">
                      <a:avLst/>
                    </a:prstGeom>
                    <a:noFill/>
                  </pic:spPr>
                </pic:pic>
              </a:graphicData>
            </a:graphic>
          </wp:inline>
        </w:drawing>
      </w:r>
    </w:p>
    <w:p w14:paraId="34271916" w14:textId="77777777" w:rsidR="00A7019D" w:rsidRDefault="00A7019D" w:rsidP="00D26741">
      <w:pPr>
        <w:pStyle w:val="Heading1"/>
        <w:numPr>
          <w:ilvl w:val="0"/>
          <w:numId w:val="1"/>
        </w:numPr>
        <w:jc w:val="both"/>
        <w:rPr>
          <w:color w:val="auto"/>
        </w:rPr>
      </w:pPr>
      <w:bookmarkStart w:id="30" w:name="_Toc145025784"/>
      <w:r w:rsidRPr="00A7019D">
        <w:rPr>
          <w:color w:val="auto"/>
        </w:rPr>
        <w:lastRenderedPageBreak/>
        <w:t>Findings from value chain analysis</w:t>
      </w:r>
      <w:bookmarkEnd w:id="30"/>
    </w:p>
    <w:p w14:paraId="5AFA37C2" w14:textId="77777777" w:rsidR="00A7019D" w:rsidRPr="00A7019D" w:rsidRDefault="003D6017" w:rsidP="00D26741">
      <w:pPr>
        <w:spacing w:line="360" w:lineRule="auto"/>
        <w:jc w:val="both"/>
        <w:rPr>
          <w:rFonts w:asciiTheme="majorBidi" w:hAnsiTheme="majorBidi" w:cstheme="majorBidi"/>
          <w:sz w:val="24"/>
          <w:szCs w:val="24"/>
        </w:rPr>
      </w:pPr>
      <w:r w:rsidRPr="003D6017">
        <w:rPr>
          <w:rFonts w:asciiTheme="majorBidi" w:hAnsiTheme="majorBidi" w:cstheme="majorBidi"/>
          <w:color w:val="4D5156"/>
          <w:sz w:val="24"/>
          <w:szCs w:val="24"/>
          <w:shd w:val="clear" w:color="auto" w:fill="FFFFFF"/>
        </w:rPr>
        <w:t>Value chain analysis is a method for assessing every one of the exercises in an organization's value chain to comprehend where potential open doors for development lie. Directing a value chain analysis prompts you to consider how each step adds or deducts value from your result or administration. Value Chain Analysis is a powerful administration device, which assists us with recognizing the exercises inside the association that make an exceptional item or administration. Assuming we give such items and administrations to our clients, they will want to pay more, in this way creating higher benefits for the organization</w:t>
      </w:r>
      <w:r>
        <w:rPr>
          <w:rFonts w:asciiTheme="majorBidi" w:hAnsiTheme="majorBidi" w:cstheme="majorBidi"/>
          <w:color w:val="4D5156"/>
          <w:sz w:val="24"/>
          <w:szCs w:val="24"/>
          <w:shd w:val="clear" w:color="auto" w:fill="FFFFFF"/>
        </w:rPr>
        <w:t>.</w:t>
      </w:r>
    </w:p>
    <w:p w14:paraId="4C39F45A" w14:textId="77777777" w:rsidR="0082093D" w:rsidRPr="0088516C" w:rsidRDefault="0082093D" w:rsidP="00D26741">
      <w:pPr>
        <w:pStyle w:val="Heading1"/>
        <w:numPr>
          <w:ilvl w:val="0"/>
          <w:numId w:val="1"/>
        </w:numPr>
        <w:jc w:val="both"/>
        <w:rPr>
          <w:color w:val="auto"/>
        </w:rPr>
      </w:pPr>
      <w:bookmarkStart w:id="31" w:name="_Toc145025785"/>
      <w:r w:rsidRPr="0088516C">
        <w:rPr>
          <w:color w:val="auto"/>
        </w:rPr>
        <w:t>SWOT analysis</w:t>
      </w:r>
      <w:bookmarkEnd w:id="31"/>
    </w:p>
    <w:p w14:paraId="66600998" w14:textId="46C39847" w:rsidR="0082093D" w:rsidRPr="0088516C" w:rsidRDefault="003D6017" w:rsidP="00D26741">
      <w:pPr>
        <w:pStyle w:val="NormalWeb"/>
        <w:shd w:val="clear" w:color="auto" w:fill="FFFFFF"/>
        <w:spacing w:before="0" w:beforeAutospacing="0" w:line="360" w:lineRule="auto"/>
        <w:jc w:val="both"/>
        <w:rPr>
          <w:rFonts w:asciiTheme="majorBidi" w:hAnsiTheme="majorBidi" w:cstheme="majorBidi"/>
          <w:color w:val="1F2024"/>
        </w:rPr>
      </w:pPr>
      <w:r w:rsidRPr="003D6017">
        <w:rPr>
          <w:rFonts w:asciiTheme="majorBidi" w:hAnsiTheme="majorBidi" w:cstheme="majorBidi"/>
          <w:color w:val="1F2024"/>
        </w:rPr>
        <w:t xml:space="preserve">As demonstrated in Reference </w:t>
      </w:r>
      <w:r w:rsidR="00B852A8">
        <w:rPr>
          <w:rFonts w:asciiTheme="majorBidi" w:hAnsiTheme="majorBidi" w:cstheme="majorBidi"/>
          <w:color w:val="1F2024"/>
        </w:rPr>
        <w:t>S</w:t>
      </w:r>
      <w:r w:rsidRPr="003D6017">
        <w:rPr>
          <w:rFonts w:asciiTheme="majorBidi" w:hAnsiTheme="majorBidi" w:cstheme="majorBidi"/>
          <w:color w:val="1F2024"/>
        </w:rPr>
        <w:t>ection 7, an InterContinental Inn Group SWOT assessment can be made. The straightforward reality that InterContinental Inn Group possesses the most important lodging establishments permits it to benefit from an upper hand. Besides, the organization has huge tasks in arising as well as evolv</w:t>
      </w:r>
      <w:r w:rsidR="00B852A8">
        <w:rPr>
          <w:rFonts w:asciiTheme="majorBidi" w:hAnsiTheme="majorBidi" w:cstheme="majorBidi"/>
          <w:color w:val="1F2024"/>
        </w:rPr>
        <w:t>ing</w:t>
      </w:r>
      <w:r w:rsidRPr="003D6017">
        <w:rPr>
          <w:rFonts w:asciiTheme="majorBidi" w:hAnsiTheme="majorBidi" w:cstheme="majorBidi"/>
          <w:color w:val="1F2024"/>
        </w:rPr>
        <w:t xml:space="preserve"> countries</w:t>
      </w:r>
      <w:r w:rsidR="001C42D6" w:rsidRPr="001C42D6">
        <w:rPr>
          <w:rFonts w:asciiTheme="majorBidi" w:hAnsiTheme="majorBidi" w:cstheme="majorBidi"/>
          <w:color w:val="1F2024"/>
        </w:rPr>
        <w:t xml:space="preserve"> </w:t>
      </w:r>
      <w:r w:rsidR="00A619B7">
        <w:rPr>
          <w:rFonts w:asciiTheme="majorBidi" w:hAnsiTheme="majorBidi" w:cstheme="majorBidi"/>
          <w:color w:val="1F2024"/>
        </w:rPr>
        <w:fldChar w:fldCharType="begin" w:fldLock="1"/>
      </w:r>
      <w:r w:rsidR="00EF12A9">
        <w:rPr>
          <w:rFonts w:asciiTheme="majorBidi" w:hAnsiTheme="majorBidi" w:cstheme="majorBidi"/>
          <w:color w:val="1F2024"/>
        </w:rPr>
        <w:instrText>ADDIN CSL_CITATION {"citationItems":[{"id":"ITEM-1","itemData":{"abstract":"Purpose of this study is to get a better understanding of the basic marketing mix in branding perspective. Theoretical frame work presents a view of different theories of marketing mix and theories of brand building and how marketing mix and brand building theories are related to each other. This is a qualitative research, with a deductive approach. The research proposes a model linking branding and marketing mix. Theories of marketing mix and branding are thoroughly studied and relationships are developed on the basis of deduction and logical reasoning. The marketing mix and brand building process are highly interlinked. All stages of brand building process are dependent on marketing mix, which is product, price, promotion and place. To create brands, firms need to design the marketing mix in such a way so that it creates the desired image and position in customers' minds and generate positive response which then could be converted into a strong long lasting relationship.","author":[{"dropping-particle":"","family":"Riaz","given":"Waheed","non-dropping-particle":"","parse-names":false,"suffix":""},{"dropping-particle":"","family":"Tanveer","given":"Asif","non-dropping-particle":"","parse-names":false,"suffix":""}],"container-title":"Asian Journal of Business and Management Sciences","id":"ITEM-1","issue":"11","issued":{"date-parts":[["2011"]]},"page":"2047-2528","title":"Marketing Mix, Not Branding","type":"article-journal","volume":"1"},"uris":["http://www.mendeley.com/documents/?uuid=ec538f13-18ce-4ae4-a1f8-8d2e27b5d6d8"]}],"mendeley":{"formattedCitation":"[29]","plainTextFormattedCitation":"[29]","previouslyFormattedCitation":"[28]"},"properties":{"noteIndex":0},"schema":"https://github.com/citation-style-language/schema/raw/master/csl-citation.json"}</w:instrText>
      </w:r>
      <w:r w:rsidR="00A619B7">
        <w:rPr>
          <w:rFonts w:asciiTheme="majorBidi" w:hAnsiTheme="majorBidi" w:cstheme="majorBidi"/>
          <w:color w:val="1F2024"/>
        </w:rPr>
        <w:fldChar w:fldCharType="separate"/>
      </w:r>
      <w:r w:rsidR="00CE2F94">
        <w:rPr>
          <w:rFonts w:asciiTheme="majorBidi" w:hAnsiTheme="majorBidi" w:cstheme="majorBidi"/>
          <w:noProof/>
          <w:color w:val="1F2024"/>
        </w:rPr>
        <w:t>(</w:t>
      </w:r>
      <w:r w:rsidR="00CE2F94" w:rsidRPr="00CE2F94">
        <w:rPr>
          <w:noProof/>
        </w:rPr>
        <w:t>Riaz</w:t>
      </w:r>
      <w:r w:rsidR="00CE2F94">
        <w:rPr>
          <w:noProof/>
        </w:rPr>
        <w:t xml:space="preserve"> &amp;</w:t>
      </w:r>
      <w:r w:rsidR="00CE2F94" w:rsidRPr="00CE2F94">
        <w:rPr>
          <w:noProof/>
        </w:rPr>
        <w:t xml:space="preserve"> Tanveer 2012</w:t>
      </w:r>
      <w:r w:rsidR="00CE2F94">
        <w:rPr>
          <w:noProof/>
        </w:rPr>
        <w:t>, p.45</w:t>
      </w:r>
      <w:r w:rsidR="00CE2F94">
        <w:rPr>
          <w:rFonts w:asciiTheme="majorBidi" w:hAnsiTheme="majorBidi" w:cstheme="majorBidi"/>
          <w:noProof/>
          <w:color w:val="1F2024"/>
        </w:rPr>
        <w:t>)</w:t>
      </w:r>
      <w:r w:rsidR="00A619B7">
        <w:rPr>
          <w:rFonts w:asciiTheme="majorBidi" w:hAnsiTheme="majorBidi" w:cstheme="majorBidi"/>
          <w:color w:val="1F2024"/>
        </w:rPr>
        <w:fldChar w:fldCharType="end"/>
      </w:r>
      <w:r w:rsidR="001C42D6">
        <w:rPr>
          <w:rFonts w:asciiTheme="majorBidi" w:hAnsiTheme="majorBidi" w:cstheme="majorBidi"/>
          <w:color w:val="1F2024"/>
        </w:rPr>
        <w:t xml:space="preserve">. </w:t>
      </w:r>
      <w:r w:rsidRPr="003D6017">
        <w:rPr>
          <w:rFonts w:asciiTheme="majorBidi" w:hAnsiTheme="majorBidi" w:cstheme="majorBidi"/>
          <w:color w:val="1F2024"/>
        </w:rPr>
        <w:t>Notwithstanding, different reasons, prominently the company's accentuation on midrange and premium extravagance housing and resort brands, add to the association's declining seriousness. Besides, the company's strategic advantage is reduced by the sole market accentuation on top</w:t>
      </w:r>
      <w:r w:rsidR="00B852A8">
        <w:rPr>
          <w:rFonts w:asciiTheme="majorBidi" w:hAnsiTheme="majorBidi" w:cstheme="majorBidi"/>
          <w:color w:val="1F2024"/>
        </w:rPr>
        <w:t>-of-the-</w:t>
      </w:r>
      <w:r w:rsidRPr="003D6017">
        <w:rPr>
          <w:rFonts w:asciiTheme="majorBidi" w:hAnsiTheme="majorBidi" w:cstheme="majorBidi"/>
          <w:color w:val="1F2024"/>
        </w:rPr>
        <w:t>line explorers. Conversely, taking into account the organization's extension and brand situating, the organization can involve its monetary assets to benefit from new advances in arising regions</w:t>
      </w:r>
      <w:r w:rsidR="00A619B7">
        <w:rPr>
          <w:rFonts w:asciiTheme="majorBidi" w:hAnsiTheme="majorBidi" w:cstheme="majorBidi"/>
          <w:color w:val="1F2024"/>
        </w:rPr>
        <w:fldChar w:fldCharType="begin" w:fldLock="1"/>
      </w:r>
      <w:r w:rsidR="00EF12A9">
        <w:rPr>
          <w:rFonts w:asciiTheme="majorBidi" w:hAnsiTheme="majorBidi" w:cstheme="majorBidi"/>
          <w:color w:val="1F2024"/>
        </w:rPr>
        <w:instrText>ADDIN CSL_CITATION {"citationItems":[{"id":"ITEM-1","itemData":{"DOI":"10.1016/j.sbspro.2013.12.450","ISSN":"18770428","abstract":"In the last years the services area has known an important increase becoming one of the most important factors that contribute to the formation of the GDP many countries. The aim of the research was to provide an insight for the local authorities concerning the way the people that have visited the city of Targu-Jiu so that they will manage to create together with the business people a strategy to increase the tourist interest about the city view services. Hospitality services are evaluated different by many persons due to the fact that services are intangible and people rely on physical attributes when they take decisions","author":[{"dropping-particle":"","family":"Căruntu","given":"Andreea Laura","non-dropping-particle":"","parse-names":false,"suffix":""},{"dropping-particle":"","family":"Diţoiu","given":"Mihail Cristian","non-dropping-particle":"","parse-names":false,"suffix":""}],"container-title":"Procedia - Social and Behavioral Sciences","id":"ITEM-1","issued":{"date-parts":[["2014"]]},"page":"231-235","title":"The Perceptions of Hospitality Services of a Tourism Destination","type":"article-journal","volume":"109"},"uris":["http://www.mendeley.com/documents/?uuid=edcc8721-9773-4b11-a6c3-343cb7adf30f"]}],"mendeley":{"formattedCitation":"[30]","plainTextFormattedCitation":"[30]","previouslyFormattedCitation":"[29]"},"properties":{"noteIndex":0},"schema":"https://github.com/citation-style-language/schema/raw/master/csl-citation.json"}</w:instrText>
      </w:r>
      <w:r w:rsidR="00A619B7">
        <w:rPr>
          <w:rFonts w:asciiTheme="majorBidi" w:hAnsiTheme="majorBidi" w:cstheme="majorBidi"/>
          <w:color w:val="1F2024"/>
        </w:rPr>
        <w:fldChar w:fldCharType="separate"/>
      </w:r>
      <w:r w:rsidR="00CE2F94">
        <w:rPr>
          <w:rFonts w:asciiTheme="majorBidi" w:hAnsiTheme="majorBidi" w:cstheme="majorBidi"/>
          <w:noProof/>
          <w:color w:val="1F2024"/>
        </w:rPr>
        <w:t xml:space="preserve"> (</w:t>
      </w:r>
      <w:r w:rsidR="00CE2F94" w:rsidRPr="00CE2F94">
        <w:rPr>
          <w:rFonts w:asciiTheme="majorBidi" w:hAnsiTheme="majorBidi" w:cstheme="majorBidi"/>
        </w:rPr>
        <w:t>Căruntu</w:t>
      </w:r>
      <w:r w:rsidR="00CE2F94">
        <w:rPr>
          <w:rFonts w:asciiTheme="majorBidi" w:hAnsiTheme="majorBidi" w:cstheme="majorBidi"/>
        </w:rPr>
        <w:t xml:space="preserve"> &amp; </w:t>
      </w:r>
      <w:r w:rsidR="00CE2F94" w:rsidRPr="00CE2F94">
        <w:rPr>
          <w:rFonts w:asciiTheme="majorBidi" w:hAnsiTheme="majorBidi" w:cstheme="majorBidi"/>
        </w:rPr>
        <w:t>Diţoiu</w:t>
      </w:r>
      <w:r w:rsidR="00CE2F94">
        <w:rPr>
          <w:rFonts w:asciiTheme="majorBidi" w:hAnsiTheme="majorBidi" w:cstheme="majorBidi"/>
        </w:rPr>
        <w:t xml:space="preserve"> </w:t>
      </w:r>
      <w:r w:rsidR="00CE2F94" w:rsidRPr="00CE2F94">
        <w:rPr>
          <w:rFonts w:asciiTheme="majorBidi" w:hAnsiTheme="majorBidi" w:cstheme="majorBidi"/>
        </w:rPr>
        <w:t>2014</w:t>
      </w:r>
      <w:r w:rsidR="00CE2F94">
        <w:rPr>
          <w:rFonts w:asciiTheme="majorBidi" w:hAnsiTheme="majorBidi" w:cstheme="majorBidi"/>
        </w:rPr>
        <w:t>, p.232</w:t>
      </w:r>
      <w:r w:rsidR="00CE2F94">
        <w:rPr>
          <w:rFonts w:asciiTheme="majorBidi" w:hAnsiTheme="majorBidi" w:cstheme="majorBidi"/>
          <w:noProof/>
          <w:color w:val="1F2024"/>
        </w:rPr>
        <w:t>)</w:t>
      </w:r>
      <w:r w:rsidR="00A619B7">
        <w:rPr>
          <w:rFonts w:asciiTheme="majorBidi" w:hAnsiTheme="majorBidi" w:cstheme="majorBidi"/>
          <w:color w:val="1F2024"/>
        </w:rPr>
        <w:fldChar w:fldCharType="end"/>
      </w:r>
      <w:r w:rsidR="0082093D" w:rsidRPr="0088516C">
        <w:rPr>
          <w:rFonts w:asciiTheme="majorBidi" w:hAnsiTheme="majorBidi" w:cstheme="majorBidi"/>
          <w:color w:val="1F2024"/>
        </w:rPr>
        <w:t>.</w:t>
      </w:r>
    </w:p>
    <w:p w14:paraId="0D5CF173" w14:textId="77777777" w:rsidR="0088516C" w:rsidRDefault="0088516C" w:rsidP="00D26741">
      <w:pPr>
        <w:pStyle w:val="Caption"/>
        <w:keepNext/>
        <w:jc w:val="both"/>
        <w:rPr>
          <w:rFonts w:asciiTheme="majorBidi" w:hAnsiTheme="majorBidi" w:cstheme="majorBidi"/>
          <w:b w:val="0"/>
          <w:bCs w:val="0"/>
          <w:color w:val="auto"/>
          <w:sz w:val="24"/>
          <w:szCs w:val="24"/>
        </w:rPr>
      </w:pPr>
      <w:r w:rsidRPr="0088516C">
        <w:rPr>
          <w:rFonts w:asciiTheme="majorBidi" w:hAnsiTheme="majorBidi" w:cstheme="majorBidi"/>
          <w:b w:val="0"/>
          <w:bCs w:val="0"/>
          <w:color w:val="auto"/>
          <w:sz w:val="24"/>
          <w:szCs w:val="24"/>
        </w:rPr>
        <w:t xml:space="preserve">Table </w:t>
      </w:r>
      <w:r w:rsidR="00A619B7" w:rsidRPr="0088516C">
        <w:rPr>
          <w:rFonts w:asciiTheme="majorBidi" w:hAnsiTheme="majorBidi" w:cstheme="majorBidi"/>
          <w:b w:val="0"/>
          <w:bCs w:val="0"/>
          <w:color w:val="auto"/>
          <w:sz w:val="24"/>
          <w:szCs w:val="24"/>
        </w:rPr>
        <w:fldChar w:fldCharType="begin"/>
      </w:r>
      <w:r w:rsidRPr="0088516C">
        <w:rPr>
          <w:rFonts w:asciiTheme="majorBidi" w:hAnsiTheme="majorBidi" w:cstheme="majorBidi"/>
          <w:b w:val="0"/>
          <w:bCs w:val="0"/>
          <w:color w:val="auto"/>
          <w:sz w:val="24"/>
          <w:szCs w:val="24"/>
        </w:rPr>
        <w:instrText xml:space="preserve"> SEQ Table \* ARABIC </w:instrText>
      </w:r>
      <w:r w:rsidR="00A619B7" w:rsidRPr="0088516C">
        <w:rPr>
          <w:rFonts w:asciiTheme="majorBidi" w:hAnsiTheme="majorBidi" w:cstheme="majorBidi"/>
          <w:b w:val="0"/>
          <w:bCs w:val="0"/>
          <w:color w:val="auto"/>
          <w:sz w:val="24"/>
          <w:szCs w:val="24"/>
        </w:rPr>
        <w:fldChar w:fldCharType="separate"/>
      </w:r>
      <w:r w:rsidRPr="0088516C">
        <w:rPr>
          <w:rFonts w:asciiTheme="majorBidi" w:hAnsiTheme="majorBidi" w:cstheme="majorBidi"/>
          <w:b w:val="0"/>
          <w:bCs w:val="0"/>
          <w:noProof/>
          <w:color w:val="auto"/>
          <w:sz w:val="24"/>
          <w:szCs w:val="24"/>
        </w:rPr>
        <w:t>6</w:t>
      </w:r>
      <w:r w:rsidR="00A619B7" w:rsidRPr="0088516C">
        <w:rPr>
          <w:rFonts w:asciiTheme="majorBidi" w:hAnsiTheme="majorBidi" w:cstheme="majorBidi"/>
          <w:b w:val="0"/>
          <w:bCs w:val="0"/>
          <w:color w:val="auto"/>
          <w:sz w:val="24"/>
          <w:szCs w:val="24"/>
        </w:rPr>
        <w:fldChar w:fldCharType="end"/>
      </w:r>
      <w:r w:rsidRPr="0088516C">
        <w:rPr>
          <w:rFonts w:asciiTheme="majorBidi" w:hAnsiTheme="majorBidi" w:cstheme="majorBidi"/>
          <w:b w:val="0"/>
          <w:bCs w:val="0"/>
          <w:color w:val="auto"/>
          <w:sz w:val="24"/>
          <w:szCs w:val="24"/>
        </w:rPr>
        <w:t xml:space="preserve"> SWOT analysis.</w:t>
      </w:r>
    </w:p>
    <w:p w14:paraId="41A78B77" w14:textId="77777777" w:rsidR="001B65BD" w:rsidRPr="001B65BD" w:rsidRDefault="003D6017" w:rsidP="00D26741">
      <w:pPr>
        <w:jc w:val="both"/>
      </w:pPr>
      <w:r>
        <w:rPr>
          <w:noProof/>
        </w:rPr>
        <w:drawing>
          <wp:inline distT="0" distB="0" distL="0" distR="0" wp14:anchorId="15DBD403" wp14:editId="2D612C24">
            <wp:extent cx="4542109" cy="2300022"/>
            <wp:effectExtent l="19050" t="0" r="0"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srcRect/>
                    <a:stretch>
                      <a:fillRect/>
                    </a:stretch>
                  </pic:blipFill>
                  <pic:spPr bwMode="auto">
                    <a:xfrm>
                      <a:off x="0" y="0"/>
                      <a:ext cx="4543849" cy="2300903"/>
                    </a:xfrm>
                    <a:prstGeom prst="rect">
                      <a:avLst/>
                    </a:prstGeom>
                    <a:noFill/>
                  </pic:spPr>
                </pic:pic>
              </a:graphicData>
            </a:graphic>
          </wp:inline>
        </w:drawing>
      </w:r>
    </w:p>
    <w:p w14:paraId="539E2108" w14:textId="77777777" w:rsidR="00A7019D" w:rsidRDefault="00A7019D" w:rsidP="00D26741">
      <w:pPr>
        <w:pStyle w:val="Heading1"/>
        <w:numPr>
          <w:ilvl w:val="0"/>
          <w:numId w:val="1"/>
        </w:numPr>
        <w:jc w:val="both"/>
        <w:rPr>
          <w:color w:val="auto"/>
        </w:rPr>
      </w:pPr>
      <w:bookmarkStart w:id="32" w:name="_Toc145025786"/>
      <w:r>
        <w:rPr>
          <w:color w:val="auto"/>
        </w:rPr>
        <w:lastRenderedPageBreak/>
        <w:t>Findings from SWOT analysis</w:t>
      </w:r>
      <w:bookmarkEnd w:id="32"/>
    </w:p>
    <w:p w14:paraId="746610B6" w14:textId="77777777" w:rsidR="00A7019D" w:rsidRDefault="006A573D" w:rsidP="00D26741">
      <w:pPr>
        <w:keepNext/>
        <w:spacing w:line="360" w:lineRule="auto"/>
        <w:jc w:val="both"/>
        <w:rPr>
          <w:noProof/>
        </w:rPr>
      </w:pPr>
      <w:r w:rsidRPr="006A573D">
        <w:rPr>
          <w:rFonts w:asciiTheme="majorBidi" w:hAnsiTheme="majorBidi" w:cstheme="majorBidi"/>
          <w:color w:val="202124"/>
          <w:sz w:val="24"/>
          <w:szCs w:val="24"/>
          <w:shd w:val="clear" w:color="auto" w:fill="FFFFFF"/>
        </w:rPr>
        <w:t>SWOT Analysis distinguishes the organization's assets, shortcomings, conceivable outcomes, and Dangers. It guides you to exploit your assets, address your shortcomings, handle new open doors, and limit gambles</w:t>
      </w:r>
      <w:r w:rsidR="001C42D6" w:rsidRPr="001C42D6">
        <w:rPr>
          <w:rFonts w:asciiTheme="majorBidi" w:hAnsiTheme="majorBidi" w:cstheme="majorBidi"/>
          <w:color w:val="202124"/>
          <w:sz w:val="24"/>
          <w:szCs w:val="24"/>
          <w:shd w:val="clear" w:color="auto" w:fill="FFFFFF"/>
        </w:rPr>
        <w:t>.</w:t>
      </w:r>
    </w:p>
    <w:p w14:paraId="0A9C0A09" w14:textId="77777777" w:rsidR="001C42D6" w:rsidRDefault="001C42D6" w:rsidP="00D26741">
      <w:pPr>
        <w:keepNext/>
        <w:jc w:val="both"/>
      </w:pPr>
      <w:r w:rsidRPr="001C42D6">
        <w:rPr>
          <w:noProof/>
        </w:rPr>
        <w:drawing>
          <wp:inline distT="0" distB="0" distL="0" distR="0" wp14:anchorId="03E72BA3" wp14:editId="5681B56D">
            <wp:extent cx="4572000" cy="2470604"/>
            <wp:effectExtent l="19050" t="0" r="0" b="0"/>
            <wp:docPr id="4" name="Picture 2" descr="| Summary of key findings from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Summary of key findings from SWOT analysis."/>
                    <pic:cNvPicPr>
                      <a:picLocks noChangeAspect="1" noChangeArrowheads="1"/>
                    </pic:cNvPicPr>
                  </pic:nvPicPr>
                  <pic:blipFill>
                    <a:blip r:embed="rId26" cstate="print"/>
                    <a:srcRect/>
                    <a:stretch>
                      <a:fillRect/>
                    </a:stretch>
                  </pic:blipFill>
                  <pic:spPr bwMode="auto">
                    <a:xfrm>
                      <a:off x="0" y="0"/>
                      <a:ext cx="4572000" cy="2470604"/>
                    </a:xfrm>
                    <a:prstGeom prst="rect">
                      <a:avLst/>
                    </a:prstGeom>
                    <a:noFill/>
                    <a:ln w="9525">
                      <a:noFill/>
                      <a:miter lim="800000"/>
                      <a:headEnd/>
                      <a:tailEnd/>
                    </a:ln>
                  </pic:spPr>
                </pic:pic>
              </a:graphicData>
            </a:graphic>
          </wp:inline>
        </w:drawing>
      </w:r>
    </w:p>
    <w:p w14:paraId="1F39AEBF" w14:textId="77777777" w:rsidR="00A7019D" w:rsidRPr="00A7019D" w:rsidRDefault="00A7019D" w:rsidP="00D26741">
      <w:pPr>
        <w:pStyle w:val="Caption"/>
        <w:jc w:val="both"/>
        <w:rPr>
          <w:rFonts w:asciiTheme="majorBidi" w:hAnsiTheme="majorBidi" w:cstheme="majorBidi"/>
          <w:b w:val="0"/>
          <w:bCs w:val="0"/>
          <w:color w:val="auto"/>
          <w:sz w:val="24"/>
          <w:szCs w:val="24"/>
        </w:rPr>
      </w:pPr>
      <w:r w:rsidRPr="00A7019D">
        <w:rPr>
          <w:rFonts w:asciiTheme="majorBidi" w:hAnsiTheme="majorBidi" w:cstheme="majorBidi"/>
          <w:b w:val="0"/>
          <w:bCs w:val="0"/>
          <w:color w:val="auto"/>
          <w:sz w:val="24"/>
          <w:szCs w:val="24"/>
        </w:rPr>
        <w:t xml:space="preserve">Figure </w:t>
      </w:r>
      <w:r w:rsidR="00A619B7" w:rsidRPr="00A7019D">
        <w:rPr>
          <w:rFonts w:asciiTheme="majorBidi" w:hAnsiTheme="majorBidi" w:cstheme="majorBidi"/>
          <w:b w:val="0"/>
          <w:bCs w:val="0"/>
          <w:color w:val="auto"/>
          <w:sz w:val="24"/>
          <w:szCs w:val="24"/>
        </w:rPr>
        <w:fldChar w:fldCharType="begin"/>
      </w:r>
      <w:r w:rsidRPr="00A7019D">
        <w:rPr>
          <w:rFonts w:asciiTheme="majorBidi" w:hAnsiTheme="majorBidi" w:cstheme="majorBidi"/>
          <w:b w:val="0"/>
          <w:bCs w:val="0"/>
          <w:color w:val="auto"/>
          <w:sz w:val="24"/>
          <w:szCs w:val="24"/>
        </w:rPr>
        <w:instrText xml:space="preserve"> SEQ Figure \* ARABIC </w:instrText>
      </w:r>
      <w:r w:rsidR="00A619B7" w:rsidRPr="00A7019D">
        <w:rPr>
          <w:rFonts w:asciiTheme="majorBidi" w:hAnsiTheme="majorBidi" w:cstheme="majorBidi"/>
          <w:b w:val="0"/>
          <w:bCs w:val="0"/>
          <w:color w:val="auto"/>
          <w:sz w:val="24"/>
          <w:szCs w:val="24"/>
        </w:rPr>
        <w:fldChar w:fldCharType="separate"/>
      </w:r>
      <w:r w:rsidR="00EF12A9">
        <w:rPr>
          <w:rFonts w:asciiTheme="majorBidi" w:hAnsiTheme="majorBidi" w:cstheme="majorBidi"/>
          <w:b w:val="0"/>
          <w:bCs w:val="0"/>
          <w:noProof/>
          <w:color w:val="auto"/>
          <w:sz w:val="24"/>
          <w:szCs w:val="24"/>
        </w:rPr>
        <w:t>12</w:t>
      </w:r>
      <w:r w:rsidR="00A619B7" w:rsidRPr="00A7019D">
        <w:rPr>
          <w:rFonts w:asciiTheme="majorBidi" w:hAnsiTheme="majorBidi" w:cstheme="majorBidi"/>
          <w:b w:val="0"/>
          <w:bCs w:val="0"/>
          <w:color w:val="auto"/>
          <w:sz w:val="24"/>
          <w:szCs w:val="24"/>
        </w:rPr>
        <w:fldChar w:fldCharType="end"/>
      </w:r>
      <w:r w:rsidRPr="00A7019D">
        <w:rPr>
          <w:rFonts w:asciiTheme="majorBidi" w:hAnsiTheme="majorBidi" w:cstheme="majorBidi"/>
          <w:b w:val="0"/>
          <w:bCs w:val="0"/>
          <w:color w:val="auto"/>
          <w:sz w:val="24"/>
          <w:szCs w:val="24"/>
        </w:rPr>
        <w:t xml:space="preserve"> SWOT </w:t>
      </w:r>
      <w:r w:rsidR="00310211" w:rsidRPr="00A7019D">
        <w:rPr>
          <w:rFonts w:asciiTheme="majorBidi" w:hAnsiTheme="majorBidi" w:cstheme="majorBidi"/>
          <w:b w:val="0"/>
          <w:bCs w:val="0"/>
          <w:color w:val="auto"/>
          <w:sz w:val="24"/>
          <w:szCs w:val="24"/>
        </w:rPr>
        <w:t>Analysis Conclusion</w:t>
      </w:r>
    </w:p>
    <w:p w14:paraId="02F1A710" w14:textId="77777777" w:rsidR="0082093D" w:rsidRPr="0088516C" w:rsidRDefault="0082093D" w:rsidP="00D26741">
      <w:pPr>
        <w:pStyle w:val="Heading1"/>
        <w:numPr>
          <w:ilvl w:val="0"/>
          <w:numId w:val="1"/>
        </w:numPr>
        <w:jc w:val="both"/>
        <w:rPr>
          <w:color w:val="auto"/>
        </w:rPr>
      </w:pPr>
      <w:bookmarkStart w:id="33" w:name="_Toc145025787"/>
      <w:r w:rsidRPr="0088516C">
        <w:rPr>
          <w:color w:val="auto"/>
        </w:rPr>
        <w:t>Strategic direction</w:t>
      </w:r>
      <w:bookmarkEnd w:id="33"/>
    </w:p>
    <w:p w14:paraId="0BA2C3D8" w14:textId="77777777" w:rsidR="0082093D" w:rsidRPr="0088516C" w:rsidRDefault="0082093D" w:rsidP="00D26741">
      <w:pPr>
        <w:pStyle w:val="Heading1"/>
        <w:jc w:val="both"/>
        <w:rPr>
          <w:color w:val="auto"/>
        </w:rPr>
      </w:pPr>
      <w:bookmarkStart w:id="34" w:name="_Toc145025788"/>
      <w:r w:rsidRPr="0088516C">
        <w:rPr>
          <w:color w:val="auto"/>
        </w:rPr>
        <w:t>Boston Consulting Group (BCG) analysis</w:t>
      </w:r>
      <w:bookmarkEnd w:id="34"/>
    </w:p>
    <w:p w14:paraId="7E3FDD54" w14:textId="471EA4C2" w:rsidR="001C42D6" w:rsidRPr="0088516C" w:rsidRDefault="006A573D" w:rsidP="00D26741">
      <w:pPr>
        <w:pStyle w:val="NormalWeb"/>
        <w:shd w:val="clear" w:color="auto" w:fill="FFFFFF"/>
        <w:spacing w:before="0" w:beforeAutospacing="0" w:line="360" w:lineRule="auto"/>
        <w:jc w:val="both"/>
        <w:rPr>
          <w:rFonts w:asciiTheme="majorBidi" w:hAnsiTheme="majorBidi" w:cstheme="majorBidi"/>
          <w:color w:val="1F2024"/>
        </w:rPr>
      </w:pPr>
      <w:r w:rsidRPr="006A573D">
        <w:rPr>
          <w:rFonts w:asciiTheme="majorBidi" w:hAnsiTheme="majorBidi" w:cstheme="majorBidi"/>
          <w:color w:val="1F2024"/>
        </w:rPr>
        <w:t>The BCG is a decent structure for evaluating the essential place of InterContinental Lodging Group PLC's brand name portfolio</w:t>
      </w:r>
      <w:r w:rsidR="00A619B7">
        <w:rPr>
          <w:rFonts w:asciiTheme="majorBidi" w:hAnsiTheme="majorBidi" w:cstheme="majorBidi"/>
          <w:color w:val="1F2024"/>
        </w:rPr>
        <w:fldChar w:fldCharType="begin" w:fldLock="1"/>
      </w:r>
      <w:r w:rsidR="00EF12A9">
        <w:rPr>
          <w:rFonts w:asciiTheme="majorBidi" w:hAnsiTheme="majorBidi" w:cstheme="majorBidi"/>
          <w:color w:val="1F2024"/>
        </w:rPr>
        <w:instrText>ADDIN CSL_CITATION {"citationItems":[{"id":"ITEM-1","itemData":{"author":[{"dropping-particle":"","family":"Hansen","given":"Morten T","non-dropping-particle":"","parse-names":false,"suffix":""},{"dropping-particle":"","family":"Birkinshaw","given":"Julian","non-dropping-particle":"","parse-names":false,"suffix":""}],"id":"ITEM-1","issued":{"date-parts":[["0"]]},"title":"Chain","type":"article-journal"},"uris":["http://www.mendeley.com/documents/?uuid=34541e5c-3ced-4ab0-99f0-779d0621be2a"]}],"mendeley":{"formattedCitation":"[31]","plainTextFormattedCitation":"[31]","previouslyFormattedCitation":"[30]"},"properties":{"noteIndex":0},"schema":"https://github.com/citation-style-language/schema/raw/master/csl-citation.json"}</w:instrText>
      </w:r>
      <w:r w:rsidR="00A619B7">
        <w:rPr>
          <w:rFonts w:asciiTheme="majorBidi" w:hAnsiTheme="majorBidi" w:cstheme="majorBidi"/>
          <w:color w:val="1F2024"/>
        </w:rPr>
        <w:fldChar w:fldCharType="separate"/>
      </w:r>
      <w:r w:rsidR="00CE2F94">
        <w:rPr>
          <w:rFonts w:asciiTheme="majorBidi" w:hAnsiTheme="majorBidi" w:cstheme="majorBidi"/>
          <w:noProof/>
          <w:color w:val="1F2024"/>
        </w:rPr>
        <w:t xml:space="preserve"> (</w:t>
      </w:r>
      <w:r w:rsidR="00CE2F94" w:rsidRPr="00CE2F94">
        <w:rPr>
          <w:noProof/>
        </w:rPr>
        <w:t>Hansen</w:t>
      </w:r>
      <w:r w:rsidR="00CE2F94">
        <w:rPr>
          <w:noProof/>
        </w:rPr>
        <w:t xml:space="preserve"> &amp;</w:t>
      </w:r>
      <w:r w:rsidR="00CE2F94" w:rsidRPr="00CE2F94">
        <w:rPr>
          <w:noProof/>
        </w:rPr>
        <w:t xml:space="preserve"> Birkinshaw 2007</w:t>
      </w:r>
      <w:r w:rsidR="00CE2F94">
        <w:rPr>
          <w:noProof/>
        </w:rPr>
        <w:t>, p.121</w:t>
      </w:r>
      <w:r w:rsidR="00CE2F94">
        <w:rPr>
          <w:rFonts w:asciiTheme="majorBidi" w:hAnsiTheme="majorBidi" w:cstheme="majorBidi"/>
          <w:noProof/>
          <w:color w:val="1F2024"/>
        </w:rPr>
        <w:t>)</w:t>
      </w:r>
      <w:r w:rsidR="00A619B7">
        <w:rPr>
          <w:rFonts w:asciiTheme="majorBidi" w:hAnsiTheme="majorBidi" w:cstheme="majorBidi"/>
          <w:color w:val="1F2024"/>
        </w:rPr>
        <w:fldChar w:fldCharType="end"/>
      </w:r>
      <w:r w:rsidR="0082093D" w:rsidRPr="0088516C">
        <w:rPr>
          <w:rFonts w:asciiTheme="majorBidi" w:hAnsiTheme="majorBidi" w:cstheme="majorBidi"/>
          <w:color w:val="1F2024"/>
        </w:rPr>
        <w:t xml:space="preserve">. </w:t>
      </w:r>
      <w:r w:rsidRPr="006A573D">
        <w:rPr>
          <w:rFonts w:asciiTheme="majorBidi" w:hAnsiTheme="majorBidi" w:cstheme="majorBidi"/>
          <w:color w:val="1F2024"/>
        </w:rPr>
        <w:t xml:space="preserve">Moreover, the device </w:t>
      </w:r>
      <w:r w:rsidR="00B852A8">
        <w:rPr>
          <w:rFonts w:asciiTheme="majorBidi" w:hAnsiTheme="majorBidi" w:cstheme="majorBidi"/>
          <w:color w:val="1F2024"/>
        </w:rPr>
        <w:t>helps understand</w:t>
      </w:r>
      <w:r w:rsidRPr="006A573D">
        <w:rPr>
          <w:rFonts w:asciiTheme="majorBidi" w:hAnsiTheme="majorBidi" w:cstheme="majorBidi"/>
          <w:color w:val="1F2024"/>
        </w:rPr>
        <w:t xml:space="preserve"> the venture determinations that InterContinental Lodging Group PLC should embrace</w:t>
      </w:r>
      <w:r w:rsidR="0082093D" w:rsidRPr="0088516C">
        <w:rPr>
          <w:rFonts w:asciiTheme="majorBidi" w:hAnsiTheme="majorBidi" w:cstheme="majorBidi"/>
          <w:color w:val="1F2024"/>
        </w:rPr>
        <w:t>.</w:t>
      </w:r>
    </w:p>
    <w:p w14:paraId="731AE89F" w14:textId="77777777" w:rsidR="0082093D" w:rsidRDefault="0082093D" w:rsidP="00D26741">
      <w:pPr>
        <w:pStyle w:val="Heading2"/>
        <w:numPr>
          <w:ilvl w:val="1"/>
          <w:numId w:val="1"/>
        </w:numPr>
        <w:jc w:val="both"/>
        <w:rPr>
          <w:sz w:val="24"/>
          <w:szCs w:val="24"/>
        </w:rPr>
      </w:pPr>
      <w:bookmarkStart w:id="35" w:name="_Toc145025789"/>
      <w:r>
        <w:t>Stars</w:t>
      </w:r>
      <w:bookmarkEnd w:id="35"/>
    </w:p>
    <w:p w14:paraId="6A5B1C43" w14:textId="39A81B49" w:rsidR="0082093D" w:rsidRPr="0088516C" w:rsidRDefault="001C42D6" w:rsidP="00D26741">
      <w:pPr>
        <w:pStyle w:val="NormalWeb"/>
        <w:shd w:val="clear" w:color="auto" w:fill="FFFFFF"/>
        <w:spacing w:before="0" w:beforeAutospacing="0" w:line="360" w:lineRule="auto"/>
        <w:jc w:val="both"/>
        <w:rPr>
          <w:rFonts w:asciiTheme="majorBidi" w:hAnsiTheme="majorBidi" w:cstheme="majorBidi"/>
          <w:color w:val="1F2024"/>
        </w:rPr>
      </w:pPr>
      <w:r w:rsidRPr="001C42D6">
        <w:rPr>
          <w:rFonts w:asciiTheme="majorBidi" w:hAnsiTheme="majorBidi" w:cstheme="majorBidi"/>
          <w:color w:val="1F2024"/>
        </w:rPr>
        <w:t>The constellation of stars is the items and solutions that outperform their competitors in marketplace operations</w:t>
      </w:r>
      <w:r w:rsidR="00CE2F94">
        <w:rPr>
          <w:rFonts w:asciiTheme="majorBidi" w:hAnsiTheme="majorBidi" w:cstheme="majorBidi"/>
          <w:color w:val="1F2024"/>
        </w:rPr>
        <w:t xml:space="preserve"> (</w:t>
      </w:r>
      <w:r w:rsidR="00CE2F94" w:rsidRPr="00CE2F94">
        <w:rPr>
          <w:noProof/>
        </w:rPr>
        <w:t>Morgan</w:t>
      </w:r>
      <w:r w:rsidR="00CE2F94">
        <w:rPr>
          <w:noProof/>
        </w:rPr>
        <w:t xml:space="preserve"> &amp; </w:t>
      </w:r>
      <w:r w:rsidR="00CE2F94" w:rsidRPr="00CE2F94">
        <w:rPr>
          <w:noProof/>
        </w:rPr>
        <w:t>Shanahan 2009</w:t>
      </w:r>
      <w:r w:rsidR="00CE2F94">
        <w:rPr>
          <w:noProof/>
        </w:rPr>
        <w:t>, 55</w:t>
      </w:r>
      <w:r w:rsidR="00CE2F94">
        <w:rPr>
          <w:rFonts w:asciiTheme="majorBidi" w:hAnsiTheme="majorBidi" w:cstheme="majorBidi"/>
          <w:color w:val="1F2024"/>
        </w:rPr>
        <w:t>)</w:t>
      </w:r>
      <w:r w:rsidRPr="001C42D6">
        <w:rPr>
          <w:rFonts w:asciiTheme="majorBidi" w:hAnsiTheme="majorBidi" w:cstheme="majorBidi"/>
          <w:color w:val="1F2024"/>
        </w:rPr>
        <w:t>.</w:t>
      </w:r>
      <w:r w:rsidR="0082093D" w:rsidRPr="0088516C">
        <w:rPr>
          <w:rFonts w:asciiTheme="majorBidi" w:hAnsiTheme="majorBidi" w:cstheme="majorBidi"/>
          <w:color w:val="1F2024"/>
        </w:rPr>
        <w:t xml:space="preserve"> </w:t>
      </w:r>
      <w:r w:rsidR="006A573D" w:rsidRPr="006A573D">
        <w:rPr>
          <w:rFonts w:asciiTheme="majorBidi" w:hAnsiTheme="majorBidi" w:cstheme="majorBidi"/>
          <w:color w:val="1F2024"/>
        </w:rPr>
        <w:t>Online activities and conveniences are evaluated as stars at InterContinental Inn Group the Programmable Rationale since they give extra chances to build the company's benefits. Thus, the organization ought to rise its spending on the progression of online assistance giving. In 2011, web distributi</w:t>
      </w:r>
      <w:r w:rsidR="00B852A8">
        <w:rPr>
          <w:rFonts w:asciiTheme="majorBidi" w:hAnsiTheme="majorBidi" w:cstheme="majorBidi"/>
          <w:color w:val="1F2024"/>
        </w:rPr>
        <w:t>on</w:t>
      </w:r>
      <w:r w:rsidR="006A573D" w:rsidRPr="006A573D">
        <w:rPr>
          <w:rFonts w:asciiTheme="majorBidi" w:hAnsiTheme="majorBidi" w:cstheme="majorBidi"/>
          <w:color w:val="1F2024"/>
        </w:rPr>
        <w:t xml:space="preserve"> expanded by over 40%. </w:t>
      </w:r>
      <w:r w:rsidR="006A573D" w:rsidRPr="006A573D">
        <w:rPr>
          <w:rFonts w:asciiTheme="majorBidi" w:hAnsiTheme="majorBidi" w:cstheme="majorBidi"/>
          <w:color w:val="1F2024"/>
        </w:rPr>
        <w:lastRenderedPageBreak/>
        <w:t>Therefore, web access arrangements are basic to InterContinental Lodging Group PLC's drawn</w:t>
      </w:r>
      <w:r w:rsidR="00B852A8">
        <w:rPr>
          <w:rFonts w:asciiTheme="majorBidi" w:hAnsiTheme="majorBidi" w:cstheme="majorBidi"/>
          <w:color w:val="1F2024"/>
        </w:rPr>
        <w:t>-</w:t>
      </w:r>
      <w:r w:rsidR="006A573D" w:rsidRPr="006A573D">
        <w:rPr>
          <w:rFonts w:asciiTheme="majorBidi" w:hAnsiTheme="majorBidi" w:cstheme="majorBidi"/>
          <w:color w:val="1F2024"/>
        </w:rPr>
        <w:t>out progress. Hence, the InterContinental Lodging Partnership PLC keeps on being a focusing light in the arrangement of administrations, especially in the utilization of data innovation</w:t>
      </w:r>
      <w:r w:rsidRPr="001C42D6">
        <w:rPr>
          <w:rFonts w:asciiTheme="majorBidi" w:hAnsiTheme="majorBidi" w:cstheme="majorBidi"/>
          <w:color w:val="1F2024"/>
        </w:rPr>
        <w:t>.</w:t>
      </w:r>
    </w:p>
    <w:p w14:paraId="445823F6" w14:textId="77777777" w:rsidR="0082093D" w:rsidRPr="0088516C" w:rsidRDefault="0082093D" w:rsidP="00D26741">
      <w:pPr>
        <w:pStyle w:val="Heading2"/>
        <w:numPr>
          <w:ilvl w:val="1"/>
          <w:numId w:val="1"/>
        </w:numPr>
        <w:jc w:val="both"/>
      </w:pPr>
      <w:bookmarkStart w:id="36" w:name="_Toc145025790"/>
      <w:r w:rsidRPr="0088516C">
        <w:t>Cash Cows</w:t>
      </w:r>
      <w:bookmarkEnd w:id="36"/>
    </w:p>
    <w:p w14:paraId="0468643F" w14:textId="77777777" w:rsidR="0082093D" w:rsidRPr="0088516C" w:rsidRDefault="006A573D" w:rsidP="00D26741">
      <w:pPr>
        <w:pStyle w:val="NormalWeb"/>
        <w:shd w:val="clear" w:color="auto" w:fill="FFFFFF"/>
        <w:spacing w:before="0" w:beforeAutospacing="0" w:line="360" w:lineRule="auto"/>
        <w:jc w:val="both"/>
        <w:rPr>
          <w:rFonts w:asciiTheme="majorBidi" w:hAnsiTheme="majorBidi" w:cstheme="majorBidi"/>
          <w:color w:val="1F2024"/>
        </w:rPr>
      </w:pPr>
      <w:r w:rsidRPr="006A573D">
        <w:rPr>
          <w:rFonts w:asciiTheme="majorBidi" w:hAnsiTheme="majorBidi" w:cstheme="majorBidi"/>
          <w:color w:val="1F2024"/>
        </w:rPr>
        <w:t>The kinds of revenue show the administrations that permit the InterContinental Inn Group PLC to accomplish market initiative</w:t>
      </w:r>
      <w:r w:rsidR="00B852A8">
        <w:rPr>
          <w:rFonts w:asciiTheme="majorBidi" w:hAnsiTheme="majorBidi" w:cstheme="majorBidi"/>
          <w:color w:val="1F2024"/>
        </w:rPr>
        <w:t>s</w:t>
      </w:r>
      <w:r w:rsidRPr="006A573D">
        <w:rPr>
          <w:rFonts w:asciiTheme="majorBidi" w:hAnsiTheme="majorBidi" w:cstheme="majorBidi"/>
          <w:color w:val="1F2024"/>
        </w:rPr>
        <w:t xml:space="preserve">. InterContinental Lodging Group PLC proceeding to give facilities in nations where the organization doesn't at present work. Besides, the organization keeps on offering exceptional types of assistance that blow away customer joy. Notwithstanding, future development potential for the administrations </w:t>
      </w:r>
      <w:r w:rsidR="00B852A8">
        <w:rPr>
          <w:rFonts w:asciiTheme="majorBidi" w:hAnsiTheme="majorBidi" w:cstheme="majorBidi"/>
          <w:color w:val="1F2024"/>
        </w:rPr>
        <w:t>is</w:t>
      </w:r>
      <w:r w:rsidRPr="006A573D">
        <w:rPr>
          <w:rFonts w:asciiTheme="majorBidi" w:hAnsiTheme="majorBidi" w:cstheme="majorBidi"/>
          <w:color w:val="1F2024"/>
        </w:rPr>
        <w:t xml:space="preserve"> restricted. More than 100 housing foundations </w:t>
      </w:r>
      <w:r w:rsidR="00B852A8">
        <w:rPr>
          <w:rFonts w:asciiTheme="majorBidi" w:hAnsiTheme="majorBidi" w:cstheme="majorBidi"/>
          <w:color w:val="1F2024"/>
        </w:rPr>
        <w:t xml:space="preserve">are </w:t>
      </w:r>
      <w:r w:rsidRPr="006A573D">
        <w:rPr>
          <w:rFonts w:asciiTheme="majorBidi" w:hAnsiTheme="majorBidi" w:cstheme="majorBidi"/>
          <w:color w:val="1F2024"/>
        </w:rPr>
        <w:t>distributed all through the world to keep on conveying a consistent stockpile of administrations to its clients, permitting the firm to procure incomes that can be take</w:t>
      </w:r>
      <w:r w:rsidR="00B852A8">
        <w:rPr>
          <w:rFonts w:asciiTheme="majorBidi" w:hAnsiTheme="majorBidi" w:cstheme="majorBidi"/>
          <w:color w:val="1F2024"/>
        </w:rPr>
        <w:t>n</w:t>
      </w:r>
      <w:r w:rsidRPr="006A573D">
        <w:rPr>
          <w:rFonts w:asciiTheme="majorBidi" w:hAnsiTheme="majorBidi" w:cstheme="majorBidi"/>
          <w:color w:val="1F2024"/>
        </w:rPr>
        <w:t xml:space="preserve"> a chance in Stars</w:t>
      </w:r>
      <w:r w:rsidR="0082093D" w:rsidRPr="0088516C">
        <w:rPr>
          <w:rFonts w:asciiTheme="majorBidi" w:hAnsiTheme="majorBidi" w:cstheme="majorBidi"/>
          <w:color w:val="1F2024"/>
        </w:rPr>
        <w:t>.</w:t>
      </w:r>
    </w:p>
    <w:p w14:paraId="33DA6A21" w14:textId="77777777" w:rsidR="0082093D" w:rsidRPr="0088516C" w:rsidRDefault="0082093D" w:rsidP="00D26741">
      <w:pPr>
        <w:pStyle w:val="Heading2"/>
        <w:numPr>
          <w:ilvl w:val="1"/>
          <w:numId w:val="1"/>
        </w:numPr>
        <w:jc w:val="both"/>
      </w:pPr>
      <w:bookmarkStart w:id="37" w:name="_Toc145025791"/>
      <w:r w:rsidRPr="0088516C">
        <w:t>Question Marks</w:t>
      </w:r>
      <w:bookmarkEnd w:id="37"/>
    </w:p>
    <w:p w14:paraId="5D263207" w14:textId="79E1C738" w:rsidR="00A8459C" w:rsidRDefault="006A573D" w:rsidP="00D26741">
      <w:pPr>
        <w:pStyle w:val="NormalWeb"/>
        <w:shd w:val="clear" w:color="auto" w:fill="FFFFFF"/>
        <w:spacing w:before="0" w:beforeAutospacing="0" w:line="360" w:lineRule="auto"/>
        <w:jc w:val="both"/>
        <w:rPr>
          <w:rFonts w:asciiTheme="majorBidi" w:hAnsiTheme="majorBidi" w:cstheme="majorBidi"/>
          <w:color w:val="1F2024"/>
        </w:rPr>
      </w:pPr>
      <w:r w:rsidRPr="006A573D">
        <w:rPr>
          <w:rFonts w:asciiTheme="majorBidi" w:hAnsiTheme="majorBidi" w:cstheme="majorBidi"/>
          <w:color w:val="1F2024"/>
        </w:rPr>
        <w:t>The administration</w:t>
      </w:r>
      <w:r w:rsidR="00B852A8">
        <w:rPr>
          <w:rFonts w:asciiTheme="majorBidi" w:hAnsiTheme="majorBidi" w:cstheme="majorBidi"/>
          <w:color w:val="1F2024"/>
        </w:rPr>
        <w:t>'s</w:t>
      </w:r>
      <w:r w:rsidRPr="006A573D">
        <w:rPr>
          <w:rFonts w:asciiTheme="majorBidi" w:hAnsiTheme="majorBidi" w:cstheme="majorBidi"/>
          <w:color w:val="1F2024"/>
        </w:rPr>
        <w:t xml:space="preserve"> division of Worldwide Lodging Gathering PLC ha</w:t>
      </w:r>
      <w:r w:rsidR="00B852A8">
        <w:rPr>
          <w:rFonts w:asciiTheme="majorBidi" w:hAnsiTheme="majorBidi" w:cstheme="majorBidi"/>
          <w:color w:val="1F2024"/>
        </w:rPr>
        <w:t>s</w:t>
      </w:r>
      <w:r w:rsidRPr="006A573D">
        <w:rPr>
          <w:rFonts w:asciiTheme="majorBidi" w:hAnsiTheme="majorBidi" w:cstheme="majorBidi"/>
          <w:color w:val="1F2024"/>
        </w:rPr>
        <w:t xml:space="preserve"> a low portion of the overall industry however extraordinary development possibilities have been represented by the question marks</w:t>
      </w:r>
      <w:r w:rsidR="00A8459C" w:rsidRPr="00A8459C">
        <w:rPr>
          <w:rFonts w:asciiTheme="majorBidi" w:hAnsiTheme="majorBidi" w:cstheme="majorBidi"/>
          <w:color w:val="1F2024"/>
        </w:rPr>
        <w:t xml:space="preserve"> </w:t>
      </w:r>
      <w:r w:rsidR="00A619B7">
        <w:rPr>
          <w:rFonts w:asciiTheme="majorBidi" w:hAnsiTheme="majorBidi" w:cstheme="majorBidi"/>
          <w:color w:val="1F2024"/>
        </w:rPr>
        <w:fldChar w:fldCharType="begin" w:fldLock="1"/>
      </w:r>
      <w:r w:rsidR="00EF12A9">
        <w:rPr>
          <w:rFonts w:asciiTheme="majorBidi" w:hAnsiTheme="majorBidi" w:cstheme="majorBidi"/>
          <w:color w:val="1F2024"/>
        </w:rPr>
        <w:instrText>ADDIN CSL_CITATION {"citationItems":[{"id":"ITEM-1","itemData":{"ISBN":"9781567203493","author":[{"dropping-particle":"","family":"Langabeer","given":"J","non-dropping-particle":"","parse-names":false,"suffix":""},{"dropping-particle":"","family":"Napiewocki","given":"J","non-dropping-particle":"","parse-names":false,"suffix":""}],"collection-title":"ABC-Clio ebook","id":"ITEM-1","issued":{"date-parts":[["2000"]]},"publisher":"Bloomsbury Academic","title":"Competitive Business Strategy for Teaching Hospitals","type":"book"},"uris":["http://www.mendeley.com/documents/?uuid=a51297e2-4678-4588-905d-75e2f6dc24e1"]}],"mendeley":{"formattedCitation":"[33]","plainTextFormattedCitation":"[33]","previouslyFormattedCitation":"[32]"},"properties":{"noteIndex":0},"schema":"https://github.com/citation-style-language/schema/raw/master/csl-citation.json"}</w:instrText>
      </w:r>
      <w:r w:rsidR="00A619B7">
        <w:rPr>
          <w:rFonts w:asciiTheme="majorBidi" w:hAnsiTheme="majorBidi" w:cstheme="majorBidi"/>
          <w:color w:val="1F2024"/>
        </w:rPr>
        <w:fldChar w:fldCharType="separate"/>
      </w:r>
      <w:r w:rsidR="00C63D69">
        <w:rPr>
          <w:rFonts w:asciiTheme="majorBidi" w:hAnsiTheme="majorBidi" w:cstheme="majorBidi"/>
          <w:noProof/>
          <w:color w:val="1F2024"/>
        </w:rPr>
        <w:t>(</w:t>
      </w:r>
      <w:r w:rsidR="00C63D69" w:rsidRPr="00C63D69">
        <w:rPr>
          <w:noProof/>
        </w:rPr>
        <w:t>Langabeer</w:t>
      </w:r>
      <w:r w:rsidR="00C63D69">
        <w:rPr>
          <w:noProof/>
        </w:rPr>
        <w:t xml:space="preserve"> &amp; </w:t>
      </w:r>
      <w:r w:rsidR="00C63D69" w:rsidRPr="00C63D69">
        <w:rPr>
          <w:noProof/>
        </w:rPr>
        <w:t>Napiewocki 2000</w:t>
      </w:r>
      <w:r w:rsidR="00C63D69">
        <w:rPr>
          <w:rFonts w:asciiTheme="majorBidi" w:hAnsiTheme="majorBidi" w:cstheme="majorBidi"/>
          <w:noProof/>
          <w:color w:val="1F2024"/>
        </w:rPr>
        <w:t>)</w:t>
      </w:r>
      <w:r w:rsidR="00A619B7">
        <w:rPr>
          <w:rFonts w:asciiTheme="majorBidi" w:hAnsiTheme="majorBidi" w:cstheme="majorBidi"/>
          <w:color w:val="1F2024"/>
        </w:rPr>
        <w:fldChar w:fldCharType="end"/>
      </w:r>
      <w:r w:rsidR="0082093D" w:rsidRPr="0088516C">
        <w:rPr>
          <w:rFonts w:asciiTheme="majorBidi" w:hAnsiTheme="majorBidi" w:cstheme="majorBidi"/>
          <w:color w:val="1F2024"/>
        </w:rPr>
        <w:t xml:space="preserve">. </w:t>
      </w:r>
      <w:r w:rsidRPr="006A573D">
        <w:rPr>
          <w:rFonts w:asciiTheme="majorBidi" w:hAnsiTheme="majorBidi" w:cstheme="majorBidi"/>
          <w:color w:val="1F2024"/>
        </w:rPr>
        <w:t xml:space="preserve">Secretly named lodging brands can catch </w:t>
      </w:r>
      <w:r w:rsidR="00B852A8">
        <w:rPr>
          <w:rFonts w:asciiTheme="majorBidi" w:hAnsiTheme="majorBidi" w:cstheme="majorBidi"/>
          <w:color w:val="1F2024"/>
        </w:rPr>
        <w:t xml:space="preserve">a </w:t>
      </w:r>
      <w:r w:rsidRPr="006A573D">
        <w:rPr>
          <w:rFonts w:asciiTheme="majorBidi" w:hAnsiTheme="majorBidi" w:cstheme="majorBidi"/>
          <w:color w:val="1F2024"/>
        </w:rPr>
        <w:t>portion of the overall industry by offering imaginative types of assistance that make the InterContinental Hospitality Group PLC marks more interesting to customers</w:t>
      </w:r>
      <w:r w:rsidR="00A8459C" w:rsidRPr="00A8459C">
        <w:rPr>
          <w:rFonts w:asciiTheme="majorBidi" w:hAnsiTheme="majorBidi" w:cstheme="majorBidi"/>
          <w:color w:val="1F2024"/>
        </w:rPr>
        <w:t>.</w:t>
      </w:r>
    </w:p>
    <w:p w14:paraId="1D5A1FAB" w14:textId="77777777" w:rsidR="0082093D" w:rsidRPr="0088516C" w:rsidRDefault="0082093D" w:rsidP="00D26741">
      <w:pPr>
        <w:pStyle w:val="Heading2"/>
        <w:numPr>
          <w:ilvl w:val="1"/>
          <w:numId w:val="1"/>
        </w:numPr>
        <w:jc w:val="both"/>
      </w:pPr>
      <w:bookmarkStart w:id="38" w:name="_Toc145025792"/>
      <w:r w:rsidRPr="0088516C">
        <w:t>Dogs</w:t>
      </w:r>
      <w:bookmarkEnd w:id="38"/>
    </w:p>
    <w:p w14:paraId="257DB6E5" w14:textId="7B191CE5" w:rsidR="0082093D" w:rsidRDefault="00A8459C" w:rsidP="00D26741">
      <w:pPr>
        <w:pStyle w:val="NormalWeb"/>
        <w:shd w:val="clear" w:color="auto" w:fill="FFFFFF"/>
        <w:spacing w:before="0" w:beforeAutospacing="0" w:line="360" w:lineRule="auto"/>
        <w:jc w:val="both"/>
        <w:rPr>
          <w:rFonts w:asciiTheme="majorBidi" w:hAnsiTheme="majorBidi" w:cstheme="majorBidi"/>
          <w:color w:val="1F2024"/>
        </w:rPr>
      </w:pPr>
      <w:r w:rsidRPr="00A8459C">
        <w:rPr>
          <w:rFonts w:asciiTheme="majorBidi" w:hAnsiTheme="majorBidi" w:cstheme="majorBidi"/>
          <w:color w:val="1F2024"/>
        </w:rPr>
        <w:t xml:space="preserve">Dogs allude to InterContinental Hotel Group PLC's services, which have a low market share and are not appealing, as well as having minimal growth possibilities </w:t>
      </w:r>
      <w:r w:rsidR="00A619B7">
        <w:rPr>
          <w:rFonts w:asciiTheme="majorBidi" w:hAnsiTheme="majorBidi" w:cstheme="majorBidi"/>
          <w:color w:val="1F2024"/>
        </w:rPr>
        <w:fldChar w:fldCharType="begin" w:fldLock="1"/>
      </w:r>
      <w:r w:rsidR="00EF12A9">
        <w:rPr>
          <w:rFonts w:asciiTheme="majorBidi" w:hAnsiTheme="majorBidi" w:cstheme="majorBidi"/>
          <w:color w:val="1F2024"/>
        </w:rPr>
        <w:instrText>ADDIN CSL_CITATION {"citationItems":[{"id":"ITEM-1","itemData":{"author":[{"dropping-particle":"","family":"Porter","given":"Michael E","non-dropping-particle":"","parse-names":false,"suffix":""},{"dropping-particle":"","family":"Christensen","given":"C Roland","non-dropping-particle":"","parse-names":false,"suffix":""}],"id":"ITEM-1","issue":"1","issued":{"date-parts":[["2000"]]},"page":"15-34","title":"Location , Competition , and Economic Development : Local Clusters in a Global Economy","type":"article-journal","volume":"14"},"uris":["http://www.mendeley.com/documents/?uuid=7c18e900-999c-4921-865f-338639b3838e"]}],"mendeley":{"formattedCitation":"[34]","plainTextFormattedCitation":"[34]","previouslyFormattedCitation":"[33]"},"properties":{"noteIndex":0},"schema":"https://github.com/citation-style-language/schema/raw/master/csl-citation.json"}</w:instrText>
      </w:r>
      <w:r w:rsidR="00A619B7">
        <w:rPr>
          <w:rFonts w:asciiTheme="majorBidi" w:hAnsiTheme="majorBidi" w:cstheme="majorBidi"/>
          <w:color w:val="1F2024"/>
        </w:rPr>
        <w:fldChar w:fldCharType="separate"/>
      </w:r>
      <w:r w:rsidR="00C63D69">
        <w:rPr>
          <w:noProof/>
        </w:rPr>
        <w:t>(</w:t>
      </w:r>
      <w:r w:rsidR="00C63D69" w:rsidRPr="00C63D69">
        <w:rPr>
          <w:noProof/>
        </w:rPr>
        <w:t>Porter</w:t>
      </w:r>
      <w:r w:rsidR="00C63D69">
        <w:rPr>
          <w:noProof/>
        </w:rPr>
        <w:t xml:space="preserve"> </w:t>
      </w:r>
      <w:r w:rsidR="00C63D69" w:rsidRPr="00C63D69">
        <w:rPr>
          <w:noProof/>
        </w:rPr>
        <w:t>2000</w:t>
      </w:r>
      <w:r w:rsidR="00A619B7">
        <w:rPr>
          <w:rFonts w:asciiTheme="majorBidi" w:hAnsiTheme="majorBidi" w:cstheme="majorBidi"/>
          <w:color w:val="1F2024"/>
        </w:rPr>
        <w:fldChar w:fldCharType="end"/>
      </w:r>
      <w:r w:rsidR="00C63D69">
        <w:rPr>
          <w:rFonts w:asciiTheme="majorBidi" w:hAnsiTheme="majorBidi" w:cstheme="majorBidi"/>
          <w:color w:val="1F2024"/>
        </w:rPr>
        <w:t>, 15)</w:t>
      </w:r>
      <w:r w:rsidR="0082093D" w:rsidRPr="002B1040">
        <w:rPr>
          <w:rFonts w:asciiTheme="majorBidi" w:hAnsiTheme="majorBidi" w:cstheme="majorBidi"/>
          <w:color w:val="1F2024"/>
        </w:rPr>
        <w:t xml:space="preserve">. </w:t>
      </w:r>
      <w:r w:rsidRPr="00A8459C">
        <w:rPr>
          <w:rFonts w:asciiTheme="majorBidi" w:hAnsiTheme="majorBidi" w:cstheme="majorBidi"/>
          <w:color w:val="1F2024"/>
        </w:rPr>
        <w:t>InterContinental Hotel Group PLC hotels in competing nations are classified as Dogs. In essence, the corporation ought to avoid investing further in highly competitive countries.</w:t>
      </w:r>
    </w:p>
    <w:p w14:paraId="62DE2583" w14:textId="77777777" w:rsidR="0043737B" w:rsidRDefault="0043737B" w:rsidP="00D26741">
      <w:pPr>
        <w:pStyle w:val="NormalWeb"/>
        <w:shd w:val="clear" w:color="auto" w:fill="FFFFFF"/>
        <w:spacing w:before="0" w:beforeAutospacing="0" w:line="360" w:lineRule="auto"/>
        <w:jc w:val="both"/>
        <w:rPr>
          <w:rFonts w:asciiTheme="majorBidi" w:hAnsiTheme="majorBidi" w:cstheme="majorBidi"/>
          <w:color w:val="1F2024"/>
        </w:rPr>
      </w:pPr>
    </w:p>
    <w:p w14:paraId="7F5206E0" w14:textId="77777777" w:rsidR="0043737B" w:rsidRPr="002B1040" w:rsidRDefault="0043737B" w:rsidP="00D26741">
      <w:pPr>
        <w:pStyle w:val="NormalWeb"/>
        <w:shd w:val="clear" w:color="auto" w:fill="FFFFFF"/>
        <w:spacing w:before="0" w:beforeAutospacing="0" w:line="360" w:lineRule="auto"/>
        <w:jc w:val="both"/>
        <w:rPr>
          <w:rFonts w:asciiTheme="majorBidi" w:hAnsiTheme="majorBidi" w:cstheme="majorBidi"/>
          <w:color w:val="1F2024"/>
        </w:rPr>
      </w:pPr>
    </w:p>
    <w:p w14:paraId="08DEBBFC" w14:textId="77777777" w:rsidR="0082093D" w:rsidRPr="00542F2D" w:rsidRDefault="0082093D" w:rsidP="00D26741">
      <w:pPr>
        <w:pStyle w:val="Heading1"/>
        <w:numPr>
          <w:ilvl w:val="0"/>
          <w:numId w:val="1"/>
        </w:numPr>
        <w:jc w:val="both"/>
        <w:rPr>
          <w:color w:val="auto"/>
        </w:rPr>
      </w:pPr>
      <w:bookmarkStart w:id="39" w:name="_Toc145025793"/>
      <w:r w:rsidRPr="00542F2D">
        <w:rPr>
          <w:color w:val="auto"/>
        </w:rPr>
        <w:lastRenderedPageBreak/>
        <w:t>Recommendations and conclusion</w:t>
      </w:r>
      <w:bookmarkEnd w:id="39"/>
    </w:p>
    <w:p w14:paraId="63DE68B8" w14:textId="77777777" w:rsidR="0082093D" w:rsidRPr="00542F2D" w:rsidRDefault="0082093D" w:rsidP="00D26741">
      <w:pPr>
        <w:pStyle w:val="Heading2"/>
        <w:numPr>
          <w:ilvl w:val="1"/>
          <w:numId w:val="1"/>
        </w:numPr>
        <w:jc w:val="both"/>
      </w:pPr>
      <w:bookmarkStart w:id="40" w:name="_Toc145025794"/>
      <w:r w:rsidRPr="00542F2D">
        <w:t>Recommendations</w:t>
      </w:r>
      <w:bookmarkEnd w:id="40"/>
    </w:p>
    <w:p w14:paraId="66644132" w14:textId="77777777" w:rsidR="00A8459C" w:rsidRDefault="006A573D" w:rsidP="00D26741">
      <w:pPr>
        <w:pStyle w:val="NormalWeb"/>
        <w:shd w:val="clear" w:color="auto" w:fill="FFFFFF"/>
        <w:spacing w:before="0" w:beforeAutospacing="0" w:line="360" w:lineRule="auto"/>
        <w:jc w:val="both"/>
        <w:rPr>
          <w:rFonts w:asciiTheme="majorBidi" w:hAnsiTheme="majorBidi" w:cstheme="majorBidi"/>
          <w:color w:val="1F2024"/>
        </w:rPr>
      </w:pPr>
      <w:r w:rsidRPr="006A573D">
        <w:rPr>
          <w:rFonts w:asciiTheme="majorBidi" w:hAnsiTheme="majorBidi" w:cstheme="majorBidi"/>
          <w:color w:val="1F2024"/>
        </w:rPr>
        <w:t xml:space="preserve">The firm ought to focus on carrying out current techniques while considering different perspectives, for example, its monetary conditions and </w:t>
      </w:r>
      <w:r w:rsidR="00B852A8">
        <w:rPr>
          <w:rFonts w:asciiTheme="majorBidi" w:hAnsiTheme="majorBidi" w:cstheme="majorBidi"/>
          <w:color w:val="1F2024"/>
        </w:rPr>
        <w:t xml:space="preserve">the </w:t>
      </w:r>
      <w:r w:rsidRPr="006A573D">
        <w:rPr>
          <w:rFonts w:asciiTheme="majorBidi" w:hAnsiTheme="majorBidi" w:cstheme="majorBidi"/>
          <w:color w:val="1F2024"/>
        </w:rPr>
        <w:t>different perils the association faces. Besides, the organization ought to keep up with its expansionist arrangements, which are basic to its developing business sector presence. In any case, given the association's ongoing profitable situation in the overall travel industry and accommodation industry, InterContinental Inn Gathering PLC needs to further develop its image execution to address the test presented by rising economy lodging networks</w:t>
      </w:r>
      <w:r w:rsidR="0082093D" w:rsidRPr="009C31C9">
        <w:rPr>
          <w:rFonts w:asciiTheme="majorBidi" w:hAnsiTheme="majorBidi" w:cstheme="majorBidi"/>
          <w:color w:val="1F2024"/>
        </w:rPr>
        <w:t>.</w:t>
      </w:r>
    </w:p>
    <w:p w14:paraId="2F25F9A6" w14:textId="69B9FACB" w:rsidR="0082093D" w:rsidRPr="009C31C9" w:rsidRDefault="006A573D" w:rsidP="00D26741">
      <w:pPr>
        <w:pStyle w:val="NormalWeb"/>
        <w:shd w:val="clear" w:color="auto" w:fill="FFFFFF"/>
        <w:spacing w:before="0" w:beforeAutospacing="0" w:line="360" w:lineRule="auto"/>
        <w:jc w:val="both"/>
        <w:rPr>
          <w:rFonts w:asciiTheme="majorBidi" w:hAnsiTheme="majorBidi" w:cstheme="majorBidi"/>
          <w:color w:val="1F2024"/>
        </w:rPr>
      </w:pPr>
      <w:r w:rsidRPr="006A573D">
        <w:rPr>
          <w:rFonts w:asciiTheme="majorBidi" w:hAnsiTheme="majorBidi" w:cstheme="majorBidi"/>
          <w:color w:val="1F2024"/>
        </w:rPr>
        <w:t xml:space="preserve">In </w:t>
      </w:r>
      <w:r w:rsidR="00B852A8">
        <w:rPr>
          <w:rFonts w:asciiTheme="majorBidi" w:hAnsiTheme="majorBidi" w:cstheme="majorBidi"/>
          <w:color w:val="1F2024"/>
        </w:rPr>
        <w:t xml:space="preserve">a </w:t>
      </w:r>
      <w:r w:rsidRPr="006A573D">
        <w:rPr>
          <w:rFonts w:asciiTheme="majorBidi" w:hAnsiTheme="majorBidi" w:cstheme="majorBidi"/>
          <w:color w:val="1F2024"/>
        </w:rPr>
        <w:t>sense, the organization should ensure that its image stays engaging and that it keeps up with market authority over contenders. Besides, the association ought to take a stab at remarkable returns by working on the viability of tasks and income conveyance. Besides, the company ought to proceed to create and use its extraordinary and unmistakable capabilities to acquire an upper hand. The firm must furthermore be forceful to acknowledge significant yields, which are essential in expanding the company's monetary limits and permitting it to r</w:t>
      </w:r>
      <w:r>
        <w:rPr>
          <w:rFonts w:asciiTheme="majorBidi" w:hAnsiTheme="majorBidi" w:cstheme="majorBidi"/>
          <w:color w:val="1F2024"/>
        </w:rPr>
        <w:t>un productively and effectively</w:t>
      </w:r>
      <w:r w:rsidR="0082093D" w:rsidRPr="009C31C9">
        <w:rPr>
          <w:rFonts w:asciiTheme="majorBidi" w:hAnsiTheme="majorBidi" w:cstheme="majorBidi"/>
          <w:color w:val="1F2024"/>
        </w:rPr>
        <w:t>.</w:t>
      </w:r>
    </w:p>
    <w:p w14:paraId="5EE73104" w14:textId="77777777" w:rsidR="0082093D" w:rsidRPr="009C31C9" w:rsidRDefault="0082093D" w:rsidP="00D26741">
      <w:pPr>
        <w:pStyle w:val="Heading2"/>
        <w:numPr>
          <w:ilvl w:val="1"/>
          <w:numId w:val="1"/>
        </w:numPr>
        <w:jc w:val="both"/>
        <w:rPr>
          <w:sz w:val="27"/>
          <w:szCs w:val="27"/>
        </w:rPr>
      </w:pPr>
      <w:bookmarkStart w:id="41" w:name="_Toc145025795"/>
      <w:r w:rsidRPr="009C31C9">
        <w:t>Conclusion</w:t>
      </w:r>
      <w:bookmarkEnd w:id="41"/>
    </w:p>
    <w:p w14:paraId="66504CE1" w14:textId="77777777" w:rsidR="0082093D" w:rsidRDefault="003B2594" w:rsidP="00D26741">
      <w:pPr>
        <w:pStyle w:val="NormalWeb"/>
        <w:shd w:val="clear" w:color="auto" w:fill="FFFFFF"/>
        <w:spacing w:before="0" w:beforeAutospacing="0" w:line="360" w:lineRule="auto"/>
        <w:jc w:val="both"/>
        <w:rPr>
          <w:rFonts w:asciiTheme="majorBidi" w:hAnsiTheme="majorBidi" w:cstheme="majorBidi"/>
          <w:color w:val="1F2024"/>
        </w:rPr>
      </w:pPr>
      <w:r w:rsidRPr="003B2594">
        <w:rPr>
          <w:rFonts w:asciiTheme="majorBidi" w:hAnsiTheme="majorBidi" w:cstheme="majorBidi"/>
          <w:color w:val="1F2024"/>
        </w:rPr>
        <w:t>By far most of InterContinental Inn Gathering PLC's associations have been compelling. Additionally, the association has continued to give various organizations through its overall housing associations. The affiliation's achievements can be credited to the suitable execution of its focal undertakings and the association's techniques. Various parts, in any case, influence the organization's fundamental activities. By and large, InterContinental Motel Assembling PLC's central organization and exercises are influenced by both inside and external normal effects. Notwithstanding outside normal obstructions, the association has stayed aware of its force. To additionally foster its market force, the firm ought to guarantee that its key procedures have been completed and focus cap</w:t>
      </w:r>
      <w:r>
        <w:rPr>
          <w:rFonts w:asciiTheme="majorBidi" w:hAnsiTheme="majorBidi" w:cstheme="majorBidi"/>
          <w:color w:val="1F2024"/>
        </w:rPr>
        <w:t>acities are adequately utilized</w:t>
      </w:r>
      <w:r w:rsidR="0082093D" w:rsidRPr="009C31C9">
        <w:rPr>
          <w:rFonts w:asciiTheme="majorBidi" w:hAnsiTheme="majorBidi" w:cstheme="majorBidi"/>
          <w:color w:val="1F2024"/>
        </w:rPr>
        <w:t>.</w:t>
      </w:r>
    </w:p>
    <w:p w14:paraId="31A23931" w14:textId="77777777" w:rsidR="0043737B" w:rsidRPr="009C31C9" w:rsidRDefault="0043737B" w:rsidP="00D26741">
      <w:pPr>
        <w:pStyle w:val="NormalWeb"/>
        <w:shd w:val="clear" w:color="auto" w:fill="FFFFFF"/>
        <w:spacing w:before="0" w:beforeAutospacing="0" w:line="360" w:lineRule="auto"/>
        <w:jc w:val="both"/>
        <w:rPr>
          <w:rFonts w:asciiTheme="majorBidi" w:hAnsiTheme="majorBidi" w:cstheme="majorBidi"/>
          <w:color w:val="1F2024"/>
        </w:rPr>
      </w:pPr>
    </w:p>
    <w:p w14:paraId="3778E465" w14:textId="77777777" w:rsidR="0082093D" w:rsidRPr="00542F2D" w:rsidRDefault="0082093D" w:rsidP="00D26741">
      <w:pPr>
        <w:pStyle w:val="Heading1"/>
        <w:numPr>
          <w:ilvl w:val="0"/>
          <w:numId w:val="1"/>
        </w:numPr>
        <w:jc w:val="both"/>
        <w:rPr>
          <w:color w:val="auto"/>
        </w:rPr>
      </w:pPr>
      <w:bookmarkStart w:id="42" w:name="_Toc145025796"/>
      <w:r w:rsidRPr="00542F2D">
        <w:rPr>
          <w:color w:val="auto"/>
        </w:rPr>
        <w:lastRenderedPageBreak/>
        <w:t>References</w:t>
      </w:r>
      <w:bookmarkEnd w:id="42"/>
    </w:p>
    <w:p w14:paraId="7568BD00" w14:textId="77777777" w:rsidR="003827FD" w:rsidRDefault="003827FD" w:rsidP="00D26741">
      <w:pPr>
        <w:widowControl w:val="0"/>
        <w:autoSpaceDE w:val="0"/>
        <w:autoSpaceDN w:val="0"/>
        <w:adjustRightInd w:val="0"/>
        <w:spacing w:after="0" w:line="360" w:lineRule="auto"/>
        <w:ind w:left="640" w:hanging="640"/>
        <w:jc w:val="both"/>
        <w:rPr>
          <w:rFonts w:asciiTheme="majorBidi" w:hAnsiTheme="majorBidi" w:cstheme="majorBidi"/>
          <w:sz w:val="24"/>
          <w:szCs w:val="24"/>
        </w:rPr>
      </w:pPr>
    </w:p>
    <w:p w14:paraId="1CA245F9" w14:textId="114BAC1D" w:rsidR="00CE2F94" w:rsidRDefault="00CE2F94" w:rsidP="00D26741">
      <w:pPr>
        <w:widowControl w:val="0"/>
        <w:autoSpaceDE w:val="0"/>
        <w:autoSpaceDN w:val="0"/>
        <w:adjustRightInd w:val="0"/>
        <w:spacing w:after="0" w:line="360" w:lineRule="auto"/>
        <w:ind w:left="640" w:hanging="640"/>
        <w:jc w:val="both"/>
        <w:rPr>
          <w:rFonts w:asciiTheme="majorBidi" w:hAnsiTheme="majorBidi" w:cstheme="majorBidi"/>
          <w:sz w:val="24"/>
          <w:szCs w:val="24"/>
        </w:rPr>
      </w:pPr>
      <w:r w:rsidRPr="00CE2F94">
        <w:rPr>
          <w:rFonts w:asciiTheme="majorBidi" w:hAnsiTheme="majorBidi" w:cstheme="majorBidi"/>
          <w:sz w:val="24"/>
          <w:szCs w:val="24"/>
        </w:rPr>
        <w:t>Aguilera, R.V. and Jackson, G., 2010. Comparative and international corporate governance. </w:t>
      </w:r>
      <w:r w:rsidRPr="00CE2F94">
        <w:rPr>
          <w:rFonts w:asciiTheme="majorBidi" w:hAnsiTheme="majorBidi" w:cstheme="majorBidi"/>
          <w:i/>
          <w:iCs/>
          <w:sz w:val="24"/>
          <w:szCs w:val="24"/>
        </w:rPr>
        <w:t>The academy of management annals</w:t>
      </w:r>
      <w:r w:rsidRPr="00CE2F94">
        <w:rPr>
          <w:rFonts w:asciiTheme="majorBidi" w:hAnsiTheme="majorBidi" w:cstheme="majorBidi"/>
          <w:sz w:val="24"/>
          <w:szCs w:val="24"/>
        </w:rPr>
        <w:t>, </w:t>
      </w:r>
      <w:r w:rsidRPr="00CE2F94">
        <w:rPr>
          <w:rFonts w:asciiTheme="majorBidi" w:hAnsiTheme="majorBidi" w:cstheme="majorBidi"/>
          <w:i/>
          <w:iCs/>
          <w:sz w:val="24"/>
          <w:szCs w:val="24"/>
        </w:rPr>
        <w:t>4</w:t>
      </w:r>
      <w:r w:rsidRPr="00CE2F94">
        <w:rPr>
          <w:rFonts w:asciiTheme="majorBidi" w:hAnsiTheme="majorBidi" w:cstheme="majorBidi"/>
          <w:sz w:val="24"/>
          <w:szCs w:val="24"/>
        </w:rPr>
        <w:t>(1), pp.485-556.</w:t>
      </w:r>
    </w:p>
    <w:p w14:paraId="2AA191D9" w14:textId="19779BD7" w:rsidR="003827FD" w:rsidRDefault="003827FD" w:rsidP="00D26741">
      <w:pPr>
        <w:widowControl w:val="0"/>
        <w:autoSpaceDE w:val="0"/>
        <w:autoSpaceDN w:val="0"/>
        <w:adjustRightInd w:val="0"/>
        <w:spacing w:after="0" w:line="360" w:lineRule="auto"/>
        <w:ind w:left="640" w:hanging="640"/>
        <w:jc w:val="both"/>
        <w:rPr>
          <w:rFonts w:asciiTheme="majorBidi" w:hAnsiTheme="majorBidi" w:cstheme="majorBidi"/>
          <w:sz w:val="24"/>
          <w:szCs w:val="24"/>
        </w:rPr>
      </w:pPr>
      <w:r w:rsidRPr="003827FD">
        <w:rPr>
          <w:rFonts w:asciiTheme="majorBidi" w:hAnsiTheme="majorBidi" w:cstheme="majorBidi"/>
          <w:sz w:val="24"/>
          <w:szCs w:val="24"/>
        </w:rPr>
        <w:t>Allison, S., 2004. Inward investment into the European hotel investment market. </w:t>
      </w:r>
      <w:r w:rsidRPr="003827FD">
        <w:rPr>
          <w:rFonts w:asciiTheme="majorBidi" w:hAnsiTheme="majorBidi" w:cstheme="majorBidi"/>
          <w:i/>
          <w:iCs/>
          <w:sz w:val="24"/>
          <w:szCs w:val="24"/>
        </w:rPr>
        <w:t>Journal of Retail &amp; Leisure Property</w:t>
      </w:r>
      <w:r w:rsidRPr="003827FD">
        <w:rPr>
          <w:rFonts w:asciiTheme="majorBidi" w:hAnsiTheme="majorBidi" w:cstheme="majorBidi"/>
          <w:sz w:val="24"/>
          <w:szCs w:val="24"/>
        </w:rPr>
        <w:t>, </w:t>
      </w:r>
      <w:r w:rsidRPr="003827FD">
        <w:rPr>
          <w:rFonts w:asciiTheme="majorBidi" w:hAnsiTheme="majorBidi" w:cstheme="majorBidi"/>
          <w:i/>
          <w:iCs/>
          <w:sz w:val="24"/>
          <w:szCs w:val="24"/>
        </w:rPr>
        <w:t>4</w:t>
      </w:r>
      <w:r w:rsidRPr="003827FD">
        <w:rPr>
          <w:rFonts w:asciiTheme="majorBidi" w:hAnsiTheme="majorBidi" w:cstheme="majorBidi"/>
          <w:sz w:val="24"/>
          <w:szCs w:val="24"/>
        </w:rPr>
        <w:t>, pp.50-59.</w:t>
      </w:r>
    </w:p>
    <w:p w14:paraId="4855F90C" w14:textId="3F156D6E" w:rsidR="00E22DFC" w:rsidRDefault="00E22DFC" w:rsidP="00D26741">
      <w:pPr>
        <w:widowControl w:val="0"/>
        <w:autoSpaceDE w:val="0"/>
        <w:autoSpaceDN w:val="0"/>
        <w:adjustRightInd w:val="0"/>
        <w:spacing w:after="0" w:line="360" w:lineRule="auto"/>
        <w:ind w:left="640" w:hanging="640"/>
        <w:jc w:val="both"/>
        <w:rPr>
          <w:rFonts w:asciiTheme="majorBidi" w:hAnsiTheme="majorBidi" w:cstheme="majorBidi"/>
          <w:sz w:val="24"/>
          <w:szCs w:val="24"/>
        </w:rPr>
      </w:pPr>
      <w:r w:rsidRPr="00E22DFC">
        <w:rPr>
          <w:rFonts w:asciiTheme="majorBidi" w:hAnsiTheme="majorBidi" w:cstheme="majorBidi"/>
          <w:sz w:val="24"/>
          <w:szCs w:val="24"/>
        </w:rPr>
        <w:t>Buye, R., 2021. Critical examination of the PESTEL Analysis Model. </w:t>
      </w:r>
      <w:r w:rsidRPr="00E22DFC">
        <w:rPr>
          <w:rFonts w:asciiTheme="majorBidi" w:hAnsiTheme="majorBidi" w:cstheme="majorBidi"/>
          <w:i/>
          <w:iCs/>
          <w:sz w:val="24"/>
          <w:szCs w:val="24"/>
        </w:rPr>
        <w:t>Project: Action Research for Development</w:t>
      </w:r>
      <w:r w:rsidRPr="00E22DFC">
        <w:rPr>
          <w:rFonts w:asciiTheme="majorBidi" w:hAnsiTheme="majorBidi" w:cstheme="majorBidi"/>
          <w:sz w:val="24"/>
          <w:szCs w:val="24"/>
        </w:rPr>
        <w:t>.</w:t>
      </w:r>
    </w:p>
    <w:p w14:paraId="44EC6CFF" w14:textId="6E06748E" w:rsidR="00CE2F94" w:rsidRDefault="00CE2F94" w:rsidP="00D26741">
      <w:pPr>
        <w:widowControl w:val="0"/>
        <w:autoSpaceDE w:val="0"/>
        <w:autoSpaceDN w:val="0"/>
        <w:adjustRightInd w:val="0"/>
        <w:spacing w:after="0" w:line="360" w:lineRule="auto"/>
        <w:ind w:left="640" w:hanging="640"/>
        <w:jc w:val="both"/>
        <w:rPr>
          <w:rFonts w:asciiTheme="majorBidi" w:hAnsiTheme="majorBidi" w:cstheme="majorBidi"/>
          <w:sz w:val="24"/>
          <w:szCs w:val="24"/>
        </w:rPr>
      </w:pPr>
      <w:proofErr w:type="spellStart"/>
      <w:r w:rsidRPr="00CE2F94">
        <w:rPr>
          <w:rFonts w:asciiTheme="majorBidi" w:hAnsiTheme="majorBidi" w:cstheme="majorBidi"/>
          <w:sz w:val="24"/>
          <w:szCs w:val="24"/>
        </w:rPr>
        <w:t>Căruntu</w:t>
      </w:r>
      <w:proofErr w:type="spellEnd"/>
      <w:r w:rsidRPr="00CE2F94">
        <w:rPr>
          <w:rFonts w:asciiTheme="majorBidi" w:hAnsiTheme="majorBidi" w:cstheme="majorBidi"/>
          <w:sz w:val="24"/>
          <w:szCs w:val="24"/>
        </w:rPr>
        <w:t xml:space="preserve">, A.L. and </w:t>
      </w:r>
      <w:proofErr w:type="spellStart"/>
      <w:r w:rsidRPr="00CE2F94">
        <w:rPr>
          <w:rFonts w:asciiTheme="majorBidi" w:hAnsiTheme="majorBidi" w:cstheme="majorBidi"/>
          <w:sz w:val="24"/>
          <w:szCs w:val="24"/>
        </w:rPr>
        <w:t>Diţoiu</w:t>
      </w:r>
      <w:proofErr w:type="spellEnd"/>
      <w:r w:rsidRPr="00CE2F94">
        <w:rPr>
          <w:rFonts w:asciiTheme="majorBidi" w:hAnsiTheme="majorBidi" w:cstheme="majorBidi"/>
          <w:sz w:val="24"/>
          <w:szCs w:val="24"/>
        </w:rPr>
        <w:t>, M.C., 2014. The perceptions of hospitality services of a tourism destination. </w:t>
      </w:r>
      <w:r w:rsidRPr="00CE2F94">
        <w:rPr>
          <w:rFonts w:asciiTheme="majorBidi" w:hAnsiTheme="majorBidi" w:cstheme="majorBidi"/>
          <w:i/>
          <w:iCs/>
          <w:sz w:val="24"/>
          <w:szCs w:val="24"/>
        </w:rPr>
        <w:t>Procedia-Social and Behavioral Sciences</w:t>
      </w:r>
      <w:r w:rsidRPr="00CE2F94">
        <w:rPr>
          <w:rFonts w:asciiTheme="majorBidi" w:hAnsiTheme="majorBidi" w:cstheme="majorBidi"/>
          <w:sz w:val="24"/>
          <w:szCs w:val="24"/>
        </w:rPr>
        <w:t>, </w:t>
      </w:r>
      <w:r w:rsidRPr="00CE2F94">
        <w:rPr>
          <w:rFonts w:asciiTheme="majorBidi" w:hAnsiTheme="majorBidi" w:cstheme="majorBidi"/>
          <w:i/>
          <w:iCs/>
          <w:sz w:val="24"/>
          <w:szCs w:val="24"/>
        </w:rPr>
        <w:t>109</w:t>
      </w:r>
      <w:r w:rsidRPr="00CE2F94">
        <w:rPr>
          <w:rFonts w:asciiTheme="majorBidi" w:hAnsiTheme="majorBidi" w:cstheme="majorBidi"/>
          <w:sz w:val="24"/>
          <w:szCs w:val="24"/>
        </w:rPr>
        <w:t>, pp.231-235.</w:t>
      </w:r>
    </w:p>
    <w:p w14:paraId="21FB9A1A" w14:textId="419CD480" w:rsidR="0011195C" w:rsidRDefault="0011195C" w:rsidP="00D26741">
      <w:pPr>
        <w:widowControl w:val="0"/>
        <w:autoSpaceDE w:val="0"/>
        <w:autoSpaceDN w:val="0"/>
        <w:adjustRightInd w:val="0"/>
        <w:spacing w:after="0" w:line="360" w:lineRule="auto"/>
        <w:ind w:left="640" w:hanging="640"/>
        <w:jc w:val="both"/>
        <w:rPr>
          <w:rFonts w:asciiTheme="majorBidi" w:hAnsiTheme="majorBidi" w:cstheme="majorBidi"/>
          <w:sz w:val="24"/>
          <w:szCs w:val="24"/>
        </w:rPr>
      </w:pPr>
      <w:r w:rsidRPr="0011195C">
        <w:rPr>
          <w:rFonts w:asciiTheme="majorBidi" w:hAnsiTheme="majorBidi" w:cstheme="majorBidi"/>
          <w:sz w:val="24"/>
          <w:szCs w:val="24"/>
        </w:rPr>
        <w:t>Chan, J., Gao, Y.L. and McGinley, S., 2021. Updates in service standards in hotels: how COVID-19 changed operations. </w:t>
      </w:r>
      <w:r w:rsidRPr="0011195C">
        <w:rPr>
          <w:rFonts w:asciiTheme="majorBidi" w:hAnsiTheme="majorBidi" w:cstheme="majorBidi"/>
          <w:i/>
          <w:iCs/>
          <w:sz w:val="24"/>
          <w:szCs w:val="24"/>
        </w:rPr>
        <w:t>International Journal of Contemporary Hospitality Management</w:t>
      </w:r>
      <w:r w:rsidRPr="0011195C">
        <w:rPr>
          <w:rFonts w:asciiTheme="majorBidi" w:hAnsiTheme="majorBidi" w:cstheme="majorBidi"/>
          <w:sz w:val="24"/>
          <w:szCs w:val="24"/>
        </w:rPr>
        <w:t>, </w:t>
      </w:r>
      <w:r w:rsidRPr="0011195C">
        <w:rPr>
          <w:rFonts w:asciiTheme="majorBidi" w:hAnsiTheme="majorBidi" w:cstheme="majorBidi"/>
          <w:i/>
          <w:iCs/>
          <w:sz w:val="24"/>
          <w:szCs w:val="24"/>
        </w:rPr>
        <w:t>33</w:t>
      </w:r>
      <w:r w:rsidRPr="0011195C">
        <w:rPr>
          <w:rFonts w:asciiTheme="majorBidi" w:hAnsiTheme="majorBidi" w:cstheme="majorBidi"/>
          <w:sz w:val="24"/>
          <w:szCs w:val="24"/>
        </w:rPr>
        <w:t>(5), pp.1668-1687.</w:t>
      </w:r>
    </w:p>
    <w:p w14:paraId="01EECB22" w14:textId="64299763" w:rsidR="003827FD" w:rsidRDefault="003827FD" w:rsidP="00D26741">
      <w:pPr>
        <w:widowControl w:val="0"/>
        <w:autoSpaceDE w:val="0"/>
        <w:autoSpaceDN w:val="0"/>
        <w:adjustRightInd w:val="0"/>
        <w:spacing w:after="0" w:line="360" w:lineRule="auto"/>
        <w:ind w:left="640" w:hanging="640"/>
        <w:jc w:val="both"/>
        <w:rPr>
          <w:rFonts w:asciiTheme="majorBidi" w:hAnsiTheme="majorBidi" w:cstheme="majorBidi"/>
          <w:sz w:val="24"/>
          <w:szCs w:val="24"/>
        </w:rPr>
      </w:pPr>
      <w:r w:rsidRPr="003827FD">
        <w:rPr>
          <w:rFonts w:asciiTheme="majorBidi" w:hAnsiTheme="majorBidi" w:cstheme="majorBidi"/>
          <w:sz w:val="24"/>
          <w:szCs w:val="24"/>
        </w:rPr>
        <w:t xml:space="preserve">Conz, E., Magnani, G., </w:t>
      </w:r>
      <w:proofErr w:type="spellStart"/>
      <w:r w:rsidRPr="003827FD">
        <w:rPr>
          <w:rFonts w:asciiTheme="majorBidi" w:hAnsiTheme="majorBidi" w:cstheme="majorBidi"/>
          <w:sz w:val="24"/>
          <w:szCs w:val="24"/>
        </w:rPr>
        <w:t>Zucchella</w:t>
      </w:r>
      <w:proofErr w:type="spellEnd"/>
      <w:r w:rsidRPr="003827FD">
        <w:rPr>
          <w:rFonts w:asciiTheme="majorBidi" w:hAnsiTheme="majorBidi" w:cstheme="majorBidi"/>
          <w:sz w:val="24"/>
          <w:szCs w:val="24"/>
        </w:rPr>
        <w:t>, A. and De Massis, A., 2023. Responding to unexpected crises: The roles of slack resources and entrepreneurial attitude to build resilience. </w:t>
      </w:r>
      <w:r w:rsidRPr="003827FD">
        <w:rPr>
          <w:rFonts w:asciiTheme="majorBidi" w:hAnsiTheme="majorBidi" w:cstheme="majorBidi"/>
          <w:i/>
          <w:iCs/>
          <w:sz w:val="24"/>
          <w:szCs w:val="24"/>
        </w:rPr>
        <w:t>Small Business Economics</w:t>
      </w:r>
      <w:r w:rsidRPr="003827FD">
        <w:rPr>
          <w:rFonts w:asciiTheme="majorBidi" w:hAnsiTheme="majorBidi" w:cstheme="majorBidi"/>
          <w:sz w:val="24"/>
          <w:szCs w:val="24"/>
        </w:rPr>
        <w:t>, pp.1-25.</w:t>
      </w:r>
    </w:p>
    <w:p w14:paraId="4AB517D5" w14:textId="09A1094F" w:rsidR="00675E33" w:rsidRDefault="00675E33" w:rsidP="00D26741">
      <w:pPr>
        <w:widowControl w:val="0"/>
        <w:autoSpaceDE w:val="0"/>
        <w:autoSpaceDN w:val="0"/>
        <w:adjustRightInd w:val="0"/>
        <w:spacing w:after="0" w:line="360" w:lineRule="auto"/>
        <w:ind w:left="640" w:hanging="640"/>
        <w:jc w:val="both"/>
        <w:rPr>
          <w:rFonts w:asciiTheme="majorBidi" w:hAnsiTheme="majorBidi" w:cstheme="majorBidi"/>
          <w:sz w:val="24"/>
          <w:szCs w:val="24"/>
        </w:rPr>
      </w:pPr>
      <w:r w:rsidRPr="00675E33">
        <w:rPr>
          <w:rFonts w:asciiTheme="majorBidi" w:hAnsiTheme="majorBidi" w:cstheme="majorBidi"/>
          <w:sz w:val="24"/>
          <w:szCs w:val="24"/>
        </w:rPr>
        <w:t>Eppler, M.J. and Platts, K.W., 2009. Visual strategizing: the systematic use of visualization in the strategic-planning process. </w:t>
      </w:r>
      <w:r w:rsidRPr="00675E33">
        <w:rPr>
          <w:rFonts w:asciiTheme="majorBidi" w:hAnsiTheme="majorBidi" w:cstheme="majorBidi"/>
          <w:i/>
          <w:iCs/>
          <w:sz w:val="24"/>
          <w:szCs w:val="24"/>
        </w:rPr>
        <w:t>Long Range Planning</w:t>
      </w:r>
      <w:r w:rsidRPr="00675E33">
        <w:rPr>
          <w:rFonts w:asciiTheme="majorBidi" w:hAnsiTheme="majorBidi" w:cstheme="majorBidi"/>
          <w:sz w:val="24"/>
          <w:szCs w:val="24"/>
        </w:rPr>
        <w:t>, </w:t>
      </w:r>
      <w:r w:rsidRPr="00675E33">
        <w:rPr>
          <w:rFonts w:asciiTheme="majorBidi" w:hAnsiTheme="majorBidi" w:cstheme="majorBidi"/>
          <w:i/>
          <w:iCs/>
          <w:sz w:val="24"/>
          <w:szCs w:val="24"/>
        </w:rPr>
        <w:t>42</w:t>
      </w:r>
      <w:r w:rsidRPr="00675E33">
        <w:rPr>
          <w:rFonts w:asciiTheme="majorBidi" w:hAnsiTheme="majorBidi" w:cstheme="majorBidi"/>
          <w:sz w:val="24"/>
          <w:szCs w:val="24"/>
        </w:rPr>
        <w:t>(1), pp.42-74.</w:t>
      </w:r>
    </w:p>
    <w:p w14:paraId="33DEB721" w14:textId="4478006C" w:rsidR="00EF12A9" w:rsidRDefault="00A619B7" w:rsidP="00D26741">
      <w:pPr>
        <w:widowControl w:val="0"/>
        <w:autoSpaceDE w:val="0"/>
        <w:autoSpaceDN w:val="0"/>
        <w:adjustRightInd w:val="0"/>
        <w:spacing w:after="0" w:line="360" w:lineRule="auto"/>
        <w:ind w:left="640" w:hanging="640"/>
        <w:jc w:val="both"/>
        <w:rPr>
          <w:rFonts w:asciiTheme="majorBidi" w:hAnsiTheme="majorBidi" w:cstheme="majorBidi"/>
          <w:sz w:val="24"/>
          <w:szCs w:val="24"/>
        </w:rPr>
      </w:pPr>
      <w:r>
        <w:rPr>
          <w:rFonts w:asciiTheme="majorBidi" w:hAnsiTheme="majorBidi" w:cstheme="majorBidi"/>
          <w:sz w:val="24"/>
          <w:szCs w:val="24"/>
        </w:rPr>
        <w:fldChar w:fldCharType="begin" w:fldLock="1"/>
      </w:r>
      <w:r w:rsidR="00864944">
        <w:rPr>
          <w:rFonts w:asciiTheme="majorBidi" w:hAnsiTheme="majorBidi" w:cstheme="majorBidi"/>
          <w:sz w:val="24"/>
          <w:szCs w:val="24"/>
        </w:rPr>
        <w:instrText xml:space="preserve">ADDIN Mendeley Bibliography CSL_BIBLIOGRAPHY </w:instrText>
      </w:r>
      <w:r>
        <w:rPr>
          <w:rFonts w:asciiTheme="majorBidi" w:hAnsiTheme="majorBidi" w:cstheme="majorBidi"/>
          <w:sz w:val="24"/>
          <w:szCs w:val="24"/>
        </w:rPr>
        <w:fldChar w:fldCharType="separate"/>
      </w:r>
      <w:r w:rsidR="00F43353" w:rsidRPr="00F43353">
        <w:rPr>
          <w:rFonts w:ascii="Arial" w:hAnsi="Arial" w:cs="Arial"/>
          <w:color w:val="222222"/>
          <w:sz w:val="20"/>
          <w:szCs w:val="20"/>
          <w:shd w:val="clear" w:color="auto" w:fill="FFFFFF"/>
        </w:rPr>
        <w:t xml:space="preserve"> </w:t>
      </w:r>
      <w:r w:rsidR="00F43353" w:rsidRPr="00F43353">
        <w:rPr>
          <w:rFonts w:asciiTheme="majorBidi" w:hAnsiTheme="majorBidi" w:cstheme="majorBidi"/>
          <w:sz w:val="24"/>
          <w:szCs w:val="24"/>
        </w:rPr>
        <w:t>Gass, S.I. and Harris, C.M., 1997. Encyclopedia of operations research and management science. </w:t>
      </w:r>
      <w:r w:rsidR="00F43353" w:rsidRPr="00F43353">
        <w:rPr>
          <w:rFonts w:asciiTheme="majorBidi" w:hAnsiTheme="majorBidi" w:cstheme="majorBidi"/>
          <w:i/>
          <w:iCs/>
          <w:sz w:val="24"/>
          <w:szCs w:val="24"/>
        </w:rPr>
        <w:t>Journal of the Operational Research Society</w:t>
      </w:r>
      <w:r w:rsidR="00F43353" w:rsidRPr="00F43353">
        <w:rPr>
          <w:rFonts w:asciiTheme="majorBidi" w:hAnsiTheme="majorBidi" w:cstheme="majorBidi"/>
          <w:sz w:val="24"/>
          <w:szCs w:val="24"/>
        </w:rPr>
        <w:t>, </w:t>
      </w:r>
      <w:r w:rsidR="00F43353" w:rsidRPr="00F43353">
        <w:rPr>
          <w:rFonts w:asciiTheme="majorBidi" w:hAnsiTheme="majorBidi" w:cstheme="majorBidi"/>
          <w:i/>
          <w:iCs/>
          <w:sz w:val="24"/>
          <w:szCs w:val="24"/>
        </w:rPr>
        <w:t>48</w:t>
      </w:r>
      <w:r w:rsidR="00F43353" w:rsidRPr="00F43353">
        <w:rPr>
          <w:rFonts w:asciiTheme="majorBidi" w:hAnsiTheme="majorBidi" w:cstheme="majorBidi"/>
          <w:sz w:val="24"/>
          <w:szCs w:val="24"/>
        </w:rPr>
        <w:t>(7), pp.759-760.</w:t>
      </w:r>
    </w:p>
    <w:p w14:paraId="28A34069" w14:textId="44E58A7F" w:rsidR="00675E33" w:rsidRDefault="00675E33"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675E33">
        <w:rPr>
          <w:rFonts w:ascii="Times New Roman" w:hAnsi="Times New Roman" w:cs="Times New Roman"/>
          <w:noProof/>
          <w:sz w:val="24"/>
          <w:szCs w:val="24"/>
        </w:rPr>
        <w:t>Godet, M., 2000. The art of scenarios and strategic planning: tools and pitfalls. </w:t>
      </w:r>
      <w:r w:rsidRPr="00675E33">
        <w:rPr>
          <w:rFonts w:ascii="Times New Roman" w:hAnsi="Times New Roman" w:cs="Times New Roman"/>
          <w:i/>
          <w:iCs/>
          <w:noProof/>
          <w:sz w:val="24"/>
          <w:szCs w:val="24"/>
        </w:rPr>
        <w:t>Technological forecasting and social change</w:t>
      </w:r>
      <w:r w:rsidRPr="00675E33">
        <w:rPr>
          <w:rFonts w:ascii="Times New Roman" w:hAnsi="Times New Roman" w:cs="Times New Roman"/>
          <w:noProof/>
          <w:sz w:val="24"/>
          <w:szCs w:val="24"/>
        </w:rPr>
        <w:t>, </w:t>
      </w:r>
      <w:r w:rsidRPr="00675E33">
        <w:rPr>
          <w:rFonts w:ascii="Times New Roman" w:hAnsi="Times New Roman" w:cs="Times New Roman"/>
          <w:i/>
          <w:iCs/>
          <w:noProof/>
          <w:sz w:val="24"/>
          <w:szCs w:val="24"/>
        </w:rPr>
        <w:t>65</w:t>
      </w:r>
      <w:r w:rsidRPr="00675E33">
        <w:rPr>
          <w:rFonts w:ascii="Times New Roman" w:hAnsi="Times New Roman" w:cs="Times New Roman"/>
          <w:noProof/>
          <w:sz w:val="24"/>
          <w:szCs w:val="24"/>
        </w:rPr>
        <w:t>(1), pp.3-22.</w:t>
      </w:r>
    </w:p>
    <w:p w14:paraId="01B8F206" w14:textId="61AE2A89" w:rsidR="00EE00CA" w:rsidRDefault="00EE00CA"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EE00CA">
        <w:rPr>
          <w:rFonts w:ascii="Times New Roman" w:hAnsi="Times New Roman" w:cs="Times New Roman"/>
          <w:noProof/>
          <w:sz w:val="24"/>
          <w:szCs w:val="24"/>
        </w:rPr>
        <w:t>Hahang, E., Bayraktar, S. and Jiménez, A., 2022. Early evidence of leadership skills and strategies in managing the impact of COVID-19 pandemic in the hospitality industry. </w:t>
      </w:r>
      <w:r w:rsidRPr="00EE00CA">
        <w:rPr>
          <w:rFonts w:ascii="Times New Roman" w:hAnsi="Times New Roman" w:cs="Times New Roman"/>
          <w:i/>
          <w:iCs/>
          <w:noProof/>
          <w:sz w:val="24"/>
          <w:szCs w:val="24"/>
        </w:rPr>
        <w:t>Cross Cultural &amp; Strategic Management</w:t>
      </w:r>
      <w:r w:rsidRPr="00EE00CA">
        <w:rPr>
          <w:rFonts w:ascii="Times New Roman" w:hAnsi="Times New Roman" w:cs="Times New Roman"/>
          <w:noProof/>
          <w:sz w:val="24"/>
          <w:szCs w:val="24"/>
        </w:rPr>
        <w:t>, </w:t>
      </w:r>
      <w:r w:rsidRPr="00EE00CA">
        <w:rPr>
          <w:rFonts w:ascii="Times New Roman" w:hAnsi="Times New Roman" w:cs="Times New Roman"/>
          <w:i/>
          <w:iCs/>
          <w:noProof/>
          <w:sz w:val="24"/>
          <w:szCs w:val="24"/>
        </w:rPr>
        <w:t>29</w:t>
      </w:r>
      <w:r w:rsidRPr="00EE00CA">
        <w:rPr>
          <w:rFonts w:ascii="Times New Roman" w:hAnsi="Times New Roman" w:cs="Times New Roman"/>
          <w:noProof/>
          <w:sz w:val="24"/>
          <w:szCs w:val="24"/>
        </w:rPr>
        <w:t>(3), pp.493-515.</w:t>
      </w:r>
    </w:p>
    <w:p w14:paraId="0FBE785D" w14:textId="7A005163" w:rsidR="00CE2F94" w:rsidRDefault="00CE2F94"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CE2F94">
        <w:rPr>
          <w:rFonts w:ascii="Times New Roman" w:hAnsi="Times New Roman" w:cs="Times New Roman"/>
          <w:noProof/>
          <w:sz w:val="24"/>
          <w:szCs w:val="24"/>
        </w:rPr>
        <w:t>Hansen, M.T. and Birkinshaw, J., 2007. The innovation value chain. </w:t>
      </w:r>
      <w:r w:rsidRPr="00CE2F94">
        <w:rPr>
          <w:rFonts w:ascii="Times New Roman" w:hAnsi="Times New Roman" w:cs="Times New Roman"/>
          <w:i/>
          <w:iCs/>
          <w:noProof/>
          <w:sz w:val="24"/>
          <w:szCs w:val="24"/>
        </w:rPr>
        <w:t>Harvard business review</w:t>
      </w:r>
      <w:r w:rsidRPr="00CE2F94">
        <w:rPr>
          <w:rFonts w:ascii="Times New Roman" w:hAnsi="Times New Roman" w:cs="Times New Roman"/>
          <w:noProof/>
          <w:sz w:val="24"/>
          <w:szCs w:val="24"/>
        </w:rPr>
        <w:t>, </w:t>
      </w:r>
      <w:r w:rsidRPr="00CE2F94">
        <w:rPr>
          <w:rFonts w:ascii="Times New Roman" w:hAnsi="Times New Roman" w:cs="Times New Roman"/>
          <w:i/>
          <w:iCs/>
          <w:noProof/>
          <w:sz w:val="24"/>
          <w:szCs w:val="24"/>
        </w:rPr>
        <w:t>85</w:t>
      </w:r>
      <w:r w:rsidRPr="00CE2F94">
        <w:rPr>
          <w:rFonts w:ascii="Times New Roman" w:hAnsi="Times New Roman" w:cs="Times New Roman"/>
          <w:noProof/>
          <w:sz w:val="24"/>
          <w:szCs w:val="24"/>
        </w:rPr>
        <w:t>(6), p.121.</w:t>
      </w:r>
    </w:p>
    <w:p w14:paraId="039BED9D" w14:textId="5007DF88" w:rsidR="00EE00CA" w:rsidRPr="00EF12A9" w:rsidRDefault="00EE00CA"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EE00CA">
        <w:rPr>
          <w:rFonts w:ascii="Times New Roman" w:hAnsi="Times New Roman" w:cs="Times New Roman"/>
          <w:noProof/>
          <w:sz w:val="24"/>
          <w:szCs w:val="24"/>
        </w:rPr>
        <w:t>Hao, F., Xiao, Q. and Chon, K., 2020. COVID-19 and China’s hotel industry: Impacts, a disaster management framework, and post-pandemic agenda. </w:t>
      </w:r>
      <w:r w:rsidRPr="00EE00CA">
        <w:rPr>
          <w:rFonts w:ascii="Times New Roman" w:hAnsi="Times New Roman" w:cs="Times New Roman"/>
          <w:i/>
          <w:iCs/>
          <w:noProof/>
          <w:sz w:val="24"/>
          <w:szCs w:val="24"/>
        </w:rPr>
        <w:t>International journal of hospitality management</w:t>
      </w:r>
      <w:r w:rsidRPr="00EE00CA">
        <w:rPr>
          <w:rFonts w:ascii="Times New Roman" w:hAnsi="Times New Roman" w:cs="Times New Roman"/>
          <w:noProof/>
          <w:sz w:val="24"/>
          <w:szCs w:val="24"/>
        </w:rPr>
        <w:t>, </w:t>
      </w:r>
      <w:r w:rsidRPr="00EE00CA">
        <w:rPr>
          <w:rFonts w:ascii="Times New Roman" w:hAnsi="Times New Roman" w:cs="Times New Roman"/>
          <w:i/>
          <w:iCs/>
          <w:noProof/>
          <w:sz w:val="24"/>
          <w:szCs w:val="24"/>
        </w:rPr>
        <w:t>90</w:t>
      </w:r>
      <w:r w:rsidRPr="00EE00CA">
        <w:rPr>
          <w:rFonts w:ascii="Times New Roman" w:hAnsi="Times New Roman" w:cs="Times New Roman"/>
          <w:noProof/>
          <w:sz w:val="24"/>
          <w:szCs w:val="24"/>
        </w:rPr>
        <w:t>, p.102636.</w:t>
      </w:r>
    </w:p>
    <w:p w14:paraId="02244EEC" w14:textId="5E121D94" w:rsidR="00EF12A9" w:rsidRDefault="00675E33"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675E33">
        <w:rPr>
          <w:rFonts w:ascii="Times New Roman" w:hAnsi="Times New Roman" w:cs="Times New Roman"/>
          <w:noProof/>
          <w:sz w:val="24"/>
          <w:szCs w:val="24"/>
        </w:rPr>
        <w:t xml:space="preserve">Haromszeki, Ł., </w:t>
      </w:r>
      <w:r>
        <w:rPr>
          <w:rFonts w:ascii="Times New Roman" w:hAnsi="Times New Roman" w:cs="Times New Roman"/>
          <w:noProof/>
          <w:sz w:val="24"/>
          <w:szCs w:val="24"/>
        </w:rPr>
        <w:t xml:space="preserve">n.d. </w:t>
      </w:r>
      <w:r w:rsidRPr="00675E33">
        <w:rPr>
          <w:rFonts w:ascii="Times New Roman" w:hAnsi="Times New Roman" w:cs="Times New Roman"/>
          <w:noProof/>
          <w:sz w:val="24"/>
          <w:szCs w:val="24"/>
        </w:rPr>
        <w:t xml:space="preserve">The Effects of TM and CM on Organizational Leadership in Foreign </w:t>
      </w:r>
      <w:r w:rsidRPr="00675E33">
        <w:rPr>
          <w:rFonts w:ascii="Times New Roman" w:hAnsi="Times New Roman" w:cs="Times New Roman"/>
          <w:noProof/>
          <w:sz w:val="24"/>
          <w:szCs w:val="24"/>
        </w:rPr>
        <w:lastRenderedPageBreak/>
        <w:t>Entities of MNCs. </w:t>
      </w:r>
      <w:r w:rsidRPr="00675E33">
        <w:rPr>
          <w:rFonts w:ascii="Times New Roman" w:hAnsi="Times New Roman" w:cs="Times New Roman"/>
          <w:i/>
          <w:iCs/>
          <w:noProof/>
          <w:sz w:val="24"/>
          <w:szCs w:val="24"/>
        </w:rPr>
        <w:t>International Journal of Contemporary Management</w:t>
      </w:r>
      <w:r w:rsidRPr="00675E33">
        <w:rPr>
          <w:rFonts w:ascii="Times New Roman" w:hAnsi="Times New Roman" w:cs="Times New Roman"/>
          <w:noProof/>
          <w:sz w:val="24"/>
          <w:szCs w:val="24"/>
        </w:rPr>
        <w:t>.</w:t>
      </w:r>
    </w:p>
    <w:p w14:paraId="09C72FF7" w14:textId="5F04F148" w:rsidR="00E22DFC" w:rsidRDefault="00E22DFC"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E22DFC">
        <w:rPr>
          <w:rFonts w:ascii="Times New Roman" w:hAnsi="Times New Roman" w:cs="Times New Roman"/>
          <w:noProof/>
          <w:sz w:val="24"/>
          <w:szCs w:val="24"/>
        </w:rPr>
        <w:t>Hsieh, Y.J., Chen, Y.L. and Wang, Y.C., 2021. Government and social trust vs. hotel response efficacy: A protection motivation perspective on hotel stay intention during the COVID-19 pandemic. </w:t>
      </w:r>
      <w:r w:rsidRPr="00E22DFC">
        <w:rPr>
          <w:rFonts w:ascii="Times New Roman" w:hAnsi="Times New Roman" w:cs="Times New Roman"/>
          <w:i/>
          <w:iCs/>
          <w:noProof/>
          <w:sz w:val="24"/>
          <w:szCs w:val="24"/>
        </w:rPr>
        <w:t>International Journal of Hospitality Management</w:t>
      </w:r>
      <w:r w:rsidRPr="00E22DFC">
        <w:rPr>
          <w:rFonts w:ascii="Times New Roman" w:hAnsi="Times New Roman" w:cs="Times New Roman"/>
          <w:noProof/>
          <w:sz w:val="24"/>
          <w:szCs w:val="24"/>
        </w:rPr>
        <w:t>, </w:t>
      </w:r>
      <w:r w:rsidRPr="00E22DFC">
        <w:rPr>
          <w:rFonts w:ascii="Times New Roman" w:hAnsi="Times New Roman" w:cs="Times New Roman"/>
          <w:i/>
          <w:iCs/>
          <w:noProof/>
          <w:sz w:val="24"/>
          <w:szCs w:val="24"/>
        </w:rPr>
        <w:t>97</w:t>
      </w:r>
      <w:r w:rsidRPr="00E22DFC">
        <w:rPr>
          <w:rFonts w:ascii="Times New Roman" w:hAnsi="Times New Roman" w:cs="Times New Roman"/>
          <w:noProof/>
          <w:sz w:val="24"/>
          <w:szCs w:val="24"/>
        </w:rPr>
        <w:t>, p.102991.</w:t>
      </w:r>
    </w:p>
    <w:p w14:paraId="7702291F" w14:textId="7FFF5029" w:rsidR="00CE2F94" w:rsidRDefault="00CE2F94"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CE2F94">
        <w:rPr>
          <w:rFonts w:ascii="Times New Roman" w:hAnsi="Times New Roman" w:cs="Times New Roman"/>
          <w:noProof/>
          <w:sz w:val="24"/>
          <w:szCs w:val="24"/>
        </w:rPr>
        <w:t>Jacoby, S., 2005. Corporate governance and society. </w:t>
      </w:r>
      <w:r w:rsidRPr="00CE2F94">
        <w:rPr>
          <w:rFonts w:ascii="Times New Roman" w:hAnsi="Times New Roman" w:cs="Times New Roman"/>
          <w:i/>
          <w:iCs/>
          <w:noProof/>
          <w:sz w:val="24"/>
          <w:szCs w:val="24"/>
        </w:rPr>
        <w:t>Challenge</w:t>
      </w:r>
      <w:r w:rsidRPr="00CE2F94">
        <w:rPr>
          <w:rFonts w:ascii="Times New Roman" w:hAnsi="Times New Roman" w:cs="Times New Roman"/>
          <w:noProof/>
          <w:sz w:val="24"/>
          <w:szCs w:val="24"/>
        </w:rPr>
        <w:t>, </w:t>
      </w:r>
      <w:r w:rsidRPr="00CE2F94">
        <w:rPr>
          <w:rFonts w:ascii="Times New Roman" w:hAnsi="Times New Roman" w:cs="Times New Roman"/>
          <w:i/>
          <w:iCs/>
          <w:noProof/>
          <w:sz w:val="24"/>
          <w:szCs w:val="24"/>
        </w:rPr>
        <w:t>48</w:t>
      </w:r>
      <w:r w:rsidRPr="00CE2F94">
        <w:rPr>
          <w:rFonts w:ascii="Times New Roman" w:hAnsi="Times New Roman" w:cs="Times New Roman"/>
          <w:noProof/>
          <w:sz w:val="24"/>
          <w:szCs w:val="24"/>
        </w:rPr>
        <w:t>(4), pp.69-87.</w:t>
      </w:r>
    </w:p>
    <w:p w14:paraId="131D9C48" w14:textId="01020C63" w:rsidR="00E22DFC" w:rsidRDefault="00E22DFC"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E22DFC">
        <w:rPr>
          <w:rFonts w:ascii="Times New Roman" w:hAnsi="Times New Roman" w:cs="Times New Roman"/>
          <w:noProof/>
          <w:sz w:val="24"/>
          <w:szCs w:val="24"/>
        </w:rPr>
        <w:t>Jain, A., Sarupria, A. and Kothari, A., 2020. The Impact of COVID-19 on E-wallet’s Payments in Indian Economy. </w:t>
      </w:r>
      <w:r w:rsidRPr="00E22DFC">
        <w:rPr>
          <w:rFonts w:ascii="Times New Roman" w:hAnsi="Times New Roman" w:cs="Times New Roman"/>
          <w:i/>
          <w:iCs/>
          <w:noProof/>
          <w:sz w:val="24"/>
          <w:szCs w:val="24"/>
        </w:rPr>
        <w:t>International Journal of Creative Research Thoughts</w:t>
      </w:r>
      <w:r w:rsidRPr="00E22DFC">
        <w:rPr>
          <w:rFonts w:ascii="Times New Roman" w:hAnsi="Times New Roman" w:cs="Times New Roman"/>
          <w:noProof/>
          <w:sz w:val="24"/>
          <w:szCs w:val="24"/>
        </w:rPr>
        <w:t>, </w:t>
      </w:r>
      <w:r w:rsidRPr="00E22DFC">
        <w:rPr>
          <w:rFonts w:ascii="Times New Roman" w:hAnsi="Times New Roman" w:cs="Times New Roman"/>
          <w:i/>
          <w:iCs/>
          <w:noProof/>
          <w:sz w:val="24"/>
          <w:szCs w:val="24"/>
        </w:rPr>
        <w:t>8</w:t>
      </w:r>
      <w:r w:rsidRPr="00E22DFC">
        <w:rPr>
          <w:rFonts w:ascii="Times New Roman" w:hAnsi="Times New Roman" w:cs="Times New Roman"/>
          <w:noProof/>
          <w:sz w:val="24"/>
          <w:szCs w:val="24"/>
        </w:rPr>
        <w:t>(6), pp.2447-2454.</w:t>
      </w:r>
    </w:p>
    <w:p w14:paraId="1EDD1FB9" w14:textId="7DEF08DD" w:rsidR="0011195C" w:rsidRDefault="0011195C"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11195C">
        <w:rPr>
          <w:rFonts w:ascii="Times New Roman" w:hAnsi="Times New Roman" w:cs="Times New Roman"/>
          <w:noProof/>
          <w:sz w:val="24"/>
          <w:szCs w:val="24"/>
        </w:rPr>
        <w:t>Jones, P. and Comfort, D., 2020. The COVID-19 crisis and sustainability in the hospitality industry. </w:t>
      </w:r>
      <w:r w:rsidRPr="0011195C">
        <w:rPr>
          <w:rFonts w:ascii="Times New Roman" w:hAnsi="Times New Roman" w:cs="Times New Roman"/>
          <w:i/>
          <w:iCs/>
          <w:noProof/>
          <w:sz w:val="24"/>
          <w:szCs w:val="24"/>
        </w:rPr>
        <w:t>International journal of contemporary hospitality management</w:t>
      </w:r>
      <w:r w:rsidRPr="0011195C">
        <w:rPr>
          <w:rFonts w:ascii="Times New Roman" w:hAnsi="Times New Roman" w:cs="Times New Roman"/>
          <w:noProof/>
          <w:sz w:val="24"/>
          <w:szCs w:val="24"/>
        </w:rPr>
        <w:t>, </w:t>
      </w:r>
      <w:r w:rsidRPr="0011195C">
        <w:rPr>
          <w:rFonts w:ascii="Times New Roman" w:hAnsi="Times New Roman" w:cs="Times New Roman"/>
          <w:i/>
          <w:iCs/>
          <w:noProof/>
          <w:sz w:val="24"/>
          <w:szCs w:val="24"/>
        </w:rPr>
        <w:t>32</w:t>
      </w:r>
      <w:r w:rsidRPr="0011195C">
        <w:rPr>
          <w:rFonts w:ascii="Times New Roman" w:hAnsi="Times New Roman" w:cs="Times New Roman"/>
          <w:noProof/>
          <w:sz w:val="24"/>
          <w:szCs w:val="24"/>
        </w:rPr>
        <w:t>(10), pp.3037-3050.</w:t>
      </w:r>
    </w:p>
    <w:p w14:paraId="103BC132" w14:textId="203700FC" w:rsidR="00C63D69" w:rsidRDefault="00C63D69"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C63D69">
        <w:rPr>
          <w:rFonts w:ascii="Times New Roman" w:hAnsi="Times New Roman" w:cs="Times New Roman"/>
          <w:noProof/>
          <w:sz w:val="24"/>
          <w:szCs w:val="24"/>
        </w:rPr>
        <w:t>Langabeer, J. and Napiewocki, J., 2000. </w:t>
      </w:r>
      <w:r w:rsidRPr="00C63D69">
        <w:rPr>
          <w:rFonts w:ascii="Times New Roman" w:hAnsi="Times New Roman" w:cs="Times New Roman"/>
          <w:i/>
          <w:iCs/>
          <w:noProof/>
          <w:sz w:val="24"/>
          <w:szCs w:val="24"/>
        </w:rPr>
        <w:t>Competitive business strategy for teaching hospitals</w:t>
      </w:r>
      <w:r w:rsidRPr="00C63D69">
        <w:rPr>
          <w:rFonts w:ascii="Times New Roman" w:hAnsi="Times New Roman" w:cs="Times New Roman"/>
          <w:noProof/>
          <w:sz w:val="24"/>
          <w:szCs w:val="24"/>
        </w:rPr>
        <w:t>. Bloomsbury Publishing USA.</w:t>
      </w:r>
    </w:p>
    <w:p w14:paraId="08ABDA6F" w14:textId="6320E11E" w:rsidR="003827FD" w:rsidRDefault="003827FD"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3827FD">
        <w:rPr>
          <w:rFonts w:ascii="Times New Roman" w:hAnsi="Times New Roman" w:cs="Times New Roman"/>
          <w:noProof/>
          <w:sz w:val="24"/>
          <w:szCs w:val="24"/>
        </w:rPr>
        <w:t>Lee, G.E., Bechteler, J., Pócs, T., Schäfer-Verwimp, A. and Heinrichs, J., 2016. Molecular and morphological evidence for an intercontinental range of the liverwort Lejeunea pulchriflora (Marchantiophyta: Lejeuneaceae). </w:t>
      </w:r>
      <w:r w:rsidRPr="003827FD">
        <w:rPr>
          <w:rFonts w:ascii="Times New Roman" w:hAnsi="Times New Roman" w:cs="Times New Roman"/>
          <w:i/>
          <w:iCs/>
          <w:noProof/>
          <w:sz w:val="24"/>
          <w:szCs w:val="24"/>
        </w:rPr>
        <w:t>Organisms Diversity &amp; Evolution</w:t>
      </w:r>
      <w:r w:rsidRPr="003827FD">
        <w:rPr>
          <w:rFonts w:ascii="Times New Roman" w:hAnsi="Times New Roman" w:cs="Times New Roman"/>
          <w:noProof/>
          <w:sz w:val="24"/>
          <w:szCs w:val="24"/>
        </w:rPr>
        <w:t>, </w:t>
      </w:r>
      <w:r w:rsidRPr="003827FD">
        <w:rPr>
          <w:rFonts w:ascii="Times New Roman" w:hAnsi="Times New Roman" w:cs="Times New Roman"/>
          <w:i/>
          <w:iCs/>
          <w:noProof/>
          <w:sz w:val="24"/>
          <w:szCs w:val="24"/>
        </w:rPr>
        <w:t>16</w:t>
      </w:r>
      <w:r w:rsidRPr="003827FD">
        <w:rPr>
          <w:rFonts w:ascii="Times New Roman" w:hAnsi="Times New Roman" w:cs="Times New Roman"/>
          <w:noProof/>
          <w:sz w:val="24"/>
          <w:szCs w:val="24"/>
        </w:rPr>
        <w:t>, pp.13-21.</w:t>
      </w:r>
    </w:p>
    <w:p w14:paraId="49C37566" w14:textId="0D3B209B" w:rsidR="00E22DFC" w:rsidRDefault="00E22DFC"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E22DFC">
        <w:rPr>
          <w:rFonts w:ascii="Times New Roman" w:hAnsi="Times New Roman" w:cs="Times New Roman"/>
          <w:noProof/>
          <w:sz w:val="24"/>
          <w:szCs w:val="24"/>
        </w:rPr>
        <w:t>Le Breton-Miller, I., Miller, D. and Lester, R.H., 2011. Stewardship or agency? A social embeddedness reconciliation of conduct and performance in public family businesses. </w:t>
      </w:r>
      <w:r w:rsidRPr="00E22DFC">
        <w:rPr>
          <w:rFonts w:ascii="Times New Roman" w:hAnsi="Times New Roman" w:cs="Times New Roman"/>
          <w:i/>
          <w:iCs/>
          <w:noProof/>
          <w:sz w:val="24"/>
          <w:szCs w:val="24"/>
        </w:rPr>
        <w:t>Organization science</w:t>
      </w:r>
      <w:r w:rsidRPr="00E22DFC">
        <w:rPr>
          <w:rFonts w:ascii="Times New Roman" w:hAnsi="Times New Roman" w:cs="Times New Roman"/>
          <w:noProof/>
          <w:sz w:val="24"/>
          <w:szCs w:val="24"/>
        </w:rPr>
        <w:t>, </w:t>
      </w:r>
      <w:r w:rsidRPr="00E22DFC">
        <w:rPr>
          <w:rFonts w:ascii="Times New Roman" w:hAnsi="Times New Roman" w:cs="Times New Roman"/>
          <w:i/>
          <w:iCs/>
          <w:noProof/>
          <w:sz w:val="24"/>
          <w:szCs w:val="24"/>
        </w:rPr>
        <w:t>22</w:t>
      </w:r>
      <w:r w:rsidRPr="00E22DFC">
        <w:rPr>
          <w:rFonts w:ascii="Times New Roman" w:hAnsi="Times New Roman" w:cs="Times New Roman"/>
          <w:noProof/>
          <w:sz w:val="24"/>
          <w:szCs w:val="24"/>
        </w:rPr>
        <w:t>(3), pp.704-721.</w:t>
      </w:r>
    </w:p>
    <w:p w14:paraId="2632CFF6" w14:textId="4BADD63B" w:rsidR="003827FD" w:rsidRDefault="003827FD"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3827FD">
        <w:rPr>
          <w:rFonts w:ascii="Times New Roman" w:hAnsi="Times New Roman" w:cs="Times New Roman"/>
          <w:noProof/>
          <w:sz w:val="24"/>
          <w:szCs w:val="24"/>
        </w:rPr>
        <w:t>Lindgren, T., Willers, S., Skarping, G. and Norbäck, D., 1999. Urinary cotinine concentration in flight attendants, in relation to exposure to environmental tobacco smoke during intercontinental flights. </w:t>
      </w:r>
      <w:r w:rsidRPr="003827FD">
        <w:rPr>
          <w:rFonts w:ascii="Times New Roman" w:hAnsi="Times New Roman" w:cs="Times New Roman"/>
          <w:i/>
          <w:iCs/>
          <w:noProof/>
          <w:sz w:val="24"/>
          <w:szCs w:val="24"/>
        </w:rPr>
        <w:t>International archives of occupational and environmental health</w:t>
      </w:r>
      <w:r w:rsidRPr="003827FD">
        <w:rPr>
          <w:rFonts w:ascii="Times New Roman" w:hAnsi="Times New Roman" w:cs="Times New Roman"/>
          <w:noProof/>
          <w:sz w:val="24"/>
          <w:szCs w:val="24"/>
        </w:rPr>
        <w:t>, </w:t>
      </w:r>
      <w:r w:rsidRPr="003827FD">
        <w:rPr>
          <w:rFonts w:ascii="Times New Roman" w:hAnsi="Times New Roman" w:cs="Times New Roman"/>
          <w:i/>
          <w:iCs/>
          <w:noProof/>
          <w:sz w:val="24"/>
          <w:szCs w:val="24"/>
        </w:rPr>
        <w:t>72</w:t>
      </w:r>
      <w:r w:rsidRPr="003827FD">
        <w:rPr>
          <w:rFonts w:ascii="Times New Roman" w:hAnsi="Times New Roman" w:cs="Times New Roman"/>
          <w:noProof/>
          <w:sz w:val="24"/>
          <w:szCs w:val="24"/>
        </w:rPr>
        <w:t>, pp.475-479.</w:t>
      </w:r>
    </w:p>
    <w:p w14:paraId="32F0960C" w14:textId="26824E06" w:rsidR="00E22DFC" w:rsidRDefault="00E22DFC"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E22DFC">
        <w:rPr>
          <w:rFonts w:ascii="Times New Roman" w:hAnsi="Times New Roman" w:cs="Times New Roman"/>
          <w:noProof/>
          <w:sz w:val="24"/>
          <w:szCs w:val="24"/>
        </w:rPr>
        <w:t>Lund, S., Ellingrud, K., Hancock, B. and Manyika, J., 2020. COVID-19 and jobs: Monitoring the US impact on people and places. </w:t>
      </w:r>
      <w:r w:rsidRPr="00E22DFC">
        <w:rPr>
          <w:rFonts w:ascii="Times New Roman" w:hAnsi="Times New Roman" w:cs="Times New Roman"/>
          <w:i/>
          <w:iCs/>
          <w:noProof/>
          <w:sz w:val="24"/>
          <w:szCs w:val="24"/>
        </w:rPr>
        <w:t>McKinsey Global Institute</w:t>
      </w:r>
      <w:r w:rsidRPr="00E22DFC">
        <w:rPr>
          <w:rFonts w:ascii="Times New Roman" w:hAnsi="Times New Roman" w:cs="Times New Roman"/>
          <w:noProof/>
          <w:sz w:val="24"/>
          <w:szCs w:val="24"/>
        </w:rPr>
        <w:t>.</w:t>
      </w:r>
    </w:p>
    <w:p w14:paraId="5916185A" w14:textId="40E174FA" w:rsidR="00CE2F94" w:rsidRPr="00EF12A9" w:rsidRDefault="00CE2F94"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CE2F94">
        <w:rPr>
          <w:rFonts w:ascii="Times New Roman" w:hAnsi="Times New Roman" w:cs="Times New Roman"/>
          <w:noProof/>
          <w:sz w:val="24"/>
          <w:szCs w:val="24"/>
        </w:rPr>
        <w:t>Morgan, M. and Shanahan, J., 2009. Growing up with television: Cultivation processes. In </w:t>
      </w:r>
      <w:r w:rsidRPr="00CE2F94">
        <w:rPr>
          <w:rFonts w:ascii="Times New Roman" w:hAnsi="Times New Roman" w:cs="Times New Roman"/>
          <w:i/>
          <w:iCs/>
          <w:noProof/>
          <w:sz w:val="24"/>
          <w:szCs w:val="24"/>
        </w:rPr>
        <w:t>Media effects</w:t>
      </w:r>
      <w:r w:rsidRPr="00CE2F94">
        <w:rPr>
          <w:rFonts w:ascii="Times New Roman" w:hAnsi="Times New Roman" w:cs="Times New Roman"/>
          <w:noProof/>
          <w:sz w:val="24"/>
          <w:szCs w:val="24"/>
        </w:rPr>
        <w:t> (pp. 50-65). Routledge.</w:t>
      </w:r>
    </w:p>
    <w:p w14:paraId="45F476B8" w14:textId="5A2BA950" w:rsidR="00EF12A9" w:rsidRDefault="00675E33"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675E33">
        <w:rPr>
          <w:rFonts w:ascii="Times New Roman" w:hAnsi="Times New Roman" w:cs="Times New Roman"/>
          <w:noProof/>
          <w:sz w:val="24"/>
          <w:szCs w:val="24"/>
        </w:rPr>
        <w:t>Oh, C.H. and Oetzel, J., 2022. Multinational enterprises and natural disasters: Challenges and opportunities for IB research. </w:t>
      </w:r>
      <w:r w:rsidRPr="00675E33">
        <w:rPr>
          <w:rFonts w:ascii="Times New Roman" w:hAnsi="Times New Roman" w:cs="Times New Roman"/>
          <w:i/>
          <w:iCs/>
          <w:noProof/>
          <w:sz w:val="24"/>
          <w:szCs w:val="24"/>
        </w:rPr>
        <w:t>Journal of International Business Studies</w:t>
      </w:r>
      <w:r w:rsidRPr="00675E33">
        <w:rPr>
          <w:rFonts w:ascii="Times New Roman" w:hAnsi="Times New Roman" w:cs="Times New Roman"/>
          <w:noProof/>
          <w:sz w:val="24"/>
          <w:szCs w:val="24"/>
        </w:rPr>
        <w:t>, pp.1-24.</w:t>
      </w:r>
    </w:p>
    <w:p w14:paraId="2A86C3E4" w14:textId="77777777" w:rsidR="00E22DFC" w:rsidRDefault="00675E33"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675E33">
        <w:rPr>
          <w:rFonts w:ascii="Times New Roman" w:hAnsi="Times New Roman" w:cs="Times New Roman"/>
          <w:noProof/>
          <w:sz w:val="24"/>
          <w:szCs w:val="24"/>
        </w:rPr>
        <w:t xml:space="preserve">Okoye, P.V.C. and Ezejiofor, R.A., 2013. The effect of human resources development on </w:t>
      </w:r>
      <w:r w:rsidRPr="00675E33">
        <w:rPr>
          <w:rFonts w:ascii="Times New Roman" w:hAnsi="Times New Roman" w:cs="Times New Roman"/>
          <w:noProof/>
          <w:sz w:val="24"/>
          <w:szCs w:val="24"/>
        </w:rPr>
        <w:lastRenderedPageBreak/>
        <w:t>organizational productivity. </w:t>
      </w:r>
      <w:r w:rsidRPr="00675E33">
        <w:rPr>
          <w:rFonts w:ascii="Times New Roman" w:hAnsi="Times New Roman" w:cs="Times New Roman"/>
          <w:i/>
          <w:iCs/>
          <w:noProof/>
          <w:sz w:val="24"/>
          <w:szCs w:val="24"/>
        </w:rPr>
        <w:t>International Journal of Academic Research in Business and Social Sciences</w:t>
      </w:r>
      <w:r w:rsidRPr="00675E33">
        <w:rPr>
          <w:rFonts w:ascii="Times New Roman" w:hAnsi="Times New Roman" w:cs="Times New Roman"/>
          <w:noProof/>
          <w:sz w:val="24"/>
          <w:szCs w:val="24"/>
        </w:rPr>
        <w:t>, </w:t>
      </w:r>
      <w:r w:rsidRPr="00675E33">
        <w:rPr>
          <w:rFonts w:ascii="Times New Roman" w:hAnsi="Times New Roman" w:cs="Times New Roman"/>
          <w:i/>
          <w:iCs/>
          <w:noProof/>
          <w:sz w:val="24"/>
          <w:szCs w:val="24"/>
        </w:rPr>
        <w:t>3</w:t>
      </w:r>
      <w:r w:rsidRPr="00675E33">
        <w:rPr>
          <w:rFonts w:ascii="Times New Roman" w:hAnsi="Times New Roman" w:cs="Times New Roman"/>
          <w:noProof/>
          <w:sz w:val="24"/>
          <w:szCs w:val="24"/>
        </w:rPr>
        <w:t>(10), p.250.</w:t>
      </w:r>
    </w:p>
    <w:p w14:paraId="09970364" w14:textId="55AF169E" w:rsidR="00C63D69" w:rsidRDefault="00C63D69"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C63D69">
        <w:rPr>
          <w:rFonts w:ascii="Times New Roman" w:hAnsi="Times New Roman" w:cs="Times New Roman"/>
          <w:noProof/>
          <w:sz w:val="24"/>
          <w:szCs w:val="24"/>
        </w:rPr>
        <w:t>Porter, M.E., 2000. Location, competition, and economic development: Local clusters in a global economy. </w:t>
      </w:r>
      <w:r w:rsidRPr="00C63D69">
        <w:rPr>
          <w:rFonts w:ascii="Times New Roman" w:hAnsi="Times New Roman" w:cs="Times New Roman"/>
          <w:i/>
          <w:iCs/>
          <w:noProof/>
          <w:sz w:val="24"/>
          <w:szCs w:val="24"/>
        </w:rPr>
        <w:t>Economic development quarterly</w:t>
      </w:r>
      <w:r w:rsidRPr="00C63D69">
        <w:rPr>
          <w:rFonts w:ascii="Times New Roman" w:hAnsi="Times New Roman" w:cs="Times New Roman"/>
          <w:noProof/>
          <w:sz w:val="24"/>
          <w:szCs w:val="24"/>
        </w:rPr>
        <w:t>, </w:t>
      </w:r>
      <w:r w:rsidRPr="00C63D69">
        <w:rPr>
          <w:rFonts w:ascii="Times New Roman" w:hAnsi="Times New Roman" w:cs="Times New Roman"/>
          <w:i/>
          <w:iCs/>
          <w:noProof/>
          <w:sz w:val="24"/>
          <w:szCs w:val="24"/>
        </w:rPr>
        <w:t>14</w:t>
      </w:r>
      <w:r w:rsidRPr="00C63D69">
        <w:rPr>
          <w:rFonts w:ascii="Times New Roman" w:hAnsi="Times New Roman" w:cs="Times New Roman"/>
          <w:noProof/>
          <w:sz w:val="24"/>
          <w:szCs w:val="24"/>
        </w:rPr>
        <w:t>(1), pp.15-34.</w:t>
      </w:r>
    </w:p>
    <w:p w14:paraId="497CC8EB" w14:textId="604DFA43" w:rsidR="00E22DFC" w:rsidRDefault="00E22DFC"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EF12A9">
        <w:rPr>
          <w:rFonts w:ascii="Times New Roman" w:hAnsi="Times New Roman" w:cs="Times New Roman"/>
          <w:noProof/>
          <w:sz w:val="24"/>
          <w:szCs w:val="24"/>
        </w:rPr>
        <w:t>Report</w:t>
      </w:r>
      <w:r>
        <w:rPr>
          <w:rFonts w:ascii="Times New Roman" w:hAnsi="Times New Roman" w:cs="Times New Roman"/>
          <w:noProof/>
          <w:sz w:val="24"/>
          <w:szCs w:val="24"/>
        </w:rPr>
        <w:t xml:space="preserve">, A., </w:t>
      </w:r>
      <w:r w:rsidRPr="00EF12A9">
        <w:rPr>
          <w:rFonts w:ascii="Times New Roman" w:hAnsi="Times New Roman" w:cs="Times New Roman"/>
          <w:noProof/>
          <w:sz w:val="24"/>
          <w:szCs w:val="24"/>
        </w:rPr>
        <w:t>2021</w:t>
      </w:r>
      <w:r>
        <w:rPr>
          <w:rFonts w:ascii="Times New Roman" w:hAnsi="Times New Roman" w:cs="Times New Roman"/>
          <w:noProof/>
          <w:sz w:val="24"/>
          <w:szCs w:val="24"/>
        </w:rPr>
        <w:t>.</w:t>
      </w:r>
      <w:r w:rsidRPr="00EF12A9">
        <w:rPr>
          <w:rFonts w:ascii="Times New Roman" w:hAnsi="Times New Roman" w:cs="Times New Roman"/>
          <w:noProof/>
          <w:sz w:val="24"/>
          <w:szCs w:val="24"/>
        </w:rPr>
        <w:t xml:space="preserve"> True Hospitality for Good is to provide.</w:t>
      </w:r>
    </w:p>
    <w:p w14:paraId="50EAEF0F" w14:textId="0164DAE7" w:rsidR="00CE2F94" w:rsidRPr="00EF12A9" w:rsidRDefault="00CE2F94"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CE2F94">
        <w:rPr>
          <w:rFonts w:ascii="Times New Roman" w:hAnsi="Times New Roman" w:cs="Times New Roman"/>
          <w:noProof/>
          <w:sz w:val="24"/>
          <w:szCs w:val="24"/>
        </w:rPr>
        <w:t>Riaz, W. and Tanveer, A., 2012. Marketing mix, not branding. </w:t>
      </w:r>
      <w:r w:rsidRPr="00CE2F94">
        <w:rPr>
          <w:rFonts w:ascii="Times New Roman" w:hAnsi="Times New Roman" w:cs="Times New Roman"/>
          <w:i/>
          <w:iCs/>
          <w:noProof/>
          <w:sz w:val="24"/>
          <w:szCs w:val="24"/>
        </w:rPr>
        <w:t>Asian Journal of Business and Management Sciences</w:t>
      </w:r>
      <w:r w:rsidRPr="00CE2F94">
        <w:rPr>
          <w:rFonts w:ascii="Times New Roman" w:hAnsi="Times New Roman" w:cs="Times New Roman"/>
          <w:noProof/>
          <w:sz w:val="24"/>
          <w:szCs w:val="24"/>
        </w:rPr>
        <w:t>, </w:t>
      </w:r>
      <w:r w:rsidRPr="00CE2F94">
        <w:rPr>
          <w:rFonts w:ascii="Times New Roman" w:hAnsi="Times New Roman" w:cs="Times New Roman"/>
          <w:i/>
          <w:iCs/>
          <w:noProof/>
          <w:sz w:val="24"/>
          <w:szCs w:val="24"/>
        </w:rPr>
        <w:t>1</w:t>
      </w:r>
      <w:r w:rsidRPr="00CE2F94">
        <w:rPr>
          <w:rFonts w:ascii="Times New Roman" w:hAnsi="Times New Roman" w:cs="Times New Roman"/>
          <w:noProof/>
          <w:sz w:val="24"/>
          <w:szCs w:val="24"/>
        </w:rPr>
        <w:t>(11), pp.43-52.</w:t>
      </w:r>
    </w:p>
    <w:p w14:paraId="1B4F4FA6" w14:textId="77777777" w:rsidR="003827FD" w:rsidRDefault="00675E33"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675E33">
        <w:rPr>
          <w:rFonts w:ascii="Times New Roman" w:hAnsi="Times New Roman" w:cs="Times New Roman"/>
          <w:noProof/>
          <w:sz w:val="24"/>
          <w:szCs w:val="24"/>
        </w:rPr>
        <w:t>Ritchie, B.W., 2004. Chaos, crises and disasters: a strategic approach to crisis management in the tourism industry. </w:t>
      </w:r>
      <w:r w:rsidRPr="00675E33">
        <w:rPr>
          <w:rFonts w:ascii="Times New Roman" w:hAnsi="Times New Roman" w:cs="Times New Roman"/>
          <w:i/>
          <w:iCs/>
          <w:noProof/>
          <w:sz w:val="24"/>
          <w:szCs w:val="24"/>
        </w:rPr>
        <w:t>Tourism management</w:t>
      </w:r>
      <w:r w:rsidRPr="00675E33">
        <w:rPr>
          <w:rFonts w:ascii="Times New Roman" w:hAnsi="Times New Roman" w:cs="Times New Roman"/>
          <w:noProof/>
          <w:sz w:val="24"/>
          <w:szCs w:val="24"/>
        </w:rPr>
        <w:t>, </w:t>
      </w:r>
      <w:r w:rsidRPr="00675E33">
        <w:rPr>
          <w:rFonts w:ascii="Times New Roman" w:hAnsi="Times New Roman" w:cs="Times New Roman"/>
          <w:i/>
          <w:iCs/>
          <w:noProof/>
          <w:sz w:val="24"/>
          <w:szCs w:val="24"/>
        </w:rPr>
        <w:t>25</w:t>
      </w:r>
      <w:r w:rsidRPr="00675E33">
        <w:rPr>
          <w:rFonts w:ascii="Times New Roman" w:hAnsi="Times New Roman" w:cs="Times New Roman"/>
          <w:noProof/>
          <w:sz w:val="24"/>
          <w:szCs w:val="24"/>
        </w:rPr>
        <w:t>(6), pp.669-683.</w:t>
      </w:r>
    </w:p>
    <w:p w14:paraId="0E98EA54" w14:textId="07B00D62" w:rsidR="0011195C" w:rsidRDefault="0011195C"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11195C">
        <w:rPr>
          <w:rFonts w:ascii="Times New Roman" w:hAnsi="Times New Roman" w:cs="Times New Roman"/>
          <w:noProof/>
          <w:sz w:val="24"/>
          <w:szCs w:val="24"/>
        </w:rPr>
        <w:t>Shi, F., Shi, D., Weaver, D. and Samaniego Chavez, C.E., 2021. Adapt to not just survive but thrive: resilience strategies of five-star hotels at difficult times. </w:t>
      </w:r>
      <w:r w:rsidRPr="0011195C">
        <w:rPr>
          <w:rFonts w:ascii="Times New Roman" w:hAnsi="Times New Roman" w:cs="Times New Roman"/>
          <w:i/>
          <w:iCs/>
          <w:noProof/>
          <w:sz w:val="24"/>
          <w:szCs w:val="24"/>
        </w:rPr>
        <w:t>International Journal of Contemporary Hospitality Management</w:t>
      </w:r>
      <w:r w:rsidRPr="0011195C">
        <w:rPr>
          <w:rFonts w:ascii="Times New Roman" w:hAnsi="Times New Roman" w:cs="Times New Roman"/>
          <w:noProof/>
          <w:sz w:val="24"/>
          <w:szCs w:val="24"/>
        </w:rPr>
        <w:t>, </w:t>
      </w:r>
      <w:r w:rsidRPr="0011195C">
        <w:rPr>
          <w:rFonts w:ascii="Times New Roman" w:hAnsi="Times New Roman" w:cs="Times New Roman"/>
          <w:i/>
          <w:iCs/>
          <w:noProof/>
          <w:sz w:val="24"/>
          <w:szCs w:val="24"/>
        </w:rPr>
        <w:t>33</w:t>
      </w:r>
      <w:r w:rsidRPr="0011195C">
        <w:rPr>
          <w:rFonts w:ascii="Times New Roman" w:hAnsi="Times New Roman" w:cs="Times New Roman"/>
          <w:noProof/>
          <w:sz w:val="24"/>
          <w:szCs w:val="24"/>
        </w:rPr>
        <w:t>(9), pp.2886-2906.</w:t>
      </w:r>
    </w:p>
    <w:p w14:paraId="6A83481B" w14:textId="3906A652" w:rsidR="003827FD" w:rsidRDefault="003827FD"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3827FD">
        <w:rPr>
          <w:rFonts w:ascii="Times New Roman" w:hAnsi="Times New Roman" w:cs="Times New Roman"/>
          <w:noProof/>
          <w:sz w:val="24"/>
          <w:szCs w:val="24"/>
        </w:rPr>
        <w:t>Son, R., Yamazawa, K., Oguchi, A., Suga, M., Tamura, M., Murakawa, Y. and Kume, S., 2021. Morphomics via Next-generation Electron Microscopy. </w:t>
      </w:r>
      <w:r w:rsidRPr="003827FD">
        <w:rPr>
          <w:rFonts w:ascii="Times New Roman" w:hAnsi="Times New Roman" w:cs="Times New Roman"/>
          <w:i/>
          <w:iCs/>
          <w:noProof/>
          <w:sz w:val="24"/>
          <w:szCs w:val="24"/>
        </w:rPr>
        <w:t>arXiv preprint arXiv:2111.14373</w:t>
      </w:r>
      <w:r w:rsidRPr="003827FD">
        <w:rPr>
          <w:rFonts w:ascii="Times New Roman" w:hAnsi="Times New Roman" w:cs="Times New Roman"/>
          <w:noProof/>
          <w:sz w:val="24"/>
          <w:szCs w:val="24"/>
        </w:rPr>
        <w:t>.</w:t>
      </w:r>
    </w:p>
    <w:p w14:paraId="76C6BF63" w14:textId="1ECB44F9" w:rsidR="00EF12A9" w:rsidRDefault="003827FD"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3827FD">
        <w:rPr>
          <w:rFonts w:ascii="Times New Roman" w:hAnsi="Times New Roman" w:cs="Times New Roman"/>
          <w:noProof/>
          <w:sz w:val="24"/>
          <w:szCs w:val="24"/>
        </w:rPr>
        <w:t>Sotirov, M. and Winkel, G., 2016. Toward a cognitive theory of shifting coalitions and policy change: Linking the advocacy coalition framework and cultural theory. </w:t>
      </w:r>
      <w:r w:rsidRPr="003827FD">
        <w:rPr>
          <w:rFonts w:ascii="Times New Roman" w:hAnsi="Times New Roman" w:cs="Times New Roman"/>
          <w:i/>
          <w:iCs/>
          <w:noProof/>
          <w:sz w:val="24"/>
          <w:szCs w:val="24"/>
        </w:rPr>
        <w:t>Policy Sciences</w:t>
      </w:r>
      <w:r w:rsidRPr="003827FD">
        <w:rPr>
          <w:rFonts w:ascii="Times New Roman" w:hAnsi="Times New Roman" w:cs="Times New Roman"/>
          <w:noProof/>
          <w:sz w:val="24"/>
          <w:szCs w:val="24"/>
        </w:rPr>
        <w:t>, </w:t>
      </w:r>
      <w:r w:rsidRPr="003827FD">
        <w:rPr>
          <w:rFonts w:ascii="Times New Roman" w:hAnsi="Times New Roman" w:cs="Times New Roman"/>
          <w:i/>
          <w:iCs/>
          <w:noProof/>
          <w:sz w:val="24"/>
          <w:szCs w:val="24"/>
        </w:rPr>
        <w:t>49</w:t>
      </w:r>
      <w:r w:rsidRPr="003827FD">
        <w:rPr>
          <w:rFonts w:ascii="Times New Roman" w:hAnsi="Times New Roman" w:cs="Times New Roman"/>
          <w:noProof/>
          <w:sz w:val="24"/>
          <w:szCs w:val="24"/>
        </w:rPr>
        <w:t>(2), pp.125-154.</w:t>
      </w:r>
    </w:p>
    <w:p w14:paraId="1EC939C4" w14:textId="77777777" w:rsidR="00EE00CA" w:rsidRDefault="00EE00CA"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EE00CA">
        <w:rPr>
          <w:rFonts w:ascii="Times New Roman" w:hAnsi="Times New Roman" w:cs="Times New Roman"/>
          <w:noProof/>
          <w:sz w:val="24"/>
          <w:szCs w:val="24"/>
        </w:rPr>
        <w:t>Waite, R. and Kett, R., 2004. What is happening in the European hotel sector?. </w:t>
      </w:r>
      <w:r w:rsidRPr="00EE00CA">
        <w:rPr>
          <w:rFonts w:ascii="Times New Roman" w:hAnsi="Times New Roman" w:cs="Times New Roman"/>
          <w:i/>
          <w:iCs/>
          <w:noProof/>
          <w:sz w:val="24"/>
          <w:szCs w:val="24"/>
        </w:rPr>
        <w:t>Journal of Retail &amp; Leisure Property</w:t>
      </w:r>
      <w:r w:rsidRPr="00EE00CA">
        <w:rPr>
          <w:rFonts w:ascii="Times New Roman" w:hAnsi="Times New Roman" w:cs="Times New Roman"/>
          <w:noProof/>
          <w:sz w:val="24"/>
          <w:szCs w:val="24"/>
        </w:rPr>
        <w:t>, </w:t>
      </w:r>
      <w:r w:rsidRPr="00EE00CA">
        <w:rPr>
          <w:rFonts w:ascii="Times New Roman" w:hAnsi="Times New Roman" w:cs="Times New Roman"/>
          <w:i/>
          <w:iCs/>
          <w:noProof/>
          <w:sz w:val="24"/>
          <w:szCs w:val="24"/>
        </w:rPr>
        <w:t>4</w:t>
      </w:r>
      <w:r w:rsidRPr="00EE00CA">
        <w:rPr>
          <w:rFonts w:ascii="Times New Roman" w:hAnsi="Times New Roman" w:cs="Times New Roman"/>
          <w:noProof/>
          <w:sz w:val="24"/>
          <w:szCs w:val="24"/>
        </w:rPr>
        <w:t>, pp.86-92.</w:t>
      </w:r>
    </w:p>
    <w:p w14:paraId="0C5E749B" w14:textId="04AB0929" w:rsidR="00DB1EE1" w:rsidRPr="00C63D69" w:rsidRDefault="00EF12A9" w:rsidP="00D26741">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EF12A9">
        <w:rPr>
          <w:rFonts w:ascii="Times New Roman" w:hAnsi="Times New Roman" w:cs="Times New Roman"/>
          <w:noProof/>
          <w:sz w:val="24"/>
          <w:szCs w:val="24"/>
        </w:rPr>
        <w:t xml:space="preserve">World Travel &amp; Tourism Council [WTTC], </w:t>
      </w:r>
      <w:r w:rsidR="00EE00CA" w:rsidRPr="00EF12A9">
        <w:rPr>
          <w:rFonts w:ascii="Times New Roman" w:hAnsi="Times New Roman" w:cs="Times New Roman"/>
          <w:noProof/>
          <w:sz w:val="24"/>
          <w:szCs w:val="24"/>
        </w:rPr>
        <w:t>2020</w:t>
      </w:r>
      <w:r w:rsidR="00EE00CA">
        <w:rPr>
          <w:rFonts w:ascii="Times New Roman" w:hAnsi="Times New Roman" w:cs="Times New Roman"/>
          <w:noProof/>
          <w:sz w:val="24"/>
          <w:szCs w:val="24"/>
        </w:rPr>
        <w:t>.</w:t>
      </w:r>
      <w:r w:rsidR="00EE00CA" w:rsidRPr="00EF12A9">
        <w:rPr>
          <w:rFonts w:ascii="Times New Roman" w:hAnsi="Times New Roman" w:cs="Times New Roman"/>
          <w:noProof/>
          <w:sz w:val="24"/>
          <w:szCs w:val="24"/>
        </w:rPr>
        <w:t xml:space="preserve"> </w:t>
      </w:r>
      <w:r w:rsidRPr="00EF12A9">
        <w:rPr>
          <w:rFonts w:ascii="Times New Roman" w:hAnsi="Times New Roman" w:cs="Times New Roman"/>
          <w:noProof/>
          <w:sz w:val="24"/>
          <w:szCs w:val="24"/>
        </w:rPr>
        <w:t xml:space="preserve">“WTTC: The future of travel &amp; tourism in the wake of Covid-19,” </w:t>
      </w:r>
      <w:r w:rsidRPr="00EF12A9">
        <w:rPr>
          <w:rFonts w:ascii="Times New Roman" w:hAnsi="Times New Roman" w:cs="Times New Roman"/>
          <w:i/>
          <w:iCs/>
          <w:noProof/>
          <w:sz w:val="24"/>
          <w:szCs w:val="24"/>
        </w:rPr>
        <w:t>World Travel Tour. Counc.</w:t>
      </w:r>
      <w:r w:rsidRPr="00EF12A9">
        <w:rPr>
          <w:rFonts w:ascii="Times New Roman" w:hAnsi="Times New Roman" w:cs="Times New Roman"/>
          <w:noProof/>
          <w:sz w:val="24"/>
          <w:szCs w:val="24"/>
        </w:rPr>
        <w:t>, no. September, pp. 14–22.</w:t>
      </w:r>
      <w:r w:rsidR="00A619B7">
        <w:rPr>
          <w:rFonts w:asciiTheme="majorBidi" w:hAnsiTheme="majorBidi" w:cstheme="majorBidi"/>
          <w:sz w:val="24"/>
          <w:szCs w:val="24"/>
        </w:rPr>
        <w:fldChar w:fldCharType="end"/>
      </w:r>
    </w:p>
    <w:sectPr w:rsidR="00DB1EE1" w:rsidRPr="00C63D69" w:rsidSect="0000265B">
      <w:head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FDBB0" w14:textId="77777777" w:rsidR="00175DDB" w:rsidRDefault="00175DDB" w:rsidP="007B5B24">
      <w:pPr>
        <w:spacing w:after="0" w:line="240" w:lineRule="auto"/>
      </w:pPr>
      <w:r>
        <w:separator/>
      </w:r>
    </w:p>
  </w:endnote>
  <w:endnote w:type="continuationSeparator" w:id="0">
    <w:p w14:paraId="6483D1A7" w14:textId="77777777" w:rsidR="00175DDB" w:rsidRDefault="00175DDB" w:rsidP="007B5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Yu Gothic UI">
    <w:panose1 w:val="020B05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4BAE6" w14:textId="77777777" w:rsidR="00175DDB" w:rsidRDefault="00175DDB" w:rsidP="007B5B24">
      <w:pPr>
        <w:spacing w:after="0" w:line="240" w:lineRule="auto"/>
      </w:pPr>
      <w:r>
        <w:separator/>
      </w:r>
    </w:p>
  </w:footnote>
  <w:footnote w:type="continuationSeparator" w:id="0">
    <w:p w14:paraId="08491B97" w14:textId="77777777" w:rsidR="00175DDB" w:rsidRDefault="00175DDB" w:rsidP="007B5B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0930339"/>
      <w:docPartObj>
        <w:docPartGallery w:val="Page Numbers (Top of Page)"/>
        <w:docPartUnique/>
      </w:docPartObj>
    </w:sdtPr>
    <w:sdtEndPr>
      <w:rPr>
        <w:noProof/>
      </w:rPr>
    </w:sdtEndPr>
    <w:sdtContent>
      <w:p w14:paraId="4CCCBCB0" w14:textId="38400903" w:rsidR="008E60C0" w:rsidRDefault="008E60C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308DF9D" w14:textId="77777777" w:rsidR="008E60C0" w:rsidRDefault="008E60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8301D"/>
    <w:multiLevelType w:val="multilevel"/>
    <w:tmpl w:val="EA2C62F4"/>
    <w:lvl w:ilvl="0">
      <w:start w:val="1"/>
      <w:numFmt w:val="decimal"/>
      <w:lvlText w:val="%1."/>
      <w:lvlJc w:val="left"/>
      <w:pPr>
        <w:ind w:left="720" w:hanging="360"/>
      </w:pPr>
    </w:lvl>
    <w:lvl w:ilvl="1">
      <w:start w:val="1"/>
      <w:numFmt w:val="bullet"/>
      <w:lvlText w:val=""/>
      <w:lvlJc w:val="left"/>
      <w:pPr>
        <w:ind w:left="735" w:hanging="375"/>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C7A7FB2"/>
    <w:multiLevelType w:val="hybridMultilevel"/>
    <w:tmpl w:val="238C2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7A6249"/>
    <w:multiLevelType w:val="hybridMultilevel"/>
    <w:tmpl w:val="4FACE8E4"/>
    <w:lvl w:ilvl="0" w:tplc="04090001">
      <w:start w:val="1"/>
      <w:numFmt w:val="bullet"/>
      <w:lvlText w:val=""/>
      <w:lvlJc w:val="left"/>
      <w:pPr>
        <w:ind w:left="360" w:hanging="360"/>
      </w:pPr>
      <w:rPr>
        <w:rFonts w:ascii="Symbol" w:hAnsi="Symbol" w:hint="default"/>
      </w:rPr>
    </w:lvl>
    <w:lvl w:ilvl="1" w:tplc="07965336">
      <w:start w:val="16"/>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9DB43A7"/>
    <w:multiLevelType w:val="hybridMultilevel"/>
    <w:tmpl w:val="333A7E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D93454F"/>
    <w:multiLevelType w:val="hybridMultilevel"/>
    <w:tmpl w:val="7258F6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06B605D"/>
    <w:multiLevelType w:val="hybridMultilevel"/>
    <w:tmpl w:val="31D2A2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3CB505A"/>
    <w:multiLevelType w:val="hybridMultilevel"/>
    <w:tmpl w:val="997A8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DD3F7D"/>
    <w:multiLevelType w:val="hybridMultilevel"/>
    <w:tmpl w:val="8AD0EE36"/>
    <w:lvl w:ilvl="0" w:tplc="04090001">
      <w:start w:val="1"/>
      <w:numFmt w:val="bullet"/>
      <w:lvlText w:val=""/>
      <w:lvlJc w:val="left"/>
      <w:pPr>
        <w:ind w:left="360" w:hanging="360"/>
      </w:pPr>
      <w:rPr>
        <w:rFonts w:ascii="Symbol" w:hAnsi="Symbol" w:hint="default"/>
      </w:rPr>
    </w:lvl>
    <w:lvl w:ilvl="1" w:tplc="301E4F36">
      <w:start w:val="16"/>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95A68D4"/>
    <w:multiLevelType w:val="multilevel"/>
    <w:tmpl w:val="F948D912"/>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508641901">
    <w:abstractNumId w:val="8"/>
  </w:num>
  <w:num w:numId="2" w16cid:durableId="1239169901">
    <w:abstractNumId w:val="7"/>
  </w:num>
  <w:num w:numId="3" w16cid:durableId="1948074912">
    <w:abstractNumId w:val="4"/>
  </w:num>
  <w:num w:numId="4" w16cid:durableId="1658849871">
    <w:abstractNumId w:val="2"/>
  </w:num>
  <w:num w:numId="5" w16cid:durableId="800268783">
    <w:abstractNumId w:val="5"/>
  </w:num>
  <w:num w:numId="6" w16cid:durableId="417866378">
    <w:abstractNumId w:val="3"/>
  </w:num>
  <w:num w:numId="7" w16cid:durableId="1997103357">
    <w:abstractNumId w:val="1"/>
  </w:num>
  <w:num w:numId="8" w16cid:durableId="85343022">
    <w:abstractNumId w:val="6"/>
  </w:num>
  <w:num w:numId="9" w16cid:durableId="69835979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jM0NDU1MTcyMLEwNrFQ0lEKTi0uzszPAykwrwUAOO6gsCwAAAA="/>
  </w:docVars>
  <w:rsids>
    <w:rsidRoot w:val="00800517"/>
    <w:rsid w:val="00000CA9"/>
    <w:rsid w:val="0000265B"/>
    <w:rsid w:val="000334FB"/>
    <w:rsid w:val="00057F0C"/>
    <w:rsid w:val="0009756B"/>
    <w:rsid w:val="000A717C"/>
    <w:rsid w:val="0011195C"/>
    <w:rsid w:val="001160D1"/>
    <w:rsid w:val="00175DDB"/>
    <w:rsid w:val="00181DD9"/>
    <w:rsid w:val="001B0880"/>
    <w:rsid w:val="001B3170"/>
    <w:rsid w:val="001B65BD"/>
    <w:rsid w:val="001C2EEC"/>
    <w:rsid w:val="001C42D6"/>
    <w:rsid w:val="00230B54"/>
    <w:rsid w:val="002641BB"/>
    <w:rsid w:val="002B1040"/>
    <w:rsid w:val="002C70B2"/>
    <w:rsid w:val="002E59DD"/>
    <w:rsid w:val="002F0FFC"/>
    <w:rsid w:val="002F5929"/>
    <w:rsid w:val="00310211"/>
    <w:rsid w:val="003238FB"/>
    <w:rsid w:val="0032797B"/>
    <w:rsid w:val="00332612"/>
    <w:rsid w:val="003455C9"/>
    <w:rsid w:val="003827FD"/>
    <w:rsid w:val="003857CA"/>
    <w:rsid w:val="003B0F5D"/>
    <w:rsid w:val="003B2594"/>
    <w:rsid w:val="003B3D6C"/>
    <w:rsid w:val="003B4CB2"/>
    <w:rsid w:val="003D4E03"/>
    <w:rsid w:val="003D6017"/>
    <w:rsid w:val="0040334E"/>
    <w:rsid w:val="00403B3C"/>
    <w:rsid w:val="0043737B"/>
    <w:rsid w:val="00450707"/>
    <w:rsid w:val="004537DC"/>
    <w:rsid w:val="00464F86"/>
    <w:rsid w:val="00492D4E"/>
    <w:rsid w:val="004A726A"/>
    <w:rsid w:val="004B695B"/>
    <w:rsid w:val="004D59DB"/>
    <w:rsid w:val="004F2D7B"/>
    <w:rsid w:val="00515D02"/>
    <w:rsid w:val="00542F2D"/>
    <w:rsid w:val="0057564D"/>
    <w:rsid w:val="005832A3"/>
    <w:rsid w:val="00596B1E"/>
    <w:rsid w:val="005A0678"/>
    <w:rsid w:val="005E541A"/>
    <w:rsid w:val="00600082"/>
    <w:rsid w:val="006017C1"/>
    <w:rsid w:val="00615736"/>
    <w:rsid w:val="00663730"/>
    <w:rsid w:val="00665073"/>
    <w:rsid w:val="006750B1"/>
    <w:rsid w:val="00675E33"/>
    <w:rsid w:val="006A573D"/>
    <w:rsid w:val="006E30DF"/>
    <w:rsid w:val="006E4C47"/>
    <w:rsid w:val="00700A17"/>
    <w:rsid w:val="00716C65"/>
    <w:rsid w:val="00736178"/>
    <w:rsid w:val="00764ED1"/>
    <w:rsid w:val="007808A7"/>
    <w:rsid w:val="007A39FF"/>
    <w:rsid w:val="007B5B24"/>
    <w:rsid w:val="007C23EB"/>
    <w:rsid w:val="007C768D"/>
    <w:rsid w:val="007D674A"/>
    <w:rsid w:val="007E0D36"/>
    <w:rsid w:val="007E1B00"/>
    <w:rsid w:val="007F75B0"/>
    <w:rsid w:val="00800517"/>
    <w:rsid w:val="00820680"/>
    <w:rsid w:val="0082093D"/>
    <w:rsid w:val="00860EB5"/>
    <w:rsid w:val="00864944"/>
    <w:rsid w:val="00870211"/>
    <w:rsid w:val="0088516C"/>
    <w:rsid w:val="008E60C0"/>
    <w:rsid w:val="00922263"/>
    <w:rsid w:val="00957017"/>
    <w:rsid w:val="009B1E02"/>
    <w:rsid w:val="009C07F6"/>
    <w:rsid w:val="009C31C9"/>
    <w:rsid w:val="00A27924"/>
    <w:rsid w:val="00A37DEA"/>
    <w:rsid w:val="00A619B7"/>
    <w:rsid w:val="00A7019D"/>
    <w:rsid w:val="00A7789D"/>
    <w:rsid w:val="00A8459C"/>
    <w:rsid w:val="00AD19DA"/>
    <w:rsid w:val="00AF7CDB"/>
    <w:rsid w:val="00B060C6"/>
    <w:rsid w:val="00B31B83"/>
    <w:rsid w:val="00B43984"/>
    <w:rsid w:val="00B5160D"/>
    <w:rsid w:val="00B57BC2"/>
    <w:rsid w:val="00B60217"/>
    <w:rsid w:val="00B62307"/>
    <w:rsid w:val="00B626EC"/>
    <w:rsid w:val="00B82783"/>
    <w:rsid w:val="00B852A8"/>
    <w:rsid w:val="00B918B8"/>
    <w:rsid w:val="00B95D17"/>
    <w:rsid w:val="00BB6939"/>
    <w:rsid w:val="00BC5C25"/>
    <w:rsid w:val="00BD0038"/>
    <w:rsid w:val="00BD3916"/>
    <w:rsid w:val="00C42769"/>
    <w:rsid w:val="00C63D69"/>
    <w:rsid w:val="00C64EC0"/>
    <w:rsid w:val="00CA0647"/>
    <w:rsid w:val="00CB3062"/>
    <w:rsid w:val="00CC6CE2"/>
    <w:rsid w:val="00CE2F94"/>
    <w:rsid w:val="00CF78BB"/>
    <w:rsid w:val="00D26741"/>
    <w:rsid w:val="00D421A8"/>
    <w:rsid w:val="00D774AD"/>
    <w:rsid w:val="00D867CB"/>
    <w:rsid w:val="00DB1EE1"/>
    <w:rsid w:val="00DD332B"/>
    <w:rsid w:val="00DD3C1C"/>
    <w:rsid w:val="00DE2F84"/>
    <w:rsid w:val="00DE30FD"/>
    <w:rsid w:val="00E22DFC"/>
    <w:rsid w:val="00E50277"/>
    <w:rsid w:val="00E741DF"/>
    <w:rsid w:val="00E92B2A"/>
    <w:rsid w:val="00EA7667"/>
    <w:rsid w:val="00EE00CA"/>
    <w:rsid w:val="00EF12A9"/>
    <w:rsid w:val="00F321A4"/>
    <w:rsid w:val="00F43353"/>
    <w:rsid w:val="00F479ED"/>
    <w:rsid w:val="00FA7171"/>
    <w:rsid w:val="00FC7624"/>
    <w:rsid w:val="00FD45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18E10"/>
  <w15:docId w15:val="{F8D32E3A-4D4E-4EFE-8FF2-E310A049D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65B"/>
  </w:style>
  <w:style w:type="paragraph" w:styleId="Heading1">
    <w:name w:val="heading 1"/>
    <w:basedOn w:val="Normal"/>
    <w:next w:val="Normal"/>
    <w:link w:val="Heading1Char"/>
    <w:uiPriority w:val="9"/>
    <w:qFormat/>
    <w:rsid w:val="00B43984"/>
    <w:pPr>
      <w:keepNext/>
      <w:keepLines/>
      <w:spacing w:before="480" w:after="0"/>
      <w:outlineLvl w:val="0"/>
    </w:pPr>
    <w:rPr>
      <w:rFonts w:asciiTheme="majorBidi" w:eastAsiaTheme="majorEastAsia" w:hAnsiTheme="majorBidi" w:cstheme="majorBidi"/>
      <w:b/>
      <w:bCs/>
      <w:color w:val="365F91" w:themeColor="accent1" w:themeShade="BF"/>
      <w:sz w:val="32"/>
      <w:szCs w:val="28"/>
    </w:rPr>
  </w:style>
  <w:style w:type="paragraph" w:styleId="Heading2">
    <w:name w:val="heading 2"/>
    <w:basedOn w:val="Normal"/>
    <w:link w:val="Heading2Char"/>
    <w:uiPriority w:val="9"/>
    <w:qFormat/>
    <w:rsid w:val="001C2EEC"/>
    <w:pPr>
      <w:spacing w:before="100" w:beforeAutospacing="1" w:after="100" w:afterAutospacing="1" w:line="240" w:lineRule="auto"/>
      <w:outlineLvl w:val="1"/>
    </w:pPr>
    <w:rPr>
      <w:rFonts w:ascii="Times New Roman" w:eastAsia="Times New Roman" w:hAnsi="Times New Roman" w:cs="Times New Roman"/>
      <w:b/>
      <w:bCs/>
      <w:sz w:val="28"/>
      <w:szCs w:val="36"/>
    </w:rPr>
  </w:style>
  <w:style w:type="paragraph" w:styleId="Heading3">
    <w:name w:val="heading 3"/>
    <w:basedOn w:val="Normal"/>
    <w:next w:val="Normal"/>
    <w:link w:val="Heading3Char"/>
    <w:uiPriority w:val="9"/>
    <w:unhideWhenUsed/>
    <w:qFormat/>
    <w:rsid w:val="0009756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439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05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C2EEC"/>
    <w:rPr>
      <w:rFonts w:ascii="Times New Roman" w:eastAsia="Times New Roman" w:hAnsi="Times New Roman" w:cs="Times New Roman"/>
      <w:b/>
      <w:bCs/>
      <w:sz w:val="28"/>
      <w:szCs w:val="36"/>
    </w:rPr>
  </w:style>
  <w:style w:type="character" w:customStyle="1" w:styleId="wsm-tooltip">
    <w:name w:val="wsm-tooltip"/>
    <w:basedOn w:val="DefaultParagraphFont"/>
    <w:rsid w:val="0009756B"/>
  </w:style>
  <w:style w:type="character" w:styleId="Hyperlink">
    <w:name w:val="Hyperlink"/>
    <w:basedOn w:val="DefaultParagraphFont"/>
    <w:uiPriority w:val="99"/>
    <w:unhideWhenUsed/>
    <w:rsid w:val="0009756B"/>
    <w:rPr>
      <w:color w:val="0000FF"/>
      <w:u w:val="single"/>
    </w:rPr>
  </w:style>
  <w:style w:type="character" w:customStyle="1" w:styleId="Heading3Char">
    <w:name w:val="Heading 3 Char"/>
    <w:basedOn w:val="DefaultParagraphFont"/>
    <w:link w:val="Heading3"/>
    <w:uiPriority w:val="9"/>
    <w:rsid w:val="0009756B"/>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B439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3984"/>
    <w:rPr>
      <w:rFonts w:ascii="Tahoma" w:hAnsi="Tahoma" w:cs="Tahoma"/>
      <w:sz w:val="16"/>
      <w:szCs w:val="16"/>
    </w:rPr>
  </w:style>
  <w:style w:type="character" w:customStyle="1" w:styleId="Heading4Char">
    <w:name w:val="Heading 4 Char"/>
    <w:basedOn w:val="DefaultParagraphFont"/>
    <w:link w:val="Heading4"/>
    <w:uiPriority w:val="9"/>
    <w:semiHidden/>
    <w:rsid w:val="00B43984"/>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B43984"/>
    <w:rPr>
      <w:rFonts w:asciiTheme="majorBidi" w:eastAsiaTheme="majorEastAsia" w:hAnsiTheme="majorBidi" w:cstheme="majorBidi"/>
      <w:b/>
      <w:bCs/>
      <w:color w:val="365F91" w:themeColor="accent1" w:themeShade="BF"/>
      <w:sz w:val="32"/>
      <w:szCs w:val="28"/>
    </w:rPr>
  </w:style>
  <w:style w:type="paragraph" w:styleId="Caption">
    <w:name w:val="caption"/>
    <w:basedOn w:val="Normal"/>
    <w:next w:val="Normal"/>
    <w:uiPriority w:val="35"/>
    <w:unhideWhenUsed/>
    <w:qFormat/>
    <w:rsid w:val="003B0F5D"/>
    <w:pPr>
      <w:spacing w:line="240" w:lineRule="auto"/>
    </w:pPr>
    <w:rPr>
      <w:b/>
      <w:bCs/>
      <w:color w:val="4F81BD" w:themeColor="accent1"/>
      <w:sz w:val="18"/>
      <w:szCs w:val="18"/>
    </w:rPr>
  </w:style>
  <w:style w:type="paragraph" w:styleId="ListParagraph">
    <w:name w:val="List Paragraph"/>
    <w:basedOn w:val="Normal"/>
    <w:uiPriority w:val="34"/>
    <w:qFormat/>
    <w:rsid w:val="00736178"/>
    <w:pPr>
      <w:ind w:left="720"/>
      <w:contextualSpacing/>
    </w:pPr>
  </w:style>
  <w:style w:type="character" w:styleId="Strong">
    <w:name w:val="Strong"/>
    <w:basedOn w:val="DefaultParagraphFont"/>
    <w:uiPriority w:val="22"/>
    <w:qFormat/>
    <w:rsid w:val="00DB1EE1"/>
    <w:rPr>
      <w:b/>
      <w:bCs/>
    </w:rPr>
  </w:style>
  <w:style w:type="character" w:styleId="Emphasis">
    <w:name w:val="Emphasis"/>
    <w:basedOn w:val="DefaultParagraphFont"/>
    <w:uiPriority w:val="20"/>
    <w:qFormat/>
    <w:rsid w:val="0082093D"/>
    <w:rPr>
      <w:i/>
      <w:iCs/>
    </w:rPr>
  </w:style>
  <w:style w:type="paragraph" w:styleId="TOCHeading">
    <w:name w:val="TOC Heading"/>
    <w:basedOn w:val="Heading1"/>
    <w:next w:val="Normal"/>
    <w:uiPriority w:val="39"/>
    <w:semiHidden/>
    <w:unhideWhenUsed/>
    <w:qFormat/>
    <w:rsid w:val="001C2EEC"/>
    <w:pPr>
      <w:outlineLvl w:val="9"/>
    </w:pPr>
    <w:rPr>
      <w:rFonts w:asciiTheme="majorHAnsi" w:hAnsiTheme="majorHAnsi"/>
      <w:sz w:val="28"/>
    </w:rPr>
  </w:style>
  <w:style w:type="paragraph" w:styleId="TOC1">
    <w:name w:val="toc 1"/>
    <w:basedOn w:val="Normal"/>
    <w:next w:val="Normal"/>
    <w:autoRedefine/>
    <w:uiPriority w:val="39"/>
    <w:unhideWhenUsed/>
    <w:rsid w:val="001C2EEC"/>
    <w:pPr>
      <w:spacing w:after="100"/>
    </w:pPr>
  </w:style>
  <w:style w:type="paragraph" w:styleId="TOC2">
    <w:name w:val="toc 2"/>
    <w:basedOn w:val="Normal"/>
    <w:next w:val="Normal"/>
    <w:autoRedefine/>
    <w:uiPriority w:val="39"/>
    <w:unhideWhenUsed/>
    <w:rsid w:val="001C2EEC"/>
    <w:pPr>
      <w:spacing w:after="100"/>
      <w:ind w:left="220"/>
    </w:pPr>
  </w:style>
  <w:style w:type="paragraph" w:styleId="TOC3">
    <w:name w:val="toc 3"/>
    <w:basedOn w:val="Normal"/>
    <w:next w:val="Normal"/>
    <w:autoRedefine/>
    <w:uiPriority w:val="39"/>
    <w:unhideWhenUsed/>
    <w:rsid w:val="001C2EEC"/>
    <w:pPr>
      <w:spacing w:after="100"/>
      <w:ind w:left="440"/>
    </w:pPr>
  </w:style>
  <w:style w:type="paragraph" w:styleId="NoSpacing">
    <w:name w:val="No Spacing"/>
    <w:uiPriority w:val="1"/>
    <w:qFormat/>
    <w:rsid w:val="00A7019D"/>
    <w:pPr>
      <w:spacing w:after="0" w:line="240" w:lineRule="auto"/>
    </w:pPr>
  </w:style>
  <w:style w:type="paragraph" w:styleId="FootnoteText">
    <w:name w:val="footnote text"/>
    <w:basedOn w:val="Normal"/>
    <w:link w:val="FootnoteTextChar"/>
    <w:uiPriority w:val="99"/>
    <w:semiHidden/>
    <w:unhideWhenUsed/>
    <w:rsid w:val="007B5B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5B24"/>
    <w:rPr>
      <w:sz w:val="20"/>
      <w:szCs w:val="20"/>
    </w:rPr>
  </w:style>
  <w:style w:type="character" w:styleId="FootnoteReference">
    <w:name w:val="footnote reference"/>
    <w:basedOn w:val="DefaultParagraphFont"/>
    <w:uiPriority w:val="99"/>
    <w:semiHidden/>
    <w:unhideWhenUsed/>
    <w:rsid w:val="007B5B24"/>
    <w:rPr>
      <w:vertAlign w:val="superscript"/>
    </w:rPr>
  </w:style>
  <w:style w:type="paragraph" w:styleId="Header">
    <w:name w:val="header"/>
    <w:basedOn w:val="Normal"/>
    <w:link w:val="HeaderChar"/>
    <w:uiPriority w:val="99"/>
    <w:unhideWhenUsed/>
    <w:rsid w:val="008E60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60C0"/>
  </w:style>
  <w:style w:type="paragraph" w:styleId="Footer">
    <w:name w:val="footer"/>
    <w:basedOn w:val="Normal"/>
    <w:link w:val="FooterChar"/>
    <w:uiPriority w:val="99"/>
    <w:unhideWhenUsed/>
    <w:rsid w:val="008E60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6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3666">
      <w:bodyDiv w:val="1"/>
      <w:marLeft w:val="0"/>
      <w:marRight w:val="0"/>
      <w:marTop w:val="0"/>
      <w:marBottom w:val="0"/>
      <w:divBdr>
        <w:top w:val="none" w:sz="0" w:space="0" w:color="auto"/>
        <w:left w:val="none" w:sz="0" w:space="0" w:color="auto"/>
        <w:bottom w:val="none" w:sz="0" w:space="0" w:color="auto"/>
        <w:right w:val="none" w:sz="0" w:space="0" w:color="auto"/>
      </w:divBdr>
      <w:divsChild>
        <w:div w:id="1096831342">
          <w:marLeft w:val="0"/>
          <w:marRight w:val="0"/>
          <w:marTop w:val="0"/>
          <w:marBottom w:val="0"/>
          <w:divBdr>
            <w:top w:val="none" w:sz="0" w:space="0" w:color="auto"/>
            <w:left w:val="none" w:sz="0" w:space="0" w:color="auto"/>
            <w:bottom w:val="none" w:sz="0" w:space="0" w:color="auto"/>
            <w:right w:val="none" w:sz="0" w:space="0" w:color="auto"/>
          </w:divBdr>
        </w:div>
      </w:divsChild>
    </w:div>
    <w:div w:id="67313892">
      <w:bodyDiv w:val="1"/>
      <w:marLeft w:val="0"/>
      <w:marRight w:val="0"/>
      <w:marTop w:val="0"/>
      <w:marBottom w:val="0"/>
      <w:divBdr>
        <w:top w:val="none" w:sz="0" w:space="0" w:color="auto"/>
        <w:left w:val="none" w:sz="0" w:space="0" w:color="auto"/>
        <w:bottom w:val="none" w:sz="0" w:space="0" w:color="auto"/>
        <w:right w:val="none" w:sz="0" w:space="0" w:color="auto"/>
      </w:divBdr>
    </w:div>
    <w:div w:id="89861576">
      <w:bodyDiv w:val="1"/>
      <w:marLeft w:val="0"/>
      <w:marRight w:val="0"/>
      <w:marTop w:val="0"/>
      <w:marBottom w:val="0"/>
      <w:divBdr>
        <w:top w:val="none" w:sz="0" w:space="0" w:color="auto"/>
        <w:left w:val="none" w:sz="0" w:space="0" w:color="auto"/>
        <w:bottom w:val="none" w:sz="0" w:space="0" w:color="auto"/>
        <w:right w:val="none" w:sz="0" w:space="0" w:color="auto"/>
      </w:divBdr>
    </w:div>
    <w:div w:id="118694011">
      <w:bodyDiv w:val="1"/>
      <w:marLeft w:val="0"/>
      <w:marRight w:val="0"/>
      <w:marTop w:val="0"/>
      <w:marBottom w:val="0"/>
      <w:divBdr>
        <w:top w:val="none" w:sz="0" w:space="0" w:color="auto"/>
        <w:left w:val="none" w:sz="0" w:space="0" w:color="auto"/>
        <w:bottom w:val="none" w:sz="0" w:space="0" w:color="auto"/>
        <w:right w:val="none" w:sz="0" w:space="0" w:color="auto"/>
      </w:divBdr>
    </w:div>
    <w:div w:id="232205341">
      <w:bodyDiv w:val="1"/>
      <w:marLeft w:val="0"/>
      <w:marRight w:val="0"/>
      <w:marTop w:val="0"/>
      <w:marBottom w:val="0"/>
      <w:divBdr>
        <w:top w:val="none" w:sz="0" w:space="0" w:color="auto"/>
        <w:left w:val="none" w:sz="0" w:space="0" w:color="auto"/>
        <w:bottom w:val="none" w:sz="0" w:space="0" w:color="auto"/>
        <w:right w:val="none" w:sz="0" w:space="0" w:color="auto"/>
      </w:divBdr>
    </w:div>
    <w:div w:id="267087111">
      <w:bodyDiv w:val="1"/>
      <w:marLeft w:val="0"/>
      <w:marRight w:val="0"/>
      <w:marTop w:val="0"/>
      <w:marBottom w:val="0"/>
      <w:divBdr>
        <w:top w:val="none" w:sz="0" w:space="0" w:color="auto"/>
        <w:left w:val="none" w:sz="0" w:space="0" w:color="auto"/>
        <w:bottom w:val="none" w:sz="0" w:space="0" w:color="auto"/>
        <w:right w:val="none" w:sz="0" w:space="0" w:color="auto"/>
      </w:divBdr>
    </w:div>
    <w:div w:id="311909915">
      <w:bodyDiv w:val="1"/>
      <w:marLeft w:val="0"/>
      <w:marRight w:val="0"/>
      <w:marTop w:val="0"/>
      <w:marBottom w:val="0"/>
      <w:divBdr>
        <w:top w:val="none" w:sz="0" w:space="0" w:color="auto"/>
        <w:left w:val="none" w:sz="0" w:space="0" w:color="auto"/>
        <w:bottom w:val="none" w:sz="0" w:space="0" w:color="auto"/>
        <w:right w:val="none" w:sz="0" w:space="0" w:color="auto"/>
      </w:divBdr>
    </w:div>
    <w:div w:id="443042939">
      <w:bodyDiv w:val="1"/>
      <w:marLeft w:val="0"/>
      <w:marRight w:val="0"/>
      <w:marTop w:val="0"/>
      <w:marBottom w:val="0"/>
      <w:divBdr>
        <w:top w:val="none" w:sz="0" w:space="0" w:color="auto"/>
        <w:left w:val="none" w:sz="0" w:space="0" w:color="auto"/>
        <w:bottom w:val="none" w:sz="0" w:space="0" w:color="auto"/>
        <w:right w:val="none" w:sz="0" w:space="0" w:color="auto"/>
      </w:divBdr>
    </w:div>
    <w:div w:id="475953210">
      <w:bodyDiv w:val="1"/>
      <w:marLeft w:val="0"/>
      <w:marRight w:val="0"/>
      <w:marTop w:val="0"/>
      <w:marBottom w:val="0"/>
      <w:divBdr>
        <w:top w:val="none" w:sz="0" w:space="0" w:color="auto"/>
        <w:left w:val="none" w:sz="0" w:space="0" w:color="auto"/>
        <w:bottom w:val="none" w:sz="0" w:space="0" w:color="auto"/>
        <w:right w:val="none" w:sz="0" w:space="0" w:color="auto"/>
      </w:divBdr>
      <w:divsChild>
        <w:div w:id="459735630">
          <w:marLeft w:val="0"/>
          <w:marRight w:val="0"/>
          <w:marTop w:val="0"/>
          <w:marBottom w:val="0"/>
          <w:divBdr>
            <w:top w:val="none" w:sz="0" w:space="0" w:color="auto"/>
            <w:left w:val="none" w:sz="0" w:space="0" w:color="auto"/>
            <w:bottom w:val="none" w:sz="0" w:space="0" w:color="auto"/>
            <w:right w:val="none" w:sz="0" w:space="0" w:color="auto"/>
          </w:divBdr>
        </w:div>
        <w:div w:id="1707025474">
          <w:marLeft w:val="0"/>
          <w:marRight w:val="0"/>
          <w:marTop w:val="0"/>
          <w:marBottom w:val="0"/>
          <w:divBdr>
            <w:top w:val="none" w:sz="0" w:space="0" w:color="auto"/>
            <w:left w:val="none" w:sz="0" w:space="0" w:color="auto"/>
            <w:bottom w:val="none" w:sz="0" w:space="0" w:color="auto"/>
            <w:right w:val="none" w:sz="0" w:space="0" w:color="auto"/>
          </w:divBdr>
        </w:div>
      </w:divsChild>
    </w:div>
    <w:div w:id="512961013">
      <w:bodyDiv w:val="1"/>
      <w:marLeft w:val="0"/>
      <w:marRight w:val="0"/>
      <w:marTop w:val="0"/>
      <w:marBottom w:val="0"/>
      <w:divBdr>
        <w:top w:val="none" w:sz="0" w:space="0" w:color="auto"/>
        <w:left w:val="none" w:sz="0" w:space="0" w:color="auto"/>
        <w:bottom w:val="none" w:sz="0" w:space="0" w:color="auto"/>
        <w:right w:val="none" w:sz="0" w:space="0" w:color="auto"/>
      </w:divBdr>
    </w:div>
    <w:div w:id="513348141">
      <w:bodyDiv w:val="1"/>
      <w:marLeft w:val="0"/>
      <w:marRight w:val="0"/>
      <w:marTop w:val="0"/>
      <w:marBottom w:val="0"/>
      <w:divBdr>
        <w:top w:val="none" w:sz="0" w:space="0" w:color="auto"/>
        <w:left w:val="none" w:sz="0" w:space="0" w:color="auto"/>
        <w:bottom w:val="none" w:sz="0" w:space="0" w:color="auto"/>
        <w:right w:val="none" w:sz="0" w:space="0" w:color="auto"/>
      </w:divBdr>
    </w:div>
    <w:div w:id="712928531">
      <w:bodyDiv w:val="1"/>
      <w:marLeft w:val="0"/>
      <w:marRight w:val="0"/>
      <w:marTop w:val="0"/>
      <w:marBottom w:val="0"/>
      <w:divBdr>
        <w:top w:val="none" w:sz="0" w:space="0" w:color="auto"/>
        <w:left w:val="none" w:sz="0" w:space="0" w:color="auto"/>
        <w:bottom w:val="none" w:sz="0" w:space="0" w:color="auto"/>
        <w:right w:val="none" w:sz="0" w:space="0" w:color="auto"/>
      </w:divBdr>
    </w:div>
    <w:div w:id="742987309">
      <w:bodyDiv w:val="1"/>
      <w:marLeft w:val="0"/>
      <w:marRight w:val="0"/>
      <w:marTop w:val="0"/>
      <w:marBottom w:val="0"/>
      <w:divBdr>
        <w:top w:val="none" w:sz="0" w:space="0" w:color="auto"/>
        <w:left w:val="none" w:sz="0" w:space="0" w:color="auto"/>
        <w:bottom w:val="none" w:sz="0" w:space="0" w:color="auto"/>
        <w:right w:val="none" w:sz="0" w:space="0" w:color="auto"/>
      </w:divBdr>
    </w:div>
    <w:div w:id="749499785">
      <w:bodyDiv w:val="1"/>
      <w:marLeft w:val="0"/>
      <w:marRight w:val="0"/>
      <w:marTop w:val="0"/>
      <w:marBottom w:val="0"/>
      <w:divBdr>
        <w:top w:val="none" w:sz="0" w:space="0" w:color="auto"/>
        <w:left w:val="none" w:sz="0" w:space="0" w:color="auto"/>
        <w:bottom w:val="none" w:sz="0" w:space="0" w:color="auto"/>
        <w:right w:val="none" w:sz="0" w:space="0" w:color="auto"/>
      </w:divBdr>
    </w:div>
    <w:div w:id="789710628">
      <w:bodyDiv w:val="1"/>
      <w:marLeft w:val="0"/>
      <w:marRight w:val="0"/>
      <w:marTop w:val="0"/>
      <w:marBottom w:val="0"/>
      <w:divBdr>
        <w:top w:val="none" w:sz="0" w:space="0" w:color="auto"/>
        <w:left w:val="none" w:sz="0" w:space="0" w:color="auto"/>
        <w:bottom w:val="none" w:sz="0" w:space="0" w:color="auto"/>
        <w:right w:val="none" w:sz="0" w:space="0" w:color="auto"/>
      </w:divBdr>
    </w:div>
    <w:div w:id="807866378">
      <w:bodyDiv w:val="1"/>
      <w:marLeft w:val="0"/>
      <w:marRight w:val="0"/>
      <w:marTop w:val="0"/>
      <w:marBottom w:val="0"/>
      <w:divBdr>
        <w:top w:val="none" w:sz="0" w:space="0" w:color="auto"/>
        <w:left w:val="none" w:sz="0" w:space="0" w:color="auto"/>
        <w:bottom w:val="none" w:sz="0" w:space="0" w:color="auto"/>
        <w:right w:val="none" w:sz="0" w:space="0" w:color="auto"/>
      </w:divBdr>
    </w:div>
    <w:div w:id="860438128">
      <w:bodyDiv w:val="1"/>
      <w:marLeft w:val="0"/>
      <w:marRight w:val="0"/>
      <w:marTop w:val="0"/>
      <w:marBottom w:val="0"/>
      <w:divBdr>
        <w:top w:val="none" w:sz="0" w:space="0" w:color="auto"/>
        <w:left w:val="none" w:sz="0" w:space="0" w:color="auto"/>
        <w:bottom w:val="none" w:sz="0" w:space="0" w:color="auto"/>
        <w:right w:val="none" w:sz="0" w:space="0" w:color="auto"/>
      </w:divBdr>
    </w:div>
    <w:div w:id="1018391865">
      <w:bodyDiv w:val="1"/>
      <w:marLeft w:val="0"/>
      <w:marRight w:val="0"/>
      <w:marTop w:val="0"/>
      <w:marBottom w:val="0"/>
      <w:divBdr>
        <w:top w:val="none" w:sz="0" w:space="0" w:color="auto"/>
        <w:left w:val="none" w:sz="0" w:space="0" w:color="auto"/>
        <w:bottom w:val="none" w:sz="0" w:space="0" w:color="auto"/>
        <w:right w:val="none" w:sz="0" w:space="0" w:color="auto"/>
      </w:divBdr>
    </w:div>
    <w:div w:id="1040670711">
      <w:bodyDiv w:val="1"/>
      <w:marLeft w:val="0"/>
      <w:marRight w:val="0"/>
      <w:marTop w:val="0"/>
      <w:marBottom w:val="0"/>
      <w:divBdr>
        <w:top w:val="none" w:sz="0" w:space="0" w:color="auto"/>
        <w:left w:val="none" w:sz="0" w:space="0" w:color="auto"/>
        <w:bottom w:val="none" w:sz="0" w:space="0" w:color="auto"/>
        <w:right w:val="none" w:sz="0" w:space="0" w:color="auto"/>
      </w:divBdr>
    </w:div>
    <w:div w:id="1060245989">
      <w:bodyDiv w:val="1"/>
      <w:marLeft w:val="0"/>
      <w:marRight w:val="0"/>
      <w:marTop w:val="0"/>
      <w:marBottom w:val="0"/>
      <w:divBdr>
        <w:top w:val="none" w:sz="0" w:space="0" w:color="auto"/>
        <w:left w:val="none" w:sz="0" w:space="0" w:color="auto"/>
        <w:bottom w:val="none" w:sz="0" w:space="0" w:color="auto"/>
        <w:right w:val="none" w:sz="0" w:space="0" w:color="auto"/>
      </w:divBdr>
      <w:divsChild>
        <w:div w:id="1055934360">
          <w:marLeft w:val="0"/>
          <w:marRight w:val="0"/>
          <w:marTop w:val="0"/>
          <w:marBottom w:val="0"/>
          <w:divBdr>
            <w:top w:val="none" w:sz="0" w:space="0" w:color="auto"/>
            <w:left w:val="none" w:sz="0" w:space="0" w:color="auto"/>
            <w:bottom w:val="none" w:sz="0" w:space="0" w:color="auto"/>
            <w:right w:val="none" w:sz="0" w:space="0" w:color="auto"/>
          </w:divBdr>
        </w:div>
      </w:divsChild>
    </w:div>
    <w:div w:id="1108087371">
      <w:bodyDiv w:val="1"/>
      <w:marLeft w:val="0"/>
      <w:marRight w:val="0"/>
      <w:marTop w:val="0"/>
      <w:marBottom w:val="0"/>
      <w:divBdr>
        <w:top w:val="none" w:sz="0" w:space="0" w:color="auto"/>
        <w:left w:val="none" w:sz="0" w:space="0" w:color="auto"/>
        <w:bottom w:val="none" w:sz="0" w:space="0" w:color="auto"/>
        <w:right w:val="none" w:sz="0" w:space="0" w:color="auto"/>
      </w:divBdr>
      <w:divsChild>
        <w:div w:id="1948539725">
          <w:marLeft w:val="0"/>
          <w:marRight w:val="0"/>
          <w:marTop w:val="0"/>
          <w:marBottom w:val="0"/>
          <w:divBdr>
            <w:top w:val="none" w:sz="0" w:space="0" w:color="auto"/>
            <w:left w:val="none" w:sz="0" w:space="0" w:color="auto"/>
            <w:bottom w:val="none" w:sz="0" w:space="0" w:color="auto"/>
            <w:right w:val="none" w:sz="0" w:space="0" w:color="auto"/>
          </w:divBdr>
        </w:div>
      </w:divsChild>
    </w:div>
    <w:div w:id="1231188247">
      <w:bodyDiv w:val="1"/>
      <w:marLeft w:val="0"/>
      <w:marRight w:val="0"/>
      <w:marTop w:val="0"/>
      <w:marBottom w:val="0"/>
      <w:divBdr>
        <w:top w:val="none" w:sz="0" w:space="0" w:color="auto"/>
        <w:left w:val="none" w:sz="0" w:space="0" w:color="auto"/>
        <w:bottom w:val="none" w:sz="0" w:space="0" w:color="auto"/>
        <w:right w:val="none" w:sz="0" w:space="0" w:color="auto"/>
      </w:divBdr>
    </w:div>
    <w:div w:id="1232890638">
      <w:bodyDiv w:val="1"/>
      <w:marLeft w:val="0"/>
      <w:marRight w:val="0"/>
      <w:marTop w:val="0"/>
      <w:marBottom w:val="0"/>
      <w:divBdr>
        <w:top w:val="none" w:sz="0" w:space="0" w:color="auto"/>
        <w:left w:val="none" w:sz="0" w:space="0" w:color="auto"/>
        <w:bottom w:val="none" w:sz="0" w:space="0" w:color="auto"/>
        <w:right w:val="none" w:sz="0" w:space="0" w:color="auto"/>
      </w:divBdr>
    </w:div>
    <w:div w:id="1315597195">
      <w:bodyDiv w:val="1"/>
      <w:marLeft w:val="0"/>
      <w:marRight w:val="0"/>
      <w:marTop w:val="0"/>
      <w:marBottom w:val="0"/>
      <w:divBdr>
        <w:top w:val="none" w:sz="0" w:space="0" w:color="auto"/>
        <w:left w:val="none" w:sz="0" w:space="0" w:color="auto"/>
        <w:bottom w:val="none" w:sz="0" w:space="0" w:color="auto"/>
        <w:right w:val="none" w:sz="0" w:space="0" w:color="auto"/>
      </w:divBdr>
    </w:div>
    <w:div w:id="1375960581">
      <w:bodyDiv w:val="1"/>
      <w:marLeft w:val="0"/>
      <w:marRight w:val="0"/>
      <w:marTop w:val="0"/>
      <w:marBottom w:val="0"/>
      <w:divBdr>
        <w:top w:val="none" w:sz="0" w:space="0" w:color="auto"/>
        <w:left w:val="none" w:sz="0" w:space="0" w:color="auto"/>
        <w:bottom w:val="none" w:sz="0" w:space="0" w:color="auto"/>
        <w:right w:val="none" w:sz="0" w:space="0" w:color="auto"/>
      </w:divBdr>
      <w:divsChild>
        <w:div w:id="1694653718">
          <w:marLeft w:val="0"/>
          <w:marRight w:val="0"/>
          <w:marTop w:val="0"/>
          <w:marBottom w:val="0"/>
          <w:divBdr>
            <w:top w:val="none" w:sz="0" w:space="0" w:color="auto"/>
            <w:left w:val="none" w:sz="0" w:space="0" w:color="auto"/>
            <w:bottom w:val="none" w:sz="0" w:space="0" w:color="auto"/>
            <w:right w:val="none" w:sz="0" w:space="0" w:color="auto"/>
          </w:divBdr>
        </w:div>
        <w:div w:id="1153061669">
          <w:marLeft w:val="0"/>
          <w:marRight w:val="0"/>
          <w:marTop w:val="0"/>
          <w:marBottom w:val="0"/>
          <w:divBdr>
            <w:top w:val="none" w:sz="0" w:space="0" w:color="auto"/>
            <w:left w:val="none" w:sz="0" w:space="0" w:color="auto"/>
            <w:bottom w:val="none" w:sz="0" w:space="0" w:color="auto"/>
            <w:right w:val="none" w:sz="0" w:space="0" w:color="auto"/>
          </w:divBdr>
        </w:div>
        <w:div w:id="1428454518">
          <w:marLeft w:val="0"/>
          <w:marRight w:val="0"/>
          <w:marTop w:val="0"/>
          <w:marBottom w:val="0"/>
          <w:divBdr>
            <w:top w:val="none" w:sz="0" w:space="0" w:color="auto"/>
            <w:left w:val="none" w:sz="0" w:space="0" w:color="auto"/>
            <w:bottom w:val="none" w:sz="0" w:space="0" w:color="auto"/>
            <w:right w:val="none" w:sz="0" w:space="0" w:color="auto"/>
          </w:divBdr>
        </w:div>
        <w:div w:id="1447460620">
          <w:marLeft w:val="0"/>
          <w:marRight w:val="0"/>
          <w:marTop w:val="0"/>
          <w:marBottom w:val="0"/>
          <w:divBdr>
            <w:top w:val="none" w:sz="0" w:space="0" w:color="auto"/>
            <w:left w:val="none" w:sz="0" w:space="0" w:color="auto"/>
            <w:bottom w:val="none" w:sz="0" w:space="0" w:color="auto"/>
            <w:right w:val="none" w:sz="0" w:space="0" w:color="auto"/>
          </w:divBdr>
        </w:div>
        <w:div w:id="558907422">
          <w:marLeft w:val="0"/>
          <w:marRight w:val="0"/>
          <w:marTop w:val="0"/>
          <w:marBottom w:val="0"/>
          <w:divBdr>
            <w:top w:val="none" w:sz="0" w:space="0" w:color="auto"/>
            <w:left w:val="none" w:sz="0" w:space="0" w:color="auto"/>
            <w:bottom w:val="none" w:sz="0" w:space="0" w:color="auto"/>
            <w:right w:val="none" w:sz="0" w:space="0" w:color="auto"/>
          </w:divBdr>
        </w:div>
      </w:divsChild>
    </w:div>
    <w:div w:id="1485315525">
      <w:bodyDiv w:val="1"/>
      <w:marLeft w:val="0"/>
      <w:marRight w:val="0"/>
      <w:marTop w:val="0"/>
      <w:marBottom w:val="0"/>
      <w:divBdr>
        <w:top w:val="none" w:sz="0" w:space="0" w:color="auto"/>
        <w:left w:val="none" w:sz="0" w:space="0" w:color="auto"/>
        <w:bottom w:val="none" w:sz="0" w:space="0" w:color="auto"/>
        <w:right w:val="none" w:sz="0" w:space="0" w:color="auto"/>
      </w:divBdr>
    </w:div>
    <w:div w:id="1518738794">
      <w:bodyDiv w:val="1"/>
      <w:marLeft w:val="0"/>
      <w:marRight w:val="0"/>
      <w:marTop w:val="0"/>
      <w:marBottom w:val="0"/>
      <w:divBdr>
        <w:top w:val="none" w:sz="0" w:space="0" w:color="auto"/>
        <w:left w:val="none" w:sz="0" w:space="0" w:color="auto"/>
        <w:bottom w:val="none" w:sz="0" w:space="0" w:color="auto"/>
        <w:right w:val="none" w:sz="0" w:space="0" w:color="auto"/>
      </w:divBdr>
    </w:div>
    <w:div w:id="1599751597">
      <w:bodyDiv w:val="1"/>
      <w:marLeft w:val="0"/>
      <w:marRight w:val="0"/>
      <w:marTop w:val="0"/>
      <w:marBottom w:val="0"/>
      <w:divBdr>
        <w:top w:val="none" w:sz="0" w:space="0" w:color="auto"/>
        <w:left w:val="none" w:sz="0" w:space="0" w:color="auto"/>
        <w:bottom w:val="none" w:sz="0" w:space="0" w:color="auto"/>
        <w:right w:val="none" w:sz="0" w:space="0" w:color="auto"/>
      </w:divBdr>
    </w:div>
    <w:div w:id="1701659232">
      <w:bodyDiv w:val="1"/>
      <w:marLeft w:val="0"/>
      <w:marRight w:val="0"/>
      <w:marTop w:val="0"/>
      <w:marBottom w:val="0"/>
      <w:divBdr>
        <w:top w:val="none" w:sz="0" w:space="0" w:color="auto"/>
        <w:left w:val="none" w:sz="0" w:space="0" w:color="auto"/>
        <w:bottom w:val="none" w:sz="0" w:space="0" w:color="auto"/>
        <w:right w:val="none" w:sz="0" w:space="0" w:color="auto"/>
      </w:divBdr>
    </w:div>
    <w:div w:id="1763915657">
      <w:bodyDiv w:val="1"/>
      <w:marLeft w:val="0"/>
      <w:marRight w:val="0"/>
      <w:marTop w:val="0"/>
      <w:marBottom w:val="0"/>
      <w:divBdr>
        <w:top w:val="none" w:sz="0" w:space="0" w:color="auto"/>
        <w:left w:val="none" w:sz="0" w:space="0" w:color="auto"/>
        <w:bottom w:val="none" w:sz="0" w:space="0" w:color="auto"/>
        <w:right w:val="none" w:sz="0" w:space="0" w:color="auto"/>
      </w:divBdr>
    </w:div>
    <w:div w:id="1849321304">
      <w:bodyDiv w:val="1"/>
      <w:marLeft w:val="0"/>
      <w:marRight w:val="0"/>
      <w:marTop w:val="0"/>
      <w:marBottom w:val="0"/>
      <w:divBdr>
        <w:top w:val="none" w:sz="0" w:space="0" w:color="auto"/>
        <w:left w:val="none" w:sz="0" w:space="0" w:color="auto"/>
        <w:bottom w:val="none" w:sz="0" w:space="0" w:color="auto"/>
        <w:right w:val="none" w:sz="0" w:space="0" w:color="auto"/>
      </w:divBdr>
    </w:div>
    <w:div w:id="1862283806">
      <w:bodyDiv w:val="1"/>
      <w:marLeft w:val="0"/>
      <w:marRight w:val="0"/>
      <w:marTop w:val="0"/>
      <w:marBottom w:val="0"/>
      <w:divBdr>
        <w:top w:val="none" w:sz="0" w:space="0" w:color="auto"/>
        <w:left w:val="none" w:sz="0" w:space="0" w:color="auto"/>
        <w:bottom w:val="none" w:sz="0" w:space="0" w:color="auto"/>
        <w:right w:val="none" w:sz="0" w:space="0" w:color="auto"/>
      </w:divBdr>
    </w:div>
    <w:div w:id="2021541886">
      <w:bodyDiv w:val="1"/>
      <w:marLeft w:val="0"/>
      <w:marRight w:val="0"/>
      <w:marTop w:val="0"/>
      <w:marBottom w:val="0"/>
      <w:divBdr>
        <w:top w:val="none" w:sz="0" w:space="0" w:color="auto"/>
        <w:left w:val="none" w:sz="0" w:space="0" w:color="auto"/>
        <w:bottom w:val="none" w:sz="0" w:space="0" w:color="auto"/>
        <w:right w:val="none" w:sz="0" w:space="0" w:color="auto"/>
      </w:divBdr>
      <w:divsChild>
        <w:div w:id="1001665755">
          <w:marLeft w:val="0"/>
          <w:marRight w:val="0"/>
          <w:marTop w:val="0"/>
          <w:marBottom w:val="0"/>
          <w:divBdr>
            <w:top w:val="none" w:sz="0" w:space="0" w:color="auto"/>
            <w:left w:val="none" w:sz="0" w:space="0" w:color="auto"/>
            <w:bottom w:val="none" w:sz="0" w:space="0" w:color="auto"/>
            <w:right w:val="none" w:sz="0" w:space="0" w:color="auto"/>
          </w:divBdr>
        </w:div>
        <w:div w:id="1424691958">
          <w:marLeft w:val="0"/>
          <w:marRight w:val="0"/>
          <w:marTop w:val="0"/>
          <w:marBottom w:val="0"/>
          <w:divBdr>
            <w:top w:val="none" w:sz="0" w:space="0" w:color="auto"/>
            <w:left w:val="none" w:sz="0" w:space="0" w:color="auto"/>
            <w:bottom w:val="none" w:sz="0" w:space="0" w:color="auto"/>
            <w:right w:val="none" w:sz="0" w:space="0" w:color="auto"/>
          </w:divBdr>
        </w:div>
      </w:divsChild>
    </w:div>
    <w:div w:id="211400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29A92D-0D8F-469B-92C0-DB3963B27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29</Pages>
  <Words>24617</Words>
  <Characters>140318</Characters>
  <Application>Microsoft Office Word</Application>
  <DocSecurity>0</DocSecurity>
  <Lines>1169</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Zafar Abbas</dc:creator>
  <cp:keywords/>
  <dc:description/>
  <cp:lastModifiedBy>Saad Munir (2214625)</cp:lastModifiedBy>
  <cp:revision>58</cp:revision>
  <dcterms:created xsi:type="dcterms:W3CDTF">2023-08-10T04:32:00Z</dcterms:created>
  <dcterms:modified xsi:type="dcterms:W3CDTF">2023-09-08T06:51:00Z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db3e3bb5-77d1-378a-895a-62cea930413e</vt:lpwstr>
  </property>
  <property fmtid="{D5CDD505-2E9C-101B-9397-08002B2CF9AE}" pid="24" name="Mendeley Citation Style_1">
    <vt:lpwstr>http://www.zotero.org/styles/ieee</vt:lpwstr>
  </property>
</Properties>
</file>