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AF80C" w14:textId="61AD44FA" w:rsidR="000A01B6" w:rsidRPr="000A01B6" w:rsidRDefault="000A01B6" w:rsidP="00BD3C1E">
      <w:pPr>
        <w:spacing w:line="360" w:lineRule="auto"/>
        <w:jc w:val="center"/>
        <w:rPr>
          <w:rFonts w:cs="Times New Roman"/>
          <w:b/>
          <w:bCs/>
          <w:szCs w:val="24"/>
          <w:lang w:val="en-GB"/>
        </w:rPr>
      </w:pPr>
      <w:r w:rsidRPr="000A01B6">
        <w:rPr>
          <w:rFonts w:cs="Times New Roman"/>
          <w:b/>
          <w:bCs/>
          <w:szCs w:val="24"/>
          <w:lang w:val="en-GB"/>
        </w:rPr>
        <w:drawing>
          <wp:inline distT="0" distB="0" distL="0" distR="0" wp14:anchorId="32DD34BF" wp14:editId="703A698D">
            <wp:extent cx="3383280" cy="1356360"/>
            <wp:effectExtent l="0" t="0" r="7620" b="0"/>
            <wp:docPr id="423186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51AD619" w14:textId="77777777" w:rsidR="000A01B6" w:rsidRDefault="000A01B6" w:rsidP="000A01B6">
      <w:pPr>
        <w:spacing w:line="360" w:lineRule="auto"/>
        <w:jc w:val="center"/>
        <w:rPr>
          <w:rFonts w:cs="Times New Roman"/>
          <w:b/>
          <w:bCs/>
          <w:szCs w:val="24"/>
          <w:lang w:val="en-GB"/>
        </w:rPr>
      </w:pPr>
    </w:p>
    <w:p w14:paraId="23FA6155" w14:textId="77777777" w:rsidR="00BD3C1E" w:rsidRPr="000A01B6" w:rsidRDefault="00BD3C1E" w:rsidP="000A01B6">
      <w:pPr>
        <w:spacing w:line="360" w:lineRule="auto"/>
        <w:jc w:val="center"/>
        <w:rPr>
          <w:rFonts w:cs="Times New Roman"/>
          <w:b/>
          <w:bCs/>
          <w:szCs w:val="24"/>
          <w:lang w:val="en-GB"/>
        </w:rPr>
      </w:pPr>
    </w:p>
    <w:p w14:paraId="519472F2" w14:textId="77777777" w:rsidR="000A01B6" w:rsidRPr="000A01B6" w:rsidRDefault="000A01B6" w:rsidP="000A01B6">
      <w:pPr>
        <w:spacing w:line="360" w:lineRule="auto"/>
        <w:jc w:val="center"/>
        <w:rPr>
          <w:rFonts w:cs="Times New Roman"/>
          <w:b/>
          <w:bCs/>
          <w:szCs w:val="24"/>
          <w:lang w:val="en-GB"/>
        </w:rPr>
      </w:pPr>
      <w:r w:rsidRPr="000A01B6">
        <w:rPr>
          <w:rFonts w:cs="Times New Roman"/>
          <w:b/>
          <w:bCs/>
          <w:szCs w:val="24"/>
          <w:lang w:val="en-GB"/>
        </w:rPr>
        <w:t>Course Title: MBA - International Business</w:t>
      </w:r>
    </w:p>
    <w:p w14:paraId="57FC7A0B" w14:textId="4F3C11C5" w:rsidR="000A01B6" w:rsidRPr="000A01B6" w:rsidRDefault="000A01B6" w:rsidP="00BD3C1E">
      <w:pPr>
        <w:spacing w:line="360" w:lineRule="auto"/>
        <w:jc w:val="center"/>
        <w:rPr>
          <w:rFonts w:cs="Times New Roman"/>
          <w:b/>
          <w:bCs/>
          <w:szCs w:val="24"/>
          <w:lang w:val="en-GB"/>
        </w:rPr>
      </w:pPr>
      <w:r w:rsidRPr="000A01B6">
        <w:rPr>
          <w:rFonts w:cs="Times New Roman"/>
          <w:b/>
          <w:bCs/>
          <w:szCs w:val="24"/>
          <w:lang w:val="en-GB"/>
        </w:rPr>
        <w:t>Term 1</w:t>
      </w:r>
    </w:p>
    <w:p w14:paraId="0BE2DD87" w14:textId="77777777" w:rsidR="000A01B6" w:rsidRDefault="000A01B6" w:rsidP="000A01B6">
      <w:pPr>
        <w:spacing w:line="360" w:lineRule="auto"/>
        <w:jc w:val="center"/>
        <w:rPr>
          <w:rFonts w:cs="Times New Roman"/>
          <w:b/>
          <w:bCs/>
          <w:szCs w:val="24"/>
          <w:lang w:val="en-GB"/>
        </w:rPr>
      </w:pPr>
    </w:p>
    <w:p w14:paraId="677527C7" w14:textId="77777777" w:rsidR="00BD3C1E" w:rsidRPr="000A01B6" w:rsidRDefault="00BD3C1E" w:rsidP="000A01B6">
      <w:pPr>
        <w:spacing w:line="360" w:lineRule="auto"/>
        <w:jc w:val="center"/>
        <w:rPr>
          <w:rFonts w:cs="Times New Roman"/>
          <w:b/>
          <w:bCs/>
          <w:szCs w:val="24"/>
          <w:lang w:val="en-GB"/>
        </w:rPr>
      </w:pPr>
    </w:p>
    <w:p w14:paraId="19593C3E" w14:textId="76B01BCC" w:rsidR="000A01B6" w:rsidRPr="000A01B6" w:rsidRDefault="000A01B6" w:rsidP="000A01B6">
      <w:pPr>
        <w:spacing w:line="360" w:lineRule="auto"/>
        <w:jc w:val="center"/>
        <w:rPr>
          <w:rFonts w:cs="Times New Roman"/>
          <w:b/>
          <w:bCs/>
          <w:szCs w:val="24"/>
          <w:lang w:val="en-GB"/>
        </w:rPr>
      </w:pPr>
      <w:r w:rsidRPr="000A01B6">
        <w:rPr>
          <w:rFonts w:cs="Times New Roman"/>
          <w:b/>
          <w:bCs/>
          <w:szCs w:val="24"/>
          <w:lang w:val="en-GB"/>
        </w:rPr>
        <w:t xml:space="preserve">Student Name: </w:t>
      </w:r>
      <w:r>
        <w:rPr>
          <w:rFonts w:cs="Times New Roman"/>
          <w:b/>
          <w:bCs/>
          <w:szCs w:val="24"/>
          <w:lang w:val="en-GB"/>
        </w:rPr>
        <w:t>Mansi Parmar</w:t>
      </w:r>
    </w:p>
    <w:p w14:paraId="0F68D2D8" w14:textId="0F9383C9" w:rsidR="000A01B6" w:rsidRPr="000A01B6" w:rsidRDefault="000A01B6" w:rsidP="000A01B6">
      <w:pPr>
        <w:spacing w:line="360" w:lineRule="auto"/>
        <w:jc w:val="center"/>
        <w:rPr>
          <w:rFonts w:cs="Times New Roman"/>
          <w:b/>
          <w:bCs/>
          <w:szCs w:val="24"/>
          <w:lang w:val="en-GB"/>
        </w:rPr>
      </w:pPr>
      <w:r w:rsidRPr="000A01B6">
        <w:rPr>
          <w:rFonts w:cs="Times New Roman"/>
          <w:b/>
          <w:bCs/>
          <w:szCs w:val="24"/>
          <w:lang w:val="en-GB"/>
        </w:rPr>
        <w:t xml:space="preserve">Student ID: </w:t>
      </w:r>
      <w:r>
        <w:rPr>
          <w:rFonts w:cs="Times New Roman"/>
          <w:b/>
          <w:bCs/>
          <w:szCs w:val="24"/>
          <w:lang w:val="en-GB"/>
        </w:rPr>
        <w:t>2507140</w:t>
      </w:r>
    </w:p>
    <w:p w14:paraId="04362588" w14:textId="77777777" w:rsidR="000A01B6" w:rsidRDefault="000A01B6" w:rsidP="00614F35">
      <w:pPr>
        <w:spacing w:line="360" w:lineRule="auto"/>
        <w:rPr>
          <w:rFonts w:cs="Times New Roman"/>
          <w:b/>
          <w:bCs/>
          <w:szCs w:val="24"/>
          <w:lang w:val="en-GB"/>
        </w:rPr>
      </w:pPr>
    </w:p>
    <w:p w14:paraId="3FC7553F" w14:textId="77777777" w:rsidR="00BD3C1E" w:rsidRPr="000A01B6" w:rsidRDefault="00BD3C1E" w:rsidP="00614F35">
      <w:pPr>
        <w:spacing w:line="360" w:lineRule="auto"/>
        <w:rPr>
          <w:rFonts w:cs="Times New Roman"/>
          <w:b/>
          <w:bCs/>
          <w:szCs w:val="24"/>
          <w:lang w:val="en-GB"/>
        </w:rPr>
      </w:pPr>
    </w:p>
    <w:p w14:paraId="2C4A7E3E" w14:textId="28E2AE1B" w:rsidR="000A01B6" w:rsidRPr="000A01B6" w:rsidRDefault="00614F35" w:rsidP="00614F35">
      <w:pPr>
        <w:spacing w:line="360" w:lineRule="auto"/>
        <w:rPr>
          <w:rFonts w:cs="Times New Roman"/>
          <w:b/>
          <w:bCs/>
          <w:szCs w:val="24"/>
          <w:lang w:val="en-GB"/>
        </w:rPr>
      </w:pPr>
      <w:r>
        <w:rPr>
          <w:rFonts w:cs="Times New Roman"/>
          <w:b/>
          <w:bCs/>
          <w:szCs w:val="24"/>
          <w:lang w:val="en-GB"/>
        </w:rPr>
        <w:t xml:space="preserve">                                          </w:t>
      </w:r>
      <w:r w:rsidR="000A01B6" w:rsidRPr="000A01B6">
        <w:rPr>
          <w:rFonts w:cs="Times New Roman"/>
          <w:b/>
          <w:bCs/>
          <w:szCs w:val="24"/>
          <w:lang w:val="en-GB"/>
        </w:rPr>
        <w:t>Module Name: Marketing Management</w:t>
      </w:r>
    </w:p>
    <w:p w14:paraId="40D9CDF7" w14:textId="4B069305" w:rsidR="000A01B6" w:rsidRPr="000A01B6" w:rsidRDefault="000A01B6" w:rsidP="000A01B6">
      <w:pPr>
        <w:spacing w:line="360" w:lineRule="auto"/>
        <w:jc w:val="center"/>
        <w:rPr>
          <w:rFonts w:cs="Times New Roman"/>
          <w:b/>
          <w:bCs/>
          <w:szCs w:val="24"/>
          <w:lang w:val="en-GB"/>
        </w:rPr>
      </w:pPr>
      <w:r w:rsidRPr="000A01B6">
        <w:rPr>
          <w:rFonts w:cs="Times New Roman"/>
          <w:b/>
          <w:bCs/>
          <w:szCs w:val="24"/>
          <w:lang w:val="en-GB"/>
        </w:rPr>
        <w:t>Module Code: LCMB70</w:t>
      </w:r>
      <w:r>
        <w:rPr>
          <w:rFonts w:cs="Times New Roman"/>
          <w:b/>
          <w:bCs/>
          <w:szCs w:val="24"/>
          <w:lang w:val="en-GB"/>
        </w:rPr>
        <w:t>02</w:t>
      </w:r>
    </w:p>
    <w:p w14:paraId="7EBF5478" w14:textId="77777777" w:rsidR="000A01B6" w:rsidRDefault="000A01B6" w:rsidP="000A01B6">
      <w:pPr>
        <w:spacing w:line="360" w:lineRule="auto"/>
        <w:jc w:val="center"/>
        <w:rPr>
          <w:rFonts w:cs="Times New Roman"/>
          <w:b/>
          <w:bCs/>
          <w:szCs w:val="24"/>
          <w:lang w:val="en-GB"/>
        </w:rPr>
      </w:pPr>
    </w:p>
    <w:p w14:paraId="049E5D6F" w14:textId="77777777" w:rsidR="00BD3C1E" w:rsidRPr="000A01B6" w:rsidRDefault="00BD3C1E" w:rsidP="000A01B6">
      <w:pPr>
        <w:spacing w:line="360" w:lineRule="auto"/>
        <w:jc w:val="center"/>
        <w:rPr>
          <w:rFonts w:cs="Times New Roman"/>
          <w:b/>
          <w:bCs/>
          <w:szCs w:val="24"/>
          <w:lang w:val="en-GB"/>
        </w:rPr>
      </w:pPr>
    </w:p>
    <w:p w14:paraId="218EF685" w14:textId="63817C1B" w:rsidR="000A01B6" w:rsidRPr="000A01B6" w:rsidRDefault="000A01B6" w:rsidP="000A01B6">
      <w:pPr>
        <w:spacing w:line="360" w:lineRule="auto"/>
        <w:jc w:val="center"/>
        <w:rPr>
          <w:rFonts w:cs="Times New Roman"/>
          <w:b/>
          <w:bCs/>
          <w:szCs w:val="24"/>
          <w:lang w:val="en-GB"/>
        </w:rPr>
      </w:pPr>
      <w:r w:rsidRPr="000A01B6">
        <w:rPr>
          <w:rFonts w:cs="Times New Roman"/>
          <w:b/>
          <w:bCs/>
          <w:szCs w:val="24"/>
          <w:lang w:val="en-GB"/>
        </w:rPr>
        <w:t xml:space="preserve">Lecturer’s Name: Dr </w:t>
      </w:r>
      <w:r>
        <w:rPr>
          <w:rFonts w:cs="Times New Roman"/>
          <w:b/>
          <w:bCs/>
          <w:szCs w:val="24"/>
          <w:lang w:val="en-GB"/>
        </w:rPr>
        <w:t>MD Kalam</w:t>
      </w:r>
    </w:p>
    <w:p w14:paraId="0493FF7F" w14:textId="4F6ECADA" w:rsidR="000A01B6" w:rsidRPr="000A01B6" w:rsidRDefault="000A01B6" w:rsidP="000A01B6">
      <w:pPr>
        <w:spacing w:line="360" w:lineRule="auto"/>
        <w:jc w:val="center"/>
        <w:rPr>
          <w:rFonts w:cs="Times New Roman"/>
          <w:b/>
          <w:bCs/>
          <w:szCs w:val="24"/>
          <w:lang w:val="en-GB"/>
        </w:rPr>
      </w:pPr>
      <w:r>
        <w:rPr>
          <w:rFonts w:cs="Times New Roman"/>
          <w:b/>
          <w:bCs/>
          <w:szCs w:val="24"/>
          <w:lang w:val="en-GB"/>
        </w:rPr>
        <w:t>Word Count: 5485</w:t>
      </w:r>
    </w:p>
    <w:p w14:paraId="6E5DC84F" w14:textId="77777777" w:rsidR="00614F35" w:rsidRDefault="000A01B6" w:rsidP="000A01B6">
      <w:pPr>
        <w:spacing w:line="360" w:lineRule="auto"/>
        <w:rPr>
          <w:rFonts w:cs="Times New Roman"/>
          <w:b/>
          <w:bCs/>
          <w:szCs w:val="24"/>
          <w:lang w:val="en-GB"/>
        </w:rPr>
      </w:pPr>
      <w:r>
        <w:rPr>
          <w:rFonts w:cs="Times New Roman"/>
          <w:b/>
          <w:bCs/>
          <w:szCs w:val="24"/>
          <w:lang w:val="en-GB"/>
        </w:rPr>
        <w:t xml:space="preserve">                           </w:t>
      </w:r>
    </w:p>
    <w:p w14:paraId="3D186EB3" w14:textId="77777777" w:rsidR="00614F35" w:rsidRDefault="00614F35" w:rsidP="000A01B6">
      <w:pPr>
        <w:spacing w:line="360" w:lineRule="auto"/>
        <w:rPr>
          <w:rFonts w:cs="Times New Roman"/>
          <w:b/>
          <w:bCs/>
          <w:szCs w:val="24"/>
          <w:lang w:val="en-GB"/>
        </w:rPr>
      </w:pPr>
    </w:p>
    <w:p w14:paraId="2A343CDE" w14:textId="1BB46BFD" w:rsidR="00B475AC" w:rsidRPr="00BF385E" w:rsidRDefault="00BF385E" w:rsidP="00614F35">
      <w:pPr>
        <w:spacing w:line="360" w:lineRule="auto"/>
        <w:jc w:val="center"/>
        <w:rPr>
          <w:rFonts w:cs="Times New Roman"/>
          <w:b/>
          <w:bCs/>
          <w:szCs w:val="24"/>
          <w:lang w:val="en-US"/>
        </w:rPr>
      </w:pPr>
      <w:r w:rsidRPr="00BF385E">
        <w:rPr>
          <w:rFonts w:cs="Times New Roman"/>
          <w:b/>
          <w:bCs/>
          <w:szCs w:val="24"/>
        </w:rPr>
        <w:lastRenderedPageBreak/>
        <w:t>General Electronics: Strategic CFO Turnaround Report</w:t>
      </w:r>
      <w:r w:rsidR="00B475AC" w:rsidRPr="00BF385E">
        <w:rPr>
          <w:rFonts w:cs="Times New Roman"/>
          <w:b/>
          <w:bCs/>
          <w:szCs w:val="24"/>
          <w:lang w:val="en-US"/>
        </w:rPr>
        <w:br w:type="page"/>
      </w:r>
    </w:p>
    <w:p w14:paraId="27EE64AE" w14:textId="77777777" w:rsidR="00B475AC" w:rsidRPr="00BF385E" w:rsidRDefault="00B475AC" w:rsidP="00BF385E">
      <w:pPr>
        <w:pStyle w:val="Heading1"/>
        <w:spacing w:line="360" w:lineRule="auto"/>
        <w:jc w:val="both"/>
        <w:rPr>
          <w:rFonts w:cs="Times New Roman"/>
          <w:szCs w:val="24"/>
          <w:lang w:val="en-US"/>
        </w:rPr>
      </w:pPr>
      <w:bookmarkStart w:id="0" w:name="_Toc213242419"/>
      <w:r w:rsidRPr="00BF385E">
        <w:rPr>
          <w:rFonts w:cs="Times New Roman"/>
          <w:szCs w:val="24"/>
          <w:lang w:val="en-US"/>
        </w:rPr>
        <w:lastRenderedPageBreak/>
        <w:t>Executive Summary</w:t>
      </w:r>
      <w:bookmarkEnd w:id="0"/>
    </w:p>
    <w:p w14:paraId="23FE1046" w14:textId="3C8204E9" w:rsidR="00B475AC" w:rsidRPr="00BF385E" w:rsidRDefault="008C249F" w:rsidP="00BF385E">
      <w:pPr>
        <w:spacing w:line="360" w:lineRule="auto"/>
        <w:jc w:val="both"/>
        <w:rPr>
          <w:rFonts w:cs="Times New Roman"/>
          <w:szCs w:val="24"/>
          <w:lang w:val="en-US"/>
        </w:rPr>
      </w:pPr>
      <w:r w:rsidRPr="00BF385E">
        <w:rPr>
          <w:rFonts w:cs="Times New Roman"/>
          <w:szCs w:val="24"/>
          <w:lang w:val="en-US"/>
        </w:rPr>
        <w:t>General Electronics is in dire financial crisis and making losses of £24 million by 2024 after £98 million loss in 2023. In this report, we will examine five years of financial performance, critical weaknesses will be identified, and strategic turnaround initiatives will be proposed. It has been shown through analysis that the revenues have been decreasing, the profitability has been becoming poor, liquidity is becoming weak, and the debt period has been increasing. The report, by using ratio analysis, working capital evaluation, and capital investment analysis recommends the restructuring steps and capital allocation, to regain financial stability and shareholders value.</w:t>
      </w:r>
      <w:r w:rsidR="00B475AC" w:rsidRPr="00BF385E">
        <w:rPr>
          <w:rFonts w:cs="Times New Roman"/>
          <w:szCs w:val="24"/>
          <w:lang w:val="en-US"/>
        </w:rPr>
        <w:br w:type="page"/>
      </w:r>
    </w:p>
    <w:sdt>
      <w:sdtPr>
        <w:rPr>
          <w:rFonts w:ascii="Times New Roman" w:eastAsiaTheme="minorHAnsi" w:hAnsi="Times New Roman" w:cs="Times New Roman"/>
          <w:color w:val="auto"/>
          <w:kern w:val="2"/>
          <w:sz w:val="24"/>
          <w:szCs w:val="24"/>
          <w:lang w:val="en-IN" w:bidi="th-TH"/>
        </w:rPr>
        <w:id w:val="925692301"/>
        <w:docPartObj>
          <w:docPartGallery w:val="Table of Contents"/>
          <w:docPartUnique/>
        </w:docPartObj>
      </w:sdtPr>
      <w:sdtEndPr>
        <w:rPr>
          <w:b/>
          <w:bCs/>
          <w:noProof/>
        </w:rPr>
      </w:sdtEndPr>
      <w:sdtContent>
        <w:p w14:paraId="3A7A31B0" w14:textId="27CA6BCE" w:rsidR="00BF385E" w:rsidRPr="00BF385E" w:rsidRDefault="00BF385E" w:rsidP="00BF385E">
          <w:pPr>
            <w:pStyle w:val="TOCHeading"/>
            <w:spacing w:line="360" w:lineRule="auto"/>
            <w:jc w:val="both"/>
            <w:rPr>
              <w:rFonts w:ascii="Times New Roman" w:hAnsi="Times New Roman" w:cs="Times New Roman"/>
              <w:sz w:val="24"/>
              <w:szCs w:val="24"/>
            </w:rPr>
          </w:pPr>
          <w:r w:rsidRPr="00BF385E">
            <w:rPr>
              <w:rFonts w:ascii="Times New Roman" w:hAnsi="Times New Roman" w:cs="Times New Roman"/>
              <w:b/>
              <w:bCs/>
              <w:color w:val="auto"/>
              <w:sz w:val="24"/>
              <w:szCs w:val="24"/>
            </w:rPr>
            <w:t>Table of Contents</w:t>
          </w:r>
        </w:p>
        <w:p w14:paraId="6F8A1720" w14:textId="61DDF664"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r w:rsidRPr="00BF385E">
            <w:rPr>
              <w:rFonts w:cs="Times New Roman"/>
              <w:szCs w:val="24"/>
            </w:rPr>
            <w:fldChar w:fldCharType="begin"/>
          </w:r>
          <w:r w:rsidRPr="00BF385E">
            <w:rPr>
              <w:rFonts w:cs="Times New Roman"/>
              <w:szCs w:val="24"/>
            </w:rPr>
            <w:instrText xml:space="preserve"> TOC \o "1-3" \h \z \u </w:instrText>
          </w:r>
          <w:r w:rsidRPr="00BF385E">
            <w:rPr>
              <w:rFonts w:cs="Times New Roman"/>
              <w:szCs w:val="24"/>
            </w:rPr>
            <w:fldChar w:fldCharType="separate"/>
          </w:r>
          <w:hyperlink w:anchor="_Toc213242419" w:history="1">
            <w:r w:rsidRPr="00EE4804">
              <w:rPr>
                <w:rStyle w:val="Hyperlink"/>
                <w:rFonts w:cs="Times New Roman"/>
                <w:noProof/>
                <w:lang w:val="en-US"/>
              </w:rPr>
              <w:t>Executive Summary</w:t>
            </w:r>
            <w:r>
              <w:rPr>
                <w:noProof/>
                <w:webHidden/>
              </w:rPr>
              <w:tab/>
            </w:r>
            <w:r>
              <w:rPr>
                <w:noProof/>
                <w:webHidden/>
              </w:rPr>
              <w:fldChar w:fldCharType="begin"/>
            </w:r>
            <w:r>
              <w:rPr>
                <w:noProof/>
                <w:webHidden/>
              </w:rPr>
              <w:instrText xml:space="preserve"> PAGEREF _Toc213242419 \h </w:instrText>
            </w:r>
            <w:r>
              <w:rPr>
                <w:noProof/>
                <w:webHidden/>
              </w:rPr>
            </w:r>
            <w:r>
              <w:rPr>
                <w:noProof/>
                <w:webHidden/>
              </w:rPr>
              <w:fldChar w:fldCharType="separate"/>
            </w:r>
            <w:r>
              <w:rPr>
                <w:noProof/>
                <w:webHidden/>
              </w:rPr>
              <w:t>2</w:t>
            </w:r>
            <w:r>
              <w:rPr>
                <w:noProof/>
                <w:webHidden/>
              </w:rPr>
              <w:fldChar w:fldCharType="end"/>
            </w:r>
          </w:hyperlink>
        </w:p>
        <w:p w14:paraId="1FA624A8" w14:textId="596D1E09"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20" w:history="1">
            <w:r w:rsidRPr="00EE4804">
              <w:rPr>
                <w:rStyle w:val="Hyperlink"/>
                <w:rFonts w:cs="Times New Roman"/>
                <w:noProof/>
                <w:lang w:val="en-US"/>
              </w:rPr>
              <w:t>1. Financial Health Check</w:t>
            </w:r>
            <w:r>
              <w:rPr>
                <w:noProof/>
                <w:webHidden/>
              </w:rPr>
              <w:tab/>
            </w:r>
            <w:r>
              <w:rPr>
                <w:noProof/>
                <w:webHidden/>
              </w:rPr>
              <w:fldChar w:fldCharType="begin"/>
            </w:r>
            <w:r>
              <w:rPr>
                <w:noProof/>
                <w:webHidden/>
              </w:rPr>
              <w:instrText xml:space="preserve"> PAGEREF _Toc213242420 \h </w:instrText>
            </w:r>
            <w:r>
              <w:rPr>
                <w:noProof/>
                <w:webHidden/>
              </w:rPr>
            </w:r>
            <w:r>
              <w:rPr>
                <w:noProof/>
                <w:webHidden/>
              </w:rPr>
              <w:fldChar w:fldCharType="separate"/>
            </w:r>
            <w:r>
              <w:rPr>
                <w:noProof/>
                <w:webHidden/>
              </w:rPr>
              <w:t>4</w:t>
            </w:r>
            <w:r>
              <w:rPr>
                <w:noProof/>
                <w:webHidden/>
              </w:rPr>
              <w:fldChar w:fldCharType="end"/>
            </w:r>
          </w:hyperlink>
        </w:p>
        <w:p w14:paraId="43D90896" w14:textId="36C2C920"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1" w:history="1">
            <w:r w:rsidRPr="00EE4804">
              <w:rPr>
                <w:rStyle w:val="Hyperlink"/>
                <w:rFonts w:cs="Times New Roman"/>
                <w:noProof/>
                <w:lang w:val="en-US"/>
              </w:rPr>
              <w:t>1.1 Overview of Financial Performance</w:t>
            </w:r>
            <w:r>
              <w:rPr>
                <w:noProof/>
                <w:webHidden/>
              </w:rPr>
              <w:tab/>
            </w:r>
            <w:r>
              <w:rPr>
                <w:noProof/>
                <w:webHidden/>
              </w:rPr>
              <w:fldChar w:fldCharType="begin"/>
            </w:r>
            <w:r>
              <w:rPr>
                <w:noProof/>
                <w:webHidden/>
              </w:rPr>
              <w:instrText xml:space="preserve"> PAGEREF _Toc213242421 \h </w:instrText>
            </w:r>
            <w:r>
              <w:rPr>
                <w:noProof/>
                <w:webHidden/>
              </w:rPr>
            </w:r>
            <w:r>
              <w:rPr>
                <w:noProof/>
                <w:webHidden/>
              </w:rPr>
              <w:fldChar w:fldCharType="separate"/>
            </w:r>
            <w:r>
              <w:rPr>
                <w:noProof/>
                <w:webHidden/>
              </w:rPr>
              <w:t>4</w:t>
            </w:r>
            <w:r>
              <w:rPr>
                <w:noProof/>
                <w:webHidden/>
              </w:rPr>
              <w:fldChar w:fldCharType="end"/>
            </w:r>
          </w:hyperlink>
        </w:p>
        <w:p w14:paraId="782B4E3C" w14:textId="4F9D33F8"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2" w:history="1">
            <w:r w:rsidRPr="00EE4804">
              <w:rPr>
                <w:rStyle w:val="Hyperlink"/>
                <w:rFonts w:cs="Times New Roman"/>
                <w:noProof/>
                <w:lang w:val="en-US"/>
              </w:rPr>
              <w:t>1.2 Profitability Ratio Analysis</w:t>
            </w:r>
            <w:r>
              <w:rPr>
                <w:noProof/>
                <w:webHidden/>
              </w:rPr>
              <w:tab/>
            </w:r>
            <w:r>
              <w:rPr>
                <w:noProof/>
                <w:webHidden/>
              </w:rPr>
              <w:fldChar w:fldCharType="begin"/>
            </w:r>
            <w:r>
              <w:rPr>
                <w:noProof/>
                <w:webHidden/>
              </w:rPr>
              <w:instrText xml:space="preserve"> PAGEREF _Toc213242422 \h </w:instrText>
            </w:r>
            <w:r>
              <w:rPr>
                <w:noProof/>
                <w:webHidden/>
              </w:rPr>
            </w:r>
            <w:r>
              <w:rPr>
                <w:noProof/>
                <w:webHidden/>
              </w:rPr>
              <w:fldChar w:fldCharType="separate"/>
            </w:r>
            <w:r>
              <w:rPr>
                <w:noProof/>
                <w:webHidden/>
              </w:rPr>
              <w:t>4</w:t>
            </w:r>
            <w:r>
              <w:rPr>
                <w:noProof/>
                <w:webHidden/>
              </w:rPr>
              <w:fldChar w:fldCharType="end"/>
            </w:r>
          </w:hyperlink>
        </w:p>
        <w:p w14:paraId="30655BA5" w14:textId="05803468"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3" w:history="1">
            <w:r w:rsidRPr="00EE4804">
              <w:rPr>
                <w:rStyle w:val="Hyperlink"/>
                <w:rFonts w:cs="Times New Roman"/>
                <w:noProof/>
                <w:lang w:val="en-US"/>
              </w:rPr>
              <w:t>1.3 Liquidity Ratio Analysis</w:t>
            </w:r>
            <w:r>
              <w:rPr>
                <w:noProof/>
                <w:webHidden/>
              </w:rPr>
              <w:tab/>
            </w:r>
            <w:r>
              <w:rPr>
                <w:noProof/>
                <w:webHidden/>
              </w:rPr>
              <w:fldChar w:fldCharType="begin"/>
            </w:r>
            <w:r>
              <w:rPr>
                <w:noProof/>
                <w:webHidden/>
              </w:rPr>
              <w:instrText xml:space="preserve"> PAGEREF _Toc213242423 \h </w:instrText>
            </w:r>
            <w:r>
              <w:rPr>
                <w:noProof/>
                <w:webHidden/>
              </w:rPr>
            </w:r>
            <w:r>
              <w:rPr>
                <w:noProof/>
                <w:webHidden/>
              </w:rPr>
              <w:fldChar w:fldCharType="separate"/>
            </w:r>
            <w:r>
              <w:rPr>
                <w:noProof/>
                <w:webHidden/>
              </w:rPr>
              <w:t>7</w:t>
            </w:r>
            <w:r>
              <w:rPr>
                <w:noProof/>
                <w:webHidden/>
              </w:rPr>
              <w:fldChar w:fldCharType="end"/>
            </w:r>
          </w:hyperlink>
        </w:p>
        <w:p w14:paraId="3B79888E" w14:textId="6C682153"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4" w:history="1">
            <w:r w:rsidRPr="00EE4804">
              <w:rPr>
                <w:rStyle w:val="Hyperlink"/>
                <w:rFonts w:cs="Times New Roman"/>
                <w:noProof/>
                <w:lang w:val="en-US"/>
              </w:rPr>
              <w:t>1.4 Efficiency Ratio Analysis</w:t>
            </w:r>
            <w:r>
              <w:rPr>
                <w:noProof/>
                <w:webHidden/>
              </w:rPr>
              <w:tab/>
            </w:r>
            <w:r>
              <w:rPr>
                <w:noProof/>
                <w:webHidden/>
              </w:rPr>
              <w:fldChar w:fldCharType="begin"/>
            </w:r>
            <w:r>
              <w:rPr>
                <w:noProof/>
                <w:webHidden/>
              </w:rPr>
              <w:instrText xml:space="preserve"> PAGEREF _Toc213242424 \h </w:instrText>
            </w:r>
            <w:r>
              <w:rPr>
                <w:noProof/>
                <w:webHidden/>
              </w:rPr>
            </w:r>
            <w:r>
              <w:rPr>
                <w:noProof/>
                <w:webHidden/>
              </w:rPr>
              <w:fldChar w:fldCharType="separate"/>
            </w:r>
            <w:r>
              <w:rPr>
                <w:noProof/>
                <w:webHidden/>
              </w:rPr>
              <w:t>8</w:t>
            </w:r>
            <w:r>
              <w:rPr>
                <w:noProof/>
                <w:webHidden/>
              </w:rPr>
              <w:fldChar w:fldCharType="end"/>
            </w:r>
          </w:hyperlink>
        </w:p>
        <w:p w14:paraId="40789198" w14:textId="56A6F2C6"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5" w:history="1">
            <w:r w:rsidRPr="00EE4804">
              <w:rPr>
                <w:rStyle w:val="Hyperlink"/>
                <w:rFonts w:cs="Times New Roman"/>
                <w:noProof/>
                <w:lang w:val="en-US"/>
              </w:rPr>
              <w:t>1.5 Gearing and Solvency Analysis</w:t>
            </w:r>
            <w:r>
              <w:rPr>
                <w:noProof/>
                <w:webHidden/>
              </w:rPr>
              <w:tab/>
            </w:r>
            <w:r>
              <w:rPr>
                <w:noProof/>
                <w:webHidden/>
              </w:rPr>
              <w:fldChar w:fldCharType="begin"/>
            </w:r>
            <w:r>
              <w:rPr>
                <w:noProof/>
                <w:webHidden/>
              </w:rPr>
              <w:instrText xml:space="preserve"> PAGEREF _Toc213242425 \h </w:instrText>
            </w:r>
            <w:r>
              <w:rPr>
                <w:noProof/>
                <w:webHidden/>
              </w:rPr>
            </w:r>
            <w:r>
              <w:rPr>
                <w:noProof/>
                <w:webHidden/>
              </w:rPr>
              <w:fldChar w:fldCharType="separate"/>
            </w:r>
            <w:r>
              <w:rPr>
                <w:noProof/>
                <w:webHidden/>
              </w:rPr>
              <w:t>10</w:t>
            </w:r>
            <w:r>
              <w:rPr>
                <w:noProof/>
                <w:webHidden/>
              </w:rPr>
              <w:fldChar w:fldCharType="end"/>
            </w:r>
          </w:hyperlink>
        </w:p>
        <w:p w14:paraId="6C763E2C" w14:textId="22211E58"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6" w:history="1">
            <w:r w:rsidRPr="00EE4804">
              <w:rPr>
                <w:rStyle w:val="Hyperlink"/>
                <w:rFonts w:cs="Times New Roman"/>
                <w:noProof/>
                <w:lang w:val="en-US"/>
              </w:rPr>
              <w:t>1.6 Corporate Failure Prediction - Altman Z-Score</w:t>
            </w:r>
            <w:r>
              <w:rPr>
                <w:noProof/>
                <w:webHidden/>
              </w:rPr>
              <w:tab/>
            </w:r>
            <w:r>
              <w:rPr>
                <w:noProof/>
                <w:webHidden/>
              </w:rPr>
              <w:fldChar w:fldCharType="begin"/>
            </w:r>
            <w:r>
              <w:rPr>
                <w:noProof/>
                <w:webHidden/>
              </w:rPr>
              <w:instrText xml:space="preserve"> PAGEREF _Toc213242426 \h </w:instrText>
            </w:r>
            <w:r>
              <w:rPr>
                <w:noProof/>
                <w:webHidden/>
              </w:rPr>
            </w:r>
            <w:r>
              <w:rPr>
                <w:noProof/>
                <w:webHidden/>
              </w:rPr>
              <w:fldChar w:fldCharType="separate"/>
            </w:r>
            <w:r>
              <w:rPr>
                <w:noProof/>
                <w:webHidden/>
              </w:rPr>
              <w:t>11</w:t>
            </w:r>
            <w:r>
              <w:rPr>
                <w:noProof/>
                <w:webHidden/>
              </w:rPr>
              <w:fldChar w:fldCharType="end"/>
            </w:r>
          </w:hyperlink>
        </w:p>
        <w:p w14:paraId="0F3C028B" w14:textId="6CF9251A"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7" w:history="1">
            <w:r w:rsidRPr="00EE4804">
              <w:rPr>
                <w:rStyle w:val="Hyperlink"/>
                <w:rFonts w:cs="Times New Roman"/>
                <w:noProof/>
                <w:lang w:val="en-US"/>
              </w:rPr>
              <w:t>1.7 Key Findings and Trends</w:t>
            </w:r>
            <w:r>
              <w:rPr>
                <w:noProof/>
                <w:webHidden/>
              </w:rPr>
              <w:tab/>
            </w:r>
            <w:r>
              <w:rPr>
                <w:noProof/>
                <w:webHidden/>
              </w:rPr>
              <w:fldChar w:fldCharType="begin"/>
            </w:r>
            <w:r>
              <w:rPr>
                <w:noProof/>
                <w:webHidden/>
              </w:rPr>
              <w:instrText xml:space="preserve"> PAGEREF _Toc213242427 \h </w:instrText>
            </w:r>
            <w:r>
              <w:rPr>
                <w:noProof/>
                <w:webHidden/>
              </w:rPr>
            </w:r>
            <w:r>
              <w:rPr>
                <w:noProof/>
                <w:webHidden/>
              </w:rPr>
              <w:fldChar w:fldCharType="separate"/>
            </w:r>
            <w:r>
              <w:rPr>
                <w:noProof/>
                <w:webHidden/>
              </w:rPr>
              <w:t>13</w:t>
            </w:r>
            <w:r>
              <w:rPr>
                <w:noProof/>
                <w:webHidden/>
              </w:rPr>
              <w:fldChar w:fldCharType="end"/>
            </w:r>
          </w:hyperlink>
        </w:p>
        <w:p w14:paraId="0C3A38FC" w14:textId="088A25DB"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28" w:history="1">
            <w:r w:rsidRPr="00EE4804">
              <w:rPr>
                <w:rStyle w:val="Hyperlink"/>
                <w:rFonts w:cs="Times New Roman"/>
                <w:noProof/>
                <w:lang w:val="en-US"/>
              </w:rPr>
              <w:t>2. Working Capital Management Analysis</w:t>
            </w:r>
            <w:r>
              <w:rPr>
                <w:noProof/>
                <w:webHidden/>
              </w:rPr>
              <w:tab/>
            </w:r>
            <w:r>
              <w:rPr>
                <w:noProof/>
                <w:webHidden/>
              </w:rPr>
              <w:fldChar w:fldCharType="begin"/>
            </w:r>
            <w:r>
              <w:rPr>
                <w:noProof/>
                <w:webHidden/>
              </w:rPr>
              <w:instrText xml:space="preserve"> PAGEREF _Toc213242428 \h </w:instrText>
            </w:r>
            <w:r>
              <w:rPr>
                <w:noProof/>
                <w:webHidden/>
              </w:rPr>
            </w:r>
            <w:r>
              <w:rPr>
                <w:noProof/>
                <w:webHidden/>
              </w:rPr>
              <w:fldChar w:fldCharType="separate"/>
            </w:r>
            <w:r>
              <w:rPr>
                <w:noProof/>
                <w:webHidden/>
              </w:rPr>
              <w:t>13</w:t>
            </w:r>
            <w:r>
              <w:rPr>
                <w:noProof/>
                <w:webHidden/>
              </w:rPr>
              <w:fldChar w:fldCharType="end"/>
            </w:r>
          </w:hyperlink>
        </w:p>
        <w:p w14:paraId="30A8CEA6" w14:textId="084BB263"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29" w:history="1">
            <w:r w:rsidRPr="00EE4804">
              <w:rPr>
                <w:rStyle w:val="Hyperlink"/>
                <w:rFonts w:cs="Times New Roman"/>
                <w:noProof/>
                <w:lang w:val="en-US"/>
              </w:rPr>
              <w:t>2.1 Cash Operating Cycle Assessment</w:t>
            </w:r>
            <w:r>
              <w:rPr>
                <w:noProof/>
                <w:webHidden/>
              </w:rPr>
              <w:tab/>
            </w:r>
            <w:r>
              <w:rPr>
                <w:noProof/>
                <w:webHidden/>
              </w:rPr>
              <w:fldChar w:fldCharType="begin"/>
            </w:r>
            <w:r>
              <w:rPr>
                <w:noProof/>
                <w:webHidden/>
              </w:rPr>
              <w:instrText xml:space="preserve"> PAGEREF _Toc213242429 \h </w:instrText>
            </w:r>
            <w:r>
              <w:rPr>
                <w:noProof/>
                <w:webHidden/>
              </w:rPr>
            </w:r>
            <w:r>
              <w:rPr>
                <w:noProof/>
                <w:webHidden/>
              </w:rPr>
              <w:fldChar w:fldCharType="separate"/>
            </w:r>
            <w:r>
              <w:rPr>
                <w:noProof/>
                <w:webHidden/>
              </w:rPr>
              <w:t>13</w:t>
            </w:r>
            <w:r>
              <w:rPr>
                <w:noProof/>
                <w:webHidden/>
              </w:rPr>
              <w:fldChar w:fldCharType="end"/>
            </w:r>
          </w:hyperlink>
        </w:p>
        <w:p w14:paraId="570C8B7F" w14:textId="3D5332F9"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0" w:history="1">
            <w:r w:rsidRPr="00EE4804">
              <w:rPr>
                <w:rStyle w:val="Hyperlink"/>
                <w:rFonts w:cs="Times New Roman"/>
                <w:noProof/>
                <w:lang w:val="en-US"/>
              </w:rPr>
              <w:t>2.2 Liquidity Improvement Strategies</w:t>
            </w:r>
            <w:r>
              <w:rPr>
                <w:noProof/>
                <w:webHidden/>
              </w:rPr>
              <w:tab/>
            </w:r>
            <w:r>
              <w:rPr>
                <w:noProof/>
                <w:webHidden/>
              </w:rPr>
              <w:fldChar w:fldCharType="begin"/>
            </w:r>
            <w:r>
              <w:rPr>
                <w:noProof/>
                <w:webHidden/>
              </w:rPr>
              <w:instrText xml:space="preserve"> PAGEREF _Toc213242430 \h </w:instrText>
            </w:r>
            <w:r>
              <w:rPr>
                <w:noProof/>
                <w:webHidden/>
              </w:rPr>
            </w:r>
            <w:r>
              <w:rPr>
                <w:noProof/>
                <w:webHidden/>
              </w:rPr>
              <w:fldChar w:fldCharType="separate"/>
            </w:r>
            <w:r>
              <w:rPr>
                <w:noProof/>
                <w:webHidden/>
              </w:rPr>
              <w:t>14</w:t>
            </w:r>
            <w:r>
              <w:rPr>
                <w:noProof/>
                <w:webHidden/>
              </w:rPr>
              <w:fldChar w:fldCharType="end"/>
            </w:r>
          </w:hyperlink>
        </w:p>
        <w:p w14:paraId="17507522" w14:textId="50B5432A"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1" w:history="1">
            <w:r w:rsidRPr="00EE4804">
              <w:rPr>
                <w:rStyle w:val="Hyperlink"/>
                <w:rFonts w:cs="Times New Roman"/>
                <w:noProof/>
                <w:lang w:val="en-US"/>
              </w:rPr>
              <w:t>2.3 Short-Term versus Long-Term Financing Comparison</w:t>
            </w:r>
            <w:r>
              <w:rPr>
                <w:noProof/>
                <w:webHidden/>
              </w:rPr>
              <w:tab/>
            </w:r>
            <w:r>
              <w:rPr>
                <w:noProof/>
                <w:webHidden/>
              </w:rPr>
              <w:fldChar w:fldCharType="begin"/>
            </w:r>
            <w:r>
              <w:rPr>
                <w:noProof/>
                <w:webHidden/>
              </w:rPr>
              <w:instrText xml:space="preserve"> PAGEREF _Toc213242431 \h </w:instrText>
            </w:r>
            <w:r>
              <w:rPr>
                <w:noProof/>
                <w:webHidden/>
              </w:rPr>
            </w:r>
            <w:r>
              <w:rPr>
                <w:noProof/>
                <w:webHidden/>
              </w:rPr>
              <w:fldChar w:fldCharType="separate"/>
            </w:r>
            <w:r>
              <w:rPr>
                <w:noProof/>
                <w:webHidden/>
              </w:rPr>
              <w:t>15</w:t>
            </w:r>
            <w:r>
              <w:rPr>
                <w:noProof/>
                <w:webHidden/>
              </w:rPr>
              <w:fldChar w:fldCharType="end"/>
            </w:r>
          </w:hyperlink>
        </w:p>
        <w:p w14:paraId="04AA65B5" w14:textId="79DAD3C1"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32" w:history="1">
            <w:r w:rsidRPr="00EE4804">
              <w:rPr>
                <w:rStyle w:val="Hyperlink"/>
                <w:rFonts w:cs="Times New Roman"/>
                <w:noProof/>
                <w:lang w:val="en-US"/>
              </w:rPr>
              <w:t>3. Strategic Financial Restructuring Plan</w:t>
            </w:r>
            <w:r>
              <w:rPr>
                <w:noProof/>
                <w:webHidden/>
              </w:rPr>
              <w:tab/>
            </w:r>
            <w:r>
              <w:rPr>
                <w:noProof/>
                <w:webHidden/>
              </w:rPr>
              <w:fldChar w:fldCharType="begin"/>
            </w:r>
            <w:r>
              <w:rPr>
                <w:noProof/>
                <w:webHidden/>
              </w:rPr>
              <w:instrText xml:space="preserve"> PAGEREF _Toc213242432 \h </w:instrText>
            </w:r>
            <w:r>
              <w:rPr>
                <w:noProof/>
                <w:webHidden/>
              </w:rPr>
            </w:r>
            <w:r>
              <w:rPr>
                <w:noProof/>
                <w:webHidden/>
              </w:rPr>
              <w:fldChar w:fldCharType="separate"/>
            </w:r>
            <w:r>
              <w:rPr>
                <w:noProof/>
                <w:webHidden/>
              </w:rPr>
              <w:t>16</w:t>
            </w:r>
            <w:r>
              <w:rPr>
                <w:noProof/>
                <w:webHidden/>
              </w:rPr>
              <w:fldChar w:fldCharType="end"/>
            </w:r>
          </w:hyperlink>
        </w:p>
        <w:p w14:paraId="180C87C1" w14:textId="59938084"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3" w:history="1">
            <w:r w:rsidRPr="00EE4804">
              <w:rPr>
                <w:rStyle w:val="Hyperlink"/>
                <w:rFonts w:cs="Times New Roman"/>
                <w:noProof/>
                <w:lang w:val="en-US"/>
              </w:rPr>
              <w:t>3.1 Restructuring Options Analysis</w:t>
            </w:r>
            <w:r>
              <w:rPr>
                <w:noProof/>
                <w:webHidden/>
              </w:rPr>
              <w:tab/>
            </w:r>
            <w:r>
              <w:rPr>
                <w:noProof/>
                <w:webHidden/>
              </w:rPr>
              <w:fldChar w:fldCharType="begin"/>
            </w:r>
            <w:r>
              <w:rPr>
                <w:noProof/>
                <w:webHidden/>
              </w:rPr>
              <w:instrText xml:space="preserve"> PAGEREF _Toc213242433 \h </w:instrText>
            </w:r>
            <w:r>
              <w:rPr>
                <w:noProof/>
                <w:webHidden/>
              </w:rPr>
            </w:r>
            <w:r>
              <w:rPr>
                <w:noProof/>
                <w:webHidden/>
              </w:rPr>
              <w:fldChar w:fldCharType="separate"/>
            </w:r>
            <w:r>
              <w:rPr>
                <w:noProof/>
                <w:webHidden/>
              </w:rPr>
              <w:t>16</w:t>
            </w:r>
            <w:r>
              <w:rPr>
                <w:noProof/>
                <w:webHidden/>
              </w:rPr>
              <w:fldChar w:fldCharType="end"/>
            </w:r>
          </w:hyperlink>
        </w:p>
        <w:p w14:paraId="33C0B707" w14:textId="07A2E147"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4" w:history="1">
            <w:r w:rsidRPr="00EE4804">
              <w:rPr>
                <w:rStyle w:val="Hyperlink"/>
                <w:rFonts w:cs="Times New Roman"/>
                <w:noProof/>
                <w:lang w:val="en-US"/>
              </w:rPr>
              <w:t>3.2 Capital Structure Optimization</w:t>
            </w:r>
            <w:r>
              <w:rPr>
                <w:noProof/>
                <w:webHidden/>
              </w:rPr>
              <w:tab/>
            </w:r>
            <w:r>
              <w:rPr>
                <w:noProof/>
                <w:webHidden/>
              </w:rPr>
              <w:fldChar w:fldCharType="begin"/>
            </w:r>
            <w:r>
              <w:rPr>
                <w:noProof/>
                <w:webHidden/>
              </w:rPr>
              <w:instrText xml:space="preserve"> PAGEREF _Toc213242434 \h </w:instrText>
            </w:r>
            <w:r>
              <w:rPr>
                <w:noProof/>
                <w:webHidden/>
              </w:rPr>
            </w:r>
            <w:r>
              <w:rPr>
                <w:noProof/>
                <w:webHidden/>
              </w:rPr>
              <w:fldChar w:fldCharType="separate"/>
            </w:r>
            <w:r>
              <w:rPr>
                <w:noProof/>
                <w:webHidden/>
              </w:rPr>
              <w:t>16</w:t>
            </w:r>
            <w:r>
              <w:rPr>
                <w:noProof/>
                <w:webHidden/>
              </w:rPr>
              <w:fldChar w:fldCharType="end"/>
            </w:r>
          </w:hyperlink>
        </w:p>
        <w:p w14:paraId="033A5F10" w14:textId="05A6E1D2"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5" w:history="1">
            <w:r w:rsidRPr="00EE4804">
              <w:rPr>
                <w:rStyle w:val="Hyperlink"/>
                <w:rFonts w:cs="Times New Roman"/>
                <w:noProof/>
                <w:lang w:val="en-US"/>
              </w:rPr>
              <w:t>3.3 Impact on Shareholder Value</w:t>
            </w:r>
            <w:r>
              <w:rPr>
                <w:noProof/>
                <w:webHidden/>
              </w:rPr>
              <w:tab/>
            </w:r>
            <w:r>
              <w:rPr>
                <w:noProof/>
                <w:webHidden/>
              </w:rPr>
              <w:fldChar w:fldCharType="begin"/>
            </w:r>
            <w:r>
              <w:rPr>
                <w:noProof/>
                <w:webHidden/>
              </w:rPr>
              <w:instrText xml:space="preserve"> PAGEREF _Toc213242435 \h </w:instrText>
            </w:r>
            <w:r>
              <w:rPr>
                <w:noProof/>
                <w:webHidden/>
              </w:rPr>
            </w:r>
            <w:r>
              <w:rPr>
                <w:noProof/>
                <w:webHidden/>
              </w:rPr>
              <w:fldChar w:fldCharType="separate"/>
            </w:r>
            <w:r>
              <w:rPr>
                <w:noProof/>
                <w:webHidden/>
              </w:rPr>
              <w:t>17</w:t>
            </w:r>
            <w:r>
              <w:rPr>
                <w:noProof/>
                <w:webHidden/>
              </w:rPr>
              <w:fldChar w:fldCharType="end"/>
            </w:r>
          </w:hyperlink>
        </w:p>
        <w:p w14:paraId="715DA248" w14:textId="0E9877E6"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6" w:history="1">
            <w:r w:rsidRPr="00EE4804">
              <w:rPr>
                <w:rStyle w:val="Hyperlink"/>
                <w:rFonts w:cs="Times New Roman"/>
                <w:noProof/>
                <w:lang w:val="en-US"/>
              </w:rPr>
              <w:t>3.4 International and Ethical Considerations</w:t>
            </w:r>
            <w:r>
              <w:rPr>
                <w:noProof/>
                <w:webHidden/>
              </w:rPr>
              <w:tab/>
            </w:r>
            <w:r>
              <w:rPr>
                <w:noProof/>
                <w:webHidden/>
              </w:rPr>
              <w:fldChar w:fldCharType="begin"/>
            </w:r>
            <w:r>
              <w:rPr>
                <w:noProof/>
                <w:webHidden/>
              </w:rPr>
              <w:instrText xml:space="preserve"> PAGEREF _Toc213242436 \h </w:instrText>
            </w:r>
            <w:r>
              <w:rPr>
                <w:noProof/>
                <w:webHidden/>
              </w:rPr>
            </w:r>
            <w:r>
              <w:rPr>
                <w:noProof/>
                <w:webHidden/>
              </w:rPr>
              <w:fldChar w:fldCharType="separate"/>
            </w:r>
            <w:r>
              <w:rPr>
                <w:noProof/>
                <w:webHidden/>
              </w:rPr>
              <w:t>17</w:t>
            </w:r>
            <w:r>
              <w:rPr>
                <w:noProof/>
                <w:webHidden/>
              </w:rPr>
              <w:fldChar w:fldCharType="end"/>
            </w:r>
          </w:hyperlink>
        </w:p>
        <w:p w14:paraId="30278A36" w14:textId="4D92AB01"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37" w:history="1">
            <w:r w:rsidRPr="00EE4804">
              <w:rPr>
                <w:rStyle w:val="Hyperlink"/>
                <w:rFonts w:cs="Times New Roman"/>
                <w:noProof/>
                <w:lang w:val="en-US"/>
              </w:rPr>
              <w:t>4. Investment Appraisal and Capital Budgeting</w:t>
            </w:r>
            <w:r>
              <w:rPr>
                <w:noProof/>
                <w:webHidden/>
              </w:rPr>
              <w:tab/>
            </w:r>
            <w:r>
              <w:rPr>
                <w:noProof/>
                <w:webHidden/>
              </w:rPr>
              <w:fldChar w:fldCharType="begin"/>
            </w:r>
            <w:r>
              <w:rPr>
                <w:noProof/>
                <w:webHidden/>
              </w:rPr>
              <w:instrText xml:space="preserve"> PAGEREF _Toc213242437 \h </w:instrText>
            </w:r>
            <w:r>
              <w:rPr>
                <w:noProof/>
                <w:webHidden/>
              </w:rPr>
            </w:r>
            <w:r>
              <w:rPr>
                <w:noProof/>
                <w:webHidden/>
              </w:rPr>
              <w:fldChar w:fldCharType="separate"/>
            </w:r>
            <w:r>
              <w:rPr>
                <w:noProof/>
                <w:webHidden/>
              </w:rPr>
              <w:t>18</w:t>
            </w:r>
            <w:r>
              <w:rPr>
                <w:noProof/>
                <w:webHidden/>
              </w:rPr>
              <w:fldChar w:fldCharType="end"/>
            </w:r>
          </w:hyperlink>
        </w:p>
        <w:p w14:paraId="77EE134E" w14:textId="22E157CE"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8" w:history="1">
            <w:r w:rsidRPr="00EE4804">
              <w:rPr>
                <w:rStyle w:val="Hyperlink"/>
                <w:rFonts w:cs="Times New Roman"/>
                <w:noProof/>
                <w:lang w:val="en-US"/>
              </w:rPr>
              <w:t>4.1 Project Overview and Methodology</w:t>
            </w:r>
            <w:r>
              <w:rPr>
                <w:noProof/>
                <w:webHidden/>
              </w:rPr>
              <w:tab/>
            </w:r>
            <w:r>
              <w:rPr>
                <w:noProof/>
                <w:webHidden/>
              </w:rPr>
              <w:fldChar w:fldCharType="begin"/>
            </w:r>
            <w:r>
              <w:rPr>
                <w:noProof/>
                <w:webHidden/>
              </w:rPr>
              <w:instrText xml:space="preserve"> PAGEREF _Toc213242438 \h </w:instrText>
            </w:r>
            <w:r>
              <w:rPr>
                <w:noProof/>
                <w:webHidden/>
              </w:rPr>
            </w:r>
            <w:r>
              <w:rPr>
                <w:noProof/>
                <w:webHidden/>
              </w:rPr>
              <w:fldChar w:fldCharType="separate"/>
            </w:r>
            <w:r>
              <w:rPr>
                <w:noProof/>
                <w:webHidden/>
              </w:rPr>
              <w:t>18</w:t>
            </w:r>
            <w:r>
              <w:rPr>
                <w:noProof/>
                <w:webHidden/>
              </w:rPr>
              <w:fldChar w:fldCharType="end"/>
            </w:r>
          </w:hyperlink>
        </w:p>
        <w:p w14:paraId="03678170" w14:textId="1DE043C9"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39" w:history="1">
            <w:r w:rsidRPr="00EE4804">
              <w:rPr>
                <w:rStyle w:val="Hyperlink"/>
                <w:rFonts w:cs="Times New Roman"/>
                <w:noProof/>
                <w:lang w:val="en-US"/>
              </w:rPr>
              <w:t>4.2 Project A Analysis</w:t>
            </w:r>
            <w:r>
              <w:rPr>
                <w:noProof/>
                <w:webHidden/>
              </w:rPr>
              <w:tab/>
            </w:r>
            <w:r>
              <w:rPr>
                <w:noProof/>
                <w:webHidden/>
              </w:rPr>
              <w:fldChar w:fldCharType="begin"/>
            </w:r>
            <w:r>
              <w:rPr>
                <w:noProof/>
                <w:webHidden/>
              </w:rPr>
              <w:instrText xml:space="preserve"> PAGEREF _Toc213242439 \h </w:instrText>
            </w:r>
            <w:r>
              <w:rPr>
                <w:noProof/>
                <w:webHidden/>
              </w:rPr>
            </w:r>
            <w:r>
              <w:rPr>
                <w:noProof/>
                <w:webHidden/>
              </w:rPr>
              <w:fldChar w:fldCharType="separate"/>
            </w:r>
            <w:r>
              <w:rPr>
                <w:noProof/>
                <w:webHidden/>
              </w:rPr>
              <w:t>18</w:t>
            </w:r>
            <w:r>
              <w:rPr>
                <w:noProof/>
                <w:webHidden/>
              </w:rPr>
              <w:fldChar w:fldCharType="end"/>
            </w:r>
          </w:hyperlink>
        </w:p>
        <w:p w14:paraId="34DD60F5" w14:textId="591DB688"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40" w:history="1">
            <w:r w:rsidRPr="00EE4804">
              <w:rPr>
                <w:rStyle w:val="Hyperlink"/>
                <w:rFonts w:cs="Times New Roman"/>
                <w:noProof/>
                <w:lang w:val="en-US"/>
              </w:rPr>
              <w:t>4.3 Project B Analysis</w:t>
            </w:r>
            <w:r>
              <w:rPr>
                <w:noProof/>
                <w:webHidden/>
              </w:rPr>
              <w:tab/>
            </w:r>
            <w:r>
              <w:rPr>
                <w:noProof/>
                <w:webHidden/>
              </w:rPr>
              <w:fldChar w:fldCharType="begin"/>
            </w:r>
            <w:r>
              <w:rPr>
                <w:noProof/>
                <w:webHidden/>
              </w:rPr>
              <w:instrText xml:space="preserve"> PAGEREF _Toc213242440 \h </w:instrText>
            </w:r>
            <w:r>
              <w:rPr>
                <w:noProof/>
                <w:webHidden/>
              </w:rPr>
            </w:r>
            <w:r>
              <w:rPr>
                <w:noProof/>
                <w:webHidden/>
              </w:rPr>
              <w:fldChar w:fldCharType="separate"/>
            </w:r>
            <w:r>
              <w:rPr>
                <w:noProof/>
                <w:webHidden/>
              </w:rPr>
              <w:t>20</w:t>
            </w:r>
            <w:r>
              <w:rPr>
                <w:noProof/>
                <w:webHidden/>
              </w:rPr>
              <w:fldChar w:fldCharType="end"/>
            </w:r>
          </w:hyperlink>
        </w:p>
        <w:p w14:paraId="2BDD647B" w14:textId="1743500F"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41" w:history="1">
            <w:r w:rsidRPr="00EE4804">
              <w:rPr>
                <w:rStyle w:val="Hyperlink"/>
                <w:rFonts w:cs="Times New Roman"/>
                <w:noProof/>
                <w:lang w:val="en-US"/>
              </w:rPr>
              <w:t>4.4 Project C Analysis</w:t>
            </w:r>
            <w:r>
              <w:rPr>
                <w:noProof/>
                <w:webHidden/>
              </w:rPr>
              <w:tab/>
            </w:r>
            <w:r>
              <w:rPr>
                <w:noProof/>
                <w:webHidden/>
              </w:rPr>
              <w:fldChar w:fldCharType="begin"/>
            </w:r>
            <w:r>
              <w:rPr>
                <w:noProof/>
                <w:webHidden/>
              </w:rPr>
              <w:instrText xml:space="preserve"> PAGEREF _Toc213242441 \h </w:instrText>
            </w:r>
            <w:r>
              <w:rPr>
                <w:noProof/>
                <w:webHidden/>
              </w:rPr>
            </w:r>
            <w:r>
              <w:rPr>
                <w:noProof/>
                <w:webHidden/>
              </w:rPr>
              <w:fldChar w:fldCharType="separate"/>
            </w:r>
            <w:r>
              <w:rPr>
                <w:noProof/>
                <w:webHidden/>
              </w:rPr>
              <w:t>20</w:t>
            </w:r>
            <w:r>
              <w:rPr>
                <w:noProof/>
                <w:webHidden/>
              </w:rPr>
              <w:fldChar w:fldCharType="end"/>
            </w:r>
          </w:hyperlink>
        </w:p>
        <w:p w14:paraId="6764957A" w14:textId="51CF5D97"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42" w:history="1">
            <w:r w:rsidRPr="00EE4804">
              <w:rPr>
                <w:rStyle w:val="Hyperlink"/>
                <w:rFonts w:cs="Times New Roman"/>
                <w:noProof/>
                <w:lang w:val="en-US"/>
              </w:rPr>
              <w:t>4.5 Investment Recommendation</w:t>
            </w:r>
            <w:r>
              <w:rPr>
                <w:noProof/>
                <w:webHidden/>
              </w:rPr>
              <w:tab/>
            </w:r>
            <w:r>
              <w:rPr>
                <w:noProof/>
                <w:webHidden/>
              </w:rPr>
              <w:fldChar w:fldCharType="begin"/>
            </w:r>
            <w:r>
              <w:rPr>
                <w:noProof/>
                <w:webHidden/>
              </w:rPr>
              <w:instrText xml:space="preserve"> PAGEREF _Toc213242442 \h </w:instrText>
            </w:r>
            <w:r>
              <w:rPr>
                <w:noProof/>
                <w:webHidden/>
              </w:rPr>
            </w:r>
            <w:r>
              <w:rPr>
                <w:noProof/>
                <w:webHidden/>
              </w:rPr>
              <w:fldChar w:fldCharType="separate"/>
            </w:r>
            <w:r>
              <w:rPr>
                <w:noProof/>
                <w:webHidden/>
              </w:rPr>
              <w:t>21</w:t>
            </w:r>
            <w:r>
              <w:rPr>
                <w:noProof/>
                <w:webHidden/>
              </w:rPr>
              <w:fldChar w:fldCharType="end"/>
            </w:r>
          </w:hyperlink>
        </w:p>
        <w:p w14:paraId="18C75E83" w14:textId="736600E6"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43" w:history="1">
            <w:r w:rsidRPr="00EE4804">
              <w:rPr>
                <w:rStyle w:val="Hyperlink"/>
                <w:rFonts w:cs="Times New Roman"/>
                <w:noProof/>
                <w:lang w:val="en-US"/>
              </w:rPr>
              <w:t>5. Conclusion</w:t>
            </w:r>
            <w:r>
              <w:rPr>
                <w:noProof/>
                <w:webHidden/>
              </w:rPr>
              <w:tab/>
            </w:r>
            <w:r>
              <w:rPr>
                <w:noProof/>
                <w:webHidden/>
              </w:rPr>
              <w:fldChar w:fldCharType="begin"/>
            </w:r>
            <w:r>
              <w:rPr>
                <w:noProof/>
                <w:webHidden/>
              </w:rPr>
              <w:instrText xml:space="preserve"> PAGEREF _Toc213242443 \h </w:instrText>
            </w:r>
            <w:r>
              <w:rPr>
                <w:noProof/>
                <w:webHidden/>
              </w:rPr>
            </w:r>
            <w:r>
              <w:rPr>
                <w:noProof/>
                <w:webHidden/>
              </w:rPr>
              <w:fldChar w:fldCharType="separate"/>
            </w:r>
            <w:r>
              <w:rPr>
                <w:noProof/>
                <w:webHidden/>
              </w:rPr>
              <w:t>22</w:t>
            </w:r>
            <w:r>
              <w:rPr>
                <w:noProof/>
                <w:webHidden/>
              </w:rPr>
              <w:fldChar w:fldCharType="end"/>
            </w:r>
          </w:hyperlink>
        </w:p>
        <w:p w14:paraId="33817E5D" w14:textId="703F1E30"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44" w:history="1">
            <w:r w:rsidRPr="00EE4804">
              <w:rPr>
                <w:rStyle w:val="Hyperlink"/>
                <w:rFonts w:cs="Times New Roman"/>
                <w:noProof/>
                <w:lang w:val="en-US"/>
              </w:rPr>
              <w:t>References</w:t>
            </w:r>
            <w:r>
              <w:rPr>
                <w:noProof/>
                <w:webHidden/>
              </w:rPr>
              <w:tab/>
            </w:r>
            <w:r>
              <w:rPr>
                <w:noProof/>
                <w:webHidden/>
              </w:rPr>
              <w:fldChar w:fldCharType="begin"/>
            </w:r>
            <w:r>
              <w:rPr>
                <w:noProof/>
                <w:webHidden/>
              </w:rPr>
              <w:instrText xml:space="preserve"> PAGEREF _Toc213242444 \h </w:instrText>
            </w:r>
            <w:r>
              <w:rPr>
                <w:noProof/>
                <w:webHidden/>
              </w:rPr>
            </w:r>
            <w:r>
              <w:rPr>
                <w:noProof/>
                <w:webHidden/>
              </w:rPr>
              <w:fldChar w:fldCharType="separate"/>
            </w:r>
            <w:r>
              <w:rPr>
                <w:noProof/>
                <w:webHidden/>
              </w:rPr>
              <w:t>24</w:t>
            </w:r>
            <w:r>
              <w:rPr>
                <w:noProof/>
                <w:webHidden/>
              </w:rPr>
              <w:fldChar w:fldCharType="end"/>
            </w:r>
          </w:hyperlink>
        </w:p>
        <w:p w14:paraId="09D98729" w14:textId="097F0E0E" w:rsidR="00BF385E" w:rsidRDefault="00BF385E" w:rsidP="00BF385E">
          <w:pPr>
            <w:pStyle w:val="TOC1"/>
            <w:tabs>
              <w:tab w:val="right" w:leader="dot" w:pos="9350"/>
            </w:tabs>
            <w:spacing w:line="360" w:lineRule="auto"/>
            <w:rPr>
              <w:rFonts w:asciiTheme="minorHAnsi" w:eastAsiaTheme="minorEastAsia" w:hAnsiTheme="minorHAnsi"/>
              <w:noProof/>
              <w:szCs w:val="24"/>
              <w:lang w:val="en-US" w:bidi="ar-SA"/>
            </w:rPr>
          </w:pPr>
          <w:hyperlink w:anchor="_Toc213242445" w:history="1">
            <w:r w:rsidRPr="00EE4804">
              <w:rPr>
                <w:rStyle w:val="Hyperlink"/>
                <w:rFonts w:cs="Times New Roman"/>
                <w:noProof/>
                <w:lang w:val="en-US"/>
              </w:rPr>
              <w:t>Appendices</w:t>
            </w:r>
            <w:r>
              <w:rPr>
                <w:noProof/>
                <w:webHidden/>
              </w:rPr>
              <w:tab/>
            </w:r>
            <w:r>
              <w:rPr>
                <w:noProof/>
                <w:webHidden/>
              </w:rPr>
              <w:fldChar w:fldCharType="begin"/>
            </w:r>
            <w:r>
              <w:rPr>
                <w:noProof/>
                <w:webHidden/>
              </w:rPr>
              <w:instrText xml:space="preserve"> PAGEREF _Toc213242445 \h </w:instrText>
            </w:r>
            <w:r>
              <w:rPr>
                <w:noProof/>
                <w:webHidden/>
              </w:rPr>
            </w:r>
            <w:r>
              <w:rPr>
                <w:noProof/>
                <w:webHidden/>
              </w:rPr>
              <w:fldChar w:fldCharType="separate"/>
            </w:r>
            <w:r>
              <w:rPr>
                <w:noProof/>
                <w:webHidden/>
              </w:rPr>
              <w:t>27</w:t>
            </w:r>
            <w:r>
              <w:rPr>
                <w:noProof/>
                <w:webHidden/>
              </w:rPr>
              <w:fldChar w:fldCharType="end"/>
            </w:r>
          </w:hyperlink>
        </w:p>
        <w:p w14:paraId="7922ED68" w14:textId="57720E02"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46" w:history="1">
            <w:r w:rsidRPr="00EE4804">
              <w:rPr>
                <w:rStyle w:val="Hyperlink"/>
                <w:rFonts w:cs="Times New Roman"/>
                <w:noProof/>
                <w:lang w:val="en-US"/>
              </w:rPr>
              <w:t>Appendix A: Financial Ratios Summary</w:t>
            </w:r>
            <w:r>
              <w:rPr>
                <w:noProof/>
                <w:webHidden/>
              </w:rPr>
              <w:tab/>
            </w:r>
            <w:r>
              <w:rPr>
                <w:noProof/>
                <w:webHidden/>
              </w:rPr>
              <w:fldChar w:fldCharType="begin"/>
            </w:r>
            <w:r>
              <w:rPr>
                <w:noProof/>
                <w:webHidden/>
              </w:rPr>
              <w:instrText xml:space="preserve"> PAGEREF _Toc213242446 \h </w:instrText>
            </w:r>
            <w:r>
              <w:rPr>
                <w:noProof/>
                <w:webHidden/>
              </w:rPr>
            </w:r>
            <w:r>
              <w:rPr>
                <w:noProof/>
                <w:webHidden/>
              </w:rPr>
              <w:fldChar w:fldCharType="separate"/>
            </w:r>
            <w:r>
              <w:rPr>
                <w:noProof/>
                <w:webHidden/>
              </w:rPr>
              <w:t>27</w:t>
            </w:r>
            <w:r>
              <w:rPr>
                <w:noProof/>
                <w:webHidden/>
              </w:rPr>
              <w:fldChar w:fldCharType="end"/>
            </w:r>
          </w:hyperlink>
        </w:p>
        <w:p w14:paraId="4BFAB3DA" w14:textId="31C3B499" w:rsidR="00BF385E" w:rsidRDefault="00BF385E" w:rsidP="00BF385E">
          <w:pPr>
            <w:pStyle w:val="TOC2"/>
            <w:tabs>
              <w:tab w:val="right" w:leader="dot" w:pos="9350"/>
            </w:tabs>
            <w:spacing w:line="360" w:lineRule="auto"/>
            <w:rPr>
              <w:rFonts w:asciiTheme="minorHAnsi" w:eastAsiaTheme="minorEastAsia" w:hAnsiTheme="minorHAnsi"/>
              <w:noProof/>
              <w:szCs w:val="24"/>
              <w:lang w:val="en-US" w:bidi="ar-SA"/>
            </w:rPr>
          </w:pPr>
          <w:hyperlink w:anchor="_Toc213242447" w:history="1">
            <w:r w:rsidRPr="00EE4804">
              <w:rPr>
                <w:rStyle w:val="Hyperlink"/>
                <w:rFonts w:cs="Times New Roman"/>
                <w:noProof/>
                <w:lang w:val="en-US"/>
              </w:rPr>
              <w:t>Appendix B: Investment Appraisal Calculations</w:t>
            </w:r>
            <w:r>
              <w:rPr>
                <w:noProof/>
                <w:webHidden/>
              </w:rPr>
              <w:tab/>
            </w:r>
            <w:r>
              <w:rPr>
                <w:noProof/>
                <w:webHidden/>
              </w:rPr>
              <w:fldChar w:fldCharType="begin"/>
            </w:r>
            <w:r>
              <w:rPr>
                <w:noProof/>
                <w:webHidden/>
              </w:rPr>
              <w:instrText xml:space="preserve"> PAGEREF _Toc213242447 \h </w:instrText>
            </w:r>
            <w:r>
              <w:rPr>
                <w:noProof/>
                <w:webHidden/>
              </w:rPr>
            </w:r>
            <w:r>
              <w:rPr>
                <w:noProof/>
                <w:webHidden/>
              </w:rPr>
              <w:fldChar w:fldCharType="separate"/>
            </w:r>
            <w:r>
              <w:rPr>
                <w:noProof/>
                <w:webHidden/>
              </w:rPr>
              <w:t>28</w:t>
            </w:r>
            <w:r>
              <w:rPr>
                <w:noProof/>
                <w:webHidden/>
              </w:rPr>
              <w:fldChar w:fldCharType="end"/>
            </w:r>
          </w:hyperlink>
        </w:p>
        <w:p w14:paraId="7CD10DF7" w14:textId="6BD2A2CF" w:rsidR="00BF385E" w:rsidRPr="00BF385E" w:rsidRDefault="00BF385E" w:rsidP="00BF385E">
          <w:pPr>
            <w:spacing w:line="360" w:lineRule="auto"/>
            <w:jc w:val="both"/>
            <w:rPr>
              <w:rFonts w:cs="Times New Roman"/>
              <w:szCs w:val="24"/>
            </w:rPr>
          </w:pPr>
          <w:r w:rsidRPr="00BF385E">
            <w:rPr>
              <w:rFonts w:cs="Times New Roman"/>
              <w:b/>
              <w:bCs/>
              <w:noProof/>
              <w:szCs w:val="24"/>
            </w:rPr>
            <w:fldChar w:fldCharType="end"/>
          </w:r>
        </w:p>
      </w:sdtContent>
    </w:sdt>
    <w:p w14:paraId="51BA10ED" w14:textId="6A283820" w:rsidR="00B475AC" w:rsidRPr="00BF385E" w:rsidRDefault="00B475AC" w:rsidP="00BF385E">
      <w:pPr>
        <w:spacing w:line="360" w:lineRule="auto"/>
        <w:jc w:val="both"/>
        <w:rPr>
          <w:rFonts w:eastAsiaTheme="majorEastAsia" w:cs="Times New Roman"/>
          <w:b/>
          <w:bCs/>
          <w:szCs w:val="24"/>
          <w:lang w:val="en-US"/>
        </w:rPr>
      </w:pPr>
      <w:r w:rsidRPr="00BF385E">
        <w:rPr>
          <w:rFonts w:cs="Times New Roman"/>
          <w:szCs w:val="24"/>
          <w:lang w:val="en-US"/>
        </w:rPr>
        <w:br w:type="page"/>
      </w:r>
    </w:p>
    <w:p w14:paraId="071DC03D" w14:textId="6CA359D4" w:rsidR="006A6157" w:rsidRPr="00BF385E" w:rsidRDefault="006A6157" w:rsidP="00BF385E">
      <w:pPr>
        <w:pStyle w:val="Heading1"/>
        <w:spacing w:line="360" w:lineRule="auto"/>
        <w:jc w:val="both"/>
        <w:rPr>
          <w:rFonts w:cs="Times New Roman"/>
          <w:szCs w:val="24"/>
          <w:lang w:val="en-US"/>
        </w:rPr>
      </w:pPr>
      <w:bookmarkStart w:id="1" w:name="_Toc213242420"/>
      <w:r w:rsidRPr="00BF385E">
        <w:rPr>
          <w:rFonts w:cs="Times New Roman"/>
          <w:szCs w:val="24"/>
          <w:lang w:val="en-US"/>
        </w:rPr>
        <w:lastRenderedPageBreak/>
        <w:t>1. Financial Health Check</w:t>
      </w:r>
      <w:bookmarkEnd w:id="1"/>
    </w:p>
    <w:p w14:paraId="1B649936" w14:textId="77777777" w:rsidR="006A6157" w:rsidRPr="00BF385E" w:rsidRDefault="006A6157" w:rsidP="00BF385E">
      <w:pPr>
        <w:pStyle w:val="Heading2"/>
        <w:spacing w:line="360" w:lineRule="auto"/>
        <w:jc w:val="both"/>
        <w:rPr>
          <w:rFonts w:cs="Times New Roman"/>
          <w:szCs w:val="24"/>
          <w:lang w:val="en-US"/>
        </w:rPr>
      </w:pPr>
      <w:bookmarkStart w:id="2" w:name="_Toc213242421"/>
      <w:r w:rsidRPr="00BF385E">
        <w:rPr>
          <w:rFonts w:cs="Times New Roman"/>
          <w:szCs w:val="24"/>
          <w:lang w:val="en-US"/>
        </w:rPr>
        <w:t>1.1 Overview of Financial Performance</w:t>
      </w:r>
      <w:bookmarkEnd w:id="2"/>
    </w:p>
    <w:p w14:paraId="649C1919" w14:textId="2E5D11EF" w:rsidR="007D0AE3" w:rsidRPr="00BF385E" w:rsidRDefault="007D0AE3" w:rsidP="00BF385E">
      <w:pPr>
        <w:spacing w:line="360" w:lineRule="auto"/>
        <w:jc w:val="both"/>
        <w:rPr>
          <w:rFonts w:cs="Times New Roman"/>
          <w:szCs w:val="24"/>
          <w:lang w:val="en-US"/>
        </w:rPr>
      </w:pPr>
      <w:r w:rsidRPr="00BF385E">
        <w:rPr>
          <w:rFonts w:cs="Times New Roman"/>
          <w:szCs w:val="24"/>
          <w:lang w:val="en-US"/>
        </w:rPr>
        <w:t>General Electronics has been suffering drastically in the performance during the review period. Net sales decreased drastically, falling by 36% down to £394,879 million in 2024, in comparison with £614,680 million in 2020, which is a serious loss of market shares and competitive forces in consumer electronics market. This shrinkage in revenue gained acceleration during the years 2021-24, which shows having some basic issues with the business model</w:t>
      </w:r>
      <w:r w:rsidR="00285037" w:rsidRPr="00BF385E">
        <w:rPr>
          <w:rFonts w:cs="Times New Roman"/>
          <w:szCs w:val="24"/>
          <w:lang w:val="en-US"/>
        </w:rPr>
        <w:t xml:space="preserve"> (</w:t>
      </w:r>
      <w:proofErr w:type="spellStart"/>
      <w:r w:rsidR="00285037" w:rsidRPr="00BF385E">
        <w:rPr>
          <w:rFonts w:cs="Times New Roman"/>
          <w:szCs w:val="24"/>
          <w:lang w:val="en-US"/>
        </w:rPr>
        <w:t>Kušter</w:t>
      </w:r>
      <w:proofErr w:type="spellEnd"/>
      <w:r w:rsidR="00285037" w:rsidRPr="00BF385E">
        <w:rPr>
          <w:rFonts w:cs="Times New Roman"/>
          <w:szCs w:val="24"/>
          <w:lang w:val="en-US"/>
        </w:rPr>
        <w:t>, 2023)</w:t>
      </w:r>
      <w:r w:rsidRPr="00BF385E">
        <w:rPr>
          <w:rFonts w:cs="Times New Roman"/>
          <w:szCs w:val="24"/>
          <w:lang w:val="en-US"/>
        </w:rPr>
        <w:t>.</w:t>
      </w:r>
    </w:p>
    <w:p w14:paraId="537BBCC2" w14:textId="194E089E" w:rsidR="007D0AE3" w:rsidRPr="00BF385E" w:rsidRDefault="007D0AE3" w:rsidP="00BF385E">
      <w:pPr>
        <w:spacing w:line="360" w:lineRule="auto"/>
        <w:jc w:val="both"/>
        <w:rPr>
          <w:rFonts w:cs="Times New Roman"/>
          <w:szCs w:val="24"/>
          <w:lang w:val="en-US"/>
        </w:rPr>
      </w:pPr>
      <w:r w:rsidRPr="00BF385E">
        <w:rPr>
          <w:rFonts w:cs="Times New Roman"/>
          <w:szCs w:val="24"/>
          <w:lang w:val="en-US"/>
        </w:rPr>
        <w:t xml:space="preserve">The profitability of the company has fallen at full length. Following years of very good net income of £38,572 million pounds in 2020 as well as healthy 6.3% net income margins, the company has fallen into marginal profitability in 2021-2022 and taken a disastrous net loss of £98,238 million </w:t>
      </w:r>
      <w:r w:rsidR="00BD3C1E">
        <w:rPr>
          <w:rFonts w:cs="Times New Roman"/>
          <w:szCs w:val="24"/>
          <w:lang w:val="en-US"/>
        </w:rPr>
        <w:t>s</w:t>
      </w:r>
      <w:r w:rsidRPr="00BF385E">
        <w:rPr>
          <w:rFonts w:cs="Times New Roman"/>
          <w:szCs w:val="24"/>
          <w:lang w:val="en-US"/>
        </w:rPr>
        <w:t>and £24,029 in 2023 and 2024, respectively. Goodwill impairment charges that contributed significantly to the 2023 loss included charges of £49,075 million pounds of this nature, which implied that past acquisitions have not been able to produce expected returns and that they needed to be charged down</w:t>
      </w:r>
      <w:r w:rsidR="00285037" w:rsidRPr="00BF385E">
        <w:rPr>
          <w:rFonts w:cs="Times New Roman"/>
          <w:szCs w:val="24"/>
          <w:lang w:val="en-US"/>
        </w:rPr>
        <w:t xml:space="preserve"> (</w:t>
      </w:r>
      <w:proofErr w:type="spellStart"/>
      <w:r w:rsidR="00285037" w:rsidRPr="00BF385E">
        <w:rPr>
          <w:rFonts w:cs="Times New Roman"/>
          <w:szCs w:val="24"/>
          <w:lang w:val="en-US"/>
        </w:rPr>
        <w:t>Kušter</w:t>
      </w:r>
      <w:proofErr w:type="spellEnd"/>
      <w:r w:rsidR="00285037" w:rsidRPr="00BF385E">
        <w:rPr>
          <w:rFonts w:cs="Times New Roman"/>
          <w:szCs w:val="24"/>
          <w:lang w:val="en-US"/>
        </w:rPr>
        <w:t>, 2023)</w:t>
      </w:r>
      <w:r w:rsidRPr="00BF385E">
        <w:rPr>
          <w:rFonts w:cs="Times New Roman"/>
          <w:szCs w:val="24"/>
          <w:lang w:val="en-US"/>
        </w:rPr>
        <w:t>.</w:t>
      </w:r>
    </w:p>
    <w:p w14:paraId="5A371E31" w14:textId="36BA8E14" w:rsidR="006A6157" w:rsidRPr="00BF385E" w:rsidRDefault="007D0AE3" w:rsidP="00BF385E">
      <w:pPr>
        <w:spacing w:line="360" w:lineRule="auto"/>
        <w:jc w:val="both"/>
        <w:rPr>
          <w:rFonts w:cs="Times New Roman"/>
          <w:szCs w:val="24"/>
          <w:lang w:val="en-US"/>
        </w:rPr>
      </w:pPr>
      <w:r w:rsidRPr="00BF385E">
        <w:rPr>
          <w:rFonts w:cs="Times New Roman"/>
          <w:szCs w:val="24"/>
          <w:lang w:val="en-US"/>
        </w:rPr>
        <w:t>The operating expenses have dramatically increased and in 2023, the figure stands at a high of £182,861 million and in 2024, the figure has dropped to £129, 291 million. Nevertheless, even the lower 2024 figure is a non-sustainable 32.7</w:t>
      </w:r>
      <w:r w:rsidR="00AA2BFE" w:rsidRPr="00BF385E">
        <w:rPr>
          <w:rFonts w:cs="Times New Roman"/>
          <w:szCs w:val="24"/>
          <w:lang w:val="en-US"/>
        </w:rPr>
        <w:t>%</w:t>
      </w:r>
      <w:r w:rsidRPr="00BF385E">
        <w:rPr>
          <w:rFonts w:cs="Times New Roman"/>
          <w:szCs w:val="24"/>
          <w:lang w:val="en-US"/>
        </w:rPr>
        <w:t xml:space="preserve"> of revenues to industry standards of 22-25, which point to underlying operational inefficiencies that have to be corrected immediately</w:t>
      </w:r>
      <w:r w:rsidR="00285037" w:rsidRPr="00BF385E">
        <w:rPr>
          <w:rFonts w:cs="Times New Roman"/>
          <w:szCs w:val="24"/>
          <w:lang w:val="en-US"/>
        </w:rPr>
        <w:t xml:space="preserve"> (Bui, Truong and Tran, 2025)</w:t>
      </w:r>
      <w:r w:rsidRPr="00BF385E">
        <w:rPr>
          <w:rFonts w:cs="Times New Roman"/>
          <w:szCs w:val="24"/>
          <w:lang w:val="en-US"/>
        </w:rPr>
        <w:t>.</w:t>
      </w:r>
    </w:p>
    <w:p w14:paraId="0F8E1A57" w14:textId="77777777" w:rsidR="006A6157" w:rsidRPr="00BF385E" w:rsidRDefault="006A6157" w:rsidP="00BF385E">
      <w:pPr>
        <w:pStyle w:val="Heading2"/>
        <w:spacing w:line="360" w:lineRule="auto"/>
        <w:jc w:val="both"/>
        <w:rPr>
          <w:rFonts w:cs="Times New Roman"/>
          <w:szCs w:val="24"/>
          <w:lang w:val="en-US"/>
        </w:rPr>
      </w:pPr>
      <w:bookmarkStart w:id="3" w:name="_Toc213242422"/>
      <w:r w:rsidRPr="00BF385E">
        <w:rPr>
          <w:rFonts w:cs="Times New Roman"/>
          <w:szCs w:val="24"/>
          <w:lang w:val="en-US"/>
        </w:rPr>
        <w:t>1.2 Profitability Ratio Analysis</w:t>
      </w:r>
      <w:bookmarkEnd w:id="3"/>
    </w:p>
    <w:p w14:paraId="59953B98"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Gross Profit Margin Analysis</w:t>
      </w:r>
    </w:p>
    <w:p w14:paraId="4D1C14B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Gross Profit Margin = (Gross Profit / Net Sales) × 100</w:t>
      </w:r>
    </w:p>
    <w:p w14:paraId="011DB07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(£113,994 / £394,879) × 100 = 28.9%</w:t>
      </w:r>
    </w:p>
    <w:p w14:paraId="6B079CD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(£97,560 / £420,457) × 100 = 23.2%</w:t>
      </w:r>
    </w:p>
    <w:p w14:paraId="1E180B1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(£152,292 / £542,751) × 100 = 28.1%</w:t>
      </w:r>
    </w:p>
    <w:p w14:paraId="1B6E5ED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(£173,016 / £601,602) × 100 = 28.8%</w:t>
      </w:r>
    </w:p>
    <w:p w14:paraId="3D4FE07C" w14:textId="254FB953"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2020: (£176,256 / £614,680) × 100 = 28.7%</w:t>
      </w:r>
    </w:p>
    <w:p w14:paraId="3C63D8C7" w14:textId="2F35C1C2" w:rsidR="006A6157" w:rsidRPr="00BF385E" w:rsidRDefault="007D0AE3" w:rsidP="00BF385E">
      <w:pPr>
        <w:spacing w:line="360" w:lineRule="auto"/>
        <w:jc w:val="both"/>
        <w:rPr>
          <w:rFonts w:cs="Times New Roman"/>
          <w:szCs w:val="24"/>
          <w:lang w:val="en-US"/>
        </w:rPr>
      </w:pPr>
      <w:r w:rsidRPr="00BF385E">
        <w:rPr>
          <w:rFonts w:cs="Times New Roman"/>
          <w:szCs w:val="24"/>
          <w:lang w:val="en-US"/>
        </w:rPr>
        <w:lastRenderedPageBreak/>
        <w:t>The subsequent plummeting down to 23.2% suggests price discounting aggressively to move stock or a rise in the cost pressures by suppliers. They have only made it back to 28.9</w:t>
      </w:r>
      <w:r w:rsidR="00AA2BFE" w:rsidRPr="00BF385E">
        <w:rPr>
          <w:rFonts w:cs="Times New Roman"/>
          <w:szCs w:val="24"/>
          <w:lang w:val="en-US"/>
        </w:rPr>
        <w:t>%</w:t>
      </w:r>
      <w:r w:rsidRPr="00BF385E">
        <w:rPr>
          <w:rFonts w:cs="Times New Roman"/>
          <w:szCs w:val="24"/>
          <w:lang w:val="en-US"/>
        </w:rPr>
        <w:t xml:space="preserve"> in 2024, and it shows that there was a success in cost management efforts or better product mix, but this has yet to be reflected to operating profitability because of the high operating expenses that eat all the gross profit and even higher</w:t>
      </w:r>
      <w:r w:rsidR="00285037" w:rsidRPr="00BF385E">
        <w:rPr>
          <w:rFonts w:cs="Times New Roman"/>
          <w:szCs w:val="24"/>
          <w:lang w:val="en-US"/>
        </w:rPr>
        <w:t xml:space="preserve"> (Bui, Truong and Tran, 2025)</w:t>
      </w:r>
      <w:r w:rsidRPr="00BF385E">
        <w:rPr>
          <w:rFonts w:cs="Times New Roman"/>
          <w:szCs w:val="24"/>
          <w:lang w:val="en-US"/>
        </w:rPr>
        <w:t>.</w:t>
      </w:r>
    </w:p>
    <w:p w14:paraId="5D801B10"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Operating Profit Margin Analysis</w:t>
      </w:r>
    </w:p>
    <w:p w14:paraId="16DC97BB" w14:textId="7E8574B9"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Operating Profit Margin = (Operating Income / Net Sales) × 100</w:t>
      </w:r>
    </w:p>
    <w:p w14:paraId="27B5B0C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(-£15,297 / £394,879) × 100 = -3.9%</w:t>
      </w:r>
    </w:p>
    <w:p w14:paraId="004CC0C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(-£85,301 / £420,457) × 100 = -20.3%</w:t>
      </w:r>
    </w:p>
    <w:p w14:paraId="1B8D5CE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(£14,548 / £542,751) × 100 = 2.7%</w:t>
      </w:r>
    </w:p>
    <w:p w14:paraId="1930E68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(£23,253 / £601,602) × 100 = 3.9%</w:t>
      </w:r>
    </w:p>
    <w:p w14:paraId="335E6AEC" w14:textId="60DBD9A9"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2020: (£37,267 / £614,680) × 100 = 6.1%</w:t>
      </w:r>
    </w:p>
    <w:p w14:paraId="4838BC0C" w14:textId="6E4A8A7B" w:rsidR="006A6157" w:rsidRPr="00BF385E" w:rsidRDefault="007D0AE3" w:rsidP="00BF385E">
      <w:pPr>
        <w:spacing w:line="360" w:lineRule="auto"/>
        <w:jc w:val="both"/>
        <w:rPr>
          <w:rFonts w:cs="Times New Roman"/>
          <w:szCs w:val="24"/>
          <w:lang w:val="en-US"/>
        </w:rPr>
      </w:pPr>
      <w:r w:rsidRPr="00BF385E">
        <w:rPr>
          <w:rFonts w:cs="Times New Roman"/>
          <w:szCs w:val="24"/>
          <w:lang w:val="en-US"/>
        </w:rPr>
        <w:t>The fact that the operation margin that was healthy with 6.1% in 2020 turned into severely negative margins shows a total failure in operations. In 2023, operating expenses were £182,861 million (43.5% of revenues), which is unsustainable. Although dropped to almost half, at £129,291 million in 2024, these costs still represent a 32.7</w:t>
      </w:r>
      <w:r w:rsidR="00AA2BFE" w:rsidRPr="00BF385E">
        <w:rPr>
          <w:rFonts w:cs="Times New Roman"/>
          <w:szCs w:val="24"/>
          <w:lang w:val="en-US"/>
        </w:rPr>
        <w:t>%</w:t>
      </w:r>
      <w:r w:rsidRPr="00BF385E">
        <w:rPr>
          <w:rFonts w:cs="Times New Roman"/>
          <w:szCs w:val="24"/>
          <w:lang w:val="en-US"/>
        </w:rPr>
        <w:t xml:space="preserve"> point of sales, pointing to core operational inefficiencies and resorted-to cost bases that need to be restructured at once</w:t>
      </w:r>
      <w:r w:rsidR="00285037" w:rsidRPr="00BF385E">
        <w:rPr>
          <w:rFonts w:cs="Times New Roman"/>
          <w:szCs w:val="24"/>
          <w:lang w:val="en-US"/>
        </w:rPr>
        <w:t xml:space="preserve"> (Rasa </w:t>
      </w:r>
      <w:proofErr w:type="spellStart"/>
      <w:r w:rsidR="00285037" w:rsidRPr="00BF385E">
        <w:rPr>
          <w:rFonts w:cs="Times New Roman"/>
          <w:szCs w:val="24"/>
          <w:lang w:val="en-US"/>
        </w:rPr>
        <w:t>Kanapickienė</w:t>
      </w:r>
      <w:proofErr w:type="spellEnd"/>
      <w:r w:rsidR="00285037" w:rsidRPr="00BF385E">
        <w:rPr>
          <w:rFonts w:cs="Times New Roman"/>
          <w:szCs w:val="24"/>
          <w:lang w:val="en-US"/>
        </w:rPr>
        <w:t xml:space="preserve">, </w:t>
      </w:r>
      <w:proofErr w:type="spellStart"/>
      <w:r w:rsidR="00285037" w:rsidRPr="00BF385E">
        <w:rPr>
          <w:rFonts w:cs="Times New Roman"/>
          <w:szCs w:val="24"/>
          <w:lang w:val="en-US"/>
        </w:rPr>
        <w:t>Kanapickas</w:t>
      </w:r>
      <w:proofErr w:type="spellEnd"/>
      <w:r w:rsidR="00285037" w:rsidRPr="00BF385E">
        <w:rPr>
          <w:rFonts w:cs="Times New Roman"/>
          <w:szCs w:val="24"/>
          <w:lang w:val="en-US"/>
        </w:rPr>
        <w:t xml:space="preserve"> and Audrius Nečiūnas, 2023)</w:t>
      </w:r>
      <w:r w:rsidRPr="00BF385E">
        <w:rPr>
          <w:rFonts w:cs="Times New Roman"/>
          <w:szCs w:val="24"/>
          <w:lang w:val="en-US"/>
        </w:rPr>
        <w:t>.</w:t>
      </w:r>
    </w:p>
    <w:p w14:paraId="4392E9CE"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Net Profit Margin Analysis</w:t>
      </w:r>
    </w:p>
    <w:p w14:paraId="07E9B7F7" w14:textId="3C55D973"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Net Profit Margin = (Net Income / Net Sales) × 100</w:t>
      </w:r>
    </w:p>
    <w:p w14:paraId="2C4335E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(-£24,029 / £394,879) × 100 = -6.1%</w:t>
      </w:r>
    </w:p>
    <w:p w14:paraId="2976C69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(-£98,238 / £420,457) × 100 = -23.4%</w:t>
      </w:r>
    </w:p>
    <w:p w14:paraId="4CAD5E2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(£407 / £542,751) × 100 = 0.1%</w:t>
      </w:r>
    </w:p>
    <w:p w14:paraId="3200F89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(£5,301 / £601,602) × 100 = 0.9%</w:t>
      </w:r>
    </w:p>
    <w:p w14:paraId="21092A7D" w14:textId="4483F74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2020: (£38,572 / £614,680) × 100 = 6.3%</w:t>
      </w:r>
    </w:p>
    <w:p w14:paraId="77AFC6FD" w14:textId="0AF150E5" w:rsidR="006A6157" w:rsidRDefault="007D0AE3" w:rsidP="00BF385E">
      <w:pPr>
        <w:spacing w:line="360" w:lineRule="auto"/>
        <w:jc w:val="both"/>
        <w:rPr>
          <w:rFonts w:cs="Times New Roman"/>
          <w:szCs w:val="24"/>
          <w:lang w:val="en-US"/>
        </w:rPr>
      </w:pPr>
      <w:r w:rsidRPr="00BF385E">
        <w:rPr>
          <w:rFonts w:cs="Times New Roman"/>
          <w:szCs w:val="24"/>
          <w:lang w:val="en-US"/>
        </w:rPr>
        <w:lastRenderedPageBreak/>
        <w:t>The fact that the margin that was 6.3% healthy in 2020 was destroyed as it had turned into single-digit negative margins indicates destruction of profits. The cost of interest of £3,361 million in 2024 and other charges have also worsened already negative operating performance, and it is a downward spiral that needs to be stopped</w:t>
      </w:r>
      <w:r w:rsidR="00285037" w:rsidRPr="00BF385E">
        <w:rPr>
          <w:rFonts w:cs="Times New Roman"/>
          <w:szCs w:val="24"/>
          <w:lang w:val="en-US"/>
        </w:rPr>
        <w:t xml:space="preserve"> (Rasa </w:t>
      </w:r>
      <w:proofErr w:type="spellStart"/>
      <w:r w:rsidR="00285037" w:rsidRPr="00BF385E">
        <w:rPr>
          <w:rFonts w:cs="Times New Roman"/>
          <w:szCs w:val="24"/>
          <w:lang w:val="en-US"/>
        </w:rPr>
        <w:t>Kanapickienė</w:t>
      </w:r>
      <w:proofErr w:type="spellEnd"/>
      <w:r w:rsidR="00285037" w:rsidRPr="00BF385E">
        <w:rPr>
          <w:rFonts w:cs="Times New Roman"/>
          <w:szCs w:val="24"/>
          <w:lang w:val="en-US"/>
        </w:rPr>
        <w:t xml:space="preserve">, </w:t>
      </w:r>
      <w:proofErr w:type="spellStart"/>
      <w:r w:rsidR="00285037" w:rsidRPr="00BF385E">
        <w:rPr>
          <w:rFonts w:cs="Times New Roman"/>
          <w:szCs w:val="24"/>
          <w:lang w:val="en-US"/>
        </w:rPr>
        <w:t>Kanapickas</w:t>
      </w:r>
      <w:proofErr w:type="spellEnd"/>
      <w:r w:rsidR="00285037" w:rsidRPr="00BF385E">
        <w:rPr>
          <w:rFonts w:cs="Times New Roman"/>
          <w:szCs w:val="24"/>
          <w:lang w:val="en-US"/>
        </w:rPr>
        <w:t xml:space="preserve"> and Audrius Nečiūnas, 2023)</w:t>
      </w:r>
      <w:r w:rsidRPr="00BF385E">
        <w:rPr>
          <w:rFonts w:cs="Times New Roman"/>
          <w:szCs w:val="24"/>
          <w:lang w:val="en-US"/>
        </w:rPr>
        <w:t>.</w:t>
      </w:r>
    </w:p>
    <w:p w14:paraId="6744D69A" w14:textId="71E1F4D6" w:rsidR="00A7638E" w:rsidRPr="00A7638E" w:rsidRDefault="00A7638E" w:rsidP="00BF385E">
      <w:pPr>
        <w:spacing w:line="360" w:lineRule="auto"/>
        <w:jc w:val="both"/>
        <w:rPr>
          <w:rFonts w:cs="Times New Roman"/>
          <w:b/>
          <w:bCs/>
          <w:szCs w:val="24"/>
          <w:lang w:val="en-US"/>
        </w:rPr>
      </w:pPr>
      <w:r w:rsidRPr="00A7638E">
        <w:rPr>
          <w:rFonts w:cs="Times New Roman"/>
          <w:b/>
          <w:bCs/>
          <w:szCs w:val="24"/>
        </w:rPr>
        <w:t>Profit Margin Trends (2020–2024)</w:t>
      </w:r>
    </w:p>
    <w:tbl>
      <w:tblPr>
        <w:tblStyle w:val="TableGrid"/>
        <w:tblW w:w="0" w:type="auto"/>
        <w:tblLook w:val="04A0" w:firstRow="1" w:lastRow="0" w:firstColumn="1" w:lastColumn="0" w:noHBand="0" w:noVBand="1"/>
      </w:tblPr>
      <w:tblGrid>
        <w:gridCol w:w="696"/>
        <w:gridCol w:w="2761"/>
        <w:gridCol w:w="3218"/>
        <w:gridCol w:w="2525"/>
      </w:tblGrid>
      <w:tr w:rsidR="00A7638E" w:rsidRPr="00A7638E" w14:paraId="45B13EE6" w14:textId="77777777" w:rsidTr="00A7638E">
        <w:tc>
          <w:tcPr>
            <w:tcW w:w="0" w:type="auto"/>
            <w:hideMark/>
          </w:tcPr>
          <w:p w14:paraId="241133B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42F8E6FD"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Gross Profit Margin (%)</w:t>
            </w:r>
          </w:p>
        </w:tc>
        <w:tc>
          <w:tcPr>
            <w:tcW w:w="0" w:type="auto"/>
            <w:hideMark/>
          </w:tcPr>
          <w:p w14:paraId="61C2620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Operating Profit Margin (%)</w:t>
            </w:r>
          </w:p>
        </w:tc>
        <w:tc>
          <w:tcPr>
            <w:tcW w:w="0" w:type="auto"/>
            <w:hideMark/>
          </w:tcPr>
          <w:p w14:paraId="7936C85B"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Net Profit Margin (%)</w:t>
            </w:r>
          </w:p>
        </w:tc>
      </w:tr>
      <w:tr w:rsidR="00A7638E" w:rsidRPr="00A7638E" w14:paraId="23A66536" w14:textId="77777777" w:rsidTr="00A7638E">
        <w:tc>
          <w:tcPr>
            <w:tcW w:w="0" w:type="auto"/>
            <w:hideMark/>
          </w:tcPr>
          <w:p w14:paraId="3BC6D08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55399B4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28.7%</w:t>
            </w:r>
          </w:p>
        </w:tc>
        <w:tc>
          <w:tcPr>
            <w:tcW w:w="0" w:type="auto"/>
            <w:hideMark/>
          </w:tcPr>
          <w:p w14:paraId="1E062E3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6.1%</w:t>
            </w:r>
          </w:p>
        </w:tc>
        <w:tc>
          <w:tcPr>
            <w:tcW w:w="0" w:type="auto"/>
            <w:hideMark/>
          </w:tcPr>
          <w:p w14:paraId="6E2885E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6.3%</w:t>
            </w:r>
          </w:p>
        </w:tc>
      </w:tr>
      <w:tr w:rsidR="00A7638E" w:rsidRPr="00A7638E" w14:paraId="5BD3D49F" w14:textId="77777777" w:rsidTr="00A7638E">
        <w:tc>
          <w:tcPr>
            <w:tcW w:w="0" w:type="auto"/>
            <w:hideMark/>
          </w:tcPr>
          <w:p w14:paraId="41857E3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3946F2C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28.8%</w:t>
            </w:r>
          </w:p>
        </w:tc>
        <w:tc>
          <w:tcPr>
            <w:tcW w:w="0" w:type="auto"/>
            <w:hideMark/>
          </w:tcPr>
          <w:p w14:paraId="71DC48A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3.9%</w:t>
            </w:r>
          </w:p>
        </w:tc>
        <w:tc>
          <w:tcPr>
            <w:tcW w:w="0" w:type="auto"/>
            <w:hideMark/>
          </w:tcPr>
          <w:p w14:paraId="2ADC2DB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0.9%</w:t>
            </w:r>
          </w:p>
        </w:tc>
      </w:tr>
      <w:tr w:rsidR="00A7638E" w:rsidRPr="00A7638E" w14:paraId="190C89B5" w14:textId="77777777" w:rsidTr="00A7638E">
        <w:tc>
          <w:tcPr>
            <w:tcW w:w="0" w:type="auto"/>
            <w:hideMark/>
          </w:tcPr>
          <w:p w14:paraId="6890C89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156CAAE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28.1%</w:t>
            </w:r>
          </w:p>
        </w:tc>
        <w:tc>
          <w:tcPr>
            <w:tcW w:w="0" w:type="auto"/>
            <w:hideMark/>
          </w:tcPr>
          <w:p w14:paraId="04E5AD3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2.7%</w:t>
            </w:r>
          </w:p>
        </w:tc>
        <w:tc>
          <w:tcPr>
            <w:tcW w:w="0" w:type="auto"/>
            <w:hideMark/>
          </w:tcPr>
          <w:p w14:paraId="7A3331D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0.1%</w:t>
            </w:r>
          </w:p>
        </w:tc>
      </w:tr>
      <w:tr w:rsidR="00A7638E" w:rsidRPr="00A7638E" w14:paraId="532E618F" w14:textId="77777777" w:rsidTr="00A7638E">
        <w:tc>
          <w:tcPr>
            <w:tcW w:w="0" w:type="auto"/>
            <w:hideMark/>
          </w:tcPr>
          <w:p w14:paraId="110BB50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092BAF7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23.2%</w:t>
            </w:r>
          </w:p>
        </w:tc>
        <w:tc>
          <w:tcPr>
            <w:tcW w:w="0" w:type="auto"/>
            <w:hideMark/>
          </w:tcPr>
          <w:p w14:paraId="6BF6783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-20.3%</w:t>
            </w:r>
          </w:p>
        </w:tc>
        <w:tc>
          <w:tcPr>
            <w:tcW w:w="0" w:type="auto"/>
            <w:hideMark/>
          </w:tcPr>
          <w:p w14:paraId="696E9A9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-23.4%</w:t>
            </w:r>
          </w:p>
        </w:tc>
      </w:tr>
      <w:tr w:rsidR="00A7638E" w:rsidRPr="00A7638E" w14:paraId="06A6681F" w14:textId="77777777" w:rsidTr="00A7638E">
        <w:tc>
          <w:tcPr>
            <w:tcW w:w="0" w:type="auto"/>
            <w:hideMark/>
          </w:tcPr>
          <w:p w14:paraId="356193B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7B6C115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28.9%</w:t>
            </w:r>
          </w:p>
        </w:tc>
        <w:tc>
          <w:tcPr>
            <w:tcW w:w="0" w:type="auto"/>
            <w:hideMark/>
          </w:tcPr>
          <w:p w14:paraId="7BE141B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-3.9%</w:t>
            </w:r>
          </w:p>
        </w:tc>
        <w:tc>
          <w:tcPr>
            <w:tcW w:w="0" w:type="auto"/>
            <w:hideMark/>
          </w:tcPr>
          <w:p w14:paraId="0BA2FBE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-6.1%</w:t>
            </w:r>
          </w:p>
        </w:tc>
      </w:tr>
    </w:tbl>
    <w:p w14:paraId="35A1BBED" w14:textId="5DA4F8BD" w:rsidR="00A7638E" w:rsidRDefault="00A7638E"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1CE74061" wp14:editId="6E9D9B48">
            <wp:extent cx="3943900" cy="2838846"/>
            <wp:effectExtent l="0" t="0" r="0" b="0"/>
            <wp:docPr id="1406004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30438" name=""/>
                    <pic:cNvPicPr/>
                  </pic:nvPicPr>
                  <pic:blipFill>
                    <a:blip r:embed="rId9"/>
                    <a:stretch>
                      <a:fillRect/>
                    </a:stretch>
                  </pic:blipFill>
                  <pic:spPr>
                    <a:xfrm>
                      <a:off x="0" y="0"/>
                      <a:ext cx="3943900" cy="2838846"/>
                    </a:xfrm>
                    <a:prstGeom prst="rect">
                      <a:avLst/>
                    </a:prstGeom>
                  </pic:spPr>
                </pic:pic>
              </a:graphicData>
            </a:graphic>
          </wp:inline>
        </w:drawing>
      </w:r>
    </w:p>
    <w:p w14:paraId="12B00CC5" w14:textId="26714971" w:rsidR="00C65872" w:rsidRPr="00BF385E" w:rsidRDefault="00C65872" w:rsidP="00BF385E">
      <w:pPr>
        <w:spacing w:line="360" w:lineRule="auto"/>
        <w:jc w:val="both"/>
        <w:rPr>
          <w:rFonts w:cs="Times New Roman"/>
          <w:szCs w:val="24"/>
          <w:lang w:val="en-US"/>
        </w:rPr>
      </w:pPr>
      <w:r w:rsidRPr="00C65872">
        <w:rPr>
          <w:rFonts w:cs="Times New Roman"/>
          <w:noProof/>
          <w:szCs w:val="24"/>
          <w:lang w:val="en-US"/>
        </w:rPr>
        <w:lastRenderedPageBreak/>
        <w:drawing>
          <wp:inline distT="0" distB="0" distL="0" distR="0" wp14:anchorId="631B3B75" wp14:editId="6D8A3619">
            <wp:extent cx="5943600" cy="1418590"/>
            <wp:effectExtent l="0" t="0" r="0" b="0"/>
            <wp:docPr id="162071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10169" name=""/>
                    <pic:cNvPicPr/>
                  </pic:nvPicPr>
                  <pic:blipFill>
                    <a:blip r:embed="rId10"/>
                    <a:stretch>
                      <a:fillRect/>
                    </a:stretch>
                  </pic:blipFill>
                  <pic:spPr>
                    <a:xfrm>
                      <a:off x="0" y="0"/>
                      <a:ext cx="5943600" cy="1418590"/>
                    </a:xfrm>
                    <a:prstGeom prst="rect">
                      <a:avLst/>
                    </a:prstGeom>
                  </pic:spPr>
                </pic:pic>
              </a:graphicData>
            </a:graphic>
          </wp:inline>
        </w:drawing>
      </w:r>
    </w:p>
    <w:p w14:paraId="2D71BFFD"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Return on Capital Employed (ROCE)</w:t>
      </w:r>
    </w:p>
    <w:p w14:paraId="7FDF0BE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ROCE = (Operating Income / Shareholders' Equity) × 100</w:t>
      </w:r>
    </w:p>
    <w:p w14:paraId="7F56D4C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(-£15,297 / £153,105) × 100 = -10.0%</w:t>
      </w:r>
    </w:p>
    <w:p w14:paraId="412D037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(-£85,301 / £178,920) × 100 = -47.7%</w:t>
      </w:r>
    </w:p>
    <w:p w14:paraId="76EC041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(£14,548 / £268,406) × 100 = 5.4%</w:t>
      </w:r>
    </w:p>
    <w:p w14:paraId="5764CD5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(£23,253 / £275,949) × 100 = 8.4%</w:t>
      </w:r>
    </w:p>
    <w:p w14:paraId="597E863C" w14:textId="239FF314" w:rsidR="006A6157" w:rsidRDefault="006A6157" w:rsidP="00BF385E">
      <w:pPr>
        <w:spacing w:line="360" w:lineRule="auto"/>
        <w:jc w:val="both"/>
        <w:rPr>
          <w:rFonts w:cs="Times New Roman"/>
          <w:szCs w:val="24"/>
          <w:lang w:val="en-US"/>
        </w:rPr>
      </w:pPr>
      <w:r w:rsidRPr="00BF385E">
        <w:rPr>
          <w:rFonts w:cs="Times New Roman"/>
          <w:szCs w:val="24"/>
          <w:lang w:val="en-US"/>
        </w:rPr>
        <w:t>2020: (£37,267 / £313,301) × 100 = 11.9%</w:t>
      </w:r>
    </w:p>
    <w:tbl>
      <w:tblPr>
        <w:tblStyle w:val="TableGrid"/>
        <w:tblW w:w="0" w:type="auto"/>
        <w:tblLook w:val="04A0" w:firstRow="1" w:lastRow="0" w:firstColumn="1" w:lastColumn="0" w:noHBand="0" w:noVBand="1"/>
      </w:tblPr>
      <w:tblGrid>
        <w:gridCol w:w="696"/>
        <w:gridCol w:w="2429"/>
        <w:gridCol w:w="2728"/>
        <w:gridCol w:w="1370"/>
      </w:tblGrid>
      <w:tr w:rsidR="00A7638E" w:rsidRPr="00A7638E" w14:paraId="4ECC1CD6" w14:textId="77777777" w:rsidTr="00A7638E">
        <w:tc>
          <w:tcPr>
            <w:tcW w:w="0" w:type="auto"/>
            <w:hideMark/>
          </w:tcPr>
          <w:p w14:paraId="2BCA44C7"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09BD5486"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Operating Income (£)</w:t>
            </w:r>
          </w:p>
        </w:tc>
        <w:tc>
          <w:tcPr>
            <w:tcW w:w="0" w:type="auto"/>
            <w:hideMark/>
          </w:tcPr>
          <w:p w14:paraId="3F603E1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Shareholders’ Equity (£)</w:t>
            </w:r>
          </w:p>
        </w:tc>
        <w:tc>
          <w:tcPr>
            <w:tcW w:w="0" w:type="auto"/>
            <w:hideMark/>
          </w:tcPr>
          <w:p w14:paraId="6A3A0484"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ROCE (%)</w:t>
            </w:r>
          </w:p>
        </w:tc>
      </w:tr>
      <w:tr w:rsidR="00A7638E" w:rsidRPr="00A7638E" w14:paraId="20D3C726" w14:textId="77777777" w:rsidTr="00A7638E">
        <w:tc>
          <w:tcPr>
            <w:tcW w:w="0" w:type="auto"/>
            <w:hideMark/>
          </w:tcPr>
          <w:p w14:paraId="077B124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177869F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37,267</w:t>
            </w:r>
          </w:p>
        </w:tc>
        <w:tc>
          <w:tcPr>
            <w:tcW w:w="0" w:type="auto"/>
            <w:hideMark/>
          </w:tcPr>
          <w:p w14:paraId="0186B3A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313,301</w:t>
            </w:r>
          </w:p>
        </w:tc>
        <w:tc>
          <w:tcPr>
            <w:tcW w:w="0" w:type="auto"/>
            <w:hideMark/>
          </w:tcPr>
          <w:p w14:paraId="27A5DB1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11.9%</w:t>
            </w:r>
          </w:p>
        </w:tc>
      </w:tr>
      <w:tr w:rsidR="00A7638E" w:rsidRPr="00A7638E" w14:paraId="09FEF2C4" w14:textId="77777777" w:rsidTr="00A7638E">
        <w:tc>
          <w:tcPr>
            <w:tcW w:w="0" w:type="auto"/>
            <w:hideMark/>
          </w:tcPr>
          <w:p w14:paraId="778BB31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456256F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23,253</w:t>
            </w:r>
          </w:p>
        </w:tc>
        <w:tc>
          <w:tcPr>
            <w:tcW w:w="0" w:type="auto"/>
            <w:hideMark/>
          </w:tcPr>
          <w:p w14:paraId="68AFA05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275,949</w:t>
            </w:r>
          </w:p>
        </w:tc>
        <w:tc>
          <w:tcPr>
            <w:tcW w:w="0" w:type="auto"/>
            <w:hideMark/>
          </w:tcPr>
          <w:p w14:paraId="34A71C8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8.4%</w:t>
            </w:r>
          </w:p>
        </w:tc>
      </w:tr>
      <w:tr w:rsidR="00A7638E" w:rsidRPr="00A7638E" w14:paraId="3550721F" w14:textId="77777777" w:rsidTr="00A7638E">
        <w:tc>
          <w:tcPr>
            <w:tcW w:w="0" w:type="auto"/>
            <w:hideMark/>
          </w:tcPr>
          <w:p w14:paraId="14B3FCC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57F450C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14,548</w:t>
            </w:r>
          </w:p>
        </w:tc>
        <w:tc>
          <w:tcPr>
            <w:tcW w:w="0" w:type="auto"/>
            <w:hideMark/>
          </w:tcPr>
          <w:p w14:paraId="52CAD16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268,406</w:t>
            </w:r>
          </w:p>
        </w:tc>
        <w:tc>
          <w:tcPr>
            <w:tcW w:w="0" w:type="auto"/>
            <w:hideMark/>
          </w:tcPr>
          <w:p w14:paraId="49CF6B3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5.4%</w:t>
            </w:r>
          </w:p>
        </w:tc>
      </w:tr>
      <w:tr w:rsidR="00A7638E" w:rsidRPr="00A7638E" w14:paraId="67DDD21C" w14:textId="77777777" w:rsidTr="00A7638E">
        <w:tc>
          <w:tcPr>
            <w:tcW w:w="0" w:type="auto"/>
            <w:hideMark/>
          </w:tcPr>
          <w:p w14:paraId="6A36ECF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582ED56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-85,301</w:t>
            </w:r>
          </w:p>
        </w:tc>
        <w:tc>
          <w:tcPr>
            <w:tcW w:w="0" w:type="auto"/>
            <w:hideMark/>
          </w:tcPr>
          <w:p w14:paraId="17BD469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178,920</w:t>
            </w:r>
          </w:p>
        </w:tc>
        <w:tc>
          <w:tcPr>
            <w:tcW w:w="0" w:type="auto"/>
            <w:hideMark/>
          </w:tcPr>
          <w:p w14:paraId="534A63A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-47.7%</w:t>
            </w:r>
          </w:p>
        </w:tc>
      </w:tr>
      <w:tr w:rsidR="00A7638E" w:rsidRPr="00A7638E" w14:paraId="0F991F2C" w14:textId="77777777" w:rsidTr="00A7638E">
        <w:tc>
          <w:tcPr>
            <w:tcW w:w="0" w:type="auto"/>
            <w:hideMark/>
          </w:tcPr>
          <w:p w14:paraId="43D2713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7B4DF3D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-15,297</w:t>
            </w:r>
          </w:p>
        </w:tc>
        <w:tc>
          <w:tcPr>
            <w:tcW w:w="0" w:type="auto"/>
            <w:hideMark/>
          </w:tcPr>
          <w:p w14:paraId="788F728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153,105</w:t>
            </w:r>
          </w:p>
        </w:tc>
        <w:tc>
          <w:tcPr>
            <w:tcW w:w="0" w:type="auto"/>
            <w:hideMark/>
          </w:tcPr>
          <w:p w14:paraId="3229FB4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-10.0%</w:t>
            </w:r>
          </w:p>
        </w:tc>
      </w:tr>
    </w:tbl>
    <w:p w14:paraId="19423B26" w14:textId="77777777" w:rsidR="00A7638E" w:rsidRDefault="00A7638E" w:rsidP="00BF385E">
      <w:pPr>
        <w:spacing w:line="360" w:lineRule="auto"/>
        <w:jc w:val="both"/>
        <w:rPr>
          <w:rFonts w:cs="Times New Roman"/>
          <w:szCs w:val="24"/>
          <w:lang w:val="en-US"/>
        </w:rPr>
      </w:pPr>
    </w:p>
    <w:p w14:paraId="3D04AE05" w14:textId="7794DDAB" w:rsidR="00A7638E" w:rsidRPr="00BF385E" w:rsidRDefault="00A7638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2508D086" wp14:editId="5E3471A1">
            <wp:extent cx="3972479" cy="2819794"/>
            <wp:effectExtent l="0" t="0" r="0" b="0"/>
            <wp:docPr id="84231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56162" name=""/>
                    <pic:cNvPicPr/>
                  </pic:nvPicPr>
                  <pic:blipFill>
                    <a:blip r:embed="rId11"/>
                    <a:stretch>
                      <a:fillRect/>
                    </a:stretch>
                  </pic:blipFill>
                  <pic:spPr>
                    <a:xfrm>
                      <a:off x="0" y="0"/>
                      <a:ext cx="3972479" cy="2819794"/>
                    </a:xfrm>
                    <a:prstGeom prst="rect">
                      <a:avLst/>
                    </a:prstGeom>
                  </pic:spPr>
                </pic:pic>
              </a:graphicData>
            </a:graphic>
          </wp:inline>
        </w:drawing>
      </w:r>
    </w:p>
    <w:p w14:paraId="65F07F31" w14:textId="40A35388" w:rsidR="006A6157" w:rsidRPr="00BF385E" w:rsidRDefault="007D0AE3" w:rsidP="00BF385E">
      <w:pPr>
        <w:spacing w:line="360" w:lineRule="auto"/>
        <w:jc w:val="both"/>
        <w:rPr>
          <w:rFonts w:cs="Times New Roman"/>
          <w:szCs w:val="24"/>
          <w:lang w:val="en-US"/>
        </w:rPr>
      </w:pPr>
      <w:r w:rsidRPr="00BF385E">
        <w:rPr>
          <w:rFonts w:cs="Times New Roman"/>
          <w:szCs w:val="24"/>
          <w:lang w:val="en-US"/>
        </w:rPr>
        <w:t>The adverse 2023 and 2024 returns represent the destruction of capital. The management is not creating good returns on the resources that a shareholder has entrusted in their hands that is seriously harming shareholder value and putting the company in danger of winding up as a going concern</w:t>
      </w:r>
      <w:r w:rsidR="00285037" w:rsidRPr="00BF385E">
        <w:rPr>
          <w:rFonts w:cs="Times New Roman"/>
          <w:szCs w:val="24"/>
          <w:lang w:val="en-US"/>
        </w:rPr>
        <w:t xml:space="preserve"> (Mohamed, 2020)</w:t>
      </w:r>
      <w:r w:rsidRPr="00BF385E">
        <w:rPr>
          <w:rFonts w:cs="Times New Roman"/>
          <w:szCs w:val="24"/>
          <w:lang w:val="en-US"/>
        </w:rPr>
        <w:t>.</w:t>
      </w:r>
    </w:p>
    <w:p w14:paraId="564C5B02"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Return on Equity (ROE)</w:t>
      </w:r>
    </w:p>
    <w:p w14:paraId="334DA40A" w14:textId="4A3D01D5"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ROE = (Net Income / Shareholders' Equity) × 100</w:t>
      </w:r>
    </w:p>
    <w:p w14:paraId="449AE6F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(-£24,029 / £153,105) × 100 = -15.7%</w:t>
      </w:r>
    </w:p>
    <w:p w14:paraId="059AF7E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(-£98,238 / £178,920) × 100 = -54.9%</w:t>
      </w:r>
    </w:p>
    <w:p w14:paraId="2524596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(£407 / £268,406) × 100 = 0.2%</w:t>
      </w:r>
    </w:p>
    <w:p w14:paraId="7E86255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(£5,301 / £275,949) × 100 = 1.9%</w:t>
      </w:r>
    </w:p>
    <w:p w14:paraId="2DABED2A" w14:textId="217C31BB" w:rsidR="006A6157" w:rsidRDefault="006A6157" w:rsidP="00BF385E">
      <w:pPr>
        <w:spacing w:line="360" w:lineRule="auto"/>
        <w:jc w:val="both"/>
        <w:rPr>
          <w:rFonts w:cs="Times New Roman"/>
          <w:szCs w:val="24"/>
          <w:lang w:val="en-US"/>
        </w:rPr>
      </w:pPr>
      <w:r w:rsidRPr="00BF385E">
        <w:rPr>
          <w:rFonts w:cs="Times New Roman"/>
          <w:szCs w:val="24"/>
          <w:lang w:val="en-US"/>
        </w:rPr>
        <w:t>2020: (£38,572 / £313,301) × 100 = 12.3%</w:t>
      </w:r>
    </w:p>
    <w:tbl>
      <w:tblPr>
        <w:tblStyle w:val="TableGrid"/>
        <w:tblW w:w="0" w:type="auto"/>
        <w:tblLook w:val="04A0" w:firstRow="1" w:lastRow="0" w:firstColumn="1" w:lastColumn="0" w:noHBand="0" w:noVBand="1"/>
      </w:tblPr>
      <w:tblGrid>
        <w:gridCol w:w="696"/>
        <w:gridCol w:w="1196"/>
      </w:tblGrid>
      <w:tr w:rsidR="00A7638E" w:rsidRPr="00A7638E" w14:paraId="5946F9C5" w14:textId="77777777" w:rsidTr="00A7638E">
        <w:tc>
          <w:tcPr>
            <w:tcW w:w="0" w:type="auto"/>
            <w:hideMark/>
          </w:tcPr>
          <w:p w14:paraId="7DE49DE9"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468AE383"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ROE (%)</w:t>
            </w:r>
          </w:p>
        </w:tc>
      </w:tr>
      <w:tr w:rsidR="00A7638E" w:rsidRPr="00A7638E" w14:paraId="3DD69B9F" w14:textId="77777777" w:rsidTr="00A7638E">
        <w:tc>
          <w:tcPr>
            <w:tcW w:w="0" w:type="auto"/>
            <w:hideMark/>
          </w:tcPr>
          <w:p w14:paraId="12E8EAF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0C8AA48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12.3%</w:t>
            </w:r>
          </w:p>
        </w:tc>
      </w:tr>
      <w:tr w:rsidR="00A7638E" w:rsidRPr="00A7638E" w14:paraId="41D1A420" w14:textId="77777777" w:rsidTr="00A7638E">
        <w:tc>
          <w:tcPr>
            <w:tcW w:w="0" w:type="auto"/>
            <w:hideMark/>
          </w:tcPr>
          <w:p w14:paraId="6D1CEEA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09FCC9A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1.9%</w:t>
            </w:r>
          </w:p>
        </w:tc>
      </w:tr>
      <w:tr w:rsidR="00A7638E" w:rsidRPr="00A7638E" w14:paraId="5B124AFA" w14:textId="77777777" w:rsidTr="00A7638E">
        <w:tc>
          <w:tcPr>
            <w:tcW w:w="0" w:type="auto"/>
            <w:hideMark/>
          </w:tcPr>
          <w:p w14:paraId="229234E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5E0403C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0.2%</w:t>
            </w:r>
          </w:p>
        </w:tc>
      </w:tr>
      <w:tr w:rsidR="00A7638E" w:rsidRPr="00A7638E" w14:paraId="46729AE1" w14:textId="77777777" w:rsidTr="00A7638E">
        <w:tc>
          <w:tcPr>
            <w:tcW w:w="0" w:type="auto"/>
            <w:hideMark/>
          </w:tcPr>
          <w:p w14:paraId="67D3368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lastRenderedPageBreak/>
              <w:t>2023</w:t>
            </w:r>
          </w:p>
        </w:tc>
        <w:tc>
          <w:tcPr>
            <w:tcW w:w="0" w:type="auto"/>
            <w:hideMark/>
          </w:tcPr>
          <w:p w14:paraId="2CE0C85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-54.9%</w:t>
            </w:r>
          </w:p>
        </w:tc>
      </w:tr>
      <w:tr w:rsidR="00A7638E" w:rsidRPr="00A7638E" w14:paraId="21B98E99" w14:textId="77777777" w:rsidTr="00A7638E">
        <w:tc>
          <w:tcPr>
            <w:tcW w:w="0" w:type="auto"/>
            <w:hideMark/>
          </w:tcPr>
          <w:p w14:paraId="35AC8B7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376E68D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-15.7%</w:t>
            </w:r>
          </w:p>
        </w:tc>
      </w:tr>
    </w:tbl>
    <w:p w14:paraId="07FB6736" w14:textId="77777777" w:rsidR="00A7638E" w:rsidRDefault="00A7638E" w:rsidP="00BF385E">
      <w:pPr>
        <w:spacing w:line="360" w:lineRule="auto"/>
        <w:jc w:val="both"/>
        <w:rPr>
          <w:rFonts w:cs="Times New Roman"/>
          <w:szCs w:val="24"/>
          <w:lang w:val="en-US"/>
        </w:rPr>
      </w:pPr>
    </w:p>
    <w:p w14:paraId="12750938" w14:textId="4DCD7677" w:rsidR="00A7638E" w:rsidRPr="00BF385E" w:rsidRDefault="00A7638E"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5E46A0D9" wp14:editId="56959B11">
            <wp:extent cx="3848637" cy="2791215"/>
            <wp:effectExtent l="0" t="0" r="0" b="9525"/>
            <wp:docPr id="164673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9700" name=""/>
                    <pic:cNvPicPr/>
                  </pic:nvPicPr>
                  <pic:blipFill>
                    <a:blip r:embed="rId12"/>
                    <a:stretch>
                      <a:fillRect/>
                    </a:stretch>
                  </pic:blipFill>
                  <pic:spPr>
                    <a:xfrm>
                      <a:off x="0" y="0"/>
                      <a:ext cx="3848637" cy="2791215"/>
                    </a:xfrm>
                    <a:prstGeom prst="rect">
                      <a:avLst/>
                    </a:prstGeom>
                  </pic:spPr>
                </pic:pic>
              </a:graphicData>
            </a:graphic>
          </wp:inline>
        </w:drawing>
      </w:r>
    </w:p>
    <w:p w14:paraId="37B63BB3" w14:textId="79B1B857" w:rsidR="006A6157" w:rsidRPr="00BF385E" w:rsidRDefault="007D0AE3" w:rsidP="00BF385E">
      <w:pPr>
        <w:spacing w:line="360" w:lineRule="auto"/>
        <w:jc w:val="both"/>
        <w:rPr>
          <w:rFonts w:cs="Times New Roman"/>
          <w:szCs w:val="24"/>
          <w:lang w:val="en-US"/>
        </w:rPr>
      </w:pPr>
      <w:r w:rsidRPr="00BF385E">
        <w:rPr>
          <w:rFonts w:cs="Times New Roman"/>
          <w:szCs w:val="24"/>
          <w:lang w:val="en-US"/>
        </w:rPr>
        <w:t>The shareholders suffered a nightmare value destruction, especially in 2023 with the return of -54.9%. The decline in the equity base has been immense as the figure of the equity base has been reduced by 51</w:t>
      </w:r>
      <w:r w:rsidR="00AA2BFE" w:rsidRPr="00BF385E">
        <w:rPr>
          <w:rFonts w:cs="Times New Roman"/>
          <w:szCs w:val="24"/>
          <w:lang w:val="en-US"/>
        </w:rPr>
        <w:t>%</w:t>
      </w:r>
      <w:r w:rsidRPr="00BF385E">
        <w:rPr>
          <w:rFonts w:cs="Times New Roman"/>
          <w:szCs w:val="24"/>
          <w:lang w:val="en-US"/>
        </w:rPr>
        <w:t xml:space="preserve"> between £313,301 million and £153,105 million due to accumulated losses and purchases of the treasury stock and this has greatly weakened the financial base</w:t>
      </w:r>
      <w:r w:rsidR="00285037" w:rsidRPr="00BF385E">
        <w:rPr>
          <w:rFonts w:cs="Times New Roman"/>
          <w:szCs w:val="24"/>
          <w:lang w:val="en-US"/>
        </w:rPr>
        <w:t xml:space="preserve"> (Mohamed, 2020)</w:t>
      </w:r>
      <w:r w:rsidRPr="00BF385E">
        <w:rPr>
          <w:rFonts w:cs="Times New Roman"/>
          <w:szCs w:val="24"/>
          <w:lang w:val="en-US"/>
        </w:rPr>
        <w:t>.</w:t>
      </w:r>
    </w:p>
    <w:p w14:paraId="651D1AE4" w14:textId="77777777" w:rsidR="006A6157" w:rsidRPr="00BF385E" w:rsidRDefault="006A6157" w:rsidP="00BF385E">
      <w:pPr>
        <w:pStyle w:val="Heading2"/>
        <w:spacing w:line="360" w:lineRule="auto"/>
        <w:jc w:val="both"/>
        <w:rPr>
          <w:rFonts w:cs="Times New Roman"/>
          <w:szCs w:val="24"/>
          <w:lang w:val="en-US"/>
        </w:rPr>
      </w:pPr>
      <w:bookmarkStart w:id="4" w:name="_Toc213242423"/>
      <w:r w:rsidRPr="00BF385E">
        <w:rPr>
          <w:rFonts w:cs="Times New Roman"/>
          <w:szCs w:val="24"/>
          <w:lang w:val="en-US"/>
        </w:rPr>
        <w:t>1.3 Liquidity Ratio Analysis</w:t>
      </w:r>
      <w:bookmarkEnd w:id="4"/>
    </w:p>
    <w:p w14:paraId="289D8701"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Current Ratio</w:t>
      </w:r>
    </w:p>
    <w:p w14:paraId="3E50F39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Current Ratio = Current Assets / Current Liabilities</w:t>
      </w:r>
    </w:p>
    <w:p w14:paraId="7B7863B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£242,494 / £158,291 = 1.53</w:t>
      </w:r>
    </w:p>
    <w:p w14:paraId="54975EE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£258,851 / £161,148 = 1.61</w:t>
      </w:r>
    </w:p>
    <w:p w14:paraId="4E21309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£338,040 / £216,473 = 1.56</w:t>
      </w:r>
    </w:p>
    <w:p w14:paraId="6A52EFA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£337,146 / £216,787 = 1.56</w:t>
      </w:r>
    </w:p>
    <w:p w14:paraId="373BEDD0" w14:textId="27665E41" w:rsidR="006A6157" w:rsidRDefault="006A6157" w:rsidP="00BF385E">
      <w:pPr>
        <w:spacing w:line="360" w:lineRule="auto"/>
        <w:jc w:val="both"/>
        <w:rPr>
          <w:rFonts w:cs="Times New Roman"/>
          <w:szCs w:val="24"/>
          <w:lang w:val="en-US"/>
        </w:rPr>
      </w:pPr>
      <w:r w:rsidRPr="00BF385E">
        <w:rPr>
          <w:rFonts w:cs="Times New Roman"/>
          <w:szCs w:val="24"/>
          <w:lang w:val="en-US"/>
        </w:rPr>
        <w:t>2020: £326,843 / £179,510 = 1.82</w:t>
      </w:r>
    </w:p>
    <w:tbl>
      <w:tblPr>
        <w:tblStyle w:val="TableGrid"/>
        <w:tblW w:w="0" w:type="auto"/>
        <w:tblLook w:val="04A0" w:firstRow="1" w:lastRow="0" w:firstColumn="1" w:lastColumn="0" w:noHBand="0" w:noVBand="1"/>
      </w:tblPr>
      <w:tblGrid>
        <w:gridCol w:w="696"/>
        <w:gridCol w:w="1672"/>
      </w:tblGrid>
      <w:tr w:rsidR="00A7638E" w:rsidRPr="00A7638E" w14:paraId="530420C6" w14:textId="77777777" w:rsidTr="00A7638E">
        <w:tc>
          <w:tcPr>
            <w:tcW w:w="0" w:type="auto"/>
            <w:hideMark/>
          </w:tcPr>
          <w:p w14:paraId="5E9401FE"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lastRenderedPageBreak/>
              <w:t>Year</w:t>
            </w:r>
          </w:p>
        </w:tc>
        <w:tc>
          <w:tcPr>
            <w:tcW w:w="0" w:type="auto"/>
            <w:hideMark/>
          </w:tcPr>
          <w:p w14:paraId="6F1D52F3"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Current Ratio</w:t>
            </w:r>
          </w:p>
        </w:tc>
      </w:tr>
      <w:tr w:rsidR="00A7638E" w:rsidRPr="00A7638E" w14:paraId="603CF4AC" w14:textId="77777777" w:rsidTr="00A7638E">
        <w:tc>
          <w:tcPr>
            <w:tcW w:w="0" w:type="auto"/>
            <w:hideMark/>
          </w:tcPr>
          <w:p w14:paraId="606A265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634EC73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1.82</w:t>
            </w:r>
          </w:p>
        </w:tc>
      </w:tr>
      <w:tr w:rsidR="00A7638E" w:rsidRPr="00A7638E" w14:paraId="0775AFA4" w14:textId="77777777" w:rsidTr="00A7638E">
        <w:tc>
          <w:tcPr>
            <w:tcW w:w="0" w:type="auto"/>
            <w:hideMark/>
          </w:tcPr>
          <w:p w14:paraId="1D83621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5456227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1.56</w:t>
            </w:r>
          </w:p>
        </w:tc>
      </w:tr>
      <w:tr w:rsidR="00A7638E" w:rsidRPr="00A7638E" w14:paraId="600EEBB3" w14:textId="77777777" w:rsidTr="00A7638E">
        <w:tc>
          <w:tcPr>
            <w:tcW w:w="0" w:type="auto"/>
            <w:hideMark/>
          </w:tcPr>
          <w:p w14:paraId="48DFC9B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4C4A78F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1.56</w:t>
            </w:r>
          </w:p>
        </w:tc>
      </w:tr>
      <w:tr w:rsidR="00A7638E" w:rsidRPr="00A7638E" w14:paraId="552A225C" w14:textId="77777777" w:rsidTr="00A7638E">
        <w:tc>
          <w:tcPr>
            <w:tcW w:w="0" w:type="auto"/>
            <w:hideMark/>
          </w:tcPr>
          <w:p w14:paraId="377521A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23998FB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1.61</w:t>
            </w:r>
          </w:p>
        </w:tc>
      </w:tr>
      <w:tr w:rsidR="00A7638E" w:rsidRPr="00A7638E" w14:paraId="6491074D" w14:textId="77777777" w:rsidTr="00A7638E">
        <w:tc>
          <w:tcPr>
            <w:tcW w:w="0" w:type="auto"/>
            <w:hideMark/>
          </w:tcPr>
          <w:p w14:paraId="4C7511F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423E215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1.53</w:t>
            </w:r>
          </w:p>
        </w:tc>
      </w:tr>
    </w:tbl>
    <w:p w14:paraId="6D7D5AED" w14:textId="77777777" w:rsidR="00A7638E" w:rsidRDefault="00A7638E" w:rsidP="00BF385E">
      <w:pPr>
        <w:spacing w:line="360" w:lineRule="auto"/>
        <w:jc w:val="both"/>
        <w:rPr>
          <w:rFonts w:cs="Times New Roman"/>
          <w:szCs w:val="24"/>
          <w:lang w:val="en-US"/>
        </w:rPr>
      </w:pPr>
    </w:p>
    <w:p w14:paraId="4A8D6203" w14:textId="0C245672" w:rsidR="00A7638E" w:rsidRPr="00BF385E" w:rsidRDefault="00A7638E" w:rsidP="00BF385E">
      <w:pPr>
        <w:spacing w:line="360" w:lineRule="auto"/>
        <w:jc w:val="both"/>
        <w:rPr>
          <w:rFonts w:cs="Times New Roman"/>
          <w:szCs w:val="24"/>
          <w:lang w:val="en-US"/>
        </w:rPr>
      </w:pPr>
      <w:r>
        <w:rPr>
          <w:noProof/>
        </w:rPr>
        <w:drawing>
          <wp:inline distT="0" distB="0" distL="0" distR="0" wp14:anchorId="69151413" wp14:editId="68B013BD">
            <wp:extent cx="4572000" cy="2743200"/>
            <wp:effectExtent l="0" t="0" r="0" b="0"/>
            <wp:docPr id="865897921" name="Chart 1">
              <a:extLst xmlns:a="http://schemas.openxmlformats.org/drawingml/2006/main">
                <a:ext uri="{FF2B5EF4-FFF2-40B4-BE49-F238E27FC236}">
                  <a16:creationId xmlns:a16="http://schemas.microsoft.com/office/drawing/2014/main" id="{1FB20591-83E4-7CEE-33D4-EC9E1D5B6D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1F1351" w14:textId="74CEE5F1" w:rsidR="006A6157" w:rsidRPr="00BF385E" w:rsidRDefault="007D0AE3" w:rsidP="00BF385E">
      <w:pPr>
        <w:spacing w:line="360" w:lineRule="auto"/>
        <w:jc w:val="both"/>
        <w:rPr>
          <w:rFonts w:cs="Times New Roman"/>
          <w:szCs w:val="24"/>
          <w:lang w:val="en-US"/>
        </w:rPr>
      </w:pPr>
      <w:r w:rsidRPr="00BF385E">
        <w:rPr>
          <w:rFonts w:cs="Times New Roman"/>
          <w:szCs w:val="24"/>
          <w:lang w:val="en-US"/>
        </w:rPr>
        <w:t>Although the ratios are still above 1.0 which is a sign of basic solvency, the decreasing trend between 1.82 and 1.53 is a sign of poor financial flexibility in the short term. The company is experiencing the growing trend of current liability exceeding the current assets indicating the growing importance of liquidity pressure</w:t>
      </w:r>
      <w:r w:rsidR="00285037" w:rsidRPr="00BF385E">
        <w:rPr>
          <w:rFonts w:cs="Times New Roman"/>
          <w:szCs w:val="24"/>
          <w:lang w:val="en-US"/>
        </w:rPr>
        <w:t xml:space="preserve"> (Tron, 2021)</w:t>
      </w:r>
      <w:r w:rsidRPr="00BF385E">
        <w:rPr>
          <w:rFonts w:cs="Times New Roman"/>
          <w:szCs w:val="24"/>
          <w:lang w:val="en-US"/>
        </w:rPr>
        <w:t>.</w:t>
      </w:r>
    </w:p>
    <w:p w14:paraId="7034BA3A"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Quick Ratio (Acid Test)</w:t>
      </w:r>
    </w:p>
    <w:p w14:paraId="31D93EE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Quick Ratio = (Current Assets - Inventories) / Current Liabilities</w:t>
      </w:r>
    </w:p>
    <w:p w14:paraId="75A87A1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(£242,494 - £79,355) / £158,291 = 1.03</w:t>
      </w:r>
    </w:p>
    <w:p w14:paraId="5B60E9B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(£258,851 - £88,273) / £161,148 = 1.06</w:t>
      </w:r>
    </w:p>
    <w:p w14:paraId="2FF3338D"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lastRenderedPageBreak/>
        <w:t>2022: (£338,040 - £140,181) / £216,473 = 0.91</w:t>
      </w:r>
    </w:p>
    <w:p w14:paraId="200D7DC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(£337,146 - £134,469) / £216,787 = 0.94</w:t>
      </w:r>
    </w:p>
    <w:p w14:paraId="45B7E7AB" w14:textId="1D3AB643" w:rsidR="006A6157" w:rsidRDefault="006A6157" w:rsidP="00BF385E">
      <w:pPr>
        <w:spacing w:line="360" w:lineRule="auto"/>
        <w:jc w:val="both"/>
        <w:rPr>
          <w:rFonts w:cs="Times New Roman"/>
          <w:szCs w:val="24"/>
          <w:lang w:val="en-US"/>
        </w:rPr>
      </w:pPr>
      <w:r w:rsidRPr="00BF385E">
        <w:rPr>
          <w:rFonts w:cs="Times New Roman"/>
          <w:szCs w:val="24"/>
          <w:lang w:val="en-US"/>
        </w:rPr>
        <w:t>2020: (£326,843 - £120,430) / £179,510 = 1.15</w:t>
      </w:r>
    </w:p>
    <w:tbl>
      <w:tblPr>
        <w:tblStyle w:val="TableGrid"/>
        <w:tblW w:w="0" w:type="auto"/>
        <w:tblLook w:val="04A0" w:firstRow="1" w:lastRow="0" w:firstColumn="1" w:lastColumn="0" w:noHBand="0" w:noVBand="1"/>
      </w:tblPr>
      <w:tblGrid>
        <w:gridCol w:w="696"/>
        <w:gridCol w:w="1463"/>
      </w:tblGrid>
      <w:tr w:rsidR="00A7638E" w:rsidRPr="00A7638E" w14:paraId="22798399" w14:textId="77777777" w:rsidTr="00A7638E">
        <w:tc>
          <w:tcPr>
            <w:tcW w:w="0" w:type="auto"/>
            <w:hideMark/>
          </w:tcPr>
          <w:p w14:paraId="0D432F63"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657DB444"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Quick Ratio</w:t>
            </w:r>
          </w:p>
        </w:tc>
      </w:tr>
      <w:tr w:rsidR="00A7638E" w:rsidRPr="00A7638E" w14:paraId="203E054B" w14:textId="77777777" w:rsidTr="00A7638E">
        <w:tc>
          <w:tcPr>
            <w:tcW w:w="0" w:type="auto"/>
            <w:hideMark/>
          </w:tcPr>
          <w:p w14:paraId="2ABA57D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49C8324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1.15</w:t>
            </w:r>
          </w:p>
        </w:tc>
      </w:tr>
      <w:tr w:rsidR="00A7638E" w:rsidRPr="00A7638E" w14:paraId="7F7DAF38" w14:textId="77777777" w:rsidTr="00A7638E">
        <w:tc>
          <w:tcPr>
            <w:tcW w:w="0" w:type="auto"/>
            <w:hideMark/>
          </w:tcPr>
          <w:p w14:paraId="065DE1D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5AAED06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0.94</w:t>
            </w:r>
          </w:p>
        </w:tc>
      </w:tr>
      <w:tr w:rsidR="00A7638E" w:rsidRPr="00A7638E" w14:paraId="148B2803" w14:textId="77777777" w:rsidTr="00A7638E">
        <w:tc>
          <w:tcPr>
            <w:tcW w:w="0" w:type="auto"/>
            <w:hideMark/>
          </w:tcPr>
          <w:p w14:paraId="13B7F33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12F9CF1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0.91</w:t>
            </w:r>
          </w:p>
        </w:tc>
      </w:tr>
      <w:tr w:rsidR="00A7638E" w:rsidRPr="00A7638E" w14:paraId="2514A069" w14:textId="77777777" w:rsidTr="00A7638E">
        <w:tc>
          <w:tcPr>
            <w:tcW w:w="0" w:type="auto"/>
            <w:hideMark/>
          </w:tcPr>
          <w:p w14:paraId="398AAF7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187A40C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1.06</w:t>
            </w:r>
          </w:p>
        </w:tc>
      </w:tr>
      <w:tr w:rsidR="00A7638E" w:rsidRPr="00A7638E" w14:paraId="574B301E" w14:textId="77777777" w:rsidTr="00A7638E">
        <w:tc>
          <w:tcPr>
            <w:tcW w:w="0" w:type="auto"/>
            <w:hideMark/>
          </w:tcPr>
          <w:p w14:paraId="235AAED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68F3428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1.03</w:t>
            </w:r>
          </w:p>
        </w:tc>
      </w:tr>
    </w:tbl>
    <w:p w14:paraId="5BA200F9" w14:textId="365AD36D" w:rsidR="00A7638E" w:rsidRPr="00BF385E" w:rsidRDefault="00A7638E" w:rsidP="00BF385E">
      <w:pPr>
        <w:spacing w:line="360" w:lineRule="auto"/>
        <w:jc w:val="both"/>
        <w:rPr>
          <w:rFonts w:cs="Times New Roman"/>
          <w:szCs w:val="24"/>
          <w:lang w:val="en-US"/>
        </w:rPr>
      </w:pPr>
      <w:r>
        <w:rPr>
          <w:noProof/>
        </w:rPr>
        <w:drawing>
          <wp:inline distT="0" distB="0" distL="0" distR="0" wp14:anchorId="556DD7B6" wp14:editId="71F93628">
            <wp:extent cx="4572000" cy="2743200"/>
            <wp:effectExtent l="0" t="0" r="0" b="0"/>
            <wp:docPr id="62814613" name="Chart 1">
              <a:extLst xmlns:a="http://schemas.openxmlformats.org/drawingml/2006/main">
                <a:ext uri="{FF2B5EF4-FFF2-40B4-BE49-F238E27FC236}">
                  <a16:creationId xmlns:a16="http://schemas.microsoft.com/office/drawing/2014/main" id="{1F87EC0A-C4B7-3570-BDF7-797CE2FDDD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B3F6A5B" w14:textId="0B394F92" w:rsidR="006A6157" w:rsidRPr="00BF385E" w:rsidRDefault="007D0AE3" w:rsidP="00BF385E">
      <w:pPr>
        <w:spacing w:line="360" w:lineRule="auto"/>
        <w:jc w:val="both"/>
        <w:rPr>
          <w:rFonts w:cs="Times New Roman"/>
          <w:szCs w:val="24"/>
          <w:lang w:val="en-US"/>
        </w:rPr>
      </w:pPr>
      <w:r w:rsidRPr="00BF385E">
        <w:rPr>
          <w:rFonts w:cs="Times New Roman"/>
          <w:szCs w:val="24"/>
          <w:lang w:val="en-US"/>
        </w:rPr>
        <w:t>The current 1.03 in 2024 as compared to 0.91 in 2022 indicates the enhanced inventory control and reduction of working capital. The ratio however is at an awkward position of being just below 1.0 meaning that it is still at risk of being affected by liquidity shocks in the event it collects its receivables slowly or gets exposed to unforeseen liabilities</w:t>
      </w:r>
      <w:r w:rsidR="00285037" w:rsidRPr="00BF385E">
        <w:rPr>
          <w:rFonts w:cs="Times New Roman"/>
          <w:szCs w:val="24"/>
          <w:lang w:val="en-US"/>
        </w:rPr>
        <w:t xml:space="preserve"> (Tron, 2021)</w:t>
      </w:r>
      <w:r w:rsidRPr="00BF385E">
        <w:rPr>
          <w:rFonts w:cs="Times New Roman"/>
          <w:szCs w:val="24"/>
          <w:lang w:val="en-US"/>
        </w:rPr>
        <w:t>.</w:t>
      </w:r>
    </w:p>
    <w:p w14:paraId="0ADFF9BB"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Cash Ratio</w:t>
      </w:r>
    </w:p>
    <w:p w14:paraId="4D7C382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Cash Ratio = Cash and Cash Equivalents / Current Liabilities</w:t>
      </w:r>
    </w:p>
    <w:p w14:paraId="3727E60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lastRenderedPageBreak/>
        <w:t>2024: £26,783 / £158,291 = 0.17</w:t>
      </w:r>
    </w:p>
    <w:p w14:paraId="10AFCF65"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£42,751 / £161,148 = 0.27</w:t>
      </w:r>
    </w:p>
    <w:p w14:paraId="43B4020D"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£66,740 / £216,473 = 0.31</w:t>
      </w:r>
    </w:p>
    <w:p w14:paraId="6BBF749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£60,813 / £216,787 = 0.28</w:t>
      </w:r>
    </w:p>
    <w:p w14:paraId="28FA3E54" w14:textId="706EE93A" w:rsidR="006A6157" w:rsidRDefault="006A6157" w:rsidP="00BF385E">
      <w:pPr>
        <w:spacing w:line="360" w:lineRule="auto"/>
        <w:jc w:val="both"/>
        <w:rPr>
          <w:rFonts w:cs="Times New Roman"/>
          <w:szCs w:val="24"/>
          <w:lang w:val="en-US"/>
        </w:rPr>
      </w:pPr>
      <w:r w:rsidRPr="00BF385E">
        <w:rPr>
          <w:rFonts w:cs="Times New Roman"/>
          <w:szCs w:val="24"/>
          <w:lang w:val="en-US"/>
        </w:rPr>
        <w:t>2020: £57,153 / £179,510 = 0.32</w:t>
      </w:r>
    </w:p>
    <w:tbl>
      <w:tblPr>
        <w:tblStyle w:val="TableGrid"/>
        <w:tblW w:w="0" w:type="auto"/>
        <w:tblLook w:val="04A0" w:firstRow="1" w:lastRow="0" w:firstColumn="1" w:lastColumn="0" w:noHBand="0" w:noVBand="1"/>
      </w:tblPr>
      <w:tblGrid>
        <w:gridCol w:w="696"/>
        <w:gridCol w:w="1357"/>
      </w:tblGrid>
      <w:tr w:rsidR="00A7638E" w:rsidRPr="00A7638E" w14:paraId="3B6CE230" w14:textId="77777777" w:rsidTr="00A7638E">
        <w:tc>
          <w:tcPr>
            <w:tcW w:w="0" w:type="auto"/>
            <w:hideMark/>
          </w:tcPr>
          <w:p w14:paraId="194530FD"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0E750C7D"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Cash Ratio</w:t>
            </w:r>
          </w:p>
        </w:tc>
      </w:tr>
      <w:tr w:rsidR="00A7638E" w:rsidRPr="00A7638E" w14:paraId="5C9CF918" w14:textId="77777777" w:rsidTr="00A7638E">
        <w:tc>
          <w:tcPr>
            <w:tcW w:w="0" w:type="auto"/>
            <w:hideMark/>
          </w:tcPr>
          <w:p w14:paraId="5B2E2FE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15F1141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0.32</w:t>
            </w:r>
          </w:p>
        </w:tc>
      </w:tr>
      <w:tr w:rsidR="00A7638E" w:rsidRPr="00A7638E" w14:paraId="306FB873" w14:textId="77777777" w:rsidTr="00A7638E">
        <w:tc>
          <w:tcPr>
            <w:tcW w:w="0" w:type="auto"/>
            <w:hideMark/>
          </w:tcPr>
          <w:p w14:paraId="0D0CEAC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4397C50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0.28</w:t>
            </w:r>
          </w:p>
        </w:tc>
      </w:tr>
      <w:tr w:rsidR="00A7638E" w:rsidRPr="00A7638E" w14:paraId="47BA955E" w14:textId="77777777" w:rsidTr="00A7638E">
        <w:tc>
          <w:tcPr>
            <w:tcW w:w="0" w:type="auto"/>
            <w:hideMark/>
          </w:tcPr>
          <w:p w14:paraId="4903F21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376C105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0.31</w:t>
            </w:r>
          </w:p>
        </w:tc>
      </w:tr>
      <w:tr w:rsidR="00A7638E" w:rsidRPr="00A7638E" w14:paraId="6FDAA6A9" w14:textId="77777777" w:rsidTr="00A7638E">
        <w:tc>
          <w:tcPr>
            <w:tcW w:w="0" w:type="auto"/>
            <w:hideMark/>
          </w:tcPr>
          <w:p w14:paraId="5C011BD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319658D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0.27</w:t>
            </w:r>
          </w:p>
        </w:tc>
      </w:tr>
      <w:tr w:rsidR="00A7638E" w:rsidRPr="00A7638E" w14:paraId="1DB74089" w14:textId="77777777" w:rsidTr="00A7638E">
        <w:tc>
          <w:tcPr>
            <w:tcW w:w="0" w:type="auto"/>
            <w:hideMark/>
          </w:tcPr>
          <w:p w14:paraId="3238A5F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4242F4D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0.17</w:t>
            </w:r>
          </w:p>
        </w:tc>
      </w:tr>
    </w:tbl>
    <w:p w14:paraId="24CDFC89" w14:textId="77777777" w:rsidR="00A7638E" w:rsidRDefault="00A7638E" w:rsidP="00BF385E">
      <w:pPr>
        <w:spacing w:line="360" w:lineRule="auto"/>
        <w:jc w:val="both"/>
        <w:rPr>
          <w:rFonts w:cs="Times New Roman"/>
          <w:szCs w:val="24"/>
          <w:lang w:val="en-US"/>
        </w:rPr>
      </w:pPr>
    </w:p>
    <w:p w14:paraId="480F02C3" w14:textId="34F5B80A" w:rsidR="00A7638E" w:rsidRPr="00BF385E" w:rsidRDefault="00A7638E" w:rsidP="00BF385E">
      <w:pPr>
        <w:spacing w:line="360" w:lineRule="auto"/>
        <w:jc w:val="both"/>
        <w:rPr>
          <w:rFonts w:cs="Times New Roman"/>
          <w:szCs w:val="24"/>
          <w:lang w:val="en-US"/>
        </w:rPr>
      </w:pPr>
      <w:r>
        <w:rPr>
          <w:noProof/>
        </w:rPr>
        <w:drawing>
          <wp:inline distT="0" distB="0" distL="0" distR="0" wp14:anchorId="51A2155F" wp14:editId="521AD120">
            <wp:extent cx="4572000" cy="2743200"/>
            <wp:effectExtent l="0" t="0" r="0" b="0"/>
            <wp:docPr id="238141403" name="Chart 1">
              <a:extLst xmlns:a="http://schemas.openxmlformats.org/drawingml/2006/main">
                <a:ext uri="{FF2B5EF4-FFF2-40B4-BE49-F238E27FC236}">
                  <a16:creationId xmlns:a16="http://schemas.microsoft.com/office/drawing/2014/main" id="{BA7ACDA4-E654-C006-7F34-59514F7245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35EB7E" w14:textId="49859895" w:rsidR="006A6157" w:rsidRDefault="003D493E" w:rsidP="00BF385E">
      <w:pPr>
        <w:spacing w:line="360" w:lineRule="auto"/>
        <w:jc w:val="both"/>
        <w:rPr>
          <w:rFonts w:cs="Times New Roman"/>
          <w:szCs w:val="24"/>
          <w:lang w:val="en-US"/>
        </w:rPr>
      </w:pPr>
      <w:r w:rsidRPr="00BF385E">
        <w:rPr>
          <w:rFonts w:cs="Times New Roman"/>
          <w:szCs w:val="24"/>
          <w:lang w:val="en-US"/>
        </w:rPr>
        <w:t xml:space="preserve">Cash drainage and poor liquidity position manifests in the dramatic decrease in cash ratio between 0.32 and 0.17. The company only has 17 pence of cash in relation to every pound of current </w:t>
      </w:r>
      <w:r w:rsidRPr="00BF385E">
        <w:rPr>
          <w:rFonts w:cs="Times New Roman"/>
          <w:szCs w:val="24"/>
          <w:lang w:val="en-US"/>
        </w:rPr>
        <w:lastRenderedPageBreak/>
        <w:t>liabilities which poses an immediate solvency risk and restricts the turnaround in terms of operational freedom</w:t>
      </w:r>
      <w:r w:rsidR="00285037" w:rsidRPr="00BF385E">
        <w:rPr>
          <w:rFonts w:cs="Times New Roman"/>
          <w:szCs w:val="24"/>
          <w:lang w:val="en-US"/>
        </w:rPr>
        <w:t xml:space="preserve"> (Mehmood and Francesco De Luca, 2023)</w:t>
      </w:r>
      <w:r w:rsidRPr="00BF385E">
        <w:rPr>
          <w:rFonts w:cs="Times New Roman"/>
          <w:szCs w:val="24"/>
          <w:lang w:val="en-US"/>
        </w:rPr>
        <w:t>.</w:t>
      </w:r>
    </w:p>
    <w:p w14:paraId="3D26C21A" w14:textId="006228B6" w:rsidR="00C65872" w:rsidRPr="00BF385E" w:rsidRDefault="00C65872" w:rsidP="00BF385E">
      <w:pPr>
        <w:spacing w:line="360" w:lineRule="auto"/>
        <w:jc w:val="both"/>
        <w:rPr>
          <w:rFonts w:cs="Times New Roman"/>
          <w:szCs w:val="24"/>
          <w:lang w:val="en-US"/>
        </w:rPr>
      </w:pPr>
      <w:r w:rsidRPr="00C65872">
        <w:rPr>
          <w:rFonts w:cs="Times New Roman"/>
          <w:noProof/>
          <w:szCs w:val="24"/>
          <w:lang w:val="en-US"/>
        </w:rPr>
        <w:drawing>
          <wp:inline distT="0" distB="0" distL="0" distR="0" wp14:anchorId="50C079E0" wp14:editId="079942AB">
            <wp:extent cx="5943600" cy="1209040"/>
            <wp:effectExtent l="0" t="0" r="0" b="0"/>
            <wp:docPr id="200503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33830" name=""/>
                    <pic:cNvPicPr/>
                  </pic:nvPicPr>
                  <pic:blipFill>
                    <a:blip r:embed="rId16"/>
                    <a:stretch>
                      <a:fillRect/>
                    </a:stretch>
                  </pic:blipFill>
                  <pic:spPr>
                    <a:xfrm>
                      <a:off x="0" y="0"/>
                      <a:ext cx="5943600" cy="1209040"/>
                    </a:xfrm>
                    <a:prstGeom prst="rect">
                      <a:avLst/>
                    </a:prstGeom>
                  </pic:spPr>
                </pic:pic>
              </a:graphicData>
            </a:graphic>
          </wp:inline>
        </w:drawing>
      </w:r>
    </w:p>
    <w:p w14:paraId="6698057B" w14:textId="77777777" w:rsidR="006A6157" w:rsidRPr="00BF385E" w:rsidRDefault="006A6157" w:rsidP="00BF385E">
      <w:pPr>
        <w:pStyle w:val="Heading2"/>
        <w:spacing w:line="360" w:lineRule="auto"/>
        <w:jc w:val="both"/>
        <w:rPr>
          <w:rFonts w:cs="Times New Roman"/>
          <w:szCs w:val="24"/>
          <w:lang w:val="en-US"/>
        </w:rPr>
      </w:pPr>
      <w:bookmarkStart w:id="5" w:name="_Toc213242424"/>
      <w:r w:rsidRPr="00BF385E">
        <w:rPr>
          <w:rFonts w:cs="Times New Roman"/>
          <w:szCs w:val="24"/>
          <w:lang w:val="en-US"/>
        </w:rPr>
        <w:t>1.4 Efficiency Ratio Analysis</w:t>
      </w:r>
      <w:bookmarkEnd w:id="5"/>
    </w:p>
    <w:p w14:paraId="71172F2D"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Inventory Turnover</w:t>
      </w:r>
    </w:p>
    <w:p w14:paraId="2179B5F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Inventory Turnover = Cost of Sales / Average Inventory</w:t>
      </w:r>
    </w:p>
    <w:p w14:paraId="55470F8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Days Inventory = 365 / Inventory Turnover</w:t>
      </w:r>
    </w:p>
    <w:p w14:paraId="244ED63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£280,885 / £79,355 = 3.54 times (365 / 3.54 = 103 days)</w:t>
      </w:r>
    </w:p>
    <w:p w14:paraId="7F7D2A5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£322,897 / £88,273 = 3.66 times (365 / 3.66 = 100 days)</w:t>
      </w:r>
    </w:p>
    <w:p w14:paraId="7FCE191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£390,459 / £140,181 = 2.79 times (365 / 2.79 = 131 days)</w:t>
      </w:r>
    </w:p>
    <w:p w14:paraId="20A50D9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£428,586 / £134,469 = 3.19 times (365 / 3.19 = 114 days)</w:t>
      </w:r>
    </w:p>
    <w:p w14:paraId="53CB0905" w14:textId="797B3026" w:rsidR="006A6157" w:rsidRDefault="006A6157" w:rsidP="00BF385E">
      <w:pPr>
        <w:spacing w:line="360" w:lineRule="auto"/>
        <w:jc w:val="both"/>
        <w:rPr>
          <w:rFonts w:cs="Times New Roman"/>
          <w:szCs w:val="24"/>
          <w:lang w:val="en-US"/>
        </w:rPr>
      </w:pPr>
      <w:r w:rsidRPr="00BF385E">
        <w:rPr>
          <w:rFonts w:cs="Times New Roman"/>
          <w:szCs w:val="24"/>
          <w:lang w:val="en-US"/>
        </w:rPr>
        <w:t>2020: £438,424 / £120,430 = 3.64 times (365 / 3.64 = 100 days)</w:t>
      </w:r>
    </w:p>
    <w:tbl>
      <w:tblPr>
        <w:tblStyle w:val="TableGrid"/>
        <w:tblW w:w="0" w:type="auto"/>
        <w:tblLook w:val="04A0" w:firstRow="1" w:lastRow="0" w:firstColumn="1" w:lastColumn="0" w:noHBand="0" w:noVBand="1"/>
      </w:tblPr>
      <w:tblGrid>
        <w:gridCol w:w="696"/>
        <w:gridCol w:w="3088"/>
        <w:gridCol w:w="2523"/>
      </w:tblGrid>
      <w:tr w:rsidR="00A7638E" w:rsidRPr="00A7638E" w14:paraId="34CDA3CA" w14:textId="77777777" w:rsidTr="00A7638E">
        <w:tc>
          <w:tcPr>
            <w:tcW w:w="0" w:type="auto"/>
            <w:hideMark/>
          </w:tcPr>
          <w:p w14:paraId="5B64D8A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46D7A461"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Inventory Turnover (Times)</w:t>
            </w:r>
          </w:p>
        </w:tc>
        <w:tc>
          <w:tcPr>
            <w:tcW w:w="0" w:type="auto"/>
            <w:hideMark/>
          </w:tcPr>
          <w:p w14:paraId="59C9FBCC"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Days Inventory (Days)</w:t>
            </w:r>
          </w:p>
        </w:tc>
      </w:tr>
      <w:tr w:rsidR="00A7638E" w:rsidRPr="00A7638E" w14:paraId="238AD9A1" w14:textId="77777777" w:rsidTr="00A7638E">
        <w:tc>
          <w:tcPr>
            <w:tcW w:w="0" w:type="auto"/>
            <w:hideMark/>
          </w:tcPr>
          <w:p w14:paraId="50115EB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456A6BC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3.64</w:t>
            </w:r>
          </w:p>
        </w:tc>
        <w:tc>
          <w:tcPr>
            <w:tcW w:w="0" w:type="auto"/>
            <w:hideMark/>
          </w:tcPr>
          <w:p w14:paraId="1EB5124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100</w:t>
            </w:r>
          </w:p>
        </w:tc>
      </w:tr>
      <w:tr w:rsidR="00A7638E" w:rsidRPr="00A7638E" w14:paraId="24632B65" w14:textId="77777777" w:rsidTr="00A7638E">
        <w:tc>
          <w:tcPr>
            <w:tcW w:w="0" w:type="auto"/>
            <w:hideMark/>
          </w:tcPr>
          <w:p w14:paraId="20CBB2E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419C2C3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3.19</w:t>
            </w:r>
          </w:p>
        </w:tc>
        <w:tc>
          <w:tcPr>
            <w:tcW w:w="0" w:type="auto"/>
            <w:hideMark/>
          </w:tcPr>
          <w:p w14:paraId="1F58954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114</w:t>
            </w:r>
          </w:p>
        </w:tc>
      </w:tr>
      <w:tr w:rsidR="00A7638E" w:rsidRPr="00A7638E" w14:paraId="6D6E1996" w14:textId="77777777" w:rsidTr="00A7638E">
        <w:tc>
          <w:tcPr>
            <w:tcW w:w="0" w:type="auto"/>
            <w:hideMark/>
          </w:tcPr>
          <w:p w14:paraId="0B84856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75FF883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2.79</w:t>
            </w:r>
          </w:p>
        </w:tc>
        <w:tc>
          <w:tcPr>
            <w:tcW w:w="0" w:type="auto"/>
            <w:hideMark/>
          </w:tcPr>
          <w:p w14:paraId="671A0CE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131</w:t>
            </w:r>
          </w:p>
        </w:tc>
      </w:tr>
      <w:tr w:rsidR="00A7638E" w:rsidRPr="00A7638E" w14:paraId="2E8E25C4" w14:textId="77777777" w:rsidTr="00A7638E">
        <w:tc>
          <w:tcPr>
            <w:tcW w:w="0" w:type="auto"/>
            <w:hideMark/>
          </w:tcPr>
          <w:p w14:paraId="33D8929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167D8C7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3.66</w:t>
            </w:r>
          </w:p>
        </w:tc>
        <w:tc>
          <w:tcPr>
            <w:tcW w:w="0" w:type="auto"/>
            <w:hideMark/>
          </w:tcPr>
          <w:p w14:paraId="6981AB1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100</w:t>
            </w:r>
          </w:p>
        </w:tc>
      </w:tr>
      <w:tr w:rsidR="00A7638E" w:rsidRPr="00A7638E" w14:paraId="2F98BD52" w14:textId="77777777" w:rsidTr="00A7638E">
        <w:tc>
          <w:tcPr>
            <w:tcW w:w="0" w:type="auto"/>
            <w:hideMark/>
          </w:tcPr>
          <w:p w14:paraId="1E4BACD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583194E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3.54</w:t>
            </w:r>
          </w:p>
        </w:tc>
        <w:tc>
          <w:tcPr>
            <w:tcW w:w="0" w:type="auto"/>
            <w:hideMark/>
          </w:tcPr>
          <w:p w14:paraId="01297C7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103</w:t>
            </w:r>
          </w:p>
        </w:tc>
      </w:tr>
    </w:tbl>
    <w:p w14:paraId="4F747B58" w14:textId="77777777" w:rsidR="00A7638E" w:rsidRDefault="00A7638E" w:rsidP="00BF385E">
      <w:pPr>
        <w:spacing w:line="360" w:lineRule="auto"/>
        <w:jc w:val="both"/>
        <w:rPr>
          <w:rFonts w:cs="Times New Roman"/>
          <w:szCs w:val="24"/>
          <w:lang w:val="en-US"/>
        </w:rPr>
      </w:pPr>
    </w:p>
    <w:p w14:paraId="30F50F0D" w14:textId="1FE916AE" w:rsidR="00A7638E" w:rsidRPr="00BF385E" w:rsidRDefault="00A7638E" w:rsidP="00BF385E">
      <w:pPr>
        <w:spacing w:line="360" w:lineRule="auto"/>
        <w:jc w:val="both"/>
        <w:rPr>
          <w:rFonts w:cs="Times New Roman"/>
          <w:szCs w:val="24"/>
          <w:lang w:val="en-US"/>
        </w:rPr>
      </w:pPr>
      <w:r>
        <w:rPr>
          <w:noProof/>
        </w:rPr>
        <w:lastRenderedPageBreak/>
        <w:drawing>
          <wp:inline distT="0" distB="0" distL="0" distR="0" wp14:anchorId="4C17D6F8" wp14:editId="499EC60E">
            <wp:extent cx="4572000" cy="2743200"/>
            <wp:effectExtent l="0" t="0" r="0" b="0"/>
            <wp:docPr id="774560962" name="Chart 1">
              <a:extLst xmlns:a="http://schemas.openxmlformats.org/drawingml/2006/main">
                <a:ext uri="{FF2B5EF4-FFF2-40B4-BE49-F238E27FC236}">
                  <a16:creationId xmlns:a16="http://schemas.microsoft.com/office/drawing/2014/main" id="{C7D68086-59F3-9DDE-BF51-34AC638615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F25F955" w14:textId="27783725" w:rsidR="006A6157" w:rsidRPr="00BF385E" w:rsidRDefault="003D493E" w:rsidP="00BF385E">
      <w:pPr>
        <w:spacing w:line="360" w:lineRule="auto"/>
        <w:jc w:val="both"/>
        <w:rPr>
          <w:rFonts w:cs="Times New Roman"/>
          <w:szCs w:val="24"/>
          <w:lang w:val="en-US"/>
        </w:rPr>
      </w:pPr>
      <w:r w:rsidRPr="00BF385E">
        <w:rPr>
          <w:rFonts w:cs="Times New Roman"/>
          <w:szCs w:val="24"/>
          <w:lang w:val="en-US"/>
        </w:rPr>
        <w:t>The business has stocks of about 100-103 days and that seems to be fair as far as consumer electronics are concerned. Its major improvement on 131 days in 2022 suggests improved inventory management and probably by clearance sales and closer control of the supply chain, but has resulted in lower gross margins in certain periods</w:t>
      </w:r>
      <w:r w:rsidR="00285037" w:rsidRPr="00BF385E">
        <w:rPr>
          <w:rFonts w:cs="Times New Roman"/>
          <w:szCs w:val="24"/>
          <w:lang w:val="en-US"/>
        </w:rPr>
        <w:t xml:space="preserve"> (Mehmood and Francesco De Luca, 2023)</w:t>
      </w:r>
      <w:r w:rsidRPr="00BF385E">
        <w:rPr>
          <w:rFonts w:cs="Times New Roman"/>
          <w:szCs w:val="24"/>
          <w:lang w:val="en-US"/>
        </w:rPr>
        <w:t>.</w:t>
      </w:r>
    </w:p>
    <w:p w14:paraId="5EDAF6A9"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Accounts Receivable Turnover</w:t>
      </w:r>
    </w:p>
    <w:p w14:paraId="1135A7D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Receivables Turnover = Net Sales / Average Accounts Receivable</w:t>
      </w:r>
    </w:p>
    <w:p w14:paraId="52755D1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Days Sales Outstanding = 365 / Receivables Turnover</w:t>
      </w:r>
    </w:p>
    <w:p w14:paraId="41917DC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£394,879 / £114,182 = 3.46 times (365 / 3.46 = 106 days)</w:t>
      </w:r>
    </w:p>
    <w:p w14:paraId="059381A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£420,457 / £112,596 = 3.73 times (365 / 3.73 = 98 days)</w:t>
      </w:r>
    </w:p>
    <w:p w14:paraId="06E0CFC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£542,751 / £112,346 = 4.83 times (365 / 4.83 = 76 days)</w:t>
      </w:r>
    </w:p>
    <w:p w14:paraId="798F303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£601,602 / £129,215 = 4.66 times (365 / 4.66 = 78 days)</w:t>
      </w:r>
    </w:p>
    <w:p w14:paraId="583E51EF" w14:textId="77777777" w:rsidR="00A7638E" w:rsidRDefault="006A6157" w:rsidP="00BF385E">
      <w:pPr>
        <w:spacing w:line="360" w:lineRule="auto"/>
        <w:jc w:val="both"/>
        <w:rPr>
          <w:rFonts w:cs="Times New Roman"/>
          <w:szCs w:val="24"/>
          <w:lang w:val="en-US"/>
        </w:rPr>
      </w:pPr>
      <w:r w:rsidRPr="00BF385E">
        <w:rPr>
          <w:rFonts w:cs="Times New Roman"/>
          <w:szCs w:val="24"/>
          <w:lang w:val="en-US"/>
        </w:rPr>
        <w:t>2020: £614,680 / £129,433 = 4.75 times (365 / 4.75 = 77 days)</w:t>
      </w:r>
    </w:p>
    <w:tbl>
      <w:tblPr>
        <w:tblStyle w:val="TableGrid"/>
        <w:tblW w:w="0" w:type="auto"/>
        <w:tblLook w:val="04A0" w:firstRow="1" w:lastRow="0" w:firstColumn="1" w:lastColumn="0" w:noHBand="0" w:noVBand="1"/>
      </w:tblPr>
      <w:tblGrid>
        <w:gridCol w:w="696"/>
        <w:gridCol w:w="3274"/>
        <w:gridCol w:w="3370"/>
      </w:tblGrid>
      <w:tr w:rsidR="00A7638E" w:rsidRPr="00A7638E" w14:paraId="4C990134" w14:textId="77777777" w:rsidTr="00A7638E">
        <w:tc>
          <w:tcPr>
            <w:tcW w:w="0" w:type="auto"/>
            <w:hideMark/>
          </w:tcPr>
          <w:p w14:paraId="69DA34F5"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732E93DC"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Receivables Turnover (Times)</w:t>
            </w:r>
          </w:p>
        </w:tc>
        <w:tc>
          <w:tcPr>
            <w:tcW w:w="0" w:type="auto"/>
            <w:hideMark/>
          </w:tcPr>
          <w:p w14:paraId="5CEB5E99"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Days Sales Outstanding (Days)</w:t>
            </w:r>
          </w:p>
        </w:tc>
      </w:tr>
      <w:tr w:rsidR="00A7638E" w:rsidRPr="00A7638E" w14:paraId="0A12B14A" w14:textId="77777777" w:rsidTr="00A7638E">
        <w:tc>
          <w:tcPr>
            <w:tcW w:w="0" w:type="auto"/>
            <w:hideMark/>
          </w:tcPr>
          <w:p w14:paraId="24CFF7C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5960E5C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4.75</w:t>
            </w:r>
          </w:p>
        </w:tc>
        <w:tc>
          <w:tcPr>
            <w:tcW w:w="0" w:type="auto"/>
            <w:hideMark/>
          </w:tcPr>
          <w:p w14:paraId="755CF43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77</w:t>
            </w:r>
          </w:p>
        </w:tc>
      </w:tr>
      <w:tr w:rsidR="00A7638E" w:rsidRPr="00A7638E" w14:paraId="6430802C" w14:textId="77777777" w:rsidTr="00A7638E">
        <w:tc>
          <w:tcPr>
            <w:tcW w:w="0" w:type="auto"/>
            <w:hideMark/>
          </w:tcPr>
          <w:p w14:paraId="0A28115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3E2F007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4.66</w:t>
            </w:r>
          </w:p>
        </w:tc>
        <w:tc>
          <w:tcPr>
            <w:tcW w:w="0" w:type="auto"/>
            <w:hideMark/>
          </w:tcPr>
          <w:p w14:paraId="2C30B8D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78</w:t>
            </w:r>
          </w:p>
        </w:tc>
      </w:tr>
      <w:tr w:rsidR="00A7638E" w:rsidRPr="00A7638E" w14:paraId="0389721C" w14:textId="77777777" w:rsidTr="00A7638E">
        <w:tc>
          <w:tcPr>
            <w:tcW w:w="0" w:type="auto"/>
            <w:hideMark/>
          </w:tcPr>
          <w:p w14:paraId="33B2174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lastRenderedPageBreak/>
              <w:t>2022</w:t>
            </w:r>
          </w:p>
        </w:tc>
        <w:tc>
          <w:tcPr>
            <w:tcW w:w="0" w:type="auto"/>
            <w:hideMark/>
          </w:tcPr>
          <w:p w14:paraId="52343CA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4.83</w:t>
            </w:r>
          </w:p>
        </w:tc>
        <w:tc>
          <w:tcPr>
            <w:tcW w:w="0" w:type="auto"/>
            <w:hideMark/>
          </w:tcPr>
          <w:p w14:paraId="390803E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76</w:t>
            </w:r>
          </w:p>
        </w:tc>
      </w:tr>
      <w:tr w:rsidR="00A7638E" w:rsidRPr="00A7638E" w14:paraId="5046DE44" w14:textId="77777777" w:rsidTr="00A7638E">
        <w:tc>
          <w:tcPr>
            <w:tcW w:w="0" w:type="auto"/>
            <w:hideMark/>
          </w:tcPr>
          <w:p w14:paraId="4AEB457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3ED4769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3.73</w:t>
            </w:r>
          </w:p>
        </w:tc>
        <w:tc>
          <w:tcPr>
            <w:tcW w:w="0" w:type="auto"/>
            <w:hideMark/>
          </w:tcPr>
          <w:p w14:paraId="77D5631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98</w:t>
            </w:r>
          </w:p>
        </w:tc>
      </w:tr>
      <w:tr w:rsidR="00A7638E" w:rsidRPr="00A7638E" w14:paraId="257E127C" w14:textId="77777777" w:rsidTr="00A7638E">
        <w:tc>
          <w:tcPr>
            <w:tcW w:w="0" w:type="auto"/>
            <w:hideMark/>
          </w:tcPr>
          <w:p w14:paraId="49C9B50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5A330E6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3.46</w:t>
            </w:r>
          </w:p>
        </w:tc>
        <w:tc>
          <w:tcPr>
            <w:tcW w:w="0" w:type="auto"/>
            <w:hideMark/>
          </w:tcPr>
          <w:p w14:paraId="73BC9A7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106</w:t>
            </w:r>
          </w:p>
        </w:tc>
      </w:tr>
    </w:tbl>
    <w:p w14:paraId="3DEB6BC3" w14:textId="480739B9" w:rsidR="006A6157" w:rsidRDefault="006A6157" w:rsidP="00BF385E">
      <w:pPr>
        <w:spacing w:line="360" w:lineRule="auto"/>
        <w:jc w:val="both"/>
        <w:rPr>
          <w:rFonts w:cs="Times New Roman"/>
          <w:szCs w:val="24"/>
          <w:lang w:val="en-US"/>
        </w:rPr>
      </w:pPr>
    </w:p>
    <w:p w14:paraId="2DC0C50D" w14:textId="6A39FFE2" w:rsidR="00A7638E" w:rsidRPr="00BF385E" w:rsidRDefault="00A7638E" w:rsidP="00BF385E">
      <w:pPr>
        <w:spacing w:line="360" w:lineRule="auto"/>
        <w:jc w:val="both"/>
        <w:rPr>
          <w:rFonts w:cs="Times New Roman"/>
          <w:szCs w:val="24"/>
          <w:lang w:val="en-US"/>
        </w:rPr>
      </w:pPr>
      <w:r>
        <w:rPr>
          <w:noProof/>
        </w:rPr>
        <w:drawing>
          <wp:inline distT="0" distB="0" distL="0" distR="0" wp14:anchorId="4E1A6B6D" wp14:editId="669804C5">
            <wp:extent cx="4572000" cy="2743200"/>
            <wp:effectExtent l="0" t="0" r="0" b="0"/>
            <wp:docPr id="1534022229" name="Chart 1">
              <a:extLst xmlns:a="http://schemas.openxmlformats.org/drawingml/2006/main">
                <a:ext uri="{FF2B5EF4-FFF2-40B4-BE49-F238E27FC236}">
                  <a16:creationId xmlns:a16="http://schemas.microsoft.com/office/drawing/2014/main" id="{047B691A-ED94-C249-6999-3ED5F8200A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91EE03" w14:textId="287CE46B" w:rsidR="006A6157" w:rsidRPr="00BF385E" w:rsidRDefault="003D493E" w:rsidP="00BF385E">
      <w:pPr>
        <w:spacing w:line="360" w:lineRule="auto"/>
        <w:jc w:val="both"/>
        <w:rPr>
          <w:rFonts w:cs="Times New Roman"/>
          <w:szCs w:val="24"/>
          <w:lang w:val="en-US"/>
        </w:rPr>
      </w:pPr>
      <w:r w:rsidRPr="00BF385E">
        <w:rPr>
          <w:rFonts w:cs="Times New Roman"/>
          <w:szCs w:val="24"/>
          <w:lang w:val="en-US"/>
        </w:rPr>
        <w:t xml:space="preserve">The performance of collection periods has also gotten even worse with </w:t>
      </w:r>
      <w:r w:rsidR="00285037" w:rsidRPr="00BF385E">
        <w:rPr>
          <w:rFonts w:cs="Times New Roman"/>
          <w:szCs w:val="24"/>
          <w:lang w:val="en-US"/>
        </w:rPr>
        <w:t>106 days</w:t>
      </w:r>
      <w:r w:rsidRPr="00BF385E">
        <w:rPr>
          <w:rFonts w:cs="Times New Roman"/>
          <w:szCs w:val="24"/>
          <w:lang w:val="en-US"/>
        </w:rPr>
        <w:t xml:space="preserve"> in 2024 as compared to 77 days in 2020. This implies the following, weakening of the credit control process, customer procrastinating payments because of product quality or other reasons or customer abusing the weakened financial stance of the company by lengthening the payment terms</w:t>
      </w:r>
      <w:r w:rsidR="00285037" w:rsidRPr="00BF385E">
        <w:rPr>
          <w:rFonts w:cs="Times New Roman"/>
          <w:szCs w:val="24"/>
          <w:lang w:val="en-US"/>
        </w:rPr>
        <w:t xml:space="preserve"> (Abdul-Kareem et al., 2024)</w:t>
      </w:r>
      <w:r w:rsidRPr="00BF385E">
        <w:rPr>
          <w:rFonts w:cs="Times New Roman"/>
          <w:szCs w:val="24"/>
          <w:lang w:val="en-US"/>
        </w:rPr>
        <w:t>.</w:t>
      </w:r>
    </w:p>
    <w:p w14:paraId="78649837"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Accounts Payable Turnover</w:t>
      </w:r>
    </w:p>
    <w:p w14:paraId="46307FD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Payables Turnover = Cost of Sales / Average Accounts Payable</w:t>
      </w:r>
    </w:p>
    <w:p w14:paraId="4DA58A1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Days Payable Outstanding = 365 / Payables Turnover</w:t>
      </w:r>
    </w:p>
    <w:p w14:paraId="09DE3AA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£280,885 / £72,031 = 3.90 times (365 / 3.90 = 94 days)</w:t>
      </w:r>
    </w:p>
    <w:p w14:paraId="2D7D997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£322,897 / £57,033 = 5.66 times (365 / 5.66 = 64 days)</w:t>
      </w:r>
    </w:p>
    <w:p w14:paraId="467496C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£428,586 / £92,707 = 4.62 times (365 / 4.62 = 79 days)</w:t>
      </w:r>
    </w:p>
    <w:p w14:paraId="04638BE8" w14:textId="5C8BEB8A" w:rsidR="006A6157" w:rsidRDefault="006A6157" w:rsidP="00BF385E">
      <w:pPr>
        <w:spacing w:line="360" w:lineRule="auto"/>
        <w:jc w:val="both"/>
        <w:rPr>
          <w:rFonts w:cs="Times New Roman"/>
          <w:szCs w:val="24"/>
          <w:lang w:val="en-US"/>
        </w:rPr>
      </w:pPr>
      <w:r w:rsidRPr="00BF385E">
        <w:rPr>
          <w:rFonts w:cs="Times New Roman"/>
          <w:szCs w:val="24"/>
          <w:lang w:val="en-US"/>
        </w:rPr>
        <w:t>2020: £438,424 / £83,229 = 5.27 times (365 / 5.27 = 69 days)</w:t>
      </w:r>
    </w:p>
    <w:tbl>
      <w:tblPr>
        <w:tblStyle w:val="TableGrid"/>
        <w:tblW w:w="0" w:type="auto"/>
        <w:tblLook w:val="04A0" w:firstRow="1" w:lastRow="0" w:firstColumn="1" w:lastColumn="0" w:noHBand="0" w:noVBand="1"/>
      </w:tblPr>
      <w:tblGrid>
        <w:gridCol w:w="696"/>
        <w:gridCol w:w="2981"/>
        <w:gridCol w:w="3664"/>
      </w:tblGrid>
      <w:tr w:rsidR="00A7638E" w:rsidRPr="00A7638E" w14:paraId="75E8A5BA" w14:textId="77777777" w:rsidTr="00A7638E">
        <w:tc>
          <w:tcPr>
            <w:tcW w:w="0" w:type="auto"/>
            <w:hideMark/>
          </w:tcPr>
          <w:p w14:paraId="3C01A16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lastRenderedPageBreak/>
              <w:t>Year</w:t>
            </w:r>
          </w:p>
        </w:tc>
        <w:tc>
          <w:tcPr>
            <w:tcW w:w="0" w:type="auto"/>
            <w:hideMark/>
          </w:tcPr>
          <w:p w14:paraId="2598F954"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Payables Turnover (Times)</w:t>
            </w:r>
          </w:p>
        </w:tc>
        <w:tc>
          <w:tcPr>
            <w:tcW w:w="0" w:type="auto"/>
            <w:hideMark/>
          </w:tcPr>
          <w:p w14:paraId="78A1E55A"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Days Payable Outstanding (Days)</w:t>
            </w:r>
          </w:p>
        </w:tc>
      </w:tr>
      <w:tr w:rsidR="00A7638E" w:rsidRPr="00A7638E" w14:paraId="6368087E" w14:textId="77777777" w:rsidTr="00A7638E">
        <w:tc>
          <w:tcPr>
            <w:tcW w:w="0" w:type="auto"/>
            <w:hideMark/>
          </w:tcPr>
          <w:p w14:paraId="792AD07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7A8C8E3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5.27</w:t>
            </w:r>
          </w:p>
        </w:tc>
        <w:tc>
          <w:tcPr>
            <w:tcW w:w="0" w:type="auto"/>
            <w:hideMark/>
          </w:tcPr>
          <w:p w14:paraId="7D37DEB7"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69</w:t>
            </w:r>
          </w:p>
        </w:tc>
      </w:tr>
      <w:tr w:rsidR="00A7638E" w:rsidRPr="00A7638E" w14:paraId="3B09DEAA" w14:textId="77777777" w:rsidTr="00A7638E">
        <w:tc>
          <w:tcPr>
            <w:tcW w:w="0" w:type="auto"/>
            <w:hideMark/>
          </w:tcPr>
          <w:p w14:paraId="291AA6E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7E820A0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4.62</w:t>
            </w:r>
          </w:p>
        </w:tc>
        <w:tc>
          <w:tcPr>
            <w:tcW w:w="0" w:type="auto"/>
            <w:hideMark/>
          </w:tcPr>
          <w:p w14:paraId="5DC71F5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79</w:t>
            </w:r>
          </w:p>
        </w:tc>
      </w:tr>
      <w:tr w:rsidR="00A7638E" w:rsidRPr="00A7638E" w14:paraId="526F9C6B" w14:textId="77777777" w:rsidTr="00A7638E">
        <w:tc>
          <w:tcPr>
            <w:tcW w:w="0" w:type="auto"/>
            <w:hideMark/>
          </w:tcPr>
          <w:p w14:paraId="04AFF0F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6CBCA32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5.66</w:t>
            </w:r>
          </w:p>
        </w:tc>
        <w:tc>
          <w:tcPr>
            <w:tcW w:w="0" w:type="auto"/>
            <w:hideMark/>
          </w:tcPr>
          <w:p w14:paraId="1BCAE99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64</w:t>
            </w:r>
          </w:p>
        </w:tc>
      </w:tr>
      <w:tr w:rsidR="00A7638E" w:rsidRPr="00A7638E" w14:paraId="2D1CDE8A" w14:textId="77777777" w:rsidTr="00A7638E">
        <w:tc>
          <w:tcPr>
            <w:tcW w:w="0" w:type="auto"/>
            <w:hideMark/>
          </w:tcPr>
          <w:p w14:paraId="1ED0A3E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452D293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3.90</w:t>
            </w:r>
          </w:p>
        </w:tc>
        <w:tc>
          <w:tcPr>
            <w:tcW w:w="0" w:type="auto"/>
            <w:hideMark/>
          </w:tcPr>
          <w:p w14:paraId="709206D4"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94</w:t>
            </w:r>
          </w:p>
        </w:tc>
      </w:tr>
    </w:tbl>
    <w:p w14:paraId="668C954C" w14:textId="77777777" w:rsidR="00A7638E" w:rsidRDefault="00A7638E" w:rsidP="00BF385E">
      <w:pPr>
        <w:spacing w:line="360" w:lineRule="auto"/>
        <w:jc w:val="both"/>
        <w:rPr>
          <w:rFonts w:cs="Times New Roman"/>
          <w:szCs w:val="24"/>
          <w:lang w:val="en-US"/>
        </w:rPr>
      </w:pPr>
    </w:p>
    <w:p w14:paraId="5B9D283C" w14:textId="480D22C4" w:rsidR="00A7638E" w:rsidRPr="00BF385E" w:rsidRDefault="00A7638E" w:rsidP="00BF385E">
      <w:pPr>
        <w:spacing w:line="360" w:lineRule="auto"/>
        <w:jc w:val="both"/>
        <w:rPr>
          <w:rFonts w:cs="Times New Roman"/>
          <w:szCs w:val="24"/>
          <w:lang w:val="en-US"/>
        </w:rPr>
      </w:pPr>
      <w:r>
        <w:rPr>
          <w:noProof/>
        </w:rPr>
        <w:drawing>
          <wp:inline distT="0" distB="0" distL="0" distR="0" wp14:anchorId="3AFB8EEC" wp14:editId="5FA6C5C7">
            <wp:extent cx="4572000" cy="2743200"/>
            <wp:effectExtent l="0" t="0" r="0" b="0"/>
            <wp:docPr id="907933372" name="Chart 1">
              <a:extLst xmlns:a="http://schemas.openxmlformats.org/drawingml/2006/main">
                <a:ext uri="{FF2B5EF4-FFF2-40B4-BE49-F238E27FC236}">
                  <a16:creationId xmlns:a16="http://schemas.microsoft.com/office/drawing/2014/main" id="{C6C0434C-FF16-0856-B115-7EE7A1B930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9FAFAF4" w14:textId="75B7D409" w:rsidR="006A6157" w:rsidRPr="00BF385E" w:rsidRDefault="003D493E" w:rsidP="00BF385E">
      <w:pPr>
        <w:spacing w:line="360" w:lineRule="auto"/>
        <w:jc w:val="both"/>
        <w:rPr>
          <w:rFonts w:cs="Times New Roman"/>
          <w:szCs w:val="24"/>
          <w:lang w:val="en-US"/>
        </w:rPr>
      </w:pPr>
      <w:r w:rsidRPr="00BF385E">
        <w:rPr>
          <w:rFonts w:cs="Times New Roman"/>
          <w:szCs w:val="24"/>
          <w:lang w:val="en-US"/>
        </w:rPr>
        <w:t>The fact that the company has extended its payment terms to 94 days in 2024 as of 64 days in 2023 is a clear indication that the firm is turning to supplier credit to deal with extreme cash flow pressure and this could hurt key supplier relations and lead to a supply chain interruption</w:t>
      </w:r>
      <w:r w:rsidR="00285037" w:rsidRPr="00BF385E">
        <w:rPr>
          <w:rFonts w:cs="Times New Roman"/>
          <w:szCs w:val="24"/>
          <w:lang w:val="en-US"/>
        </w:rPr>
        <w:t xml:space="preserve"> (Abdul-Kareem et al., 2024)</w:t>
      </w:r>
      <w:r w:rsidRPr="00BF385E">
        <w:rPr>
          <w:rFonts w:cs="Times New Roman"/>
          <w:szCs w:val="24"/>
          <w:lang w:val="en-US"/>
        </w:rPr>
        <w:t>.</w:t>
      </w:r>
    </w:p>
    <w:p w14:paraId="2C7A51E7"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Cash Operating Cycle</w:t>
      </w:r>
    </w:p>
    <w:p w14:paraId="6BA4CB6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Cash Cycle = Days Inventory + Days Sales Outstanding - Days Payable Outstanding</w:t>
      </w:r>
    </w:p>
    <w:p w14:paraId="0C415ED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103 + 106 - 94 = 115 days</w:t>
      </w:r>
    </w:p>
    <w:p w14:paraId="42E0C48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100 + 98 - 64 = 134 days</w:t>
      </w:r>
    </w:p>
    <w:p w14:paraId="43DF9DF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114 + 78 - 79 = 113 days</w:t>
      </w:r>
    </w:p>
    <w:p w14:paraId="6FF51FB7" w14:textId="7ED7F761" w:rsidR="006A6157" w:rsidRDefault="006A6157" w:rsidP="00BF385E">
      <w:pPr>
        <w:spacing w:line="360" w:lineRule="auto"/>
        <w:jc w:val="both"/>
        <w:rPr>
          <w:rFonts w:cs="Times New Roman"/>
          <w:szCs w:val="24"/>
          <w:lang w:val="en-US"/>
        </w:rPr>
      </w:pPr>
      <w:r w:rsidRPr="00BF385E">
        <w:rPr>
          <w:rFonts w:cs="Times New Roman"/>
          <w:szCs w:val="24"/>
          <w:lang w:val="en-US"/>
        </w:rPr>
        <w:lastRenderedPageBreak/>
        <w:t>2020: 100 + 77 - 69 = 108 days</w:t>
      </w:r>
    </w:p>
    <w:tbl>
      <w:tblPr>
        <w:tblStyle w:val="TableGrid"/>
        <w:tblW w:w="0" w:type="auto"/>
        <w:tblLook w:val="04A0" w:firstRow="1" w:lastRow="0" w:firstColumn="1" w:lastColumn="0" w:noHBand="0" w:noVBand="1"/>
      </w:tblPr>
      <w:tblGrid>
        <w:gridCol w:w="696"/>
        <w:gridCol w:w="3210"/>
      </w:tblGrid>
      <w:tr w:rsidR="00A7638E" w:rsidRPr="00A7638E" w14:paraId="1D843EDA" w14:textId="77777777" w:rsidTr="00A7638E">
        <w:tc>
          <w:tcPr>
            <w:tcW w:w="0" w:type="auto"/>
            <w:hideMark/>
          </w:tcPr>
          <w:p w14:paraId="05C8FD5E"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0AACAD6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Cash Operating Cycle (Days)</w:t>
            </w:r>
          </w:p>
        </w:tc>
      </w:tr>
      <w:tr w:rsidR="00A7638E" w:rsidRPr="00A7638E" w14:paraId="27359FA5" w14:textId="77777777" w:rsidTr="00A7638E">
        <w:tc>
          <w:tcPr>
            <w:tcW w:w="0" w:type="auto"/>
            <w:hideMark/>
          </w:tcPr>
          <w:p w14:paraId="756BF82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4A1BCA8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108</w:t>
            </w:r>
          </w:p>
        </w:tc>
      </w:tr>
      <w:tr w:rsidR="00A7638E" w:rsidRPr="00A7638E" w14:paraId="75898C51" w14:textId="77777777" w:rsidTr="00A7638E">
        <w:tc>
          <w:tcPr>
            <w:tcW w:w="0" w:type="auto"/>
            <w:hideMark/>
          </w:tcPr>
          <w:p w14:paraId="4F3A476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09D2C2D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113</w:t>
            </w:r>
          </w:p>
        </w:tc>
      </w:tr>
      <w:tr w:rsidR="00A7638E" w:rsidRPr="00A7638E" w14:paraId="58287836" w14:textId="77777777" w:rsidTr="00A7638E">
        <w:tc>
          <w:tcPr>
            <w:tcW w:w="0" w:type="auto"/>
            <w:hideMark/>
          </w:tcPr>
          <w:p w14:paraId="38D8F3F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7613296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134</w:t>
            </w:r>
          </w:p>
        </w:tc>
      </w:tr>
      <w:tr w:rsidR="00A7638E" w:rsidRPr="00A7638E" w14:paraId="3F45BECD" w14:textId="77777777" w:rsidTr="00A7638E">
        <w:tc>
          <w:tcPr>
            <w:tcW w:w="0" w:type="auto"/>
            <w:hideMark/>
          </w:tcPr>
          <w:p w14:paraId="23988C2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2E459A8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115</w:t>
            </w:r>
          </w:p>
        </w:tc>
      </w:tr>
    </w:tbl>
    <w:p w14:paraId="66692C29" w14:textId="045CD2F9" w:rsidR="00A7638E" w:rsidRPr="00BF385E" w:rsidRDefault="00A7638E" w:rsidP="00BF385E">
      <w:pPr>
        <w:spacing w:line="360" w:lineRule="auto"/>
        <w:jc w:val="both"/>
        <w:rPr>
          <w:rFonts w:cs="Times New Roman"/>
          <w:szCs w:val="24"/>
          <w:lang w:val="en-US"/>
        </w:rPr>
      </w:pPr>
      <w:r>
        <w:rPr>
          <w:noProof/>
        </w:rPr>
        <w:drawing>
          <wp:inline distT="0" distB="0" distL="0" distR="0" wp14:anchorId="7816532D" wp14:editId="0B81D272">
            <wp:extent cx="4572000" cy="2743200"/>
            <wp:effectExtent l="0" t="0" r="0" b="0"/>
            <wp:docPr id="1128917041" name="Chart 1">
              <a:extLst xmlns:a="http://schemas.openxmlformats.org/drawingml/2006/main">
                <a:ext uri="{FF2B5EF4-FFF2-40B4-BE49-F238E27FC236}">
                  <a16:creationId xmlns:a16="http://schemas.microsoft.com/office/drawing/2014/main" id="{8E9595BF-2439-9C92-F633-5724A45C2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9CE9981" w14:textId="6FB02096" w:rsidR="006A6157" w:rsidRPr="00BF385E" w:rsidRDefault="003D493E" w:rsidP="00BF385E">
      <w:pPr>
        <w:spacing w:line="360" w:lineRule="auto"/>
        <w:jc w:val="both"/>
        <w:rPr>
          <w:rFonts w:cs="Times New Roman"/>
          <w:szCs w:val="24"/>
          <w:lang w:val="en-US"/>
        </w:rPr>
      </w:pPr>
      <w:r w:rsidRPr="00BF385E">
        <w:rPr>
          <w:rFonts w:cs="Times New Roman"/>
          <w:szCs w:val="24"/>
          <w:lang w:val="en-US"/>
        </w:rPr>
        <w:t>The investment in inventory and receivables require the company 115 days to recapitalize in cash which is a huge working capital requirement and constant cash flow, which must be financed by operations or foreign financing</w:t>
      </w:r>
      <w:r w:rsidR="00285037" w:rsidRPr="00BF385E">
        <w:rPr>
          <w:rFonts w:cs="Times New Roman"/>
          <w:szCs w:val="24"/>
          <w:lang w:val="en-US"/>
        </w:rPr>
        <w:t xml:space="preserve"> (Habib and Kayani, 2022)</w:t>
      </w:r>
      <w:r w:rsidRPr="00BF385E">
        <w:rPr>
          <w:rFonts w:cs="Times New Roman"/>
          <w:szCs w:val="24"/>
          <w:lang w:val="en-US"/>
        </w:rPr>
        <w:t>.</w:t>
      </w:r>
    </w:p>
    <w:p w14:paraId="75E3C499"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Asset Turnover</w:t>
      </w:r>
    </w:p>
    <w:p w14:paraId="3DFA208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Asset Turnover = Net Sales / Total Assets</w:t>
      </w:r>
    </w:p>
    <w:p w14:paraId="5F9B6CD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£394,879 / £323,354 = 1.22 times</w:t>
      </w:r>
    </w:p>
    <w:p w14:paraId="68AC160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£420,457 / £355,872 = 1.18 times</w:t>
      </w:r>
    </w:p>
    <w:p w14:paraId="2CD4F54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£542,751 / £504,163 = 1.08 times</w:t>
      </w:r>
    </w:p>
    <w:p w14:paraId="00D2D1F5"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£601,602 / £510,348 = 1.18 times</w:t>
      </w:r>
    </w:p>
    <w:p w14:paraId="32CD4EB7" w14:textId="77777777" w:rsidR="006A6157" w:rsidRDefault="006A6157" w:rsidP="00BF385E">
      <w:pPr>
        <w:spacing w:line="360" w:lineRule="auto"/>
        <w:jc w:val="both"/>
        <w:rPr>
          <w:rFonts w:cs="Times New Roman"/>
          <w:szCs w:val="24"/>
          <w:lang w:val="en-US"/>
        </w:rPr>
      </w:pPr>
      <w:r w:rsidRPr="00BF385E">
        <w:rPr>
          <w:rFonts w:cs="Times New Roman"/>
          <w:szCs w:val="24"/>
          <w:lang w:val="en-US"/>
        </w:rPr>
        <w:lastRenderedPageBreak/>
        <w:t>2020: £614,680 / £510,290 = 1.20 times</w:t>
      </w:r>
    </w:p>
    <w:tbl>
      <w:tblPr>
        <w:tblStyle w:val="TableGrid"/>
        <w:tblW w:w="0" w:type="auto"/>
        <w:tblLook w:val="04A0" w:firstRow="1" w:lastRow="0" w:firstColumn="1" w:lastColumn="0" w:noHBand="0" w:noVBand="1"/>
      </w:tblPr>
      <w:tblGrid>
        <w:gridCol w:w="696"/>
        <w:gridCol w:w="1783"/>
      </w:tblGrid>
      <w:tr w:rsidR="00A7638E" w:rsidRPr="00A7638E" w14:paraId="044D8208" w14:textId="77777777" w:rsidTr="00A7638E">
        <w:tc>
          <w:tcPr>
            <w:tcW w:w="0" w:type="auto"/>
            <w:hideMark/>
          </w:tcPr>
          <w:p w14:paraId="0713003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7EFB287F"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Asset Turnover</w:t>
            </w:r>
          </w:p>
        </w:tc>
      </w:tr>
      <w:tr w:rsidR="00A7638E" w:rsidRPr="00A7638E" w14:paraId="1A3A2E93" w14:textId="77777777" w:rsidTr="00A7638E">
        <w:tc>
          <w:tcPr>
            <w:tcW w:w="0" w:type="auto"/>
            <w:hideMark/>
          </w:tcPr>
          <w:p w14:paraId="2C8223F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17AB1B1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1.20</w:t>
            </w:r>
          </w:p>
        </w:tc>
      </w:tr>
      <w:tr w:rsidR="00A7638E" w:rsidRPr="00A7638E" w14:paraId="1964733E" w14:textId="77777777" w:rsidTr="00A7638E">
        <w:tc>
          <w:tcPr>
            <w:tcW w:w="0" w:type="auto"/>
            <w:hideMark/>
          </w:tcPr>
          <w:p w14:paraId="4519773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7D008E6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1.18</w:t>
            </w:r>
          </w:p>
        </w:tc>
      </w:tr>
      <w:tr w:rsidR="00A7638E" w:rsidRPr="00A7638E" w14:paraId="453DBC22" w14:textId="77777777" w:rsidTr="00A7638E">
        <w:tc>
          <w:tcPr>
            <w:tcW w:w="0" w:type="auto"/>
            <w:hideMark/>
          </w:tcPr>
          <w:p w14:paraId="3DA5D961"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1E913F7F"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1.08</w:t>
            </w:r>
          </w:p>
        </w:tc>
      </w:tr>
      <w:tr w:rsidR="00A7638E" w:rsidRPr="00A7638E" w14:paraId="7F266CA1" w14:textId="77777777" w:rsidTr="00A7638E">
        <w:tc>
          <w:tcPr>
            <w:tcW w:w="0" w:type="auto"/>
            <w:hideMark/>
          </w:tcPr>
          <w:p w14:paraId="6C674BC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51D1F81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1.18</w:t>
            </w:r>
          </w:p>
        </w:tc>
      </w:tr>
      <w:tr w:rsidR="00A7638E" w:rsidRPr="00A7638E" w14:paraId="7489E260" w14:textId="77777777" w:rsidTr="00A7638E">
        <w:tc>
          <w:tcPr>
            <w:tcW w:w="0" w:type="auto"/>
            <w:hideMark/>
          </w:tcPr>
          <w:p w14:paraId="00224F2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3F427B8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1.22</w:t>
            </w:r>
          </w:p>
        </w:tc>
      </w:tr>
    </w:tbl>
    <w:p w14:paraId="2399B7C7" w14:textId="77777777" w:rsidR="00A7638E" w:rsidRDefault="00A7638E" w:rsidP="00BF385E">
      <w:pPr>
        <w:spacing w:line="360" w:lineRule="auto"/>
        <w:jc w:val="both"/>
        <w:rPr>
          <w:rFonts w:cs="Times New Roman"/>
          <w:szCs w:val="24"/>
          <w:lang w:val="en-US"/>
        </w:rPr>
      </w:pPr>
    </w:p>
    <w:p w14:paraId="0283AD23" w14:textId="5153FF78" w:rsidR="00A7638E" w:rsidRPr="00BF385E" w:rsidRDefault="00A7638E" w:rsidP="00BF385E">
      <w:pPr>
        <w:spacing w:line="360" w:lineRule="auto"/>
        <w:jc w:val="both"/>
        <w:rPr>
          <w:rFonts w:cs="Times New Roman"/>
          <w:szCs w:val="24"/>
          <w:lang w:val="en-US"/>
        </w:rPr>
      </w:pPr>
      <w:r>
        <w:rPr>
          <w:noProof/>
        </w:rPr>
        <w:drawing>
          <wp:inline distT="0" distB="0" distL="0" distR="0" wp14:anchorId="1E7C73DD" wp14:editId="2775B3E3">
            <wp:extent cx="4572000" cy="2743200"/>
            <wp:effectExtent l="0" t="0" r="0" b="0"/>
            <wp:docPr id="704304274" name="Chart 1">
              <a:extLst xmlns:a="http://schemas.openxmlformats.org/drawingml/2006/main">
                <a:ext uri="{FF2B5EF4-FFF2-40B4-BE49-F238E27FC236}">
                  <a16:creationId xmlns:a16="http://schemas.microsoft.com/office/drawing/2014/main" id="{565A4796-B6A6-5718-D133-EFA8600D40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83AB1BF" w14:textId="45712720" w:rsidR="006A6157" w:rsidRDefault="003D493E" w:rsidP="00BF385E">
      <w:pPr>
        <w:spacing w:line="360" w:lineRule="auto"/>
        <w:jc w:val="both"/>
        <w:rPr>
          <w:rFonts w:cs="Times New Roman"/>
          <w:szCs w:val="24"/>
          <w:lang w:val="en-US"/>
        </w:rPr>
      </w:pPr>
      <w:r w:rsidRPr="00BF385E">
        <w:rPr>
          <w:rFonts w:cs="Times New Roman"/>
          <w:szCs w:val="24"/>
          <w:lang w:val="en-US"/>
        </w:rPr>
        <w:t>The productivity of the assets has not changed much and it has been comparatively stagnant at about 1.2 times whereas the actual revenue is down by a significant margin and this implies that the assets are underutilized. The company has a high asset base in addition to the existing actual revenue generation capability, which indicates that there is a chance to dispose of and rationalize the assets</w:t>
      </w:r>
      <w:r w:rsidR="00285037" w:rsidRPr="00BF385E">
        <w:rPr>
          <w:rFonts w:cs="Times New Roman"/>
          <w:szCs w:val="24"/>
          <w:lang w:val="en-US"/>
        </w:rPr>
        <w:t xml:space="preserve"> (Habib and Kayani, 2022)</w:t>
      </w:r>
      <w:r w:rsidRPr="00BF385E">
        <w:rPr>
          <w:rFonts w:cs="Times New Roman"/>
          <w:szCs w:val="24"/>
          <w:lang w:val="en-US"/>
        </w:rPr>
        <w:t>.</w:t>
      </w:r>
    </w:p>
    <w:p w14:paraId="01E6E9FA" w14:textId="0FF03184" w:rsidR="00C65872" w:rsidRPr="00BF385E" w:rsidRDefault="00C65872" w:rsidP="00BF385E">
      <w:pPr>
        <w:spacing w:line="360" w:lineRule="auto"/>
        <w:jc w:val="both"/>
        <w:rPr>
          <w:rFonts w:cs="Times New Roman"/>
          <w:szCs w:val="24"/>
          <w:lang w:val="en-US"/>
        </w:rPr>
      </w:pPr>
      <w:r w:rsidRPr="00C65872">
        <w:rPr>
          <w:rFonts w:cs="Times New Roman"/>
          <w:noProof/>
          <w:szCs w:val="24"/>
          <w:lang w:val="en-US"/>
        </w:rPr>
        <w:lastRenderedPageBreak/>
        <w:drawing>
          <wp:inline distT="0" distB="0" distL="0" distR="0" wp14:anchorId="0CA85FBC" wp14:editId="475712BE">
            <wp:extent cx="5943600" cy="1623695"/>
            <wp:effectExtent l="0" t="0" r="0" b="0"/>
            <wp:docPr id="953696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96065" name=""/>
                    <pic:cNvPicPr/>
                  </pic:nvPicPr>
                  <pic:blipFill>
                    <a:blip r:embed="rId22"/>
                    <a:stretch>
                      <a:fillRect/>
                    </a:stretch>
                  </pic:blipFill>
                  <pic:spPr>
                    <a:xfrm>
                      <a:off x="0" y="0"/>
                      <a:ext cx="5943600" cy="1623695"/>
                    </a:xfrm>
                    <a:prstGeom prst="rect">
                      <a:avLst/>
                    </a:prstGeom>
                  </pic:spPr>
                </pic:pic>
              </a:graphicData>
            </a:graphic>
          </wp:inline>
        </w:drawing>
      </w:r>
    </w:p>
    <w:p w14:paraId="1EC19D6E" w14:textId="77777777" w:rsidR="006A6157" w:rsidRPr="00BF385E" w:rsidRDefault="006A6157" w:rsidP="00BF385E">
      <w:pPr>
        <w:pStyle w:val="Heading2"/>
        <w:spacing w:line="360" w:lineRule="auto"/>
        <w:jc w:val="both"/>
        <w:rPr>
          <w:rFonts w:cs="Times New Roman"/>
          <w:szCs w:val="24"/>
          <w:lang w:val="en-US"/>
        </w:rPr>
      </w:pPr>
      <w:bookmarkStart w:id="6" w:name="_Toc213242425"/>
      <w:r w:rsidRPr="00BF385E">
        <w:rPr>
          <w:rFonts w:cs="Times New Roman"/>
          <w:szCs w:val="24"/>
          <w:lang w:val="en-US"/>
        </w:rPr>
        <w:t>1.5 Gearing and Solvency Analysis</w:t>
      </w:r>
      <w:bookmarkEnd w:id="6"/>
    </w:p>
    <w:p w14:paraId="04C1472A"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Debt-to-Equity Ratio</w:t>
      </w:r>
    </w:p>
    <w:p w14:paraId="05D3C8F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Debt-to-Equity = Total Debt / Shareholders' Equity</w:t>
      </w:r>
    </w:p>
    <w:p w14:paraId="1C3DC225"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£36,960 / £153,105 = 0.24</w:t>
      </w:r>
    </w:p>
    <w:p w14:paraId="084DCFD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£55,000 / £178,920 = 0.31</w:t>
      </w:r>
    </w:p>
    <w:p w14:paraId="2C2B797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£88,000 / £268,406 = 0.33</w:t>
      </w:r>
    </w:p>
    <w:p w14:paraId="1ADFCEE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£56,000 / £275,949 = 0.20</w:t>
      </w:r>
    </w:p>
    <w:p w14:paraId="34504278" w14:textId="08E2E4EA" w:rsidR="006A6157" w:rsidRDefault="006A6157" w:rsidP="00BF385E">
      <w:pPr>
        <w:spacing w:line="360" w:lineRule="auto"/>
        <w:jc w:val="both"/>
        <w:rPr>
          <w:rFonts w:cs="Times New Roman"/>
          <w:szCs w:val="24"/>
          <w:lang w:val="en-US"/>
        </w:rPr>
      </w:pPr>
      <w:r w:rsidRPr="00BF385E">
        <w:rPr>
          <w:rFonts w:cs="Times New Roman"/>
          <w:szCs w:val="24"/>
          <w:lang w:val="en-US"/>
        </w:rPr>
        <w:t>2020: £20,000 / £313,301 = 0.06</w:t>
      </w:r>
    </w:p>
    <w:tbl>
      <w:tblPr>
        <w:tblStyle w:val="TableGrid"/>
        <w:tblW w:w="0" w:type="auto"/>
        <w:tblLook w:val="04A0" w:firstRow="1" w:lastRow="0" w:firstColumn="1" w:lastColumn="0" w:noHBand="0" w:noVBand="1"/>
      </w:tblPr>
      <w:tblGrid>
        <w:gridCol w:w="696"/>
        <w:gridCol w:w="1763"/>
      </w:tblGrid>
      <w:tr w:rsidR="00A7638E" w:rsidRPr="00A7638E" w14:paraId="12DCB9D8" w14:textId="77777777" w:rsidTr="00A7638E">
        <w:tc>
          <w:tcPr>
            <w:tcW w:w="0" w:type="auto"/>
            <w:hideMark/>
          </w:tcPr>
          <w:p w14:paraId="2C3BEC8E"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11EED7E2"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Debt-to-Equity</w:t>
            </w:r>
          </w:p>
        </w:tc>
      </w:tr>
      <w:tr w:rsidR="00A7638E" w:rsidRPr="00A7638E" w14:paraId="110FAE62" w14:textId="77777777" w:rsidTr="00A7638E">
        <w:tc>
          <w:tcPr>
            <w:tcW w:w="0" w:type="auto"/>
            <w:hideMark/>
          </w:tcPr>
          <w:p w14:paraId="38D2448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759C87B9"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0.06</w:t>
            </w:r>
          </w:p>
        </w:tc>
      </w:tr>
      <w:tr w:rsidR="00A7638E" w:rsidRPr="00A7638E" w14:paraId="701B67ED" w14:textId="77777777" w:rsidTr="00A7638E">
        <w:tc>
          <w:tcPr>
            <w:tcW w:w="0" w:type="auto"/>
            <w:hideMark/>
          </w:tcPr>
          <w:p w14:paraId="21A1A7E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51B38C55"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0.20</w:t>
            </w:r>
          </w:p>
        </w:tc>
      </w:tr>
      <w:tr w:rsidR="00A7638E" w:rsidRPr="00A7638E" w14:paraId="4B16DBBD" w14:textId="77777777" w:rsidTr="00A7638E">
        <w:tc>
          <w:tcPr>
            <w:tcW w:w="0" w:type="auto"/>
            <w:hideMark/>
          </w:tcPr>
          <w:p w14:paraId="666EE12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46BFE73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0.33</w:t>
            </w:r>
          </w:p>
        </w:tc>
      </w:tr>
      <w:tr w:rsidR="00A7638E" w:rsidRPr="00A7638E" w14:paraId="76E454B5" w14:textId="77777777" w:rsidTr="00A7638E">
        <w:tc>
          <w:tcPr>
            <w:tcW w:w="0" w:type="auto"/>
            <w:hideMark/>
          </w:tcPr>
          <w:p w14:paraId="46F8AD9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2023</w:t>
            </w:r>
          </w:p>
        </w:tc>
        <w:tc>
          <w:tcPr>
            <w:tcW w:w="0" w:type="auto"/>
            <w:hideMark/>
          </w:tcPr>
          <w:p w14:paraId="4D27473A"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0.31</w:t>
            </w:r>
          </w:p>
        </w:tc>
      </w:tr>
      <w:tr w:rsidR="00A7638E" w:rsidRPr="00A7638E" w14:paraId="120CADA7" w14:textId="77777777" w:rsidTr="00A7638E">
        <w:tc>
          <w:tcPr>
            <w:tcW w:w="0" w:type="auto"/>
            <w:hideMark/>
          </w:tcPr>
          <w:p w14:paraId="30929F6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03F967B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0.24</w:t>
            </w:r>
          </w:p>
        </w:tc>
      </w:tr>
    </w:tbl>
    <w:p w14:paraId="492691A5" w14:textId="77777777" w:rsidR="00A7638E" w:rsidRDefault="00A7638E" w:rsidP="00BF385E">
      <w:pPr>
        <w:spacing w:line="360" w:lineRule="auto"/>
        <w:jc w:val="both"/>
        <w:rPr>
          <w:rFonts w:cs="Times New Roman"/>
          <w:szCs w:val="24"/>
          <w:lang w:val="en-US"/>
        </w:rPr>
      </w:pPr>
    </w:p>
    <w:p w14:paraId="6A706E0B" w14:textId="6F448657" w:rsidR="00A7638E" w:rsidRPr="00BF385E" w:rsidRDefault="00A7638E" w:rsidP="00BF385E">
      <w:pPr>
        <w:spacing w:line="360" w:lineRule="auto"/>
        <w:jc w:val="both"/>
        <w:rPr>
          <w:rFonts w:cs="Times New Roman"/>
          <w:szCs w:val="24"/>
          <w:lang w:val="en-US"/>
        </w:rPr>
      </w:pPr>
      <w:r>
        <w:rPr>
          <w:noProof/>
        </w:rPr>
        <w:lastRenderedPageBreak/>
        <w:drawing>
          <wp:inline distT="0" distB="0" distL="0" distR="0" wp14:anchorId="32E2A9CC" wp14:editId="3C98CA0E">
            <wp:extent cx="4572000" cy="2743200"/>
            <wp:effectExtent l="0" t="0" r="0" b="0"/>
            <wp:docPr id="238959993" name="Chart 1">
              <a:extLst xmlns:a="http://schemas.openxmlformats.org/drawingml/2006/main">
                <a:ext uri="{FF2B5EF4-FFF2-40B4-BE49-F238E27FC236}">
                  <a16:creationId xmlns:a16="http://schemas.microsoft.com/office/drawing/2014/main" id="{CC48D8E4-9109-B635-8469-D89D2E757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612B3F0" w14:textId="2DEF0933" w:rsidR="006A6157" w:rsidRPr="00BF385E" w:rsidRDefault="003D493E" w:rsidP="00BF385E">
      <w:pPr>
        <w:spacing w:line="360" w:lineRule="auto"/>
        <w:jc w:val="both"/>
        <w:rPr>
          <w:rFonts w:cs="Times New Roman"/>
          <w:szCs w:val="24"/>
          <w:lang w:val="en-US"/>
        </w:rPr>
      </w:pPr>
      <w:r w:rsidRPr="00BF385E">
        <w:rPr>
          <w:rFonts w:cs="Times New Roman"/>
          <w:szCs w:val="24"/>
          <w:lang w:val="en-US"/>
        </w:rPr>
        <w:t>Even though there is a decline in absolute debt, the high level of erosion in equity is alarming even though relative gearing is worrying. This creates refinancing risk because the company uses short term volatile credit lines instead of the long-term stable financing</w:t>
      </w:r>
      <w:r w:rsidR="00285037" w:rsidRPr="00BF385E">
        <w:rPr>
          <w:rFonts w:cs="Times New Roman"/>
          <w:szCs w:val="24"/>
          <w:lang w:val="en-US"/>
        </w:rPr>
        <w:t xml:space="preserve"> (Litvinenko, 2024)</w:t>
      </w:r>
      <w:r w:rsidRPr="00BF385E">
        <w:rPr>
          <w:rFonts w:cs="Times New Roman"/>
          <w:szCs w:val="24"/>
          <w:lang w:val="en-US"/>
        </w:rPr>
        <w:t>.</w:t>
      </w:r>
    </w:p>
    <w:p w14:paraId="168DB676"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Interest Coverage Ratio</w:t>
      </w:r>
    </w:p>
    <w:p w14:paraId="559D902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Interest Coverage = Operating Income / Interest Expense</w:t>
      </w:r>
    </w:p>
    <w:p w14:paraId="2EF3981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-£15,297 / £3,361 = -4.55 times</w:t>
      </w:r>
    </w:p>
    <w:p w14:paraId="521F016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-£85,301 / £4,332 = -19.69 times</w:t>
      </w:r>
    </w:p>
    <w:p w14:paraId="0A858BB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2022: £14,548 / £2,200 = 6.61 times</w:t>
      </w:r>
    </w:p>
    <w:p w14:paraId="404E716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2021: £23,253 / £566 = 41.08 times</w:t>
      </w:r>
    </w:p>
    <w:p w14:paraId="058C231D" w14:textId="0374AD18" w:rsidR="006A6157" w:rsidRDefault="006A6157" w:rsidP="00BF385E">
      <w:pPr>
        <w:spacing w:line="360" w:lineRule="auto"/>
        <w:jc w:val="both"/>
        <w:rPr>
          <w:rFonts w:cs="Times New Roman"/>
          <w:szCs w:val="24"/>
          <w:lang w:val="en-US"/>
        </w:rPr>
      </w:pPr>
      <w:r w:rsidRPr="00BF385E">
        <w:rPr>
          <w:rFonts w:cs="Times New Roman"/>
          <w:szCs w:val="24"/>
          <w:lang w:val="en-US"/>
        </w:rPr>
        <w:t>2020: £37,267 / £1,422 = 26.20 times</w:t>
      </w:r>
    </w:p>
    <w:tbl>
      <w:tblPr>
        <w:tblStyle w:val="TableGrid"/>
        <w:tblW w:w="0" w:type="auto"/>
        <w:tblLook w:val="04A0" w:firstRow="1" w:lastRow="0" w:firstColumn="1" w:lastColumn="0" w:noHBand="0" w:noVBand="1"/>
      </w:tblPr>
      <w:tblGrid>
        <w:gridCol w:w="696"/>
        <w:gridCol w:w="2045"/>
      </w:tblGrid>
      <w:tr w:rsidR="00A7638E" w:rsidRPr="00A7638E" w14:paraId="61E9B31C" w14:textId="77777777" w:rsidTr="00A7638E">
        <w:tc>
          <w:tcPr>
            <w:tcW w:w="0" w:type="auto"/>
            <w:hideMark/>
          </w:tcPr>
          <w:p w14:paraId="0655B070"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Year</w:t>
            </w:r>
          </w:p>
        </w:tc>
        <w:tc>
          <w:tcPr>
            <w:tcW w:w="0" w:type="auto"/>
            <w:hideMark/>
          </w:tcPr>
          <w:p w14:paraId="205E6F8A" w14:textId="77777777" w:rsidR="00A7638E" w:rsidRPr="00A7638E" w:rsidRDefault="00A7638E" w:rsidP="00A7638E">
            <w:pPr>
              <w:spacing w:after="160" w:line="360" w:lineRule="auto"/>
              <w:jc w:val="both"/>
              <w:rPr>
                <w:rFonts w:cs="Times New Roman"/>
                <w:b/>
                <w:bCs/>
                <w:szCs w:val="24"/>
                <w:lang w:val="en-US"/>
              </w:rPr>
            </w:pPr>
            <w:r w:rsidRPr="00A7638E">
              <w:rPr>
                <w:rFonts w:cs="Times New Roman"/>
                <w:b/>
                <w:bCs/>
                <w:szCs w:val="24"/>
                <w:lang w:val="en-US"/>
              </w:rPr>
              <w:t>Interest Coverage</w:t>
            </w:r>
          </w:p>
        </w:tc>
      </w:tr>
      <w:tr w:rsidR="00A7638E" w:rsidRPr="00A7638E" w14:paraId="3F755E98" w14:textId="77777777" w:rsidTr="00A7638E">
        <w:tc>
          <w:tcPr>
            <w:tcW w:w="0" w:type="auto"/>
            <w:hideMark/>
          </w:tcPr>
          <w:p w14:paraId="5D8918E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2020</w:t>
            </w:r>
          </w:p>
        </w:tc>
        <w:tc>
          <w:tcPr>
            <w:tcW w:w="0" w:type="auto"/>
            <w:hideMark/>
          </w:tcPr>
          <w:p w14:paraId="6F8E418B"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26.20</w:t>
            </w:r>
          </w:p>
        </w:tc>
      </w:tr>
      <w:tr w:rsidR="00A7638E" w:rsidRPr="00A7638E" w14:paraId="25D16865" w14:textId="77777777" w:rsidTr="00A7638E">
        <w:tc>
          <w:tcPr>
            <w:tcW w:w="0" w:type="auto"/>
            <w:hideMark/>
          </w:tcPr>
          <w:p w14:paraId="14BAB2AE"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2021</w:t>
            </w:r>
          </w:p>
        </w:tc>
        <w:tc>
          <w:tcPr>
            <w:tcW w:w="0" w:type="auto"/>
            <w:hideMark/>
          </w:tcPr>
          <w:p w14:paraId="59657F4C"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41.08</w:t>
            </w:r>
          </w:p>
        </w:tc>
      </w:tr>
      <w:tr w:rsidR="00A7638E" w:rsidRPr="00A7638E" w14:paraId="67002B6A" w14:textId="77777777" w:rsidTr="00A7638E">
        <w:tc>
          <w:tcPr>
            <w:tcW w:w="0" w:type="auto"/>
            <w:hideMark/>
          </w:tcPr>
          <w:p w14:paraId="6D9E9FBD"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2022</w:t>
            </w:r>
          </w:p>
        </w:tc>
        <w:tc>
          <w:tcPr>
            <w:tcW w:w="0" w:type="auto"/>
            <w:hideMark/>
          </w:tcPr>
          <w:p w14:paraId="79630693"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6.61</w:t>
            </w:r>
          </w:p>
        </w:tc>
      </w:tr>
      <w:tr w:rsidR="00A7638E" w:rsidRPr="00A7638E" w14:paraId="238C2DF2" w14:textId="77777777" w:rsidTr="00A7638E">
        <w:tc>
          <w:tcPr>
            <w:tcW w:w="0" w:type="auto"/>
            <w:hideMark/>
          </w:tcPr>
          <w:p w14:paraId="0C8E5EA6"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lastRenderedPageBreak/>
              <w:t>2023</w:t>
            </w:r>
          </w:p>
        </w:tc>
        <w:tc>
          <w:tcPr>
            <w:tcW w:w="0" w:type="auto"/>
            <w:hideMark/>
          </w:tcPr>
          <w:p w14:paraId="4CD1B150"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-19.69</w:t>
            </w:r>
          </w:p>
        </w:tc>
      </w:tr>
      <w:tr w:rsidR="00A7638E" w:rsidRPr="00A7638E" w14:paraId="294D6249" w14:textId="77777777" w:rsidTr="00A7638E">
        <w:tc>
          <w:tcPr>
            <w:tcW w:w="0" w:type="auto"/>
            <w:hideMark/>
          </w:tcPr>
          <w:p w14:paraId="53CB5542"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2024</w:t>
            </w:r>
          </w:p>
        </w:tc>
        <w:tc>
          <w:tcPr>
            <w:tcW w:w="0" w:type="auto"/>
            <w:hideMark/>
          </w:tcPr>
          <w:p w14:paraId="3A92B598" w14:textId="77777777" w:rsidR="00A7638E" w:rsidRPr="00A7638E" w:rsidRDefault="00A7638E" w:rsidP="00A7638E">
            <w:pPr>
              <w:spacing w:after="160" w:line="360" w:lineRule="auto"/>
              <w:jc w:val="both"/>
              <w:rPr>
                <w:rFonts w:cs="Times New Roman"/>
                <w:szCs w:val="24"/>
                <w:lang w:val="en-US"/>
              </w:rPr>
            </w:pPr>
            <w:r w:rsidRPr="00A7638E">
              <w:rPr>
                <w:rFonts w:cs="Times New Roman"/>
                <w:szCs w:val="24"/>
                <w:lang w:val="en-US"/>
              </w:rPr>
              <w:t>-4.55</w:t>
            </w:r>
          </w:p>
        </w:tc>
      </w:tr>
    </w:tbl>
    <w:p w14:paraId="0249CB2D" w14:textId="77777777" w:rsidR="00A7638E" w:rsidRDefault="00A7638E" w:rsidP="00BF385E">
      <w:pPr>
        <w:spacing w:line="360" w:lineRule="auto"/>
        <w:jc w:val="both"/>
        <w:rPr>
          <w:rFonts w:cs="Times New Roman"/>
          <w:szCs w:val="24"/>
          <w:lang w:val="en-US"/>
        </w:rPr>
      </w:pPr>
    </w:p>
    <w:p w14:paraId="6083EE45" w14:textId="647E7D4E" w:rsidR="00A7638E" w:rsidRPr="00BF385E" w:rsidRDefault="00A7638E" w:rsidP="00BF385E">
      <w:pPr>
        <w:spacing w:line="360" w:lineRule="auto"/>
        <w:jc w:val="both"/>
        <w:rPr>
          <w:rFonts w:cs="Times New Roman"/>
          <w:szCs w:val="24"/>
          <w:lang w:val="en-US"/>
        </w:rPr>
      </w:pPr>
      <w:r>
        <w:rPr>
          <w:noProof/>
        </w:rPr>
        <w:drawing>
          <wp:inline distT="0" distB="0" distL="0" distR="0" wp14:anchorId="6399F559" wp14:editId="24663345">
            <wp:extent cx="4572000" cy="2743200"/>
            <wp:effectExtent l="0" t="0" r="0" b="0"/>
            <wp:docPr id="835890378" name="Chart 1">
              <a:extLst xmlns:a="http://schemas.openxmlformats.org/drawingml/2006/main">
                <a:ext uri="{FF2B5EF4-FFF2-40B4-BE49-F238E27FC236}">
                  <a16:creationId xmlns:a16="http://schemas.microsoft.com/office/drawing/2014/main" id="{732774B9-3394-E217-3B59-9B7CA3FC1F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C2BC7F4" w14:textId="120E85C6" w:rsidR="006A6157" w:rsidRPr="00BF385E" w:rsidRDefault="003D493E" w:rsidP="00BF385E">
      <w:pPr>
        <w:spacing w:line="360" w:lineRule="auto"/>
        <w:jc w:val="both"/>
        <w:rPr>
          <w:rFonts w:cs="Times New Roman"/>
          <w:szCs w:val="24"/>
          <w:lang w:val="en-US"/>
        </w:rPr>
      </w:pPr>
      <w:r w:rsidRPr="00BF385E">
        <w:rPr>
          <w:rFonts w:cs="Times New Roman"/>
          <w:szCs w:val="24"/>
          <w:lang w:val="en-US"/>
        </w:rPr>
        <w:t>The firm is not able to meet the interest’s payments out of operating income and this is a serious red flag that denotes financial distress. The negative ratios on interest coverage imply that the company is literally borrowing to pay interests thus the debt spiral is not sustainable</w:t>
      </w:r>
      <w:r w:rsidR="00285037" w:rsidRPr="00BF385E">
        <w:rPr>
          <w:rFonts w:cs="Times New Roman"/>
          <w:szCs w:val="24"/>
          <w:lang w:val="en-US"/>
        </w:rPr>
        <w:t xml:space="preserve"> (Litvinenko, 2024)</w:t>
      </w:r>
      <w:r w:rsidRPr="00BF385E">
        <w:rPr>
          <w:rFonts w:cs="Times New Roman"/>
          <w:szCs w:val="24"/>
          <w:lang w:val="en-US"/>
        </w:rPr>
        <w:t>.</w:t>
      </w:r>
    </w:p>
    <w:p w14:paraId="66A2D339" w14:textId="77777777" w:rsidR="006A6157" w:rsidRPr="00BF385E" w:rsidRDefault="006A6157" w:rsidP="00BF385E">
      <w:pPr>
        <w:pStyle w:val="Heading2"/>
        <w:spacing w:line="360" w:lineRule="auto"/>
        <w:jc w:val="both"/>
        <w:rPr>
          <w:rFonts w:cs="Times New Roman"/>
          <w:szCs w:val="24"/>
          <w:lang w:val="en-US"/>
        </w:rPr>
      </w:pPr>
      <w:bookmarkStart w:id="7" w:name="_Toc213242426"/>
      <w:r w:rsidRPr="00BF385E">
        <w:rPr>
          <w:rFonts w:cs="Times New Roman"/>
          <w:szCs w:val="24"/>
          <w:lang w:val="en-US"/>
        </w:rPr>
        <w:t>1.6 Corporate Failure Prediction - Altman Z-Score</w:t>
      </w:r>
      <w:bookmarkEnd w:id="7"/>
    </w:p>
    <w:p w14:paraId="0F8E2E0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The Altman Z-Score predicts bankruptcy probability using five weighted financial ratios. The formula is:</w:t>
      </w:r>
    </w:p>
    <w:p w14:paraId="5C88100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Z = 1.2X₁ + 1.4X₂ + 3.3X₃ + 0.6X₄ + 1.0X₅</w:t>
      </w:r>
    </w:p>
    <w:p w14:paraId="1E7CF29C" w14:textId="08D429B8" w:rsidR="006A6157" w:rsidRPr="00BF385E" w:rsidRDefault="006A6157" w:rsidP="00BF385E">
      <w:pPr>
        <w:spacing w:line="360" w:lineRule="auto"/>
        <w:jc w:val="both"/>
        <w:rPr>
          <w:rFonts w:cs="Times New Roman"/>
          <w:szCs w:val="24"/>
          <w:lang w:val="en-US"/>
        </w:rPr>
      </w:pPr>
      <w:r w:rsidRPr="00BF385E">
        <w:rPr>
          <w:rFonts w:cs="Times New Roman"/>
          <w:szCs w:val="24"/>
          <w:lang w:val="en-US"/>
        </w:rPr>
        <w:t>Where:</w:t>
      </w:r>
    </w:p>
    <w:p w14:paraId="3A740DB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X₁ = Working Capital / Total Assets</w:t>
      </w:r>
    </w:p>
    <w:p w14:paraId="113FAE9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X₂ = Retained Earnings / Total Assets</w:t>
      </w:r>
    </w:p>
    <w:p w14:paraId="53192FF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X₃ = EBIT / Total Assets</w:t>
      </w:r>
    </w:p>
    <w:p w14:paraId="08520C85"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X₄ = Market Value of Equity / Total Liabilities</w:t>
      </w:r>
    </w:p>
    <w:p w14:paraId="604C82B9" w14:textId="4E512EEA" w:rsidR="006A6157" w:rsidRPr="00BF385E" w:rsidRDefault="006A6157" w:rsidP="00BF385E">
      <w:pPr>
        <w:spacing w:line="360" w:lineRule="auto"/>
        <w:jc w:val="both"/>
        <w:rPr>
          <w:rFonts w:cs="Times New Roman"/>
          <w:szCs w:val="24"/>
          <w:lang w:val="en-US"/>
        </w:rPr>
      </w:pPr>
      <w:r w:rsidRPr="00BF385E">
        <w:rPr>
          <w:rFonts w:cs="Times New Roman"/>
          <w:szCs w:val="24"/>
          <w:lang w:val="en-US"/>
        </w:rPr>
        <w:lastRenderedPageBreak/>
        <w:t>X₅ = Sales / Total Assets</w:t>
      </w:r>
    </w:p>
    <w:p w14:paraId="169E4088" w14:textId="1B81B441"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2024 Calculation:</w:t>
      </w:r>
    </w:p>
    <w:p w14:paraId="501E6045"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X₁ = (£242,494 - £158,291) / £323,354 = 0.260</w:t>
      </w:r>
    </w:p>
    <w:p w14:paraId="3860201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X₂ = £208,431 / £323,354 = 0.645</w:t>
      </w:r>
    </w:p>
    <w:p w14:paraId="5ABCEBB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X₃ = -£15,297 / £323,354 = -0.047</w:t>
      </w:r>
    </w:p>
    <w:p w14:paraId="1CAB12D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X₄ = £153,105 / £170,249 = 0.899</w:t>
      </w:r>
    </w:p>
    <w:p w14:paraId="601A3C02" w14:textId="4CDF5BF3"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X₅ = £394,879 / £323,354 = 1.221</w:t>
      </w:r>
      <w:r w:rsidR="00285037" w:rsidRPr="00BF385E">
        <w:rPr>
          <w:rFonts w:cs="Times New Roman"/>
          <w:szCs w:val="24"/>
          <w:lang w:val="en-US"/>
        </w:rPr>
        <w:t xml:space="preserve"> (Issa et al., 2024)</w:t>
      </w:r>
    </w:p>
    <w:p w14:paraId="697D09C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Z-Score 2024 = 1.2(0.260) + 1.4(0.645) + 3.3(-0.047) + 0.6(0.899) + 1.0(1.221)</w:t>
      </w:r>
    </w:p>
    <w:p w14:paraId="7CED8E4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Z-Score 2024 = 0.312 + 0.903 - 0.155 + 0.539 + 1.221 = 2.82</w:t>
      </w:r>
    </w:p>
    <w:p w14:paraId="3B0B5F5E" w14:textId="72802DEF" w:rsidR="006A6157" w:rsidRPr="00BF385E" w:rsidRDefault="006A6157" w:rsidP="00BF385E">
      <w:pPr>
        <w:spacing w:line="360" w:lineRule="auto"/>
        <w:jc w:val="both"/>
        <w:rPr>
          <w:rFonts w:cs="Times New Roman"/>
          <w:szCs w:val="24"/>
          <w:lang w:val="en-US"/>
        </w:rPr>
      </w:pPr>
      <w:r w:rsidRPr="00BF385E">
        <w:rPr>
          <w:rFonts w:cs="Times New Roman"/>
          <w:szCs w:val="24"/>
          <w:lang w:val="en-US"/>
        </w:rPr>
        <w:t>2023 Calculation:</w:t>
      </w:r>
    </w:p>
    <w:p w14:paraId="3E565A5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X₁ = (£258,851 - £161,148) / £355,872 = 0.275</w:t>
      </w:r>
    </w:p>
    <w:p w14:paraId="11D4702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X₂ = £232,460 / £355,872 = 0.653</w:t>
      </w:r>
    </w:p>
    <w:p w14:paraId="1DDE887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X₃ = -£85,301 / £355,872 = -0.240</w:t>
      </w:r>
    </w:p>
    <w:p w14:paraId="7D270FD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X₄ = £178,920 / £176,952 = 1.011</w:t>
      </w:r>
    </w:p>
    <w:p w14:paraId="69603928" w14:textId="3A6F0C5B" w:rsidR="006A6157" w:rsidRPr="00BF385E" w:rsidRDefault="006A6157" w:rsidP="00BF385E">
      <w:pPr>
        <w:spacing w:line="360" w:lineRule="auto"/>
        <w:jc w:val="both"/>
        <w:rPr>
          <w:rFonts w:cs="Times New Roman"/>
          <w:szCs w:val="24"/>
          <w:lang w:val="en-US"/>
        </w:rPr>
      </w:pPr>
      <w:r w:rsidRPr="00BF385E">
        <w:rPr>
          <w:rFonts w:cs="Times New Roman"/>
          <w:szCs w:val="24"/>
          <w:lang w:val="en-US"/>
        </w:rPr>
        <w:t>X₅ = £420,457 / £355,872 = 1.181</w:t>
      </w:r>
    </w:p>
    <w:p w14:paraId="2B7D9FE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Z-Score 2023 = 1.2(0.275) + 1.4(0.653) + 3.3(-0.240) + 0.6(1.011) + 1.0(1.181)</w:t>
      </w:r>
    </w:p>
    <w:p w14:paraId="0D6B473E" w14:textId="60A465C8" w:rsidR="006A6157" w:rsidRPr="00BF385E" w:rsidRDefault="006A6157" w:rsidP="00BF385E">
      <w:pPr>
        <w:spacing w:line="360" w:lineRule="auto"/>
        <w:jc w:val="both"/>
        <w:rPr>
          <w:rFonts w:cs="Times New Roman"/>
          <w:szCs w:val="24"/>
          <w:lang w:val="en-US"/>
        </w:rPr>
      </w:pPr>
      <w:r w:rsidRPr="00BF385E">
        <w:rPr>
          <w:rFonts w:cs="Times New Roman"/>
          <w:szCs w:val="24"/>
          <w:lang w:val="en-US"/>
        </w:rPr>
        <w:t>Z-Score 2023 = 0.330 + 0.914 - 0.792 + 0.607 + 1.181 = 2.24</w:t>
      </w:r>
      <w:r w:rsidR="00285037" w:rsidRPr="00BF385E">
        <w:rPr>
          <w:rFonts w:cs="Times New Roman"/>
          <w:szCs w:val="24"/>
          <w:lang w:val="en-US"/>
        </w:rPr>
        <w:t xml:space="preserve"> (Issa et al., 2024)</w:t>
      </w:r>
    </w:p>
    <w:p w14:paraId="6E019889" w14:textId="5139D381"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Interpretation:</w:t>
      </w:r>
    </w:p>
    <w:p w14:paraId="4E45BE6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Z &gt; 2.99: Safe zone (low bankruptcy risk)</w:t>
      </w:r>
    </w:p>
    <w:p w14:paraId="64A627F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1.81 &lt; Z &lt; 2.99: Grey zone (moderate bankruptcy risk)</w:t>
      </w:r>
    </w:p>
    <w:p w14:paraId="5909C2FC" w14:textId="3273CA8A" w:rsidR="006A6157" w:rsidRPr="00BF385E" w:rsidRDefault="006A6157" w:rsidP="00BF385E">
      <w:pPr>
        <w:spacing w:line="360" w:lineRule="auto"/>
        <w:jc w:val="both"/>
        <w:rPr>
          <w:rFonts w:cs="Times New Roman"/>
          <w:szCs w:val="24"/>
          <w:lang w:val="en-US"/>
        </w:rPr>
      </w:pPr>
      <w:r w:rsidRPr="00BF385E">
        <w:rPr>
          <w:rFonts w:cs="Times New Roman"/>
          <w:szCs w:val="24"/>
          <w:lang w:val="en-US"/>
        </w:rPr>
        <w:t>Z &lt; 1.81: Distress zone (high bankruptcy risk)</w:t>
      </w:r>
    </w:p>
    <w:p w14:paraId="668A2DA3" w14:textId="6627F088" w:rsidR="006A6157" w:rsidRPr="00BF385E" w:rsidRDefault="003D493E" w:rsidP="00BF385E">
      <w:pPr>
        <w:spacing w:line="360" w:lineRule="auto"/>
        <w:jc w:val="both"/>
        <w:rPr>
          <w:rFonts w:cs="Times New Roman"/>
          <w:szCs w:val="24"/>
          <w:lang w:val="en-US"/>
        </w:rPr>
      </w:pPr>
      <w:r w:rsidRPr="00BF385E">
        <w:rPr>
          <w:rFonts w:cs="Times New Roman"/>
          <w:szCs w:val="24"/>
          <w:lang w:val="en-US"/>
        </w:rPr>
        <w:t xml:space="preserve">In 2024, General Electronics is rated 2.82 and in the 2023, the company is rated 2.24, which puts the company at the grey zone with a high risk of bankruptcy. The 2023 distress level was at a very </w:t>
      </w:r>
      <w:r w:rsidRPr="00BF385E">
        <w:rPr>
          <w:rFonts w:cs="Times New Roman"/>
          <w:szCs w:val="24"/>
          <w:lang w:val="en-US"/>
        </w:rPr>
        <w:lastRenderedPageBreak/>
        <w:t>high risk of 2.24. Though the situation has been bettered in 2024, the company still stands to be in poor health of being subjected to insolvency without taking immediate corrective measures</w:t>
      </w:r>
      <w:r w:rsidR="00285037" w:rsidRPr="00BF385E">
        <w:rPr>
          <w:rFonts w:cs="Times New Roman"/>
          <w:szCs w:val="24"/>
          <w:lang w:val="en-US"/>
        </w:rPr>
        <w:t xml:space="preserve"> (Dewi, </w:t>
      </w:r>
      <w:proofErr w:type="spellStart"/>
      <w:r w:rsidR="00285037" w:rsidRPr="00BF385E">
        <w:rPr>
          <w:rFonts w:cs="Times New Roman"/>
          <w:szCs w:val="24"/>
          <w:lang w:val="en-US"/>
        </w:rPr>
        <w:t>Dwivinna</w:t>
      </w:r>
      <w:proofErr w:type="spellEnd"/>
      <w:r w:rsidR="00285037" w:rsidRPr="00BF385E">
        <w:rPr>
          <w:rFonts w:cs="Times New Roman"/>
          <w:szCs w:val="24"/>
          <w:lang w:val="en-US"/>
        </w:rPr>
        <w:t xml:space="preserve"> Nadine, </w:t>
      </w:r>
      <w:proofErr w:type="spellStart"/>
      <w:r w:rsidR="00285037" w:rsidRPr="00BF385E">
        <w:rPr>
          <w:rFonts w:cs="Times New Roman"/>
          <w:szCs w:val="24"/>
          <w:lang w:val="en-US"/>
        </w:rPr>
        <w:t>Murhadi</w:t>
      </w:r>
      <w:proofErr w:type="spellEnd"/>
      <w:r w:rsidR="00285037" w:rsidRPr="00BF385E">
        <w:rPr>
          <w:rFonts w:cs="Times New Roman"/>
          <w:szCs w:val="24"/>
          <w:lang w:val="en-US"/>
        </w:rPr>
        <w:t xml:space="preserve"> and </w:t>
      </w:r>
      <w:proofErr w:type="spellStart"/>
      <w:r w:rsidR="00285037" w:rsidRPr="00BF385E">
        <w:rPr>
          <w:rFonts w:cs="Times New Roman"/>
          <w:szCs w:val="24"/>
          <w:lang w:val="en-US"/>
        </w:rPr>
        <w:t>Sutejo</w:t>
      </w:r>
      <w:proofErr w:type="spellEnd"/>
      <w:r w:rsidR="00285037" w:rsidRPr="00BF385E">
        <w:rPr>
          <w:rFonts w:cs="Times New Roman"/>
          <w:szCs w:val="24"/>
          <w:lang w:val="en-US"/>
        </w:rPr>
        <w:t>, 2023)</w:t>
      </w:r>
      <w:r w:rsidRPr="00BF385E">
        <w:rPr>
          <w:rFonts w:cs="Times New Roman"/>
          <w:szCs w:val="24"/>
          <w:lang w:val="en-US"/>
        </w:rPr>
        <w:t>.</w:t>
      </w:r>
    </w:p>
    <w:p w14:paraId="5E05BC3A" w14:textId="77777777" w:rsidR="006A6157" w:rsidRPr="00BF385E" w:rsidRDefault="006A6157" w:rsidP="00BF385E">
      <w:pPr>
        <w:pStyle w:val="Heading2"/>
        <w:spacing w:line="360" w:lineRule="auto"/>
        <w:jc w:val="both"/>
        <w:rPr>
          <w:rFonts w:cs="Times New Roman"/>
          <w:szCs w:val="24"/>
          <w:lang w:val="en-US"/>
        </w:rPr>
      </w:pPr>
      <w:bookmarkStart w:id="8" w:name="_Toc213242427"/>
      <w:r w:rsidRPr="00BF385E">
        <w:rPr>
          <w:rFonts w:cs="Times New Roman"/>
          <w:szCs w:val="24"/>
          <w:lang w:val="en-US"/>
        </w:rPr>
        <w:t>1.7 Key Findings and Trends</w:t>
      </w:r>
      <w:bookmarkEnd w:id="8"/>
    </w:p>
    <w:p w14:paraId="7A0C2A0A" w14:textId="254391FC" w:rsidR="003D493E" w:rsidRPr="00BF385E" w:rsidRDefault="003D493E" w:rsidP="00BF385E">
      <w:pPr>
        <w:spacing w:line="360" w:lineRule="auto"/>
        <w:jc w:val="both"/>
        <w:rPr>
          <w:rFonts w:cs="Times New Roman"/>
          <w:szCs w:val="24"/>
          <w:lang w:val="en-US"/>
        </w:rPr>
      </w:pPr>
      <w:r w:rsidRPr="00BF385E">
        <w:rPr>
          <w:rFonts w:cs="Times New Roman"/>
          <w:b/>
          <w:bCs/>
          <w:szCs w:val="24"/>
          <w:lang w:val="en-US"/>
        </w:rPr>
        <w:t>Strengths</w:t>
      </w:r>
      <w:r w:rsidRPr="00BF385E">
        <w:rPr>
          <w:rFonts w:cs="Times New Roman"/>
          <w:szCs w:val="24"/>
          <w:lang w:val="en-US"/>
        </w:rPr>
        <w:t>: The management of costs is indicated by better gross margins of 28.9 in 2024; inventory management with faster turnover of 131 to 103 days; current ratio of 1.0 or above which supports the basic liquidity; the levels of absolute debt dropped £88 to £37 million; the Z-Score improved slightly by 2.24 to 2.82.</w:t>
      </w:r>
    </w:p>
    <w:p w14:paraId="7CF4181C" w14:textId="6B2EC3BB" w:rsidR="006A6157" w:rsidRPr="00BF385E" w:rsidRDefault="003D493E" w:rsidP="00BF385E">
      <w:pPr>
        <w:spacing w:line="360" w:lineRule="auto"/>
        <w:jc w:val="both"/>
        <w:rPr>
          <w:rFonts w:cs="Times New Roman"/>
          <w:szCs w:val="24"/>
          <w:lang w:val="en-US"/>
        </w:rPr>
      </w:pPr>
      <w:r w:rsidRPr="00BF385E">
        <w:rPr>
          <w:rFonts w:cs="Times New Roman"/>
          <w:b/>
          <w:bCs/>
          <w:szCs w:val="24"/>
          <w:lang w:val="en-US"/>
        </w:rPr>
        <w:t>Threats</w:t>
      </w:r>
      <w:r w:rsidRPr="00BF385E">
        <w:rPr>
          <w:rFonts w:cs="Times New Roman"/>
          <w:szCs w:val="24"/>
          <w:lang w:val="en-US"/>
        </w:rPr>
        <w:t>: Disastrous 36% reduction of revenue in five years; two years of heavy losses amounting to £122 million; very dark operating margins of -3.9%; periodic decline of collection periods to 106 days; little cash positions to meet current liabilities; high 115 operating cycle; a total failure of meeting interest payments; high bankruptcy risk with grey zone Z-Score; high 51% equity loss; excessive dependence on short-term debt financing which produces refinancing risk</w:t>
      </w:r>
      <w:r w:rsidR="00285037" w:rsidRPr="00BF385E">
        <w:rPr>
          <w:rFonts w:cs="Times New Roman"/>
          <w:szCs w:val="24"/>
          <w:lang w:val="en-US"/>
        </w:rPr>
        <w:t xml:space="preserve"> (Dewi, </w:t>
      </w:r>
      <w:proofErr w:type="spellStart"/>
      <w:r w:rsidR="00285037" w:rsidRPr="00BF385E">
        <w:rPr>
          <w:rFonts w:cs="Times New Roman"/>
          <w:szCs w:val="24"/>
          <w:lang w:val="en-US"/>
        </w:rPr>
        <w:t>Dwivinna</w:t>
      </w:r>
      <w:proofErr w:type="spellEnd"/>
      <w:r w:rsidR="00285037" w:rsidRPr="00BF385E">
        <w:rPr>
          <w:rFonts w:cs="Times New Roman"/>
          <w:szCs w:val="24"/>
          <w:lang w:val="en-US"/>
        </w:rPr>
        <w:t xml:space="preserve"> Nadine, </w:t>
      </w:r>
      <w:proofErr w:type="spellStart"/>
      <w:r w:rsidR="00285037" w:rsidRPr="00BF385E">
        <w:rPr>
          <w:rFonts w:cs="Times New Roman"/>
          <w:szCs w:val="24"/>
          <w:lang w:val="en-US"/>
        </w:rPr>
        <w:t>Murhadi</w:t>
      </w:r>
      <w:proofErr w:type="spellEnd"/>
      <w:r w:rsidR="00285037" w:rsidRPr="00BF385E">
        <w:rPr>
          <w:rFonts w:cs="Times New Roman"/>
          <w:szCs w:val="24"/>
          <w:lang w:val="en-US"/>
        </w:rPr>
        <w:t xml:space="preserve"> and </w:t>
      </w:r>
      <w:proofErr w:type="spellStart"/>
      <w:r w:rsidR="00285037" w:rsidRPr="00BF385E">
        <w:rPr>
          <w:rFonts w:cs="Times New Roman"/>
          <w:szCs w:val="24"/>
          <w:lang w:val="en-US"/>
        </w:rPr>
        <w:t>Sutejo</w:t>
      </w:r>
      <w:proofErr w:type="spellEnd"/>
      <w:r w:rsidR="00285037" w:rsidRPr="00BF385E">
        <w:rPr>
          <w:rFonts w:cs="Times New Roman"/>
          <w:szCs w:val="24"/>
          <w:lang w:val="en-US"/>
        </w:rPr>
        <w:t>, 2023)</w:t>
      </w:r>
      <w:r w:rsidRPr="00BF385E">
        <w:rPr>
          <w:rFonts w:cs="Times New Roman"/>
          <w:szCs w:val="24"/>
          <w:lang w:val="en-US"/>
        </w:rPr>
        <w:t>.</w:t>
      </w:r>
    </w:p>
    <w:p w14:paraId="5EAB3063" w14:textId="75B0D856" w:rsidR="006A6157" w:rsidRPr="00BF385E" w:rsidRDefault="006A6157" w:rsidP="00BF385E">
      <w:pPr>
        <w:pStyle w:val="Heading1"/>
        <w:spacing w:line="360" w:lineRule="auto"/>
        <w:jc w:val="both"/>
        <w:rPr>
          <w:rFonts w:cs="Times New Roman"/>
          <w:szCs w:val="24"/>
          <w:lang w:val="en-US"/>
        </w:rPr>
      </w:pPr>
      <w:bookmarkStart w:id="9" w:name="_Toc213242428"/>
      <w:r w:rsidRPr="00BF385E">
        <w:rPr>
          <w:rFonts w:cs="Times New Roman"/>
          <w:szCs w:val="24"/>
          <w:lang w:val="en-US"/>
        </w:rPr>
        <w:t>2. Working Capital Management Analysis</w:t>
      </w:r>
      <w:bookmarkEnd w:id="9"/>
    </w:p>
    <w:p w14:paraId="5A4D4CE0" w14:textId="77777777" w:rsidR="007D0AE3" w:rsidRPr="00BF385E" w:rsidRDefault="006A6157" w:rsidP="00BF385E">
      <w:pPr>
        <w:pStyle w:val="Heading2"/>
        <w:spacing w:line="360" w:lineRule="auto"/>
        <w:jc w:val="both"/>
        <w:rPr>
          <w:rFonts w:cs="Times New Roman"/>
          <w:szCs w:val="24"/>
          <w:lang w:val="en-US"/>
        </w:rPr>
      </w:pPr>
      <w:bookmarkStart w:id="10" w:name="_Toc213242429"/>
      <w:r w:rsidRPr="00BF385E">
        <w:rPr>
          <w:rFonts w:cs="Times New Roman"/>
          <w:szCs w:val="24"/>
          <w:lang w:val="en-US"/>
        </w:rPr>
        <w:t>2.1 Cash Operating Cycle Assessment</w:t>
      </w:r>
      <w:bookmarkEnd w:id="10"/>
    </w:p>
    <w:p w14:paraId="32E59661" w14:textId="7093BD8B" w:rsidR="00AA2BFE" w:rsidRPr="00BF385E" w:rsidRDefault="006A6157" w:rsidP="00BF385E">
      <w:pPr>
        <w:spacing w:line="360" w:lineRule="auto"/>
        <w:jc w:val="both"/>
        <w:rPr>
          <w:rFonts w:cs="Times New Roman"/>
          <w:szCs w:val="24"/>
          <w:lang w:val="en-US"/>
        </w:rPr>
      </w:pPr>
      <w:r w:rsidRPr="00BF385E">
        <w:rPr>
          <w:rFonts w:cs="Times New Roman"/>
          <w:szCs w:val="24"/>
          <w:lang w:val="en-US"/>
        </w:rPr>
        <w:br/>
      </w:r>
      <w:r w:rsidR="00AA2BFE" w:rsidRPr="00BF385E">
        <w:rPr>
          <w:rFonts w:cs="Times New Roman"/>
          <w:szCs w:val="24"/>
          <w:lang w:val="en-US"/>
        </w:rPr>
        <w:t>The operating cycle of the cash of General Electronics is 115 days, and this indicates tremendous inefficiencies in the management of the working capital, and that about £121,206 million of constant cash investment is necessary to sustain the operations. The breakdown indicates that the inventory is held in 103 days which is tied up £79,355 million as receivables is yet to be collected in 106 days which is tied up £114,182 million. This is partially compensated with 94 days of supplier credit of £72,031 million. A long cycle puts pressure on liquidity and causes restriction on flexibility in operations</w:t>
      </w:r>
      <w:r w:rsidR="00285037" w:rsidRPr="00BF385E">
        <w:rPr>
          <w:rFonts w:cs="Times New Roman"/>
          <w:szCs w:val="24"/>
          <w:lang w:val="en-US"/>
        </w:rPr>
        <w:t xml:space="preserve"> (Reyad et al., 2022)</w:t>
      </w:r>
      <w:r w:rsidR="00AA2BFE" w:rsidRPr="00BF385E">
        <w:rPr>
          <w:rFonts w:cs="Times New Roman"/>
          <w:szCs w:val="24"/>
          <w:lang w:val="en-US"/>
        </w:rPr>
        <w:t>.</w:t>
      </w:r>
    </w:p>
    <w:p w14:paraId="1B09659A" w14:textId="493DC9A1" w:rsidR="006A6157" w:rsidRPr="006A6157" w:rsidRDefault="00AA2BFE" w:rsidP="00BF385E">
      <w:pPr>
        <w:spacing w:line="360" w:lineRule="auto"/>
        <w:jc w:val="both"/>
        <w:rPr>
          <w:rFonts w:cs="Times New Roman"/>
          <w:szCs w:val="24"/>
          <w:lang w:val="en-US"/>
        </w:rPr>
      </w:pPr>
      <w:r w:rsidRPr="00BF385E">
        <w:rPr>
          <w:rFonts w:cs="Times New Roman"/>
          <w:szCs w:val="24"/>
          <w:lang w:val="en-US"/>
        </w:rPr>
        <w:t xml:space="preserve">The current 106 days receivables are well above the standard of 60-75 days in the consumer electronics industry, which is an indicator of the possible credit management issues. Late payment of customers can be as a result of product quality wrangles; non-functional collection methods or the customers take advantage of the fact that the firm has a weak bargaining power. An additional day of receivables has a tie of an approximate amount of £1,082 million of cash which can be used </w:t>
      </w:r>
      <w:r w:rsidRPr="00BF385E">
        <w:rPr>
          <w:rFonts w:cs="Times New Roman"/>
          <w:szCs w:val="24"/>
          <w:lang w:val="en-US"/>
        </w:rPr>
        <w:lastRenderedPageBreak/>
        <w:t>in running the business or lowering the debts</w:t>
      </w:r>
      <w:r w:rsidR="00285037" w:rsidRPr="00BF385E">
        <w:rPr>
          <w:rFonts w:cs="Times New Roman"/>
          <w:szCs w:val="24"/>
          <w:lang w:val="en-US"/>
        </w:rPr>
        <w:t xml:space="preserve"> (Reyad et al., 2022)</w:t>
      </w:r>
      <w:r w:rsidRPr="00BF385E">
        <w:rPr>
          <w:rFonts w:cs="Times New Roman"/>
          <w:szCs w:val="24"/>
          <w:lang w:val="en-US"/>
        </w:rPr>
        <w:t>. Although the level of inventory is normal in the industry, it represents a risk since there is high rate of technological change which can lead to obsolescence. The company needs to strike a balance between the level of customer service, stock carrying and low capital lock-up. In the meantime, the supplier credit period of 94 days, compared to 69 days in 2020 indicates the company stretching to maintain cash. Much as this is useful in the short term, the practice has the risk of destroying supplier relations by issuing tougher credit terms or cancellation of supplies</w:t>
      </w:r>
      <w:r w:rsidR="00285037" w:rsidRPr="00BF385E">
        <w:rPr>
          <w:rFonts w:cs="Times New Roman"/>
          <w:szCs w:val="24"/>
          <w:lang w:val="en-US"/>
        </w:rPr>
        <w:t xml:space="preserve"> (Arora and Saurabh, 2022)</w:t>
      </w:r>
      <w:r w:rsidRPr="00BF385E">
        <w:rPr>
          <w:rFonts w:cs="Times New Roman"/>
          <w:szCs w:val="24"/>
          <w:lang w:val="en-US"/>
        </w:rPr>
        <w:t>.</w:t>
      </w:r>
    </w:p>
    <w:p w14:paraId="528B72CD" w14:textId="77777777" w:rsidR="006A6157" w:rsidRPr="00BF385E" w:rsidRDefault="006A6157" w:rsidP="00BF385E">
      <w:pPr>
        <w:pStyle w:val="Heading2"/>
        <w:spacing w:line="360" w:lineRule="auto"/>
        <w:jc w:val="both"/>
        <w:rPr>
          <w:rFonts w:cs="Times New Roman"/>
          <w:szCs w:val="24"/>
          <w:lang w:val="en-US"/>
        </w:rPr>
      </w:pPr>
      <w:bookmarkStart w:id="11" w:name="_Toc213242430"/>
      <w:r w:rsidRPr="00BF385E">
        <w:rPr>
          <w:rFonts w:cs="Times New Roman"/>
          <w:szCs w:val="24"/>
          <w:lang w:val="en-US"/>
        </w:rPr>
        <w:t>2.2 Liquidity Improvement Strategies</w:t>
      </w:r>
      <w:bookmarkEnd w:id="11"/>
    </w:p>
    <w:p w14:paraId="70460B9A" w14:textId="4CC566AD"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Accounts Receivable Acceleration</w:t>
      </w:r>
      <w:r w:rsidRPr="00BF385E">
        <w:rPr>
          <w:rFonts w:cs="Times New Roman"/>
          <w:szCs w:val="24"/>
          <w:lang w:val="en-US"/>
        </w:rPr>
        <w:t>: The collection of the receivables should be improved as soon as possible. Early payment of 2% discount on settlement within the 30 days would reduce the collection time by an estimated 38 days and release cash amount of about £41 million at a relatively small £4 million expenses. The supplementary controls are tougher credit checks, reduced credit limits, electronic reminders and special collection teams to maintain the overdue accounts</w:t>
      </w:r>
      <w:r w:rsidR="00285037" w:rsidRPr="00BF385E">
        <w:rPr>
          <w:rFonts w:cs="Times New Roman"/>
          <w:szCs w:val="24"/>
          <w:lang w:val="en-US"/>
        </w:rPr>
        <w:t xml:space="preserve"> (Arora and Saurabh, 2022)</w:t>
      </w:r>
      <w:r w:rsidRPr="00BF385E">
        <w:rPr>
          <w:rFonts w:cs="Times New Roman"/>
          <w:szCs w:val="24"/>
          <w:lang w:val="en-US"/>
        </w:rPr>
        <w:t>. Frequent aging reports would improve supervision. Also, factoring or invoice discounting would turn receivables into liquid cash immediately; selling £114 million at 2-3% would generate £108-111 million which is essential cash regardless of the expense.</w:t>
      </w:r>
    </w:p>
    <w:p w14:paraId="647CE7F7" w14:textId="0F297660"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 xml:space="preserve">Inventory Optimization: </w:t>
      </w:r>
      <w:r w:rsidRPr="00BF385E">
        <w:rPr>
          <w:rFonts w:cs="Times New Roman"/>
          <w:szCs w:val="24"/>
          <w:lang w:val="en-US"/>
        </w:rPr>
        <w:t>Implementation of just in time and vendor managed inventory systems would decrease holding time up to 20-30, £16-24 million of cash would be freed without jeopardizing customer service. An AI-based demand forecasting would contribute to better planning of production and elimination of additional inventory. Getting out of old inventory by way of promotions or by way of liquidation 70% of cost (£20 million) of stock would give a cash of £14 million with minimum depreciation and warehousing expenses</w:t>
      </w:r>
      <w:r w:rsidR="00285037" w:rsidRPr="00BF385E">
        <w:rPr>
          <w:rFonts w:cs="Times New Roman"/>
          <w:szCs w:val="24"/>
          <w:lang w:val="en-US"/>
        </w:rPr>
        <w:t xml:space="preserve"> (Akbar et al., 2022)</w:t>
      </w:r>
      <w:r w:rsidRPr="00BF385E">
        <w:rPr>
          <w:rFonts w:cs="Times New Roman"/>
          <w:szCs w:val="24"/>
          <w:lang w:val="en-US"/>
        </w:rPr>
        <w:t xml:space="preserve">. The negotiation of the </w:t>
      </w:r>
      <w:proofErr w:type="spellStart"/>
      <w:r w:rsidRPr="00BF385E">
        <w:rPr>
          <w:rFonts w:cs="Times New Roman"/>
          <w:szCs w:val="24"/>
          <w:lang w:val="en-US"/>
        </w:rPr>
        <w:t>consession</w:t>
      </w:r>
      <w:proofErr w:type="spellEnd"/>
      <w:r w:rsidRPr="00BF385E">
        <w:rPr>
          <w:rFonts w:cs="Times New Roman"/>
          <w:szCs w:val="24"/>
          <w:lang w:val="en-US"/>
        </w:rPr>
        <w:t xml:space="preserve"> agreements of 15% of products would further save approximately £12million by handing over the inventory to the suppliers up to the time of sale.</w:t>
      </w:r>
    </w:p>
    <w:p w14:paraId="42A37681" w14:textId="61F81CCF" w:rsidR="006A6157" w:rsidRPr="006A6157" w:rsidRDefault="00AA2BFE" w:rsidP="00BF385E">
      <w:pPr>
        <w:spacing w:line="360" w:lineRule="auto"/>
        <w:jc w:val="both"/>
        <w:rPr>
          <w:rFonts w:cs="Times New Roman"/>
          <w:szCs w:val="24"/>
          <w:lang w:val="en-US"/>
        </w:rPr>
      </w:pPr>
      <w:r w:rsidRPr="00BF385E">
        <w:rPr>
          <w:rFonts w:cs="Times New Roman"/>
          <w:b/>
          <w:bCs/>
          <w:szCs w:val="24"/>
          <w:lang w:val="en-US"/>
        </w:rPr>
        <w:t>Working Capital Line Optimization</w:t>
      </w:r>
      <w:r w:rsidRPr="00BF385E">
        <w:rPr>
          <w:rFonts w:cs="Times New Roman"/>
          <w:szCs w:val="24"/>
          <w:lang w:val="en-US"/>
        </w:rPr>
        <w:t>: The company is currently dependent on £37 million short-term credit lines to expose it to the refinancing risk and changes in interest rates. To enable stable liquidity and longer tenor, it will be beneficial to obtain a stable revolving credit facility of £50 million at LIBOR + 2.5% (or approximately £1.6 million in yearly cost). By launching cash pooling and automatic swee</w:t>
      </w:r>
      <w:r w:rsidR="00285037" w:rsidRPr="00BF385E">
        <w:rPr>
          <w:rFonts w:cs="Times New Roman"/>
          <w:szCs w:val="24"/>
          <w:lang w:val="en-US"/>
        </w:rPr>
        <w:t>ps</w:t>
      </w:r>
      <w:r w:rsidRPr="00BF385E">
        <w:rPr>
          <w:rFonts w:cs="Times New Roman"/>
          <w:szCs w:val="24"/>
          <w:lang w:val="en-US"/>
        </w:rPr>
        <w:t xml:space="preserve"> across the various subsidiaries, the idle cash within one subsidiary </w:t>
      </w:r>
      <w:r w:rsidRPr="00BF385E">
        <w:rPr>
          <w:rFonts w:cs="Times New Roman"/>
          <w:szCs w:val="24"/>
          <w:lang w:val="en-US"/>
        </w:rPr>
        <w:lastRenderedPageBreak/>
        <w:t>would counteract the shortages within other subsidiaries thereby reducing the amount of external borrowing and ensuring that the available funds are fully utilized</w:t>
      </w:r>
      <w:r w:rsidR="00285037" w:rsidRPr="00BF385E">
        <w:rPr>
          <w:rFonts w:cs="Times New Roman"/>
          <w:szCs w:val="24"/>
          <w:lang w:val="en-US"/>
        </w:rPr>
        <w:t xml:space="preserve"> (Akbar et al., 2022)</w:t>
      </w:r>
      <w:r w:rsidRPr="00BF385E">
        <w:rPr>
          <w:rFonts w:cs="Times New Roman"/>
          <w:szCs w:val="24"/>
          <w:lang w:val="en-US"/>
        </w:rPr>
        <w:t>.</w:t>
      </w:r>
    </w:p>
    <w:p w14:paraId="1405FA33" w14:textId="77777777" w:rsidR="006A6157" w:rsidRPr="00BF385E" w:rsidRDefault="006A6157" w:rsidP="00BF385E">
      <w:pPr>
        <w:pStyle w:val="Heading2"/>
        <w:spacing w:line="360" w:lineRule="auto"/>
        <w:jc w:val="both"/>
        <w:rPr>
          <w:rFonts w:cs="Times New Roman"/>
          <w:szCs w:val="24"/>
          <w:lang w:val="en-US"/>
        </w:rPr>
      </w:pPr>
      <w:bookmarkStart w:id="12" w:name="_Toc213242431"/>
      <w:r w:rsidRPr="00BF385E">
        <w:rPr>
          <w:rFonts w:cs="Times New Roman"/>
          <w:szCs w:val="24"/>
          <w:lang w:val="en-US"/>
        </w:rPr>
        <w:t>2.3 Short-Term versus Long-Term Financing Comparison</w:t>
      </w:r>
      <w:bookmarkEnd w:id="12"/>
    </w:p>
    <w:p w14:paraId="2FEF1D39" w14:textId="28E5E463"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Short-Term Financing</w:t>
      </w:r>
      <w:r w:rsidRPr="00BF385E">
        <w:rPr>
          <w:rFonts w:cs="Times New Roman"/>
          <w:szCs w:val="24"/>
          <w:lang w:val="en-US"/>
        </w:rPr>
        <w:t>: The overreliance of the company on the £37 million short-term credit at rates of approximately 3.5-4 is associated with significant risks. The loan recalls or the increase of cost of borrowing could be provoked by the uncertainty of refinancing, the breach of the covenants of the loans or fluctuation of the interest rate. Constant liquidity pressure by such facilities also shifts the management attention to restructuring to survival</w:t>
      </w:r>
      <w:r w:rsidR="00285037" w:rsidRPr="00BF385E">
        <w:rPr>
          <w:rFonts w:cs="Times New Roman"/>
          <w:szCs w:val="24"/>
          <w:lang w:val="en-US"/>
        </w:rPr>
        <w:t xml:space="preserve"> (Celestin, 2025)</w:t>
      </w:r>
      <w:r w:rsidRPr="00BF385E">
        <w:rPr>
          <w:rFonts w:cs="Times New Roman"/>
          <w:szCs w:val="24"/>
          <w:lang w:val="en-US"/>
        </w:rPr>
        <w:t>.</w:t>
      </w:r>
    </w:p>
    <w:p w14:paraId="69C6C97B" w14:textId="7315D2AD"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Long-Term Financing Alternatives</w:t>
      </w:r>
      <w:r w:rsidRPr="00BF385E">
        <w:rPr>
          <w:rFonts w:cs="Times New Roman"/>
          <w:szCs w:val="24"/>
          <w:lang w:val="en-US"/>
        </w:rPr>
        <w:t>: Switching to long term funding will stabilize the liquidity and facilitate the turn around. An annual payment of £2.6 million would be incurred on a 5-year £40 million fixed rate £40M term loan, which would do away with refinancing risks. Alternatively, 7-8% £50 -million senior security bonds would increase liquidity and provide insurance to the investors since the securities are backed by assets</w:t>
      </w:r>
      <w:r w:rsidR="00285037" w:rsidRPr="00BF385E">
        <w:rPr>
          <w:rFonts w:cs="Times New Roman"/>
          <w:szCs w:val="24"/>
          <w:lang w:val="en-US"/>
        </w:rPr>
        <w:t xml:space="preserve"> (Celestin, 2025)</w:t>
      </w:r>
      <w:r w:rsidRPr="00BF385E">
        <w:rPr>
          <w:rFonts w:cs="Times New Roman"/>
          <w:szCs w:val="24"/>
          <w:lang w:val="en-US"/>
        </w:rPr>
        <w:t>. £30 million convertible bonds at 5% coupon and at equity conversion right may lower the immediate cash interest to £1.5 million and harmonize the interests of the investor and the shareholder even in case of dilution.</w:t>
      </w:r>
    </w:p>
    <w:p w14:paraId="46A272D3" w14:textId="0048FD93" w:rsidR="006A6157" w:rsidRPr="00BF385E" w:rsidRDefault="00AA2BFE" w:rsidP="00BF385E">
      <w:pPr>
        <w:spacing w:line="360" w:lineRule="auto"/>
        <w:jc w:val="both"/>
        <w:rPr>
          <w:rFonts w:cs="Times New Roman"/>
          <w:szCs w:val="24"/>
          <w:lang w:val="en-US"/>
        </w:rPr>
      </w:pPr>
      <w:r w:rsidRPr="00BF385E">
        <w:rPr>
          <w:rFonts w:cs="Times New Roman"/>
          <w:b/>
          <w:bCs/>
          <w:szCs w:val="24"/>
          <w:lang w:val="en-US"/>
        </w:rPr>
        <w:t>Recommendation:</w:t>
      </w:r>
      <w:r w:rsidRPr="00BF385E">
        <w:rPr>
          <w:rFonts w:cs="Times New Roman"/>
          <w:szCs w:val="24"/>
          <w:lang w:val="en-US"/>
        </w:rPr>
        <w:t xml:space="preserve"> The best financing structure is one that is mixed. The firm ought to have a £20 million revolving facility to allow it to be flexible, £30 million term loan to enable the firm to have a stable working capital, and also issue £20 million convertible bonds. At approximately £4 million per year, this medium-ground level will offer necessary liquidity stability, as well as breathing space. The maturity mix eases the burden of refinancing and helps in turnaround sustainability</w:t>
      </w:r>
      <w:r w:rsidR="00285037" w:rsidRPr="00BF385E">
        <w:rPr>
          <w:rFonts w:cs="Times New Roman"/>
          <w:szCs w:val="24"/>
          <w:lang w:val="en-US"/>
        </w:rPr>
        <w:t xml:space="preserve"> (Voda et al., 2021)</w:t>
      </w:r>
      <w:r w:rsidRPr="00BF385E">
        <w:rPr>
          <w:rFonts w:cs="Times New Roman"/>
          <w:szCs w:val="24"/>
          <w:lang w:val="en-US"/>
        </w:rPr>
        <w:t>.</w:t>
      </w:r>
    </w:p>
    <w:p w14:paraId="0823B273" w14:textId="13B81BFD" w:rsidR="007D0AE3" w:rsidRPr="00BF385E" w:rsidRDefault="007D0AE3" w:rsidP="00BF385E">
      <w:pPr>
        <w:pStyle w:val="Heading1"/>
        <w:spacing w:line="360" w:lineRule="auto"/>
        <w:jc w:val="both"/>
        <w:rPr>
          <w:rFonts w:cs="Times New Roman"/>
          <w:szCs w:val="24"/>
          <w:lang w:val="en-US"/>
        </w:rPr>
      </w:pPr>
      <w:bookmarkStart w:id="13" w:name="_Toc213242432"/>
      <w:r w:rsidRPr="00BF385E">
        <w:rPr>
          <w:rFonts w:cs="Times New Roman"/>
          <w:szCs w:val="24"/>
          <w:lang w:val="en-US"/>
        </w:rPr>
        <w:t>3. Strategic Financial Restructuring Plan</w:t>
      </w:r>
      <w:bookmarkEnd w:id="13"/>
    </w:p>
    <w:p w14:paraId="5C818CF7" w14:textId="77777777" w:rsidR="007D0AE3" w:rsidRPr="00BF385E" w:rsidRDefault="007D0AE3" w:rsidP="00BF385E">
      <w:pPr>
        <w:pStyle w:val="Heading2"/>
        <w:spacing w:line="360" w:lineRule="auto"/>
        <w:jc w:val="both"/>
        <w:rPr>
          <w:rFonts w:cs="Times New Roman"/>
          <w:szCs w:val="24"/>
          <w:lang w:val="en-US"/>
        </w:rPr>
      </w:pPr>
      <w:bookmarkStart w:id="14" w:name="_Toc213242433"/>
      <w:r w:rsidRPr="00BF385E">
        <w:rPr>
          <w:rFonts w:cs="Times New Roman"/>
          <w:szCs w:val="24"/>
          <w:lang w:val="en-US"/>
        </w:rPr>
        <w:t>3.1 Restructuring Options Analysis</w:t>
      </w:r>
      <w:bookmarkEnd w:id="14"/>
    </w:p>
    <w:p w14:paraId="0AA2866E" w14:textId="0B10A1D1" w:rsidR="00AA2BFE" w:rsidRPr="00BF385E" w:rsidRDefault="00AA2BFE" w:rsidP="00BF385E">
      <w:pPr>
        <w:spacing w:line="360" w:lineRule="auto"/>
        <w:jc w:val="both"/>
        <w:rPr>
          <w:rFonts w:cs="Times New Roman"/>
          <w:szCs w:val="24"/>
          <w:lang w:val="en-US"/>
        </w:rPr>
      </w:pPr>
      <w:r w:rsidRPr="00BF385E">
        <w:rPr>
          <w:rFonts w:cs="Times New Roman"/>
          <w:szCs w:val="24"/>
          <w:lang w:val="en-US"/>
        </w:rPr>
        <w:t>General Electronics is under acute stress to re-engineer its business processes and improve its balance sheet by systematically restructuring its business. Asset utilization is also at a critically low level with £34,207 million in property, plant and equipment yielding £394,879 million in revenues. A non-core plant and factory, idle capacity, and underperforming-region program will yield £15-20 million cash proceeds and save £8-10 million of operating costs every year</w:t>
      </w:r>
      <w:r w:rsidR="00285037" w:rsidRPr="00BF385E">
        <w:rPr>
          <w:rFonts w:cs="Times New Roman"/>
          <w:szCs w:val="24"/>
          <w:lang w:val="en-US"/>
        </w:rPr>
        <w:t xml:space="preserve"> (Voda et al., 2021)</w:t>
      </w:r>
      <w:r w:rsidRPr="00BF385E">
        <w:rPr>
          <w:rFonts w:cs="Times New Roman"/>
          <w:szCs w:val="24"/>
          <w:lang w:val="en-US"/>
        </w:rPr>
        <w:t xml:space="preserve">. Further divestiture- £5-8 million potential, is offered by intangible assets of £24,038 </w:t>
      </w:r>
      <w:r w:rsidRPr="00BF385E">
        <w:rPr>
          <w:rFonts w:cs="Times New Roman"/>
          <w:szCs w:val="24"/>
          <w:lang w:val="en-US"/>
        </w:rPr>
        <w:lastRenderedPageBreak/>
        <w:t>million which comprise patents, licenses and obsolete brand portfolios. Further liquidity and reduction of fixed commitments would also be achieved by reducing or subletting part of £14,322 million of right-of-use assets via renegotiated leases or early terminations. An active systematic review of low-value assets would result in total proceeds of £25-30 million in 18 months, deploying resources into core, profitable lines</w:t>
      </w:r>
      <w:r w:rsidR="00B475AC" w:rsidRPr="00BF385E">
        <w:rPr>
          <w:rFonts w:cs="Times New Roman"/>
          <w:szCs w:val="24"/>
          <w:lang w:val="en-US"/>
        </w:rPr>
        <w:t xml:space="preserve"> (Mohamad, Azad and Sifat, 2021)</w:t>
      </w:r>
      <w:r w:rsidRPr="00BF385E">
        <w:rPr>
          <w:rFonts w:cs="Times New Roman"/>
          <w:szCs w:val="24"/>
          <w:lang w:val="en-US"/>
        </w:rPr>
        <w:t>.</w:t>
      </w:r>
    </w:p>
    <w:p w14:paraId="6C647B1E" w14:textId="64643A8E" w:rsidR="007D0AE3" w:rsidRPr="00BF385E" w:rsidRDefault="00AA2BFE" w:rsidP="00BF385E">
      <w:pPr>
        <w:spacing w:line="360" w:lineRule="auto"/>
        <w:jc w:val="both"/>
        <w:rPr>
          <w:rFonts w:cs="Times New Roman"/>
          <w:szCs w:val="24"/>
          <w:lang w:val="en-US"/>
        </w:rPr>
      </w:pPr>
      <w:r w:rsidRPr="00BF385E">
        <w:rPr>
          <w:rFonts w:cs="Times New Roman"/>
          <w:szCs w:val="24"/>
          <w:lang w:val="en-US"/>
        </w:rPr>
        <w:t>Restructuring of operations should overcome the unsustainable 32.7% operating expense ratio of the company which is way above the industry norm of 22-25%. Profitability should be reinstated with cost cuts of £30-40 million. Optimization of the workforce such as administrative and overhead savings of 15-20% of the organization by layoffs, voluntary retirement, and attrition could help save £15-18 million a year. By consolidating facilities, the company would save £5-7 million each year by saving on unnecessary property expenses and operations</w:t>
      </w:r>
      <w:r w:rsidR="00B475AC" w:rsidRPr="00BF385E">
        <w:rPr>
          <w:rFonts w:cs="Times New Roman"/>
          <w:szCs w:val="24"/>
          <w:lang w:val="en-US"/>
        </w:rPr>
        <w:t xml:space="preserve"> (Mohamad, Azad and Sifat, 2021)</w:t>
      </w:r>
      <w:r w:rsidRPr="00BF385E">
        <w:rPr>
          <w:rFonts w:cs="Times New Roman"/>
          <w:szCs w:val="24"/>
          <w:lang w:val="en-US"/>
        </w:rPr>
        <w:t>. Further savings £8-10 million may be achieved through zero-based budgeting of discretionary spending on marketing, professional services and travelling. All these efforts would put the company in the position of an effective cost base and a leaner operating model.</w:t>
      </w:r>
    </w:p>
    <w:p w14:paraId="65D41F6A" w14:textId="77777777" w:rsidR="007D0AE3" w:rsidRPr="00BF385E" w:rsidRDefault="007D0AE3" w:rsidP="00BF385E">
      <w:pPr>
        <w:pStyle w:val="Heading2"/>
        <w:spacing w:line="360" w:lineRule="auto"/>
        <w:jc w:val="both"/>
        <w:rPr>
          <w:rFonts w:cs="Times New Roman"/>
          <w:szCs w:val="24"/>
          <w:lang w:val="en-US"/>
        </w:rPr>
      </w:pPr>
      <w:bookmarkStart w:id="15" w:name="_Toc213242434"/>
      <w:r w:rsidRPr="00BF385E">
        <w:rPr>
          <w:rFonts w:cs="Times New Roman"/>
          <w:szCs w:val="24"/>
          <w:lang w:val="en-US"/>
        </w:rPr>
        <w:t>3.2 Capital Structure Optimization</w:t>
      </w:r>
      <w:bookmarkEnd w:id="15"/>
    </w:p>
    <w:p w14:paraId="7DD022E8" w14:textId="3B467C36" w:rsidR="00AA2BFE" w:rsidRPr="00BF385E" w:rsidRDefault="00AA2BFE" w:rsidP="00BF385E">
      <w:pPr>
        <w:spacing w:line="360" w:lineRule="auto"/>
        <w:jc w:val="both"/>
        <w:rPr>
          <w:rFonts w:cs="Times New Roman"/>
          <w:szCs w:val="24"/>
          <w:lang w:val="en-US"/>
        </w:rPr>
      </w:pPr>
      <w:r w:rsidRPr="00BF385E">
        <w:rPr>
          <w:rFonts w:cs="Times New Roman"/>
          <w:szCs w:val="24"/>
          <w:lang w:val="en-US"/>
        </w:rPr>
        <w:t>Equity of the company dropped significantly compared to £313,301 million in the year 2020 to £153,105 million in the year 2024, which is a clear sign of extreme investor loss of confidence. An equity injection is a must to revive solvency. A rights issue among current shareholders might attract £25-30 million which would mean a managerial dedication, but dilution and low participation may limit performance. The attraction of £40-50 million of new capital will be possible by seeking strategic investors, including private equity firms or industry partners. Such investors would most likely require governance control and special treatment but would increase turnaround credibility and financial flexibility</w:t>
      </w:r>
      <w:r w:rsidR="00B475AC" w:rsidRPr="00BF385E">
        <w:rPr>
          <w:rFonts w:cs="Times New Roman"/>
          <w:szCs w:val="24"/>
          <w:lang w:val="en-US"/>
        </w:rPr>
        <w:t xml:space="preserve"> (Alam et al., 2020)</w:t>
      </w:r>
      <w:r w:rsidRPr="00BF385E">
        <w:rPr>
          <w:rFonts w:cs="Times New Roman"/>
          <w:szCs w:val="24"/>
          <w:lang w:val="en-US"/>
        </w:rPr>
        <w:t>. Moreover, the transformation of £5-7 million of yearly compensation to the employee stock ownership will keep the cash intact, enhance morale and align the staff with the corporate recovery objectives.</w:t>
      </w:r>
    </w:p>
    <w:p w14:paraId="5181D3CE" w14:textId="1D7D5F9E" w:rsidR="007D0AE3" w:rsidRPr="00BF385E" w:rsidRDefault="00AA2BFE" w:rsidP="00BF385E">
      <w:pPr>
        <w:spacing w:line="360" w:lineRule="auto"/>
        <w:jc w:val="both"/>
        <w:rPr>
          <w:rFonts w:cs="Times New Roman"/>
          <w:szCs w:val="24"/>
          <w:lang w:val="en-US"/>
        </w:rPr>
      </w:pPr>
      <w:r w:rsidRPr="00BF385E">
        <w:rPr>
          <w:rFonts w:cs="Times New Roman"/>
          <w:szCs w:val="24"/>
          <w:lang w:val="en-US"/>
        </w:rPr>
        <w:t xml:space="preserve">The equity plan must be accompanied by the debt restructuring. The existing negative interest coverage ratios run the risk of a possible default covenant and therefore, negotiating new terms of loans to continue maturity and lower the interest rates is necessary. In return of transparency and believable turnaround projections, lenders can take revised repayment schedules. A £15-20 million debt-to-equity swap would decrease the leverage and enhance solvency as well as providing </w:t>
      </w:r>
      <w:r w:rsidRPr="00BF385E">
        <w:rPr>
          <w:rFonts w:cs="Times New Roman"/>
          <w:szCs w:val="24"/>
          <w:lang w:val="en-US"/>
        </w:rPr>
        <w:lastRenderedPageBreak/>
        <w:t>creditors with a share in the future profits</w:t>
      </w:r>
      <w:r w:rsidR="00B475AC" w:rsidRPr="00BF385E">
        <w:rPr>
          <w:rFonts w:cs="Times New Roman"/>
          <w:szCs w:val="24"/>
          <w:lang w:val="en-US"/>
        </w:rPr>
        <w:t xml:space="preserve"> (Alam et al., 2020)</w:t>
      </w:r>
      <w:r w:rsidRPr="00BF385E">
        <w:rPr>
          <w:rFonts w:cs="Times New Roman"/>
          <w:szCs w:val="24"/>
          <w:lang w:val="en-US"/>
        </w:rPr>
        <w:t>. A combination of these measures would allow establishing a more sustainable capital structure and minimizing the risk of bankruptcy.</w:t>
      </w:r>
    </w:p>
    <w:p w14:paraId="7CA758C7" w14:textId="77777777" w:rsidR="007D0AE3" w:rsidRPr="00BF385E" w:rsidRDefault="007D0AE3" w:rsidP="00BF385E">
      <w:pPr>
        <w:pStyle w:val="Heading2"/>
        <w:spacing w:line="360" w:lineRule="auto"/>
        <w:jc w:val="both"/>
        <w:rPr>
          <w:rFonts w:cs="Times New Roman"/>
          <w:szCs w:val="24"/>
          <w:lang w:val="en-US"/>
        </w:rPr>
      </w:pPr>
      <w:bookmarkStart w:id="16" w:name="_Toc213242435"/>
      <w:r w:rsidRPr="00BF385E">
        <w:rPr>
          <w:rFonts w:cs="Times New Roman"/>
          <w:szCs w:val="24"/>
          <w:lang w:val="en-US"/>
        </w:rPr>
        <w:t>3.3 Impact on Shareholder Value</w:t>
      </w:r>
      <w:bookmarkEnd w:id="16"/>
    </w:p>
    <w:p w14:paraId="70E7D199" w14:textId="375962CF" w:rsidR="007D0AE3" w:rsidRPr="00BF385E" w:rsidRDefault="00AA2BFE" w:rsidP="00BF385E">
      <w:pPr>
        <w:spacing w:line="360" w:lineRule="auto"/>
        <w:jc w:val="both"/>
        <w:rPr>
          <w:rFonts w:cs="Times New Roman"/>
          <w:szCs w:val="24"/>
          <w:lang w:val="en-US"/>
        </w:rPr>
      </w:pPr>
      <w:r w:rsidRPr="00BF385E">
        <w:rPr>
          <w:rFonts w:cs="Times New Roman"/>
          <w:szCs w:val="24"/>
          <w:lang w:val="en-US"/>
        </w:rPr>
        <w:t>The reorganization will imply high dilution of equity, where the ownership of current shareholders stands at 50-60%. Even in this case, however, it is better than losing the entire value of a bankruptcy. The rebuilt investor and market confidence would be restored by the strengthened balance sheet, decreased debt burden and liquidity. With time, the decrease in financial distress risk might enhance valuation multiples and partly counter the dilution impacts</w:t>
      </w:r>
      <w:r w:rsidR="00B475AC" w:rsidRPr="00BF385E">
        <w:rPr>
          <w:rFonts w:cs="Times New Roman"/>
          <w:szCs w:val="24"/>
          <w:lang w:val="en-US"/>
        </w:rPr>
        <w:t xml:space="preserve"> (Saad, Hussain and Irshad, 2025)</w:t>
      </w:r>
      <w:r w:rsidRPr="00BF385E">
        <w:rPr>
          <w:rFonts w:cs="Times New Roman"/>
          <w:szCs w:val="24"/>
          <w:lang w:val="en-US"/>
        </w:rPr>
        <w:t>. The dividend payment should be held till profitability is leveled with all the money saved channeled towards business, debt settlement, and working liquidity to ensure the business recovers in the long term.</w:t>
      </w:r>
    </w:p>
    <w:p w14:paraId="50612F11" w14:textId="0AC2DEBE" w:rsidR="007D0AE3" w:rsidRPr="00BF385E" w:rsidRDefault="007D0AE3" w:rsidP="00BF385E">
      <w:pPr>
        <w:pStyle w:val="Heading2"/>
        <w:spacing w:line="360" w:lineRule="auto"/>
        <w:jc w:val="both"/>
        <w:rPr>
          <w:rFonts w:cs="Times New Roman"/>
          <w:szCs w:val="24"/>
          <w:lang w:val="en-US"/>
        </w:rPr>
      </w:pPr>
      <w:bookmarkStart w:id="17" w:name="_Toc213242436"/>
      <w:r w:rsidRPr="00BF385E">
        <w:rPr>
          <w:rFonts w:cs="Times New Roman"/>
          <w:szCs w:val="24"/>
          <w:lang w:val="en-US"/>
        </w:rPr>
        <w:t>3.4 International and Ethical Considerations</w:t>
      </w:r>
      <w:bookmarkEnd w:id="17"/>
    </w:p>
    <w:p w14:paraId="1A564B66" w14:textId="082D59CB" w:rsidR="00AA2BFE" w:rsidRPr="00BF385E" w:rsidRDefault="00AA2BFE" w:rsidP="00BF385E">
      <w:pPr>
        <w:spacing w:line="360" w:lineRule="auto"/>
        <w:jc w:val="both"/>
        <w:rPr>
          <w:rFonts w:cs="Times New Roman"/>
          <w:szCs w:val="24"/>
          <w:lang w:val="en-US"/>
        </w:rPr>
      </w:pPr>
      <w:r w:rsidRPr="00BF385E">
        <w:rPr>
          <w:rFonts w:cs="Times New Roman"/>
          <w:szCs w:val="24"/>
          <w:lang w:val="en-US"/>
        </w:rPr>
        <w:t>With its operations in several jurisdictions, foreign exchange volatility is one of the biggest financial risks as indicated by £28,350 million of accumulated translation losses. This exposure would be minimized by using natural hedging, i.e. matching revenues with costs in the same currency, and forward contracts and swaps. OECD-compliant transfer pricing guarantees efficiency in taxes and lowers the risk of regulation. The huge net operating loss carryforwards of the company also offer a good future tax shield when the company will resume profitability</w:t>
      </w:r>
      <w:r w:rsidR="00B475AC" w:rsidRPr="00BF385E">
        <w:rPr>
          <w:rFonts w:cs="Times New Roman"/>
          <w:szCs w:val="24"/>
          <w:lang w:val="en-US"/>
        </w:rPr>
        <w:t xml:space="preserve"> (Saad, Hussain and Irshad, 2025)</w:t>
      </w:r>
      <w:r w:rsidRPr="00BF385E">
        <w:rPr>
          <w:rFonts w:cs="Times New Roman"/>
          <w:szCs w:val="24"/>
          <w:lang w:val="en-US"/>
        </w:rPr>
        <w:t>.</w:t>
      </w:r>
    </w:p>
    <w:p w14:paraId="611BDDC5" w14:textId="57232383" w:rsidR="006A6157" w:rsidRPr="00BF385E" w:rsidRDefault="00AA2BFE" w:rsidP="00BF385E">
      <w:pPr>
        <w:spacing w:line="360" w:lineRule="auto"/>
        <w:jc w:val="both"/>
        <w:rPr>
          <w:rFonts w:cs="Times New Roman"/>
          <w:szCs w:val="24"/>
          <w:lang w:val="en-US"/>
        </w:rPr>
      </w:pPr>
      <w:r w:rsidRPr="00BF385E">
        <w:rPr>
          <w:rFonts w:cs="Times New Roman"/>
          <w:szCs w:val="24"/>
          <w:lang w:val="en-US"/>
        </w:rPr>
        <w:t>The restructuring activities have to be ethically handled to ensure that corporate reputation is not lost. The reduction of the workforce must follow the principles of fair severance, counseling, and open communication that does not violate any labor rules. Supplier contracts have to strike equilibrium between the liquidity objectives of the company and the sustainability of the suppliers to prevent supply chain failure. Managing and reorganizing sensitively with fairness, lawfulness, and transparency with stakeholders will assist in the long-term recovery, as well as boosting the trust and regaining the social license to conduct business of the company</w:t>
      </w:r>
      <w:r w:rsidR="00B475AC" w:rsidRPr="00BF385E">
        <w:rPr>
          <w:rFonts w:cs="Times New Roman"/>
          <w:szCs w:val="24"/>
          <w:lang w:val="en-US"/>
        </w:rPr>
        <w:t xml:space="preserve"> (Amir and Ghitti, 2020)</w:t>
      </w:r>
      <w:r w:rsidRPr="00BF385E">
        <w:rPr>
          <w:rFonts w:cs="Times New Roman"/>
          <w:szCs w:val="24"/>
          <w:lang w:val="en-US"/>
        </w:rPr>
        <w:t>.</w:t>
      </w:r>
    </w:p>
    <w:p w14:paraId="0517B599" w14:textId="77777777" w:rsidR="006A6157" w:rsidRPr="00BF385E" w:rsidRDefault="006A6157" w:rsidP="00BF385E">
      <w:pPr>
        <w:pStyle w:val="Heading1"/>
        <w:spacing w:line="360" w:lineRule="auto"/>
        <w:jc w:val="both"/>
        <w:rPr>
          <w:rFonts w:cs="Times New Roman"/>
          <w:szCs w:val="24"/>
          <w:lang w:val="en-US"/>
        </w:rPr>
      </w:pPr>
      <w:bookmarkStart w:id="18" w:name="_Toc213242437"/>
      <w:r w:rsidRPr="00BF385E">
        <w:rPr>
          <w:rFonts w:cs="Times New Roman"/>
          <w:szCs w:val="24"/>
          <w:lang w:val="en-US"/>
        </w:rPr>
        <w:lastRenderedPageBreak/>
        <w:t>4. Investment Appraisal and Capital Budgeting</w:t>
      </w:r>
      <w:bookmarkEnd w:id="18"/>
    </w:p>
    <w:p w14:paraId="799E58B0" w14:textId="77777777" w:rsidR="006A6157" w:rsidRPr="00BF385E" w:rsidRDefault="006A6157" w:rsidP="00BF385E">
      <w:pPr>
        <w:pStyle w:val="Heading2"/>
        <w:spacing w:line="360" w:lineRule="auto"/>
        <w:jc w:val="both"/>
        <w:rPr>
          <w:rFonts w:cs="Times New Roman"/>
          <w:szCs w:val="24"/>
          <w:lang w:val="en-US"/>
        </w:rPr>
      </w:pPr>
      <w:bookmarkStart w:id="19" w:name="_Toc213242438"/>
      <w:r w:rsidRPr="00BF385E">
        <w:rPr>
          <w:rFonts w:cs="Times New Roman"/>
          <w:szCs w:val="24"/>
          <w:lang w:val="en-US"/>
        </w:rPr>
        <w:t>4.1 Project Overview and Methodology</w:t>
      </w:r>
      <w:bookmarkEnd w:id="19"/>
    </w:p>
    <w:p w14:paraId="04B19683" w14:textId="62E00B9C" w:rsidR="00AA2BFE" w:rsidRPr="00BF385E" w:rsidRDefault="00AA2BFE" w:rsidP="00BF385E">
      <w:pPr>
        <w:spacing w:line="360" w:lineRule="auto"/>
        <w:jc w:val="both"/>
        <w:rPr>
          <w:rFonts w:cs="Times New Roman"/>
          <w:szCs w:val="24"/>
          <w:lang w:val="en-US"/>
        </w:rPr>
      </w:pPr>
      <w:r w:rsidRPr="00BF385E">
        <w:rPr>
          <w:rFonts w:cs="Times New Roman"/>
          <w:szCs w:val="24"/>
          <w:lang w:val="en-US"/>
        </w:rPr>
        <w:t>General Electronics has to mobilize the scarce capital resources in a manner that will provide the greatest recovery chances. There are three suggested investment projects, which need to be evaluated thoroughly with the help of various appraisal methods. Capital rationing restricts the total investment to £60 million which makes it essential to select projects carefully and it is possible to allocate the funds to many smaller projects instead of one large project</w:t>
      </w:r>
      <w:r w:rsidR="00B475AC" w:rsidRPr="00BF385E">
        <w:rPr>
          <w:rFonts w:cs="Times New Roman"/>
          <w:szCs w:val="24"/>
          <w:lang w:val="en-US"/>
        </w:rPr>
        <w:t xml:space="preserve"> (</w:t>
      </w:r>
      <w:proofErr w:type="spellStart"/>
      <w:r w:rsidR="00B475AC" w:rsidRPr="00BF385E">
        <w:rPr>
          <w:rFonts w:cs="Times New Roman"/>
          <w:szCs w:val="24"/>
          <w:lang w:val="en-US"/>
        </w:rPr>
        <w:t>Michalkova</w:t>
      </w:r>
      <w:proofErr w:type="spellEnd"/>
      <w:r w:rsidR="00B475AC" w:rsidRPr="00BF385E">
        <w:rPr>
          <w:rFonts w:cs="Times New Roman"/>
          <w:szCs w:val="24"/>
          <w:lang w:val="en-US"/>
        </w:rPr>
        <w:t xml:space="preserve"> and </w:t>
      </w:r>
      <w:proofErr w:type="spellStart"/>
      <w:r w:rsidR="00B475AC" w:rsidRPr="00BF385E">
        <w:rPr>
          <w:rFonts w:cs="Times New Roman"/>
          <w:szCs w:val="24"/>
          <w:lang w:val="en-US"/>
        </w:rPr>
        <w:t>Ponisciakova</w:t>
      </w:r>
      <w:proofErr w:type="spellEnd"/>
      <w:r w:rsidR="00B475AC" w:rsidRPr="00BF385E">
        <w:rPr>
          <w:rFonts w:cs="Times New Roman"/>
          <w:szCs w:val="24"/>
          <w:lang w:val="en-US"/>
        </w:rPr>
        <w:t>, 2025)</w:t>
      </w:r>
      <w:r w:rsidRPr="00BF385E">
        <w:rPr>
          <w:rFonts w:cs="Times New Roman"/>
          <w:szCs w:val="24"/>
          <w:lang w:val="en-US"/>
        </w:rPr>
        <w:t>.</w:t>
      </w:r>
    </w:p>
    <w:p w14:paraId="5D63E964" w14:textId="3E597DFA" w:rsidR="006A6157" w:rsidRPr="00BF385E" w:rsidRDefault="00AA2BFE" w:rsidP="00BF385E">
      <w:pPr>
        <w:spacing w:line="360" w:lineRule="auto"/>
        <w:jc w:val="both"/>
        <w:rPr>
          <w:rFonts w:cs="Times New Roman"/>
          <w:szCs w:val="24"/>
          <w:lang w:val="en-US"/>
        </w:rPr>
      </w:pPr>
      <w:r w:rsidRPr="00BF385E">
        <w:rPr>
          <w:rFonts w:cs="Times New Roman"/>
          <w:szCs w:val="24"/>
          <w:lang w:val="en-US"/>
        </w:rPr>
        <w:t>This analysis that is used involves five important measures of Payback Period that indicates the rate of capital recovery and risk; Average rate of Return that determines accounting profitability; Net Present value which measures absolute wealth creation; Profitability index which ranks the projects under capital constrains; and the internal rate of return which measures the expectation of returns. Each project applies 10% discount rate which represents the cost of capital of the company, and five-year of investment and straight-line depreciation to zero residual value</w:t>
      </w:r>
      <w:r w:rsidR="00B475AC" w:rsidRPr="00BF385E">
        <w:rPr>
          <w:rFonts w:cs="Times New Roman"/>
          <w:szCs w:val="24"/>
          <w:lang w:val="en-US"/>
        </w:rPr>
        <w:t xml:space="preserve"> (</w:t>
      </w:r>
      <w:proofErr w:type="spellStart"/>
      <w:r w:rsidR="00B475AC" w:rsidRPr="00BF385E">
        <w:rPr>
          <w:rFonts w:cs="Times New Roman"/>
          <w:szCs w:val="24"/>
          <w:lang w:val="en-US"/>
        </w:rPr>
        <w:t>Michalkova</w:t>
      </w:r>
      <w:proofErr w:type="spellEnd"/>
      <w:r w:rsidR="00B475AC" w:rsidRPr="00BF385E">
        <w:rPr>
          <w:rFonts w:cs="Times New Roman"/>
          <w:szCs w:val="24"/>
          <w:lang w:val="en-US"/>
        </w:rPr>
        <w:t xml:space="preserve"> and </w:t>
      </w:r>
      <w:proofErr w:type="spellStart"/>
      <w:r w:rsidR="00B475AC" w:rsidRPr="00BF385E">
        <w:rPr>
          <w:rFonts w:cs="Times New Roman"/>
          <w:szCs w:val="24"/>
          <w:lang w:val="en-US"/>
        </w:rPr>
        <w:t>Ponisciakova</w:t>
      </w:r>
      <w:proofErr w:type="spellEnd"/>
      <w:r w:rsidR="00B475AC" w:rsidRPr="00BF385E">
        <w:rPr>
          <w:rFonts w:cs="Times New Roman"/>
          <w:szCs w:val="24"/>
          <w:lang w:val="en-US"/>
        </w:rPr>
        <w:t>, 2025</w:t>
      </w:r>
      <w:proofErr w:type="gramStart"/>
      <w:r w:rsidR="00B475AC" w:rsidRPr="00BF385E">
        <w:rPr>
          <w:rFonts w:cs="Times New Roman"/>
          <w:szCs w:val="24"/>
          <w:lang w:val="en-US"/>
        </w:rPr>
        <w:t xml:space="preserve">) </w:t>
      </w:r>
      <w:r w:rsidRPr="00BF385E">
        <w:rPr>
          <w:rFonts w:cs="Times New Roman"/>
          <w:szCs w:val="24"/>
          <w:lang w:val="en-US"/>
        </w:rPr>
        <w:t>.</w:t>
      </w:r>
      <w:proofErr w:type="gramEnd"/>
    </w:p>
    <w:p w14:paraId="5CFD946B" w14:textId="77777777" w:rsidR="006A6157" w:rsidRPr="00BF385E" w:rsidRDefault="006A6157" w:rsidP="00BF385E">
      <w:pPr>
        <w:pStyle w:val="Heading2"/>
        <w:spacing w:line="360" w:lineRule="auto"/>
        <w:jc w:val="both"/>
        <w:rPr>
          <w:rFonts w:cs="Times New Roman"/>
          <w:szCs w:val="24"/>
          <w:lang w:val="en-US"/>
        </w:rPr>
      </w:pPr>
      <w:bookmarkStart w:id="20" w:name="_Toc213242439"/>
      <w:r w:rsidRPr="00BF385E">
        <w:rPr>
          <w:rFonts w:cs="Times New Roman"/>
          <w:szCs w:val="24"/>
          <w:lang w:val="en-US"/>
        </w:rPr>
        <w:t xml:space="preserve">4.2 Project </w:t>
      </w:r>
      <w:proofErr w:type="gramStart"/>
      <w:r w:rsidRPr="00BF385E">
        <w:rPr>
          <w:rFonts w:cs="Times New Roman"/>
          <w:szCs w:val="24"/>
          <w:lang w:val="en-US"/>
        </w:rPr>
        <w:t>A</w:t>
      </w:r>
      <w:proofErr w:type="gramEnd"/>
      <w:r w:rsidRPr="00BF385E">
        <w:rPr>
          <w:rFonts w:cs="Times New Roman"/>
          <w:szCs w:val="24"/>
          <w:lang w:val="en-US"/>
        </w:rPr>
        <w:t xml:space="preserve"> Analysis</w:t>
      </w:r>
      <w:bookmarkEnd w:id="20"/>
    </w:p>
    <w:p w14:paraId="0733A6B7"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Payback Period Calculation</w:t>
      </w:r>
    </w:p>
    <w:p w14:paraId="638F65C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Payback Period = Initial Investment / Annual Cash Flow (or cumulative cash flow analysis)</w:t>
      </w:r>
    </w:p>
    <w:p w14:paraId="0F40CFC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Project A requires £40 million initial investment with annual cash flows of £10m, £12m, £14m, £10m, and £8m.</w:t>
      </w:r>
    </w:p>
    <w:p w14:paraId="543CF2A5" w14:textId="77777777" w:rsidR="007D0AE3" w:rsidRPr="00BF385E" w:rsidRDefault="006A6157" w:rsidP="00BF385E">
      <w:pPr>
        <w:spacing w:line="360" w:lineRule="auto"/>
        <w:jc w:val="both"/>
        <w:rPr>
          <w:rFonts w:cs="Times New Roman"/>
          <w:szCs w:val="24"/>
          <w:lang w:val="en-US"/>
        </w:rPr>
      </w:pPr>
      <w:r w:rsidRPr="00BF385E">
        <w:rPr>
          <w:rFonts w:cs="Times New Roman"/>
          <w:szCs w:val="24"/>
          <w:lang w:val="en-US"/>
        </w:rPr>
        <w:t>Cumulative cash flows:</w:t>
      </w:r>
    </w:p>
    <w:p w14:paraId="7C4EF37E" w14:textId="1F171994"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1: £10m (Remaining: £30m)</w:t>
      </w:r>
    </w:p>
    <w:p w14:paraId="7BE0300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2: £22m (Remaining: £18m)</w:t>
      </w:r>
    </w:p>
    <w:p w14:paraId="629F046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3: £36m (Remaining: £4m)</w:t>
      </w:r>
    </w:p>
    <w:p w14:paraId="03EE154F" w14:textId="4135806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4: £46m (Recovered)</w:t>
      </w:r>
    </w:p>
    <w:p w14:paraId="5FB42794" w14:textId="342372A4" w:rsidR="006A6157" w:rsidRPr="00BF385E" w:rsidRDefault="006A6157" w:rsidP="00BF385E">
      <w:pPr>
        <w:spacing w:line="360" w:lineRule="auto"/>
        <w:jc w:val="both"/>
        <w:rPr>
          <w:rFonts w:cs="Times New Roman"/>
          <w:szCs w:val="24"/>
          <w:lang w:val="en-US"/>
        </w:rPr>
      </w:pPr>
      <w:r w:rsidRPr="00BF385E">
        <w:rPr>
          <w:rFonts w:cs="Times New Roman"/>
          <w:szCs w:val="24"/>
          <w:lang w:val="en-US"/>
        </w:rPr>
        <w:t>Payback Period = 3 years + (£4m / £10m) = 3.4 years</w:t>
      </w:r>
      <w:r w:rsidR="00B475AC" w:rsidRPr="00BF385E">
        <w:rPr>
          <w:rFonts w:eastAsia="Times New Roman" w:cs="Times New Roman"/>
          <w:kern w:val="0"/>
          <w:szCs w:val="24"/>
          <w:lang w:val="en-US" w:bidi="ar-SA"/>
          <w14:ligatures w14:val="none"/>
        </w:rPr>
        <w:t xml:space="preserve"> </w:t>
      </w:r>
      <w:r w:rsidR="00B475AC" w:rsidRPr="00BF385E">
        <w:rPr>
          <w:rFonts w:cs="Times New Roman"/>
          <w:szCs w:val="24"/>
          <w:lang w:val="en-US"/>
        </w:rPr>
        <w:t>(Seth, Chadha and Sharma, 2020)</w:t>
      </w:r>
    </w:p>
    <w:p w14:paraId="1D5F353B"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lastRenderedPageBreak/>
        <w:t>Average Rate of Return</w:t>
      </w:r>
    </w:p>
    <w:p w14:paraId="6889D17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ARR = (Average Annual Profit / Average Investment) × 100</w:t>
      </w:r>
    </w:p>
    <w:p w14:paraId="0A3531C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cash inflows over five years: £10m + £12m + £14m + £10m + £8m = £54m</w:t>
      </w:r>
    </w:p>
    <w:p w14:paraId="35C247B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accounting profit: £54m - £40m = £14m</w:t>
      </w:r>
    </w:p>
    <w:p w14:paraId="79466E2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Average annual profit: £14m / 5 = £2.8m</w:t>
      </w:r>
    </w:p>
    <w:p w14:paraId="1DFCC83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Average investment: £40m / 2 = £20m (using straight-line depreciation)</w:t>
      </w:r>
    </w:p>
    <w:p w14:paraId="059A2ED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ARR = (£2.8m / £20m) × 100 = 14.0%</w:t>
      </w:r>
    </w:p>
    <w:p w14:paraId="0704AD4E"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Net Present Value</w:t>
      </w:r>
    </w:p>
    <w:p w14:paraId="597934B8"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 xml:space="preserve">Formula: NPV = Σ [Cash Flow / (1 + </w:t>
      </w:r>
      <w:proofErr w:type="gramStart"/>
      <w:r w:rsidRPr="00BF385E">
        <w:rPr>
          <w:rFonts w:cs="Times New Roman"/>
          <w:szCs w:val="24"/>
          <w:lang w:val="en-US"/>
        </w:rPr>
        <w:t>r)^</w:t>
      </w:r>
      <w:proofErr w:type="gramEnd"/>
      <w:r w:rsidRPr="00BF385E">
        <w:rPr>
          <w:rFonts w:cs="Times New Roman"/>
          <w:szCs w:val="24"/>
          <w:lang w:val="en-US"/>
        </w:rPr>
        <w:t>t] - Initial Investment</w:t>
      </w:r>
    </w:p>
    <w:p w14:paraId="01663000" w14:textId="3C8BCECD" w:rsidR="006A6157" w:rsidRPr="00BF385E" w:rsidRDefault="006A6157" w:rsidP="00BF385E">
      <w:pPr>
        <w:spacing w:line="360" w:lineRule="auto"/>
        <w:jc w:val="both"/>
        <w:rPr>
          <w:rFonts w:cs="Times New Roman"/>
          <w:szCs w:val="24"/>
          <w:lang w:val="en-US"/>
        </w:rPr>
      </w:pPr>
      <w:r w:rsidRPr="00BF385E">
        <w:rPr>
          <w:rFonts w:cs="Times New Roman"/>
          <w:szCs w:val="24"/>
          <w:lang w:val="en-US"/>
        </w:rPr>
        <w:t>Using 10% discount rate:</w:t>
      </w:r>
    </w:p>
    <w:p w14:paraId="484C15C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1: £10m × 0.9091 = £9.091m</w:t>
      </w:r>
    </w:p>
    <w:p w14:paraId="29EBC8A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2: £12m × 0.8264 = £9.917m</w:t>
      </w:r>
    </w:p>
    <w:p w14:paraId="557DD32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3: £14m × 0.7513 = £10.518m</w:t>
      </w:r>
    </w:p>
    <w:p w14:paraId="5719B41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4: £10m × 0.6830 = £6.830m</w:t>
      </w:r>
    </w:p>
    <w:p w14:paraId="04548019" w14:textId="5A897114"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5: £8m × 0.6209 = £4.967m</w:t>
      </w:r>
    </w:p>
    <w:p w14:paraId="38C2FA5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PV = £41.323m</w:t>
      </w:r>
    </w:p>
    <w:p w14:paraId="2B0B1C2C" w14:textId="798D2BF9" w:rsidR="006A6157" w:rsidRPr="00BF385E" w:rsidRDefault="006A6157" w:rsidP="00BF385E">
      <w:pPr>
        <w:spacing w:line="360" w:lineRule="auto"/>
        <w:jc w:val="both"/>
        <w:rPr>
          <w:rFonts w:cs="Times New Roman"/>
          <w:szCs w:val="24"/>
          <w:lang w:val="en-US"/>
        </w:rPr>
      </w:pPr>
      <w:r w:rsidRPr="00BF385E">
        <w:rPr>
          <w:rFonts w:cs="Times New Roman"/>
          <w:szCs w:val="24"/>
          <w:lang w:val="en-US"/>
        </w:rPr>
        <w:t>NPV = £41.323m - £40m = £1.323m</w:t>
      </w:r>
      <w:r w:rsidR="00B475AC" w:rsidRPr="00BF385E">
        <w:rPr>
          <w:rFonts w:cs="Times New Roman"/>
          <w:szCs w:val="24"/>
          <w:lang w:val="en-US"/>
        </w:rPr>
        <w:t xml:space="preserve"> (Seth, Chadha and Sharma, 2020)</w:t>
      </w:r>
    </w:p>
    <w:p w14:paraId="644496C7"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Profitability Index</w:t>
      </w:r>
    </w:p>
    <w:p w14:paraId="3659457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PI = Present Value of Cash Inflows / Initial Investment</w:t>
      </w:r>
    </w:p>
    <w:p w14:paraId="19CB5CD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PI = £41.323m / £40m = 1.033</w:t>
      </w:r>
    </w:p>
    <w:p w14:paraId="29B4B5A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Internal Rate of Return</w:t>
      </w:r>
    </w:p>
    <w:p w14:paraId="14A9F84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Formula: IRR is the discount rate where NPV = 0</w:t>
      </w:r>
    </w:p>
    <w:p w14:paraId="302B6CE3" w14:textId="77777777" w:rsidR="007D0AE3" w:rsidRPr="00BF385E" w:rsidRDefault="006A6157" w:rsidP="00BF385E">
      <w:pPr>
        <w:spacing w:line="360" w:lineRule="auto"/>
        <w:jc w:val="both"/>
        <w:rPr>
          <w:rFonts w:cs="Times New Roman"/>
          <w:szCs w:val="24"/>
          <w:lang w:val="en-US"/>
        </w:rPr>
      </w:pPr>
      <w:r w:rsidRPr="00BF385E">
        <w:rPr>
          <w:rFonts w:cs="Times New Roman"/>
          <w:szCs w:val="24"/>
          <w:lang w:val="en-US"/>
        </w:rPr>
        <w:t>Using trial and error:</w:t>
      </w:r>
    </w:p>
    <w:p w14:paraId="27C25355" w14:textId="2798E8E5" w:rsidR="006A6157" w:rsidRPr="00BF385E" w:rsidRDefault="006A6157" w:rsidP="00BF385E">
      <w:pPr>
        <w:spacing w:line="360" w:lineRule="auto"/>
        <w:jc w:val="both"/>
        <w:rPr>
          <w:rFonts w:cs="Times New Roman"/>
          <w:szCs w:val="24"/>
          <w:lang w:val="en-US"/>
        </w:rPr>
      </w:pPr>
      <w:r w:rsidRPr="00BF385E">
        <w:rPr>
          <w:rFonts w:cs="Times New Roman"/>
          <w:szCs w:val="24"/>
          <w:lang w:val="en-US"/>
        </w:rPr>
        <w:lastRenderedPageBreak/>
        <w:t>At 11%:</w:t>
      </w:r>
    </w:p>
    <w:p w14:paraId="6503BDF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PV = £40.320m, NPV = £0.320m</w:t>
      </w:r>
    </w:p>
    <w:p w14:paraId="5B9AAD2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At 12%:</w:t>
      </w:r>
    </w:p>
    <w:p w14:paraId="57F09803"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PV = £39.354m, NPV = -£0.646m</w:t>
      </w:r>
    </w:p>
    <w:p w14:paraId="4404A0CD" w14:textId="03ED3FE2" w:rsidR="006A6157" w:rsidRPr="00BF385E" w:rsidRDefault="006A6157" w:rsidP="00BF385E">
      <w:pPr>
        <w:spacing w:line="360" w:lineRule="auto"/>
        <w:jc w:val="both"/>
        <w:rPr>
          <w:rFonts w:cs="Times New Roman"/>
          <w:szCs w:val="24"/>
          <w:lang w:val="en-US"/>
        </w:rPr>
      </w:pPr>
      <w:r w:rsidRPr="00BF385E">
        <w:rPr>
          <w:rFonts w:cs="Times New Roman"/>
          <w:szCs w:val="24"/>
          <w:lang w:val="en-US"/>
        </w:rPr>
        <w:t>IRR = 11% + [(£0.320m / £0.966m) × 1%] = 11.33%</w:t>
      </w:r>
      <w:r w:rsidR="00B475AC" w:rsidRPr="00BF385E">
        <w:rPr>
          <w:rFonts w:cs="Times New Roman"/>
          <w:szCs w:val="24"/>
          <w:lang w:val="en-US"/>
        </w:rPr>
        <w:t xml:space="preserve"> (Nugroho and </w:t>
      </w:r>
      <w:proofErr w:type="spellStart"/>
      <w:r w:rsidR="00B475AC" w:rsidRPr="00BF385E">
        <w:rPr>
          <w:rFonts w:cs="Times New Roman"/>
          <w:szCs w:val="24"/>
          <w:lang w:val="en-US"/>
        </w:rPr>
        <w:t>Dewayanto</w:t>
      </w:r>
      <w:proofErr w:type="spellEnd"/>
      <w:r w:rsidR="00B475AC" w:rsidRPr="00BF385E">
        <w:rPr>
          <w:rFonts w:cs="Times New Roman"/>
          <w:szCs w:val="24"/>
          <w:lang w:val="en-US"/>
        </w:rPr>
        <w:t>, 2025)</w:t>
      </w:r>
    </w:p>
    <w:p w14:paraId="0099C007" w14:textId="77777777" w:rsidR="006A6157" w:rsidRPr="00BF385E" w:rsidRDefault="006A6157" w:rsidP="00BF385E">
      <w:pPr>
        <w:pStyle w:val="Heading2"/>
        <w:spacing w:line="360" w:lineRule="auto"/>
        <w:jc w:val="both"/>
        <w:rPr>
          <w:rFonts w:cs="Times New Roman"/>
          <w:szCs w:val="24"/>
          <w:lang w:val="en-US"/>
        </w:rPr>
      </w:pPr>
      <w:bookmarkStart w:id="21" w:name="_Toc213242440"/>
      <w:r w:rsidRPr="00BF385E">
        <w:rPr>
          <w:rFonts w:cs="Times New Roman"/>
          <w:szCs w:val="24"/>
          <w:lang w:val="en-US"/>
        </w:rPr>
        <w:t>4.3 Project B Analysis</w:t>
      </w:r>
      <w:bookmarkEnd w:id="21"/>
    </w:p>
    <w:p w14:paraId="25688112"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Payback Period: £30m / £6m = 5.0 years</w:t>
      </w:r>
    </w:p>
    <w:p w14:paraId="352C4FAE"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Average Rate of Return: (£0m / £15m) × 100 = 0%</w:t>
      </w:r>
    </w:p>
    <w:p w14:paraId="7FF997C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Net Present Value: Using annuity factor 3.7908: PV = £22.745m; NPV = -£7.255m</w:t>
      </w:r>
    </w:p>
    <w:p w14:paraId="254042B0"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Profitability Index: 0.758</w:t>
      </w:r>
    </w:p>
    <w:p w14:paraId="2D4B1B3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Internal Rate of Return: ~0%</w:t>
      </w:r>
    </w:p>
    <w:p w14:paraId="355F5562" w14:textId="77777777" w:rsidR="006A6157" w:rsidRPr="00BF385E" w:rsidRDefault="006A6157" w:rsidP="00BF385E">
      <w:pPr>
        <w:pStyle w:val="Heading2"/>
        <w:spacing w:line="360" w:lineRule="auto"/>
        <w:jc w:val="both"/>
        <w:rPr>
          <w:rFonts w:cs="Times New Roman"/>
          <w:szCs w:val="24"/>
          <w:lang w:val="en-US"/>
        </w:rPr>
      </w:pPr>
      <w:bookmarkStart w:id="22" w:name="_Toc213242441"/>
      <w:r w:rsidRPr="00BF385E">
        <w:rPr>
          <w:rFonts w:cs="Times New Roman"/>
          <w:szCs w:val="24"/>
          <w:lang w:val="en-US"/>
        </w:rPr>
        <w:t>4.4 Project C Analysis</w:t>
      </w:r>
      <w:bookmarkEnd w:id="22"/>
    </w:p>
    <w:p w14:paraId="255B72F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Payback Period</w:t>
      </w:r>
    </w:p>
    <w:p w14:paraId="4056F3F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Initial investment: £50 million with cash flows: £5m, £10m, £20m, £25m, £15m.</w:t>
      </w:r>
    </w:p>
    <w:p w14:paraId="62DAB42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Cumulative: Year 1: £5m; Year 2: £15m; Year 3: £35m; Year 4: £60m</w:t>
      </w:r>
    </w:p>
    <w:p w14:paraId="7B3D4EE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Payback = 3 + (£15m / £25m) = 3.6 years</w:t>
      </w:r>
    </w:p>
    <w:p w14:paraId="7A099404"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Average Rate of Return</w:t>
      </w:r>
    </w:p>
    <w:p w14:paraId="5C804707"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inflows: £75m; Profit: £25m; Average annual profit: £5m</w:t>
      </w:r>
    </w:p>
    <w:p w14:paraId="4031AED6"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Average investment: £25m</w:t>
      </w:r>
    </w:p>
    <w:p w14:paraId="4D0D12AC"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ARR = (£5m / £25m) × 100 = 20.0%</w:t>
      </w:r>
    </w:p>
    <w:p w14:paraId="09921C8A" w14:textId="77777777" w:rsidR="006A6157" w:rsidRPr="00BF385E" w:rsidRDefault="006A6157" w:rsidP="00BF385E">
      <w:pPr>
        <w:spacing w:line="360" w:lineRule="auto"/>
        <w:jc w:val="both"/>
        <w:rPr>
          <w:rFonts w:cs="Times New Roman"/>
          <w:b/>
          <w:bCs/>
          <w:szCs w:val="24"/>
          <w:lang w:val="en-US"/>
        </w:rPr>
      </w:pPr>
      <w:r w:rsidRPr="00BF385E">
        <w:rPr>
          <w:rFonts w:cs="Times New Roman"/>
          <w:b/>
          <w:bCs/>
          <w:szCs w:val="24"/>
          <w:lang w:val="en-US"/>
        </w:rPr>
        <w:t>Net Present Value</w:t>
      </w:r>
    </w:p>
    <w:p w14:paraId="455D9B9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1: £5m × 0.9091 = £4.546m</w:t>
      </w:r>
    </w:p>
    <w:p w14:paraId="3327F329"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2: £10m × 0.8264 = £8.264m</w:t>
      </w:r>
    </w:p>
    <w:p w14:paraId="1EA841EA"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lastRenderedPageBreak/>
        <w:t>Year 3: £20m × 0.7513 = £15.026m</w:t>
      </w:r>
    </w:p>
    <w:p w14:paraId="37F57591"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4: £25m × 0.6830 = £17.075m</w:t>
      </w:r>
    </w:p>
    <w:p w14:paraId="5EAC010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Year 5: £15m × 0.6209 = £9.314m</w:t>
      </w:r>
    </w:p>
    <w:p w14:paraId="07B17DEF"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Total PV = £54.225m</w:t>
      </w:r>
    </w:p>
    <w:p w14:paraId="3F38F95D"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NPV = £4.225m</w:t>
      </w:r>
    </w:p>
    <w:p w14:paraId="07C33FD4"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Profitability Index: 1.085</w:t>
      </w:r>
    </w:p>
    <w:p w14:paraId="68744FBA" w14:textId="5943C828" w:rsidR="006A6157" w:rsidRPr="00BF385E" w:rsidRDefault="006A6157" w:rsidP="00BF385E">
      <w:pPr>
        <w:spacing w:line="360" w:lineRule="auto"/>
        <w:jc w:val="both"/>
        <w:rPr>
          <w:rFonts w:cs="Times New Roman"/>
          <w:szCs w:val="24"/>
          <w:lang w:val="en-US"/>
        </w:rPr>
      </w:pPr>
      <w:r w:rsidRPr="00BF385E">
        <w:rPr>
          <w:rFonts w:cs="Times New Roman"/>
          <w:szCs w:val="24"/>
          <w:lang w:val="en-US"/>
        </w:rPr>
        <w:t>Internal Rate of Return: 12.72%</w:t>
      </w:r>
      <w:r w:rsidR="00B475AC" w:rsidRPr="00BF385E">
        <w:rPr>
          <w:rFonts w:cs="Times New Roman"/>
          <w:szCs w:val="24"/>
          <w:lang w:val="en-US"/>
        </w:rPr>
        <w:t xml:space="preserve"> (Nugroho and </w:t>
      </w:r>
      <w:proofErr w:type="spellStart"/>
      <w:r w:rsidR="00B475AC" w:rsidRPr="00BF385E">
        <w:rPr>
          <w:rFonts w:cs="Times New Roman"/>
          <w:szCs w:val="24"/>
          <w:lang w:val="en-US"/>
        </w:rPr>
        <w:t>Dewayanto</w:t>
      </w:r>
      <w:proofErr w:type="spellEnd"/>
      <w:r w:rsidR="00B475AC" w:rsidRPr="00BF385E">
        <w:rPr>
          <w:rFonts w:cs="Times New Roman"/>
          <w:szCs w:val="24"/>
          <w:lang w:val="en-US"/>
        </w:rPr>
        <w:t>, 2025)</w:t>
      </w:r>
    </w:p>
    <w:p w14:paraId="512376C0" w14:textId="77777777" w:rsidR="006A6157" w:rsidRPr="00BF385E" w:rsidRDefault="006A6157" w:rsidP="00BF385E">
      <w:pPr>
        <w:pStyle w:val="Heading2"/>
        <w:spacing w:line="360" w:lineRule="auto"/>
        <w:jc w:val="both"/>
        <w:rPr>
          <w:rFonts w:cs="Times New Roman"/>
          <w:szCs w:val="24"/>
          <w:lang w:val="en-US"/>
        </w:rPr>
      </w:pPr>
      <w:bookmarkStart w:id="23" w:name="_Toc213242442"/>
      <w:r w:rsidRPr="00BF385E">
        <w:rPr>
          <w:rFonts w:cs="Times New Roman"/>
          <w:szCs w:val="24"/>
          <w:lang w:val="en-US"/>
        </w:rPr>
        <w:t>4.5 Investment Recommendation</w:t>
      </w:r>
      <w:bookmarkEnd w:id="23"/>
    </w:p>
    <w:p w14:paraId="588F77F8" w14:textId="521041E7" w:rsidR="006A6157" w:rsidRPr="00BF385E" w:rsidRDefault="0098182C" w:rsidP="0098182C">
      <w:pPr>
        <w:spacing w:line="360" w:lineRule="auto"/>
        <w:jc w:val="both"/>
        <w:rPr>
          <w:rFonts w:cs="Times New Roman"/>
          <w:szCs w:val="24"/>
          <w:lang w:val="en-US"/>
        </w:rPr>
      </w:pPr>
      <w:r w:rsidRPr="00D16C16">
        <w:rPr>
          <w:rFonts w:cs="Times New Roman"/>
          <w:b/>
          <w:bCs/>
          <w:szCs w:val="24"/>
          <w:lang w:val="en-US"/>
        </w:rPr>
        <w:t>Project B Rejection</w:t>
      </w:r>
      <w:r w:rsidRPr="0098182C">
        <w:rPr>
          <w:rFonts w:cs="Times New Roman"/>
          <w:szCs w:val="24"/>
          <w:lang w:val="en-US"/>
        </w:rPr>
        <w:t xml:space="preserve">: </w:t>
      </w:r>
      <w:r w:rsidR="00A67509" w:rsidRPr="00A67509">
        <w:rPr>
          <w:rFonts w:cs="Times New Roman"/>
          <w:szCs w:val="24"/>
          <w:lang w:val="en-US"/>
        </w:rPr>
        <w:t>With an index of profits of less than 1.0, a negative £7.255 million NPV, zero accounting return, and, effectively, a 0% IRR, Project B destroys value and fails all assessment tests</w:t>
      </w:r>
      <w:r w:rsidR="00A67509">
        <w:rPr>
          <w:rFonts w:cs="Times New Roman"/>
          <w:szCs w:val="24"/>
          <w:lang w:val="en-US"/>
        </w:rPr>
        <w:t xml:space="preserve"> </w:t>
      </w:r>
      <w:r w:rsidR="00A67509" w:rsidRPr="00BF385E">
        <w:rPr>
          <w:rFonts w:cs="Times New Roman"/>
          <w:szCs w:val="24"/>
          <w:lang w:val="en-US"/>
        </w:rPr>
        <w:t xml:space="preserve">(Nugroho and </w:t>
      </w:r>
      <w:proofErr w:type="spellStart"/>
      <w:r w:rsidR="00A67509" w:rsidRPr="00BF385E">
        <w:rPr>
          <w:rFonts w:cs="Times New Roman"/>
          <w:szCs w:val="24"/>
          <w:lang w:val="en-US"/>
        </w:rPr>
        <w:t>Dewayanto</w:t>
      </w:r>
      <w:proofErr w:type="spellEnd"/>
      <w:r w:rsidR="00A67509" w:rsidRPr="00BF385E">
        <w:rPr>
          <w:rFonts w:cs="Times New Roman"/>
          <w:szCs w:val="24"/>
          <w:lang w:val="en-US"/>
        </w:rPr>
        <w:t>, 2025</w:t>
      </w:r>
      <w:r w:rsidR="00A67509">
        <w:rPr>
          <w:rFonts w:cs="Times New Roman"/>
          <w:szCs w:val="24"/>
          <w:lang w:val="en-US"/>
        </w:rPr>
        <w:t>)</w:t>
      </w:r>
      <w:r w:rsidR="00A67509" w:rsidRPr="00A67509">
        <w:rPr>
          <w:rFonts w:cs="Times New Roman"/>
          <w:szCs w:val="24"/>
          <w:lang w:val="en-US"/>
        </w:rPr>
        <w:t>.</w:t>
      </w:r>
    </w:p>
    <w:p w14:paraId="12FA453B" w14:textId="77777777" w:rsidR="006A6157" w:rsidRPr="00BF385E" w:rsidRDefault="006A6157" w:rsidP="00BF385E">
      <w:pPr>
        <w:spacing w:line="360" w:lineRule="auto"/>
        <w:jc w:val="both"/>
        <w:rPr>
          <w:rFonts w:cs="Times New Roman"/>
          <w:szCs w:val="24"/>
          <w:lang w:val="en-US"/>
        </w:rPr>
      </w:pPr>
      <w:r w:rsidRPr="00BF385E">
        <w:rPr>
          <w:rFonts w:cs="Times New Roman"/>
          <w:szCs w:val="24"/>
          <w:lang w:val="en-US"/>
        </w:rPr>
        <w:t>Final Recommendation: Fund Project C</w:t>
      </w:r>
    </w:p>
    <w:p w14:paraId="263E9DA2" w14:textId="1E99DA91" w:rsidR="006A6157" w:rsidRPr="00BF385E" w:rsidRDefault="00A67509" w:rsidP="00BF385E">
      <w:pPr>
        <w:spacing w:line="360" w:lineRule="auto"/>
        <w:jc w:val="both"/>
        <w:rPr>
          <w:rFonts w:cs="Times New Roman"/>
          <w:szCs w:val="24"/>
          <w:lang w:val="en-US"/>
        </w:rPr>
      </w:pPr>
      <w:r w:rsidRPr="00A67509">
        <w:rPr>
          <w:rFonts w:cs="Times New Roman"/>
          <w:szCs w:val="24"/>
          <w:lang w:val="en-US"/>
        </w:rPr>
        <w:t>There are several strong reasons to invest £50 million alone in Project C</w:t>
      </w:r>
      <w:r>
        <w:rPr>
          <w:rFonts w:cs="Times New Roman"/>
          <w:szCs w:val="24"/>
          <w:lang w:val="en-US"/>
        </w:rPr>
        <w:t>:</w:t>
      </w:r>
    </w:p>
    <w:p w14:paraId="0F315F30" w14:textId="6D95FE13"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Financial Performance</w:t>
      </w:r>
      <w:r w:rsidRPr="00BF385E">
        <w:rPr>
          <w:rFonts w:cs="Times New Roman"/>
          <w:szCs w:val="24"/>
          <w:lang w:val="en-US"/>
        </w:rPr>
        <w:t>: The project C has greatest NPV of £4.225 million which generates 3.2 times greater shareholder value than project A. The IRR is 12.72% higher than the 10% required return, which gives it a wide margin against estimation errors</w:t>
      </w:r>
      <w:r w:rsidR="00B475AC" w:rsidRPr="00BF385E">
        <w:rPr>
          <w:rFonts w:cs="Times New Roman"/>
          <w:szCs w:val="24"/>
          <w:lang w:val="en-US"/>
        </w:rPr>
        <w:t xml:space="preserve"> (Matenda et al., 2021)</w:t>
      </w:r>
      <w:r w:rsidRPr="00BF385E">
        <w:rPr>
          <w:rFonts w:cs="Times New Roman"/>
          <w:szCs w:val="24"/>
          <w:lang w:val="en-US"/>
        </w:rPr>
        <w:t>.</w:t>
      </w:r>
    </w:p>
    <w:p w14:paraId="2761CB18" w14:textId="4C5C416A"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Risk Profile</w:t>
      </w:r>
      <w:r w:rsidRPr="00BF385E">
        <w:rPr>
          <w:rFonts w:cs="Times New Roman"/>
          <w:szCs w:val="24"/>
          <w:lang w:val="en-US"/>
        </w:rPr>
        <w:t>: The maturing cash flows of Project C are increasing, and the inflows of £20-25 million in Years 3-4 indicate commercial viability and ability to achieve scale, unlike Project A which is showing a downward trend that may be due to market saturation or market competition.</w:t>
      </w:r>
    </w:p>
    <w:p w14:paraId="73C916F7" w14:textId="39E68F5D" w:rsidR="00AA2BFE" w:rsidRPr="00BF385E" w:rsidRDefault="00AA2BFE" w:rsidP="00BF385E">
      <w:pPr>
        <w:spacing w:line="360" w:lineRule="auto"/>
        <w:jc w:val="both"/>
        <w:rPr>
          <w:rFonts w:cs="Times New Roman"/>
          <w:szCs w:val="24"/>
          <w:lang w:val="en-US"/>
        </w:rPr>
      </w:pPr>
      <w:r w:rsidRPr="00BF385E">
        <w:rPr>
          <w:rFonts w:cs="Times New Roman"/>
          <w:b/>
          <w:bCs/>
          <w:szCs w:val="24"/>
          <w:lang w:val="en-US"/>
        </w:rPr>
        <w:t>Strategic Alignment</w:t>
      </w:r>
      <w:r w:rsidRPr="00BF385E">
        <w:rPr>
          <w:rFonts w:cs="Times New Roman"/>
          <w:szCs w:val="24"/>
          <w:lang w:val="en-US"/>
        </w:rPr>
        <w:t>: The 20% ARR of Project C and high level of cash production is in line with turnaround goals that demand profitable expansion. The project will probably reflect new product lines, market segmentation, or technology platforms that produce long-term competitive advantage needed to recover</w:t>
      </w:r>
      <w:r w:rsidR="00B475AC" w:rsidRPr="00BF385E">
        <w:rPr>
          <w:rFonts w:cs="Times New Roman"/>
          <w:szCs w:val="24"/>
          <w:lang w:val="en-US"/>
        </w:rPr>
        <w:t xml:space="preserve"> (Matenda et al., 2021)</w:t>
      </w:r>
      <w:r w:rsidRPr="00BF385E">
        <w:rPr>
          <w:rFonts w:cs="Times New Roman"/>
          <w:szCs w:val="24"/>
          <w:lang w:val="en-US"/>
        </w:rPr>
        <w:t>.</w:t>
      </w:r>
    </w:p>
    <w:p w14:paraId="625F6A8F" w14:textId="612AF0D0" w:rsidR="006A6157" w:rsidRPr="00BF385E" w:rsidRDefault="00AA2BFE" w:rsidP="00BF385E">
      <w:pPr>
        <w:spacing w:line="360" w:lineRule="auto"/>
        <w:jc w:val="both"/>
        <w:rPr>
          <w:rFonts w:cs="Times New Roman"/>
          <w:szCs w:val="24"/>
          <w:lang w:val="en-US"/>
        </w:rPr>
      </w:pPr>
      <w:r w:rsidRPr="00BF385E">
        <w:rPr>
          <w:rFonts w:cs="Times New Roman"/>
          <w:b/>
          <w:bCs/>
          <w:szCs w:val="24"/>
          <w:lang w:val="en-US"/>
        </w:rPr>
        <w:t>Liquidity Preservation</w:t>
      </w:r>
      <w:r w:rsidRPr="00BF385E">
        <w:rPr>
          <w:rFonts w:cs="Times New Roman"/>
          <w:szCs w:val="24"/>
          <w:lang w:val="en-US"/>
        </w:rPr>
        <w:t>: Phili£ £10 million retention offers the necessary flexibility considering the weak £26,783 million cash and negative operating margins, the retention ensures flexibility against any turn around setbacks as well as financial stability.</w:t>
      </w:r>
    </w:p>
    <w:p w14:paraId="0187D5A2" w14:textId="77777777" w:rsidR="006A6157" w:rsidRPr="00BF385E" w:rsidRDefault="006A6157" w:rsidP="00BF385E">
      <w:pPr>
        <w:pStyle w:val="Heading1"/>
        <w:spacing w:line="360" w:lineRule="auto"/>
        <w:jc w:val="both"/>
        <w:rPr>
          <w:rFonts w:cs="Times New Roman"/>
          <w:szCs w:val="24"/>
          <w:lang w:val="en-US"/>
        </w:rPr>
      </w:pPr>
      <w:bookmarkStart w:id="24" w:name="_Toc213242443"/>
      <w:r w:rsidRPr="00BF385E">
        <w:rPr>
          <w:rFonts w:cs="Times New Roman"/>
          <w:szCs w:val="24"/>
          <w:lang w:val="en-US"/>
        </w:rPr>
        <w:lastRenderedPageBreak/>
        <w:t>5. Conclusion</w:t>
      </w:r>
      <w:bookmarkEnd w:id="24"/>
    </w:p>
    <w:p w14:paraId="0864B078" w14:textId="134DE49B" w:rsidR="00AA2BFE" w:rsidRPr="00BF385E" w:rsidRDefault="00AA2BFE" w:rsidP="00BF385E">
      <w:pPr>
        <w:spacing w:line="360" w:lineRule="auto"/>
        <w:jc w:val="both"/>
        <w:rPr>
          <w:rFonts w:cs="Times New Roman"/>
          <w:szCs w:val="24"/>
          <w:lang w:val="en-US"/>
        </w:rPr>
      </w:pPr>
      <w:r w:rsidRPr="00BF385E">
        <w:rPr>
          <w:rFonts w:cs="Times New Roman"/>
          <w:szCs w:val="24"/>
          <w:lang w:val="en-US"/>
        </w:rPr>
        <w:t>General Electronics is experiencing existential financial crisis that needs to be dealt with at all costs. The 36% annual decline in revenue and successive high volume of losses wiped out equity 51% and produced grossly negative returns on capital. The 115-day working capital cycle ties up £121 million of operating assets and the short-term sources of finance predisposes the company to acute refinancing risk that would jeopardize its existence.</w:t>
      </w:r>
    </w:p>
    <w:p w14:paraId="19D29183" w14:textId="417FF5C7" w:rsidR="00AA2BFE" w:rsidRPr="00BF385E" w:rsidRDefault="00AA2BFE" w:rsidP="00BF385E">
      <w:pPr>
        <w:spacing w:line="360" w:lineRule="auto"/>
        <w:jc w:val="both"/>
        <w:rPr>
          <w:rFonts w:cs="Times New Roman"/>
          <w:szCs w:val="24"/>
          <w:lang w:val="en-US"/>
        </w:rPr>
      </w:pPr>
      <w:r w:rsidRPr="00BF385E">
        <w:rPr>
          <w:rFonts w:cs="Times New Roman"/>
          <w:szCs w:val="24"/>
          <w:lang w:val="en-US"/>
        </w:rPr>
        <w:t>The proposed turnaround plan includes asset liquidation of £25-30 million, efficiency re-engineering of £30-40 million, capital infusion of £40-50 million and long-term debt financing to give it stability. Project C should be financed by strategic capital allocation with £50 million where the project will produce £4.225 million NPV and 12.72%age of the IRR maintaining £10 millions of liquidity buffer.</w:t>
      </w:r>
    </w:p>
    <w:p w14:paraId="4FBC817A" w14:textId="6680443D" w:rsidR="00B475AC" w:rsidRPr="00BF385E" w:rsidRDefault="00AA2BFE" w:rsidP="00BF385E">
      <w:pPr>
        <w:spacing w:line="360" w:lineRule="auto"/>
        <w:jc w:val="both"/>
        <w:rPr>
          <w:rFonts w:cs="Times New Roman"/>
          <w:szCs w:val="24"/>
          <w:lang w:val="en-US"/>
        </w:rPr>
      </w:pPr>
      <w:r w:rsidRPr="00BF385E">
        <w:rPr>
          <w:rFonts w:cs="Times New Roman"/>
          <w:szCs w:val="24"/>
          <w:lang w:val="en-US"/>
        </w:rPr>
        <w:t>The effectual implementation would change the company in 18-24 months, restructuring costs would lead to the restoration of good operating margins alongside a stable revenue of £380-400 million with profitability recovered would create £15-20 million operating income. Enhanced liquidity due to the optimization of working capital and by equity injection would eliminate bankruptcy risk, pushing the Altman Z-Score to a safer zone of above 3.0, allowing the stakeholders to be comfortable again and allowing the company to grow sustainably.</w:t>
      </w:r>
    </w:p>
    <w:p w14:paraId="61C6B392" w14:textId="77777777" w:rsidR="00B475AC" w:rsidRPr="00BF385E" w:rsidRDefault="00B475AC" w:rsidP="00BF385E">
      <w:pPr>
        <w:spacing w:line="360" w:lineRule="auto"/>
        <w:jc w:val="both"/>
        <w:rPr>
          <w:rFonts w:cs="Times New Roman"/>
          <w:szCs w:val="24"/>
          <w:lang w:val="en-US"/>
        </w:rPr>
      </w:pPr>
      <w:r w:rsidRPr="00BF385E">
        <w:rPr>
          <w:rFonts w:cs="Times New Roman"/>
          <w:szCs w:val="24"/>
          <w:lang w:val="en-US"/>
        </w:rPr>
        <w:br w:type="page"/>
      </w:r>
    </w:p>
    <w:p w14:paraId="49413AF9" w14:textId="1FB0EAE2" w:rsidR="00AC731F" w:rsidRPr="00BF385E" w:rsidRDefault="00B475AC" w:rsidP="00BF385E">
      <w:pPr>
        <w:pStyle w:val="Heading1"/>
        <w:spacing w:line="360" w:lineRule="auto"/>
        <w:jc w:val="both"/>
        <w:rPr>
          <w:rFonts w:cs="Times New Roman"/>
          <w:szCs w:val="24"/>
          <w:lang w:val="en-US"/>
        </w:rPr>
      </w:pPr>
      <w:bookmarkStart w:id="25" w:name="_Toc213242444"/>
      <w:r w:rsidRPr="00BF385E">
        <w:rPr>
          <w:rFonts w:cs="Times New Roman"/>
          <w:szCs w:val="24"/>
          <w:lang w:val="en-US"/>
        </w:rPr>
        <w:lastRenderedPageBreak/>
        <w:t>References</w:t>
      </w:r>
      <w:bookmarkEnd w:id="25"/>
      <w:r w:rsidRPr="00BF385E">
        <w:rPr>
          <w:rFonts w:cs="Times New Roman"/>
          <w:szCs w:val="24"/>
          <w:lang w:val="en-US"/>
        </w:rPr>
        <w:t xml:space="preserve"> </w:t>
      </w:r>
    </w:p>
    <w:p w14:paraId="32B96123" w14:textId="0562B9A5" w:rsidR="00B475AC" w:rsidRPr="00B475AC" w:rsidRDefault="00B475AC" w:rsidP="00BF385E">
      <w:pPr>
        <w:spacing w:line="360" w:lineRule="auto"/>
        <w:jc w:val="both"/>
        <w:rPr>
          <w:rFonts w:cs="Times New Roman"/>
          <w:szCs w:val="24"/>
          <w:lang w:val="en-US"/>
        </w:rPr>
      </w:pPr>
      <w:r w:rsidRPr="00B475AC">
        <w:rPr>
          <w:rFonts w:cs="Times New Roman"/>
          <w:szCs w:val="24"/>
          <w:lang w:val="en-US"/>
        </w:rPr>
        <w:t>Abdul-Kareem, A.A., Fayed, Z.T., Rady, S., Salsabil Amin El-</w:t>
      </w:r>
      <w:proofErr w:type="spellStart"/>
      <w:r w:rsidRPr="00B475AC">
        <w:rPr>
          <w:rFonts w:cs="Times New Roman"/>
          <w:szCs w:val="24"/>
          <w:lang w:val="en-US"/>
        </w:rPr>
        <w:t>Regaily</w:t>
      </w:r>
      <w:proofErr w:type="spellEnd"/>
      <w:r w:rsidRPr="00B475AC">
        <w:rPr>
          <w:rFonts w:cs="Times New Roman"/>
          <w:szCs w:val="24"/>
          <w:lang w:val="en-US"/>
        </w:rPr>
        <w:t xml:space="preserve"> and Nema, B.M. (2024). Forecasting Financial Investment Firms’ Insolvencies Empowered with Enhanced Predictive Modeling. </w:t>
      </w:r>
      <w:r w:rsidRPr="00B475AC">
        <w:rPr>
          <w:rFonts w:cs="Times New Roman"/>
          <w:i/>
          <w:iCs/>
          <w:szCs w:val="24"/>
          <w:lang w:val="en-US"/>
        </w:rPr>
        <w:t>Journal of risk and financial management</w:t>
      </w:r>
      <w:r w:rsidRPr="00B475AC">
        <w:rPr>
          <w:rFonts w:cs="Times New Roman"/>
          <w:szCs w:val="24"/>
          <w:lang w:val="en-US"/>
        </w:rPr>
        <w:t xml:space="preserve">, 17(9), pp.424–424.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25" w:history="1">
        <w:r w:rsidRPr="00B475AC">
          <w:rPr>
            <w:rStyle w:val="Hyperlink"/>
            <w:rFonts w:cs="Times New Roman"/>
            <w:szCs w:val="24"/>
            <w:lang w:val="en-US"/>
          </w:rPr>
          <w:t>https://doi.org/10.3390/jrfm17090424</w:t>
        </w:r>
      </w:hyperlink>
      <w:r w:rsidRPr="00B475AC">
        <w:rPr>
          <w:rFonts w:cs="Times New Roman"/>
          <w:szCs w:val="24"/>
          <w:lang w:val="en-US"/>
        </w:rPr>
        <w:t>.</w:t>
      </w:r>
      <w:r w:rsidRPr="00BF385E">
        <w:rPr>
          <w:rFonts w:cs="Times New Roman"/>
          <w:szCs w:val="24"/>
          <w:lang w:val="en-US"/>
        </w:rPr>
        <w:t xml:space="preserve"> </w:t>
      </w:r>
    </w:p>
    <w:p w14:paraId="0CD0429A" w14:textId="240AB61F"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Akbar, M., Hussain, A., Sokolova, M. and Sabahat, T. (2022). Financial Distress, Firm Life Cycle, and Corporate Restructuring Decisions: Evidence from Pakistan’s Economy. </w:t>
      </w:r>
      <w:r w:rsidRPr="00B475AC">
        <w:rPr>
          <w:rFonts w:cs="Times New Roman"/>
          <w:i/>
          <w:iCs/>
          <w:szCs w:val="24"/>
          <w:lang w:val="en-US"/>
        </w:rPr>
        <w:t>Economies</w:t>
      </w:r>
      <w:r w:rsidRPr="00B475AC">
        <w:rPr>
          <w:rFonts w:cs="Times New Roman"/>
          <w:szCs w:val="24"/>
          <w:lang w:val="en-US"/>
        </w:rPr>
        <w:t xml:space="preserve">, 10(7), p.175.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26" w:history="1">
        <w:r w:rsidRPr="00B475AC">
          <w:rPr>
            <w:rStyle w:val="Hyperlink"/>
            <w:rFonts w:cs="Times New Roman"/>
            <w:szCs w:val="24"/>
            <w:lang w:val="en-US"/>
          </w:rPr>
          <w:t>https://doi.org/10.3390/economies10070175</w:t>
        </w:r>
      </w:hyperlink>
      <w:r w:rsidRPr="00B475AC">
        <w:rPr>
          <w:rFonts w:cs="Times New Roman"/>
          <w:szCs w:val="24"/>
          <w:lang w:val="en-US"/>
        </w:rPr>
        <w:t>.</w:t>
      </w:r>
      <w:r w:rsidRPr="00BF385E">
        <w:rPr>
          <w:rFonts w:cs="Times New Roman"/>
          <w:szCs w:val="24"/>
          <w:lang w:val="en-US"/>
        </w:rPr>
        <w:t xml:space="preserve"> </w:t>
      </w:r>
    </w:p>
    <w:p w14:paraId="2C97BAFB" w14:textId="7F73AF0D"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Alam, T.M., Shaukat, K., Mushtaq, M., Ali, Y., Khushi, M., Luo, S. and Wahab, A. (2020). Corporate Bankruptcy Prediction: An Approach Towards Better Corporate World. </w:t>
      </w:r>
      <w:r w:rsidRPr="00B475AC">
        <w:rPr>
          <w:rFonts w:cs="Times New Roman"/>
          <w:i/>
          <w:iCs/>
          <w:szCs w:val="24"/>
          <w:lang w:val="en-US"/>
        </w:rPr>
        <w:t>The Computer Journal</w:t>
      </w:r>
      <w:r w:rsidRPr="00B475AC">
        <w:rPr>
          <w:rFonts w:cs="Times New Roman"/>
          <w:szCs w:val="24"/>
          <w:lang w:val="en-US"/>
        </w:rPr>
        <w:t xml:space="preserve">, 64(11).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27" w:history="1">
        <w:r w:rsidRPr="00B475AC">
          <w:rPr>
            <w:rStyle w:val="Hyperlink"/>
            <w:rFonts w:cs="Times New Roman"/>
            <w:szCs w:val="24"/>
            <w:lang w:val="en-US"/>
          </w:rPr>
          <w:t>https://doi.org/10.1093/comjnl/bxaa056</w:t>
        </w:r>
      </w:hyperlink>
      <w:r w:rsidRPr="00B475AC">
        <w:rPr>
          <w:rFonts w:cs="Times New Roman"/>
          <w:szCs w:val="24"/>
          <w:lang w:val="en-US"/>
        </w:rPr>
        <w:t>.</w:t>
      </w:r>
      <w:r w:rsidRPr="00BF385E">
        <w:rPr>
          <w:rFonts w:cs="Times New Roman"/>
          <w:szCs w:val="24"/>
          <w:lang w:val="en-US"/>
        </w:rPr>
        <w:t xml:space="preserve"> </w:t>
      </w:r>
    </w:p>
    <w:p w14:paraId="53ECE907" w14:textId="508D6153"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Amir, E. and Ghitti, M. (2020). Financial Analysis of Business Combinations (Ratios). </w:t>
      </w:r>
      <w:r w:rsidRPr="00B475AC">
        <w:rPr>
          <w:rFonts w:cs="Times New Roman"/>
          <w:i/>
          <w:iCs/>
          <w:szCs w:val="24"/>
          <w:lang w:val="en-US"/>
        </w:rPr>
        <w:t>Financial Analysis of Mergers and Acquisitions</w:t>
      </w:r>
      <w:r w:rsidRPr="00B475AC">
        <w:rPr>
          <w:rFonts w:cs="Times New Roman"/>
          <w:szCs w:val="24"/>
          <w:lang w:val="en-US"/>
        </w:rPr>
        <w:t xml:space="preserve">, pp.141–164.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28" w:history="1">
        <w:r w:rsidRPr="00B475AC">
          <w:rPr>
            <w:rStyle w:val="Hyperlink"/>
            <w:rFonts w:cs="Times New Roman"/>
            <w:szCs w:val="24"/>
            <w:lang w:val="en-US"/>
          </w:rPr>
          <w:t>https://doi.org/10.1007/978-3-030-</w:t>
        </w:r>
        <w:r w:rsidRPr="00BF385E">
          <w:rPr>
            <w:rStyle w:val="Hyperlink"/>
            <w:rFonts w:cs="Times New Roman"/>
            <w:szCs w:val="24"/>
            <w:lang w:val="en-US"/>
          </w:rPr>
          <w:t xml:space="preserve"> </w:t>
        </w:r>
        <w:r w:rsidRPr="00B475AC">
          <w:rPr>
            <w:rStyle w:val="Hyperlink"/>
            <w:rFonts w:cs="Times New Roman"/>
            <w:szCs w:val="24"/>
            <w:lang w:val="en-US"/>
          </w:rPr>
          <w:t>61769-1_8</w:t>
        </w:r>
      </w:hyperlink>
      <w:r w:rsidRPr="00B475AC">
        <w:rPr>
          <w:rFonts w:cs="Times New Roman"/>
          <w:szCs w:val="24"/>
          <w:lang w:val="en-US"/>
        </w:rPr>
        <w:t>.</w:t>
      </w:r>
      <w:r w:rsidRPr="00BF385E">
        <w:rPr>
          <w:rFonts w:cs="Times New Roman"/>
          <w:szCs w:val="24"/>
          <w:lang w:val="en-US"/>
        </w:rPr>
        <w:t xml:space="preserve"> </w:t>
      </w:r>
    </w:p>
    <w:p w14:paraId="42B49413" w14:textId="7E6AB30E"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Arora, P. and Saurabh, S. (2022). Predicting distress: a post Insolvency and Bankruptcy Code 2016 analysis. </w:t>
      </w:r>
      <w:r w:rsidRPr="00B475AC">
        <w:rPr>
          <w:rFonts w:cs="Times New Roman"/>
          <w:i/>
          <w:iCs/>
          <w:szCs w:val="24"/>
          <w:lang w:val="en-US"/>
        </w:rPr>
        <w:t>Journal of Economics and Finance</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29" w:history="1">
        <w:r w:rsidRPr="00B475AC">
          <w:rPr>
            <w:rStyle w:val="Hyperlink"/>
            <w:rFonts w:cs="Times New Roman"/>
            <w:szCs w:val="24"/>
            <w:lang w:val="en-US"/>
          </w:rPr>
          <w:t>https://doi.org/10.1007/s12197-022-09582-y</w:t>
        </w:r>
      </w:hyperlink>
      <w:r w:rsidRPr="00B475AC">
        <w:rPr>
          <w:rFonts w:cs="Times New Roman"/>
          <w:szCs w:val="24"/>
          <w:lang w:val="en-US"/>
        </w:rPr>
        <w:t>.</w:t>
      </w:r>
      <w:r w:rsidRPr="00BF385E">
        <w:rPr>
          <w:rFonts w:cs="Times New Roman"/>
          <w:szCs w:val="24"/>
          <w:lang w:val="en-US"/>
        </w:rPr>
        <w:t xml:space="preserve"> </w:t>
      </w:r>
    </w:p>
    <w:p w14:paraId="24A17146" w14:textId="5D557550" w:rsidR="00B475AC" w:rsidRPr="00B475AC" w:rsidRDefault="00B475AC" w:rsidP="00BF385E">
      <w:pPr>
        <w:spacing w:line="360" w:lineRule="auto"/>
        <w:jc w:val="both"/>
        <w:rPr>
          <w:rFonts w:cs="Times New Roman"/>
          <w:szCs w:val="24"/>
          <w:lang w:val="de-DE"/>
        </w:rPr>
      </w:pPr>
      <w:r w:rsidRPr="00B475AC">
        <w:rPr>
          <w:rFonts w:cs="Times New Roman"/>
          <w:szCs w:val="24"/>
          <w:lang w:val="en-US"/>
        </w:rPr>
        <w:t xml:space="preserve">Bui, T.H., Truong, T.T.D. and Tran, T.P.T. (2025). Financial ratios as indicators in bankruptcy prediction: A comparative analysis of statistical and machine learning models. </w:t>
      </w:r>
      <w:r w:rsidRPr="00B475AC">
        <w:rPr>
          <w:rFonts w:cs="Times New Roman"/>
          <w:szCs w:val="24"/>
          <w:lang w:val="de-DE"/>
        </w:rPr>
        <w:t>[online] doi:</w:t>
      </w:r>
      <w:r w:rsidRPr="00BF385E">
        <w:rPr>
          <w:rFonts w:cs="Times New Roman"/>
          <w:szCs w:val="24"/>
          <w:lang w:val="de-DE"/>
        </w:rPr>
        <w:t xml:space="preserve"> </w:t>
      </w:r>
      <w:hyperlink r:id="rId30" w:history="1">
        <w:r w:rsidRPr="00B475AC">
          <w:rPr>
            <w:rStyle w:val="Hyperlink"/>
            <w:rFonts w:cs="Times New Roman"/>
            <w:szCs w:val="24"/>
            <w:lang w:val="de-DE"/>
          </w:rPr>
          <w:t>https://doi.org/10.21203/rs.3.rs-5693739/v1</w:t>
        </w:r>
      </w:hyperlink>
      <w:r w:rsidRPr="00B475AC">
        <w:rPr>
          <w:rFonts w:cs="Times New Roman"/>
          <w:szCs w:val="24"/>
          <w:lang w:val="de-DE"/>
        </w:rPr>
        <w:t>.</w:t>
      </w:r>
      <w:r w:rsidRPr="00BF385E">
        <w:rPr>
          <w:rFonts w:cs="Times New Roman"/>
          <w:szCs w:val="24"/>
          <w:lang w:val="de-DE"/>
        </w:rPr>
        <w:t xml:space="preserve"> </w:t>
      </w:r>
    </w:p>
    <w:p w14:paraId="60835222" w14:textId="07D42F13" w:rsidR="00B475AC" w:rsidRPr="00B475AC" w:rsidRDefault="00B475AC" w:rsidP="00BF385E">
      <w:pPr>
        <w:spacing w:line="360" w:lineRule="auto"/>
        <w:jc w:val="both"/>
        <w:rPr>
          <w:rFonts w:cs="Times New Roman"/>
          <w:szCs w:val="24"/>
          <w:lang w:val="en-US"/>
        </w:rPr>
      </w:pPr>
      <w:r w:rsidRPr="00A7638E">
        <w:rPr>
          <w:rFonts w:cs="Times New Roman"/>
          <w:szCs w:val="24"/>
          <w:lang w:val="en-US"/>
        </w:rPr>
        <w:t xml:space="preserve">Celestin, </w:t>
      </w:r>
      <w:proofErr w:type="spellStart"/>
      <w:r w:rsidRPr="00A7638E">
        <w:rPr>
          <w:rFonts w:cs="Times New Roman"/>
          <w:szCs w:val="24"/>
          <w:lang w:val="en-US"/>
        </w:rPr>
        <w:t>Prof.Dr.M</w:t>
      </w:r>
      <w:proofErr w:type="spellEnd"/>
      <w:r w:rsidRPr="00A7638E">
        <w:rPr>
          <w:rFonts w:cs="Times New Roman"/>
          <w:szCs w:val="24"/>
          <w:lang w:val="en-US"/>
        </w:rPr>
        <w:t xml:space="preserve">. (2025). </w:t>
      </w:r>
      <w:r w:rsidRPr="00B475AC">
        <w:rPr>
          <w:rFonts w:cs="Times New Roman"/>
          <w:szCs w:val="24"/>
          <w:lang w:val="en-US"/>
        </w:rPr>
        <w:t xml:space="preserve">The Impact </w:t>
      </w:r>
      <w:proofErr w:type="gramStart"/>
      <w:r w:rsidRPr="00B475AC">
        <w:rPr>
          <w:rFonts w:cs="Times New Roman"/>
          <w:szCs w:val="24"/>
          <w:lang w:val="en-US"/>
        </w:rPr>
        <w:t>Of</w:t>
      </w:r>
      <w:proofErr w:type="gramEnd"/>
      <w:r w:rsidRPr="00B475AC">
        <w:rPr>
          <w:rFonts w:cs="Times New Roman"/>
          <w:szCs w:val="24"/>
          <w:lang w:val="en-US"/>
        </w:rPr>
        <w:t xml:space="preserve"> Corporate Bankruptcy Laws </w:t>
      </w:r>
      <w:proofErr w:type="gramStart"/>
      <w:r w:rsidRPr="00B475AC">
        <w:rPr>
          <w:rFonts w:cs="Times New Roman"/>
          <w:szCs w:val="24"/>
          <w:lang w:val="en-US"/>
        </w:rPr>
        <w:t>On</w:t>
      </w:r>
      <w:proofErr w:type="gramEnd"/>
      <w:r w:rsidRPr="00B475AC">
        <w:rPr>
          <w:rFonts w:cs="Times New Roman"/>
          <w:szCs w:val="24"/>
          <w:lang w:val="en-US"/>
        </w:rPr>
        <w:t xml:space="preserve"> Financial Restructuring </w:t>
      </w:r>
      <w:proofErr w:type="gramStart"/>
      <w:r w:rsidRPr="00B475AC">
        <w:rPr>
          <w:rFonts w:cs="Times New Roman"/>
          <w:szCs w:val="24"/>
          <w:lang w:val="en-US"/>
        </w:rPr>
        <w:t>And</w:t>
      </w:r>
      <w:proofErr w:type="gramEnd"/>
      <w:r w:rsidRPr="00B475AC">
        <w:rPr>
          <w:rFonts w:cs="Times New Roman"/>
          <w:szCs w:val="24"/>
          <w:lang w:val="en-US"/>
        </w:rPr>
        <w:t xml:space="preserve"> Business Continuity Strategies. </w:t>
      </w:r>
      <w:r w:rsidRPr="00B475AC">
        <w:rPr>
          <w:rFonts w:cs="Times New Roman"/>
          <w:i/>
          <w:iCs/>
          <w:szCs w:val="24"/>
          <w:lang w:val="en-US"/>
        </w:rPr>
        <w:t>SSRN Electronic Journal</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1" w:history="1">
        <w:r w:rsidRPr="00B475AC">
          <w:rPr>
            <w:rStyle w:val="Hyperlink"/>
            <w:rFonts w:cs="Times New Roman"/>
            <w:szCs w:val="24"/>
            <w:lang w:val="en-US"/>
          </w:rPr>
          <w:t>https://doi.org/10.2139/ssrn.5188095</w:t>
        </w:r>
      </w:hyperlink>
      <w:r w:rsidRPr="00B475AC">
        <w:rPr>
          <w:rFonts w:cs="Times New Roman"/>
          <w:szCs w:val="24"/>
          <w:lang w:val="en-US"/>
        </w:rPr>
        <w:t>.</w:t>
      </w:r>
      <w:r w:rsidRPr="00BF385E">
        <w:rPr>
          <w:rFonts w:cs="Times New Roman"/>
          <w:szCs w:val="24"/>
          <w:lang w:val="en-US"/>
        </w:rPr>
        <w:t xml:space="preserve"> </w:t>
      </w:r>
    </w:p>
    <w:p w14:paraId="28F2DC09" w14:textId="20FA2A32"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Dewi, </w:t>
      </w:r>
      <w:proofErr w:type="spellStart"/>
      <w:r w:rsidRPr="00B475AC">
        <w:rPr>
          <w:rFonts w:cs="Times New Roman"/>
          <w:szCs w:val="24"/>
          <w:lang w:val="en-US"/>
        </w:rPr>
        <w:t>Dwivinna</w:t>
      </w:r>
      <w:proofErr w:type="spellEnd"/>
      <w:r w:rsidRPr="00B475AC">
        <w:rPr>
          <w:rFonts w:cs="Times New Roman"/>
          <w:szCs w:val="24"/>
          <w:lang w:val="en-US"/>
        </w:rPr>
        <w:t xml:space="preserve"> Nadine, </w:t>
      </w:r>
      <w:proofErr w:type="spellStart"/>
      <w:r w:rsidRPr="00B475AC">
        <w:rPr>
          <w:rFonts w:cs="Times New Roman"/>
          <w:szCs w:val="24"/>
          <w:lang w:val="en-US"/>
        </w:rPr>
        <w:t>Murhadi</w:t>
      </w:r>
      <w:proofErr w:type="spellEnd"/>
      <w:r w:rsidRPr="00B475AC">
        <w:rPr>
          <w:rFonts w:cs="Times New Roman"/>
          <w:szCs w:val="24"/>
          <w:lang w:val="en-US"/>
        </w:rPr>
        <w:t xml:space="preserve">, W.R. and </w:t>
      </w:r>
      <w:proofErr w:type="spellStart"/>
      <w:r w:rsidRPr="00B475AC">
        <w:rPr>
          <w:rFonts w:cs="Times New Roman"/>
          <w:szCs w:val="24"/>
          <w:lang w:val="en-US"/>
        </w:rPr>
        <w:t>Sutejo</w:t>
      </w:r>
      <w:proofErr w:type="spellEnd"/>
      <w:r w:rsidRPr="00B475AC">
        <w:rPr>
          <w:rFonts w:cs="Times New Roman"/>
          <w:szCs w:val="24"/>
          <w:lang w:val="en-US"/>
        </w:rPr>
        <w:t xml:space="preserve">, B.S. (2023). Financial Ratios, Corporate Governance, and Macroeconomic Indicators in Predicting Financial Distress - </w:t>
      </w:r>
      <w:proofErr w:type="spellStart"/>
      <w:r w:rsidRPr="00B475AC">
        <w:rPr>
          <w:rFonts w:cs="Times New Roman"/>
          <w:szCs w:val="24"/>
          <w:lang w:val="en-US"/>
        </w:rPr>
        <w:t>Ubaya</w:t>
      </w:r>
      <w:proofErr w:type="spellEnd"/>
      <w:r w:rsidRPr="00B475AC">
        <w:rPr>
          <w:rFonts w:cs="Times New Roman"/>
          <w:szCs w:val="24"/>
          <w:lang w:val="en-US"/>
        </w:rPr>
        <w:t xml:space="preserve"> Repository. </w:t>
      </w:r>
      <w:r w:rsidRPr="00B475AC">
        <w:rPr>
          <w:rFonts w:cs="Times New Roman"/>
          <w:i/>
          <w:iCs/>
          <w:szCs w:val="24"/>
          <w:lang w:val="en-US"/>
        </w:rPr>
        <w:t>Ubaya.ac.id</w:t>
      </w:r>
      <w:r w:rsidRPr="00B475AC">
        <w:rPr>
          <w:rFonts w:cs="Times New Roman"/>
          <w:szCs w:val="24"/>
          <w:lang w:val="en-US"/>
        </w:rPr>
        <w:t xml:space="preserve">. [online]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2" w:history="1">
        <w:r w:rsidRPr="00B475AC">
          <w:rPr>
            <w:rStyle w:val="Hyperlink"/>
            <w:rFonts w:cs="Times New Roman"/>
            <w:szCs w:val="24"/>
            <w:lang w:val="en-US"/>
          </w:rPr>
          <w:t>https://doi.org/44736/1/JLSB%20Agustus%202023.pdf</w:t>
        </w:r>
      </w:hyperlink>
      <w:r w:rsidRPr="00B475AC">
        <w:rPr>
          <w:rFonts w:cs="Times New Roman"/>
          <w:szCs w:val="24"/>
          <w:lang w:val="en-US"/>
        </w:rPr>
        <w:t>.</w:t>
      </w:r>
      <w:r w:rsidRPr="00BF385E">
        <w:rPr>
          <w:rFonts w:cs="Times New Roman"/>
          <w:szCs w:val="24"/>
          <w:lang w:val="en-US"/>
        </w:rPr>
        <w:t xml:space="preserve"> </w:t>
      </w:r>
    </w:p>
    <w:p w14:paraId="07F01E83" w14:textId="44F6413A"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Habib, A.M. and Kayani, U.N. (2022). Does the efficiency of working capital management affect a firm’s financial distress? Evidence from UAE. </w:t>
      </w:r>
      <w:r w:rsidRPr="00B475AC">
        <w:rPr>
          <w:rFonts w:cs="Times New Roman"/>
          <w:i/>
          <w:iCs/>
          <w:szCs w:val="24"/>
          <w:lang w:val="en-US"/>
        </w:rPr>
        <w:t>Corporate Governance: The International Journal of Business in Society</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3" w:history="1">
        <w:r w:rsidRPr="00B475AC">
          <w:rPr>
            <w:rStyle w:val="Hyperlink"/>
            <w:rFonts w:cs="Times New Roman"/>
            <w:szCs w:val="24"/>
            <w:lang w:val="en-US"/>
          </w:rPr>
          <w:t>https://doi.org/10.1108/cg-12-2021-0440</w:t>
        </w:r>
      </w:hyperlink>
      <w:r w:rsidRPr="00B475AC">
        <w:rPr>
          <w:rFonts w:cs="Times New Roman"/>
          <w:szCs w:val="24"/>
          <w:lang w:val="en-US"/>
        </w:rPr>
        <w:t>.</w:t>
      </w:r>
      <w:r w:rsidRPr="00BF385E">
        <w:rPr>
          <w:rFonts w:cs="Times New Roman"/>
          <w:szCs w:val="24"/>
          <w:lang w:val="en-US"/>
        </w:rPr>
        <w:t xml:space="preserve"> </w:t>
      </w:r>
    </w:p>
    <w:p w14:paraId="21CF47E1" w14:textId="78571880" w:rsidR="00B475AC" w:rsidRPr="00B475AC" w:rsidRDefault="00B475AC" w:rsidP="00BF385E">
      <w:pPr>
        <w:spacing w:line="360" w:lineRule="auto"/>
        <w:jc w:val="both"/>
        <w:rPr>
          <w:rFonts w:cs="Times New Roman"/>
          <w:szCs w:val="24"/>
          <w:lang w:val="en-US"/>
        </w:rPr>
      </w:pPr>
      <w:r w:rsidRPr="00B475AC">
        <w:rPr>
          <w:rFonts w:cs="Times New Roman"/>
          <w:szCs w:val="24"/>
          <w:lang w:val="en-US"/>
        </w:rPr>
        <w:lastRenderedPageBreak/>
        <w:t xml:space="preserve">Issa, S., </w:t>
      </w:r>
      <w:proofErr w:type="spellStart"/>
      <w:r w:rsidRPr="00B475AC">
        <w:rPr>
          <w:rFonts w:cs="Times New Roman"/>
          <w:szCs w:val="24"/>
          <w:lang w:val="en-US"/>
        </w:rPr>
        <w:t>Bizel</w:t>
      </w:r>
      <w:proofErr w:type="spellEnd"/>
      <w:r w:rsidRPr="00B475AC">
        <w:rPr>
          <w:rFonts w:cs="Times New Roman"/>
          <w:szCs w:val="24"/>
          <w:lang w:val="en-US"/>
        </w:rPr>
        <w:t xml:space="preserve">, G., Jagannathan, S.K. and Gollapalli, S.S.C. (2024). A Comprehensive Approach to Bankruptcy Risk Evaluation in the Financial Industry. </w:t>
      </w:r>
      <w:r w:rsidRPr="00B475AC">
        <w:rPr>
          <w:rFonts w:cs="Times New Roman"/>
          <w:i/>
          <w:iCs/>
          <w:szCs w:val="24"/>
          <w:lang w:val="en-US"/>
        </w:rPr>
        <w:t>Journal of Risk and Financial Management</w:t>
      </w:r>
      <w:r w:rsidRPr="00B475AC">
        <w:rPr>
          <w:rFonts w:cs="Times New Roman"/>
          <w:szCs w:val="24"/>
          <w:lang w:val="en-US"/>
        </w:rPr>
        <w:t xml:space="preserve">, [online] 17(1), p.41.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4" w:history="1">
        <w:r w:rsidRPr="00B475AC">
          <w:rPr>
            <w:rStyle w:val="Hyperlink"/>
            <w:rFonts w:cs="Times New Roman"/>
            <w:szCs w:val="24"/>
            <w:lang w:val="en-US"/>
          </w:rPr>
          <w:t>https://doi.org/10.3390/jrfm17010041</w:t>
        </w:r>
      </w:hyperlink>
      <w:r w:rsidRPr="00B475AC">
        <w:rPr>
          <w:rFonts w:cs="Times New Roman"/>
          <w:szCs w:val="24"/>
          <w:lang w:val="en-US"/>
        </w:rPr>
        <w:t>.</w:t>
      </w:r>
      <w:r w:rsidRPr="00BF385E">
        <w:rPr>
          <w:rFonts w:cs="Times New Roman"/>
          <w:szCs w:val="24"/>
          <w:lang w:val="en-US"/>
        </w:rPr>
        <w:t xml:space="preserve"> </w:t>
      </w:r>
    </w:p>
    <w:p w14:paraId="280556BC" w14:textId="33606405" w:rsidR="00B475AC" w:rsidRPr="00B475AC" w:rsidRDefault="00B475AC" w:rsidP="00BF385E">
      <w:pPr>
        <w:spacing w:line="360" w:lineRule="auto"/>
        <w:jc w:val="both"/>
        <w:rPr>
          <w:rFonts w:cs="Times New Roman"/>
          <w:szCs w:val="24"/>
          <w:lang w:val="en-US"/>
        </w:rPr>
      </w:pPr>
      <w:proofErr w:type="spellStart"/>
      <w:r w:rsidRPr="00B475AC">
        <w:rPr>
          <w:rFonts w:cs="Times New Roman"/>
          <w:szCs w:val="24"/>
          <w:lang w:val="en-US"/>
        </w:rPr>
        <w:t>Kušter</w:t>
      </w:r>
      <w:proofErr w:type="spellEnd"/>
      <w:r w:rsidRPr="00B475AC">
        <w:rPr>
          <w:rFonts w:cs="Times New Roman"/>
          <w:szCs w:val="24"/>
          <w:lang w:val="en-US"/>
        </w:rPr>
        <w:t xml:space="preserve">, D. (2023). Efficiency of Working Capital &amp; Assets Management in the Function of SMEs Bankruptcy Prediction. </w:t>
      </w:r>
      <w:r w:rsidRPr="00B475AC">
        <w:rPr>
          <w:rFonts w:cs="Times New Roman"/>
          <w:i/>
          <w:iCs/>
          <w:szCs w:val="24"/>
          <w:lang w:val="en-US"/>
        </w:rPr>
        <w:t>Management: Journal of Sustainable Business and Management Solutions in Emerging Economies</w:t>
      </w:r>
      <w:r w:rsidRPr="00B475AC">
        <w:rPr>
          <w:rFonts w:cs="Times New Roman"/>
          <w:szCs w:val="24"/>
          <w:lang w:val="en-US"/>
        </w:rPr>
        <w:t xml:space="preserve">, [online] 28(3), pp.57–69. </w:t>
      </w:r>
      <w:proofErr w:type="spellStart"/>
      <w:r w:rsidRPr="00BF385E">
        <w:rPr>
          <w:rFonts w:cs="Times New Roman"/>
          <w:szCs w:val="24"/>
          <w:lang w:val="en-US"/>
        </w:rPr>
        <w:t>doi</w:t>
      </w:r>
      <w:proofErr w:type="spellEnd"/>
      <w:r w:rsidRPr="00B475AC">
        <w:rPr>
          <w:rFonts w:cs="Times New Roman"/>
          <w:szCs w:val="24"/>
          <w:lang w:val="en-US"/>
        </w:rPr>
        <w:t xml:space="preserve">: </w:t>
      </w:r>
      <w:hyperlink r:id="rId35" w:history="1">
        <w:r w:rsidRPr="00B475AC">
          <w:rPr>
            <w:rStyle w:val="Hyperlink"/>
            <w:rFonts w:cs="Times New Roman"/>
            <w:szCs w:val="24"/>
            <w:lang w:val="en-US"/>
          </w:rPr>
          <w:t>https://www.ceeol.com/search/article-detail?id=1199705</w:t>
        </w:r>
      </w:hyperlink>
      <w:r w:rsidRPr="00B475AC">
        <w:rPr>
          <w:rFonts w:cs="Times New Roman"/>
          <w:szCs w:val="24"/>
          <w:lang w:val="en-US"/>
        </w:rPr>
        <w:t>.</w:t>
      </w:r>
      <w:r w:rsidRPr="00BF385E">
        <w:rPr>
          <w:rFonts w:cs="Times New Roman"/>
          <w:szCs w:val="24"/>
          <w:lang w:val="en-US"/>
        </w:rPr>
        <w:t xml:space="preserve"> </w:t>
      </w:r>
    </w:p>
    <w:p w14:paraId="6FDD3586" w14:textId="6F345F3C"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Litvinenko, A. (2024). Using combined accrual and cash ratio analysis to determine pre-bankruptcy status. </w:t>
      </w:r>
      <w:r w:rsidRPr="00B475AC">
        <w:rPr>
          <w:rFonts w:cs="Times New Roman"/>
          <w:i/>
          <w:iCs/>
          <w:szCs w:val="24"/>
          <w:lang w:val="en-US"/>
        </w:rPr>
        <w:t>Journal of Accounting and Management Information Systems</w:t>
      </w:r>
      <w:r w:rsidRPr="00B475AC">
        <w:rPr>
          <w:rFonts w:cs="Times New Roman"/>
          <w:szCs w:val="24"/>
          <w:lang w:val="en-US"/>
        </w:rPr>
        <w:t xml:space="preserve">, [online] 23(4), pp.826–869. </w:t>
      </w:r>
      <w:proofErr w:type="spellStart"/>
      <w:r w:rsidRPr="00BF385E">
        <w:rPr>
          <w:rFonts w:cs="Times New Roman"/>
          <w:szCs w:val="24"/>
          <w:lang w:val="en-US"/>
        </w:rPr>
        <w:t>doi</w:t>
      </w:r>
      <w:proofErr w:type="spellEnd"/>
      <w:r w:rsidRPr="00B475AC">
        <w:rPr>
          <w:rFonts w:cs="Times New Roman"/>
          <w:szCs w:val="24"/>
          <w:lang w:val="en-US"/>
        </w:rPr>
        <w:t xml:space="preserve">: </w:t>
      </w:r>
      <w:hyperlink r:id="rId36" w:history="1">
        <w:r w:rsidRPr="00B475AC">
          <w:rPr>
            <w:rStyle w:val="Hyperlink"/>
            <w:rFonts w:cs="Times New Roman"/>
            <w:szCs w:val="24"/>
            <w:lang w:val="en-US"/>
          </w:rPr>
          <w:t>https://www.ceeol.com/search/article-detail?id=1289658</w:t>
        </w:r>
      </w:hyperlink>
      <w:r w:rsidRPr="00B475AC">
        <w:rPr>
          <w:rFonts w:cs="Times New Roman"/>
          <w:szCs w:val="24"/>
          <w:lang w:val="en-US"/>
        </w:rPr>
        <w:t>.</w:t>
      </w:r>
      <w:r w:rsidRPr="00BF385E">
        <w:rPr>
          <w:rFonts w:cs="Times New Roman"/>
          <w:szCs w:val="24"/>
          <w:lang w:val="en-US"/>
        </w:rPr>
        <w:t xml:space="preserve"> </w:t>
      </w:r>
    </w:p>
    <w:p w14:paraId="145B3D9C" w14:textId="61B0D040"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Matenda, F.R., Sibanda, M., </w:t>
      </w:r>
      <w:proofErr w:type="spellStart"/>
      <w:r w:rsidRPr="00B475AC">
        <w:rPr>
          <w:rFonts w:cs="Times New Roman"/>
          <w:szCs w:val="24"/>
          <w:lang w:val="en-US"/>
        </w:rPr>
        <w:t>Chikodza</w:t>
      </w:r>
      <w:proofErr w:type="spellEnd"/>
      <w:r w:rsidRPr="00B475AC">
        <w:rPr>
          <w:rFonts w:cs="Times New Roman"/>
          <w:szCs w:val="24"/>
          <w:lang w:val="en-US"/>
        </w:rPr>
        <w:t xml:space="preserve">, E. and Gumbo, V. (2021). Bankruptcy prediction for private firms in developing economies: a scoping review and guidance for future research. </w:t>
      </w:r>
      <w:r w:rsidRPr="00B475AC">
        <w:rPr>
          <w:rFonts w:cs="Times New Roman"/>
          <w:i/>
          <w:iCs/>
          <w:szCs w:val="24"/>
          <w:lang w:val="en-US"/>
        </w:rPr>
        <w:t>Management Review Quarterly</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7" w:history="1">
        <w:r w:rsidRPr="00B475AC">
          <w:rPr>
            <w:rStyle w:val="Hyperlink"/>
            <w:rFonts w:cs="Times New Roman"/>
            <w:szCs w:val="24"/>
            <w:lang w:val="en-US"/>
          </w:rPr>
          <w:t>https://doi.org/10.1007/s11301-021-00216-x</w:t>
        </w:r>
      </w:hyperlink>
      <w:r w:rsidRPr="00B475AC">
        <w:rPr>
          <w:rFonts w:cs="Times New Roman"/>
          <w:szCs w:val="24"/>
          <w:lang w:val="en-US"/>
        </w:rPr>
        <w:t>.</w:t>
      </w:r>
      <w:r w:rsidRPr="00BF385E">
        <w:rPr>
          <w:rFonts w:cs="Times New Roman"/>
          <w:szCs w:val="24"/>
          <w:lang w:val="en-US"/>
        </w:rPr>
        <w:t xml:space="preserve"> </w:t>
      </w:r>
    </w:p>
    <w:p w14:paraId="0B573AC1" w14:textId="79BF95FB"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Mehmood, A. and Francesco De Luca (2023). Financial distress prediction in private firms: developing a model for troubled debt restructuring. </w:t>
      </w:r>
      <w:r w:rsidRPr="00B475AC">
        <w:rPr>
          <w:rFonts w:cs="Times New Roman"/>
          <w:i/>
          <w:iCs/>
          <w:szCs w:val="24"/>
          <w:lang w:val="en-US"/>
        </w:rPr>
        <w:t>Journal of Applied Accounting Research</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8" w:history="1">
        <w:r w:rsidRPr="00B475AC">
          <w:rPr>
            <w:rStyle w:val="Hyperlink"/>
            <w:rFonts w:cs="Times New Roman"/>
            <w:szCs w:val="24"/>
            <w:lang w:val="en-US"/>
          </w:rPr>
          <w:t>https://doi.org/10.1108/jaar-12-2022-0325</w:t>
        </w:r>
      </w:hyperlink>
      <w:r w:rsidRPr="00B475AC">
        <w:rPr>
          <w:rFonts w:cs="Times New Roman"/>
          <w:szCs w:val="24"/>
          <w:lang w:val="en-US"/>
        </w:rPr>
        <w:t>.</w:t>
      </w:r>
      <w:r w:rsidRPr="00BF385E">
        <w:rPr>
          <w:rFonts w:cs="Times New Roman"/>
          <w:szCs w:val="24"/>
          <w:lang w:val="en-US"/>
        </w:rPr>
        <w:t xml:space="preserve"> </w:t>
      </w:r>
    </w:p>
    <w:p w14:paraId="2C75B09E" w14:textId="4D948262" w:rsidR="00B475AC" w:rsidRPr="00B475AC" w:rsidRDefault="00B475AC" w:rsidP="00BF385E">
      <w:pPr>
        <w:spacing w:line="360" w:lineRule="auto"/>
        <w:jc w:val="both"/>
        <w:rPr>
          <w:rFonts w:cs="Times New Roman"/>
          <w:szCs w:val="24"/>
          <w:lang w:val="en-US"/>
        </w:rPr>
      </w:pPr>
      <w:proofErr w:type="spellStart"/>
      <w:r w:rsidRPr="00B475AC">
        <w:rPr>
          <w:rFonts w:cs="Times New Roman"/>
          <w:szCs w:val="24"/>
          <w:lang w:val="en-US"/>
        </w:rPr>
        <w:t>Michalkova</w:t>
      </w:r>
      <w:proofErr w:type="spellEnd"/>
      <w:r w:rsidRPr="00B475AC">
        <w:rPr>
          <w:rFonts w:cs="Times New Roman"/>
          <w:szCs w:val="24"/>
          <w:lang w:val="en-US"/>
        </w:rPr>
        <w:t xml:space="preserve">, L. and </w:t>
      </w:r>
      <w:proofErr w:type="spellStart"/>
      <w:r w:rsidRPr="00B475AC">
        <w:rPr>
          <w:rFonts w:cs="Times New Roman"/>
          <w:szCs w:val="24"/>
          <w:lang w:val="en-US"/>
        </w:rPr>
        <w:t>Ponisciakova</w:t>
      </w:r>
      <w:proofErr w:type="spellEnd"/>
      <w:r w:rsidRPr="00B475AC">
        <w:rPr>
          <w:rFonts w:cs="Times New Roman"/>
          <w:szCs w:val="24"/>
          <w:lang w:val="en-US"/>
        </w:rPr>
        <w:t xml:space="preserve">, O. (2025). Bankruptcy Prediction, Financial Distress and Corporate Life Cycle: Case Study of Central European Enterprises. </w:t>
      </w:r>
      <w:r w:rsidRPr="00B475AC">
        <w:rPr>
          <w:rFonts w:cs="Times New Roman"/>
          <w:i/>
          <w:iCs/>
          <w:szCs w:val="24"/>
          <w:lang w:val="en-US"/>
        </w:rPr>
        <w:t>Administrative Sciences</w:t>
      </w:r>
      <w:r w:rsidRPr="00B475AC">
        <w:rPr>
          <w:rFonts w:cs="Times New Roman"/>
          <w:szCs w:val="24"/>
          <w:lang w:val="en-US"/>
        </w:rPr>
        <w:t xml:space="preserve">, [online] 15(2), pp.63–63.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39" w:history="1">
        <w:r w:rsidRPr="00B475AC">
          <w:rPr>
            <w:rStyle w:val="Hyperlink"/>
            <w:rFonts w:cs="Times New Roman"/>
            <w:szCs w:val="24"/>
            <w:lang w:val="en-US"/>
          </w:rPr>
          <w:t>https://doi.org/10.3390/admsci15020063</w:t>
        </w:r>
      </w:hyperlink>
      <w:r w:rsidRPr="00B475AC">
        <w:rPr>
          <w:rFonts w:cs="Times New Roman"/>
          <w:szCs w:val="24"/>
          <w:lang w:val="en-US"/>
        </w:rPr>
        <w:t>.</w:t>
      </w:r>
      <w:r w:rsidRPr="00BF385E">
        <w:rPr>
          <w:rFonts w:cs="Times New Roman"/>
          <w:szCs w:val="24"/>
          <w:lang w:val="en-US"/>
        </w:rPr>
        <w:t xml:space="preserve"> </w:t>
      </w:r>
    </w:p>
    <w:p w14:paraId="3A056136" w14:textId="79C39657"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Mohamad, A., Azad, M. and Sifat, I.M. (2021). Predicting financial distress in an emerging market: corporate actions, accounting ratios, or both. </w:t>
      </w:r>
      <w:r w:rsidRPr="00B475AC">
        <w:rPr>
          <w:rFonts w:cs="Times New Roman"/>
          <w:i/>
          <w:iCs/>
          <w:szCs w:val="24"/>
          <w:lang w:val="en-US"/>
        </w:rPr>
        <w:t>American J. of Finance and Accounting</w:t>
      </w:r>
      <w:r w:rsidRPr="00B475AC">
        <w:rPr>
          <w:rFonts w:cs="Times New Roman"/>
          <w:szCs w:val="24"/>
          <w:lang w:val="en-US"/>
        </w:rPr>
        <w:t xml:space="preserve">, 6(3/4), p.314.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0" w:history="1">
        <w:r w:rsidRPr="00B475AC">
          <w:rPr>
            <w:rStyle w:val="Hyperlink"/>
            <w:rFonts w:cs="Times New Roman"/>
            <w:szCs w:val="24"/>
            <w:lang w:val="en-US"/>
          </w:rPr>
          <w:t>https://doi.org/10.1504/ajfa.2021.117217</w:t>
        </w:r>
      </w:hyperlink>
      <w:r w:rsidRPr="00B475AC">
        <w:rPr>
          <w:rFonts w:cs="Times New Roman"/>
          <w:szCs w:val="24"/>
          <w:lang w:val="en-US"/>
        </w:rPr>
        <w:t>.</w:t>
      </w:r>
      <w:r w:rsidRPr="00BF385E">
        <w:rPr>
          <w:rFonts w:cs="Times New Roman"/>
          <w:szCs w:val="24"/>
          <w:lang w:val="en-US"/>
        </w:rPr>
        <w:t xml:space="preserve"> </w:t>
      </w:r>
    </w:p>
    <w:p w14:paraId="7B6F16DA" w14:textId="2DBD8815"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Mohamed (2020). Predicting Bankruptcy </w:t>
      </w:r>
      <w:proofErr w:type="gramStart"/>
      <w:r w:rsidRPr="00B475AC">
        <w:rPr>
          <w:rFonts w:cs="Times New Roman"/>
          <w:szCs w:val="24"/>
          <w:lang w:val="en-US"/>
        </w:rPr>
        <w:t>And</w:t>
      </w:r>
      <w:proofErr w:type="gramEnd"/>
      <w:r w:rsidRPr="00B475AC">
        <w:rPr>
          <w:rFonts w:cs="Times New Roman"/>
          <w:szCs w:val="24"/>
          <w:lang w:val="en-US"/>
        </w:rPr>
        <w:t xml:space="preserve"> Financial Failure </w:t>
      </w:r>
      <w:proofErr w:type="gramStart"/>
      <w:r w:rsidRPr="00B475AC">
        <w:rPr>
          <w:rFonts w:cs="Times New Roman"/>
          <w:szCs w:val="24"/>
          <w:lang w:val="en-US"/>
        </w:rPr>
        <w:t>In</w:t>
      </w:r>
      <w:proofErr w:type="gramEnd"/>
      <w:r w:rsidRPr="00B475AC">
        <w:rPr>
          <w:rFonts w:cs="Times New Roman"/>
          <w:szCs w:val="24"/>
          <w:lang w:val="en-US"/>
        </w:rPr>
        <w:t xml:space="preserve"> the Egyptian listed companies: The Importance </w:t>
      </w:r>
      <w:proofErr w:type="gramStart"/>
      <w:r w:rsidRPr="00B475AC">
        <w:rPr>
          <w:rFonts w:cs="Times New Roman"/>
          <w:szCs w:val="24"/>
          <w:lang w:val="en-US"/>
        </w:rPr>
        <w:t>Of</w:t>
      </w:r>
      <w:proofErr w:type="gramEnd"/>
      <w:r w:rsidRPr="00B475AC">
        <w:rPr>
          <w:rFonts w:cs="Times New Roman"/>
          <w:szCs w:val="24"/>
          <w:lang w:val="en-US"/>
        </w:rPr>
        <w:t xml:space="preserve"> Cash Flow Statements. </w:t>
      </w:r>
      <w:r w:rsidRPr="00B475AC">
        <w:rPr>
          <w:rFonts w:cs="Times New Roman"/>
          <w:i/>
          <w:iCs/>
          <w:szCs w:val="24"/>
          <w:lang w:val="en-US"/>
        </w:rPr>
        <w:t>Uns.ac.id</w:t>
      </w:r>
      <w:r w:rsidRPr="00B475AC">
        <w:rPr>
          <w:rFonts w:cs="Times New Roman"/>
          <w:szCs w:val="24"/>
          <w:lang w:val="en-US"/>
        </w:rPr>
        <w:t xml:space="preserve">. [online]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1" w:history="1">
        <w:r w:rsidRPr="00B475AC">
          <w:rPr>
            <w:rStyle w:val="Hyperlink"/>
            <w:rFonts w:cs="Times New Roman"/>
            <w:szCs w:val="24"/>
            <w:lang w:val="en-US"/>
          </w:rPr>
          <w:t>https://digilib.uns.ac.id/dokumen/download/120255/Nzk0NTQ5/Predicting-Bankruptcy-And-Financial-Failure-In-the-Egyptian-listed-companies-The-Importance-Of-Cash-Flow-Statements-cover.pdf</w:t>
        </w:r>
      </w:hyperlink>
      <w:r w:rsidRPr="00B475AC">
        <w:rPr>
          <w:rFonts w:cs="Times New Roman"/>
          <w:szCs w:val="24"/>
          <w:lang w:val="en-US"/>
        </w:rPr>
        <w:t>.</w:t>
      </w:r>
      <w:r w:rsidRPr="00BF385E">
        <w:rPr>
          <w:rFonts w:cs="Times New Roman"/>
          <w:szCs w:val="24"/>
          <w:lang w:val="en-US"/>
        </w:rPr>
        <w:t xml:space="preserve"> </w:t>
      </w:r>
    </w:p>
    <w:p w14:paraId="6FCC98E9" w14:textId="0D6CCCA2" w:rsidR="00B475AC" w:rsidRPr="00B475AC" w:rsidRDefault="00B475AC" w:rsidP="00BF385E">
      <w:pPr>
        <w:spacing w:line="360" w:lineRule="auto"/>
        <w:jc w:val="both"/>
        <w:rPr>
          <w:rFonts w:cs="Times New Roman"/>
          <w:szCs w:val="24"/>
          <w:lang w:val="en-US"/>
        </w:rPr>
      </w:pPr>
      <w:r w:rsidRPr="00B475AC">
        <w:rPr>
          <w:rFonts w:cs="Times New Roman"/>
          <w:szCs w:val="24"/>
          <w:lang w:val="en-US"/>
        </w:rPr>
        <w:lastRenderedPageBreak/>
        <w:t xml:space="preserve">Nugroho, D.S. and </w:t>
      </w:r>
      <w:proofErr w:type="spellStart"/>
      <w:r w:rsidRPr="00B475AC">
        <w:rPr>
          <w:rFonts w:cs="Times New Roman"/>
          <w:szCs w:val="24"/>
          <w:lang w:val="en-US"/>
        </w:rPr>
        <w:t>Dewayanto</w:t>
      </w:r>
      <w:proofErr w:type="spellEnd"/>
      <w:r w:rsidRPr="00B475AC">
        <w:rPr>
          <w:rFonts w:cs="Times New Roman"/>
          <w:szCs w:val="24"/>
          <w:lang w:val="en-US"/>
        </w:rPr>
        <w:t xml:space="preserve">, T. (2025). Application of statistics and artificial intelligence for corporate financial distress prediction models: a systematic literature review. </w:t>
      </w:r>
      <w:r w:rsidRPr="00B475AC">
        <w:rPr>
          <w:rFonts w:cs="Times New Roman"/>
          <w:i/>
          <w:iCs/>
          <w:szCs w:val="24"/>
          <w:lang w:val="en-US"/>
        </w:rPr>
        <w:t>Journal of Modelling in Management</w:t>
      </w:r>
      <w:r w:rsidRPr="00B475AC">
        <w:rPr>
          <w:rFonts w:cs="Times New Roman"/>
          <w:szCs w:val="24"/>
          <w:lang w:val="en-US"/>
        </w:rPr>
        <w:t xml:space="preserve">.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2" w:history="1">
        <w:r w:rsidRPr="00B475AC">
          <w:rPr>
            <w:rStyle w:val="Hyperlink"/>
            <w:rFonts w:cs="Times New Roman"/>
            <w:szCs w:val="24"/>
            <w:lang w:val="en-US"/>
          </w:rPr>
          <w:t>https://doi.org/10.1108/jm2-12-2024-0412</w:t>
        </w:r>
      </w:hyperlink>
      <w:r w:rsidRPr="00B475AC">
        <w:rPr>
          <w:rFonts w:cs="Times New Roman"/>
          <w:szCs w:val="24"/>
          <w:lang w:val="en-US"/>
        </w:rPr>
        <w:t>.</w:t>
      </w:r>
      <w:r w:rsidRPr="00BF385E">
        <w:rPr>
          <w:rFonts w:cs="Times New Roman"/>
          <w:szCs w:val="24"/>
          <w:lang w:val="en-US"/>
        </w:rPr>
        <w:t xml:space="preserve"> </w:t>
      </w:r>
    </w:p>
    <w:p w14:paraId="17131C42" w14:textId="793FA201"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Rasa Kanapickienė, </w:t>
      </w:r>
      <w:proofErr w:type="spellStart"/>
      <w:r w:rsidRPr="00B475AC">
        <w:rPr>
          <w:rFonts w:cs="Times New Roman"/>
          <w:szCs w:val="24"/>
          <w:lang w:val="en-US"/>
        </w:rPr>
        <w:t>Kanapickas</w:t>
      </w:r>
      <w:proofErr w:type="spellEnd"/>
      <w:r w:rsidRPr="00B475AC">
        <w:rPr>
          <w:rFonts w:cs="Times New Roman"/>
          <w:szCs w:val="24"/>
          <w:lang w:val="en-US"/>
        </w:rPr>
        <w:t xml:space="preserve">, T. and Audrius </w:t>
      </w:r>
      <w:proofErr w:type="spellStart"/>
      <w:r w:rsidRPr="00B475AC">
        <w:rPr>
          <w:rFonts w:cs="Times New Roman"/>
          <w:szCs w:val="24"/>
          <w:lang w:val="en-US"/>
        </w:rPr>
        <w:t>Nečiūnas</w:t>
      </w:r>
      <w:proofErr w:type="spellEnd"/>
      <w:r w:rsidRPr="00B475AC">
        <w:rPr>
          <w:rFonts w:cs="Times New Roman"/>
          <w:szCs w:val="24"/>
          <w:lang w:val="en-US"/>
        </w:rPr>
        <w:t xml:space="preserve"> (2023). Bankruptcy Prediction for Micro and Small Enterprises Using Financial, Non-Financial, Business Sector and Macroeconomic Variables: The Case of the Lithuanian Construction Sector. </w:t>
      </w:r>
      <w:r w:rsidRPr="00B475AC">
        <w:rPr>
          <w:rFonts w:cs="Times New Roman"/>
          <w:i/>
          <w:iCs/>
          <w:szCs w:val="24"/>
          <w:lang w:val="en-US"/>
        </w:rPr>
        <w:t>Risks</w:t>
      </w:r>
      <w:r w:rsidRPr="00B475AC">
        <w:rPr>
          <w:rFonts w:cs="Times New Roman"/>
          <w:szCs w:val="24"/>
          <w:lang w:val="en-US"/>
        </w:rPr>
        <w:t xml:space="preserve">, 11(5), pp.97–97.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3" w:history="1">
        <w:r w:rsidRPr="00B475AC">
          <w:rPr>
            <w:rStyle w:val="Hyperlink"/>
            <w:rFonts w:cs="Times New Roman"/>
            <w:szCs w:val="24"/>
            <w:lang w:val="en-US"/>
          </w:rPr>
          <w:t>https://doi.org/10.3390/risks11050097</w:t>
        </w:r>
      </w:hyperlink>
      <w:r w:rsidRPr="00B475AC">
        <w:rPr>
          <w:rFonts w:cs="Times New Roman"/>
          <w:szCs w:val="24"/>
          <w:lang w:val="en-US"/>
        </w:rPr>
        <w:t>.</w:t>
      </w:r>
      <w:r w:rsidRPr="00BF385E">
        <w:rPr>
          <w:rFonts w:cs="Times New Roman"/>
          <w:szCs w:val="24"/>
          <w:lang w:val="en-US"/>
        </w:rPr>
        <w:t xml:space="preserve"> </w:t>
      </w:r>
    </w:p>
    <w:p w14:paraId="532FBBF5" w14:textId="77777777"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Reyad, H.M., </w:t>
      </w:r>
      <w:proofErr w:type="spellStart"/>
      <w:r w:rsidRPr="00B475AC">
        <w:rPr>
          <w:rFonts w:cs="Times New Roman"/>
          <w:szCs w:val="24"/>
          <w:lang w:val="en-US"/>
        </w:rPr>
        <w:t>Zariyawati</w:t>
      </w:r>
      <w:proofErr w:type="spellEnd"/>
      <w:r w:rsidRPr="00B475AC">
        <w:rPr>
          <w:rFonts w:cs="Times New Roman"/>
          <w:szCs w:val="24"/>
          <w:lang w:val="en-US"/>
        </w:rPr>
        <w:t xml:space="preserve">, M.A., Ong, T.S. and Muhamad, H. (2022). The Impact of Macroeconomic Risk Factors, the Adoption of Financial Derivatives on Working Capital Management, and Firm Performance. </w:t>
      </w:r>
      <w:r w:rsidRPr="00B475AC">
        <w:rPr>
          <w:rFonts w:cs="Times New Roman"/>
          <w:i/>
          <w:iCs/>
          <w:szCs w:val="24"/>
          <w:lang w:val="en-US"/>
        </w:rPr>
        <w:t>Sustainability</w:t>
      </w:r>
      <w:r w:rsidRPr="00B475AC">
        <w:rPr>
          <w:rFonts w:cs="Times New Roman"/>
          <w:szCs w:val="24"/>
          <w:lang w:val="en-US"/>
        </w:rPr>
        <w:t>, 14(21), p.14447.</w:t>
      </w:r>
    </w:p>
    <w:p w14:paraId="694A97BE" w14:textId="13D69206"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Saad, M., Hussain, R.Y. and Irshad, H. (2025). Step towards a general bankruptcy prediction model for listed non-financial firms: The use of accounting, market, and macroeconomic variables. </w:t>
      </w:r>
      <w:r w:rsidRPr="00B475AC">
        <w:rPr>
          <w:rFonts w:cs="Times New Roman"/>
          <w:i/>
          <w:iCs/>
          <w:szCs w:val="24"/>
          <w:lang w:val="en-US"/>
        </w:rPr>
        <w:t xml:space="preserve">Studia Historiae </w:t>
      </w:r>
      <w:proofErr w:type="spellStart"/>
      <w:r w:rsidRPr="00B475AC">
        <w:rPr>
          <w:rFonts w:cs="Times New Roman"/>
          <w:i/>
          <w:iCs/>
          <w:szCs w:val="24"/>
          <w:lang w:val="en-US"/>
        </w:rPr>
        <w:t>Oeconomicae</w:t>
      </w:r>
      <w:proofErr w:type="spellEnd"/>
      <w:r w:rsidRPr="00B475AC">
        <w:rPr>
          <w:rFonts w:cs="Times New Roman"/>
          <w:szCs w:val="24"/>
          <w:lang w:val="en-US"/>
        </w:rPr>
        <w:t xml:space="preserve">, [online] 43(1), pp.209–240.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4" w:history="1">
        <w:r w:rsidRPr="00B475AC">
          <w:rPr>
            <w:rStyle w:val="Hyperlink"/>
            <w:rFonts w:cs="Times New Roman"/>
            <w:szCs w:val="24"/>
            <w:lang w:val="en-US"/>
          </w:rPr>
          <w:t>https://doi.org/10.14746/sho.2025.43.1.009</w:t>
        </w:r>
      </w:hyperlink>
      <w:r w:rsidRPr="00B475AC">
        <w:rPr>
          <w:rFonts w:cs="Times New Roman"/>
          <w:szCs w:val="24"/>
          <w:lang w:val="en-US"/>
        </w:rPr>
        <w:t>.</w:t>
      </w:r>
      <w:r w:rsidRPr="00BF385E">
        <w:rPr>
          <w:rFonts w:cs="Times New Roman"/>
          <w:szCs w:val="24"/>
          <w:lang w:val="en-US"/>
        </w:rPr>
        <w:t xml:space="preserve"> </w:t>
      </w:r>
    </w:p>
    <w:p w14:paraId="6DAC49E2" w14:textId="2A44DBE1"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Seth, H., Chadha, S. and Sharma, S. (2020). Benchmarking the efficiency model for working capital management: data envelopment analysis approach. </w:t>
      </w:r>
      <w:r w:rsidRPr="00B475AC">
        <w:rPr>
          <w:rFonts w:cs="Times New Roman"/>
          <w:i/>
          <w:iCs/>
          <w:szCs w:val="24"/>
          <w:lang w:val="en-US"/>
        </w:rPr>
        <w:t>International Journal of Productivity and Performance Management</w:t>
      </w:r>
      <w:r w:rsidRPr="00B475AC">
        <w:rPr>
          <w:rFonts w:cs="Times New Roman"/>
          <w:szCs w:val="24"/>
          <w:lang w:val="en-US"/>
        </w:rPr>
        <w:t xml:space="preserve">, ahead-of-print(ahead-of-print).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5" w:history="1">
        <w:r w:rsidRPr="00B475AC">
          <w:rPr>
            <w:rStyle w:val="Hyperlink"/>
            <w:rFonts w:cs="Times New Roman"/>
            <w:szCs w:val="24"/>
            <w:lang w:val="en-US"/>
          </w:rPr>
          <w:t>https://doi.org/10.1108/ijppm-10-2019-0484</w:t>
        </w:r>
      </w:hyperlink>
      <w:r w:rsidRPr="00B475AC">
        <w:rPr>
          <w:rFonts w:cs="Times New Roman"/>
          <w:szCs w:val="24"/>
          <w:lang w:val="en-US"/>
        </w:rPr>
        <w:t>.</w:t>
      </w:r>
      <w:r w:rsidRPr="00BF385E">
        <w:rPr>
          <w:rFonts w:cs="Times New Roman"/>
          <w:szCs w:val="24"/>
          <w:lang w:val="en-US"/>
        </w:rPr>
        <w:t xml:space="preserve"> </w:t>
      </w:r>
    </w:p>
    <w:p w14:paraId="059B5898" w14:textId="54221DCD"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Tron, A. (2021). Common Characteristics of Firms in Financial Distress and Prediction of Bankruptcy or Recovery: An Empirical Research Carried out in Italy. </w:t>
      </w:r>
      <w:r w:rsidRPr="00B475AC">
        <w:rPr>
          <w:rFonts w:cs="Times New Roman"/>
          <w:i/>
          <w:iCs/>
          <w:szCs w:val="24"/>
          <w:lang w:val="en-US"/>
        </w:rPr>
        <w:t>Corporate Financial Distress</w:t>
      </w:r>
      <w:r w:rsidRPr="00B475AC">
        <w:rPr>
          <w:rFonts w:cs="Times New Roman"/>
          <w:szCs w:val="24"/>
          <w:lang w:val="en-US"/>
        </w:rPr>
        <w:t xml:space="preserve">, pp.67–99.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6" w:history="1">
        <w:r w:rsidRPr="00B475AC">
          <w:rPr>
            <w:rStyle w:val="Hyperlink"/>
            <w:rFonts w:cs="Times New Roman"/>
            <w:szCs w:val="24"/>
            <w:lang w:val="en-US"/>
          </w:rPr>
          <w:t>https://doi.org/10.1108/978-1-83982-980-220211005</w:t>
        </w:r>
      </w:hyperlink>
      <w:r w:rsidRPr="00B475AC">
        <w:rPr>
          <w:rFonts w:cs="Times New Roman"/>
          <w:szCs w:val="24"/>
          <w:lang w:val="en-US"/>
        </w:rPr>
        <w:t>.</w:t>
      </w:r>
      <w:r w:rsidRPr="00BF385E">
        <w:rPr>
          <w:rFonts w:cs="Times New Roman"/>
          <w:szCs w:val="24"/>
          <w:lang w:val="en-US"/>
        </w:rPr>
        <w:t xml:space="preserve"> </w:t>
      </w:r>
    </w:p>
    <w:p w14:paraId="33A26B81" w14:textId="277363FA" w:rsidR="00B475AC" w:rsidRPr="00B475AC" w:rsidRDefault="00B475AC" w:rsidP="00BF385E">
      <w:pPr>
        <w:spacing w:line="360" w:lineRule="auto"/>
        <w:jc w:val="both"/>
        <w:rPr>
          <w:rFonts w:cs="Times New Roman"/>
          <w:szCs w:val="24"/>
          <w:lang w:val="en-US"/>
        </w:rPr>
      </w:pPr>
      <w:r w:rsidRPr="00B475AC">
        <w:rPr>
          <w:rFonts w:cs="Times New Roman"/>
          <w:szCs w:val="24"/>
          <w:lang w:val="en-US"/>
        </w:rPr>
        <w:t xml:space="preserve">Voda, A.D., </w:t>
      </w:r>
      <w:proofErr w:type="spellStart"/>
      <w:r w:rsidRPr="00B475AC">
        <w:rPr>
          <w:rFonts w:cs="Times New Roman"/>
          <w:szCs w:val="24"/>
          <w:lang w:val="en-US"/>
        </w:rPr>
        <w:t>Dobrotă</w:t>
      </w:r>
      <w:proofErr w:type="spellEnd"/>
      <w:r w:rsidRPr="00B475AC">
        <w:rPr>
          <w:rFonts w:cs="Times New Roman"/>
          <w:szCs w:val="24"/>
          <w:lang w:val="en-US"/>
        </w:rPr>
        <w:t xml:space="preserve">, G., </w:t>
      </w:r>
      <w:proofErr w:type="spellStart"/>
      <w:r w:rsidRPr="00B475AC">
        <w:rPr>
          <w:rFonts w:cs="Times New Roman"/>
          <w:szCs w:val="24"/>
          <w:lang w:val="en-US"/>
        </w:rPr>
        <w:t>Țîrcă</w:t>
      </w:r>
      <w:proofErr w:type="spellEnd"/>
      <w:r w:rsidRPr="00B475AC">
        <w:rPr>
          <w:rFonts w:cs="Times New Roman"/>
          <w:szCs w:val="24"/>
          <w:lang w:val="en-US"/>
        </w:rPr>
        <w:t xml:space="preserve">, D.M., </w:t>
      </w:r>
      <w:proofErr w:type="spellStart"/>
      <w:r w:rsidRPr="00B475AC">
        <w:rPr>
          <w:rFonts w:cs="Times New Roman"/>
          <w:szCs w:val="24"/>
          <w:lang w:val="en-US"/>
        </w:rPr>
        <w:t>Dumitrașcu</w:t>
      </w:r>
      <w:proofErr w:type="spellEnd"/>
      <w:r w:rsidRPr="00B475AC">
        <w:rPr>
          <w:rFonts w:cs="Times New Roman"/>
          <w:szCs w:val="24"/>
          <w:lang w:val="en-US"/>
        </w:rPr>
        <w:t xml:space="preserve">, D.D. and </w:t>
      </w:r>
      <w:proofErr w:type="spellStart"/>
      <w:r w:rsidRPr="00B475AC">
        <w:rPr>
          <w:rFonts w:cs="Times New Roman"/>
          <w:szCs w:val="24"/>
          <w:lang w:val="en-US"/>
        </w:rPr>
        <w:t>Dobrotă</w:t>
      </w:r>
      <w:proofErr w:type="spellEnd"/>
      <w:r w:rsidRPr="00B475AC">
        <w:rPr>
          <w:rFonts w:cs="Times New Roman"/>
          <w:szCs w:val="24"/>
          <w:lang w:val="en-US"/>
        </w:rPr>
        <w:t xml:space="preserve">, D. (2021). CORPORATE BANKRUPTCY AND INSOLVENCY PREDICTION MODEL. </w:t>
      </w:r>
      <w:r w:rsidRPr="00B475AC">
        <w:rPr>
          <w:rFonts w:cs="Times New Roman"/>
          <w:i/>
          <w:iCs/>
          <w:szCs w:val="24"/>
          <w:lang w:val="en-US"/>
        </w:rPr>
        <w:t>Technological and Economic Development of Economy</w:t>
      </w:r>
      <w:r w:rsidRPr="00B475AC">
        <w:rPr>
          <w:rFonts w:cs="Times New Roman"/>
          <w:szCs w:val="24"/>
          <w:lang w:val="en-US"/>
        </w:rPr>
        <w:t xml:space="preserve">, 27(5), pp.1039–1056. </w:t>
      </w:r>
      <w:proofErr w:type="spellStart"/>
      <w:r w:rsidRPr="00B475AC">
        <w:rPr>
          <w:rFonts w:cs="Times New Roman"/>
          <w:szCs w:val="24"/>
          <w:lang w:val="en-US"/>
        </w:rPr>
        <w:t>doi</w:t>
      </w:r>
      <w:proofErr w:type="spellEnd"/>
      <w:r w:rsidRPr="00B475AC">
        <w:rPr>
          <w:rFonts w:cs="Times New Roman"/>
          <w:szCs w:val="24"/>
          <w:lang w:val="en-US"/>
        </w:rPr>
        <w:t>:</w:t>
      </w:r>
      <w:r w:rsidRPr="00BF385E">
        <w:rPr>
          <w:rFonts w:cs="Times New Roman"/>
          <w:szCs w:val="24"/>
          <w:lang w:val="en-US"/>
        </w:rPr>
        <w:t xml:space="preserve"> </w:t>
      </w:r>
      <w:hyperlink r:id="rId47" w:history="1">
        <w:r w:rsidRPr="00B475AC">
          <w:rPr>
            <w:rStyle w:val="Hyperlink"/>
            <w:rFonts w:cs="Times New Roman"/>
            <w:szCs w:val="24"/>
            <w:lang w:val="en-US"/>
          </w:rPr>
          <w:t>https://doi.org/10.3846/tede.2021.15106</w:t>
        </w:r>
      </w:hyperlink>
      <w:r w:rsidRPr="00B475AC">
        <w:rPr>
          <w:rFonts w:cs="Times New Roman"/>
          <w:szCs w:val="24"/>
          <w:lang w:val="en-US"/>
        </w:rPr>
        <w:t>.</w:t>
      </w:r>
      <w:r w:rsidRPr="00BF385E">
        <w:rPr>
          <w:rFonts w:cs="Times New Roman"/>
          <w:szCs w:val="24"/>
          <w:lang w:val="en-US"/>
        </w:rPr>
        <w:t xml:space="preserve"> </w:t>
      </w:r>
    </w:p>
    <w:p w14:paraId="7C06465C" w14:textId="18ACF04F" w:rsidR="008C249F" w:rsidRPr="00BF385E" w:rsidRDefault="008C249F" w:rsidP="00BF385E">
      <w:pPr>
        <w:spacing w:line="360" w:lineRule="auto"/>
        <w:jc w:val="both"/>
        <w:rPr>
          <w:rFonts w:cs="Times New Roman"/>
          <w:szCs w:val="24"/>
          <w:lang w:val="en-US"/>
        </w:rPr>
      </w:pPr>
      <w:r w:rsidRPr="00BF385E">
        <w:rPr>
          <w:rFonts w:cs="Times New Roman"/>
          <w:szCs w:val="24"/>
          <w:lang w:val="en-US"/>
        </w:rPr>
        <w:br w:type="page"/>
      </w:r>
    </w:p>
    <w:p w14:paraId="39998B11" w14:textId="77777777" w:rsidR="008C249F" w:rsidRPr="00BF385E" w:rsidRDefault="008C249F" w:rsidP="00BF385E">
      <w:pPr>
        <w:pStyle w:val="Heading1"/>
        <w:spacing w:line="360" w:lineRule="auto"/>
        <w:jc w:val="both"/>
        <w:rPr>
          <w:rFonts w:cs="Times New Roman"/>
          <w:szCs w:val="24"/>
          <w:lang w:val="en-US"/>
        </w:rPr>
      </w:pPr>
      <w:bookmarkStart w:id="26" w:name="_Toc213242445"/>
      <w:r w:rsidRPr="00BF385E">
        <w:rPr>
          <w:rFonts w:cs="Times New Roman"/>
          <w:szCs w:val="24"/>
          <w:lang w:val="en-US"/>
        </w:rPr>
        <w:lastRenderedPageBreak/>
        <w:t>Appendices</w:t>
      </w:r>
      <w:bookmarkEnd w:id="26"/>
    </w:p>
    <w:p w14:paraId="5278E9F6" w14:textId="77777777" w:rsidR="008C249F" w:rsidRPr="00BF385E" w:rsidRDefault="008C249F" w:rsidP="00BF385E">
      <w:pPr>
        <w:pStyle w:val="Heading2"/>
        <w:spacing w:line="360" w:lineRule="auto"/>
        <w:jc w:val="both"/>
        <w:rPr>
          <w:rFonts w:cs="Times New Roman"/>
          <w:szCs w:val="24"/>
          <w:lang w:val="en-US"/>
        </w:rPr>
      </w:pPr>
      <w:bookmarkStart w:id="27" w:name="_Toc213242446"/>
      <w:r w:rsidRPr="00BF385E">
        <w:rPr>
          <w:rFonts w:cs="Times New Roman"/>
          <w:szCs w:val="24"/>
          <w:lang w:val="en-US"/>
        </w:rPr>
        <w:t>Appendix A: Financial Ratios Summary</w:t>
      </w:r>
      <w:bookmarkEnd w:id="27"/>
    </w:p>
    <w:p w14:paraId="03B45398"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A1: Profitability Ratios (2020-2024)</w:t>
      </w:r>
    </w:p>
    <w:tbl>
      <w:tblPr>
        <w:tblStyle w:val="TableGrid"/>
        <w:tblW w:w="0" w:type="auto"/>
        <w:tblLook w:val="04A0" w:firstRow="1" w:lastRow="0" w:firstColumn="1" w:lastColumn="0" w:noHBand="0" w:noVBand="1"/>
      </w:tblPr>
      <w:tblGrid>
        <w:gridCol w:w="2545"/>
        <w:gridCol w:w="916"/>
        <w:gridCol w:w="916"/>
        <w:gridCol w:w="836"/>
        <w:gridCol w:w="836"/>
        <w:gridCol w:w="836"/>
      </w:tblGrid>
      <w:tr w:rsidR="008C249F" w:rsidRPr="008C249F" w14:paraId="2FA56A99" w14:textId="77777777" w:rsidTr="008C249F">
        <w:tc>
          <w:tcPr>
            <w:tcW w:w="0" w:type="auto"/>
            <w:hideMark/>
          </w:tcPr>
          <w:p w14:paraId="37F79DCD"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Ratio</w:t>
            </w:r>
          </w:p>
        </w:tc>
        <w:tc>
          <w:tcPr>
            <w:tcW w:w="0" w:type="auto"/>
            <w:hideMark/>
          </w:tcPr>
          <w:p w14:paraId="316D8210"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2024</w:t>
            </w:r>
          </w:p>
        </w:tc>
        <w:tc>
          <w:tcPr>
            <w:tcW w:w="0" w:type="auto"/>
            <w:hideMark/>
          </w:tcPr>
          <w:p w14:paraId="51236951"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2023</w:t>
            </w:r>
          </w:p>
        </w:tc>
        <w:tc>
          <w:tcPr>
            <w:tcW w:w="0" w:type="auto"/>
            <w:hideMark/>
          </w:tcPr>
          <w:p w14:paraId="568C2988"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2022</w:t>
            </w:r>
          </w:p>
        </w:tc>
        <w:tc>
          <w:tcPr>
            <w:tcW w:w="0" w:type="auto"/>
            <w:hideMark/>
          </w:tcPr>
          <w:p w14:paraId="5A222FD4"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2021</w:t>
            </w:r>
          </w:p>
        </w:tc>
        <w:tc>
          <w:tcPr>
            <w:tcW w:w="0" w:type="auto"/>
            <w:hideMark/>
          </w:tcPr>
          <w:p w14:paraId="6C91C7A8"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2020</w:t>
            </w:r>
          </w:p>
        </w:tc>
      </w:tr>
      <w:tr w:rsidR="008C249F" w:rsidRPr="008C249F" w14:paraId="2A8D5E7B" w14:textId="77777777" w:rsidTr="008C249F">
        <w:tc>
          <w:tcPr>
            <w:tcW w:w="0" w:type="auto"/>
            <w:hideMark/>
          </w:tcPr>
          <w:p w14:paraId="77F73F1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Gross Profit Margin</w:t>
            </w:r>
          </w:p>
        </w:tc>
        <w:tc>
          <w:tcPr>
            <w:tcW w:w="0" w:type="auto"/>
            <w:hideMark/>
          </w:tcPr>
          <w:p w14:paraId="633BD7C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28.9%</w:t>
            </w:r>
          </w:p>
        </w:tc>
        <w:tc>
          <w:tcPr>
            <w:tcW w:w="0" w:type="auto"/>
            <w:hideMark/>
          </w:tcPr>
          <w:p w14:paraId="09D0D9C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23.2%</w:t>
            </w:r>
          </w:p>
        </w:tc>
        <w:tc>
          <w:tcPr>
            <w:tcW w:w="0" w:type="auto"/>
            <w:hideMark/>
          </w:tcPr>
          <w:p w14:paraId="2C3ECEB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28.1%</w:t>
            </w:r>
          </w:p>
        </w:tc>
        <w:tc>
          <w:tcPr>
            <w:tcW w:w="0" w:type="auto"/>
            <w:hideMark/>
          </w:tcPr>
          <w:p w14:paraId="008D9AF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28.8%</w:t>
            </w:r>
          </w:p>
        </w:tc>
        <w:tc>
          <w:tcPr>
            <w:tcW w:w="0" w:type="auto"/>
            <w:hideMark/>
          </w:tcPr>
          <w:p w14:paraId="537E2CE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28.7%</w:t>
            </w:r>
          </w:p>
        </w:tc>
      </w:tr>
      <w:tr w:rsidR="008C249F" w:rsidRPr="008C249F" w14:paraId="11A51ED4" w14:textId="77777777" w:rsidTr="008C249F">
        <w:tc>
          <w:tcPr>
            <w:tcW w:w="0" w:type="auto"/>
            <w:hideMark/>
          </w:tcPr>
          <w:p w14:paraId="0C6E5B5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Operating Profit Margin</w:t>
            </w:r>
          </w:p>
        </w:tc>
        <w:tc>
          <w:tcPr>
            <w:tcW w:w="0" w:type="auto"/>
            <w:hideMark/>
          </w:tcPr>
          <w:p w14:paraId="00B2FD7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-3.9%</w:t>
            </w:r>
          </w:p>
        </w:tc>
        <w:tc>
          <w:tcPr>
            <w:tcW w:w="0" w:type="auto"/>
            <w:hideMark/>
          </w:tcPr>
          <w:p w14:paraId="6DB25E1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-20.3%</w:t>
            </w:r>
          </w:p>
        </w:tc>
        <w:tc>
          <w:tcPr>
            <w:tcW w:w="0" w:type="auto"/>
            <w:hideMark/>
          </w:tcPr>
          <w:p w14:paraId="6ECFE04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2.7%</w:t>
            </w:r>
          </w:p>
        </w:tc>
        <w:tc>
          <w:tcPr>
            <w:tcW w:w="0" w:type="auto"/>
            <w:hideMark/>
          </w:tcPr>
          <w:p w14:paraId="37DD212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3.9%</w:t>
            </w:r>
          </w:p>
        </w:tc>
        <w:tc>
          <w:tcPr>
            <w:tcW w:w="0" w:type="auto"/>
            <w:hideMark/>
          </w:tcPr>
          <w:p w14:paraId="394E732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6.1%</w:t>
            </w:r>
          </w:p>
        </w:tc>
      </w:tr>
      <w:tr w:rsidR="008C249F" w:rsidRPr="008C249F" w14:paraId="3F478F66" w14:textId="77777777" w:rsidTr="008C249F">
        <w:tc>
          <w:tcPr>
            <w:tcW w:w="0" w:type="auto"/>
            <w:hideMark/>
          </w:tcPr>
          <w:p w14:paraId="069C553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Net Profit Margin</w:t>
            </w:r>
          </w:p>
        </w:tc>
        <w:tc>
          <w:tcPr>
            <w:tcW w:w="0" w:type="auto"/>
            <w:hideMark/>
          </w:tcPr>
          <w:p w14:paraId="367D697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-6.1%</w:t>
            </w:r>
          </w:p>
        </w:tc>
        <w:tc>
          <w:tcPr>
            <w:tcW w:w="0" w:type="auto"/>
            <w:hideMark/>
          </w:tcPr>
          <w:p w14:paraId="0444795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-23.4%</w:t>
            </w:r>
          </w:p>
        </w:tc>
        <w:tc>
          <w:tcPr>
            <w:tcW w:w="0" w:type="auto"/>
            <w:hideMark/>
          </w:tcPr>
          <w:p w14:paraId="51F0AAE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0.1%</w:t>
            </w:r>
          </w:p>
        </w:tc>
        <w:tc>
          <w:tcPr>
            <w:tcW w:w="0" w:type="auto"/>
            <w:hideMark/>
          </w:tcPr>
          <w:p w14:paraId="18D9D3D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0.9%</w:t>
            </w:r>
          </w:p>
        </w:tc>
        <w:tc>
          <w:tcPr>
            <w:tcW w:w="0" w:type="auto"/>
            <w:hideMark/>
          </w:tcPr>
          <w:p w14:paraId="779F8F4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6.3%</w:t>
            </w:r>
          </w:p>
        </w:tc>
      </w:tr>
      <w:tr w:rsidR="008C249F" w:rsidRPr="008C249F" w14:paraId="41A7AA00" w14:textId="77777777" w:rsidTr="008C249F">
        <w:tc>
          <w:tcPr>
            <w:tcW w:w="0" w:type="auto"/>
            <w:hideMark/>
          </w:tcPr>
          <w:p w14:paraId="37550D5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ROCE</w:t>
            </w:r>
          </w:p>
        </w:tc>
        <w:tc>
          <w:tcPr>
            <w:tcW w:w="0" w:type="auto"/>
            <w:hideMark/>
          </w:tcPr>
          <w:p w14:paraId="54EE129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w:t>
            </w:r>
          </w:p>
        </w:tc>
        <w:tc>
          <w:tcPr>
            <w:tcW w:w="0" w:type="auto"/>
            <w:hideMark/>
          </w:tcPr>
          <w:p w14:paraId="4C4CA72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-47.7%</w:t>
            </w:r>
          </w:p>
        </w:tc>
        <w:tc>
          <w:tcPr>
            <w:tcW w:w="0" w:type="auto"/>
            <w:hideMark/>
          </w:tcPr>
          <w:p w14:paraId="33B4D9F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5.4%</w:t>
            </w:r>
          </w:p>
        </w:tc>
        <w:tc>
          <w:tcPr>
            <w:tcW w:w="0" w:type="auto"/>
            <w:hideMark/>
          </w:tcPr>
          <w:p w14:paraId="3C1A699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8.4%</w:t>
            </w:r>
          </w:p>
        </w:tc>
        <w:tc>
          <w:tcPr>
            <w:tcW w:w="0" w:type="auto"/>
            <w:hideMark/>
          </w:tcPr>
          <w:p w14:paraId="5C519AA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11.9%</w:t>
            </w:r>
          </w:p>
        </w:tc>
      </w:tr>
      <w:tr w:rsidR="008C249F" w:rsidRPr="008C249F" w14:paraId="4D213B59" w14:textId="77777777" w:rsidTr="008C249F">
        <w:tc>
          <w:tcPr>
            <w:tcW w:w="0" w:type="auto"/>
            <w:hideMark/>
          </w:tcPr>
          <w:p w14:paraId="5831A2F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ROE</w:t>
            </w:r>
          </w:p>
        </w:tc>
        <w:tc>
          <w:tcPr>
            <w:tcW w:w="0" w:type="auto"/>
            <w:hideMark/>
          </w:tcPr>
          <w:p w14:paraId="03456C7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-15.7%</w:t>
            </w:r>
          </w:p>
        </w:tc>
        <w:tc>
          <w:tcPr>
            <w:tcW w:w="0" w:type="auto"/>
            <w:hideMark/>
          </w:tcPr>
          <w:p w14:paraId="195FEF4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-54.9%</w:t>
            </w:r>
          </w:p>
        </w:tc>
        <w:tc>
          <w:tcPr>
            <w:tcW w:w="0" w:type="auto"/>
            <w:hideMark/>
          </w:tcPr>
          <w:p w14:paraId="106C021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w:t>
            </w:r>
          </w:p>
        </w:tc>
        <w:tc>
          <w:tcPr>
            <w:tcW w:w="0" w:type="auto"/>
            <w:hideMark/>
          </w:tcPr>
          <w:p w14:paraId="1A980D4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1.9%</w:t>
            </w:r>
          </w:p>
        </w:tc>
        <w:tc>
          <w:tcPr>
            <w:tcW w:w="0" w:type="auto"/>
            <w:hideMark/>
          </w:tcPr>
          <w:p w14:paraId="56426B7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12.3%</w:t>
            </w:r>
          </w:p>
        </w:tc>
      </w:tr>
    </w:tbl>
    <w:p w14:paraId="0EEEA8FD"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A2: Liquidity Ratios (2020-2024)</w:t>
      </w:r>
    </w:p>
    <w:tbl>
      <w:tblPr>
        <w:tblStyle w:val="TableGrid"/>
        <w:tblW w:w="0" w:type="auto"/>
        <w:tblLook w:val="04A0" w:firstRow="1" w:lastRow="0" w:firstColumn="1" w:lastColumn="0" w:noHBand="0" w:noVBand="1"/>
      </w:tblPr>
      <w:tblGrid>
        <w:gridCol w:w="1530"/>
        <w:gridCol w:w="696"/>
        <w:gridCol w:w="696"/>
        <w:gridCol w:w="696"/>
        <w:gridCol w:w="696"/>
        <w:gridCol w:w="696"/>
      </w:tblGrid>
      <w:tr w:rsidR="008C249F" w:rsidRPr="008C249F" w14:paraId="1E3420BA" w14:textId="77777777" w:rsidTr="008C249F">
        <w:tc>
          <w:tcPr>
            <w:tcW w:w="0" w:type="auto"/>
            <w:hideMark/>
          </w:tcPr>
          <w:p w14:paraId="74D5BBB6"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Ratio</w:t>
            </w:r>
          </w:p>
        </w:tc>
        <w:tc>
          <w:tcPr>
            <w:tcW w:w="0" w:type="auto"/>
            <w:hideMark/>
          </w:tcPr>
          <w:p w14:paraId="468F3219"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2024</w:t>
            </w:r>
          </w:p>
        </w:tc>
        <w:tc>
          <w:tcPr>
            <w:tcW w:w="0" w:type="auto"/>
            <w:hideMark/>
          </w:tcPr>
          <w:p w14:paraId="7E81C205"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2023</w:t>
            </w:r>
          </w:p>
        </w:tc>
        <w:tc>
          <w:tcPr>
            <w:tcW w:w="0" w:type="auto"/>
            <w:hideMark/>
          </w:tcPr>
          <w:p w14:paraId="52FD2AF5"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2022</w:t>
            </w:r>
          </w:p>
        </w:tc>
        <w:tc>
          <w:tcPr>
            <w:tcW w:w="0" w:type="auto"/>
            <w:hideMark/>
          </w:tcPr>
          <w:p w14:paraId="5565DDA2"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2021</w:t>
            </w:r>
          </w:p>
        </w:tc>
        <w:tc>
          <w:tcPr>
            <w:tcW w:w="0" w:type="auto"/>
            <w:hideMark/>
          </w:tcPr>
          <w:p w14:paraId="3FF46785"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2020</w:t>
            </w:r>
          </w:p>
        </w:tc>
      </w:tr>
      <w:tr w:rsidR="008C249F" w:rsidRPr="008C249F" w14:paraId="4AF18C9A" w14:textId="77777777" w:rsidTr="008C249F">
        <w:tc>
          <w:tcPr>
            <w:tcW w:w="0" w:type="auto"/>
            <w:hideMark/>
          </w:tcPr>
          <w:p w14:paraId="50D8370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Current Ratio</w:t>
            </w:r>
          </w:p>
        </w:tc>
        <w:tc>
          <w:tcPr>
            <w:tcW w:w="0" w:type="auto"/>
            <w:hideMark/>
          </w:tcPr>
          <w:p w14:paraId="11C37E2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1.53</w:t>
            </w:r>
          </w:p>
        </w:tc>
        <w:tc>
          <w:tcPr>
            <w:tcW w:w="0" w:type="auto"/>
            <w:hideMark/>
          </w:tcPr>
          <w:p w14:paraId="13CC698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1.61</w:t>
            </w:r>
          </w:p>
        </w:tc>
        <w:tc>
          <w:tcPr>
            <w:tcW w:w="0" w:type="auto"/>
            <w:hideMark/>
          </w:tcPr>
          <w:p w14:paraId="23F8359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1.56</w:t>
            </w:r>
          </w:p>
        </w:tc>
        <w:tc>
          <w:tcPr>
            <w:tcW w:w="0" w:type="auto"/>
            <w:hideMark/>
          </w:tcPr>
          <w:p w14:paraId="042C660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1.56</w:t>
            </w:r>
          </w:p>
        </w:tc>
        <w:tc>
          <w:tcPr>
            <w:tcW w:w="0" w:type="auto"/>
            <w:hideMark/>
          </w:tcPr>
          <w:p w14:paraId="3653E12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1.82</w:t>
            </w:r>
          </w:p>
        </w:tc>
      </w:tr>
      <w:tr w:rsidR="008C249F" w:rsidRPr="008C249F" w14:paraId="287C0766" w14:textId="77777777" w:rsidTr="008C249F">
        <w:tc>
          <w:tcPr>
            <w:tcW w:w="0" w:type="auto"/>
            <w:hideMark/>
          </w:tcPr>
          <w:p w14:paraId="2FABDE5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Quick Ratio</w:t>
            </w:r>
          </w:p>
        </w:tc>
        <w:tc>
          <w:tcPr>
            <w:tcW w:w="0" w:type="auto"/>
            <w:hideMark/>
          </w:tcPr>
          <w:p w14:paraId="6F7C924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1.03</w:t>
            </w:r>
          </w:p>
        </w:tc>
        <w:tc>
          <w:tcPr>
            <w:tcW w:w="0" w:type="auto"/>
            <w:hideMark/>
          </w:tcPr>
          <w:p w14:paraId="1903B6B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1.06</w:t>
            </w:r>
          </w:p>
        </w:tc>
        <w:tc>
          <w:tcPr>
            <w:tcW w:w="0" w:type="auto"/>
            <w:hideMark/>
          </w:tcPr>
          <w:p w14:paraId="3E860C2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0.91</w:t>
            </w:r>
          </w:p>
        </w:tc>
        <w:tc>
          <w:tcPr>
            <w:tcW w:w="0" w:type="auto"/>
            <w:hideMark/>
          </w:tcPr>
          <w:p w14:paraId="378D4DC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0.94</w:t>
            </w:r>
          </w:p>
        </w:tc>
        <w:tc>
          <w:tcPr>
            <w:tcW w:w="0" w:type="auto"/>
            <w:hideMark/>
          </w:tcPr>
          <w:p w14:paraId="42ED665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1.15</w:t>
            </w:r>
          </w:p>
        </w:tc>
      </w:tr>
      <w:tr w:rsidR="008C249F" w:rsidRPr="008C249F" w14:paraId="4F8E143A" w14:textId="77777777" w:rsidTr="008C249F">
        <w:tc>
          <w:tcPr>
            <w:tcW w:w="0" w:type="auto"/>
            <w:hideMark/>
          </w:tcPr>
          <w:p w14:paraId="3934AE3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Cash Ratio</w:t>
            </w:r>
          </w:p>
        </w:tc>
        <w:tc>
          <w:tcPr>
            <w:tcW w:w="0" w:type="auto"/>
            <w:hideMark/>
          </w:tcPr>
          <w:p w14:paraId="350B7B5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0.17</w:t>
            </w:r>
          </w:p>
        </w:tc>
        <w:tc>
          <w:tcPr>
            <w:tcW w:w="0" w:type="auto"/>
            <w:hideMark/>
          </w:tcPr>
          <w:p w14:paraId="1487CE3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0.27</w:t>
            </w:r>
          </w:p>
        </w:tc>
        <w:tc>
          <w:tcPr>
            <w:tcW w:w="0" w:type="auto"/>
            <w:hideMark/>
          </w:tcPr>
          <w:p w14:paraId="38FFC9E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0.31</w:t>
            </w:r>
          </w:p>
        </w:tc>
        <w:tc>
          <w:tcPr>
            <w:tcW w:w="0" w:type="auto"/>
            <w:hideMark/>
          </w:tcPr>
          <w:p w14:paraId="47F0C72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0.28</w:t>
            </w:r>
          </w:p>
        </w:tc>
        <w:tc>
          <w:tcPr>
            <w:tcW w:w="0" w:type="auto"/>
            <w:hideMark/>
          </w:tcPr>
          <w:p w14:paraId="7B1429A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0.32</w:t>
            </w:r>
          </w:p>
        </w:tc>
      </w:tr>
    </w:tbl>
    <w:p w14:paraId="18AACFF6"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A3: Efficiency Ratios (2020-2024)</w:t>
      </w:r>
    </w:p>
    <w:tbl>
      <w:tblPr>
        <w:tblStyle w:val="TableGrid"/>
        <w:tblW w:w="0" w:type="auto"/>
        <w:tblLook w:val="04A0" w:firstRow="1" w:lastRow="0" w:firstColumn="1" w:lastColumn="0" w:noHBand="0" w:noVBand="1"/>
      </w:tblPr>
      <w:tblGrid>
        <w:gridCol w:w="1929"/>
        <w:gridCol w:w="696"/>
        <w:gridCol w:w="696"/>
        <w:gridCol w:w="696"/>
        <w:gridCol w:w="696"/>
        <w:gridCol w:w="696"/>
      </w:tblGrid>
      <w:tr w:rsidR="008C249F" w:rsidRPr="008C249F" w14:paraId="7CC959CF" w14:textId="77777777" w:rsidTr="008C249F">
        <w:tc>
          <w:tcPr>
            <w:tcW w:w="0" w:type="auto"/>
            <w:hideMark/>
          </w:tcPr>
          <w:p w14:paraId="6BF8D081"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Ratio</w:t>
            </w:r>
          </w:p>
        </w:tc>
        <w:tc>
          <w:tcPr>
            <w:tcW w:w="0" w:type="auto"/>
            <w:hideMark/>
          </w:tcPr>
          <w:p w14:paraId="4363D149"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2024</w:t>
            </w:r>
          </w:p>
        </w:tc>
        <w:tc>
          <w:tcPr>
            <w:tcW w:w="0" w:type="auto"/>
            <w:hideMark/>
          </w:tcPr>
          <w:p w14:paraId="6760B110"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2023</w:t>
            </w:r>
          </w:p>
        </w:tc>
        <w:tc>
          <w:tcPr>
            <w:tcW w:w="0" w:type="auto"/>
            <w:hideMark/>
          </w:tcPr>
          <w:p w14:paraId="0375A0F6"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2022</w:t>
            </w:r>
          </w:p>
        </w:tc>
        <w:tc>
          <w:tcPr>
            <w:tcW w:w="0" w:type="auto"/>
            <w:hideMark/>
          </w:tcPr>
          <w:p w14:paraId="52ACB14B"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2021</w:t>
            </w:r>
          </w:p>
        </w:tc>
        <w:tc>
          <w:tcPr>
            <w:tcW w:w="0" w:type="auto"/>
            <w:hideMark/>
          </w:tcPr>
          <w:p w14:paraId="461A5F5D"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2020</w:t>
            </w:r>
          </w:p>
        </w:tc>
      </w:tr>
      <w:tr w:rsidR="008C249F" w:rsidRPr="008C249F" w14:paraId="3EF2A8B3" w14:textId="77777777" w:rsidTr="008C249F">
        <w:tc>
          <w:tcPr>
            <w:tcW w:w="0" w:type="auto"/>
            <w:hideMark/>
          </w:tcPr>
          <w:p w14:paraId="5387510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Inventory Days</w:t>
            </w:r>
          </w:p>
        </w:tc>
        <w:tc>
          <w:tcPr>
            <w:tcW w:w="0" w:type="auto"/>
            <w:hideMark/>
          </w:tcPr>
          <w:p w14:paraId="093CA36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103</w:t>
            </w:r>
          </w:p>
        </w:tc>
        <w:tc>
          <w:tcPr>
            <w:tcW w:w="0" w:type="auto"/>
            <w:hideMark/>
          </w:tcPr>
          <w:p w14:paraId="76559E2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w:t>
            </w:r>
          </w:p>
        </w:tc>
        <w:tc>
          <w:tcPr>
            <w:tcW w:w="0" w:type="auto"/>
            <w:hideMark/>
          </w:tcPr>
          <w:p w14:paraId="4DA1220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131</w:t>
            </w:r>
          </w:p>
        </w:tc>
        <w:tc>
          <w:tcPr>
            <w:tcW w:w="0" w:type="auto"/>
            <w:hideMark/>
          </w:tcPr>
          <w:p w14:paraId="39A4052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114</w:t>
            </w:r>
          </w:p>
        </w:tc>
        <w:tc>
          <w:tcPr>
            <w:tcW w:w="0" w:type="auto"/>
            <w:hideMark/>
          </w:tcPr>
          <w:p w14:paraId="64662DA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w:t>
            </w:r>
          </w:p>
        </w:tc>
      </w:tr>
      <w:tr w:rsidR="008C249F" w:rsidRPr="008C249F" w14:paraId="7C0D4452" w14:textId="77777777" w:rsidTr="008C249F">
        <w:tc>
          <w:tcPr>
            <w:tcW w:w="0" w:type="auto"/>
            <w:hideMark/>
          </w:tcPr>
          <w:p w14:paraId="7E3EC1F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Receivables Days</w:t>
            </w:r>
          </w:p>
        </w:tc>
        <w:tc>
          <w:tcPr>
            <w:tcW w:w="0" w:type="auto"/>
            <w:hideMark/>
          </w:tcPr>
          <w:p w14:paraId="48A483B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106</w:t>
            </w:r>
          </w:p>
        </w:tc>
        <w:tc>
          <w:tcPr>
            <w:tcW w:w="0" w:type="auto"/>
            <w:hideMark/>
          </w:tcPr>
          <w:p w14:paraId="6A5CD81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98</w:t>
            </w:r>
          </w:p>
        </w:tc>
        <w:tc>
          <w:tcPr>
            <w:tcW w:w="0" w:type="auto"/>
            <w:hideMark/>
          </w:tcPr>
          <w:p w14:paraId="06DBE74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76</w:t>
            </w:r>
          </w:p>
        </w:tc>
        <w:tc>
          <w:tcPr>
            <w:tcW w:w="0" w:type="auto"/>
            <w:hideMark/>
          </w:tcPr>
          <w:p w14:paraId="3D44ED6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78</w:t>
            </w:r>
          </w:p>
        </w:tc>
        <w:tc>
          <w:tcPr>
            <w:tcW w:w="0" w:type="auto"/>
            <w:hideMark/>
          </w:tcPr>
          <w:p w14:paraId="18547B5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77</w:t>
            </w:r>
          </w:p>
        </w:tc>
      </w:tr>
      <w:tr w:rsidR="008C249F" w:rsidRPr="008C249F" w14:paraId="7686F634" w14:textId="77777777" w:rsidTr="008C249F">
        <w:tc>
          <w:tcPr>
            <w:tcW w:w="0" w:type="auto"/>
            <w:hideMark/>
          </w:tcPr>
          <w:p w14:paraId="2402FE1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Payables Days</w:t>
            </w:r>
          </w:p>
        </w:tc>
        <w:tc>
          <w:tcPr>
            <w:tcW w:w="0" w:type="auto"/>
            <w:hideMark/>
          </w:tcPr>
          <w:p w14:paraId="21D9AAD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94</w:t>
            </w:r>
          </w:p>
        </w:tc>
        <w:tc>
          <w:tcPr>
            <w:tcW w:w="0" w:type="auto"/>
            <w:hideMark/>
          </w:tcPr>
          <w:p w14:paraId="367AE93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64</w:t>
            </w:r>
          </w:p>
        </w:tc>
        <w:tc>
          <w:tcPr>
            <w:tcW w:w="0" w:type="auto"/>
            <w:hideMark/>
          </w:tcPr>
          <w:p w14:paraId="2450F1C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N/A</w:t>
            </w:r>
          </w:p>
        </w:tc>
        <w:tc>
          <w:tcPr>
            <w:tcW w:w="0" w:type="auto"/>
            <w:hideMark/>
          </w:tcPr>
          <w:p w14:paraId="5057B46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79</w:t>
            </w:r>
          </w:p>
        </w:tc>
        <w:tc>
          <w:tcPr>
            <w:tcW w:w="0" w:type="auto"/>
            <w:hideMark/>
          </w:tcPr>
          <w:p w14:paraId="4FB1E40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69</w:t>
            </w:r>
          </w:p>
        </w:tc>
      </w:tr>
      <w:tr w:rsidR="008C249F" w:rsidRPr="008C249F" w14:paraId="61F0DF0C" w14:textId="77777777" w:rsidTr="008C249F">
        <w:tc>
          <w:tcPr>
            <w:tcW w:w="0" w:type="auto"/>
            <w:hideMark/>
          </w:tcPr>
          <w:p w14:paraId="32A0122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Cash Cycle Days</w:t>
            </w:r>
          </w:p>
        </w:tc>
        <w:tc>
          <w:tcPr>
            <w:tcW w:w="0" w:type="auto"/>
            <w:hideMark/>
          </w:tcPr>
          <w:p w14:paraId="41E5B70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115</w:t>
            </w:r>
          </w:p>
        </w:tc>
        <w:tc>
          <w:tcPr>
            <w:tcW w:w="0" w:type="auto"/>
            <w:hideMark/>
          </w:tcPr>
          <w:p w14:paraId="24ABD60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134</w:t>
            </w:r>
          </w:p>
        </w:tc>
        <w:tc>
          <w:tcPr>
            <w:tcW w:w="0" w:type="auto"/>
            <w:hideMark/>
          </w:tcPr>
          <w:p w14:paraId="6F3F54E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N/A</w:t>
            </w:r>
          </w:p>
        </w:tc>
        <w:tc>
          <w:tcPr>
            <w:tcW w:w="0" w:type="auto"/>
            <w:hideMark/>
          </w:tcPr>
          <w:p w14:paraId="6BA9649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113</w:t>
            </w:r>
          </w:p>
        </w:tc>
        <w:tc>
          <w:tcPr>
            <w:tcW w:w="0" w:type="auto"/>
            <w:hideMark/>
          </w:tcPr>
          <w:p w14:paraId="5C847E5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108</w:t>
            </w:r>
          </w:p>
        </w:tc>
      </w:tr>
      <w:tr w:rsidR="008C249F" w:rsidRPr="008C249F" w14:paraId="62872F63" w14:textId="77777777" w:rsidTr="008C249F">
        <w:tc>
          <w:tcPr>
            <w:tcW w:w="0" w:type="auto"/>
            <w:hideMark/>
          </w:tcPr>
          <w:p w14:paraId="70A9B5B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Asset Turnover</w:t>
            </w:r>
          </w:p>
        </w:tc>
        <w:tc>
          <w:tcPr>
            <w:tcW w:w="0" w:type="auto"/>
            <w:hideMark/>
          </w:tcPr>
          <w:p w14:paraId="39ACE59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1.22</w:t>
            </w:r>
          </w:p>
        </w:tc>
        <w:tc>
          <w:tcPr>
            <w:tcW w:w="0" w:type="auto"/>
            <w:hideMark/>
          </w:tcPr>
          <w:p w14:paraId="38F120B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1.18</w:t>
            </w:r>
          </w:p>
        </w:tc>
        <w:tc>
          <w:tcPr>
            <w:tcW w:w="0" w:type="auto"/>
            <w:hideMark/>
          </w:tcPr>
          <w:p w14:paraId="1581935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1.08</w:t>
            </w:r>
          </w:p>
        </w:tc>
        <w:tc>
          <w:tcPr>
            <w:tcW w:w="0" w:type="auto"/>
            <w:hideMark/>
          </w:tcPr>
          <w:p w14:paraId="26FDDED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1.18</w:t>
            </w:r>
          </w:p>
        </w:tc>
        <w:tc>
          <w:tcPr>
            <w:tcW w:w="0" w:type="auto"/>
            <w:hideMark/>
          </w:tcPr>
          <w:p w14:paraId="745B02C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1.20</w:t>
            </w:r>
          </w:p>
        </w:tc>
      </w:tr>
    </w:tbl>
    <w:p w14:paraId="7731DCBA"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A4: Gearing Ratios (2020-2024)</w:t>
      </w:r>
    </w:p>
    <w:tbl>
      <w:tblPr>
        <w:tblStyle w:val="TableGrid"/>
        <w:tblW w:w="0" w:type="auto"/>
        <w:tblLook w:val="04A0" w:firstRow="1" w:lastRow="0" w:firstColumn="1" w:lastColumn="0" w:noHBand="0" w:noVBand="1"/>
      </w:tblPr>
      <w:tblGrid>
        <w:gridCol w:w="1916"/>
        <w:gridCol w:w="852"/>
        <w:gridCol w:w="972"/>
        <w:gridCol w:w="772"/>
        <w:gridCol w:w="892"/>
        <w:gridCol w:w="892"/>
      </w:tblGrid>
      <w:tr w:rsidR="008C249F" w:rsidRPr="008C249F" w14:paraId="545271B2" w14:textId="77777777" w:rsidTr="008C249F">
        <w:tc>
          <w:tcPr>
            <w:tcW w:w="0" w:type="auto"/>
            <w:hideMark/>
          </w:tcPr>
          <w:p w14:paraId="4EEDBDC3"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lastRenderedPageBreak/>
              <w:t>Ratio</w:t>
            </w:r>
          </w:p>
        </w:tc>
        <w:tc>
          <w:tcPr>
            <w:tcW w:w="0" w:type="auto"/>
            <w:hideMark/>
          </w:tcPr>
          <w:p w14:paraId="1195B4CA"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2024</w:t>
            </w:r>
          </w:p>
        </w:tc>
        <w:tc>
          <w:tcPr>
            <w:tcW w:w="0" w:type="auto"/>
            <w:hideMark/>
          </w:tcPr>
          <w:p w14:paraId="37455FC8"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2023</w:t>
            </w:r>
          </w:p>
        </w:tc>
        <w:tc>
          <w:tcPr>
            <w:tcW w:w="0" w:type="auto"/>
            <w:hideMark/>
          </w:tcPr>
          <w:p w14:paraId="7B78508C"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2022</w:t>
            </w:r>
          </w:p>
        </w:tc>
        <w:tc>
          <w:tcPr>
            <w:tcW w:w="0" w:type="auto"/>
            <w:hideMark/>
          </w:tcPr>
          <w:p w14:paraId="51B70358"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2021</w:t>
            </w:r>
          </w:p>
        </w:tc>
        <w:tc>
          <w:tcPr>
            <w:tcW w:w="0" w:type="auto"/>
            <w:hideMark/>
          </w:tcPr>
          <w:p w14:paraId="750823CD"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2020</w:t>
            </w:r>
          </w:p>
        </w:tc>
      </w:tr>
      <w:tr w:rsidR="008C249F" w:rsidRPr="008C249F" w14:paraId="2EBC2592" w14:textId="77777777" w:rsidTr="008C249F">
        <w:tc>
          <w:tcPr>
            <w:tcW w:w="0" w:type="auto"/>
            <w:hideMark/>
          </w:tcPr>
          <w:p w14:paraId="79E0AE2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Debt-to-Equity</w:t>
            </w:r>
          </w:p>
        </w:tc>
        <w:tc>
          <w:tcPr>
            <w:tcW w:w="0" w:type="auto"/>
            <w:hideMark/>
          </w:tcPr>
          <w:p w14:paraId="3B86DF7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0.24</w:t>
            </w:r>
          </w:p>
        </w:tc>
        <w:tc>
          <w:tcPr>
            <w:tcW w:w="0" w:type="auto"/>
            <w:hideMark/>
          </w:tcPr>
          <w:p w14:paraId="4038DB6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0.31</w:t>
            </w:r>
          </w:p>
        </w:tc>
        <w:tc>
          <w:tcPr>
            <w:tcW w:w="0" w:type="auto"/>
            <w:hideMark/>
          </w:tcPr>
          <w:p w14:paraId="60452D0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0.33</w:t>
            </w:r>
          </w:p>
        </w:tc>
        <w:tc>
          <w:tcPr>
            <w:tcW w:w="0" w:type="auto"/>
            <w:hideMark/>
          </w:tcPr>
          <w:p w14:paraId="58DDF52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0.20</w:t>
            </w:r>
          </w:p>
        </w:tc>
        <w:tc>
          <w:tcPr>
            <w:tcW w:w="0" w:type="auto"/>
            <w:hideMark/>
          </w:tcPr>
          <w:p w14:paraId="5612EA8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0.06</w:t>
            </w:r>
          </w:p>
        </w:tc>
      </w:tr>
      <w:tr w:rsidR="008C249F" w:rsidRPr="008C249F" w14:paraId="49F25F1F" w14:textId="77777777" w:rsidTr="008C249F">
        <w:tc>
          <w:tcPr>
            <w:tcW w:w="0" w:type="auto"/>
            <w:hideMark/>
          </w:tcPr>
          <w:p w14:paraId="02FA146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Interest Coverage</w:t>
            </w:r>
          </w:p>
        </w:tc>
        <w:tc>
          <w:tcPr>
            <w:tcW w:w="0" w:type="auto"/>
            <w:hideMark/>
          </w:tcPr>
          <w:p w14:paraId="4EEE70E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-4.55×</w:t>
            </w:r>
          </w:p>
        </w:tc>
        <w:tc>
          <w:tcPr>
            <w:tcW w:w="0" w:type="auto"/>
            <w:hideMark/>
          </w:tcPr>
          <w:p w14:paraId="2C6DA5C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-19.69×</w:t>
            </w:r>
          </w:p>
        </w:tc>
        <w:tc>
          <w:tcPr>
            <w:tcW w:w="0" w:type="auto"/>
            <w:hideMark/>
          </w:tcPr>
          <w:p w14:paraId="057CE68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6.61×</w:t>
            </w:r>
          </w:p>
        </w:tc>
        <w:tc>
          <w:tcPr>
            <w:tcW w:w="0" w:type="auto"/>
            <w:hideMark/>
          </w:tcPr>
          <w:p w14:paraId="23A4CE3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41.08×</w:t>
            </w:r>
          </w:p>
        </w:tc>
        <w:tc>
          <w:tcPr>
            <w:tcW w:w="0" w:type="auto"/>
            <w:hideMark/>
          </w:tcPr>
          <w:p w14:paraId="0486FF0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26.20×</w:t>
            </w:r>
          </w:p>
        </w:tc>
      </w:tr>
    </w:tbl>
    <w:p w14:paraId="72380F36"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A5: Altman Z-Score (2023-2024)</w:t>
      </w:r>
    </w:p>
    <w:tbl>
      <w:tblPr>
        <w:tblStyle w:val="TableGrid"/>
        <w:tblW w:w="0" w:type="auto"/>
        <w:tblLook w:val="04A0" w:firstRow="1" w:lastRow="0" w:firstColumn="1" w:lastColumn="0" w:noHBand="0" w:noVBand="1"/>
      </w:tblPr>
      <w:tblGrid>
        <w:gridCol w:w="2783"/>
        <w:gridCol w:w="836"/>
        <w:gridCol w:w="836"/>
      </w:tblGrid>
      <w:tr w:rsidR="008C249F" w:rsidRPr="008C249F" w14:paraId="1F62FF43" w14:textId="77777777" w:rsidTr="008C249F">
        <w:tc>
          <w:tcPr>
            <w:tcW w:w="0" w:type="auto"/>
            <w:hideMark/>
          </w:tcPr>
          <w:p w14:paraId="6BAC7A7C"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Component</w:t>
            </w:r>
          </w:p>
        </w:tc>
        <w:tc>
          <w:tcPr>
            <w:tcW w:w="0" w:type="auto"/>
            <w:hideMark/>
          </w:tcPr>
          <w:p w14:paraId="52E3C83A"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2024</w:t>
            </w:r>
          </w:p>
        </w:tc>
        <w:tc>
          <w:tcPr>
            <w:tcW w:w="0" w:type="auto"/>
            <w:hideMark/>
          </w:tcPr>
          <w:p w14:paraId="0785498B"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2023</w:t>
            </w:r>
          </w:p>
        </w:tc>
      </w:tr>
      <w:tr w:rsidR="008C249F" w:rsidRPr="008C249F" w14:paraId="51102075" w14:textId="77777777" w:rsidTr="008C249F">
        <w:tc>
          <w:tcPr>
            <w:tcW w:w="0" w:type="auto"/>
            <w:hideMark/>
          </w:tcPr>
          <w:p w14:paraId="33E775C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Working Capital / Assets</w:t>
            </w:r>
          </w:p>
        </w:tc>
        <w:tc>
          <w:tcPr>
            <w:tcW w:w="0" w:type="auto"/>
            <w:hideMark/>
          </w:tcPr>
          <w:p w14:paraId="519EDF6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0.260</w:t>
            </w:r>
          </w:p>
        </w:tc>
        <w:tc>
          <w:tcPr>
            <w:tcW w:w="0" w:type="auto"/>
            <w:hideMark/>
          </w:tcPr>
          <w:p w14:paraId="56ECAF5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0.275</w:t>
            </w:r>
          </w:p>
        </w:tc>
      </w:tr>
      <w:tr w:rsidR="008C249F" w:rsidRPr="008C249F" w14:paraId="7D767FC2" w14:textId="77777777" w:rsidTr="008C249F">
        <w:tc>
          <w:tcPr>
            <w:tcW w:w="0" w:type="auto"/>
            <w:hideMark/>
          </w:tcPr>
          <w:p w14:paraId="72B9FFA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Retained Earnings / Assets</w:t>
            </w:r>
          </w:p>
        </w:tc>
        <w:tc>
          <w:tcPr>
            <w:tcW w:w="0" w:type="auto"/>
            <w:hideMark/>
          </w:tcPr>
          <w:p w14:paraId="6491404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0.645</w:t>
            </w:r>
          </w:p>
        </w:tc>
        <w:tc>
          <w:tcPr>
            <w:tcW w:w="0" w:type="auto"/>
            <w:hideMark/>
          </w:tcPr>
          <w:p w14:paraId="335C780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0.653</w:t>
            </w:r>
          </w:p>
        </w:tc>
      </w:tr>
      <w:tr w:rsidR="008C249F" w:rsidRPr="008C249F" w14:paraId="5ECA2518" w14:textId="77777777" w:rsidTr="008C249F">
        <w:tc>
          <w:tcPr>
            <w:tcW w:w="0" w:type="auto"/>
            <w:hideMark/>
          </w:tcPr>
          <w:p w14:paraId="46102B0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EBIT / Assets</w:t>
            </w:r>
          </w:p>
        </w:tc>
        <w:tc>
          <w:tcPr>
            <w:tcW w:w="0" w:type="auto"/>
            <w:hideMark/>
          </w:tcPr>
          <w:p w14:paraId="754FF85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-0.047</w:t>
            </w:r>
          </w:p>
        </w:tc>
        <w:tc>
          <w:tcPr>
            <w:tcW w:w="0" w:type="auto"/>
            <w:hideMark/>
          </w:tcPr>
          <w:p w14:paraId="17F64BE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-0.240</w:t>
            </w:r>
          </w:p>
        </w:tc>
      </w:tr>
      <w:tr w:rsidR="008C249F" w:rsidRPr="008C249F" w14:paraId="27381BC1" w14:textId="77777777" w:rsidTr="008C249F">
        <w:tc>
          <w:tcPr>
            <w:tcW w:w="0" w:type="auto"/>
            <w:hideMark/>
          </w:tcPr>
          <w:p w14:paraId="0BFDFD9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Equity / Liabilities</w:t>
            </w:r>
          </w:p>
        </w:tc>
        <w:tc>
          <w:tcPr>
            <w:tcW w:w="0" w:type="auto"/>
            <w:hideMark/>
          </w:tcPr>
          <w:p w14:paraId="29F529B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0.899</w:t>
            </w:r>
          </w:p>
        </w:tc>
        <w:tc>
          <w:tcPr>
            <w:tcW w:w="0" w:type="auto"/>
            <w:hideMark/>
          </w:tcPr>
          <w:p w14:paraId="3D4F533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1.011</w:t>
            </w:r>
          </w:p>
        </w:tc>
      </w:tr>
      <w:tr w:rsidR="008C249F" w:rsidRPr="008C249F" w14:paraId="1BBC5D75" w14:textId="77777777" w:rsidTr="008C249F">
        <w:tc>
          <w:tcPr>
            <w:tcW w:w="0" w:type="auto"/>
            <w:hideMark/>
          </w:tcPr>
          <w:p w14:paraId="2E8D8C7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Sales / Assets</w:t>
            </w:r>
          </w:p>
        </w:tc>
        <w:tc>
          <w:tcPr>
            <w:tcW w:w="0" w:type="auto"/>
            <w:hideMark/>
          </w:tcPr>
          <w:p w14:paraId="075354E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1.221</w:t>
            </w:r>
          </w:p>
        </w:tc>
        <w:tc>
          <w:tcPr>
            <w:tcW w:w="0" w:type="auto"/>
            <w:hideMark/>
          </w:tcPr>
          <w:p w14:paraId="22EDE6C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1.181</w:t>
            </w:r>
          </w:p>
        </w:tc>
      </w:tr>
      <w:tr w:rsidR="008C249F" w:rsidRPr="008C249F" w14:paraId="48995D1C" w14:textId="77777777" w:rsidTr="008C249F">
        <w:tc>
          <w:tcPr>
            <w:tcW w:w="0" w:type="auto"/>
            <w:hideMark/>
          </w:tcPr>
          <w:p w14:paraId="245A0535"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Z-Score</w:t>
            </w:r>
          </w:p>
        </w:tc>
        <w:tc>
          <w:tcPr>
            <w:tcW w:w="0" w:type="auto"/>
            <w:hideMark/>
          </w:tcPr>
          <w:p w14:paraId="2C868278"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2.82</w:t>
            </w:r>
          </w:p>
        </w:tc>
        <w:tc>
          <w:tcPr>
            <w:tcW w:w="0" w:type="auto"/>
            <w:hideMark/>
          </w:tcPr>
          <w:p w14:paraId="3F48029F"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2.24</w:t>
            </w:r>
          </w:p>
        </w:tc>
      </w:tr>
    </w:tbl>
    <w:p w14:paraId="3E95E2B9" w14:textId="77777777" w:rsidR="008C249F" w:rsidRPr="00BF385E" w:rsidRDefault="008C249F" w:rsidP="00BF385E">
      <w:pPr>
        <w:pStyle w:val="Heading2"/>
        <w:spacing w:line="360" w:lineRule="auto"/>
        <w:jc w:val="both"/>
        <w:rPr>
          <w:rFonts w:cs="Times New Roman"/>
          <w:szCs w:val="24"/>
          <w:lang w:val="en-US"/>
        </w:rPr>
      </w:pPr>
      <w:bookmarkStart w:id="28" w:name="_Toc213242447"/>
      <w:r w:rsidRPr="00BF385E">
        <w:rPr>
          <w:rFonts w:cs="Times New Roman"/>
          <w:szCs w:val="24"/>
          <w:lang w:val="en-US"/>
        </w:rPr>
        <w:t>Appendix B: Investment Appraisal Calculations</w:t>
      </w:r>
      <w:bookmarkEnd w:id="28"/>
    </w:p>
    <w:p w14:paraId="1727AE19"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B1: Project A Cash Flows</w:t>
      </w:r>
    </w:p>
    <w:tbl>
      <w:tblPr>
        <w:tblStyle w:val="TableGrid"/>
        <w:tblW w:w="0" w:type="auto"/>
        <w:tblLook w:val="04A0" w:firstRow="1" w:lastRow="0" w:firstColumn="1" w:lastColumn="0" w:noHBand="0" w:noVBand="1"/>
      </w:tblPr>
      <w:tblGrid>
        <w:gridCol w:w="710"/>
        <w:gridCol w:w="1496"/>
        <w:gridCol w:w="1295"/>
        <w:gridCol w:w="1619"/>
      </w:tblGrid>
      <w:tr w:rsidR="008C249F" w:rsidRPr="008C249F" w14:paraId="0FEBA1CF" w14:textId="77777777" w:rsidTr="008C249F">
        <w:tc>
          <w:tcPr>
            <w:tcW w:w="0" w:type="auto"/>
            <w:hideMark/>
          </w:tcPr>
          <w:p w14:paraId="684EB538"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Year</w:t>
            </w:r>
          </w:p>
        </w:tc>
        <w:tc>
          <w:tcPr>
            <w:tcW w:w="0" w:type="auto"/>
            <w:hideMark/>
          </w:tcPr>
          <w:p w14:paraId="2E8B11C4"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Cash Flow</w:t>
            </w:r>
          </w:p>
        </w:tc>
        <w:tc>
          <w:tcPr>
            <w:tcW w:w="0" w:type="auto"/>
            <w:hideMark/>
          </w:tcPr>
          <w:p w14:paraId="28355FAD"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PV @10%</w:t>
            </w:r>
          </w:p>
        </w:tc>
        <w:tc>
          <w:tcPr>
            <w:tcW w:w="0" w:type="auto"/>
            <w:hideMark/>
          </w:tcPr>
          <w:p w14:paraId="22A430AA"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Present Value</w:t>
            </w:r>
          </w:p>
        </w:tc>
      </w:tr>
      <w:tr w:rsidR="008C249F" w:rsidRPr="008C249F" w14:paraId="7D1A86D7" w14:textId="77777777" w:rsidTr="008C249F">
        <w:tc>
          <w:tcPr>
            <w:tcW w:w="0" w:type="auto"/>
            <w:hideMark/>
          </w:tcPr>
          <w:p w14:paraId="5DAB309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w:t>
            </w:r>
          </w:p>
        </w:tc>
        <w:tc>
          <w:tcPr>
            <w:tcW w:w="0" w:type="auto"/>
            <w:hideMark/>
          </w:tcPr>
          <w:p w14:paraId="0B73885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-£40,000,000</w:t>
            </w:r>
          </w:p>
        </w:tc>
        <w:tc>
          <w:tcPr>
            <w:tcW w:w="0" w:type="auto"/>
            <w:hideMark/>
          </w:tcPr>
          <w:p w14:paraId="6A414A2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w:t>
            </w:r>
          </w:p>
        </w:tc>
        <w:tc>
          <w:tcPr>
            <w:tcW w:w="0" w:type="auto"/>
            <w:hideMark/>
          </w:tcPr>
          <w:p w14:paraId="65C6223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-£40,000,000</w:t>
            </w:r>
          </w:p>
        </w:tc>
      </w:tr>
      <w:tr w:rsidR="008C249F" w:rsidRPr="008C249F" w14:paraId="1644DC11" w14:textId="77777777" w:rsidTr="008C249F">
        <w:tc>
          <w:tcPr>
            <w:tcW w:w="0" w:type="auto"/>
            <w:hideMark/>
          </w:tcPr>
          <w:p w14:paraId="7DB3EC8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w:t>
            </w:r>
          </w:p>
        </w:tc>
        <w:tc>
          <w:tcPr>
            <w:tcW w:w="0" w:type="auto"/>
            <w:hideMark/>
          </w:tcPr>
          <w:p w14:paraId="7A85CBC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£10,000,000</w:t>
            </w:r>
          </w:p>
        </w:tc>
        <w:tc>
          <w:tcPr>
            <w:tcW w:w="0" w:type="auto"/>
            <w:hideMark/>
          </w:tcPr>
          <w:p w14:paraId="79E7C8A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0.9091</w:t>
            </w:r>
          </w:p>
        </w:tc>
        <w:tc>
          <w:tcPr>
            <w:tcW w:w="0" w:type="auto"/>
            <w:hideMark/>
          </w:tcPr>
          <w:p w14:paraId="4C0927B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£9,091,000</w:t>
            </w:r>
          </w:p>
        </w:tc>
      </w:tr>
      <w:tr w:rsidR="008C249F" w:rsidRPr="008C249F" w14:paraId="76E17849" w14:textId="77777777" w:rsidTr="008C249F">
        <w:tc>
          <w:tcPr>
            <w:tcW w:w="0" w:type="auto"/>
            <w:hideMark/>
          </w:tcPr>
          <w:p w14:paraId="6ABB2A1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w:t>
            </w:r>
          </w:p>
        </w:tc>
        <w:tc>
          <w:tcPr>
            <w:tcW w:w="0" w:type="auto"/>
            <w:hideMark/>
          </w:tcPr>
          <w:p w14:paraId="294A1A0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£12,000,000</w:t>
            </w:r>
          </w:p>
        </w:tc>
        <w:tc>
          <w:tcPr>
            <w:tcW w:w="0" w:type="auto"/>
            <w:hideMark/>
          </w:tcPr>
          <w:p w14:paraId="1AD66E4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0.8264</w:t>
            </w:r>
          </w:p>
        </w:tc>
        <w:tc>
          <w:tcPr>
            <w:tcW w:w="0" w:type="auto"/>
            <w:hideMark/>
          </w:tcPr>
          <w:p w14:paraId="2F51F99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£9,917,000</w:t>
            </w:r>
          </w:p>
        </w:tc>
      </w:tr>
      <w:tr w:rsidR="008C249F" w:rsidRPr="008C249F" w14:paraId="4C1F5770" w14:textId="77777777" w:rsidTr="008C249F">
        <w:tc>
          <w:tcPr>
            <w:tcW w:w="0" w:type="auto"/>
            <w:hideMark/>
          </w:tcPr>
          <w:p w14:paraId="42D0859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w:t>
            </w:r>
          </w:p>
        </w:tc>
        <w:tc>
          <w:tcPr>
            <w:tcW w:w="0" w:type="auto"/>
            <w:hideMark/>
          </w:tcPr>
          <w:p w14:paraId="54A1386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£14,000,000</w:t>
            </w:r>
          </w:p>
        </w:tc>
        <w:tc>
          <w:tcPr>
            <w:tcW w:w="0" w:type="auto"/>
            <w:hideMark/>
          </w:tcPr>
          <w:p w14:paraId="47FCFB9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0.7513</w:t>
            </w:r>
          </w:p>
        </w:tc>
        <w:tc>
          <w:tcPr>
            <w:tcW w:w="0" w:type="auto"/>
            <w:hideMark/>
          </w:tcPr>
          <w:p w14:paraId="4F4CB09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£10,518,000</w:t>
            </w:r>
          </w:p>
        </w:tc>
      </w:tr>
      <w:tr w:rsidR="008C249F" w:rsidRPr="008C249F" w14:paraId="711F48D6" w14:textId="77777777" w:rsidTr="008C249F">
        <w:tc>
          <w:tcPr>
            <w:tcW w:w="0" w:type="auto"/>
            <w:hideMark/>
          </w:tcPr>
          <w:p w14:paraId="696A419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w:t>
            </w:r>
          </w:p>
        </w:tc>
        <w:tc>
          <w:tcPr>
            <w:tcW w:w="0" w:type="auto"/>
            <w:hideMark/>
          </w:tcPr>
          <w:p w14:paraId="2C626EB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£10,000,000</w:t>
            </w:r>
          </w:p>
        </w:tc>
        <w:tc>
          <w:tcPr>
            <w:tcW w:w="0" w:type="auto"/>
            <w:hideMark/>
          </w:tcPr>
          <w:p w14:paraId="573EDCF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0.6830</w:t>
            </w:r>
          </w:p>
        </w:tc>
        <w:tc>
          <w:tcPr>
            <w:tcW w:w="0" w:type="auto"/>
            <w:hideMark/>
          </w:tcPr>
          <w:p w14:paraId="21AFD23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£6,830,000</w:t>
            </w:r>
          </w:p>
        </w:tc>
      </w:tr>
      <w:tr w:rsidR="008C249F" w:rsidRPr="008C249F" w14:paraId="24F0A945" w14:textId="77777777" w:rsidTr="008C249F">
        <w:tc>
          <w:tcPr>
            <w:tcW w:w="0" w:type="auto"/>
            <w:hideMark/>
          </w:tcPr>
          <w:p w14:paraId="583A2BE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w:t>
            </w:r>
          </w:p>
        </w:tc>
        <w:tc>
          <w:tcPr>
            <w:tcW w:w="0" w:type="auto"/>
            <w:hideMark/>
          </w:tcPr>
          <w:p w14:paraId="4AB442C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£8,000,000</w:t>
            </w:r>
          </w:p>
        </w:tc>
        <w:tc>
          <w:tcPr>
            <w:tcW w:w="0" w:type="auto"/>
            <w:hideMark/>
          </w:tcPr>
          <w:p w14:paraId="00725C5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0.6209</w:t>
            </w:r>
          </w:p>
        </w:tc>
        <w:tc>
          <w:tcPr>
            <w:tcW w:w="0" w:type="auto"/>
            <w:hideMark/>
          </w:tcPr>
          <w:p w14:paraId="3E4CD76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£4,967,000</w:t>
            </w:r>
          </w:p>
        </w:tc>
      </w:tr>
      <w:tr w:rsidR="008C249F" w:rsidRPr="008C249F" w14:paraId="6E6CAA64" w14:textId="77777777" w:rsidTr="008C249F">
        <w:tc>
          <w:tcPr>
            <w:tcW w:w="0" w:type="auto"/>
            <w:hideMark/>
          </w:tcPr>
          <w:p w14:paraId="3F9A7E01"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NPV</w:t>
            </w:r>
          </w:p>
        </w:tc>
        <w:tc>
          <w:tcPr>
            <w:tcW w:w="0" w:type="auto"/>
            <w:hideMark/>
          </w:tcPr>
          <w:p w14:paraId="24E0C036"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5D3A94E8"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2B6F7873"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£1,323,000</w:t>
            </w:r>
          </w:p>
        </w:tc>
      </w:tr>
    </w:tbl>
    <w:p w14:paraId="59D1BDA1"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B2: Project B Cash Flows</w:t>
      </w:r>
    </w:p>
    <w:tbl>
      <w:tblPr>
        <w:tblStyle w:val="TableGrid"/>
        <w:tblW w:w="0" w:type="auto"/>
        <w:tblLook w:val="04A0" w:firstRow="1" w:lastRow="0" w:firstColumn="1" w:lastColumn="0" w:noHBand="0" w:noVBand="1"/>
      </w:tblPr>
      <w:tblGrid>
        <w:gridCol w:w="710"/>
        <w:gridCol w:w="1496"/>
        <w:gridCol w:w="1295"/>
        <w:gridCol w:w="1619"/>
      </w:tblGrid>
      <w:tr w:rsidR="008C249F" w:rsidRPr="008C249F" w14:paraId="36BAED67" w14:textId="77777777" w:rsidTr="008C249F">
        <w:tc>
          <w:tcPr>
            <w:tcW w:w="0" w:type="auto"/>
            <w:hideMark/>
          </w:tcPr>
          <w:p w14:paraId="5E64BAB4"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lastRenderedPageBreak/>
              <w:t>Year</w:t>
            </w:r>
          </w:p>
        </w:tc>
        <w:tc>
          <w:tcPr>
            <w:tcW w:w="0" w:type="auto"/>
            <w:hideMark/>
          </w:tcPr>
          <w:p w14:paraId="595B76D6"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Cash Flow</w:t>
            </w:r>
          </w:p>
        </w:tc>
        <w:tc>
          <w:tcPr>
            <w:tcW w:w="0" w:type="auto"/>
            <w:hideMark/>
          </w:tcPr>
          <w:p w14:paraId="24EADBB7"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PV @10%</w:t>
            </w:r>
          </w:p>
        </w:tc>
        <w:tc>
          <w:tcPr>
            <w:tcW w:w="0" w:type="auto"/>
            <w:hideMark/>
          </w:tcPr>
          <w:p w14:paraId="60FBCB81"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Present Value</w:t>
            </w:r>
          </w:p>
        </w:tc>
      </w:tr>
      <w:tr w:rsidR="008C249F" w:rsidRPr="008C249F" w14:paraId="71B92904" w14:textId="77777777" w:rsidTr="008C249F">
        <w:tc>
          <w:tcPr>
            <w:tcW w:w="0" w:type="auto"/>
            <w:hideMark/>
          </w:tcPr>
          <w:p w14:paraId="3C32649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w:t>
            </w:r>
          </w:p>
        </w:tc>
        <w:tc>
          <w:tcPr>
            <w:tcW w:w="0" w:type="auto"/>
            <w:hideMark/>
          </w:tcPr>
          <w:p w14:paraId="74496BA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-£30,000,000</w:t>
            </w:r>
          </w:p>
        </w:tc>
        <w:tc>
          <w:tcPr>
            <w:tcW w:w="0" w:type="auto"/>
            <w:hideMark/>
          </w:tcPr>
          <w:p w14:paraId="3FB33F4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w:t>
            </w:r>
          </w:p>
        </w:tc>
        <w:tc>
          <w:tcPr>
            <w:tcW w:w="0" w:type="auto"/>
            <w:hideMark/>
          </w:tcPr>
          <w:p w14:paraId="5A906D2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-£30,000,000</w:t>
            </w:r>
          </w:p>
        </w:tc>
      </w:tr>
      <w:tr w:rsidR="008C249F" w:rsidRPr="008C249F" w14:paraId="744F91D7" w14:textId="77777777" w:rsidTr="008C249F">
        <w:tc>
          <w:tcPr>
            <w:tcW w:w="0" w:type="auto"/>
            <w:hideMark/>
          </w:tcPr>
          <w:p w14:paraId="67677E3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w:t>
            </w:r>
          </w:p>
        </w:tc>
        <w:tc>
          <w:tcPr>
            <w:tcW w:w="0" w:type="auto"/>
            <w:hideMark/>
          </w:tcPr>
          <w:p w14:paraId="0861858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£6,000,000</w:t>
            </w:r>
          </w:p>
        </w:tc>
        <w:tc>
          <w:tcPr>
            <w:tcW w:w="0" w:type="auto"/>
            <w:hideMark/>
          </w:tcPr>
          <w:p w14:paraId="204D6B4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3.7908</w:t>
            </w:r>
          </w:p>
        </w:tc>
        <w:tc>
          <w:tcPr>
            <w:tcW w:w="0" w:type="auto"/>
            <w:hideMark/>
          </w:tcPr>
          <w:p w14:paraId="551A7D8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£22,745,000</w:t>
            </w:r>
          </w:p>
        </w:tc>
      </w:tr>
      <w:tr w:rsidR="008C249F" w:rsidRPr="008C249F" w14:paraId="3A9557DB" w14:textId="77777777" w:rsidTr="008C249F">
        <w:tc>
          <w:tcPr>
            <w:tcW w:w="0" w:type="auto"/>
            <w:hideMark/>
          </w:tcPr>
          <w:p w14:paraId="2B9ADC78"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NPV</w:t>
            </w:r>
          </w:p>
        </w:tc>
        <w:tc>
          <w:tcPr>
            <w:tcW w:w="0" w:type="auto"/>
            <w:hideMark/>
          </w:tcPr>
          <w:p w14:paraId="6F08A8B4"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3A3CFBAD"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508FE01B"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-£7,255,000</w:t>
            </w:r>
          </w:p>
        </w:tc>
      </w:tr>
    </w:tbl>
    <w:p w14:paraId="0E58438E"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B3: Project C Cash Flows</w:t>
      </w:r>
    </w:p>
    <w:tbl>
      <w:tblPr>
        <w:tblStyle w:val="TableGrid"/>
        <w:tblW w:w="0" w:type="auto"/>
        <w:tblLook w:val="04A0" w:firstRow="1" w:lastRow="0" w:firstColumn="1" w:lastColumn="0" w:noHBand="0" w:noVBand="1"/>
      </w:tblPr>
      <w:tblGrid>
        <w:gridCol w:w="710"/>
        <w:gridCol w:w="1496"/>
        <w:gridCol w:w="1295"/>
        <w:gridCol w:w="1619"/>
      </w:tblGrid>
      <w:tr w:rsidR="008C249F" w:rsidRPr="008C249F" w14:paraId="673484E1" w14:textId="77777777" w:rsidTr="008C249F">
        <w:tc>
          <w:tcPr>
            <w:tcW w:w="0" w:type="auto"/>
            <w:hideMark/>
          </w:tcPr>
          <w:p w14:paraId="6B244DA3"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Year</w:t>
            </w:r>
          </w:p>
        </w:tc>
        <w:tc>
          <w:tcPr>
            <w:tcW w:w="0" w:type="auto"/>
            <w:hideMark/>
          </w:tcPr>
          <w:p w14:paraId="6AC3691D"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Cash Flow</w:t>
            </w:r>
          </w:p>
        </w:tc>
        <w:tc>
          <w:tcPr>
            <w:tcW w:w="0" w:type="auto"/>
            <w:hideMark/>
          </w:tcPr>
          <w:p w14:paraId="65A463F6"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PV @10%</w:t>
            </w:r>
          </w:p>
        </w:tc>
        <w:tc>
          <w:tcPr>
            <w:tcW w:w="0" w:type="auto"/>
            <w:hideMark/>
          </w:tcPr>
          <w:p w14:paraId="6E9BB9D1"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Present Value</w:t>
            </w:r>
          </w:p>
        </w:tc>
      </w:tr>
      <w:tr w:rsidR="008C249F" w:rsidRPr="008C249F" w14:paraId="404C4ABB" w14:textId="77777777" w:rsidTr="008C249F">
        <w:tc>
          <w:tcPr>
            <w:tcW w:w="0" w:type="auto"/>
            <w:hideMark/>
          </w:tcPr>
          <w:p w14:paraId="64DA929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w:t>
            </w:r>
          </w:p>
        </w:tc>
        <w:tc>
          <w:tcPr>
            <w:tcW w:w="0" w:type="auto"/>
            <w:hideMark/>
          </w:tcPr>
          <w:p w14:paraId="303779F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-£50,000,000</w:t>
            </w:r>
          </w:p>
        </w:tc>
        <w:tc>
          <w:tcPr>
            <w:tcW w:w="0" w:type="auto"/>
            <w:hideMark/>
          </w:tcPr>
          <w:p w14:paraId="5B4DAB0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w:t>
            </w:r>
          </w:p>
        </w:tc>
        <w:tc>
          <w:tcPr>
            <w:tcW w:w="0" w:type="auto"/>
            <w:hideMark/>
          </w:tcPr>
          <w:p w14:paraId="4DA7FAC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-£50,000,000</w:t>
            </w:r>
          </w:p>
        </w:tc>
      </w:tr>
      <w:tr w:rsidR="008C249F" w:rsidRPr="008C249F" w14:paraId="6BE268A9" w14:textId="77777777" w:rsidTr="008C249F">
        <w:tc>
          <w:tcPr>
            <w:tcW w:w="0" w:type="auto"/>
            <w:hideMark/>
          </w:tcPr>
          <w:p w14:paraId="49DBC8B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w:t>
            </w:r>
          </w:p>
        </w:tc>
        <w:tc>
          <w:tcPr>
            <w:tcW w:w="0" w:type="auto"/>
            <w:hideMark/>
          </w:tcPr>
          <w:p w14:paraId="0FB0EE9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£5,000,000</w:t>
            </w:r>
          </w:p>
        </w:tc>
        <w:tc>
          <w:tcPr>
            <w:tcW w:w="0" w:type="auto"/>
            <w:hideMark/>
          </w:tcPr>
          <w:p w14:paraId="11BD572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0.9091</w:t>
            </w:r>
          </w:p>
        </w:tc>
        <w:tc>
          <w:tcPr>
            <w:tcW w:w="0" w:type="auto"/>
            <w:hideMark/>
          </w:tcPr>
          <w:p w14:paraId="27C5D75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£4,546,000</w:t>
            </w:r>
          </w:p>
        </w:tc>
      </w:tr>
      <w:tr w:rsidR="008C249F" w:rsidRPr="008C249F" w14:paraId="01A11AC7" w14:textId="77777777" w:rsidTr="008C249F">
        <w:tc>
          <w:tcPr>
            <w:tcW w:w="0" w:type="auto"/>
            <w:hideMark/>
          </w:tcPr>
          <w:p w14:paraId="67D60F9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w:t>
            </w:r>
          </w:p>
        </w:tc>
        <w:tc>
          <w:tcPr>
            <w:tcW w:w="0" w:type="auto"/>
            <w:hideMark/>
          </w:tcPr>
          <w:p w14:paraId="1A21A30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£10,000,000</w:t>
            </w:r>
          </w:p>
        </w:tc>
        <w:tc>
          <w:tcPr>
            <w:tcW w:w="0" w:type="auto"/>
            <w:hideMark/>
          </w:tcPr>
          <w:p w14:paraId="1777DE5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0.8264</w:t>
            </w:r>
          </w:p>
        </w:tc>
        <w:tc>
          <w:tcPr>
            <w:tcW w:w="0" w:type="auto"/>
            <w:hideMark/>
          </w:tcPr>
          <w:p w14:paraId="6C9A970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£8,264,000</w:t>
            </w:r>
          </w:p>
        </w:tc>
      </w:tr>
      <w:tr w:rsidR="008C249F" w:rsidRPr="008C249F" w14:paraId="4396AE44" w14:textId="77777777" w:rsidTr="008C249F">
        <w:tc>
          <w:tcPr>
            <w:tcW w:w="0" w:type="auto"/>
            <w:hideMark/>
          </w:tcPr>
          <w:p w14:paraId="1C8CE3F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w:t>
            </w:r>
          </w:p>
        </w:tc>
        <w:tc>
          <w:tcPr>
            <w:tcW w:w="0" w:type="auto"/>
            <w:hideMark/>
          </w:tcPr>
          <w:p w14:paraId="6413346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£20,000,000</w:t>
            </w:r>
          </w:p>
        </w:tc>
        <w:tc>
          <w:tcPr>
            <w:tcW w:w="0" w:type="auto"/>
            <w:hideMark/>
          </w:tcPr>
          <w:p w14:paraId="4FCD5FEA"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0.7513</w:t>
            </w:r>
          </w:p>
        </w:tc>
        <w:tc>
          <w:tcPr>
            <w:tcW w:w="0" w:type="auto"/>
            <w:hideMark/>
          </w:tcPr>
          <w:p w14:paraId="14E5811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£15,026,000</w:t>
            </w:r>
          </w:p>
        </w:tc>
      </w:tr>
      <w:tr w:rsidR="008C249F" w:rsidRPr="008C249F" w14:paraId="2D0D1123" w14:textId="77777777" w:rsidTr="008C249F">
        <w:tc>
          <w:tcPr>
            <w:tcW w:w="0" w:type="auto"/>
            <w:hideMark/>
          </w:tcPr>
          <w:p w14:paraId="06A84F2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w:t>
            </w:r>
          </w:p>
        </w:tc>
        <w:tc>
          <w:tcPr>
            <w:tcW w:w="0" w:type="auto"/>
            <w:hideMark/>
          </w:tcPr>
          <w:p w14:paraId="01F16CF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£25,000,000</w:t>
            </w:r>
          </w:p>
        </w:tc>
        <w:tc>
          <w:tcPr>
            <w:tcW w:w="0" w:type="auto"/>
            <w:hideMark/>
          </w:tcPr>
          <w:p w14:paraId="25ED81B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0.6830</w:t>
            </w:r>
          </w:p>
        </w:tc>
        <w:tc>
          <w:tcPr>
            <w:tcW w:w="0" w:type="auto"/>
            <w:hideMark/>
          </w:tcPr>
          <w:p w14:paraId="23952DD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£17,075,000</w:t>
            </w:r>
          </w:p>
        </w:tc>
      </w:tr>
      <w:tr w:rsidR="008C249F" w:rsidRPr="008C249F" w14:paraId="18E05D9B" w14:textId="77777777" w:rsidTr="008C249F">
        <w:tc>
          <w:tcPr>
            <w:tcW w:w="0" w:type="auto"/>
            <w:hideMark/>
          </w:tcPr>
          <w:p w14:paraId="695738BD"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w:t>
            </w:r>
          </w:p>
        </w:tc>
        <w:tc>
          <w:tcPr>
            <w:tcW w:w="0" w:type="auto"/>
            <w:hideMark/>
          </w:tcPr>
          <w:p w14:paraId="5228A05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£15,000,000</w:t>
            </w:r>
          </w:p>
        </w:tc>
        <w:tc>
          <w:tcPr>
            <w:tcW w:w="0" w:type="auto"/>
            <w:hideMark/>
          </w:tcPr>
          <w:p w14:paraId="7B9D440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0.6209</w:t>
            </w:r>
          </w:p>
        </w:tc>
        <w:tc>
          <w:tcPr>
            <w:tcW w:w="0" w:type="auto"/>
            <w:hideMark/>
          </w:tcPr>
          <w:p w14:paraId="5B48F4B3"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£9,314,000</w:t>
            </w:r>
          </w:p>
        </w:tc>
      </w:tr>
      <w:tr w:rsidR="008C249F" w:rsidRPr="008C249F" w14:paraId="777CB283" w14:textId="77777777" w:rsidTr="008C249F">
        <w:tc>
          <w:tcPr>
            <w:tcW w:w="0" w:type="auto"/>
            <w:hideMark/>
          </w:tcPr>
          <w:p w14:paraId="7273D055"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NPV</w:t>
            </w:r>
          </w:p>
        </w:tc>
        <w:tc>
          <w:tcPr>
            <w:tcW w:w="0" w:type="auto"/>
            <w:hideMark/>
          </w:tcPr>
          <w:p w14:paraId="600C4297"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5163827B" w14:textId="77777777" w:rsidR="008C249F" w:rsidRPr="008C249F" w:rsidRDefault="008C249F" w:rsidP="00BF385E">
            <w:pPr>
              <w:spacing w:after="160" w:line="360" w:lineRule="auto"/>
              <w:jc w:val="both"/>
              <w:rPr>
                <w:rFonts w:cs="Times New Roman"/>
                <w:szCs w:val="24"/>
                <w:lang w:val="en-US"/>
              </w:rPr>
            </w:pPr>
          </w:p>
        </w:tc>
        <w:tc>
          <w:tcPr>
            <w:tcW w:w="0" w:type="auto"/>
            <w:hideMark/>
          </w:tcPr>
          <w:p w14:paraId="71918A8A"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£4,225,000</w:t>
            </w:r>
          </w:p>
        </w:tc>
      </w:tr>
    </w:tbl>
    <w:p w14:paraId="05D93877" w14:textId="77777777" w:rsidR="008C249F" w:rsidRPr="008C249F" w:rsidRDefault="008C249F" w:rsidP="00BF385E">
      <w:pPr>
        <w:spacing w:line="360" w:lineRule="auto"/>
        <w:jc w:val="both"/>
        <w:rPr>
          <w:rFonts w:cs="Times New Roman"/>
          <w:szCs w:val="24"/>
          <w:lang w:val="en-US"/>
        </w:rPr>
      </w:pPr>
      <w:r w:rsidRPr="008C249F">
        <w:rPr>
          <w:rFonts w:cs="Times New Roman"/>
          <w:b/>
          <w:bCs/>
          <w:szCs w:val="24"/>
          <w:lang w:val="en-US"/>
        </w:rPr>
        <w:t>Table B4: Projects Summary</w:t>
      </w:r>
    </w:p>
    <w:tbl>
      <w:tblPr>
        <w:tblStyle w:val="TableGrid"/>
        <w:tblW w:w="0" w:type="auto"/>
        <w:tblLook w:val="04A0" w:firstRow="1" w:lastRow="0" w:firstColumn="1" w:lastColumn="0" w:noHBand="0" w:noVBand="1"/>
      </w:tblPr>
      <w:tblGrid>
        <w:gridCol w:w="1283"/>
        <w:gridCol w:w="1296"/>
        <w:gridCol w:w="1376"/>
        <w:gridCol w:w="1296"/>
      </w:tblGrid>
      <w:tr w:rsidR="008C249F" w:rsidRPr="008C249F" w14:paraId="79BB9D71" w14:textId="77777777" w:rsidTr="008C249F">
        <w:tc>
          <w:tcPr>
            <w:tcW w:w="0" w:type="auto"/>
            <w:hideMark/>
          </w:tcPr>
          <w:p w14:paraId="7957DDDB"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Metric</w:t>
            </w:r>
          </w:p>
        </w:tc>
        <w:tc>
          <w:tcPr>
            <w:tcW w:w="0" w:type="auto"/>
            <w:hideMark/>
          </w:tcPr>
          <w:p w14:paraId="3AE71657"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Project A</w:t>
            </w:r>
          </w:p>
        </w:tc>
        <w:tc>
          <w:tcPr>
            <w:tcW w:w="0" w:type="auto"/>
            <w:hideMark/>
          </w:tcPr>
          <w:p w14:paraId="4E50E424"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Project B</w:t>
            </w:r>
          </w:p>
        </w:tc>
        <w:tc>
          <w:tcPr>
            <w:tcW w:w="0" w:type="auto"/>
            <w:hideMark/>
          </w:tcPr>
          <w:p w14:paraId="104D1F6F" w14:textId="77777777" w:rsidR="008C249F" w:rsidRPr="008C249F" w:rsidRDefault="008C249F" w:rsidP="00BF385E">
            <w:pPr>
              <w:spacing w:after="160" w:line="360" w:lineRule="auto"/>
              <w:jc w:val="both"/>
              <w:rPr>
                <w:rFonts w:cs="Times New Roman"/>
                <w:b/>
                <w:bCs/>
                <w:szCs w:val="24"/>
                <w:lang w:val="en-US"/>
              </w:rPr>
            </w:pPr>
            <w:r w:rsidRPr="008C249F">
              <w:rPr>
                <w:rFonts w:cs="Times New Roman"/>
                <w:b/>
                <w:bCs/>
                <w:szCs w:val="24"/>
                <w:lang w:val="en-US"/>
              </w:rPr>
              <w:t>Project C</w:t>
            </w:r>
          </w:p>
        </w:tc>
      </w:tr>
      <w:tr w:rsidR="008C249F" w:rsidRPr="008C249F" w14:paraId="45592AFD" w14:textId="77777777" w:rsidTr="008C249F">
        <w:tc>
          <w:tcPr>
            <w:tcW w:w="0" w:type="auto"/>
            <w:hideMark/>
          </w:tcPr>
          <w:p w14:paraId="2D93FA2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Investment</w:t>
            </w:r>
          </w:p>
        </w:tc>
        <w:tc>
          <w:tcPr>
            <w:tcW w:w="0" w:type="auto"/>
            <w:hideMark/>
          </w:tcPr>
          <w:p w14:paraId="20EF840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£40m</w:t>
            </w:r>
          </w:p>
        </w:tc>
        <w:tc>
          <w:tcPr>
            <w:tcW w:w="0" w:type="auto"/>
            <w:hideMark/>
          </w:tcPr>
          <w:p w14:paraId="1FA9CC2E"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£30m</w:t>
            </w:r>
          </w:p>
        </w:tc>
        <w:tc>
          <w:tcPr>
            <w:tcW w:w="0" w:type="auto"/>
            <w:hideMark/>
          </w:tcPr>
          <w:p w14:paraId="500AB1F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£50m</w:t>
            </w:r>
          </w:p>
        </w:tc>
      </w:tr>
      <w:tr w:rsidR="008C249F" w:rsidRPr="008C249F" w14:paraId="1FC71C4D" w14:textId="77777777" w:rsidTr="008C249F">
        <w:tc>
          <w:tcPr>
            <w:tcW w:w="0" w:type="auto"/>
            <w:hideMark/>
          </w:tcPr>
          <w:p w14:paraId="08D30DD8"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Payback</w:t>
            </w:r>
          </w:p>
        </w:tc>
        <w:tc>
          <w:tcPr>
            <w:tcW w:w="0" w:type="auto"/>
            <w:hideMark/>
          </w:tcPr>
          <w:p w14:paraId="23C6DA75"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3.4 years</w:t>
            </w:r>
          </w:p>
        </w:tc>
        <w:tc>
          <w:tcPr>
            <w:tcW w:w="0" w:type="auto"/>
            <w:hideMark/>
          </w:tcPr>
          <w:p w14:paraId="1EB77CD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5.0 years</w:t>
            </w:r>
          </w:p>
        </w:tc>
        <w:tc>
          <w:tcPr>
            <w:tcW w:w="0" w:type="auto"/>
            <w:hideMark/>
          </w:tcPr>
          <w:p w14:paraId="003C2E4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3.6 years</w:t>
            </w:r>
          </w:p>
        </w:tc>
      </w:tr>
      <w:tr w:rsidR="008C249F" w:rsidRPr="008C249F" w14:paraId="31C88DC7" w14:textId="77777777" w:rsidTr="008C249F">
        <w:tc>
          <w:tcPr>
            <w:tcW w:w="0" w:type="auto"/>
            <w:hideMark/>
          </w:tcPr>
          <w:p w14:paraId="349581A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ARR</w:t>
            </w:r>
          </w:p>
        </w:tc>
        <w:tc>
          <w:tcPr>
            <w:tcW w:w="0" w:type="auto"/>
            <w:hideMark/>
          </w:tcPr>
          <w:p w14:paraId="669BB71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14.0%</w:t>
            </w:r>
          </w:p>
        </w:tc>
        <w:tc>
          <w:tcPr>
            <w:tcW w:w="0" w:type="auto"/>
            <w:hideMark/>
          </w:tcPr>
          <w:p w14:paraId="7ECAC10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0.0%</w:t>
            </w:r>
          </w:p>
        </w:tc>
        <w:tc>
          <w:tcPr>
            <w:tcW w:w="0" w:type="auto"/>
            <w:hideMark/>
          </w:tcPr>
          <w:p w14:paraId="435BBF59"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20.0%</w:t>
            </w:r>
          </w:p>
        </w:tc>
      </w:tr>
      <w:tr w:rsidR="008C249F" w:rsidRPr="008C249F" w14:paraId="058C1D5F" w14:textId="77777777" w:rsidTr="008C249F">
        <w:tc>
          <w:tcPr>
            <w:tcW w:w="0" w:type="auto"/>
            <w:hideMark/>
          </w:tcPr>
          <w:p w14:paraId="75F3D9F7"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NPV</w:t>
            </w:r>
          </w:p>
        </w:tc>
        <w:tc>
          <w:tcPr>
            <w:tcW w:w="0" w:type="auto"/>
            <w:hideMark/>
          </w:tcPr>
          <w:p w14:paraId="26FDCE4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£1,323,000</w:t>
            </w:r>
          </w:p>
        </w:tc>
        <w:tc>
          <w:tcPr>
            <w:tcW w:w="0" w:type="auto"/>
            <w:hideMark/>
          </w:tcPr>
          <w:p w14:paraId="71DFECE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-£7,255,000</w:t>
            </w:r>
          </w:p>
        </w:tc>
        <w:tc>
          <w:tcPr>
            <w:tcW w:w="0" w:type="auto"/>
            <w:hideMark/>
          </w:tcPr>
          <w:p w14:paraId="369176EC"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£4,225,000</w:t>
            </w:r>
          </w:p>
        </w:tc>
      </w:tr>
      <w:tr w:rsidR="008C249F" w:rsidRPr="008C249F" w14:paraId="349F7A42" w14:textId="77777777" w:rsidTr="008C249F">
        <w:tc>
          <w:tcPr>
            <w:tcW w:w="0" w:type="auto"/>
            <w:hideMark/>
          </w:tcPr>
          <w:p w14:paraId="6B4F6C9F"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PI</w:t>
            </w:r>
          </w:p>
        </w:tc>
        <w:tc>
          <w:tcPr>
            <w:tcW w:w="0" w:type="auto"/>
            <w:hideMark/>
          </w:tcPr>
          <w:p w14:paraId="610708EB"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1.033</w:t>
            </w:r>
          </w:p>
        </w:tc>
        <w:tc>
          <w:tcPr>
            <w:tcW w:w="0" w:type="auto"/>
            <w:hideMark/>
          </w:tcPr>
          <w:p w14:paraId="65EE14A2"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0.758</w:t>
            </w:r>
          </w:p>
        </w:tc>
        <w:tc>
          <w:tcPr>
            <w:tcW w:w="0" w:type="auto"/>
            <w:hideMark/>
          </w:tcPr>
          <w:p w14:paraId="799A6EF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1.085</w:t>
            </w:r>
          </w:p>
        </w:tc>
      </w:tr>
      <w:tr w:rsidR="008C249F" w:rsidRPr="008C249F" w14:paraId="3E675A10" w14:textId="77777777" w:rsidTr="008C249F">
        <w:tc>
          <w:tcPr>
            <w:tcW w:w="0" w:type="auto"/>
            <w:hideMark/>
          </w:tcPr>
          <w:p w14:paraId="6521F3F1"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IRR</w:t>
            </w:r>
          </w:p>
        </w:tc>
        <w:tc>
          <w:tcPr>
            <w:tcW w:w="0" w:type="auto"/>
            <w:hideMark/>
          </w:tcPr>
          <w:p w14:paraId="629846B4"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11.33%</w:t>
            </w:r>
          </w:p>
        </w:tc>
        <w:tc>
          <w:tcPr>
            <w:tcW w:w="0" w:type="auto"/>
            <w:hideMark/>
          </w:tcPr>
          <w:p w14:paraId="06DD65A6"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~0%</w:t>
            </w:r>
          </w:p>
        </w:tc>
        <w:tc>
          <w:tcPr>
            <w:tcW w:w="0" w:type="auto"/>
            <w:hideMark/>
          </w:tcPr>
          <w:p w14:paraId="76914740" w14:textId="77777777" w:rsidR="008C249F" w:rsidRPr="008C249F" w:rsidRDefault="008C249F" w:rsidP="00BF385E">
            <w:pPr>
              <w:spacing w:after="160" w:line="360" w:lineRule="auto"/>
              <w:jc w:val="both"/>
              <w:rPr>
                <w:rFonts w:cs="Times New Roman"/>
                <w:szCs w:val="24"/>
                <w:lang w:val="en-US"/>
              </w:rPr>
            </w:pPr>
            <w:r w:rsidRPr="008C249F">
              <w:rPr>
                <w:rFonts w:cs="Times New Roman"/>
                <w:szCs w:val="24"/>
                <w:lang w:val="en-US"/>
              </w:rPr>
              <w:t>12.72%</w:t>
            </w:r>
          </w:p>
        </w:tc>
      </w:tr>
      <w:tr w:rsidR="008C249F" w:rsidRPr="008C249F" w14:paraId="481ADC3E" w14:textId="77777777" w:rsidTr="008C249F">
        <w:tc>
          <w:tcPr>
            <w:tcW w:w="0" w:type="auto"/>
            <w:hideMark/>
          </w:tcPr>
          <w:p w14:paraId="1DF6DC60"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Decision</w:t>
            </w:r>
          </w:p>
        </w:tc>
        <w:tc>
          <w:tcPr>
            <w:tcW w:w="0" w:type="auto"/>
            <w:hideMark/>
          </w:tcPr>
          <w:p w14:paraId="22710A12"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Consider</w:t>
            </w:r>
          </w:p>
        </w:tc>
        <w:tc>
          <w:tcPr>
            <w:tcW w:w="0" w:type="auto"/>
            <w:hideMark/>
          </w:tcPr>
          <w:p w14:paraId="659C1B0B"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Reject</w:t>
            </w:r>
          </w:p>
        </w:tc>
        <w:tc>
          <w:tcPr>
            <w:tcW w:w="0" w:type="auto"/>
            <w:hideMark/>
          </w:tcPr>
          <w:p w14:paraId="30C67247" w14:textId="77777777" w:rsidR="008C249F" w:rsidRPr="008C249F" w:rsidRDefault="008C249F" w:rsidP="00BF385E">
            <w:pPr>
              <w:spacing w:after="160" w:line="360" w:lineRule="auto"/>
              <w:jc w:val="both"/>
              <w:rPr>
                <w:rFonts w:cs="Times New Roman"/>
                <w:szCs w:val="24"/>
                <w:lang w:val="en-US"/>
              </w:rPr>
            </w:pPr>
            <w:r w:rsidRPr="008C249F">
              <w:rPr>
                <w:rFonts w:cs="Times New Roman"/>
                <w:b/>
                <w:bCs/>
                <w:szCs w:val="24"/>
                <w:lang w:val="en-US"/>
              </w:rPr>
              <w:t>Accept</w:t>
            </w:r>
          </w:p>
        </w:tc>
      </w:tr>
    </w:tbl>
    <w:p w14:paraId="3D8BD2AD" w14:textId="77777777" w:rsidR="00B475AC" w:rsidRPr="00BF385E" w:rsidRDefault="00B475AC" w:rsidP="00BF385E">
      <w:pPr>
        <w:spacing w:line="360" w:lineRule="auto"/>
        <w:jc w:val="both"/>
        <w:rPr>
          <w:rFonts w:cs="Times New Roman"/>
          <w:szCs w:val="24"/>
          <w:lang w:val="en-US"/>
        </w:rPr>
      </w:pPr>
    </w:p>
    <w:p w14:paraId="223A7794" w14:textId="5D4E8F8E" w:rsidR="008C249F" w:rsidRPr="00BF385E" w:rsidRDefault="008C249F" w:rsidP="00BF385E">
      <w:pPr>
        <w:spacing w:line="360" w:lineRule="auto"/>
        <w:jc w:val="both"/>
        <w:rPr>
          <w:rFonts w:cs="Times New Roman"/>
          <w:b/>
          <w:bCs/>
          <w:szCs w:val="24"/>
          <w:lang w:val="en-US"/>
        </w:rPr>
      </w:pPr>
      <w:r w:rsidRPr="00BF385E">
        <w:rPr>
          <w:rFonts w:cs="Times New Roman"/>
          <w:b/>
          <w:bCs/>
          <w:szCs w:val="24"/>
          <w:lang w:val="en-US"/>
        </w:rPr>
        <w:t xml:space="preserve">Ratio Graphs </w:t>
      </w:r>
    </w:p>
    <w:p w14:paraId="7A207179" w14:textId="694DE868" w:rsidR="008C249F" w:rsidRPr="00BF385E" w:rsidRDefault="008C249F"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6CD9C195" wp14:editId="78E46F3B">
            <wp:extent cx="3943900" cy="2838846"/>
            <wp:effectExtent l="0" t="0" r="0" b="0"/>
            <wp:docPr id="958430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30438" name=""/>
                    <pic:cNvPicPr/>
                  </pic:nvPicPr>
                  <pic:blipFill>
                    <a:blip r:embed="rId9"/>
                    <a:stretch>
                      <a:fillRect/>
                    </a:stretch>
                  </pic:blipFill>
                  <pic:spPr>
                    <a:xfrm>
                      <a:off x="0" y="0"/>
                      <a:ext cx="3943900" cy="2838846"/>
                    </a:xfrm>
                    <a:prstGeom prst="rect">
                      <a:avLst/>
                    </a:prstGeom>
                  </pic:spPr>
                </pic:pic>
              </a:graphicData>
            </a:graphic>
          </wp:inline>
        </w:drawing>
      </w:r>
    </w:p>
    <w:p w14:paraId="1097949F" w14:textId="16D218BF" w:rsidR="008C249F" w:rsidRPr="00BF385E" w:rsidRDefault="008C249F"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150C18BA" wp14:editId="0C1D5A09">
            <wp:extent cx="3972479" cy="2819794"/>
            <wp:effectExtent l="0" t="0" r="0" b="0"/>
            <wp:docPr id="2031056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56162" name=""/>
                    <pic:cNvPicPr/>
                  </pic:nvPicPr>
                  <pic:blipFill>
                    <a:blip r:embed="rId11"/>
                    <a:stretch>
                      <a:fillRect/>
                    </a:stretch>
                  </pic:blipFill>
                  <pic:spPr>
                    <a:xfrm>
                      <a:off x="0" y="0"/>
                      <a:ext cx="3972479" cy="2819794"/>
                    </a:xfrm>
                    <a:prstGeom prst="rect">
                      <a:avLst/>
                    </a:prstGeom>
                  </pic:spPr>
                </pic:pic>
              </a:graphicData>
            </a:graphic>
          </wp:inline>
        </w:drawing>
      </w:r>
    </w:p>
    <w:p w14:paraId="5A330F6D" w14:textId="230B7125" w:rsidR="008C249F" w:rsidRPr="00BF385E" w:rsidRDefault="008C249F"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09005E0E" wp14:editId="6E24E8BE">
            <wp:extent cx="3848637" cy="2791215"/>
            <wp:effectExtent l="0" t="0" r="0" b="9525"/>
            <wp:docPr id="197379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9700" name=""/>
                    <pic:cNvPicPr/>
                  </pic:nvPicPr>
                  <pic:blipFill>
                    <a:blip r:embed="rId12"/>
                    <a:stretch>
                      <a:fillRect/>
                    </a:stretch>
                  </pic:blipFill>
                  <pic:spPr>
                    <a:xfrm>
                      <a:off x="0" y="0"/>
                      <a:ext cx="3848637" cy="2791215"/>
                    </a:xfrm>
                    <a:prstGeom prst="rect">
                      <a:avLst/>
                    </a:prstGeom>
                  </pic:spPr>
                </pic:pic>
              </a:graphicData>
            </a:graphic>
          </wp:inline>
        </w:drawing>
      </w:r>
    </w:p>
    <w:p w14:paraId="73532055" w14:textId="10C95234" w:rsidR="008C249F" w:rsidRPr="00BF385E" w:rsidRDefault="008C249F"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16635BED" wp14:editId="7CCA4E10">
            <wp:extent cx="4486901" cy="2867425"/>
            <wp:effectExtent l="0" t="0" r="9525" b="9525"/>
            <wp:docPr id="174224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44371" name=""/>
                    <pic:cNvPicPr/>
                  </pic:nvPicPr>
                  <pic:blipFill>
                    <a:blip r:embed="rId48"/>
                    <a:stretch>
                      <a:fillRect/>
                    </a:stretch>
                  </pic:blipFill>
                  <pic:spPr>
                    <a:xfrm>
                      <a:off x="0" y="0"/>
                      <a:ext cx="4486901" cy="2867425"/>
                    </a:xfrm>
                    <a:prstGeom prst="rect">
                      <a:avLst/>
                    </a:prstGeom>
                  </pic:spPr>
                </pic:pic>
              </a:graphicData>
            </a:graphic>
          </wp:inline>
        </w:drawing>
      </w:r>
    </w:p>
    <w:p w14:paraId="40EEDA82" w14:textId="3EA58608" w:rsidR="008C249F" w:rsidRPr="00BF385E" w:rsidRDefault="00BF385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6F13A430" wp14:editId="5F8EC9FC">
            <wp:extent cx="5068007" cy="4086795"/>
            <wp:effectExtent l="0" t="0" r="0" b="9525"/>
            <wp:docPr id="183130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07595" name=""/>
                    <pic:cNvPicPr/>
                  </pic:nvPicPr>
                  <pic:blipFill>
                    <a:blip r:embed="rId49"/>
                    <a:stretch>
                      <a:fillRect/>
                    </a:stretch>
                  </pic:blipFill>
                  <pic:spPr>
                    <a:xfrm>
                      <a:off x="0" y="0"/>
                      <a:ext cx="5068007" cy="4086795"/>
                    </a:xfrm>
                    <a:prstGeom prst="rect">
                      <a:avLst/>
                    </a:prstGeom>
                  </pic:spPr>
                </pic:pic>
              </a:graphicData>
            </a:graphic>
          </wp:inline>
        </w:drawing>
      </w:r>
    </w:p>
    <w:p w14:paraId="6A2AAC2B" w14:textId="218D4438"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437ED1BD" wp14:editId="73411EBE">
            <wp:extent cx="5153744" cy="4086795"/>
            <wp:effectExtent l="0" t="0" r="8890" b="9525"/>
            <wp:docPr id="1710137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37660" name=""/>
                    <pic:cNvPicPr/>
                  </pic:nvPicPr>
                  <pic:blipFill>
                    <a:blip r:embed="rId50"/>
                    <a:stretch>
                      <a:fillRect/>
                    </a:stretch>
                  </pic:blipFill>
                  <pic:spPr>
                    <a:xfrm>
                      <a:off x="0" y="0"/>
                      <a:ext cx="5153744" cy="4086795"/>
                    </a:xfrm>
                    <a:prstGeom prst="rect">
                      <a:avLst/>
                    </a:prstGeom>
                  </pic:spPr>
                </pic:pic>
              </a:graphicData>
            </a:graphic>
          </wp:inline>
        </w:drawing>
      </w:r>
    </w:p>
    <w:p w14:paraId="118606B9" w14:textId="24CD98A0"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7E6501C5" wp14:editId="0401E5FF">
            <wp:extent cx="4134427" cy="2819794"/>
            <wp:effectExtent l="0" t="0" r="0" b="0"/>
            <wp:docPr id="17097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7580" name=""/>
                    <pic:cNvPicPr/>
                  </pic:nvPicPr>
                  <pic:blipFill>
                    <a:blip r:embed="rId51"/>
                    <a:stretch>
                      <a:fillRect/>
                    </a:stretch>
                  </pic:blipFill>
                  <pic:spPr>
                    <a:xfrm>
                      <a:off x="0" y="0"/>
                      <a:ext cx="4134427" cy="2819794"/>
                    </a:xfrm>
                    <a:prstGeom prst="rect">
                      <a:avLst/>
                    </a:prstGeom>
                  </pic:spPr>
                </pic:pic>
              </a:graphicData>
            </a:graphic>
          </wp:inline>
        </w:drawing>
      </w:r>
    </w:p>
    <w:p w14:paraId="6F8F9396" w14:textId="6B15B348"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3A8BB38A" wp14:editId="1C737BA5">
            <wp:extent cx="4105848" cy="2810267"/>
            <wp:effectExtent l="0" t="0" r="9525" b="9525"/>
            <wp:docPr id="105409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96149" name=""/>
                    <pic:cNvPicPr/>
                  </pic:nvPicPr>
                  <pic:blipFill>
                    <a:blip r:embed="rId52"/>
                    <a:stretch>
                      <a:fillRect/>
                    </a:stretch>
                  </pic:blipFill>
                  <pic:spPr>
                    <a:xfrm>
                      <a:off x="0" y="0"/>
                      <a:ext cx="4105848" cy="2810267"/>
                    </a:xfrm>
                    <a:prstGeom prst="rect">
                      <a:avLst/>
                    </a:prstGeom>
                  </pic:spPr>
                </pic:pic>
              </a:graphicData>
            </a:graphic>
          </wp:inline>
        </w:drawing>
      </w:r>
    </w:p>
    <w:p w14:paraId="62EDEB96" w14:textId="5E1895AF"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drawing>
          <wp:inline distT="0" distB="0" distL="0" distR="0" wp14:anchorId="7033498A" wp14:editId="7A9933B5">
            <wp:extent cx="4077269" cy="2857899"/>
            <wp:effectExtent l="0" t="0" r="0" b="0"/>
            <wp:docPr id="27561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14124" name=""/>
                    <pic:cNvPicPr/>
                  </pic:nvPicPr>
                  <pic:blipFill>
                    <a:blip r:embed="rId53"/>
                    <a:stretch>
                      <a:fillRect/>
                    </a:stretch>
                  </pic:blipFill>
                  <pic:spPr>
                    <a:xfrm>
                      <a:off x="0" y="0"/>
                      <a:ext cx="4077269" cy="2857899"/>
                    </a:xfrm>
                    <a:prstGeom prst="rect">
                      <a:avLst/>
                    </a:prstGeom>
                  </pic:spPr>
                </pic:pic>
              </a:graphicData>
            </a:graphic>
          </wp:inline>
        </w:drawing>
      </w:r>
    </w:p>
    <w:p w14:paraId="558E6AED" w14:textId="5AF420F8"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62A19DF0" wp14:editId="6D34E3D7">
            <wp:extent cx="4229690" cy="2819794"/>
            <wp:effectExtent l="0" t="0" r="0" b="0"/>
            <wp:docPr id="1113855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55248" name=""/>
                    <pic:cNvPicPr/>
                  </pic:nvPicPr>
                  <pic:blipFill>
                    <a:blip r:embed="rId54"/>
                    <a:stretch>
                      <a:fillRect/>
                    </a:stretch>
                  </pic:blipFill>
                  <pic:spPr>
                    <a:xfrm>
                      <a:off x="0" y="0"/>
                      <a:ext cx="4229690" cy="2819794"/>
                    </a:xfrm>
                    <a:prstGeom prst="rect">
                      <a:avLst/>
                    </a:prstGeom>
                  </pic:spPr>
                </pic:pic>
              </a:graphicData>
            </a:graphic>
          </wp:inline>
        </w:drawing>
      </w:r>
    </w:p>
    <w:p w14:paraId="558C171F" w14:textId="428CD3D8" w:rsidR="00BF385E" w:rsidRPr="00BF385E" w:rsidRDefault="00BF385E" w:rsidP="00BF385E">
      <w:pPr>
        <w:spacing w:line="360" w:lineRule="auto"/>
        <w:jc w:val="both"/>
        <w:rPr>
          <w:rFonts w:cs="Times New Roman"/>
          <w:szCs w:val="24"/>
          <w:lang w:val="en-US"/>
        </w:rPr>
      </w:pPr>
      <w:r w:rsidRPr="00BF385E">
        <w:rPr>
          <w:rFonts w:cs="Times New Roman"/>
          <w:noProof/>
          <w:szCs w:val="24"/>
          <w:lang w:val="en-US"/>
        </w:rPr>
        <w:lastRenderedPageBreak/>
        <w:drawing>
          <wp:inline distT="0" distB="0" distL="0" distR="0" wp14:anchorId="6DDC548E" wp14:editId="38A4B071">
            <wp:extent cx="5125165" cy="4029637"/>
            <wp:effectExtent l="0" t="0" r="0" b="9525"/>
            <wp:docPr id="177203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30408" name=""/>
                    <pic:cNvPicPr/>
                  </pic:nvPicPr>
                  <pic:blipFill>
                    <a:blip r:embed="rId55"/>
                    <a:stretch>
                      <a:fillRect/>
                    </a:stretch>
                  </pic:blipFill>
                  <pic:spPr>
                    <a:xfrm>
                      <a:off x="0" y="0"/>
                      <a:ext cx="5125165" cy="4029637"/>
                    </a:xfrm>
                    <a:prstGeom prst="rect">
                      <a:avLst/>
                    </a:prstGeom>
                  </pic:spPr>
                </pic:pic>
              </a:graphicData>
            </a:graphic>
          </wp:inline>
        </w:drawing>
      </w:r>
      <w:r w:rsidRPr="00BF385E">
        <w:rPr>
          <w:rFonts w:cs="Times New Roman"/>
          <w:noProof/>
          <w:szCs w:val="24"/>
          <w:lang w:val="en-US"/>
        </w:rPr>
        <w:drawing>
          <wp:inline distT="0" distB="0" distL="0" distR="0" wp14:anchorId="2FA7DC29" wp14:editId="55B5F0CD">
            <wp:extent cx="5134692" cy="4010585"/>
            <wp:effectExtent l="0" t="0" r="8890" b="9525"/>
            <wp:docPr id="23118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86409" name=""/>
                    <pic:cNvPicPr/>
                  </pic:nvPicPr>
                  <pic:blipFill>
                    <a:blip r:embed="rId56"/>
                    <a:stretch>
                      <a:fillRect/>
                    </a:stretch>
                  </pic:blipFill>
                  <pic:spPr>
                    <a:xfrm>
                      <a:off x="0" y="0"/>
                      <a:ext cx="5134692" cy="4010585"/>
                    </a:xfrm>
                    <a:prstGeom prst="rect">
                      <a:avLst/>
                    </a:prstGeom>
                  </pic:spPr>
                </pic:pic>
              </a:graphicData>
            </a:graphic>
          </wp:inline>
        </w:drawing>
      </w:r>
    </w:p>
    <w:sectPr w:rsidR="00BF385E" w:rsidRPr="00BF385E" w:rsidSect="00BF385E">
      <w:footerReference w:type="default" r:id="rId5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786D0" w14:textId="77777777" w:rsidR="00683E23" w:rsidRDefault="00683E23" w:rsidP="00BF385E">
      <w:pPr>
        <w:spacing w:after="0" w:line="240" w:lineRule="auto"/>
      </w:pPr>
      <w:r>
        <w:separator/>
      </w:r>
    </w:p>
  </w:endnote>
  <w:endnote w:type="continuationSeparator" w:id="0">
    <w:p w14:paraId="52D43357" w14:textId="77777777" w:rsidR="00683E23" w:rsidRDefault="00683E23" w:rsidP="00BF3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624460"/>
      <w:docPartObj>
        <w:docPartGallery w:val="Page Numbers (Bottom of Page)"/>
        <w:docPartUnique/>
      </w:docPartObj>
    </w:sdtPr>
    <w:sdtEndPr>
      <w:rPr>
        <w:noProof/>
      </w:rPr>
    </w:sdtEndPr>
    <w:sdtContent>
      <w:p w14:paraId="465FF795" w14:textId="149495AC" w:rsidR="00BF385E" w:rsidRDefault="00BF38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2CBEA" w14:textId="77777777" w:rsidR="00BF385E" w:rsidRDefault="00BF3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78D18" w14:textId="77777777" w:rsidR="00683E23" w:rsidRDefault="00683E23" w:rsidP="00BF385E">
      <w:pPr>
        <w:spacing w:after="0" w:line="240" w:lineRule="auto"/>
      </w:pPr>
      <w:r>
        <w:separator/>
      </w:r>
    </w:p>
  </w:footnote>
  <w:footnote w:type="continuationSeparator" w:id="0">
    <w:p w14:paraId="5672F5D8" w14:textId="77777777" w:rsidR="00683E23" w:rsidRDefault="00683E23" w:rsidP="00BF3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A94"/>
    <w:multiLevelType w:val="multilevel"/>
    <w:tmpl w:val="50D09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C1CCE"/>
    <w:multiLevelType w:val="multilevel"/>
    <w:tmpl w:val="764E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C6DAE"/>
    <w:multiLevelType w:val="multilevel"/>
    <w:tmpl w:val="F77A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E68C1"/>
    <w:multiLevelType w:val="multilevel"/>
    <w:tmpl w:val="ED5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F2DD6"/>
    <w:multiLevelType w:val="multilevel"/>
    <w:tmpl w:val="324A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F0E00"/>
    <w:multiLevelType w:val="multilevel"/>
    <w:tmpl w:val="849CC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661D6"/>
    <w:multiLevelType w:val="multilevel"/>
    <w:tmpl w:val="49B4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541E7"/>
    <w:multiLevelType w:val="multilevel"/>
    <w:tmpl w:val="DA8E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2217C"/>
    <w:multiLevelType w:val="multilevel"/>
    <w:tmpl w:val="B534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E3D5E"/>
    <w:multiLevelType w:val="multilevel"/>
    <w:tmpl w:val="1B52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A97075"/>
    <w:multiLevelType w:val="multilevel"/>
    <w:tmpl w:val="FC68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CB540E"/>
    <w:multiLevelType w:val="multilevel"/>
    <w:tmpl w:val="C122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D3893"/>
    <w:multiLevelType w:val="multilevel"/>
    <w:tmpl w:val="5AE0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0496A"/>
    <w:multiLevelType w:val="multilevel"/>
    <w:tmpl w:val="3FBE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2315CF"/>
    <w:multiLevelType w:val="multilevel"/>
    <w:tmpl w:val="C4A8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A3B3A"/>
    <w:multiLevelType w:val="multilevel"/>
    <w:tmpl w:val="B09C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47050"/>
    <w:multiLevelType w:val="multilevel"/>
    <w:tmpl w:val="0C62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241ACD"/>
    <w:multiLevelType w:val="multilevel"/>
    <w:tmpl w:val="9CE23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5732DE"/>
    <w:multiLevelType w:val="multilevel"/>
    <w:tmpl w:val="3EF0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B2928"/>
    <w:multiLevelType w:val="multilevel"/>
    <w:tmpl w:val="6050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0F2F66"/>
    <w:multiLevelType w:val="multilevel"/>
    <w:tmpl w:val="3C5A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44DC2"/>
    <w:multiLevelType w:val="multilevel"/>
    <w:tmpl w:val="B1A8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E3E31"/>
    <w:multiLevelType w:val="multilevel"/>
    <w:tmpl w:val="3480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5C4212"/>
    <w:multiLevelType w:val="multilevel"/>
    <w:tmpl w:val="EE7C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05AE3"/>
    <w:multiLevelType w:val="multilevel"/>
    <w:tmpl w:val="0224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D766F2"/>
    <w:multiLevelType w:val="multilevel"/>
    <w:tmpl w:val="1A24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1365E9"/>
    <w:multiLevelType w:val="multilevel"/>
    <w:tmpl w:val="EDB2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E67929"/>
    <w:multiLevelType w:val="multilevel"/>
    <w:tmpl w:val="F3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8C6373"/>
    <w:multiLevelType w:val="multilevel"/>
    <w:tmpl w:val="04A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296A72"/>
    <w:multiLevelType w:val="multilevel"/>
    <w:tmpl w:val="BCB8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4E024A"/>
    <w:multiLevelType w:val="multilevel"/>
    <w:tmpl w:val="15E0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FE1CB4"/>
    <w:multiLevelType w:val="multilevel"/>
    <w:tmpl w:val="C37C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71085"/>
    <w:multiLevelType w:val="multilevel"/>
    <w:tmpl w:val="007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5671D2"/>
    <w:multiLevelType w:val="multilevel"/>
    <w:tmpl w:val="9D42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507A9C"/>
    <w:multiLevelType w:val="multilevel"/>
    <w:tmpl w:val="FDF6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2099D"/>
    <w:multiLevelType w:val="multilevel"/>
    <w:tmpl w:val="0488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E63288"/>
    <w:multiLevelType w:val="multilevel"/>
    <w:tmpl w:val="A9A2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A13AF4"/>
    <w:multiLevelType w:val="multilevel"/>
    <w:tmpl w:val="DF6E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945EC6"/>
    <w:multiLevelType w:val="multilevel"/>
    <w:tmpl w:val="3138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256CD6"/>
    <w:multiLevelType w:val="multilevel"/>
    <w:tmpl w:val="56F6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DA769B"/>
    <w:multiLevelType w:val="multilevel"/>
    <w:tmpl w:val="D19A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195AA7"/>
    <w:multiLevelType w:val="multilevel"/>
    <w:tmpl w:val="FBE4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DA43E7"/>
    <w:multiLevelType w:val="multilevel"/>
    <w:tmpl w:val="8CFC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770CD0"/>
    <w:multiLevelType w:val="multilevel"/>
    <w:tmpl w:val="75EE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DE3873"/>
    <w:multiLevelType w:val="multilevel"/>
    <w:tmpl w:val="AFE2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FD5DA0"/>
    <w:multiLevelType w:val="multilevel"/>
    <w:tmpl w:val="307E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2D175D"/>
    <w:multiLevelType w:val="multilevel"/>
    <w:tmpl w:val="FCC8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D17268"/>
    <w:multiLevelType w:val="multilevel"/>
    <w:tmpl w:val="AC3A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7B43E9"/>
    <w:multiLevelType w:val="multilevel"/>
    <w:tmpl w:val="E814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D74E26"/>
    <w:multiLevelType w:val="multilevel"/>
    <w:tmpl w:val="8164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96427">
    <w:abstractNumId w:val="28"/>
  </w:num>
  <w:num w:numId="2" w16cid:durableId="1565675975">
    <w:abstractNumId w:val="34"/>
  </w:num>
  <w:num w:numId="3" w16cid:durableId="242960694">
    <w:abstractNumId w:val="3"/>
  </w:num>
  <w:num w:numId="4" w16cid:durableId="1819686919">
    <w:abstractNumId w:val="32"/>
  </w:num>
  <w:num w:numId="5" w16cid:durableId="1577322227">
    <w:abstractNumId w:val="13"/>
  </w:num>
  <w:num w:numId="6" w16cid:durableId="554777427">
    <w:abstractNumId w:val="21"/>
  </w:num>
  <w:num w:numId="7" w16cid:durableId="156579111">
    <w:abstractNumId w:val="11"/>
  </w:num>
  <w:num w:numId="8" w16cid:durableId="300963467">
    <w:abstractNumId w:val="33"/>
  </w:num>
  <w:num w:numId="9" w16cid:durableId="402216701">
    <w:abstractNumId w:val="37"/>
  </w:num>
  <w:num w:numId="10" w16cid:durableId="1666859137">
    <w:abstractNumId w:val="36"/>
  </w:num>
  <w:num w:numId="11" w16cid:durableId="1752853127">
    <w:abstractNumId w:val="25"/>
  </w:num>
  <w:num w:numId="12" w16cid:durableId="1175614206">
    <w:abstractNumId w:val="2"/>
  </w:num>
  <w:num w:numId="13" w16cid:durableId="170489032">
    <w:abstractNumId w:val="35"/>
  </w:num>
  <w:num w:numId="14" w16cid:durableId="2027175784">
    <w:abstractNumId w:val="38"/>
  </w:num>
  <w:num w:numId="15" w16cid:durableId="237786786">
    <w:abstractNumId w:val="23"/>
  </w:num>
  <w:num w:numId="16" w16cid:durableId="1181823551">
    <w:abstractNumId w:val="18"/>
  </w:num>
  <w:num w:numId="17" w16cid:durableId="1504010378">
    <w:abstractNumId w:val="27"/>
  </w:num>
  <w:num w:numId="18" w16cid:durableId="647709215">
    <w:abstractNumId w:val="24"/>
  </w:num>
  <w:num w:numId="19" w16cid:durableId="1473667861">
    <w:abstractNumId w:val="40"/>
  </w:num>
  <w:num w:numId="20" w16cid:durableId="1495293735">
    <w:abstractNumId w:val="39"/>
  </w:num>
  <w:num w:numId="21" w16cid:durableId="2147310228">
    <w:abstractNumId w:val="8"/>
  </w:num>
  <w:num w:numId="22" w16cid:durableId="98570316">
    <w:abstractNumId w:val="16"/>
  </w:num>
  <w:num w:numId="23" w16cid:durableId="190070215">
    <w:abstractNumId w:val="46"/>
  </w:num>
  <w:num w:numId="24" w16cid:durableId="1359812755">
    <w:abstractNumId w:val="20"/>
  </w:num>
  <w:num w:numId="25" w16cid:durableId="873152566">
    <w:abstractNumId w:val="43"/>
  </w:num>
  <w:num w:numId="26" w16cid:durableId="1326661549">
    <w:abstractNumId w:val="6"/>
  </w:num>
  <w:num w:numId="27" w16cid:durableId="1590310138">
    <w:abstractNumId w:val="5"/>
  </w:num>
  <w:num w:numId="28" w16cid:durableId="1933932750">
    <w:abstractNumId w:val="9"/>
  </w:num>
  <w:num w:numId="29" w16cid:durableId="677119544">
    <w:abstractNumId w:val="29"/>
  </w:num>
  <w:num w:numId="30" w16cid:durableId="91628387">
    <w:abstractNumId w:val="30"/>
  </w:num>
  <w:num w:numId="31" w16cid:durableId="343553992">
    <w:abstractNumId w:val="14"/>
  </w:num>
  <w:num w:numId="32" w16cid:durableId="1093165582">
    <w:abstractNumId w:val="17"/>
  </w:num>
  <w:num w:numId="33" w16cid:durableId="990526916">
    <w:abstractNumId w:val="47"/>
  </w:num>
  <w:num w:numId="34" w16cid:durableId="894009114">
    <w:abstractNumId w:val="31"/>
  </w:num>
  <w:num w:numId="35" w16cid:durableId="384065609">
    <w:abstractNumId w:val="26"/>
  </w:num>
  <w:num w:numId="36" w16cid:durableId="1595747716">
    <w:abstractNumId w:val="10"/>
  </w:num>
  <w:num w:numId="37" w16cid:durableId="1774008534">
    <w:abstractNumId w:val="42"/>
  </w:num>
  <w:num w:numId="38" w16cid:durableId="40252310">
    <w:abstractNumId w:val="7"/>
  </w:num>
  <w:num w:numId="39" w16cid:durableId="1587230859">
    <w:abstractNumId w:val="15"/>
  </w:num>
  <w:num w:numId="40" w16cid:durableId="1322738748">
    <w:abstractNumId w:val="41"/>
  </w:num>
  <w:num w:numId="41" w16cid:durableId="1938635899">
    <w:abstractNumId w:val="12"/>
  </w:num>
  <w:num w:numId="42" w16cid:durableId="1672637016">
    <w:abstractNumId w:val="45"/>
  </w:num>
  <w:num w:numId="43" w16cid:durableId="1516993760">
    <w:abstractNumId w:val="0"/>
  </w:num>
  <w:num w:numId="44" w16cid:durableId="1025984996">
    <w:abstractNumId w:val="48"/>
  </w:num>
  <w:num w:numId="45" w16cid:durableId="1654479964">
    <w:abstractNumId w:val="1"/>
  </w:num>
  <w:num w:numId="46" w16cid:durableId="1477263060">
    <w:abstractNumId w:val="49"/>
  </w:num>
  <w:num w:numId="47" w16cid:durableId="1396859411">
    <w:abstractNumId w:val="4"/>
  </w:num>
  <w:num w:numId="48" w16cid:durableId="115225869">
    <w:abstractNumId w:val="22"/>
  </w:num>
  <w:num w:numId="49" w16cid:durableId="2094007183">
    <w:abstractNumId w:val="44"/>
  </w:num>
  <w:num w:numId="50" w16cid:durableId="20432375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EC"/>
    <w:rsid w:val="000328E8"/>
    <w:rsid w:val="000A01B6"/>
    <w:rsid w:val="00110F2B"/>
    <w:rsid w:val="001542A2"/>
    <w:rsid w:val="001722B3"/>
    <w:rsid w:val="00285037"/>
    <w:rsid w:val="003029C4"/>
    <w:rsid w:val="003D493E"/>
    <w:rsid w:val="0042592A"/>
    <w:rsid w:val="004E0B76"/>
    <w:rsid w:val="00614F35"/>
    <w:rsid w:val="006674AF"/>
    <w:rsid w:val="00683E23"/>
    <w:rsid w:val="006A6157"/>
    <w:rsid w:val="006C02F9"/>
    <w:rsid w:val="007D0AE3"/>
    <w:rsid w:val="007F357E"/>
    <w:rsid w:val="00834E2B"/>
    <w:rsid w:val="008B675E"/>
    <w:rsid w:val="008C249F"/>
    <w:rsid w:val="0096631B"/>
    <w:rsid w:val="0098182C"/>
    <w:rsid w:val="00A67509"/>
    <w:rsid w:val="00A7611C"/>
    <w:rsid w:val="00A7638E"/>
    <w:rsid w:val="00AA2BFE"/>
    <w:rsid w:val="00AA5A83"/>
    <w:rsid w:val="00AC731F"/>
    <w:rsid w:val="00B40DEC"/>
    <w:rsid w:val="00B451D9"/>
    <w:rsid w:val="00B475AC"/>
    <w:rsid w:val="00B51A52"/>
    <w:rsid w:val="00BA2502"/>
    <w:rsid w:val="00BD3C1E"/>
    <w:rsid w:val="00BF385E"/>
    <w:rsid w:val="00C11F57"/>
    <w:rsid w:val="00C65872"/>
    <w:rsid w:val="00CD249C"/>
    <w:rsid w:val="00D16C16"/>
    <w:rsid w:val="00D60A6B"/>
    <w:rsid w:val="00E20D3F"/>
    <w:rsid w:val="00E7229A"/>
    <w:rsid w:val="00ED5B0E"/>
    <w:rsid w:val="00F37CFB"/>
    <w:rsid w:val="00F7319E"/>
    <w:rsid w:val="00FB6D8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2E6C"/>
  <w15:chartTrackingRefBased/>
  <w15:docId w15:val="{3C3DA707-0A8E-4567-9FF7-4DD3F777D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29A"/>
    <w:rPr>
      <w:rFonts w:ascii="Times New Roman" w:hAnsi="Times New Roman"/>
      <w:sz w:val="24"/>
      <w:lang w:val="en-IN"/>
    </w:rPr>
  </w:style>
  <w:style w:type="paragraph" w:styleId="Heading1">
    <w:name w:val="heading 1"/>
    <w:basedOn w:val="Normal"/>
    <w:next w:val="Normal"/>
    <w:link w:val="Heading1Char"/>
    <w:uiPriority w:val="9"/>
    <w:qFormat/>
    <w:rsid w:val="001722B3"/>
    <w:pPr>
      <w:keepNext/>
      <w:keepLines/>
      <w:spacing w:before="480" w:after="0"/>
      <w:outlineLvl w:val="0"/>
    </w:pPr>
    <w:rPr>
      <w:rFonts w:eastAsiaTheme="majorEastAsia" w:cstheme="majorBidi"/>
      <w:b/>
      <w:bCs/>
    </w:rPr>
  </w:style>
  <w:style w:type="paragraph" w:styleId="Heading2">
    <w:name w:val="heading 2"/>
    <w:basedOn w:val="Normal"/>
    <w:next w:val="Normal"/>
    <w:link w:val="Heading2Char"/>
    <w:uiPriority w:val="9"/>
    <w:unhideWhenUsed/>
    <w:qFormat/>
    <w:rsid w:val="0096631B"/>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D5B0E"/>
    <w:pPr>
      <w:keepNext/>
      <w:keepLines/>
      <w:spacing w:before="40" w:after="0" w:line="360" w:lineRule="auto"/>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B40DE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40DE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40D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40D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40DE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40DE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2B3"/>
    <w:rPr>
      <w:rFonts w:ascii="Times New Roman" w:eastAsiaTheme="majorEastAsia" w:hAnsi="Times New Roman" w:cstheme="majorBidi"/>
      <w:b/>
      <w:bCs/>
      <w:sz w:val="24"/>
    </w:rPr>
  </w:style>
  <w:style w:type="character" w:customStyle="1" w:styleId="Heading2Char">
    <w:name w:val="Heading 2 Char"/>
    <w:basedOn w:val="DefaultParagraphFont"/>
    <w:link w:val="Heading2"/>
    <w:uiPriority w:val="9"/>
    <w:rsid w:val="0096631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D5B0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B40DEC"/>
    <w:rPr>
      <w:rFonts w:eastAsiaTheme="majorEastAsia" w:cstheme="majorBidi"/>
      <w:i/>
      <w:iCs/>
      <w:color w:val="2F5496" w:themeColor="accent1" w:themeShade="BF"/>
      <w:sz w:val="24"/>
      <w:lang w:val="en-IN"/>
    </w:rPr>
  </w:style>
  <w:style w:type="character" w:customStyle="1" w:styleId="Heading5Char">
    <w:name w:val="Heading 5 Char"/>
    <w:basedOn w:val="DefaultParagraphFont"/>
    <w:link w:val="Heading5"/>
    <w:uiPriority w:val="9"/>
    <w:semiHidden/>
    <w:rsid w:val="00B40DEC"/>
    <w:rPr>
      <w:rFonts w:eastAsiaTheme="majorEastAsia" w:cstheme="majorBidi"/>
      <w:color w:val="2F5496" w:themeColor="accent1" w:themeShade="BF"/>
      <w:sz w:val="24"/>
      <w:lang w:val="en-IN"/>
    </w:rPr>
  </w:style>
  <w:style w:type="character" w:customStyle="1" w:styleId="Heading6Char">
    <w:name w:val="Heading 6 Char"/>
    <w:basedOn w:val="DefaultParagraphFont"/>
    <w:link w:val="Heading6"/>
    <w:uiPriority w:val="9"/>
    <w:semiHidden/>
    <w:rsid w:val="00B40DEC"/>
    <w:rPr>
      <w:rFonts w:eastAsiaTheme="majorEastAsia" w:cstheme="majorBidi"/>
      <w:i/>
      <w:iCs/>
      <w:color w:val="595959" w:themeColor="text1" w:themeTint="A6"/>
      <w:sz w:val="24"/>
      <w:lang w:val="en-IN"/>
    </w:rPr>
  </w:style>
  <w:style w:type="character" w:customStyle="1" w:styleId="Heading7Char">
    <w:name w:val="Heading 7 Char"/>
    <w:basedOn w:val="DefaultParagraphFont"/>
    <w:link w:val="Heading7"/>
    <w:uiPriority w:val="9"/>
    <w:semiHidden/>
    <w:rsid w:val="00B40DEC"/>
    <w:rPr>
      <w:rFonts w:eastAsiaTheme="majorEastAsia" w:cstheme="majorBidi"/>
      <w:color w:val="595959" w:themeColor="text1" w:themeTint="A6"/>
      <w:sz w:val="24"/>
      <w:lang w:val="en-IN"/>
    </w:rPr>
  </w:style>
  <w:style w:type="character" w:customStyle="1" w:styleId="Heading8Char">
    <w:name w:val="Heading 8 Char"/>
    <w:basedOn w:val="DefaultParagraphFont"/>
    <w:link w:val="Heading8"/>
    <w:uiPriority w:val="9"/>
    <w:semiHidden/>
    <w:rsid w:val="00B40DEC"/>
    <w:rPr>
      <w:rFonts w:eastAsiaTheme="majorEastAsia" w:cstheme="majorBidi"/>
      <w:i/>
      <w:iCs/>
      <w:color w:val="272727" w:themeColor="text1" w:themeTint="D8"/>
      <w:sz w:val="24"/>
      <w:lang w:val="en-IN"/>
    </w:rPr>
  </w:style>
  <w:style w:type="character" w:customStyle="1" w:styleId="Heading9Char">
    <w:name w:val="Heading 9 Char"/>
    <w:basedOn w:val="DefaultParagraphFont"/>
    <w:link w:val="Heading9"/>
    <w:uiPriority w:val="9"/>
    <w:semiHidden/>
    <w:rsid w:val="00B40DEC"/>
    <w:rPr>
      <w:rFonts w:eastAsiaTheme="majorEastAsia" w:cstheme="majorBidi"/>
      <w:color w:val="272727" w:themeColor="text1" w:themeTint="D8"/>
      <w:sz w:val="24"/>
      <w:lang w:val="en-IN"/>
    </w:rPr>
  </w:style>
  <w:style w:type="paragraph" w:styleId="Title">
    <w:name w:val="Title"/>
    <w:basedOn w:val="Normal"/>
    <w:next w:val="Normal"/>
    <w:link w:val="TitleChar"/>
    <w:uiPriority w:val="10"/>
    <w:qFormat/>
    <w:rsid w:val="00B40DE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40DEC"/>
    <w:rPr>
      <w:rFonts w:asciiTheme="majorHAnsi" w:eastAsiaTheme="majorEastAsia" w:hAnsiTheme="majorHAnsi" w:cstheme="majorBidi"/>
      <w:spacing w:val="-10"/>
      <w:kern w:val="28"/>
      <w:sz w:val="56"/>
      <w:szCs w:val="71"/>
      <w:lang w:val="en-IN"/>
    </w:rPr>
  </w:style>
  <w:style w:type="paragraph" w:styleId="Subtitle">
    <w:name w:val="Subtitle"/>
    <w:basedOn w:val="Normal"/>
    <w:next w:val="Normal"/>
    <w:link w:val="SubtitleChar"/>
    <w:uiPriority w:val="11"/>
    <w:qFormat/>
    <w:rsid w:val="00B40DEC"/>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B40DEC"/>
    <w:rPr>
      <w:rFonts w:eastAsiaTheme="majorEastAsia" w:cstheme="majorBidi"/>
      <w:color w:val="595959" w:themeColor="text1" w:themeTint="A6"/>
      <w:spacing w:val="15"/>
      <w:sz w:val="28"/>
      <w:szCs w:val="35"/>
      <w:lang w:val="en-IN"/>
    </w:rPr>
  </w:style>
  <w:style w:type="paragraph" w:styleId="Quote">
    <w:name w:val="Quote"/>
    <w:basedOn w:val="Normal"/>
    <w:next w:val="Normal"/>
    <w:link w:val="QuoteChar"/>
    <w:uiPriority w:val="29"/>
    <w:qFormat/>
    <w:rsid w:val="00B40DEC"/>
    <w:pPr>
      <w:spacing w:before="160"/>
      <w:jc w:val="center"/>
    </w:pPr>
    <w:rPr>
      <w:i/>
      <w:iCs/>
      <w:color w:val="404040" w:themeColor="text1" w:themeTint="BF"/>
    </w:rPr>
  </w:style>
  <w:style w:type="character" w:customStyle="1" w:styleId="QuoteChar">
    <w:name w:val="Quote Char"/>
    <w:basedOn w:val="DefaultParagraphFont"/>
    <w:link w:val="Quote"/>
    <w:uiPriority w:val="29"/>
    <w:rsid w:val="00B40DEC"/>
    <w:rPr>
      <w:rFonts w:ascii="Times New Roman" w:hAnsi="Times New Roman"/>
      <w:i/>
      <w:iCs/>
      <w:color w:val="404040" w:themeColor="text1" w:themeTint="BF"/>
      <w:sz w:val="24"/>
      <w:lang w:val="en-IN"/>
    </w:rPr>
  </w:style>
  <w:style w:type="paragraph" w:styleId="ListParagraph">
    <w:name w:val="List Paragraph"/>
    <w:basedOn w:val="Normal"/>
    <w:uiPriority w:val="34"/>
    <w:qFormat/>
    <w:rsid w:val="00B40DEC"/>
    <w:pPr>
      <w:ind w:left="720"/>
      <w:contextualSpacing/>
    </w:pPr>
  </w:style>
  <w:style w:type="character" w:styleId="IntenseEmphasis">
    <w:name w:val="Intense Emphasis"/>
    <w:basedOn w:val="DefaultParagraphFont"/>
    <w:uiPriority w:val="21"/>
    <w:qFormat/>
    <w:rsid w:val="00B40DEC"/>
    <w:rPr>
      <w:i/>
      <w:iCs/>
      <w:color w:val="2F5496" w:themeColor="accent1" w:themeShade="BF"/>
    </w:rPr>
  </w:style>
  <w:style w:type="paragraph" w:styleId="IntenseQuote">
    <w:name w:val="Intense Quote"/>
    <w:basedOn w:val="Normal"/>
    <w:next w:val="Normal"/>
    <w:link w:val="IntenseQuoteChar"/>
    <w:uiPriority w:val="30"/>
    <w:qFormat/>
    <w:rsid w:val="00B40D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DEC"/>
    <w:rPr>
      <w:rFonts w:ascii="Times New Roman" w:hAnsi="Times New Roman"/>
      <w:i/>
      <w:iCs/>
      <w:color w:val="2F5496" w:themeColor="accent1" w:themeShade="BF"/>
      <w:sz w:val="24"/>
      <w:lang w:val="en-IN"/>
    </w:rPr>
  </w:style>
  <w:style w:type="character" w:styleId="IntenseReference">
    <w:name w:val="Intense Reference"/>
    <w:basedOn w:val="DefaultParagraphFont"/>
    <w:uiPriority w:val="32"/>
    <w:qFormat/>
    <w:rsid w:val="00B40DEC"/>
    <w:rPr>
      <w:b/>
      <w:bCs/>
      <w:smallCaps/>
      <w:color w:val="2F5496" w:themeColor="accent1" w:themeShade="BF"/>
      <w:spacing w:val="5"/>
    </w:rPr>
  </w:style>
  <w:style w:type="character" w:styleId="Hyperlink">
    <w:name w:val="Hyperlink"/>
    <w:basedOn w:val="DefaultParagraphFont"/>
    <w:uiPriority w:val="99"/>
    <w:unhideWhenUsed/>
    <w:rsid w:val="00B475AC"/>
    <w:rPr>
      <w:color w:val="0563C1" w:themeColor="hyperlink"/>
      <w:u w:val="single"/>
    </w:rPr>
  </w:style>
  <w:style w:type="character" w:styleId="UnresolvedMention">
    <w:name w:val="Unresolved Mention"/>
    <w:basedOn w:val="DefaultParagraphFont"/>
    <w:uiPriority w:val="99"/>
    <w:semiHidden/>
    <w:unhideWhenUsed/>
    <w:rsid w:val="00B475AC"/>
    <w:rPr>
      <w:color w:val="605E5C"/>
      <w:shd w:val="clear" w:color="auto" w:fill="E1DFDD"/>
    </w:rPr>
  </w:style>
  <w:style w:type="table" w:styleId="TableGrid">
    <w:name w:val="Table Grid"/>
    <w:basedOn w:val="TableNormal"/>
    <w:uiPriority w:val="39"/>
    <w:rsid w:val="008C2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385E"/>
    <w:pPr>
      <w:spacing w:before="240"/>
      <w:outlineLvl w:val="9"/>
    </w:pPr>
    <w:rPr>
      <w:rFonts w:asciiTheme="majorHAnsi" w:hAnsiTheme="majorHAnsi"/>
      <w:b w:val="0"/>
      <w:bCs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BF385E"/>
    <w:pPr>
      <w:spacing w:after="100"/>
    </w:pPr>
  </w:style>
  <w:style w:type="paragraph" w:styleId="TOC2">
    <w:name w:val="toc 2"/>
    <w:basedOn w:val="Normal"/>
    <w:next w:val="Normal"/>
    <w:autoRedefine/>
    <w:uiPriority w:val="39"/>
    <w:unhideWhenUsed/>
    <w:rsid w:val="00BF385E"/>
    <w:pPr>
      <w:spacing w:after="100"/>
      <w:ind w:left="240"/>
    </w:pPr>
  </w:style>
  <w:style w:type="paragraph" w:styleId="Header">
    <w:name w:val="header"/>
    <w:basedOn w:val="Normal"/>
    <w:link w:val="HeaderChar"/>
    <w:uiPriority w:val="99"/>
    <w:unhideWhenUsed/>
    <w:rsid w:val="00BF38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85E"/>
    <w:rPr>
      <w:rFonts w:ascii="Times New Roman" w:hAnsi="Times New Roman"/>
      <w:sz w:val="24"/>
      <w:lang w:val="en-IN"/>
    </w:rPr>
  </w:style>
  <w:style w:type="paragraph" w:styleId="Footer">
    <w:name w:val="footer"/>
    <w:basedOn w:val="Normal"/>
    <w:link w:val="FooterChar"/>
    <w:uiPriority w:val="99"/>
    <w:unhideWhenUsed/>
    <w:rsid w:val="00BF38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85E"/>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5.xml"/><Relationship Id="rId26" Type="http://schemas.openxmlformats.org/officeDocument/2006/relationships/hyperlink" Target="https://doi.org/10.3390/economies10070175" TargetMode="External"/><Relationship Id="rId39" Type="http://schemas.openxmlformats.org/officeDocument/2006/relationships/hyperlink" Target="https://doi.org/10.3390/admsci15020063" TargetMode="External"/><Relationship Id="rId21" Type="http://schemas.openxmlformats.org/officeDocument/2006/relationships/chart" Target="charts/chart8.xml"/><Relationship Id="rId34" Type="http://schemas.openxmlformats.org/officeDocument/2006/relationships/hyperlink" Target="https://doi.org/10.3390/jrfm17010041" TargetMode="External"/><Relationship Id="rId42" Type="http://schemas.openxmlformats.org/officeDocument/2006/relationships/hyperlink" Target="https://doi.org/10.1108/jm2-12-2024-0412" TargetMode="External"/><Relationship Id="rId47" Type="http://schemas.openxmlformats.org/officeDocument/2006/relationships/hyperlink" Target="https://doi.org/10.3846/tede.2021.15106" TargetMode="External"/><Relationship Id="rId50" Type="http://schemas.openxmlformats.org/officeDocument/2006/relationships/image" Target="media/image10.png"/><Relationship Id="rId55" Type="http://schemas.openxmlformats.org/officeDocument/2006/relationships/image" Target="media/image1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007/s12197-022-09582-y" TargetMode="External"/><Relationship Id="rId11" Type="http://schemas.openxmlformats.org/officeDocument/2006/relationships/image" Target="media/image4.png"/><Relationship Id="rId24" Type="http://schemas.openxmlformats.org/officeDocument/2006/relationships/chart" Target="charts/chart10.xml"/><Relationship Id="rId32" Type="http://schemas.openxmlformats.org/officeDocument/2006/relationships/hyperlink" Target="https://doi.org/44736/1/JLSB%20Agustus%202023.pdf" TargetMode="External"/><Relationship Id="rId37" Type="http://schemas.openxmlformats.org/officeDocument/2006/relationships/hyperlink" Target="https://doi.org/10.1007/s11301-021-00216-x" TargetMode="External"/><Relationship Id="rId40" Type="http://schemas.openxmlformats.org/officeDocument/2006/relationships/hyperlink" Target="https://doi.org/10.1504/ajfa.2021.117217" TargetMode="External"/><Relationship Id="rId45" Type="http://schemas.openxmlformats.org/officeDocument/2006/relationships/hyperlink" Target="https://doi.org/10.1108/ijppm-10-2019-0484" TargetMode="External"/><Relationship Id="rId53" Type="http://schemas.openxmlformats.org/officeDocument/2006/relationships/image" Target="media/image13.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7.png"/><Relationship Id="rId27" Type="http://schemas.openxmlformats.org/officeDocument/2006/relationships/hyperlink" Target="https://doi.org/10.1093/comjnl/bxaa056" TargetMode="External"/><Relationship Id="rId30" Type="http://schemas.openxmlformats.org/officeDocument/2006/relationships/hyperlink" Target="https://doi.org/10.21203/rs.3.rs-5693739/v1" TargetMode="External"/><Relationship Id="rId35" Type="http://schemas.openxmlformats.org/officeDocument/2006/relationships/hyperlink" Target="https://www.ceeol.com/search/article-detail?id=1199705" TargetMode="External"/><Relationship Id="rId43" Type="http://schemas.openxmlformats.org/officeDocument/2006/relationships/hyperlink" Target="https://doi.org/10.3390/risks11050097" TargetMode="External"/><Relationship Id="rId48" Type="http://schemas.openxmlformats.org/officeDocument/2006/relationships/image" Target="media/image8.png"/><Relationship Id="rId56" Type="http://schemas.openxmlformats.org/officeDocument/2006/relationships/image" Target="media/image16.png"/><Relationship Id="rId8" Type="http://schemas.openxmlformats.org/officeDocument/2006/relationships/image" Target="media/image1.png"/><Relationship Id="rId51" Type="http://schemas.openxmlformats.org/officeDocument/2006/relationships/image" Target="media/image1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hyperlink" Target="https://doi.org/10.3390/jrfm17090424" TargetMode="External"/><Relationship Id="rId33" Type="http://schemas.openxmlformats.org/officeDocument/2006/relationships/hyperlink" Target="https://doi.org/10.1108/cg-12-2021-0440" TargetMode="External"/><Relationship Id="rId38" Type="http://schemas.openxmlformats.org/officeDocument/2006/relationships/hyperlink" Target="https://doi.org/10.1108/jaar-12-2022-0325" TargetMode="External"/><Relationship Id="rId46" Type="http://schemas.openxmlformats.org/officeDocument/2006/relationships/hyperlink" Target="https://doi.org/10.1108/978-1-83982-980-220211005" TargetMode="External"/><Relationship Id="rId59" Type="http://schemas.openxmlformats.org/officeDocument/2006/relationships/theme" Target="theme/theme1.xml"/><Relationship Id="rId20" Type="http://schemas.openxmlformats.org/officeDocument/2006/relationships/chart" Target="charts/chart7.xml"/><Relationship Id="rId41" Type="http://schemas.openxmlformats.org/officeDocument/2006/relationships/hyperlink" Target="https://digilib.uns.ac.id/dokumen/download/120255/Nzk0NTQ5/Predicting-Bankruptcy-And-Financial-Failure-In-the-Egyptian-listed-companies-The-Importance-Of-Cash-Flow-Statements-cover.pdf" TargetMode="External"/><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hyperlink" Target="https://doi.org/10.1007/978-3-030-%2061769-1_8" TargetMode="External"/><Relationship Id="rId36" Type="http://schemas.openxmlformats.org/officeDocument/2006/relationships/hyperlink" Target="https://www.ceeol.com/search/article-detail?id=1289658" TargetMode="External"/><Relationship Id="rId49" Type="http://schemas.openxmlformats.org/officeDocument/2006/relationships/image" Target="media/image9.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doi.org/10.2139/ssrn.5188095" TargetMode="External"/><Relationship Id="rId44" Type="http://schemas.openxmlformats.org/officeDocument/2006/relationships/hyperlink" Target="https://doi.org/10.14746/sho.2025.43.1.009" TargetMode="External"/><Relationship Id="rId52"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Current Ratio</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1.82</c:v>
                </c:pt>
                <c:pt idx="1">
                  <c:v>1.56</c:v>
                </c:pt>
                <c:pt idx="2">
                  <c:v>1.56</c:v>
                </c:pt>
                <c:pt idx="3">
                  <c:v>1.61</c:v>
                </c:pt>
                <c:pt idx="4">
                  <c:v>1.53</c:v>
                </c:pt>
              </c:numCache>
            </c:numRef>
          </c:val>
          <c:smooth val="0"/>
          <c:extLst>
            <c:ext xmlns:c16="http://schemas.microsoft.com/office/drawing/2014/chart" uri="{C3380CC4-5D6E-409C-BE32-E72D297353CC}">
              <c16:uniqueId val="{00000000-FA49-4F04-B89D-5427AE801425}"/>
            </c:ext>
          </c:extLst>
        </c:ser>
        <c:dLbls>
          <c:dLblPos val="ctr"/>
          <c:showLegendKey val="0"/>
          <c:showVal val="1"/>
          <c:showCatName val="0"/>
          <c:showSerName val="0"/>
          <c:showPercent val="0"/>
          <c:showBubbleSize val="0"/>
        </c:dLbls>
        <c:smooth val="0"/>
        <c:axId val="661028336"/>
        <c:axId val="661029296"/>
      </c:lineChart>
      <c:catAx>
        <c:axId val="66102833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61029296"/>
        <c:crosses val="autoZero"/>
        <c:auto val="1"/>
        <c:lblAlgn val="ctr"/>
        <c:lblOffset val="100"/>
        <c:noMultiLvlLbl val="0"/>
      </c:catAx>
      <c:valAx>
        <c:axId val="661029296"/>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6102833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Sheet2!$B$1</c:f>
              <c:strCache>
                <c:ptCount val="1"/>
                <c:pt idx="0">
                  <c:v>Quick Ratio</c:v>
                </c:pt>
              </c:strCache>
            </c:strRef>
          </c:tx>
          <c:spPr>
            <a:solidFill>
              <a:schemeClr val="accent1"/>
            </a:solidFill>
            <a:ln>
              <a:noFill/>
            </a:ln>
            <a:effectLst/>
          </c:spPr>
          <c:invertIfNegative val="0"/>
          <c:cat>
            <c:numRef>
              <c:f>Sheet2!$A$2:$A$6</c:f>
              <c:numCache>
                <c:formatCode>General</c:formatCode>
                <c:ptCount val="5"/>
                <c:pt idx="0">
                  <c:v>2020</c:v>
                </c:pt>
                <c:pt idx="1">
                  <c:v>2021</c:v>
                </c:pt>
                <c:pt idx="2">
                  <c:v>2022</c:v>
                </c:pt>
                <c:pt idx="3">
                  <c:v>2023</c:v>
                </c:pt>
                <c:pt idx="4">
                  <c:v>2024</c:v>
                </c:pt>
              </c:numCache>
            </c:numRef>
          </c:cat>
          <c:val>
            <c:numRef>
              <c:f>Sheet2!$B$2:$B$6</c:f>
              <c:numCache>
                <c:formatCode>General</c:formatCode>
                <c:ptCount val="5"/>
                <c:pt idx="0">
                  <c:v>1.1499999999999999</c:v>
                </c:pt>
                <c:pt idx="1">
                  <c:v>0.94</c:v>
                </c:pt>
                <c:pt idx="2">
                  <c:v>0.91</c:v>
                </c:pt>
                <c:pt idx="3">
                  <c:v>1.06</c:v>
                </c:pt>
                <c:pt idx="4">
                  <c:v>1.03</c:v>
                </c:pt>
              </c:numCache>
            </c:numRef>
          </c:val>
          <c:extLst>
            <c:ext xmlns:c16="http://schemas.microsoft.com/office/drawing/2014/chart" uri="{C3380CC4-5D6E-409C-BE32-E72D297353CC}">
              <c16:uniqueId val="{00000000-F88F-4EA8-B6FC-1F6FB8EE69C4}"/>
            </c:ext>
          </c:extLst>
        </c:ser>
        <c:dLbls>
          <c:showLegendKey val="0"/>
          <c:showVal val="0"/>
          <c:showCatName val="0"/>
          <c:showSerName val="0"/>
          <c:showPercent val="0"/>
          <c:showBubbleSize val="0"/>
        </c:dLbls>
        <c:gapWidth val="267"/>
        <c:overlap val="-43"/>
        <c:axId val="661065296"/>
        <c:axId val="661057616"/>
      </c:barChart>
      <c:catAx>
        <c:axId val="6610652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61057616"/>
        <c:crosses val="autoZero"/>
        <c:auto val="1"/>
        <c:lblAlgn val="ctr"/>
        <c:lblOffset val="100"/>
        <c:noMultiLvlLbl val="0"/>
      </c:catAx>
      <c:valAx>
        <c:axId val="66105761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610652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Sheet3!$B$1</c:f>
              <c:strCache>
                <c:ptCount val="1"/>
                <c:pt idx="0">
                  <c:v>Cash Ratio</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F81-4192-B082-43C656118A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F81-4192-B082-43C656118A9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F81-4192-B082-43C656118A9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F81-4192-B082-43C656118A9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F81-4192-B082-43C656118A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Sheet3!$A$2:$A$6</c:f>
              <c:numCache>
                <c:formatCode>General</c:formatCode>
                <c:ptCount val="5"/>
                <c:pt idx="0">
                  <c:v>2020</c:v>
                </c:pt>
                <c:pt idx="1">
                  <c:v>2021</c:v>
                </c:pt>
                <c:pt idx="2">
                  <c:v>2022</c:v>
                </c:pt>
                <c:pt idx="3">
                  <c:v>2023</c:v>
                </c:pt>
                <c:pt idx="4">
                  <c:v>2024</c:v>
                </c:pt>
              </c:numCache>
            </c:numRef>
          </c:cat>
          <c:val>
            <c:numRef>
              <c:f>Sheet3!$B$2:$B$6</c:f>
              <c:numCache>
                <c:formatCode>General</c:formatCode>
                <c:ptCount val="5"/>
                <c:pt idx="0">
                  <c:v>0.32</c:v>
                </c:pt>
                <c:pt idx="1">
                  <c:v>0.28000000000000003</c:v>
                </c:pt>
                <c:pt idx="2">
                  <c:v>0.31</c:v>
                </c:pt>
                <c:pt idx="3">
                  <c:v>0.27</c:v>
                </c:pt>
                <c:pt idx="4">
                  <c:v>0.17</c:v>
                </c:pt>
              </c:numCache>
            </c:numRef>
          </c:val>
          <c:extLst>
            <c:ext xmlns:c16="http://schemas.microsoft.com/office/drawing/2014/chart" uri="{C3380CC4-5D6E-409C-BE32-E72D297353CC}">
              <c16:uniqueId val="{0000000A-8F81-4192-B082-43C656118A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Inventory Turnover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Sheet4!$B$1</c:f>
              <c:strCache>
                <c:ptCount val="1"/>
                <c:pt idx="0">
                  <c:v>Inventory Turnover (Times)</c:v>
                </c:pt>
              </c:strCache>
            </c:strRef>
          </c:tx>
          <c:spPr>
            <a:solidFill>
              <a:schemeClr val="accent1"/>
            </a:solidFill>
            <a:ln>
              <a:noFill/>
            </a:ln>
            <a:effectLst/>
          </c:spPr>
          <c:invertIfNegative val="0"/>
          <c:cat>
            <c:numRef>
              <c:f>Sheet4!$A$2:$A$6</c:f>
              <c:numCache>
                <c:formatCode>General</c:formatCode>
                <c:ptCount val="5"/>
                <c:pt idx="0">
                  <c:v>2020</c:v>
                </c:pt>
                <c:pt idx="1">
                  <c:v>2021</c:v>
                </c:pt>
                <c:pt idx="2">
                  <c:v>2022</c:v>
                </c:pt>
                <c:pt idx="3">
                  <c:v>2023</c:v>
                </c:pt>
                <c:pt idx="4">
                  <c:v>2024</c:v>
                </c:pt>
              </c:numCache>
            </c:numRef>
          </c:cat>
          <c:val>
            <c:numRef>
              <c:f>Sheet4!$B$2:$B$6</c:f>
              <c:numCache>
                <c:formatCode>General</c:formatCode>
                <c:ptCount val="5"/>
                <c:pt idx="0">
                  <c:v>3.64</c:v>
                </c:pt>
                <c:pt idx="1">
                  <c:v>3.19</c:v>
                </c:pt>
                <c:pt idx="2">
                  <c:v>2.79</c:v>
                </c:pt>
                <c:pt idx="3">
                  <c:v>3.66</c:v>
                </c:pt>
                <c:pt idx="4">
                  <c:v>3.54</c:v>
                </c:pt>
              </c:numCache>
            </c:numRef>
          </c:val>
          <c:extLst>
            <c:ext xmlns:c16="http://schemas.microsoft.com/office/drawing/2014/chart" uri="{C3380CC4-5D6E-409C-BE32-E72D297353CC}">
              <c16:uniqueId val="{00000000-3D08-489A-A9AF-A9D13F45CE7E}"/>
            </c:ext>
          </c:extLst>
        </c:ser>
        <c:ser>
          <c:idx val="1"/>
          <c:order val="1"/>
          <c:tx>
            <c:strRef>
              <c:f>Sheet4!$C$1</c:f>
              <c:strCache>
                <c:ptCount val="1"/>
                <c:pt idx="0">
                  <c:v>Days Inventory (Days)</c:v>
                </c:pt>
              </c:strCache>
            </c:strRef>
          </c:tx>
          <c:spPr>
            <a:solidFill>
              <a:schemeClr val="accent2"/>
            </a:solidFill>
            <a:ln>
              <a:noFill/>
            </a:ln>
            <a:effectLst/>
          </c:spPr>
          <c:invertIfNegative val="0"/>
          <c:cat>
            <c:numRef>
              <c:f>Sheet4!$A$2:$A$6</c:f>
              <c:numCache>
                <c:formatCode>General</c:formatCode>
                <c:ptCount val="5"/>
                <c:pt idx="0">
                  <c:v>2020</c:v>
                </c:pt>
                <c:pt idx="1">
                  <c:v>2021</c:v>
                </c:pt>
                <c:pt idx="2">
                  <c:v>2022</c:v>
                </c:pt>
                <c:pt idx="3">
                  <c:v>2023</c:v>
                </c:pt>
                <c:pt idx="4">
                  <c:v>2024</c:v>
                </c:pt>
              </c:numCache>
            </c:numRef>
          </c:cat>
          <c:val>
            <c:numRef>
              <c:f>Sheet4!$C$2:$C$6</c:f>
              <c:numCache>
                <c:formatCode>General</c:formatCode>
                <c:ptCount val="5"/>
                <c:pt idx="0">
                  <c:v>100</c:v>
                </c:pt>
                <c:pt idx="1">
                  <c:v>114</c:v>
                </c:pt>
                <c:pt idx="2">
                  <c:v>131</c:v>
                </c:pt>
                <c:pt idx="3">
                  <c:v>100</c:v>
                </c:pt>
                <c:pt idx="4">
                  <c:v>103</c:v>
                </c:pt>
              </c:numCache>
            </c:numRef>
          </c:val>
          <c:extLst>
            <c:ext xmlns:c16="http://schemas.microsoft.com/office/drawing/2014/chart" uri="{C3380CC4-5D6E-409C-BE32-E72D297353CC}">
              <c16:uniqueId val="{00000001-3D08-489A-A9AF-A9D13F45CE7E}"/>
            </c:ext>
          </c:extLst>
        </c:ser>
        <c:dLbls>
          <c:showLegendKey val="0"/>
          <c:showVal val="0"/>
          <c:showCatName val="0"/>
          <c:showSerName val="0"/>
          <c:showPercent val="0"/>
          <c:showBubbleSize val="0"/>
        </c:dLbls>
        <c:gapWidth val="219"/>
        <c:overlap val="-27"/>
        <c:axId val="330774608"/>
        <c:axId val="330773168"/>
      </c:barChart>
      <c:catAx>
        <c:axId val="33077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773168"/>
        <c:crosses val="autoZero"/>
        <c:auto val="1"/>
        <c:lblAlgn val="ctr"/>
        <c:lblOffset val="100"/>
        <c:noMultiLvlLbl val="0"/>
      </c:catAx>
      <c:valAx>
        <c:axId val="330773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774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Accounts Receivable Turnover</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Receivables Turnover (Times)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Sheet5!$A$2:$A$6</c:f>
              <c:numCache>
                <c:formatCode>General</c:formatCode>
                <c:ptCount val="5"/>
                <c:pt idx="0">
                  <c:v>2020</c:v>
                </c:pt>
                <c:pt idx="1">
                  <c:v>2021</c:v>
                </c:pt>
                <c:pt idx="2">
                  <c:v>2022</c:v>
                </c:pt>
                <c:pt idx="3">
                  <c:v>2023</c:v>
                </c:pt>
                <c:pt idx="4">
                  <c:v>2024</c:v>
                </c:pt>
              </c:numCache>
            </c:numRef>
          </c:cat>
          <c:val>
            <c:numRef>
              <c:f>Sheet5!$B$2:$B$6</c:f>
              <c:numCache>
                <c:formatCode>General</c:formatCode>
                <c:ptCount val="5"/>
                <c:pt idx="0">
                  <c:v>4.75</c:v>
                </c:pt>
                <c:pt idx="1">
                  <c:v>4.66</c:v>
                </c:pt>
                <c:pt idx="2">
                  <c:v>4.83</c:v>
                </c:pt>
                <c:pt idx="3">
                  <c:v>3.73</c:v>
                </c:pt>
                <c:pt idx="4">
                  <c:v>3.46</c:v>
                </c:pt>
              </c:numCache>
            </c:numRef>
          </c:val>
          <c:extLst>
            <c:ext xmlns:c16="http://schemas.microsoft.com/office/drawing/2014/chart" uri="{C3380CC4-5D6E-409C-BE32-E72D297353CC}">
              <c16:uniqueId val="{00000000-E58E-4E06-81EE-3D1ADD716B18}"/>
            </c:ext>
          </c:extLst>
        </c:ser>
        <c:ser>
          <c:idx val="1"/>
          <c:order val="1"/>
          <c:tx>
            <c:strRef>
              <c:f>Sheet5!$C$1</c:f>
              <c:strCache>
                <c:ptCount val="1"/>
                <c:pt idx="0">
                  <c:v>Days Sales Outstanding (Days)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Sheet5!$A$2:$A$6</c:f>
              <c:numCache>
                <c:formatCode>General</c:formatCode>
                <c:ptCount val="5"/>
                <c:pt idx="0">
                  <c:v>2020</c:v>
                </c:pt>
                <c:pt idx="1">
                  <c:v>2021</c:v>
                </c:pt>
                <c:pt idx="2">
                  <c:v>2022</c:v>
                </c:pt>
                <c:pt idx="3">
                  <c:v>2023</c:v>
                </c:pt>
                <c:pt idx="4">
                  <c:v>2024</c:v>
                </c:pt>
              </c:numCache>
            </c:numRef>
          </c:cat>
          <c:val>
            <c:numRef>
              <c:f>Sheet5!$C$2:$C$6</c:f>
              <c:numCache>
                <c:formatCode>General</c:formatCode>
                <c:ptCount val="5"/>
                <c:pt idx="0">
                  <c:v>77</c:v>
                </c:pt>
                <c:pt idx="1">
                  <c:v>78</c:v>
                </c:pt>
                <c:pt idx="2">
                  <c:v>76</c:v>
                </c:pt>
                <c:pt idx="3">
                  <c:v>98</c:v>
                </c:pt>
                <c:pt idx="4">
                  <c:v>106</c:v>
                </c:pt>
              </c:numCache>
            </c:numRef>
          </c:val>
          <c:extLst>
            <c:ext xmlns:c16="http://schemas.microsoft.com/office/drawing/2014/chart" uri="{C3380CC4-5D6E-409C-BE32-E72D297353CC}">
              <c16:uniqueId val="{00000001-E58E-4E06-81EE-3D1ADD716B18}"/>
            </c:ext>
          </c:extLst>
        </c:ser>
        <c:dLbls>
          <c:showLegendKey val="0"/>
          <c:showVal val="0"/>
          <c:showCatName val="0"/>
          <c:showSerName val="0"/>
          <c:showPercent val="0"/>
          <c:showBubbleSize val="0"/>
        </c:dLbls>
        <c:gapWidth val="100"/>
        <c:overlap val="-24"/>
        <c:axId val="330769328"/>
        <c:axId val="330774128"/>
      </c:barChart>
      <c:catAx>
        <c:axId val="33076932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0774128"/>
        <c:crosses val="autoZero"/>
        <c:auto val="1"/>
        <c:lblAlgn val="ctr"/>
        <c:lblOffset val="100"/>
        <c:noMultiLvlLbl val="0"/>
      </c:catAx>
      <c:valAx>
        <c:axId val="3307741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0769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Accounts Payable Turnover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Sheet6!$B$1</c:f>
              <c:strCache>
                <c:ptCount val="1"/>
                <c:pt idx="0">
                  <c:v>Payables Turnover (Times)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Sheet6!$A$2:$A$5</c:f>
              <c:numCache>
                <c:formatCode>General</c:formatCode>
                <c:ptCount val="4"/>
                <c:pt idx="0">
                  <c:v>2020</c:v>
                </c:pt>
                <c:pt idx="1">
                  <c:v>2021</c:v>
                </c:pt>
                <c:pt idx="2">
                  <c:v>2023</c:v>
                </c:pt>
                <c:pt idx="3">
                  <c:v>2024</c:v>
                </c:pt>
              </c:numCache>
            </c:numRef>
          </c:xVal>
          <c:yVal>
            <c:numRef>
              <c:f>Sheet6!$B$2:$B$5</c:f>
              <c:numCache>
                <c:formatCode>General</c:formatCode>
                <c:ptCount val="4"/>
                <c:pt idx="0">
                  <c:v>5.27</c:v>
                </c:pt>
                <c:pt idx="1">
                  <c:v>4.62</c:v>
                </c:pt>
                <c:pt idx="2">
                  <c:v>5.66</c:v>
                </c:pt>
                <c:pt idx="3">
                  <c:v>3.9</c:v>
                </c:pt>
              </c:numCache>
            </c:numRef>
          </c:yVal>
          <c:smooth val="0"/>
          <c:extLst>
            <c:ext xmlns:c16="http://schemas.microsoft.com/office/drawing/2014/chart" uri="{C3380CC4-5D6E-409C-BE32-E72D297353CC}">
              <c16:uniqueId val="{00000000-69F4-4D64-866A-C1C047F43D0F}"/>
            </c:ext>
          </c:extLst>
        </c:ser>
        <c:ser>
          <c:idx val="1"/>
          <c:order val="1"/>
          <c:tx>
            <c:strRef>
              <c:f>Sheet6!$C$1</c:f>
              <c:strCache>
                <c:ptCount val="1"/>
                <c:pt idx="0">
                  <c:v>Days Payable Outstanding (Days)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Sheet6!$A$2:$A$5</c:f>
              <c:numCache>
                <c:formatCode>General</c:formatCode>
                <c:ptCount val="4"/>
                <c:pt idx="0">
                  <c:v>2020</c:v>
                </c:pt>
                <c:pt idx="1">
                  <c:v>2021</c:v>
                </c:pt>
                <c:pt idx="2">
                  <c:v>2023</c:v>
                </c:pt>
                <c:pt idx="3">
                  <c:v>2024</c:v>
                </c:pt>
              </c:numCache>
            </c:numRef>
          </c:xVal>
          <c:yVal>
            <c:numRef>
              <c:f>Sheet6!$C$2:$C$5</c:f>
              <c:numCache>
                <c:formatCode>General</c:formatCode>
                <c:ptCount val="4"/>
                <c:pt idx="0">
                  <c:v>69</c:v>
                </c:pt>
                <c:pt idx="1">
                  <c:v>79</c:v>
                </c:pt>
                <c:pt idx="2">
                  <c:v>64</c:v>
                </c:pt>
                <c:pt idx="3">
                  <c:v>94</c:v>
                </c:pt>
              </c:numCache>
            </c:numRef>
          </c:yVal>
          <c:smooth val="0"/>
          <c:extLst>
            <c:ext xmlns:c16="http://schemas.microsoft.com/office/drawing/2014/chart" uri="{C3380CC4-5D6E-409C-BE32-E72D297353CC}">
              <c16:uniqueId val="{00000001-69F4-4D64-866A-C1C047F43D0F}"/>
            </c:ext>
          </c:extLst>
        </c:ser>
        <c:dLbls>
          <c:showLegendKey val="0"/>
          <c:showVal val="0"/>
          <c:showCatName val="0"/>
          <c:showSerName val="0"/>
          <c:showPercent val="0"/>
          <c:showBubbleSize val="0"/>
        </c:dLbls>
        <c:axId val="661055696"/>
        <c:axId val="661065776"/>
      </c:scatterChart>
      <c:valAx>
        <c:axId val="661055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065776"/>
        <c:crosses val="autoZero"/>
        <c:crossBetween val="midCat"/>
      </c:valAx>
      <c:valAx>
        <c:axId val="66106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0556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lineMarker"/>
        <c:varyColors val="0"/>
        <c:ser>
          <c:idx val="0"/>
          <c:order val="0"/>
          <c:tx>
            <c:strRef>
              <c:f>Sheet7!$B$1</c:f>
              <c:strCache>
                <c:ptCount val="1"/>
                <c:pt idx="0">
                  <c:v>Cash Operating Cycle (Days)</c:v>
                </c:pt>
              </c:strCache>
            </c:strRef>
          </c:tx>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xVal>
            <c:numRef>
              <c:f>Sheet7!$A$2:$A$5</c:f>
              <c:numCache>
                <c:formatCode>General</c:formatCode>
                <c:ptCount val="4"/>
                <c:pt idx="0">
                  <c:v>2020</c:v>
                </c:pt>
                <c:pt idx="1">
                  <c:v>2021</c:v>
                </c:pt>
                <c:pt idx="2">
                  <c:v>2023</c:v>
                </c:pt>
                <c:pt idx="3">
                  <c:v>2024</c:v>
                </c:pt>
              </c:numCache>
            </c:numRef>
          </c:xVal>
          <c:yVal>
            <c:numRef>
              <c:f>Sheet7!$B$2:$B$5</c:f>
              <c:numCache>
                <c:formatCode>General</c:formatCode>
                <c:ptCount val="4"/>
                <c:pt idx="0">
                  <c:v>108</c:v>
                </c:pt>
                <c:pt idx="1">
                  <c:v>113</c:v>
                </c:pt>
                <c:pt idx="2">
                  <c:v>134</c:v>
                </c:pt>
                <c:pt idx="3">
                  <c:v>115</c:v>
                </c:pt>
              </c:numCache>
            </c:numRef>
          </c:yVal>
          <c:smooth val="0"/>
          <c:extLst>
            <c:ext xmlns:c16="http://schemas.microsoft.com/office/drawing/2014/chart" uri="{C3380CC4-5D6E-409C-BE32-E72D297353CC}">
              <c16:uniqueId val="{00000000-4323-497D-B920-7410314FBA32}"/>
            </c:ext>
          </c:extLst>
        </c:ser>
        <c:dLbls>
          <c:showLegendKey val="0"/>
          <c:showVal val="0"/>
          <c:showCatName val="0"/>
          <c:showSerName val="0"/>
          <c:showPercent val="0"/>
          <c:showBubbleSize val="0"/>
        </c:dLbls>
        <c:axId val="330781328"/>
        <c:axId val="330779888"/>
      </c:scatterChart>
      <c:valAx>
        <c:axId val="33078132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30779888"/>
        <c:crosses val="autoZero"/>
        <c:crossBetween val="midCat"/>
      </c:valAx>
      <c:valAx>
        <c:axId val="330779888"/>
        <c:scaling>
          <c:orientation val="minMax"/>
        </c:scaling>
        <c:delete val="0"/>
        <c:axPos val="l"/>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30781328"/>
        <c:crosses val="autoZero"/>
        <c:crossBetween val="midCat"/>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Sheet8!$B$1</c:f>
              <c:strCache>
                <c:ptCount val="1"/>
                <c:pt idx="0">
                  <c:v>Asset Turnover</c:v>
                </c:pt>
              </c:strCache>
            </c:strRef>
          </c:tx>
          <c:spPr>
            <a:solidFill>
              <a:schemeClr val="accent1"/>
            </a:solidFill>
            <a:ln>
              <a:noFill/>
            </a:ln>
            <a:effectLst/>
          </c:spPr>
          <c:invertIfNegative val="0"/>
          <c:cat>
            <c:numRef>
              <c:f>Sheet8!$A$2:$A$6</c:f>
              <c:numCache>
                <c:formatCode>General</c:formatCode>
                <c:ptCount val="5"/>
                <c:pt idx="0">
                  <c:v>2020</c:v>
                </c:pt>
                <c:pt idx="1">
                  <c:v>2021</c:v>
                </c:pt>
                <c:pt idx="2">
                  <c:v>2022</c:v>
                </c:pt>
                <c:pt idx="3">
                  <c:v>2023</c:v>
                </c:pt>
                <c:pt idx="4">
                  <c:v>2024</c:v>
                </c:pt>
              </c:numCache>
            </c:numRef>
          </c:cat>
          <c:val>
            <c:numRef>
              <c:f>Sheet8!$B$2:$B$6</c:f>
              <c:numCache>
                <c:formatCode>General</c:formatCode>
                <c:ptCount val="5"/>
                <c:pt idx="0">
                  <c:v>1.2</c:v>
                </c:pt>
                <c:pt idx="1">
                  <c:v>1.18</c:v>
                </c:pt>
                <c:pt idx="2">
                  <c:v>1.08</c:v>
                </c:pt>
                <c:pt idx="3">
                  <c:v>1.18</c:v>
                </c:pt>
                <c:pt idx="4">
                  <c:v>1.22</c:v>
                </c:pt>
              </c:numCache>
            </c:numRef>
          </c:val>
          <c:extLst>
            <c:ext xmlns:c16="http://schemas.microsoft.com/office/drawing/2014/chart" uri="{C3380CC4-5D6E-409C-BE32-E72D297353CC}">
              <c16:uniqueId val="{00000000-FD58-4519-96D9-B412BE3BF9FD}"/>
            </c:ext>
          </c:extLst>
        </c:ser>
        <c:dLbls>
          <c:showLegendKey val="0"/>
          <c:showVal val="0"/>
          <c:showCatName val="0"/>
          <c:showSerName val="0"/>
          <c:showPercent val="0"/>
          <c:showBubbleSize val="0"/>
        </c:dLbls>
        <c:gapWidth val="267"/>
        <c:overlap val="-43"/>
        <c:axId val="330785168"/>
        <c:axId val="330785648"/>
      </c:barChart>
      <c:catAx>
        <c:axId val="3307851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30785648"/>
        <c:crosses val="autoZero"/>
        <c:auto val="1"/>
        <c:lblAlgn val="ctr"/>
        <c:lblOffset val="100"/>
        <c:noMultiLvlLbl val="0"/>
      </c:catAx>
      <c:valAx>
        <c:axId val="33078564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3078516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Sheet9!$B$1</c:f>
              <c:strCache>
                <c:ptCount val="1"/>
                <c:pt idx="0">
                  <c:v>Debt-to-Equity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8A0-42D4-AC1D-2A434411FFF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8A0-42D4-AC1D-2A434411FFF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8A0-42D4-AC1D-2A434411FFF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8A0-42D4-AC1D-2A434411FFF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C8A0-42D4-AC1D-2A434411FFF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Sheet9!$A$2:$A$6</c:f>
              <c:numCache>
                <c:formatCode>General</c:formatCode>
                <c:ptCount val="5"/>
                <c:pt idx="0">
                  <c:v>2020</c:v>
                </c:pt>
                <c:pt idx="1">
                  <c:v>2021</c:v>
                </c:pt>
                <c:pt idx="2">
                  <c:v>2022</c:v>
                </c:pt>
                <c:pt idx="3">
                  <c:v>2023</c:v>
                </c:pt>
                <c:pt idx="4">
                  <c:v>2024</c:v>
                </c:pt>
              </c:numCache>
            </c:numRef>
          </c:cat>
          <c:val>
            <c:numRef>
              <c:f>Sheet9!$B$2:$B$6</c:f>
              <c:numCache>
                <c:formatCode>General</c:formatCode>
                <c:ptCount val="5"/>
                <c:pt idx="0">
                  <c:v>0.06</c:v>
                </c:pt>
                <c:pt idx="1">
                  <c:v>0.2</c:v>
                </c:pt>
                <c:pt idx="2">
                  <c:v>0.33</c:v>
                </c:pt>
                <c:pt idx="3">
                  <c:v>0.31</c:v>
                </c:pt>
                <c:pt idx="4">
                  <c:v>0.24</c:v>
                </c:pt>
              </c:numCache>
            </c:numRef>
          </c:val>
          <c:extLst>
            <c:ext xmlns:c16="http://schemas.microsoft.com/office/drawing/2014/chart" uri="{C3380CC4-5D6E-409C-BE32-E72D297353CC}">
              <c16:uniqueId val="{0000000A-C8A0-42D4-AC1D-2A434411FFF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Sheet10!$B$1</c:f>
              <c:strCache>
                <c:ptCount val="1"/>
                <c:pt idx="0">
                  <c:v>Interest Coverage</c:v>
                </c:pt>
              </c:strCache>
            </c:strRef>
          </c:tx>
          <c:spPr>
            <a:ln w="34925" cap="rnd">
              <a:solidFill>
                <a:schemeClr val="lt1"/>
              </a:solidFill>
              <a:round/>
            </a:ln>
            <a:effectLst>
              <a:outerShdw dist="25400" dir="2700000" algn="tl" rotWithShape="0">
                <a:schemeClr val="accent1"/>
              </a:outerShdw>
            </a:effectLst>
          </c:spPr>
          <c:marker>
            <c:symbol val="none"/>
          </c:marker>
          <c:cat>
            <c:numRef>
              <c:f>Sheet10!$A$2:$A$6</c:f>
              <c:numCache>
                <c:formatCode>General</c:formatCode>
                <c:ptCount val="5"/>
                <c:pt idx="0">
                  <c:v>2020</c:v>
                </c:pt>
                <c:pt idx="1">
                  <c:v>2021</c:v>
                </c:pt>
                <c:pt idx="2">
                  <c:v>2022</c:v>
                </c:pt>
                <c:pt idx="3">
                  <c:v>2023</c:v>
                </c:pt>
                <c:pt idx="4">
                  <c:v>2024</c:v>
                </c:pt>
              </c:numCache>
            </c:numRef>
          </c:cat>
          <c:val>
            <c:numRef>
              <c:f>Sheet10!$B$2:$B$6</c:f>
              <c:numCache>
                <c:formatCode>General</c:formatCode>
                <c:ptCount val="5"/>
                <c:pt idx="0">
                  <c:v>26.2</c:v>
                </c:pt>
                <c:pt idx="1">
                  <c:v>41.08</c:v>
                </c:pt>
                <c:pt idx="2">
                  <c:v>6.61</c:v>
                </c:pt>
                <c:pt idx="3">
                  <c:v>-19.690000000000001</c:v>
                </c:pt>
                <c:pt idx="4">
                  <c:v>-4.55</c:v>
                </c:pt>
              </c:numCache>
            </c:numRef>
          </c:val>
          <c:smooth val="0"/>
          <c:extLst>
            <c:ext xmlns:c16="http://schemas.microsoft.com/office/drawing/2014/chart" uri="{C3380CC4-5D6E-409C-BE32-E72D297353CC}">
              <c16:uniqueId val="{00000000-C2A5-4425-97F6-A389F40BF3D1}"/>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30802448"/>
        <c:axId val="330801008"/>
      </c:lineChart>
      <c:catAx>
        <c:axId val="330802448"/>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30801008"/>
        <c:crosses val="autoZero"/>
        <c:auto val="1"/>
        <c:lblAlgn val="ctr"/>
        <c:lblOffset val="100"/>
        <c:noMultiLvlLbl val="0"/>
      </c:catAx>
      <c:valAx>
        <c:axId val="3308010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30802448"/>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54812-55BA-4400-9A77-40FD1C3AC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47</Pages>
  <Words>7113</Words>
  <Characters>40547</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MANSI PARMAR</dc:creator>
  <cp:keywords/>
  <dc:description/>
  <cp:lastModifiedBy>Mansi Parmar</cp:lastModifiedBy>
  <cp:revision>26</cp:revision>
  <dcterms:created xsi:type="dcterms:W3CDTF">2025-12-22T07:16:00Z</dcterms:created>
  <dcterms:modified xsi:type="dcterms:W3CDTF">2025-12-22T11:45:00Z</dcterms:modified>
</cp:coreProperties>
</file>