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rFonts w:ascii="Arial" w:cs="Arial" w:eastAsia="Arial" w:hAnsi="Arial"/>
          <w:b w:val="1"/>
          <w:bCs w:val="1"/>
        </w:rPr>
      </w:pPr>
      <w:r w:rsidDel="00000000" w:rsidR="00000000" w:rsidRPr="00000000">
        <w:rPr>
          <w:rFonts w:ascii="Arial" w:cs="Arial" w:eastAsia="Arial" w:hAnsi="Arial"/>
        </w:rPr>
        <w:drawing>
          <wp:inline distB="0" distT="0" distL="0" distR="0">
            <wp:extent cx="2170235" cy="1205153"/>
            <wp:effectExtent b="0" l="0" r="0" t="0"/>
            <wp:docPr descr="ESRC Wales Doctoral Training Partnership" id="1" name="image1.png"/>
            <a:graphic>
              <a:graphicData uri="http://schemas.openxmlformats.org/drawingml/2006/picture">
                <pic:pic>
                  <pic:nvPicPr>
                    <pic:cNvPr descr="ESRC Wales Doctoral Training Partnership" id="0" name="image1.png"/>
                    <pic:cNvPicPr preferRelativeResize="0"/>
                  </pic:nvPicPr>
                  <pic:blipFill>
                    <a:blip r:embed="rId6"/>
                    <a:srcRect b="0" l="0" r="0" t="0"/>
                    <a:stretch>
                      <a:fillRect/>
                    </a:stretch>
                  </pic:blipFill>
                  <pic:spPr>
                    <a:xfrm>
                      <a:off x="0" y="0"/>
                      <a:ext cx="2170235" cy="120515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rFonts w:ascii="Arial" w:cs="Arial" w:eastAsia="Arial" w:hAnsi="Arial"/>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03">
            <w:pPr>
              <w:jc w:val="left"/>
              <w:rPr>
                <w:rFonts w:ascii="Arial" w:cs="Arial" w:eastAsia="Arial" w:hAnsi="Arial"/>
                <w:b w:val="1"/>
                <w:bCs w:val="1"/>
              </w:rPr>
            </w:pPr>
            <w:r w:rsidDel="00000000" w:rsidR="00000000" w:rsidRPr="00000000">
              <w:rPr>
                <w:rFonts w:ascii="Arial" w:cs="Arial" w:eastAsia="Arial" w:hAnsi="Arial"/>
                <w:b w:val="1"/>
                <w:bCs w:val="1"/>
                <w:rtl w:val="0"/>
              </w:rPr>
              <w:t xml:space="preserve">Student name: </w:t>
            </w:r>
          </w:p>
        </w:tc>
        <w:tc>
          <w:tcPr/>
          <w:p w:rsidR="00000000" w:rsidDel="00000000" w:rsidP="00000000" w:rsidRDefault="00000000" w:rsidRPr="00000000" w14:paraId="00000004">
            <w:pPr>
              <w:jc w:val="left"/>
              <w:rPr>
                <w:rFonts w:ascii="Arial" w:cs="Arial" w:eastAsia="Arial" w:hAnsi="Arial"/>
                <w:b w:val="1"/>
                <w:bCs w:val="1"/>
              </w:rPr>
            </w:pPr>
            <w:r w:rsidDel="00000000" w:rsidR="00000000" w:rsidRPr="00000000">
              <w:rPr>
                <w:rFonts w:ascii="Arial" w:cs="Arial" w:eastAsia="Arial" w:hAnsi="Arial"/>
                <w:b w:val="1"/>
                <w:bCs w:val="1"/>
                <w:rtl w:val="0"/>
              </w:rPr>
              <w:t xml:space="preserve">Rajesh Chaudhary</w:t>
            </w:r>
          </w:p>
        </w:tc>
      </w:tr>
      <w:tr>
        <w:trPr>
          <w:cantSplit w:val="0"/>
          <w:tblHeader w:val="0"/>
        </w:trPr>
        <w:tc>
          <w:tcPr/>
          <w:p w:rsidR="00000000" w:rsidDel="00000000" w:rsidP="00000000" w:rsidRDefault="00000000" w:rsidRPr="00000000" w14:paraId="00000005">
            <w:pPr>
              <w:jc w:val="left"/>
              <w:rPr>
                <w:rFonts w:ascii="Arial" w:cs="Arial" w:eastAsia="Arial" w:hAnsi="Arial"/>
                <w:b w:val="1"/>
                <w:bCs w:val="1"/>
              </w:rPr>
            </w:pPr>
            <w:r w:rsidDel="00000000" w:rsidR="00000000" w:rsidRPr="00000000">
              <w:rPr>
                <w:rFonts w:ascii="Arial" w:cs="Arial" w:eastAsia="Arial" w:hAnsi="Arial"/>
                <w:b w:val="1"/>
                <w:bCs w:val="1"/>
                <w:rtl w:val="0"/>
              </w:rPr>
              <w:t xml:space="preserve">Student ID number:</w:t>
            </w:r>
          </w:p>
        </w:tc>
        <w:tc>
          <w:tcPr/>
          <w:p w:rsidR="00000000" w:rsidDel="00000000" w:rsidP="00000000" w:rsidRDefault="00000000" w:rsidRPr="00000000" w14:paraId="00000006">
            <w:pPr>
              <w:jc w:val="left"/>
              <w:rPr>
                <w:rFonts w:ascii="Arial" w:cs="Arial" w:eastAsia="Arial" w:hAnsi="Arial"/>
                <w:b w:val="1"/>
                <w:bCs w:val="1"/>
              </w:rPr>
            </w:pPr>
            <w:r w:rsidDel="00000000" w:rsidR="00000000" w:rsidRPr="00000000">
              <w:rPr>
                <w:rFonts w:ascii="Arial" w:cs="Arial" w:eastAsia="Arial" w:hAnsi="Arial"/>
                <w:b w:val="1"/>
                <w:bCs w:val="1"/>
                <w:rtl w:val="0"/>
              </w:rPr>
              <w:t xml:space="preserve">2433823 </w:t>
            </w:r>
          </w:p>
        </w:tc>
      </w:tr>
      <w:tr>
        <w:trPr>
          <w:cantSplit w:val="0"/>
          <w:tblHeader w:val="0"/>
        </w:trPr>
        <w:tc>
          <w:tcPr/>
          <w:p w:rsidR="00000000" w:rsidDel="00000000" w:rsidP="00000000" w:rsidRDefault="00000000" w:rsidRPr="00000000" w14:paraId="00000007">
            <w:pPr>
              <w:jc w:val="left"/>
              <w:rPr>
                <w:rFonts w:ascii="Arial" w:cs="Arial" w:eastAsia="Arial" w:hAnsi="Arial"/>
                <w:b w:val="1"/>
                <w:bCs w:val="1"/>
              </w:rPr>
            </w:pPr>
            <w:r w:rsidDel="00000000" w:rsidR="00000000" w:rsidRPr="00000000">
              <w:rPr>
                <w:rFonts w:ascii="Arial" w:cs="Arial" w:eastAsia="Arial" w:hAnsi="Arial"/>
                <w:b w:val="1"/>
                <w:bCs w:val="1"/>
                <w:rtl w:val="0"/>
              </w:rPr>
              <w:t xml:space="preserve">Programme: </w:t>
            </w:r>
          </w:p>
        </w:tc>
        <w:tc>
          <w:tcPr/>
          <w:p w:rsidR="00000000" w:rsidDel="00000000" w:rsidP="00000000" w:rsidRDefault="00000000" w:rsidRPr="00000000" w14:paraId="00000008">
            <w:pPr>
              <w:jc w:val="left"/>
              <w:rPr>
                <w:rFonts w:ascii="Arial" w:cs="Arial" w:eastAsia="Arial" w:hAnsi="Arial"/>
                <w:b w:val="1"/>
                <w:bCs w:val="1"/>
              </w:rPr>
            </w:pPr>
            <w:r w:rsidDel="00000000" w:rsidR="00000000" w:rsidRPr="00000000">
              <w:rPr>
                <w:rFonts w:ascii="Arial" w:cs="Arial" w:eastAsia="Arial" w:hAnsi="Arial"/>
                <w:b w:val="1"/>
                <w:bCs w:val="1"/>
                <w:rtl w:val="0"/>
              </w:rPr>
              <w:t xml:space="preserve">Master of Business Administration </w:t>
            </w:r>
          </w:p>
        </w:tc>
      </w:tr>
      <w:tr>
        <w:trPr>
          <w:cantSplit w:val="0"/>
          <w:tblHeader w:val="0"/>
        </w:trPr>
        <w:tc>
          <w:tcPr/>
          <w:p w:rsidR="00000000" w:rsidDel="00000000" w:rsidP="00000000" w:rsidRDefault="00000000" w:rsidRPr="00000000" w14:paraId="00000009">
            <w:pPr>
              <w:jc w:val="left"/>
              <w:rPr>
                <w:rFonts w:ascii="Arial" w:cs="Arial" w:eastAsia="Arial" w:hAnsi="Arial"/>
                <w:b w:val="1"/>
                <w:bCs w:val="1"/>
              </w:rPr>
            </w:pPr>
            <w:r w:rsidDel="00000000" w:rsidR="00000000" w:rsidRPr="00000000">
              <w:rPr>
                <w:rFonts w:ascii="Arial" w:cs="Arial" w:eastAsia="Arial" w:hAnsi="Arial"/>
                <w:b w:val="1"/>
                <w:bCs w:val="1"/>
                <w:rtl w:val="0"/>
              </w:rPr>
              <w:t xml:space="preserve">Module:</w:t>
            </w:r>
          </w:p>
        </w:tc>
        <w:tc>
          <w:tcPr/>
          <w:p w:rsidR="00000000" w:rsidDel="00000000" w:rsidP="00000000" w:rsidRDefault="00000000" w:rsidRPr="00000000" w14:paraId="0000000A">
            <w:pPr>
              <w:jc w:val="left"/>
              <w:rPr>
                <w:rFonts w:ascii="Arial" w:cs="Arial" w:eastAsia="Arial" w:hAnsi="Arial"/>
                <w:b w:val="1"/>
                <w:bCs w:val="1"/>
              </w:rPr>
            </w:pPr>
            <w:r w:rsidDel="00000000" w:rsidR="00000000" w:rsidRPr="00000000">
              <w:rPr>
                <w:rFonts w:ascii="Arial" w:cs="Arial" w:eastAsia="Arial" w:hAnsi="Arial"/>
                <w:b w:val="1"/>
                <w:bCs w:val="1"/>
                <w:rtl w:val="0"/>
              </w:rPr>
              <w:t xml:space="preserve">Strategic Management </w:t>
            </w:r>
          </w:p>
        </w:tc>
      </w:tr>
      <w:tr>
        <w:trPr>
          <w:cantSplit w:val="0"/>
          <w:tblHeader w:val="0"/>
        </w:trPr>
        <w:tc>
          <w:tcPr/>
          <w:p w:rsidR="00000000" w:rsidDel="00000000" w:rsidP="00000000" w:rsidRDefault="00000000" w:rsidRPr="00000000" w14:paraId="0000000B">
            <w:pPr>
              <w:jc w:val="left"/>
              <w:rPr>
                <w:rFonts w:ascii="Arial" w:cs="Arial" w:eastAsia="Arial" w:hAnsi="Arial"/>
                <w:b w:val="1"/>
                <w:bCs w:val="1"/>
              </w:rPr>
            </w:pPr>
            <w:r w:rsidDel="00000000" w:rsidR="00000000" w:rsidRPr="00000000">
              <w:rPr>
                <w:rFonts w:ascii="Arial" w:cs="Arial" w:eastAsia="Arial" w:hAnsi="Arial"/>
                <w:b w:val="1"/>
                <w:bCs w:val="1"/>
                <w:rtl w:val="0"/>
              </w:rPr>
              <w:t xml:space="preserve">Module code:</w:t>
            </w:r>
          </w:p>
        </w:tc>
        <w:tc>
          <w:tcPr/>
          <w:p w:rsidR="00000000" w:rsidDel="00000000" w:rsidP="00000000" w:rsidRDefault="00000000" w:rsidRPr="00000000" w14:paraId="0000000C">
            <w:pPr>
              <w:jc w:val="left"/>
              <w:rPr>
                <w:rFonts w:ascii="Arial" w:cs="Arial" w:eastAsia="Arial" w:hAnsi="Arial"/>
                <w:b w:val="1"/>
                <w:bCs w:val="1"/>
              </w:rPr>
            </w:pPr>
            <w:r w:rsidDel="00000000" w:rsidR="00000000" w:rsidRPr="00000000">
              <w:rPr>
                <w:rFonts w:ascii="Arial" w:cs="Arial" w:eastAsia="Arial" w:hAnsi="Arial"/>
                <w:b w:val="1"/>
                <w:bCs w:val="1"/>
                <w:rtl w:val="0"/>
              </w:rPr>
              <w:t xml:space="preserve">LCMB7003 </w:t>
            </w:r>
          </w:p>
        </w:tc>
      </w:tr>
      <w:tr>
        <w:trPr>
          <w:cantSplit w:val="0"/>
          <w:tblHeader w:val="0"/>
        </w:trPr>
        <w:tc>
          <w:tcPr/>
          <w:p w:rsidR="00000000" w:rsidDel="00000000" w:rsidP="00000000" w:rsidRDefault="00000000" w:rsidRPr="00000000" w14:paraId="0000000D">
            <w:pPr>
              <w:jc w:val="left"/>
              <w:rPr>
                <w:rFonts w:ascii="Arial" w:cs="Arial" w:eastAsia="Arial" w:hAnsi="Arial"/>
                <w:b w:val="1"/>
                <w:bCs w:val="1"/>
              </w:rPr>
            </w:pPr>
            <w:r w:rsidDel="00000000" w:rsidR="00000000" w:rsidRPr="00000000">
              <w:rPr>
                <w:rFonts w:ascii="Arial" w:cs="Arial" w:eastAsia="Arial" w:hAnsi="Arial"/>
                <w:b w:val="1"/>
                <w:bCs w:val="1"/>
                <w:rtl w:val="0"/>
              </w:rPr>
              <w:t xml:space="preserve">Lecturer:</w:t>
            </w:r>
          </w:p>
        </w:tc>
        <w:tc>
          <w:tcPr/>
          <w:p w:rsidR="00000000" w:rsidDel="00000000" w:rsidP="00000000" w:rsidRDefault="00000000" w:rsidRPr="00000000" w14:paraId="0000000E">
            <w:pPr>
              <w:jc w:val="left"/>
              <w:rPr>
                <w:rFonts w:ascii="Arial" w:cs="Arial" w:eastAsia="Arial" w:hAnsi="Arial"/>
                <w:b w:val="1"/>
                <w:bCs w:val="1"/>
              </w:rPr>
            </w:pPr>
            <w:r w:rsidDel="00000000" w:rsidR="00000000" w:rsidRPr="00000000">
              <w:rPr>
                <w:rFonts w:ascii="Arial" w:cs="Arial" w:eastAsia="Arial" w:hAnsi="Arial"/>
                <w:b w:val="1"/>
                <w:bCs w:val="1"/>
                <w:rtl w:val="0"/>
              </w:rPr>
              <w:t xml:space="preserve">Amare Desta Zulf Khan</w:t>
            </w:r>
          </w:p>
        </w:tc>
      </w:tr>
      <w:tr>
        <w:trPr>
          <w:cantSplit w:val="0"/>
          <w:tblHeader w:val="0"/>
        </w:trPr>
        <w:tc>
          <w:tcPr/>
          <w:p w:rsidR="00000000" w:rsidDel="00000000" w:rsidP="00000000" w:rsidRDefault="00000000" w:rsidRPr="00000000" w14:paraId="0000000F">
            <w:pPr>
              <w:jc w:val="left"/>
              <w:rPr>
                <w:rFonts w:ascii="Arial" w:cs="Arial" w:eastAsia="Arial" w:hAnsi="Arial"/>
                <w:b w:val="1"/>
                <w:bCs w:val="1"/>
              </w:rPr>
            </w:pPr>
            <w:r w:rsidDel="00000000" w:rsidR="00000000" w:rsidRPr="00000000">
              <w:rPr>
                <w:rFonts w:ascii="Arial" w:cs="Arial" w:eastAsia="Arial" w:hAnsi="Arial"/>
                <w:b w:val="1"/>
                <w:bCs w:val="1"/>
                <w:rtl w:val="0"/>
              </w:rPr>
              <w:t xml:space="preserve">Assignment Title: </w:t>
            </w:r>
          </w:p>
        </w:tc>
        <w:tc>
          <w:tcPr/>
          <w:p w:rsidR="00000000" w:rsidDel="00000000" w:rsidP="00000000" w:rsidRDefault="00000000" w:rsidRPr="00000000" w14:paraId="00000010">
            <w:pPr>
              <w:jc w:val="left"/>
              <w:rPr>
                <w:rFonts w:ascii="Arial" w:cs="Arial" w:eastAsia="Arial" w:hAnsi="Arial"/>
                <w:b w:val="1"/>
                <w:bCs w:val="1"/>
              </w:rPr>
            </w:pPr>
            <w:r w:rsidDel="00000000" w:rsidR="00000000" w:rsidRPr="00000000">
              <w:rPr>
                <w:rFonts w:ascii="Arial" w:cs="Arial" w:eastAsia="Arial" w:hAnsi="Arial"/>
                <w:b w:val="1"/>
                <w:bCs w:val="1"/>
                <w:rtl w:val="0"/>
              </w:rPr>
              <w:t xml:space="preserve">Assessment component - Individual report </w:t>
            </w:r>
          </w:p>
        </w:tc>
      </w:tr>
      <w:tr>
        <w:trPr>
          <w:cantSplit w:val="0"/>
          <w:tblHeader w:val="0"/>
        </w:trPr>
        <w:tc>
          <w:tcPr/>
          <w:p w:rsidR="00000000" w:rsidDel="00000000" w:rsidP="00000000" w:rsidRDefault="00000000" w:rsidRPr="00000000" w14:paraId="00000011">
            <w:pPr>
              <w:jc w:val="left"/>
              <w:rPr>
                <w:rFonts w:ascii="Arial" w:cs="Arial" w:eastAsia="Arial" w:hAnsi="Arial"/>
                <w:b w:val="1"/>
                <w:bCs w:val="1"/>
              </w:rPr>
            </w:pPr>
            <w:r w:rsidDel="00000000" w:rsidR="00000000" w:rsidRPr="00000000">
              <w:rPr>
                <w:rFonts w:ascii="Arial" w:cs="Arial" w:eastAsia="Arial" w:hAnsi="Arial"/>
                <w:b w:val="1"/>
                <w:bCs w:val="1"/>
                <w:rtl w:val="0"/>
              </w:rPr>
              <w:t xml:space="preserve">Word count:</w:t>
            </w:r>
          </w:p>
        </w:tc>
        <w:tc>
          <w:tcPr/>
          <w:p w:rsidR="00000000" w:rsidDel="00000000" w:rsidP="00000000" w:rsidRDefault="00000000" w:rsidRPr="00000000" w14:paraId="00000012">
            <w:pPr>
              <w:jc w:val="left"/>
              <w:rPr>
                <w:rFonts w:ascii="Arial" w:cs="Arial" w:eastAsia="Arial" w:hAnsi="Arial"/>
                <w:b w:val="1"/>
                <w:bCs w:val="1"/>
              </w:rPr>
            </w:pPr>
            <w:r w:rsidDel="00000000" w:rsidR="00000000" w:rsidRPr="00000000">
              <w:rPr>
                <w:rFonts w:ascii="Arial" w:cs="Arial" w:eastAsia="Arial" w:hAnsi="Arial"/>
                <w:b w:val="1"/>
                <w:bCs w:val="1"/>
                <w:rtl w:val="0"/>
              </w:rPr>
              <w:t xml:space="preserve">5,280</w:t>
            </w:r>
          </w:p>
        </w:tc>
      </w:tr>
    </w:tbl>
    <w:p w:rsidR="00000000" w:rsidDel="00000000" w:rsidP="00000000" w:rsidRDefault="00000000" w:rsidRPr="00000000" w14:paraId="00000013">
      <w:pPr>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spacing w:after="0" w:before="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Table of Content</w:t>
      </w:r>
    </w:p>
    <w:sdt>
      <w:sdtPr>
        <w:id w:val="591432796"/>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w:instrText>
            <w:fldChar w:fldCharType="separate"/>
          </w:r>
          <w:hyperlink w:anchor="_xzu6j4tifes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r>
          </w:hyperlink>
          <w:hyperlink w:anchor="_xzu6j4tifes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vyl0tgawcl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w:t>
            </w:r>
          </w:hyperlink>
          <w:hyperlink w:anchor="_kvyl0tgawcl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e3e78i43ye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Organisational Context and Overview</w:t>
            </w:r>
          </w:hyperlink>
          <w:hyperlink w:anchor="_je3e78i43ye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mgkdqnf8nm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Organisational Background and Historical Perspective</w:t>
            </w:r>
          </w:hyperlink>
          <w:hyperlink w:anchor="_mmgkdqnf8nm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o88rmkvl5o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Mission, Vision, and Business Model</w:t>
            </w:r>
          </w:hyperlink>
          <w:hyperlink w:anchor="_7o88rmkvl5o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71tfnwzilu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Industry Context, Competitors and Market Position</w:t>
            </w:r>
          </w:hyperlink>
          <w:hyperlink w:anchor="_d71tfnwzilu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i2uqza0ga6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External and Internal Environment Analysis</w:t>
            </w:r>
          </w:hyperlink>
          <w:hyperlink w:anchor="_pi2uqza0ga6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3gi0xlex08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External Environment Using PESTEL</w:t>
            </w:r>
          </w:hyperlink>
          <w:hyperlink w:anchor="_y3gi0xlex08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ikffup8may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 success factors and strategic challenges</w:t>
            </w:r>
          </w:hyperlink>
          <w:hyperlink w:anchor="_qikffup8may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pdtpryzya3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Internal resources, capabilities and competencies</w:t>
            </w:r>
          </w:hyperlink>
          <w:hyperlink w:anchor="_epdtpryzya3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agmncam2pw9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VRIO evaluation</w:t>
            </w:r>
          </w:hyperlink>
          <w:hyperlink w:anchor="_agmncam2pw9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28ek84bjpa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CSR and Sustainability objectives</w:t>
            </w:r>
          </w:hyperlink>
          <w:hyperlink w:anchor="_w28ek84bjpa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w3b0f5load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CSR strategy and regenerate with UK</w:t>
            </w:r>
          </w:hyperlink>
          <w:hyperlink w:anchor="_jw3b0f5load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89i5cg9u0v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goTOzero RETAIL and operational sustainability</w:t>
            </w:r>
          </w:hyperlink>
          <w:hyperlink w:anchor="_p89i5cg9u0v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qpirfid0od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 transition and supply-chain responsibility</w:t>
            </w:r>
          </w:hyperlink>
          <w:hyperlink w:anchor="_5qpirfid0od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x9etmr3nj5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 challenges and limitations</w:t>
            </w:r>
          </w:hyperlink>
          <w:hyperlink w:anchor="_ux9etmr3nj5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ag7nyewp29c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Alignment with business objectives</w:t>
            </w:r>
          </w:hyperlink>
          <w:hyperlink w:anchor="_ag7nyewp29c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hh7mm26y4b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Comprehensive and holistic view of the organisation</w:t>
            </w:r>
          </w:hyperlink>
          <w:hyperlink w:anchor="_5hh7mm26y4b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2r350aijxl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Balanced Scorecard: holistic performance view</w:t>
            </w:r>
          </w:hyperlink>
          <w:hyperlink w:anchor="_42r350aijxl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mly9ne26g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perspective</w:t>
            </w:r>
          </w:hyperlink>
          <w:hyperlink w:anchor="_9mly9ne26g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1pxrhua5wf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perspective</w:t>
            </w:r>
          </w:hyperlink>
          <w:hyperlink w:anchor="_31pxrhua5wf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mvpjj61ls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Internal business process perspective</w:t>
            </w:r>
          </w:hyperlink>
          <w:hyperlink w:anchor="_8mvpjj61ls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yo4s0mg2u7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Learning and growth perspective</w:t>
            </w:r>
          </w:hyperlink>
          <w:hyperlink w:anchor="_7yo4s0mg2u7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j9bua70lsb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Strategic Choices and Implementation</w:t>
            </w:r>
          </w:hyperlink>
          <w:hyperlink w:anchor="_rj9bua70lsb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8dyc6vreay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Business-level strategic choices</w:t>
            </w:r>
          </w:hyperlink>
          <w:hyperlink w:anchor="_78dyc6vreay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x2ycrbz4ti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Corporate and development choices</w:t>
            </w:r>
          </w:hyperlink>
          <w:hyperlink w:anchor="_fx2ycrbz4ti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haxpamu4mp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Change management and implementation risks</w:t>
            </w:r>
          </w:hyperlink>
          <w:hyperlink w:anchor="_1haxpamu4mp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a6crpm2dr0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Strategic Evaluation and Recommendations</w:t>
            </w:r>
          </w:hyperlink>
          <w:hyperlink w:anchor="_2a6crpm2dr0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nmvcvwv512q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Strategic evaluation using Ansoff Matrix</w:t>
            </w:r>
          </w:hyperlink>
          <w:hyperlink w:anchor="_nmvcvwv512q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gwb5chf4lp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Recommendations</w:t>
            </w:r>
          </w:hyperlink>
          <w:hyperlink w:anchor="_1gwb5chf4lp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zclorizg24j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w:t>
            </w:r>
          </w:hyperlink>
          <w:hyperlink w:anchor="_zclorizg24j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ctnxdf3l6p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Reflective account</w:t>
            </w:r>
          </w:hyperlink>
          <w:hyperlink w:anchor="_qctnxdf3l6p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183k97q7bh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Reflective account using Gibbs’ Reflective Cycle</w:t>
            </w:r>
          </w:hyperlink>
          <w:hyperlink w:anchor="_b183k97q7bh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h66y63o8tr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r>
          </w:hyperlink>
          <w:hyperlink w:anchor="_eh66y63o8tr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9zm7m1kjw7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w:t>
            </w:r>
          </w:hyperlink>
          <w:hyperlink w:anchor="_k9zm7m1kjw7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26</w:t>
            </w:r>
          </w:hyperlink>
          <w:r w:rsidDel="00000000" w:rsidR="00000000" w:rsidRPr="00000000">
            <w:rPr>
              <w:rtl w:val="0"/>
            </w:rPr>
          </w:r>
        </w:p>
        <w:p w:rsidR="00000000" w:rsidDel="00000000" w:rsidP="00000000" w:rsidRDefault="00000000" w:rsidRPr="00000000" w14:paraId="00000039">
          <w:pPr>
            <w:rPr>
              <w:rFonts w:ascii="Arial" w:cs="Arial" w:eastAsia="Arial" w:hAnsi="Arial"/>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A">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B">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rFonts w:ascii="Arial" w:cs="Arial" w:eastAsia="Arial" w:hAnsi="Arial"/>
          <w:sz w:val="24"/>
          <w:szCs w:val="24"/>
        </w:rPr>
      </w:pPr>
      <w:bookmarkStart w:colFirst="0" w:colLast="0" w:name="_xzu6j4tifesp" w:id="0"/>
      <w:bookmarkEnd w:id="0"/>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This report is a critical analysis of the strategic management of Volkswagen UK based on the organisational context, external and internal environment, competitive positioning and sustainability strategy. Section 1 uses the main strategic models to analyse performance, strategic decisions and implementation issues in a dynamic automotive market. Section 2 provides a reflective description of the research and analysis process based on Gibbs model. Overall, the report integrates theory and evidence to evaluate the potential of Volkswagen UK to maintain a competitive advantage. The argument in this report is that Volkswagen UK has a strong position in the market, although its competitive edge is becoming increasingly conditional on the profitable EV transition digital ability and credible sustainability delivery.</w:t>
      </w:r>
    </w:p>
    <w:p w:rsidR="00000000" w:rsidDel="00000000" w:rsidP="00000000" w:rsidRDefault="00000000" w:rsidRPr="00000000" w14:paraId="0000003E">
      <w:pPr>
        <w:pStyle w:val="Heading1"/>
        <w:rPr>
          <w:rFonts w:ascii="Arial" w:cs="Arial" w:eastAsia="Arial" w:hAnsi="Arial"/>
          <w:sz w:val="24"/>
          <w:szCs w:val="24"/>
        </w:rPr>
      </w:pPr>
      <w:bookmarkStart w:colFirst="0" w:colLast="0" w:name="_kvyl0tgawclc" w:id="1"/>
      <w:bookmarkEnd w:id="1"/>
      <w:r w:rsidDel="00000000" w:rsidR="00000000" w:rsidRPr="00000000">
        <w:rPr>
          <w:rFonts w:ascii="Arial" w:cs="Arial" w:eastAsia="Arial" w:hAnsi="Arial"/>
          <w:sz w:val="24"/>
          <w:szCs w:val="24"/>
          <w:rtl w:val="0"/>
        </w:rPr>
        <w:t xml:space="preserve">Section 1:</w:t>
      </w:r>
    </w:p>
    <w:p w:rsidR="00000000" w:rsidDel="00000000" w:rsidP="00000000" w:rsidRDefault="00000000" w:rsidRPr="00000000" w14:paraId="0000003F">
      <w:pPr>
        <w:pStyle w:val="Heading1"/>
        <w:rPr>
          <w:rFonts w:ascii="Arial" w:cs="Arial" w:eastAsia="Arial" w:hAnsi="Arial"/>
          <w:sz w:val="24"/>
          <w:szCs w:val="24"/>
        </w:rPr>
      </w:pPr>
      <w:bookmarkStart w:colFirst="0" w:colLast="0" w:name="_je3e78i43yet" w:id="2"/>
      <w:bookmarkEnd w:id="2"/>
      <w:r w:rsidDel="00000000" w:rsidR="00000000" w:rsidRPr="00000000">
        <w:rPr>
          <w:rFonts w:ascii="Arial" w:cs="Arial" w:eastAsia="Arial" w:hAnsi="Arial"/>
          <w:sz w:val="24"/>
          <w:szCs w:val="24"/>
          <w:rtl w:val="0"/>
        </w:rPr>
        <w:t xml:space="preserve">Organisational Context and Overview </w:t>
      </w:r>
    </w:p>
    <w:p w:rsidR="00000000" w:rsidDel="00000000" w:rsidP="00000000" w:rsidRDefault="00000000" w:rsidRPr="00000000" w14:paraId="00000040">
      <w:pPr>
        <w:pStyle w:val="Heading2"/>
        <w:rPr>
          <w:rFonts w:ascii="Arial" w:cs="Arial" w:eastAsia="Arial" w:hAnsi="Arial"/>
          <w:u w:val="single"/>
        </w:rPr>
      </w:pPr>
      <w:bookmarkStart w:colFirst="0" w:colLast="0" w:name="_mmgkdqnf8nm1" w:id="3"/>
      <w:bookmarkEnd w:id="3"/>
      <w:r w:rsidDel="00000000" w:rsidR="00000000" w:rsidRPr="00000000">
        <w:rPr>
          <w:rFonts w:ascii="Arial" w:cs="Arial" w:eastAsia="Arial" w:hAnsi="Arial"/>
          <w:u w:val="single"/>
          <w:rtl w:val="0"/>
        </w:rPr>
        <w:t xml:space="preserve">Organisational Background and Historical Perspective</w:t>
      </w:r>
    </w:p>
    <w:p w:rsidR="00000000" w:rsidDel="00000000" w:rsidP="00000000" w:rsidRDefault="00000000" w:rsidRPr="00000000" w14:paraId="00000041">
      <w:pPr>
        <w:tabs>
          <w:tab w:val="left" w:leader="none" w:pos="284"/>
        </w:tabs>
        <w:rPr>
          <w:rFonts w:ascii="Arial" w:cs="Arial" w:eastAsia="Arial" w:hAnsi="Arial"/>
        </w:rPr>
      </w:pPr>
      <w:r w:rsidDel="00000000" w:rsidR="00000000" w:rsidRPr="00000000">
        <w:rPr>
          <w:rFonts w:ascii="Arial" w:cs="Arial" w:eastAsia="Arial" w:hAnsi="Arial"/>
          <w:rtl w:val="0"/>
        </w:rPr>
        <w:t xml:space="preserve">Wolfsburg, Germany Volkswagen UK is a subsidiary sales, distribution and retailer-support company of the larger Volkswagen Group. This implies that the strategy of Volkswagen UK is influenced by the UK market conditions and Group-wide platform, software and EV investment decisions. This subsidiary position provides scale benefits, at the cost of local strategic flexibility. The Volkswagen Group UK employs over 1,800 people, of whom 930 are based at the head office (Volkswagen UK, 2026).</w:t>
      </w:r>
    </w:p>
    <w:p w:rsidR="00000000" w:rsidDel="00000000" w:rsidP="00000000" w:rsidRDefault="00000000" w:rsidRPr="00000000" w14:paraId="00000042">
      <w:pPr>
        <w:pStyle w:val="Heading2"/>
        <w:rPr>
          <w:rFonts w:ascii="Arial" w:cs="Arial" w:eastAsia="Arial" w:hAnsi="Arial"/>
          <w:u w:val="single"/>
        </w:rPr>
      </w:pPr>
      <w:bookmarkStart w:colFirst="0" w:colLast="0" w:name="_7o88rmkvl5oz" w:id="4"/>
      <w:bookmarkEnd w:id="4"/>
      <w:r w:rsidDel="00000000" w:rsidR="00000000" w:rsidRPr="00000000">
        <w:rPr>
          <w:rFonts w:ascii="Arial" w:cs="Arial" w:eastAsia="Arial" w:hAnsi="Arial"/>
          <w:u w:val="single"/>
          <w:rtl w:val="0"/>
        </w:rPr>
        <w:t xml:space="preserve">Mission, Vision, and Business Model</w:t>
      </w:r>
    </w:p>
    <w:p w:rsidR="00000000" w:rsidDel="00000000" w:rsidP="00000000" w:rsidRDefault="00000000" w:rsidRPr="00000000" w14:paraId="00000043">
      <w:pPr>
        <w:tabs>
          <w:tab w:val="left" w:leader="none" w:pos="284"/>
        </w:tabs>
        <w:rPr>
          <w:rFonts w:ascii="Arial" w:cs="Arial" w:eastAsia="Arial" w:hAnsi="Arial"/>
        </w:rPr>
      </w:pPr>
      <w:r w:rsidDel="00000000" w:rsidR="00000000" w:rsidRPr="00000000">
        <w:rPr>
          <w:rFonts w:ascii="Arial" w:cs="Arial" w:eastAsia="Arial" w:hAnsi="Arial"/>
          <w:rtl w:val="0"/>
        </w:rPr>
        <w:t xml:space="preserve">The mission of Volkswagen is to offer safe, reliable, and innovative mobility solutions that satisfy the needs of customers and lead to sustainable development (Trinkler, 2021).</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Its strategic vision is to be a global leader in sustainable and digital mobility, and it pays a lot of attention to electric vehicles (EVs), software-based innovation, and carbon-neutral solutions.</w:t>
      </w:r>
    </w:p>
    <w:p w:rsidR="00000000" w:rsidDel="00000000" w:rsidP="00000000" w:rsidRDefault="00000000" w:rsidRPr="00000000" w14:paraId="00000045">
      <w:pPr>
        <w:tabs>
          <w:tab w:val="left" w:leader="none" w:pos="284"/>
        </w:tabs>
        <w:rPr>
          <w:rFonts w:ascii="Arial" w:cs="Arial" w:eastAsia="Arial" w:hAnsi="Arial"/>
        </w:rPr>
      </w:pPr>
      <w:r w:rsidDel="00000000" w:rsidR="00000000" w:rsidRPr="00000000">
        <w:rPr>
          <w:rFonts w:ascii="Arial" w:cs="Arial" w:eastAsia="Arial" w:hAnsi="Arial"/>
          <w:rtl w:val="0"/>
        </w:rPr>
        <w:t xml:space="preserve">The Volkswagen model of business is based on the integrated value creation of the automotive value chain involving the sale of new and used vehicles, financing, leasing, aftersales services, and digital mobility solutions (Pérez-Moure et al., 2023). This long-term customer relationship and revenue stream, based on this ecosystem approach, reinforces competitive advantage in a highly dynamic industry.</w:t>
      </w:r>
    </w:p>
    <w:p w:rsidR="00000000" w:rsidDel="00000000" w:rsidP="00000000" w:rsidRDefault="00000000" w:rsidRPr="00000000" w14:paraId="00000046">
      <w:pPr>
        <w:pStyle w:val="Heading2"/>
        <w:rPr>
          <w:rFonts w:ascii="Arial" w:cs="Arial" w:eastAsia="Arial" w:hAnsi="Arial"/>
          <w:u w:val="single"/>
        </w:rPr>
      </w:pPr>
      <w:bookmarkStart w:colFirst="0" w:colLast="0" w:name="_d71tfnwzilul" w:id="5"/>
      <w:bookmarkEnd w:id="5"/>
      <w:r w:rsidDel="00000000" w:rsidR="00000000" w:rsidRPr="00000000">
        <w:rPr>
          <w:rFonts w:ascii="Arial" w:cs="Arial" w:eastAsia="Arial" w:hAnsi="Arial"/>
          <w:u w:val="single"/>
          <w:rtl w:val="0"/>
        </w:rPr>
        <w:t xml:space="preserve">Industry Context, Competitors and Market Position</w:t>
      </w:r>
    </w:p>
    <w:p w:rsidR="00000000" w:rsidDel="00000000" w:rsidP="00000000" w:rsidRDefault="00000000" w:rsidRPr="00000000" w14:paraId="00000047">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5648960" cy="2690495"/>
            <wp:effectExtent b="0" l="0" r="0" t="0"/>
            <wp:docPr id="3" name="image3.png"/>
            <a:graphic>
              <a:graphicData uri="http://schemas.openxmlformats.org/drawingml/2006/picture">
                <pic:pic>
                  <pic:nvPicPr>
                    <pic:cNvPr id="0" name="image3.png"/>
                    <pic:cNvPicPr preferRelativeResize="0"/>
                  </pic:nvPicPr>
                  <pic:blipFill>
                    <a:blip r:embed="rId7"/>
                    <a:srcRect b="0" l="1440" r="0" t="15715"/>
                    <a:stretch>
                      <a:fillRect/>
                    </a:stretch>
                  </pic:blipFill>
                  <pic:spPr>
                    <a:xfrm>
                      <a:off x="0" y="0"/>
                      <a:ext cx="5648960" cy="269049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UK new car market breaches two million as almost one in four buyers go electric (2026)</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SMMT, 2026)</w:t>
      </w:r>
    </w:p>
    <w:p w:rsidR="00000000" w:rsidDel="00000000" w:rsidP="00000000" w:rsidRDefault="00000000" w:rsidRPr="00000000" w14:paraId="0000004A">
      <w:pPr>
        <w:tabs>
          <w:tab w:val="left" w:leader="none" w:pos="284"/>
        </w:tabs>
        <w:rPr>
          <w:rFonts w:ascii="Arial" w:cs="Arial" w:eastAsia="Arial" w:hAnsi="Arial"/>
        </w:rPr>
      </w:pPr>
      <w:r w:rsidDel="00000000" w:rsidR="00000000" w:rsidRPr="00000000">
        <w:rPr>
          <w:rFonts w:ascii="Arial" w:cs="Arial" w:eastAsia="Arial" w:hAnsi="Arial"/>
          <w:rtl w:val="0"/>
        </w:rPr>
        <w:t xml:space="preserve">In 2025, petrol was the most popular powertrain with 937,938 registrations, BEVs with 473,348 and PHEVs with 225,143. This demonstrates that the process of electrification is increasing, but Volkswagen UK requires a transition strategy that will balance the rise of EVs and the ongoing demand of ICE/hybrids (SMMT, 2026a). The industry is defined by the high competition level, the speed of the process of electrification, the changing consumer preference towards sustainable mobility, and the pressure on the industry in terms of emissions and the net-zero goals.</w:t>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In terms of market position, Volkswagen has a market share of about 8.52% in the UK, which makes it one of the most popular automotive brands (SMMT, 2026b). It is placed in the upper-volume segment, and it provides a compromise between the affordable price and the premium. </w:t>
      </w:r>
    </w:p>
    <w:p w:rsidR="00000000" w:rsidDel="00000000" w:rsidP="00000000" w:rsidRDefault="00000000" w:rsidRPr="00000000" w14:paraId="0000004C">
      <w:pPr>
        <w:tabs>
          <w:tab w:val="left" w:leader="none" w:pos="284"/>
        </w:tabs>
        <w:rPr>
          <w:rFonts w:ascii="Arial" w:cs="Arial" w:eastAsia="Arial" w:hAnsi="Arial"/>
        </w:rPr>
      </w:pPr>
      <w:r w:rsidDel="00000000" w:rsidR="00000000" w:rsidRPr="00000000">
        <w:rPr>
          <w:rFonts w:ascii="Arial" w:cs="Arial" w:eastAsia="Arial" w:hAnsi="Arial"/>
          <w:rtl w:val="0"/>
        </w:rPr>
        <w:t xml:space="preserve">The Volkswagen UK was the most strongest in the aggregate, registering 178,607 and 8.8% market share in 2025, which demonstrate scale advantage (Marklines, 2025).</w:t>
      </w:r>
    </w:p>
    <w:p w:rsidR="00000000" w:rsidDel="00000000" w:rsidP="00000000" w:rsidRDefault="00000000" w:rsidRPr="00000000" w14:paraId="0000004D">
      <w:pPr>
        <w:tabs>
          <w:tab w:val="left" w:leader="none" w:pos="284"/>
        </w:tabs>
        <w:rPr>
          <w:rFonts w:ascii="Arial" w:cs="Arial" w:eastAsia="Arial" w:hAnsi="Arial"/>
          <w:b w:val="1"/>
          <w:bCs w:val="1"/>
        </w:rPr>
      </w:pPr>
      <w:r w:rsidDel="00000000" w:rsidR="00000000" w:rsidRPr="00000000">
        <w:rPr>
          <w:rFonts w:ascii="Arial" w:cs="Arial" w:eastAsia="Arial" w:hAnsi="Arial"/>
          <w:b w:val="1"/>
          <w:bCs w:val="1"/>
          <w:rtl w:val="0"/>
        </w:rPr>
        <w:t xml:space="preserve">Key competitors:</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Consistent criteria of price, technology and value can be used to compare key competitors. BYD and MG rival with low EVs and high value positioning. Kia and Hyundai are concerned with reliability, hybrids and long warranties. At a premium price, Tesla is the leader in software, charging infrastructure and digital experience. BMW and Audi are competing at the premium level in terms of performance, luxury and advanced engineering in the status-seeking customers (Thompson, 2023).</w:t>
      </w:r>
    </w:p>
    <w:p w:rsidR="00000000" w:rsidDel="00000000" w:rsidP="00000000" w:rsidRDefault="00000000" w:rsidRPr="00000000" w14:paraId="0000004F">
      <w:pPr>
        <w:tabs>
          <w:tab w:val="left" w:leader="none" w:pos="284"/>
        </w:tabs>
        <w:rPr>
          <w:rFonts w:ascii="Arial" w:cs="Arial" w:eastAsia="Arial" w:hAnsi="Arial"/>
          <w:b w:val="1"/>
          <w:bCs w:val="1"/>
        </w:rPr>
      </w:pPr>
      <w:r w:rsidDel="00000000" w:rsidR="00000000" w:rsidRPr="00000000">
        <w:rPr>
          <w:rFonts w:ascii="Arial" w:cs="Arial" w:eastAsia="Arial" w:hAnsi="Arial"/>
          <w:b w:val="1"/>
          <w:bCs w:val="1"/>
          <w:rtl w:val="0"/>
        </w:rPr>
        <w:t xml:space="preserve">Positioning statement</w:t>
      </w:r>
    </w:p>
    <w:p w:rsidR="00000000" w:rsidDel="00000000" w:rsidP="00000000" w:rsidRDefault="00000000" w:rsidRPr="00000000" w14:paraId="00000050">
      <w:pPr>
        <w:tabs>
          <w:tab w:val="left" w:leader="none" w:pos="284"/>
        </w:tabs>
        <w:rPr>
          <w:rFonts w:ascii="Arial" w:cs="Arial" w:eastAsia="Arial" w:hAnsi="Arial"/>
        </w:rPr>
      </w:pPr>
      <w:r w:rsidDel="00000000" w:rsidR="00000000" w:rsidRPr="00000000">
        <w:rPr>
          <w:rFonts w:ascii="Arial" w:cs="Arial" w:eastAsia="Arial" w:hAnsi="Arial"/>
          <w:rtl w:val="0"/>
        </w:rPr>
        <w:t xml:space="preserve">Volkswagen UK is positioned as a high quality mainstream brand that focuses on German engineering, reliability, wide model selection and affordable innovation, competing above budget EV brands like MG and BYD, but below premium brands like BMW, Audi and Tesla.</w:t>
      </w:r>
    </w:p>
    <w:p w:rsidR="00000000" w:rsidDel="00000000" w:rsidP="00000000" w:rsidRDefault="00000000" w:rsidRPr="00000000" w14:paraId="00000051">
      <w:pPr>
        <w:tabs>
          <w:tab w:val="left" w:leader="none" w:pos="284"/>
        </w:tabs>
        <w:rPr>
          <w:rFonts w:ascii="Arial" w:cs="Arial" w:eastAsia="Arial" w:hAnsi="Arial"/>
        </w:rPr>
      </w:pPr>
      <w:r w:rsidDel="00000000" w:rsidR="00000000" w:rsidRPr="00000000">
        <w:rPr>
          <w:rFonts w:ascii="Arial" w:cs="Arial" w:eastAsia="Arial" w:hAnsi="Arial"/>
          <w:b w:val="1"/>
          <w:bCs w:val="1"/>
          <w:rtl w:val="0"/>
        </w:rPr>
        <w:t xml:space="preserve">Positioning Map</w:t>
      </w:r>
      <w:r w:rsidDel="00000000" w:rsidR="00000000" w:rsidRPr="00000000">
        <w:rPr>
          <w:rtl w:val="0"/>
        </w:rPr>
      </w:r>
    </w:p>
    <w:p w:rsidR="00000000" w:rsidDel="00000000" w:rsidP="00000000" w:rsidRDefault="00000000" w:rsidRPr="00000000" w14:paraId="00000052">
      <w:pPr>
        <w:keepNext w:val="1"/>
        <w:tabs>
          <w:tab w:val="left" w:leader="none" w:pos="284"/>
        </w:tabs>
        <w:jc w:val="center"/>
        <w:rPr>
          <w:rFonts w:ascii="Arial" w:cs="Arial" w:eastAsia="Arial" w:hAnsi="Arial"/>
        </w:rPr>
      </w:pPr>
      <w:r w:rsidDel="00000000" w:rsidR="00000000" w:rsidRPr="00000000">
        <w:rPr>
          <w:rFonts w:ascii="Arial" w:cs="Arial" w:eastAsia="Arial" w:hAnsi="Arial"/>
        </w:rPr>
        <w:drawing>
          <wp:inline distB="0" distT="0" distL="0" distR="0">
            <wp:extent cx="3854648" cy="4000706"/>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854648" cy="4000706"/>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Positioning Map</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Self-made</w:t>
      </w:r>
    </w:p>
    <w:p w:rsidR="00000000" w:rsidDel="00000000" w:rsidP="00000000" w:rsidRDefault="00000000" w:rsidRPr="00000000" w14:paraId="00000055">
      <w:pPr>
        <w:rPr>
          <w:b w:val="1"/>
          <w:bCs w:val="1"/>
        </w:rPr>
      </w:pPr>
      <w:r w:rsidDel="00000000" w:rsidR="00000000" w:rsidRPr="00000000">
        <w:rPr>
          <w:b w:val="1"/>
          <w:bCs w:val="1"/>
          <w:rtl w:val="0"/>
        </w:rPr>
        <w:t xml:space="preserve">Interpretation</w:t>
      </w:r>
    </w:p>
    <w:p w:rsidR="00000000" w:rsidDel="00000000" w:rsidP="00000000" w:rsidRDefault="00000000" w:rsidRPr="00000000" w14:paraId="00000056">
      <w:pPr>
        <w:rPr/>
      </w:pPr>
      <w:r w:rsidDel="00000000" w:rsidR="00000000" w:rsidRPr="00000000">
        <w:rPr>
          <w:rtl w:val="0"/>
        </w:rPr>
        <w:t xml:space="preserve">MG and BYD are in the low-priced, lower-to-mid technology. Kia and Hyundai are in the middle of the price range with a balanced quality. Volkswagen is of mid-to-high price and quality. The premium segment is dominated by BMW, Audi and Tesla in the high-price, high-technology segment.</w:t>
      </w:r>
    </w:p>
    <w:p w:rsidR="00000000" w:rsidDel="00000000" w:rsidP="00000000" w:rsidRDefault="00000000" w:rsidRPr="00000000" w14:paraId="00000057">
      <w:pPr>
        <w:pStyle w:val="Heading1"/>
        <w:rPr>
          <w:rFonts w:ascii="Arial" w:cs="Arial" w:eastAsia="Arial" w:hAnsi="Arial"/>
          <w:sz w:val="24"/>
          <w:szCs w:val="24"/>
        </w:rPr>
      </w:pPr>
      <w:bookmarkStart w:colFirst="0" w:colLast="0" w:name="_pi2uqza0ga6e" w:id="6"/>
      <w:bookmarkEnd w:id="6"/>
      <w:r w:rsidDel="00000000" w:rsidR="00000000" w:rsidRPr="00000000">
        <w:rPr>
          <w:rFonts w:ascii="Arial" w:cs="Arial" w:eastAsia="Arial" w:hAnsi="Arial"/>
          <w:sz w:val="24"/>
          <w:szCs w:val="24"/>
          <w:rtl w:val="0"/>
        </w:rPr>
        <w:t xml:space="preserve">External and Internal Environment Analysis </w:t>
      </w:r>
    </w:p>
    <w:p w:rsidR="00000000" w:rsidDel="00000000" w:rsidP="00000000" w:rsidRDefault="00000000" w:rsidRPr="00000000" w14:paraId="00000058">
      <w:pPr>
        <w:pStyle w:val="Heading2"/>
        <w:rPr>
          <w:rFonts w:ascii="Arial" w:cs="Arial" w:eastAsia="Arial" w:hAnsi="Arial"/>
          <w:u w:val="single"/>
        </w:rPr>
      </w:pPr>
      <w:bookmarkStart w:colFirst="0" w:colLast="0" w:name="_y3gi0xlex08q" w:id="7"/>
      <w:bookmarkEnd w:id="7"/>
      <w:r w:rsidDel="00000000" w:rsidR="00000000" w:rsidRPr="00000000">
        <w:rPr>
          <w:rFonts w:ascii="Arial" w:cs="Arial" w:eastAsia="Arial" w:hAnsi="Arial"/>
          <w:u w:val="single"/>
          <w:rtl w:val="0"/>
        </w:rPr>
        <w:t xml:space="preserve">External Environment Using PESTEL</w:t>
      </w:r>
    </w:p>
    <w:p w:rsidR="00000000" w:rsidDel="00000000" w:rsidP="00000000" w:rsidRDefault="00000000" w:rsidRPr="00000000" w14:paraId="00000059">
      <w:pPr>
        <w:tabs>
          <w:tab w:val="left" w:leader="none" w:pos="284"/>
        </w:tabs>
        <w:rPr>
          <w:rFonts w:ascii="Arial" w:cs="Arial" w:eastAsia="Arial" w:hAnsi="Arial"/>
        </w:rPr>
      </w:pPr>
      <w:r w:rsidDel="00000000" w:rsidR="00000000" w:rsidRPr="00000000">
        <w:rPr>
          <w:rFonts w:ascii="Arial" w:cs="Arial" w:eastAsia="Arial" w:hAnsi="Arial"/>
          <w:rtl w:val="0"/>
        </w:rPr>
        <w:t xml:space="preserve">Volkswagen (UK) is in a dynamic and a more regulated automotive environment where external factors play a great role in strategic decision-making. In 2025, the UK automotive market registered 2,020,520 new car registrations, which is a growth of 3.5%, pointing to the continued demand but also high competition and structural change (SMMT, 2026a). Thus, it is essential that Volkswagen UK constantly changes its strategic priorities based on the political, economic, social, technological, environmental and legal forces.</w:t>
      </w:r>
    </w:p>
    <w:p w:rsidR="00000000" w:rsidDel="00000000" w:rsidP="00000000" w:rsidRDefault="00000000" w:rsidRPr="00000000" w14:paraId="0000005A">
      <w:pPr>
        <w:tabs>
          <w:tab w:val="left" w:leader="none" w:pos="284"/>
        </w:tabs>
        <w:rPr>
          <w:rFonts w:ascii="Arial" w:cs="Arial" w:eastAsia="Arial" w:hAnsi="Arial"/>
        </w:rPr>
      </w:pPr>
      <w:r w:rsidDel="00000000" w:rsidR="00000000" w:rsidRPr="00000000">
        <w:rPr>
          <w:rFonts w:ascii="Arial" w:cs="Arial" w:eastAsia="Arial" w:hAnsi="Arial"/>
          <w:rtl w:val="0"/>
        </w:rPr>
        <w:t xml:space="preserve">This implies that the competitive position of Volkswagen UK is strong but not stable. The opportunities created by market growth are offset by regulation, EV transition, buyer choice and new entrants which exert more pressure on pricing, innovation and differentiation. It is thus upon Volkswagen to translate its brand power and magnitude into affordable, reliable and sustainable EV value.</w:t>
      </w:r>
    </w:p>
    <w:p w:rsidR="00000000" w:rsidDel="00000000" w:rsidP="00000000" w:rsidRDefault="00000000" w:rsidRPr="00000000" w14:paraId="0000005B">
      <w:pPr>
        <w:rPr>
          <w:rFonts w:ascii="Arial" w:cs="Arial" w:eastAsia="Arial" w:hAnsi="Arial"/>
          <w:b w:val="1"/>
          <w:bCs w:val="1"/>
        </w:rPr>
      </w:pPr>
      <w:r w:rsidDel="00000000" w:rsidR="00000000" w:rsidRPr="00000000">
        <w:rPr>
          <w:rFonts w:ascii="Arial" w:cs="Arial" w:eastAsia="Arial" w:hAnsi="Arial"/>
          <w:b w:val="1"/>
          <w:bCs w:val="1"/>
          <w:rtl w:val="0"/>
        </w:rPr>
        <w:t xml:space="preserve">Political and Legal Factors</w:t>
      </w:r>
    </w:p>
    <w:p w:rsidR="00000000" w:rsidDel="00000000" w:rsidP="00000000" w:rsidRDefault="00000000" w:rsidRPr="00000000" w14:paraId="0000005C">
      <w:pPr>
        <w:tabs>
          <w:tab w:val="left" w:leader="none" w:pos="284"/>
        </w:tabs>
        <w:rPr>
          <w:rFonts w:ascii="Arial" w:cs="Arial" w:eastAsia="Arial" w:hAnsi="Arial"/>
        </w:rPr>
      </w:pPr>
      <w:r w:rsidDel="00000000" w:rsidR="00000000" w:rsidRPr="00000000">
        <w:rPr>
          <w:rFonts w:ascii="Arial" w:cs="Arial" w:eastAsia="Arial" w:hAnsi="Arial"/>
          <w:rtl w:val="0"/>
        </w:rPr>
        <w:t xml:space="preserve">The strategy of Volkswagen is driven by political and legal forces that are considered to be the most influential. In 2025, BEVs had a share of 23.4% of new-car registrations in the UK, short of the 28% ZEV goal. This loophole puts a strain on compliance and prompts manufacturers like Volkswagen to increase EV supply, make EVs more affordable, and utilise fleet channels more aggressively (GOV.UK, 2025). which means that there is a disconnect between regulation and the market. This puts strategic pressure on Volkswagen (UK) to hasten the production of EVs, change the pricing policies, and promote more to stay within the compliance boundaries and stay profitable. Therefore, the regulatory requirements have a direct impact on the product portfolio decision and the long-term investment planning.</w:t>
      </w:r>
    </w:p>
    <w:p w:rsidR="00000000" w:rsidDel="00000000" w:rsidP="00000000" w:rsidRDefault="00000000" w:rsidRPr="00000000" w14:paraId="0000005D">
      <w:pPr>
        <w:rPr>
          <w:rFonts w:ascii="Arial" w:cs="Arial" w:eastAsia="Arial" w:hAnsi="Arial"/>
          <w:b w:val="1"/>
          <w:bCs w:val="1"/>
        </w:rPr>
      </w:pPr>
      <w:r w:rsidDel="00000000" w:rsidR="00000000" w:rsidRPr="00000000">
        <w:rPr>
          <w:rFonts w:ascii="Arial" w:cs="Arial" w:eastAsia="Arial" w:hAnsi="Arial"/>
          <w:b w:val="1"/>
          <w:bCs w:val="1"/>
          <w:rtl w:val="0"/>
        </w:rPr>
        <w:t xml:space="preserve">Economic Factors</w:t>
      </w:r>
    </w:p>
    <w:p w:rsidR="00000000" w:rsidDel="00000000" w:rsidP="00000000" w:rsidRDefault="00000000" w:rsidRPr="00000000" w14:paraId="0000005E">
      <w:pPr>
        <w:tabs>
          <w:tab w:val="left" w:leader="none" w:pos="284"/>
        </w:tabs>
        <w:rPr>
          <w:rFonts w:ascii="Arial" w:cs="Arial" w:eastAsia="Arial" w:hAnsi="Arial"/>
        </w:rPr>
      </w:pPr>
      <w:r w:rsidDel="00000000" w:rsidR="00000000" w:rsidRPr="00000000">
        <w:rPr>
          <w:rFonts w:ascii="Arial" w:cs="Arial" w:eastAsia="Arial" w:hAnsi="Arial"/>
          <w:rtl w:val="0"/>
        </w:rPr>
        <w:t xml:space="preserve">The economic conditions also influence the strategic decisions, especially when it comes to consumer purchasing power and cost structures. Although the market has been growing, the macroeconomic factors remain straining and the Bank of England maintains the interest rate at 3.75% in March 2026 (Bank of England, 2026). When interest rates are high, it implies that it is costly to finance vehicles and this is extremely important in a market whereby majority of the purchases are financed by credit. In the case of Volkswagen (UK), this requires strategic emphasis on flexible financing, leasing schemes, and value pricing. Moreover, inflationary pressures raise the cost of operation, and this necessitates efficiency enhancement and cost management throughout the value chain.</w:t>
      </w:r>
    </w:p>
    <w:p w:rsidR="00000000" w:rsidDel="00000000" w:rsidP="00000000" w:rsidRDefault="00000000" w:rsidRPr="00000000" w14:paraId="0000005F">
      <w:pPr>
        <w:rPr>
          <w:rFonts w:ascii="Arial" w:cs="Arial" w:eastAsia="Arial" w:hAnsi="Arial"/>
          <w:b w:val="1"/>
          <w:bCs w:val="1"/>
        </w:rPr>
      </w:pPr>
      <w:r w:rsidDel="00000000" w:rsidR="00000000" w:rsidRPr="00000000">
        <w:rPr>
          <w:rFonts w:ascii="Arial" w:cs="Arial" w:eastAsia="Arial" w:hAnsi="Arial"/>
          <w:b w:val="1"/>
          <w:bCs w:val="1"/>
          <w:rtl w:val="0"/>
        </w:rPr>
        <w:t xml:space="preserve">Social Factors</w:t>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There is a shift to sustainability in social trends, but consumer behaviour is ambivalent. By 2025, 225,143 of the market belonged to petrol vehicles (PHEV), and 473,348 to BEVs, which proves that the level of environmental awareness is increasing, but conventional vehicles remain the leaders (SMMT, 2026a). Volkswagen, therefore, has to find a balance between its strategic positioning in the context of innovation and practicality. This is through the provision of a wide product line that will appeal to the environmentally conscious as well as the consumers who are focused on affordability and reliability. Brand perception and customer loyalty are also influenced by social expectations with regard to corporate responsibility and sustainability.</w:t>
      </w:r>
    </w:p>
    <w:p w:rsidR="00000000" w:rsidDel="00000000" w:rsidP="00000000" w:rsidRDefault="00000000" w:rsidRPr="00000000" w14:paraId="00000061">
      <w:pPr>
        <w:rPr>
          <w:rFonts w:ascii="Arial" w:cs="Arial" w:eastAsia="Arial" w:hAnsi="Arial"/>
          <w:b w:val="1"/>
          <w:bCs w:val="1"/>
        </w:rPr>
      </w:pPr>
      <w:r w:rsidDel="00000000" w:rsidR="00000000" w:rsidRPr="00000000">
        <w:rPr>
          <w:rFonts w:ascii="Arial" w:cs="Arial" w:eastAsia="Arial" w:hAnsi="Arial"/>
          <w:b w:val="1"/>
          <w:bCs w:val="1"/>
          <w:rtl w:val="0"/>
        </w:rPr>
        <w:t xml:space="preserve">Technological Factors</w:t>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The automotive industry is characterised by technological developments as the key to competitive advantage (Kallitsis et al., 2022). The product development and customer experience are being transformed by electrification, digitalisation, and connected vehicle technologies. Innovation is a strategic priority that Volkswagen Group has placed a lot of investment in EV and software capabilities (Kero and Bogale, 2023). Yet, technology itself is not a guarantee of success; it has been commercialised successfully in the UK market. Hence, to stay competitive in the face of traditional and new competitors, Volkswagen (UK) makes sure that technological innovations are converted into accessible, reliable, and user-friendly products.</w:t>
      </w:r>
    </w:p>
    <w:p w:rsidR="00000000" w:rsidDel="00000000" w:rsidP="00000000" w:rsidRDefault="00000000" w:rsidRPr="00000000" w14:paraId="00000063">
      <w:pPr>
        <w:rPr>
          <w:rFonts w:ascii="Arial" w:cs="Arial" w:eastAsia="Arial" w:hAnsi="Arial"/>
          <w:b w:val="1"/>
          <w:bCs w:val="1"/>
        </w:rPr>
      </w:pPr>
      <w:r w:rsidDel="00000000" w:rsidR="00000000" w:rsidRPr="00000000">
        <w:rPr>
          <w:rFonts w:ascii="Arial" w:cs="Arial" w:eastAsia="Arial" w:hAnsi="Arial"/>
          <w:b w:val="1"/>
          <w:bCs w:val="1"/>
          <w:rtl w:val="0"/>
        </w:rPr>
        <w:t xml:space="preserve">Environmental Factors</w:t>
      </w:r>
    </w:p>
    <w:p w:rsidR="00000000" w:rsidDel="00000000" w:rsidP="00000000" w:rsidRDefault="00000000" w:rsidRPr="00000000" w14:paraId="00000064">
      <w:pPr>
        <w:tabs>
          <w:tab w:val="left" w:leader="none" w:pos="284"/>
        </w:tabs>
        <w:rPr>
          <w:rFonts w:ascii="Arial" w:cs="Arial" w:eastAsia="Arial" w:hAnsi="Arial"/>
        </w:rPr>
      </w:pPr>
      <w:r w:rsidDel="00000000" w:rsidR="00000000" w:rsidRPr="00000000">
        <w:rPr>
          <w:rFonts w:ascii="Arial" w:cs="Arial" w:eastAsia="Arial" w:hAnsi="Arial"/>
          <w:rtl w:val="0"/>
        </w:rPr>
        <w:t xml:space="preserve">One of the most important driving forces of strategic change is environmental concerns. The growing demand to minimise carbon emissions and achieve sustainability objectives forces Volkswagen to focus on EV development and environmentally friendly activities. The success of this strategy is, however, subject to external infrastructure. By 1 January 2026, 116,052 public EV chargers and 87,796 charging devices were in the UK, although the distribution of regions and rapid-charging facilities are still uneven. This poses a strategic barrier to Volkswagen UK since the confidence of customers to buy its products is not just on the vehicle range but on the convenience of charging as well (GOV.UK, 2026). The nature of the environmental strategy is thus strongly connected to the regulatory compliance and market feasibility.</w:t>
      </w:r>
    </w:p>
    <w:p w:rsidR="00000000" w:rsidDel="00000000" w:rsidP="00000000" w:rsidRDefault="00000000" w:rsidRPr="00000000" w14:paraId="00000065">
      <w:pPr>
        <w:pStyle w:val="Heading2"/>
        <w:rPr>
          <w:rFonts w:ascii="Arial" w:cs="Arial" w:eastAsia="Arial" w:hAnsi="Arial"/>
          <w:u w:val="single"/>
        </w:rPr>
      </w:pPr>
      <w:bookmarkStart w:colFirst="0" w:colLast="0" w:name="_qikffup8mayw" w:id="8"/>
      <w:bookmarkEnd w:id="8"/>
      <w:r w:rsidDel="00000000" w:rsidR="00000000" w:rsidRPr="00000000">
        <w:rPr>
          <w:rFonts w:ascii="Arial" w:cs="Arial" w:eastAsia="Arial" w:hAnsi="Arial"/>
          <w:u w:val="single"/>
          <w:rtl w:val="0"/>
        </w:rPr>
        <w:t xml:space="preserve">Critical success factors and strategic challenges</w:t>
      </w:r>
    </w:p>
    <w:p w:rsidR="00000000" w:rsidDel="00000000" w:rsidP="00000000" w:rsidRDefault="00000000" w:rsidRPr="00000000" w14:paraId="00000066">
      <w:pPr>
        <w:rPr>
          <w:rFonts w:ascii="Arial" w:cs="Arial" w:eastAsia="Arial" w:hAnsi="Arial"/>
        </w:rPr>
      </w:pPr>
      <w:r w:rsidDel="00000000" w:rsidR="00000000" w:rsidRPr="00000000">
        <w:rPr>
          <w:rFonts w:ascii="Arial" w:cs="Arial" w:eastAsia="Arial" w:hAnsi="Arial"/>
          <w:rtl w:val="0"/>
        </w:rPr>
        <w:t xml:space="preserve">The success of Volkswagen (UK) in the external environment is hinged on a number of factors. First, it requires a competitive electric vehicle (EV) portfolio that is able to address tightening regulations and shifting consumer demand (Mubarik et al., 2026). This is especially critical since battery electric cars made up 23.4% of new car registrations in the UK in 2025, with the total market standing at 2,020,520 units (SMMT, 2026a). </w:t>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Second, brand credibility, competitive pricing and attractive finance packages are very significant in a market that is sensitive to the cost factor and interest rates. </w:t>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Third, it is becoming increasingly critical to be integrated well in terms of charging infrastructure and after-sales support, particularly since the UK had 116,052 public EV chargers by January 2026 (GOV.UK, 2026).</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Nevertheless, other strategic challenges, such as the market-to-EV adoption ratio and regulatory pressure, stiff competition between premium and value-based rivals, and the necessity to reconcile electrification with affordability and consumer practicality in a market that is yet to convert fully, are also relevant to Volkswagen.</w:t>
      </w:r>
    </w:p>
    <w:p w:rsidR="00000000" w:rsidDel="00000000" w:rsidP="00000000" w:rsidRDefault="00000000" w:rsidRPr="00000000" w14:paraId="0000006A">
      <w:pPr>
        <w:pStyle w:val="Heading2"/>
        <w:rPr>
          <w:rFonts w:ascii="Arial" w:cs="Arial" w:eastAsia="Arial" w:hAnsi="Arial"/>
          <w:u w:val="single"/>
        </w:rPr>
      </w:pPr>
      <w:bookmarkStart w:colFirst="0" w:colLast="0" w:name="_epdtpryzya3v" w:id="9"/>
      <w:bookmarkEnd w:id="9"/>
      <w:r w:rsidDel="00000000" w:rsidR="00000000" w:rsidRPr="00000000">
        <w:rPr>
          <w:rFonts w:ascii="Arial" w:cs="Arial" w:eastAsia="Arial" w:hAnsi="Arial"/>
          <w:u w:val="single"/>
          <w:rtl w:val="0"/>
        </w:rPr>
        <w:t xml:space="preserve">Internal resources, capabilities and competencies</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Key internal resources</w:t>
      </w:r>
    </w:p>
    <w:p w:rsidR="00000000" w:rsidDel="00000000" w:rsidP="00000000" w:rsidRDefault="00000000" w:rsidRPr="00000000" w14:paraId="0000006C">
      <w:pPr>
        <w:rPr>
          <w:rFonts w:ascii="Arial" w:cs="Arial" w:eastAsia="Arial" w:hAnsi="Arial"/>
          <w:b w:val="1"/>
          <w:bCs w:val="1"/>
        </w:rPr>
      </w:pPr>
      <w:r w:rsidDel="00000000" w:rsidR="00000000" w:rsidRPr="00000000">
        <w:rPr>
          <w:rFonts w:ascii="Arial" w:cs="Arial" w:eastAsia="Arial" w:hAnsi="Arial"/>
          <w:b w:val="1"/>
          <w:bCs w:val="1"/>
          <w:rtl w:val="0"/>
        </w:rPr>
        <w:t xml:space="preserve">Brand equity and market presence</w:t>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The strong, significant resources of Volkswagen UK are its brand equity which has been established through its reliability, German engineering, and a wide range of markets. This promotes customer confidence and fleet demand. Nevertheless, the strength of the brand is not sufficient anymore since the buyers are more critical about EV range, software quality, and finance costs.</w:t>
      </w:r>
    </w:p>
    <w:p w:rsidR="00000000" w:rsidDel="00000000" w:rsidP="00000000" w:rsidRDefault="00000000" w:rsidRPr="00000000" w14:paraId="0000006E">
      <w:pPr>
        <w:rPr>
          <w:rFonts w:ascii="Arial" w:cs="Arial" w:eastAsia="Arial" w:hAnsi="Arial"/>
          <w:b w:val="1"/>
          <w:bCs w:val="1"/>
        </w:rPr>
      </w:pPr>
      <w:r w:rsidDel="00000000" w:rsidR="00000000" w:rsidRPr="00000000">
        <w:rPr>
          <w:rFonts w:ascii="Arial" w:cs="Arial" w:eastAsia="Arial" w:hAnsi="Arial"/>
          <w:b w:val="1"/>
          <w:bCs w:val="1"/>
          <w:rtl w:val="0"/>
        </w:rPr>
        <w:t xml:space="preserve">Retailer and after-sales network</w:t>
      </w:r>
    </w:p>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Another strength is its UK retailer and after-sales network that facilitates the sales, servicing, fleet relationship and customer confidence (Bopp and Gallouj, 2025). This is a valuable capability in the EV transition since customers require guidance on charging, battery maintenance and charging expenses. Nevertheless, the network can only be competitive when employees are equipped with EV technology and digital customer service.</w:t>
      </w:r>
    </w:p>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Capabilities</w:t>
      </w:r>
    </w:p>
    <w:p w:rsidR="00000000" w:rsidDel="00000000" w:rsidP="00000000" w:rsidRDefault="00000000" w:rsidRPr="00000000" w14:paraId="00000071">
      <w:pPr>
        <w:rPr>
          <w:rFonts w:ascii="Arial" w:cs="Arial" w:eastAsia="Arial" w:hAnsi="Arial"/>
          <w:b w:val="1"/>
          <w:bCs w:val="1"/>
        </w:rPr>
      </w:pPr>
      <w:r w:rsidDel="00000000" w:rsidR="00000000" w:rsidRPr="00000000">
        <w:rPr>
          <w:rFonts w:ascii="Arial" w:cs="Arial" w:eastAsia="Arial" w:hAnsi="Arial"/>
          <w:b w:val="1"/>
          <w:bCs w:val="1"/>
          <w:rtl w:val="0"/>
        </w:rPr>
        <w:t xml:space="preserve">Volkswagen Group platforms and scale</w:t>
      </w:r>
    </w:p>
    <w:p w:rsidR="00000000" w:rsidDel="00000000" w:rsidP="00000000" w:rsidRDefault="00000000" w:rsidRPr="00000000" w14:paraId="00000072">
      <w:pPr>
        <w:rPr>
          <w:rFonts w:ascii="Arial" w:cs="Arial" w:eastAsia="Arial" w:hAnsi="Arial"/>
        </w:rPr>
      </w:pPr>
      <w:r w:rsidDel="00000000" w:rsidR="00000000" w:rsidRPr="00000000">
        <w:rPr>
          <w:rFonts w:ascii="Arial" w:cs="Arial" w:eastAsia="Arial" w:hAnsi="Arial"/>
          <w:rtl w:val="0"/>
        </w:rPr>
        <w:t xml:space="preserve">Volkswagen UK also enjoys the Volkswagen Group platforms, scale economies and common technology (Gebler et al., 2024). These lower the cost of development and offer access to models like Golf, Tiguan and the ID range. But UK flexibility is limited because the product, software and restructuring decisions are predominantly managed at the Group level.</w:t>
      </w:r>
    </w:p>
    <w:p w:rsidR="00000000" w:rsidDel="00000000" w:rsidP="00000000" w:rsidRDefault="00000000" w:rsidRPr="00000000" w14:paraId="00000073">
      <w:pPr>
        <w:rPr>
          <w:rFonts w:ascii="Arial" w:cs="Arial" w:eastAsia="Arial" w:hAnsi="Arial"/>
          <w:b w:val="1"/>
          <w:bCs w:val="1"/>
        </w:rPr>
      </w:pPr>
      <w:r w:rsidDel="00000000" w:rsidR="00000000" w:rsidRPr="00000000">
        <w:rPr>
          <w:rFonts w:ascii="Arial" w:cs="Arial" w:eastAsia="Arial" w:hAnsi="Arial"/>
          <w:b w:val="1"/>
          <w:bCs w:val="1"/>
          <w:rtl w:val="0"/>
        </w:rPr>
        <w:t xml:space="preserve">Finance, leasing and EV portfolio</w:t>
      </w:r>
    </w:p>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rtl w:val="0"/>
        </w:rPr>
        <w:t xml:space="preserve">Another capability is finance and leasing links, particularly to fleet and salary-sacrifice customers. However, dependence on discounting will harm margins. Overall, Volkswagen UK is well-resourced, yet the prolonged competitive edge lies in enhancing the affordability of EVs, software stability and dealer preparedness.</w:t>
      </w:r>
    </w:p>
    <w:p w:rsidR="00000000" w:rsidDel="00000000" w:rsidP="00000000" w:rsidRDefault="00000000" w:rsidRPr="00000000" w14:paraId="00000075">
      <w:pPr>
        <w:rPr>
          <w:rFonts w:ascii="Arial" w:cs="Arial" w:eastAsia="Arial" w:hAnsi="Arial"/>
          <w:b w:val="1"/>
          <w:bCs w:val="1"/>
        </w:rPr>
      </w:pPr>
      <w:r w:rsidDel="00000000" w:rsidR="00000000" w:rsidRPr="00000000">
        <w:rPr>
          <w:rFonts w:ascii="Arial" w:cs="Arial" w:eastAsia="Arial" w:hAnsi="Arial"/>
          <w:b w:val="1"/>
          <w:bCs w:val="1"/>
          <w:rtl w:val="0"/>
        </w:rPr>
        <w:t xml:space="preserve">Core competencies</w:t>
      </w:r>
    </w:p>
    <w:p w:rsidR="00000000" w:rsidDel="00000000" w:rsidP="00000000" w:rsidRDefault="00000000" w:rsidRPr="00000000" w14:paraId="00000076">
      <w:pPr>
        <w:rPr>
          <w:rFonts w:ascii="Arial" w:cs="Arial" w:eastAsia="Arial" w:hAnsi="Arial"/>
        </w:rPr>
      </w:pPr>
      <w:r w:rsidDel="00000000" w:rsidR="00000000" w:rsidRPr="00000000">
        <w:rPr>
          <w:rFonts w:ascii="Arial" w:cs="Arial" w:eastAsia="Arial" w:hAnsi="Arial"/>
          <w:rtl w:val="0"/>
        </w:rPr>
        <w:t xml:space="preserve">The core competencies of Volkswagen UK lie in the fact that the Group scale, brand reputation and retailer reach can be translated into high sales in the UK (Kuang, 2022). It is also skilled in handling a wide product range of petrol, hybrid and electric vehicles, financing and leasing of fleets and retaining customers with after-sales service. These competencies are, however, stretched because the future benefit will not be as traditional engineering but EV affordability, software reliability, charging support and digital customer experience.</w:t>
      </w:r>
    </w:p>
    <w:p w:rsidR="00000000" w:rsidDel="00000000" w:rsidP="00000000" w:rsidRDefault="00000000" w:rsidRPr="00000000" w14:paraId="00000077">
      <w:pPr>
        <w:pStyle w:val="Heading2"/>
        <w:rPr>
          <w:rFonts w:ascii="Arial" w:cs="Arial" w:eastAsia="Arial" w:hAnsi="Arial"/>
          <w:u w:val="single"/>
        </w:rPr>
      </w:pPr>
      <w:bookmarkStart w:colFirst="0" w:colLast="0" w:name="_agmncam2pw92" w:id="10"/>
      <w:bookmarkEnd w:id="10"/>
      <w:r w:rsidDel="00000000" w:rsidR="00000000" w:rsidRPr="00000000">
        <w:rPr>
          <w:rFonts w:ascii="Arial" w:cs="Arial" w:eastAsia="Arial" w:hAnsi="Arial"/>
          <w:u w:val="single"/>
          <w:rtl w:val="0"/>
        </w:rPr>
        <w:t xml:space="preserve">VRIO evaluation</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5"/>
        <w:gridCol w:w="1190"/>
        <w:gridCol w:w="750"/>
        <w:gridCol w:w="1307"/>
        <w:gridCol w:w="1403"/>
        <w:gridCol w:w="2031"/>
        <w:tblGridChange w:id="0">
          <w:tblGrid>
            <w:gridCol w:w="2335"/>
            <w:gridCol w:w="1190"/>
            <w:gridCol w:w="750"/>
            <w:gridCol w:w="1307"/>
            <w:gridCol w:w="1403"/>
            <w:gridCol w:w="2031"/>
          </w:tblGrid>
        </w:tblGridChange>
      </w:tblGrid>
      <w:tr>
        <w:trPr>
          <w:cantSplit w:val="0"/>
          <w:tblHeader w:val="0"/>
        </w:trPr>
        <w:tc>
          <w:tcPr>
            <w:shd w:fill="d0cece" w:val="clear"/>
          </w:tcPr>
          <w:p w:rsidR="00000000" w:rsidDel="00000000" w:rsidP="00000000" w:rsidRDefault="00000000" w:rsidRPr="00000000" w14:paraId="00000078">
            <w:pPr>
              <w:rPr>
                <w:rFonts w:ascii="Arial" w:cs="Arial" w:eastAsia="Arial" w:hAnsi="Arial"/>
                <w:b w:val="1"/>
                <w:bCs w:val="1"/>
              </w:rPr>
            </w:pPr>
            <w:r w:rsidDel="00000000" w:rsidR="00000000" w:rsidRPr="00000000">
              <w:rPr>
                <w:rFonts w:ascii="Arial" w:cs="Arial" w:eastAsia="Arial" w:hAnsi="Arial"/>
                <w:b w:val="1"/>
                <w:bCs w:val="1"/>
                <w:rtl w:val="0"/>
              </w:rPr>
              <w:t xml:space="preserve">Key resource or capability</w:t>
            </w:r>
          </w:p>
        </w:tc>
        <w:tc>
          <w:tcPr>
            <w:shd w:fill="f7cbac" w:val="clear"/>
          </w:tcPr>
          <w:p w:rsidR="00000000" w:rsidDel="00000000" w:rsidP="00000000" w:rsidRDefault="00000000" w:rsidRPr="00000000" w14:paraId="00000079">
            <w:pPr>
              <w:rPr>
                <w:rFonts w:ascii="Arial" w:cs="Arial" w:eastAsia="Arial" w:hAnsi="Arial"/>
                <w:b w:val="1"/>
                <w:bCs w:val="1"/>
              </w:rPr>
            </w:pPr>
            <w:r w:rsidDel="00000000" w:rsidR="00000000" w:rsidRPr="00000000">
              <w:rPr>
                <w:rFonts w:ascii="Arial" w:cs="Arial" w:eastAsia="Arial" w:hAnsi="Arial"/>
                <w:b w:val="1"/>
                <w:bCs w:val="1"/>
                <w:rtl w:val="0"/>
              </w:rPr>
              <w:t xml:space="preserve">Valuable</w:t>
            </w:r>
          </w:p>
        </w:tc>
        <w:tc>
          <w:tcPr>
            <w:shd w:fill="f999a4" w:val="clear"/>
          </w:tcPr>
          <w:p w:rsidR="00000000" w:rsidDel="00000000" w:rsidP="00000000" w:rsidRDefault="00000000" w:rsidRPr="00000000" w14:paraId="0000007A">
            <w:pPr>
              <w:rPr>
                <w:rFonts w:ascii="Arial" w:cs="Arial" w:eastAsia="Arial" w:hAnsi="Arial"/>
                <w:b w:val="1"/>
                <w:bCs w:val="1"/>
              </w:rPr>
            </w:pPr>
            <w:r w:rsidDel="00000000" w:rsidR="00000000" w:rsidRPr="00000000">
              <w:rPr>
                <w:rFonts w:ascii="Arial" w:cs="Arial" w:eastAsia="Arial" w:hAnsi="Arial"/>
                <w:b w:val="1"/>
                <w:bCs w:val="1"/>
                <w:rtl w:val="0"/>
              </w:rPr>
              <w:t xml:space="preserve">Rare</w:t>
            </w:r>
          </w:p>
        </w:tc>
        <w:tc>
          <w:tcPr>
            <w:shd w:fill="8ece9d" w:val="clear"/>
          </w:tcPr>
          <w:p w:rsidR="00000000" w:rsidDel="00000000" w:rsidP="00000000" w:rsidRDefault="00000000" w:rsidRPr="00000000" w14:paraId="0000007B">
            <w:pPr>
              <w:rPr>
                <w:rFonts w:ascii="Arial" w:cs="Arial" w:eastAsia="Arial" w:hAnsi="Arial"/>
                <w:b w:val="1"/>
                <w:bCs w:val="1"/>
              </w:rPr>
            </w:pPr>
            <w:r w:rsidDel="00000000" w:rsidR="00000000" w:rsidRPr="00000000">
              <w:rPr>
                <w:rFonts w:ascii="Arial" w:cs="Arial" w:eastAsia="Arial" w:hAnsi="Arial"/>
                <w:b w:val="1"/>
                <w:bCs w:val="1"/>
                <w:rtl w:val="0"/>
              </w:rPr>
              <w:t xml:space="preserve">Costly to imitate</w:t>
            </w:r>
          </w:p>
        </w:tc>
        <w:tc>
          <w:tcPr>
            <w:shd w:fill="8eaadb" w:val="clear"/>
          </w:tcPr>
          <w:p w:rsidR="00000000" w:rsidDel="00000000" w:rsidP="00000000" w:rsidRDefault="00000000" w:rsidRPr="00000000" w14:paraId="0000007C">
            <w:pPr>
              <w:rPr>
                <w:rFonts w:ascii="Arial" w:cs="Arial" w:eastAsia="Arial" w:hAnsi="Arial"/>
                <w:b w:val="1"/>
                <w:bCs w:val="1"/>
              </w:rPr>
            </w:pPr>
            <w:r w:rsidDel="00000000" w:rsidR="00000000" w:rsidRPr="00000000">
              <w:rPr>
                <w:rFonts w:ascii="Arial" w:cs="Arial" w:eastAsia="Arial" w:hAnsi="Arial"/>
                <w:b w:val="1"/>
                <w:bCs w:val="1"/>
                <w:rtl w:val="0"/>
              </w:rPr>
              <w:t xml:space="preserve">Organised</w:t>
            </w:r>
          </w:p>
        </w:tc>
        <w:tc>
          <w:tcPr>
            <w:shd w:fill="deebf6" w:val="clear"/>
          </w:tcPr>
          <w:p w:rsidR="00000000" w:rsidDel="00000000" w:rsidP="00000000" w:rsidRDefault="00000000" w:rsidRPr="00000000" w14:paraId="0000007D">
            <w:pPr>
              <w:rPr>
                <w:rFonts w:ascii="Arial" w:cs="Arial" w:eastAsia="Arial" w:hAnsi="Arial"/>
                <w:b w:val="1"/>
                <w:bCs w:val="1"/>
              </w:rPr>
            </w:pPr>
            <w:r w:rsidDel="00000000" w:rsidR="00000000" w:rsidRPr="00000000">
              <w:rPr>
                <w:rFonts w:ascii="Arial" w:cs="Arial" w:eastAsia="Arial" w:hAnsi="Arial"/>
                <w:b w:val="1"/>
                <w:bCs w:val="1"/>
                <w:rtl w:val="0"/>
              </w:rPr>
              <w:t xml:space="preserve">Competitive advantage</w:t>
            </w:r>
          </w:p>
        </w:tc>
      </w:tr>
      <w:tr>
        <w:trPr>
          <w:cantSplit w:val="0"/>
          <w:tblHeader w:val="0"/>
        </w:trPr>
        <w:tc>
          <w:tcPr>
            <w:shd w:fill="d0cece" w:val="clear"/>
          </w:tcPr>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Volkswagen brand equity</w:t>
            </w:r>
          </w:p>
        </w:tc>
        <w:tc>
          <w:tcPr>
            <w:shd w:fill="f7cbac" w:val="clear"/>
          </w:tcPr>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Yes</w:t>
            </w:r>
          </w:p>
        </w:tc>
        <w:tc>
          <w:tcPr>
            <w:shd w:fill="f999a4" w:val="clear"/>
          </w:tcPr>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rtl w:val="0"/>
              </w:rPr>
              <w:t xml:space="preserve">No</w:t>
            </w:r>
          </w:p>
        </w:tc>
        <w:tc>
          <w:tcPr>
            <w:shd w:fill="8ece9d" w:val="clear"/>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Yes</w:t>
            </w:r>
          </w:p>
        </w:tc>
        <w:tc>
          <w:tcPr>
            <w:shd w:fill="8eaadb" w:val="clear"/>
          </w:tcPr>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Yes</w:t>
            </w:r>
          </w:p>
        </w:tc>
        <w:tc>
          <w:tcPr>
            <w:shd w:fill="deebf6" w:val="clear"/>
          </w:tcPr>
          <w:p w:rsidR="00000000" w:rsidDel="00000000" w:rsidP="00000000" w:rsidRDefault="00000000" w:rsidRPr="00000000" w14:paraId="00000083">
            <w:pPr>
              <w:rPr>
                <w:rFonts w:ascii="Arial" w:cs="Arial" w:eastAsia="Arial" w:hAnsi="Arial"/>
              </w:rPr>
            </w:pPr>
            <w:r w:rsidDel="00000000" w:rsidR="00000000" w:rsidRPr="00000000">
              <w:rPr>
                <w:rFonts w:ascii="Arial" w:cs="Arial" w:eastAsia="Arial" w:hAnsi="Arial"/>
                <w:rtl w:val="0"/>
              </w:rPr>
              <w:t xml:space="preserve">Temporary advantage</w:t>
            </w:r>
          </w:p>
        </w:tc>
      </w:tr>
      <w:tr>
        <w:trPr>
          <w:cantSplit w:val="0"/>
          <w:tblHeader w:val="0"/>
        </w:trPr>
        <w:tc>
          <w:tcPr>
            <w:shd w:fill="d0cece" w:val="clear"/>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rtl w:val="0"/>
              </w:rPr>
              <w:t xml:space="preserve">UK retailer and aftersales network</w:t>
            </w:r>
          </w:p>
        </w:tc>
        <w:tc>
          <w:tcPr>
            <w:shd w:fill="f7cbac" w:val="clear"/>
          </w:tcPr>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Yes</w:t>
            </w:r>
          </w:p>
        </w:tc>
        <w:tc>
          <w:tcPr>
            <w:shd w:fill="f999a4" w:val="clear"/>
          </w:tcPr>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tl w:val="0"/>
              </w:rPr>
              <w:t xml:space="preserve">No</w:t>
            </w:r>
          </w:p>
        </w:tc>
        <w:tc>
          <w:tcPr>
            <w:shd w:fill="8ece9d" w:val="clear"/>
          </w:tcPr>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Yes</w:t>
            </w:r>
          </w:p>
        </w:tc>
        <w:tc>
          <w:tcPr>
            <w:shd w:fill="8eaadb" w:val="clear"/>
          </w:tcPr>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Yes</w:t>
            </w:r>
          </w:p>
        </w:tc>
        <w:tc>
          <w:tcPr>
            <w:shd w:fill="deebf6" w:val="clear"/>
          </w:tcPr>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Competitive parity</w:t>
            </w:r>
          </w:p>
        </w:tc>
      </w:tr>
      <w:tr>
        <w:trPr>
          <w:cantSplit w:val="0"/>
          <w:tblHeader w:val="0"/>
        </w:trPr>
        <w:tc>
          <w:tcPr>
            <w:shd w:fill="d0cece" w:val="clear"/>
          </w:tcPr>
          <w:p w:rsidR="00000000" w:rsidDel="00000000" w:rsidP="00000000" w:rsidRDefault="00000000" w:rsidRPr="00000000" w14:paraId="0000008A">
            <w:pPr>
              <w:rPr>
                <w:rFonts w:ascii="Arial" w:cs="Arial" w:eastAsia="Arial" w:hAnsi="Arial"/>
              </w:rPr>
            </w:pPr>
            <w:r w:rsidDel="00000000" w:rsidR="00000000" w:rsidRPr="00000000">
              <w:rPr>
                <w:rFonts w:ascii="Arial" w:cs="Arial" w:eastAsia="Arial" w:hAnsi="Arial"/>
                <w:rtl w:val="0"/>
              </w:rPr>
              <w:t xml:space="preserve">Volkswagen Group platforms and scale</w:t>
            </w:r>
          </w:p>
        </w:tc>
        <w:tc>
          <w:tcPr>
            <w:shd w:fill="f7cbac" w:val="clear"/>
          </w:tcPr>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Yes</w:t>
            </w:r>
          </w:p>
        </w:tc>
        <w:tc>
          <w:tcPr>
            <w:shd w:fill="f999a4" w:val="clear"/>
          </w:tcPr>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Yes</w:t>
            </w:r>
          </w:p>
        </w:tc>
        <w:tc>
          <w:tcPr>
            <w:shd w:fill="8ece9d" w:val="clear"/>
          </w:tcPr>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 xml:space="preserve">Yes</w:t>
            </w:r>
          </w:p>
        </w:tc>
        <w:tc>
          <w:tcPr>
            <w:shd w:fill="8eaadb" w:val="clear"/>
          </w:tcPr>
          <w:p w:rsidR="00000000" w:rsidDel="00000000" w:rsidP="00000000" w:rsidRDefault="00000000" w:rsidRPr="00000000" w14:paraId="0000008E">
            <w:pPr>
              <w:rPr>
                <w:rFonts w:ascii="Arial" w:cs="Arial" w:eastAsia="Arial" w:hAnsi="Arial"/>
              </w:rPr>
            </w:pPr>
            <w:r w:rsidDel="00000000" w:rsidR="00000000" w:rsidRPr="00000000">
              <w:rPr>
                <w:rFonts w:ascii="Arial" w:cs="Arial" w:eastAsia="Arial" w:hAnsi="Arial"/>
                <w:rtl w:val="0"/>
              </w:rPr>
              <w:t xml:space="preserve">Yes</w:t>
            </w:r>
          </w:p>
        </w:tc>
        <w:tc>
          <w:tcPr>
            <w:shd w:fill="deebf6" w:val="clear"/>
          </w:tcPr>
          <w:p w:rsidR="00000000" w:rsidDel="00000000" w:rsidP="00000000" w:rsidRDefault="00000000" w:rsidRPr="00000000" w14:paraId="0000008F">
            <w:pPr>
              <w:rPr>
                <w:rFonts w:ascii="Arial" w:cs="Arial" w:eastAsia="Arial" w:hAnsi="Arial"/>
              </w:rPr>
            </w:pPr>
            <w:r w:rsidDel="00000000" w:rsidR="00000000" w:rsidRPr="00000000">
              <w:rPr>
                <w:rFonts w:ascii="Arial" w:cs="Arial" w:eastAsia="Arial" w:hAnsi="Arial"/>
                <w:rtl w:val="0"/>
              </w:rPr>
              <w:t xml:space="preserve">Sustained advantage</w:t>
            </w:r>
          </w:p>
        </w:tc>
      </w:tr>
      <w:tr>
        <w:trPr>
          <w:cantSplit w:val="0"/>
          <w:tblHeader w:val="0"/>
        </w:trPr>
        <w:tc>
          <w:tcPr>
            <w:shd w:fill="d0cece" w:val="clear"/>
          </w:tcPr>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Finance and leasing capability</w:t>
            </w:r>
          </w:p>
        </w:tc>
        <w:tc>
          <w:tcPr>
            <w:shd w:fill="f7cbac" w:val="clear"/>
          </w:tcPr>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rtl w:val="0"/>
              </w:rPr>
              <w:t xml:space="preserve">Yes</w:t>
            </w:r>
          </w:p>
        </w:tc>
        <w:tc>
          <w:tcPr>
            <w:shd w:fill="f999a4" w:val="clear"/>
          </w:tcPr>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rtl w:val="0"/>
              </w:rPr>
              <w:t xml:space="preserve">No</w:t>
            </w:r>
          </w:p>
        </w:tc>
        <w:tc>
          <w:tcPr>
            <w:shd w:fill="8ece9d" w:val="clear"/>
          </w:tcPr>
          <w:p w:rsidR="00000000" w:rsidDel="00000000" w:rsidP="00000000" w:rsidRDefault="00000000" w:rsidRPr="00000000" w14:paraId="00000093">
            <w:pPr>
              <w:rPr>
                <w:rFonts w:ascii="Arial" w:cs="Arial" w:eastAsia="Arial" w:hAnsi="Arial"/>
              </w:rPr>
            </w:pPr>
            <w:r w:rsidDel="00000000" w:rsidR="00000000" w:rsidRPr="00000000">
              <w:rPr>
                <w:rFonts w:ascii="Arial" w:cs="Arial" w:eastAsia="Arial" w:hAnsi="Arial"/>
                <w:rtl w:val="0"/>
              </w:rPr>
              <w:t xml:space="preserve">No</w:t>
            </w:r>
          </w:p>
        </w:tc>
        <w:tc>
          <w:tcPr>
            <w:shd w:fill="8eaadb" w:val="clear"/>
          </w:tcPr>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Yes</w:t>
            </w:r>
          </w:p>
        </w:tc>
        <w:tc>
          <w:tcPr>
            <w:shd w:fill="deebf6" w:val="clear"/>
          </w:tcPr>
          <w:p w:rsidR="00000000" w:rsidDel="00000000" w:rsidP="00000000" w:rsidRDefault="00000000" w:rsidRPr="00000000" w14:paraId="00000095">
            <w:pPr>
              <w:rPr>
                <w:rFonts w:ascii="Arial" w:cs="Arial" w:eastAsia="Arial" w:hAnsi="Arial"/>
              </w:rPr>
            </w:pPr>
            <w:r w:rsidDel="00000000" w:rsidR="00000000" w:rsidRPr="00000000">
              <w:rPr>
                <w:rFonts w:ascii="Arial" w:cs="Arial" w:eastAsia="Arial" w:hAnsi="Arial"/>
                <w:rtl w:val="0"/>
              </w:rPr>
              <w:t xml:space="preserve">Competitive parity</w:t>
            </w:r>
          </w:p>
        </w:tc>
      </w:tr>
      <w:tr>
        <w:trPr>
          <w:cantSplit w:val="0"/>
          <w:tblHeader w:val="0"/>
        </w:trPr>
        <w:tc>
          <w:tcPr>
            <w:shd w:fill="d0cece" w:val="clear"/>
          </w:tcPr>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EV product portfolio</w:t>
            </w:r>
          </w:p>
        </w:tc>
        <w:tc>
          <w:tcPr>
            <w:shd w:fill="f7cbac" w:val="clear"/>
          </w:tcPr>
          <w:p w:rsidR="00000000" w:rsidDel="00000000" w:rsidP="00000000" w:rsidRDefault="00000000" w:rsidRPr="00000000" w14:paraId="00000097">
            <w:pPr>
              <w:rPr>
                <w:rFonts w:ascii="Arial" w:cs="Arial" w:eastAsia="Arial" w:hAnsi="Arial"/>
              </w:rPr>
            </w:pPr>
            <w:r w:rsidDel="00000000" w:rsidR="00000000" w:rsidRPr="00000000">
              <w:rPr>
                <w:rFonts w:ascii="Arial" w:cs="Arial" w:eastAsia="Arial" w:hAnsi="Arial"/>
                <w:rtl w:val="0"/>
              </w:rPr>
              <w:t xml:space="preserve">Yes</w:t>
            </w:r>
          </w:p>
        </w:tc>
        <w:tc>
          <w:tcPr>
            <w:shd w:fill="f999a4" w:val="clear"/>
          </w:tcPr>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rtl w:val="0"/>
              </w:rPr>
              <w:t xml:space="preserve">No</w:t>
            </w:r>
          </w:p>
        </w:tc>
        <w:tc>
          <w:tcPr>
            <w:shd w:fill="8ece9d" w:val="clear"/>
          </w:tcPr>
          <w:p w:rsidR="00000000" w:rsidDel="00000000" w:rsidP="00000000" w:rsidRDefault="00000000" w:rsidRPr="00000000" w14:paraId="00000099">
            <w:pPr>
              <w:rPr>
                <w:rFonts w:ascii="Arial" w:cs="Arial" w:eastAsia="Arial" w:hAnsi="Arial"/>
              </w:rPr>
            </w:pPr>
            <w:r w:rsidDel="00000000" w:rsidR="00000000" w:rsidRPr="00000000">
              <w:rPr>
                <w:rFonts w:ascii="Arial" w:cs="Arial" w:eastAsia="Arial" w:hAnsi="Arial"/>
                <w:rtl w:val="0"/>
              </w:rPr>
              <w:t xml:space="preserve">No</w:t>
            </w:r>
          </w:p>
        </w:tc>
        <w:tc>
          <w:tcPr>
            <w:shd w:fill="8eaadb" w:val="clear"/>
          </w:tcPr>
          <w:p w:rsidR="00000000" w:rsidDel="00000000" w:rsidP="00000000" w:rsidRDefault="00000000" w:rsidRPr="00000000" w14:paraId="0000009A">
            <w:pPr>
              <w:rPr>
                <w:rFonts w:ascii="Arial" w:cs="Arial" w:eastAsia="Arial" w:hAnsi="Arial"/>
              </w:rPr>
            </w:pPr>
            <w:r w:rsidDel="00000000" w:rsidR="00000000" w:rsidRPr="00000000">
              <w:rPr>
                <w:rFonts w:ascii="Arial" w:cs="Arial" w:eastAsia="Arial" w:hAnsi="Arial"/>
                <w:rtl w:val="0"/>
              </w:rPr>
              <w:t xml:space="preserve">Yes</w:t>
            </w:r>
          </w:p>
        </w:tc>
        <w:tc>
          <w:tcPr>
            <w:shd w:fill="deebf6" w:val="clear"/>
          </w:tcPr>
          <w:p w:rsidR="00000000" w:rsidDel="00000000" w:rsidP="00000000" w:rsidRDefault="00000000" w:rsidRPr="00000000" w14:paraId="0000009B">
            <w:pPr>
              <w:rPr>
                <w:rFonts w:ascii="Arial" w:cs="Arial" w:eastAsia="Arial" w:hAnsi="Arial"/>
              </w:rPr>
            </w:pPr>
            <w:r w:rsidDel="00000000" w:rsidR="00000000" w:rsidRPr="00000000">
              <w:rPr>
                <w:rFonts w:ascii="Arial" w:cs="Arial" w:eastAsia="Arial" w:hAnsi="Arial"/>
                <w:rtl w:val="0"/>
              </w:rPr>
              <w:t xml:space="preserve">Temporary advantage</w:t>
            </w:r>
          </w:p>
        </w:tc>
      </w:tr>
      <w:tr>
        <w:trPr>
          <w:cantSplit w:val="0"/>
          <w:tblHeader w:val="0"/>
        </w:trPr>
        <w:tc>
          <w:tcPr>
            <w:shd w:fill="d0cece" w:val="clear"/>
          </w:tcPr>
          <w:p w:rsidR="00000000" w:rsidDel="00000000" w:rsidP="00000000" w:rsidRDefault="00000000" w:rsidRPr="00000000" w14:paraId="0000009C">
            <w:pPr>
              <w:rPr>
                <w:rFonts w:ascii="Arial" w:cs="Arial" w:eastAsia="Arial" w:hAnsi="Arial"/>
              </w:rPr>
            </w:pPr>
            <w:r w:rsidDel="00000000" w:rsidR="00000000" w:rsidRPr="00000000">
              <w:rPr>
                <w:rFonts w:ascii="Arial" w:cs="Arial" w:eastAsia="Arial" w:hAnsi="Arial"/>
                <w:rtl w:val="0"/>
              </w:rPr>
              <w:t xml:space="preserve">Software and data capability</w:t>
            </w:r>
          </w:p>
        </w:tc>
        <w:tc>
          <w:tcPr>
            <w:shd w:fill="f7cbac" w:val="clear"/>
          </w:tcPr>
          <w:p w:rsidR="00000000" w:rsidDel="00000000" w:rsidP="00000000" w:rsidRDefault="00000000" w:rsidRPr="00000000" w14:paraId="0000009D">
            <w:pPr>
              <w:rPr>
                <w:rFonts w:ascii="Arial" w:cs="Arial" w:eastAsia="Arial" w:hAnsi="Arial"/>
              </w:rPr>
            </w:pPr>
            <w:r w:rsidDel="00000000" w:rsidR="00000000" w:rsidRPr="00000000">
              <w:rPr>
                <w:rFonts w:ascii="Arial" w:cs="Arial" w:eastAsia="Arial" w:hAnsi="Arial"/>
                <w:rtl w:val="0"/>
              </w:rPr>
              <w:t xml:space="preserve">Yes</w:t>
            </w:r>
          </w:p>
        </w:tc>
        <w:tc>
          <w:tcPr>
            <w:shd w:fill="f999a4" w:val="clear"/>
          </w:tcPr>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No</w:t>
            </w:r>
          </w:p>
        </w:tc>
        <w:tc>
          <w:tcPr>
            <w:shd w:fill="8ece9d" w:val="clear"/>
          </w:tcPr>
          <w:p w:rsidR="00000000" w:rsidDel="00000000" w:rsidP="00000000" w:rsidRDefault="00000000" w:rsidRPr="00000000" w14:paraId="0000009F">
            <w:pPr>
              <w:rPr>
                <w:rFonts w:ascii="Arial" w:cs="Arial" w:eastAsia="Arial" w:hAnsi="Arial"/>
              </w:rPr>
            </w:pPr>
            <w:r w:rsidDel="00000000" w:rsidR="00000000" w:rsidRPr="00000000">
              <w:rPr>
                <w:rFonts w:ascii="Arial" w:cs="Arial" w:eastAsia="Arial" w:hAnsi="Arial"/>
                <w:rtl w:val="0"/>
              </w:rPr>
              <w:t xml:space="preserve">No</w:t>
            </w:r>
          </w:p>
        </w:tc>
        <w:tc>
          <w:tcPr>
            <w:shd w:fill="8eaadb" w:val="clear"/>
          </w:tcPr>
          <w:p w:rsidR="00000000" w:rsidDel="00000000" w:rsidP="00000000" w:rsidRDefault="00000000" w:rsidRPr="00000000" w14:paraId="000000A0">
            <w:pPr>
              <w:rPr>
                <w:rFonts w:ascii="Arial" w:cs="Arial" w:eastAsia="Arial" w:hAnsi="Arial"/>
              </w:rPr>
            </w:pPr>
            <w:r w:rsidDel="00000000" w:rsidR="00000000" w:rsidRPr="00000000">
              <w:rPr>
                <w:rFonts w:ascii="Arial" w:cs="Arial" w:eastAsia="Arial" w:hAnsi="Arial"/>
                <w:rtl w:val="0"/>
              </w:rPr>
              <w:t xml:space="preserve">No</w:t>
            </w:r>
          </w:p>
        </w:tc>
        <w:tc>
          <w:tcPr>
            <w:shd w:fill="deebf6" w:val="clear"/>
          </w:tcPr>
          <w:p w:rsidR="00000000" w:rsidDel="00000000" w:rsidP="00000000" w:rsidRDefault="00000000" w:rsidRPr="00000000" w14:paraId="000000A1">
            <w:pPr>
              <w:rPr>
                <w:rFonts w:ascii="Arial" w:cs="Arial" w:eastAsia="Arial" w:hAnsi="Arial"/>
              </w:rPr>
            </w:pPr>
            <w:r w:rsidDel="00000000" w:rsidR="00000000" w:rsidRPr="00000000">
              <w:rPr>
                <w:rFonts w:ascii="Arial" w:cs="Arial" w:eastAsia="Arial" w:hAnsi="Arial"/>
                <w:rtl w:val="0"/>
              </w:rPr>
              <w:t xml:space="preserve">Competitive disadvantage</w:t>
            </w:r>
          </w:p>
        </w:tc>
      </w:tr>
    </w:tbl>
    <w:p w:rsidR="00000000" w:rsidDel="00000000" w:rsidP="00000000" w:rsidRDefault="00000000" w:rsidRPr="00000000" w14:paraId="000000A2">
      <w:pPr>
        <w:rPr>
          <w:rFonts w:ascii="Arial" w:cs="Arial" w:eastAsia="Arial" w:hAnsi="Arial"/>
        </w:rPr>
      </w:pPr>
      <w:r w:rsidDel="00000000" w:rsidR="00000000" w:rsidRPr="00000000">
        <w:rPr>
          <w:rtl w:val="0"/>
        </w:rPr>
      </w:r>
    </w:p>
    <w:p w:rsidR="00000000" w:rsidDel="00000000" w:rsidP="00000000" w:rsidRDefault="00000000" w:rsidRPr="00000000" w14:paraId="000000A3">
      <w:pPr>
        <w:rPr>
          <w:rFonts w:ascii="Arial" w:cs="Arial" w:eastAsia="Arial" w:hAnsi="Arial"/>
          <w:b w:val="1"/>
          <w:bCs w:val="1"/>
        </w:rPr>
      </w:pPr>
      <w:r w:rsidDel="00000000" w:rsidR="00000000" w:rsidRPr="00000000">
        <w:rPr>
          <w:rFonts w:ascii="Arial" w:cs="Arial" w:eastAsia="Arial" w:hAnsi="Arial"/>
          <w:b w:val="1"/>
          <w:bCs w:val="1"/>
          <w:rtl w:val="0"/>
        </w:rPr>
        <w:t xml:space="preserve">Justification</w:t>
      </w:r>
    </w:p>
    <w:p w:rsidR="00000000" w:rsidDel="00000000" w:rsidP="00000000" w:rsidRDefault="00000000" w:rsidRPr="00000000" w14:paraId="000000A4">
      <w:pPr>
        <w:rPr>
          <w:rFonts w:ascii="Arial" w:cs="Arial" w:eastAsia="Arial" w:hAnsi="Arial"/>
        </w:rPr>
      </w:pPr>
      <w:r w:rsidDel="00000000" w:rsidR="00000000" w:rsidRPr="00000000">
        <w:rPr>
          <w:rFonts w:ascii="Arial" w:cs="Arial" w:eastAsia="Arial" w:hAnsi="Arial"/>
          <w:rtl w:val="0"/>
        </w:rPr>
        <w:t xml:space="preserve">The brand equity of Volkswagen is valuable because of a strong trust and market dominance, yet not a rare one because other brands, such as BMW and Toyota, possess their own strong reputations, and Volkswagen has a temporary advantage (Kero and Bogale, 2023).</w:t>
      </w:r>
    </w:p>
    <w:p w:rsidR="00000000" w:rsidDel="00000000" w:rsidP="00000000" w:rsidRDefault="00000000" w:rsidRPr="00000000" w14:paraId="000000A5">
      <w:pPr>
        <w:rPr>
          <w:rFonts w:ascii="Arial" w:cs="Arial" w:eastAsia="Arial" w:hAnsi="Arial"/>
        </w:rPr>
      </w:pPr>
      <w:r w:rsidDel="00000000" w:rsidR="00000000" w:rsidRPr="00000000">
        <w:rPr>
          <w:rFonts w:ascii="Arial" w:cs="Arial" w:eastAsia="Arial" w:hAnsi="Arial"/>
          <w:rtl w:val="0"/>
        </w:rPr>
        <w:t xml:space="preserve">The UK after-sales network and retailer is a strong, structured network that is valuable in customer access and retention, yet not rare, leading to a level of competition.</w:t>
      </w:r>
    </w:p>
    <w:p w:rsidR="00000000" w:rsidDel="00000000" w:rsidP="00000000" w:rsidRDefault="00000000" w:rsidRPr="00000000" w14:paraId="000000A6">
      <w:pPr>
        <w:rPr>
          <w:rFonts w:ascii="Arial" w:cs="Arial" w:eastAsia="Arial" w:hAnsi="Arial"/>
        </w:rPr>
      </w:pPr>
      <w:r w:rsidDel="00000000" w:rsidR="00000000" w:rsidRPr="00000000">
        <w:rPr>
          <w:rFonts w:ascii="Arial" w:cs="Arial" w:eastAsia="Arial" w:hAnsi="Arial"/>
          <w:rtl w:val="0"/>
        </w:rPr>
        <w:t xml:space="preserve">The Volkswagen Group platforms and scale are considered to be valuable, rare and expensive to replicate, backed by global integration, which provides a sustained advantage.</w:t>
      </w:r>
    </w:p>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The ability to finance and lease is a strong valuable and structured, particularly in a credit-based market, but not rare or hard to replicate, resulting in competitive equality.</w:t>
      </w:r>
    </w:p>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The EV product range is not valuable or rare to copy since competitors are quickly increasing EV products, and this creates a short-term competitive edge (Kallitsis et al., 2022).</w:t>
      </w:r>
    </w:p>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The ability to software and data is valuable, yet the weak of strong organisation and imitation makes a competitive advantage over Tesla and BYD.</w:t>
      </w:r>
    </w:p>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One of the main limitation of VRIO is that it is a fixed framework, that is, it does not reflect the rapid technological change, dynamic competition or the development of capabilities over time in a comprehensive way.</w:t>
      </w:r>
    </w:p>
    <w:p w:rsidR="00000000" w:rsidDel="00000000" w:rsidP="00000000" w:rsidRDefault="00000000" w:rsidRPr="00000000" w14:paraId="000000A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AC">
      <w:pPr>
        <w:rPr>
          <w:rFonts w:ascii="Arial" w:cs="Arial" w:eastAsia="Arial" w:hAnsi="Arial"/>
          <w:b w:val="1"/>
          <w:bCs w:val="1"/>
        </w:rPr>
      </w:pPr>
      <w:r w:rsidDel="00000000" w:rsidR="00000000" w:rsidRPr="00000000">
        <w:rPr>
          <w:rFonts w:ascii="Arial" w:cs="Arial" w:eastAsia="Arial" w:hAnsi="Arial"/>
          <w:b w:val="1"/>
          <w:bCs w:val="1"/>
          <w:rtl w:val="0"/>
        </w:rPr>
        <w:t xml:space="preserve">Internal strengths and competitive advantage</w:t>
      </w:r>
    </w:p>
    <w:p w:rsidR="00000000" w:rsidDel="00000000" w:rsidP="00000000" w:rsidRDefault="00000000" w:rsidRPr="00000000" w14:paraId="000000AD">
      <w:pPr>
        <w:rPr>
          <w:rFonts w:ascii="Arial" w:cs="Arial" w:eastAsia="Arial" w:hAnsi="Arial"/>
        </w:rPr>
      </w:pPr>
      <w:r w:rsidDel="00000000" w:rsidR="00000000" w:rsidRPr="00000000">
        <w:rPr>
          <w:rFonts w:ascii="Arial" w:cs="Arial" w:eastAsia="Arial" w:hAnsi="Arial"/>
          <w:rtl w:val="0"/>
        </w:rPr>
        <w:t xml:space="preserve">The internal strengths of Volkswagen UK, such as brand equity, Group scale and retailer network, enable competitive advantage as a result of trust, cost effectiveness and customer access. But this is a conditional advantage, since sustainability will be determined by accommodating these strengths to the affordability of EVs, software functionality and the changing customer demands in a more competitive market.</w:t>
      </w:r>
    </w:p>
    <w:p w:rsidR="00000000" w:rsidDel="00000000" w:rsidP="00000000" w:rsidRDefault="00000000" w:rsidRPr="00000000" w14:paraId="000000AE">
      <w:pPr>
        <w:pStyle w:val="Heading1"/>
        <w:rPr>
          <w:rFonts w:ascii="Arial" w:cs="Arial" w:eastAsia="Arial" w:hAnsi="Arial"/>
          <w:sz w:val="24"/>
          <w:szCs w:val="24"/>
        </w:rPr>
      </w:pPr>
      <w:bookmarkStart w:colFirst="0" w:colLast="0" w:name="_w28ek84bjpav" w:id="11"/>
      <w:bookmarkEnd w:id="11"/>
      <w:r w:rsidDel="00000000" w:rsidR="00000000" w:rsidRPr="00000000">
        <w:rPr>
          <w:rFonts w:ascii="Arial" w:cs="Arial" w:eastAsia="Arial" w:hAnsi="Arial"/>
          <w:sz w:val="24"/>
          <w:szCs w:val="24"/>
          <w:rtl w:val="0"/>
        </w:rPr>
        <w:t xml:space="preserve">CSR and Sustainability objectives</w:t>
      </w:r>
    </w:p>
    <w:p w:rsidR="00000000" w:rsidDel="00000000" w:rsidP="00000000" w:rsidRDefault="00000000" w:rsidRPr="00000000" w14:paraId="000000AF">
      <w:pPr>
        <w:pStyle w:val="Heading2"/>
        <w:rPr>
          <w:rFonts w:ascii="Arial" w:cs="Arial" w:eastAsia="Arial" w:hAnsi="Arial"/>
        </w:rPr>
      </w:pPr>
      <w:bookmarkStart w:colFirst="0" w:colLast="0" w:name="_jw3b0f5loadv" w:id="12"/>
      <w:bookmarkEnd w:id="12"/>
      <w:r w:rsidDel="00000000" w:rsidR="00000000" w:rsidRPr="00000000">
        <w:rPr>
          <w:rFonts w:ascii="Arial" w:cs="Arial" w:eastAsia="Arial" w:hAnsi="Arial"/>
          <w:rtl w:val="0"/>
        </w:rPr>
        <w:t xml:space="preserve">CSR strategy and regenerate with UK</w:t>
      </w:r>
    </w:p>
    <w:p w:rsidR="00000000" w:rsidDel="00000000" w:rsidP="00000000" w:rsidRDefault="00000000" w:rsidRPr="00000000" w14:paraId="000000B0">
      <w:pPr>
        <w:keepNext w:val="1"/>
        <w:rPr>
          <w:rFonts w:ascii="Arial" w:cs="Arial" w:eastAsia="Arial" w:hAnsi="Arial"/>
        </w:rPr>
      </w:pPr>
      <w:r w:rsidDel="00000000" w:rsidR="00000000" w:rsidRPr="00000000">
        <w:rPr>
          <w:rFonts w:ascii="Arial" w:cs="Arial" w:eastAsia="Arial" w:hAnsi="Arial"/>
        </w:rPr>
        <w:drawing>
          <wp:inline distB="0" distT="0" distL="0" distR="0">
            <wp:extent cx="5731510" cy="1910715"/>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510" cy="1910715"/>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Volkswagen Group UK ESG strategy ‘regenerate+ UK’ (2025)</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Volkswagen Group, 2025)</w:t>
      </w:r>
    </w:p>
    <w:p w:rsidR="00000000" w:rsidDel="00000000" w:rsidP="00000000" w:rsidRDefault="00000000" w:rsidRPr="00000000" w14:paraId="000000B3">
      <w:pPr>
        <w:tabs>
          <w:tab w:val="left" w:leader="none" w:pos="284"/>
        </w:tabs>
        <w:rPr>
          <w:rFonts w:ascii="Arial" w:cs="Arial" w:eastAsia="Arial" w:hAnsi="Arial"/>
        </w:rPr>
      </w:pPr>
      <w:r w:rsidDel="00000000" w:rsidR="00000000" w:rsidRPr="00000000">
        <w:rPr>
          <w:rFonts w:ascii="Arial" w:cs="Arial" w:eastAsia="Arial" w:hAnsi="Arial"/>
          <w:rtl w:val="0"/>
        </w:rPr>
        <w:t xml:space="preserve">The CSR strategy of Volkswagen Group UK is informed by Regenerate UK, which has its areas of focus as Nature, People, Society and Business, and a long-term objective of net carbon neutrality by 2050 (Volkswagen Group, 2025a). This involves waste minimization, resource efficiency and sustainability training. Its influence, however, is based on quantifiable outcomes as opposed to general promises.</w:t>
      </w:r>
    </w:p>
    <w:p w:rsidR="00000000" w:rsidDel="00000000" w:rsidP="00000000" w:rsidRDefault="00000000" w:rsidRPr="00000000" w14:paraId="000000B4">
      <w:pPr>
        <w:pStyle w:val="Heading2"/>
        <w:rPr>
          <w:rFonts w:ascii="Arial" w:cs="Arial" w:eastAsia="Arial" w:hAnsi="Arial"/>
          <w:u w:val="single"/>
        </w:rPr>
      </w:pPr>
      <w:bookmarkStart w:colFirst="0" w:colLast="0" w:name="_p89i5cg9u0vv" w:id="13"/>
      <w:bookmarkEnd w:id="13"/>
      <w:r w:rsidDel="00000000" w:rsidR="00000000" w:rsidRPr="00000000">
        <w:rPr>
          <w:rFonts w:ascii="Arial" w:cs="Arial" w:eastAsia="Arial" w:hAnsi="Arial"/>
          <w:u w:val="single"/>
          <w:rtl w:val="0"/>
        </w:rPr>
        <w:t xml:space="preserve">goTOzero RETAIL and operational sustainability</w:t>
      </w:r>
    </w:p>
    <w:p w:rsidR="00000000" w:rsidDel="00000000" w:rsidP="00000000" w:rsidRDefault="00000000" w:rsidRPr="00000000" w14:paraId="000000B5">
      <w:pPr>
        <w:tabs>
          <w:tab w:val="left" w:leader="none" w:pos="284"/>
        </w:tabs>
        <w:rPr>
          <w:rFonts w:ascii="Arial" w:cs="Arial" w:eastAsia="Arial" w:hAnsi="Arial"/>
        </w:rPr>
      </w:pPr>
      <w:r w:rsidDel="00000000" w:rsidR="00000000" w:rsidRPr="00000000">
        <w:rPr>
          <w:rFonts w:ascii="Arial" w:cs="Arial" w:eastAsia="Arial" w:hAnsi="Arial"/>
          <w:rtl w:val="0"/>
        </w:rPr>
        <w:t xml:space="preserve">The goTOzero RETAIL programme aims to achieve a 30% CO 2 cut by 2030, and a 75% cut by 2050 throughout the retailer network (Volkswagen Group, 2026). This contributes to operational decarbonisation, but it will only be successful when all dealerships implement it regularly.</w:t>
      </w:r>
    </w:p>
    <w:p w:rsidR="00000000" w:rsidDel="00000000" w:rsidP="00000000" w:rsidRDefault="00000000" w:rsidRPr="00000000" w14:paraId="000000B6">
      <w:pPr>
        <w:tabs>
          <w:tab w:val="left" w:leader="none" w:pos="284"/>
        </w:tabs>
        <w:rPr>
          <w:rFonts w:ascii="Arial" w:cs="Arial" w:eastAsia="Arial" w:hAnsi="Arial"/>
          <w:b w:val="1"/>
          <w:bCs w:val="1"/>
        </w:rPr>
      </w:pPr>
      <w:r w:rsidDel="00000000" w:rsidR="00000000" w:rsidRPr="00000000">
        <w:rPr>
          <w:rFonts w:ascii="Arial" w:cs="Arial" w:eastAsia="Arial" w:hAnsi="Arial"/>
          <w:b w:val="1"/>
          <w:bCs w:val="1"/>
          <w:rtl w:val="0"/>
        </w:rPr>
        <w:t xml:space="preserve">CSR Measurable Indicators</w:t>
      </w:r>
    </w:p>
    <w:p w:rsidR="00000000" w:rsidDel="00000000" w:rsidP="00000000" w:rsidRDefault="00000000" w:rsidRPr="00000000" w14:paraId="000000B7">
      <w:pPr>
        <w:keepNext w:val="1"/>
        <w:tabs>
          <w:tab w:val="left" w:leader="none" w:pos="284"/>
        </w:tabs>
        <w:jc w:val="center"/>
        <w:rPr>
          <w:rFonts w:ascii="Arial" w:cs="Arial" w:eastAsia="Arial" w:hAnsi="Arial"/>
        </w:rPr>
      </w:pPr>
      <w:r w:rsidDel="00000000" w:rsidR="00000000" w:rsidRPr="00000000">
        <w:rPr>
          <w:rFonts w:ascii="Arial" w:cs="Arial" w:eastAsia="Arial" w:hAnsi="Arial"/>
          <w:b w:val="1"/>
          <w:bCs w:val="1"/>
        </w:rPr>
        <w:drawing>
          <wp:inline distB="0" distT="0" distL="0" distR="0">
            <wp:extent cx="5683542" cy="3721291"/>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683542" cy="3721291"/>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5: CSR Measurable Indicators</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Self-made</w:t>
      </w:r>
      <w:r w:rsidDel="00000000" w:rsidR="00000000" w:rsidRPr="00000000">
        <w:rPr>
          <w:rtl w:val="0"/>
        </w:rPr>
      </w:r>
    </w:p>
    <w:p w:rsidR="00000000" w:rsidDel="00000000" w:rsidP="00000000" w:rsidRDefault="00000000" w:rsidRPr="00000000" w14:paraId="000000BA">
      <w:pPr>
        <w:pStyle w:val="Heading2"/>
        <w:rPr>
          <w:rFonts w:ascii="Arial" w:cs="Arial" w:eastAsia="Arial" w:hAnsi="Arial"/>
          <w:u w:val="single"/>
        </w:rPr>
      </w:pPr>
      <w:bookmarkStart w:colFirst="0" w:colLast="0" w:name="_5qpirfid0odi" w:id="14"/>
      <w:bookmarkEnd w:id="14"/>
      <w:r w:rsidDel="00000000" w:rsidR="00000000" w:rsidRPr="00000000">
        <w:rPr>
          <w:rFonts w:ascii="Arial" w:cs="Arial" w:eastAsia="Arial" w:hAnsi="Arial"/>
          <w:u w:val="single"/>
          <w:rtl w:val="0"/>
        </w:rPr>
        <w:t xml:space="preserve">EV transition and supply-chain responsibility</w:t>
      </w:r>
    </w:p>
    <w:p w:rsidR="00000000" w:rsidDel="00000000" w:rsidP="00000000" w:rsidRDefault="00000000" w:rsidRPr="00000000" w14:paraId="000000BB">
      <w:pPr>
        <w:rPr>
          <w:rFonts w:ascii="Arial" w:cs="Arial" w:eastAsia="Arial" w:hAnsi="Arial"/>
        </w:rPr>
      </w:pPr>
      <w:r w:rsidDel="00000000" w:rsidR="00000000" w:rsidRPr="00000000">
        <w:rPr>
          <w:rFonts w:ascii="Arial" w:cs="Arial" w:eastAsia="Arial" w:hAnsi="Arial"/>
          <w:rtl w:val="0"/>
        </w:rPr>
        <w:t xml:space="preserve">The EV shift at Volkswagen is in line with the UK demand, where BEVs stood at 23.4% of the market share in 2025 (SMMT, 2026a). Nevertheless, emissions during the lifecycle and battery sourcing are ethically questionable, and they demand responsible supply-chain management and transparency.</w:t>
      </w:r>
    </w:p>
    <w:p w:rsidR="00000000" w:rsidDel="00000000" w:rsidP="00000000" w:rsidRDefault="00000000" w:rsidRPr="00000000" w14:paraId="000000BC">
      <w:pPr>
        <w:pStyle w:val="Heading2"/>
        <w:rPr>
          <w:rFonts w:ascii="Arial" w:cs="Arial" w:eastAsia="Arial" w:hAnsi="Arial"/>
          <w:u w:val="single"/>
        </w:rPr>
      </w:pPr>
      <w:bookmarkStart w:colFirst="0" w:colLast="0" w:name="_ux9etmr3nj54" w:id="15"/>
      <w:bookmarkEnd w:id="15"/>
      <w:r w:rsidDel="00000000" w:rsidR="00000000" w:rsidRPr="00000000">
        <w:rPr>
          <w:rFonts w:ascii="Arial" w:cs="Arial" w:eastAsia="Arial" w:hAnsi="Arial"/>
          <w:u w:val="single"/>
          <w:rtl w:val="0"/>
        </w:rPr>
        <w:t xml:space="preserve">Critical challenges and limitations</w:t>
      </w:r>
    </w:p>
    <w:p w:rsidR="00000000" w:rsidDel="00000000" w:rsidP="00000000" w:rsidRDefault="00000000" w:rsidRPr="00000000" w14:paraId="000000BD">
      <w:pPr>
        <w:rPr>
          <w:rFonts w:ascii="Arial" w:cs="Arial" w:eastAsia="Arial" w:hAnsi="Arial"/>
        </w:rPr>
      </w:pPr>
      <w:r w:rsidDel="00000000" w:rsidR="00000000" w:rsidRPr="00000000">
        <w:rPr>
          <w:rFonts w:ascii="Arial" w:cs="Arial" w:eastAsia="Arial" w:hAnsi="Arial"/>
          <w:rtl w:val="0"/>
        </w:rPr>
        <w:t xml:space="preserve">The CSR claims of Volkswagen demonstrate a definite strategic focus in retail decarbonisation, EV transition and responsible supply-chain commitments. But these assertions require more evidence since targets are not sufficient to demonstrate actual improvement. The inequality in charging publicly is a significant challenge since the UK was equipped with 116,052 public chargers in 2026, yet the access is not evenly distributed to make EVs accessible to customers who lack reliable home charging (GOV.UK, 2026). It is also supported by academic evidence that EV sustainability is based on full lifecycle management, in particular, battery production, recycling and raw-material sourcing, rather than on zero tailpipe emissions (Aishwarya et al., 2025).</w:t>
      </w:r>
    </w:p>
    <w:p w:rsidR="00000000" w:rsidDel="00000000" w:rsidP="00000000" w:rsidRDefault="00000000" w:rsidRPr="00000000" w14:paraId="000000BE">
      <w:pPr>
        <w:rPr>
          <w:rFonts w:ascii="Arial" w:cs="Arial" w:eastAsia="Arial" w:hAnsi="Arial"/>
        </w:rPr>
      </w:pPr>
      <w:r w:rsidDel="00000000" w:rsidR="00000000" w:rsidRPr="00000000">
        <w:rPr>
          <w:rFonts w:ascii="Arial" w:cs="Arial" w:eastAsia="Arial" w:hAnsi="Arial"/>
          <w:rtl w:val="0"/>
        </w:rPr>
        <w:t xml:space="preserve">The legacy of the Dieselgate also implies that Volkswagen has a risk of trust and legitimacy in its sustainability communication. Dieselgate studies indicate that corporate governance, consumer trust and long-term reputation are harmed by the emission scandals (Guidara, 2025)</w:t>
      </w:r>
    </w:p>
    <w:p w:rsidR="00000000" w:rsidDel="00000000" w:rsidP="00000000" w:rsidRDefault="00000000" w:rsidRPr="00000000" w14:paraId="000000BF">
      <w:pPr>
        <w:rPr>
          <w:rFonts w:ascii="Arial" w:cs="Arial" w:eastAsia="Arial" w:hAnsi="Arial"/>
        </w:rPr>
      </w:pPr>
      <w:r w:rsidDel="00000000" w:rsidR="00000000" w:rsidRPr="00000000">
        <w:rPr>
          <w:rFonts w:ascii="Arial" w:cs="Arial" w:eastAsia="Arial" w:hAnsi="Arial"/>
          <w:rtl w:val="0"/>
        </w:rPr>
        <w:t xml:space="preserve">There are also independent ESG indicators that indicate unresolved credibility problems, with the MSCI ESG rating of Volkswagen staying at B in 2025, and Sustainalytics continuing to rate the Group as medium risk (Volkswagen Group, 2025b). Thus, the CSR strategy of Volkswagen should go beyond general statements and offer clear KPIs regarding dealerships emissions, battery sourcing, lifecycle emissions, charging accessibility, and customer trust recovery.</w:t>
      </w:r>
    </w:p>
    <w:p w:rsidR="00000000" w:rsidDel="00000000" w:rsidP="00000000" w:rsidRDefault="00000000" w:rsidRPr="00000000" w14:paraId="000000C0">
      <w:pPr>
        <w:pStyle w:val="Heading2"/>
        <w:rPr>
          <w:rFonts w:ascii="Arial" w:cs="Arial" w:eastAsia="Arial" w:hAnsi="Arial"/>
          <w:u w:val="single"/>
        </w:rPr>
      </w:pPr>
      <w:bookmarkStart w:colFirst="0" w:colLast="0" w:name="_ag7nyewp29c0" w:id="16"/>
      <w:bookmarkEnd w:id="16"/>
      <w:r w:rsidDel="00000000" w:rsidR="00000000" w:rsidRPr="00000000">
        <w:rPr>
          <w:rFonts w:ascii="Arial" w:cs="Arial" w:eastAsia="Arial" w:hAnsi="Arial"/>
          <w:u w:val="single"/>
          <w:rtl w:val="0"/>
        </w:rPr>
        <w:t xml:space="preserve">Alignment with business objectives</w:t>
      </w:r>
    </w:p>
    <w:p w:rsidR="00000000" w:rsidDel="00000000" w:rsidP="00000000" w:rsidRDefault="00000000" w:rsidRPr="00000000" w14:paraId="000000C1">
      <w:pPr>
        <w:rPr>
          <w:rFonts w:ascii="Arial" w:cs="Arial" w:eastAsia="Arial" w:hAnsi="Arial"/>
        </w:rPr>
      </w:pPr>
      <w:r w:rsidDel="00000000" w:rsidR="00000000" w:rsidRPr="00000000">
        <w:rPr>
          <w:rFonts w:ascii="Arial" w:cs="Arial" w:eastAsia="Arial" w:hAnsi="Arial"/>
          <w:rtl w:val="0"/>
        </w:rPr>
        <w:t xml:space="preserve">The CSR strategy of Volkswagen UK is in line with the business goals of the company since decarbonisation, EV transition, and sustainability of retailers directly contribute to ZEV compliance, brand trust, cost efficiency and long-term competitiveness (Zhu et al., 2023). But alignment can only be persuasive when Volkswagen demonstrates quantifiable improvements on ethical battery sourcing, lifecycle emissions and charging accessibility.</w:t>
      </w:r>
    </w:p>
    <w:p w:rsidR="00000000" w:rsidDel="00000000" w:rsidP="00000000" w:rsidRDefault="00000000" w:rsidRPr="00000000" w14:paraId="000000C2">
      <w:pPr>
        <w:pStyle w:val="Heading1"/>
        <w:rPr>
          <w:rFonts w:ascii="Arial" w:cs="Arial" w:eastAsia="Arial" w:hAnsi="Arial"/>
          <w:sz w:val="24"/>
          <w:szCs w:val="24"/>
        </w:rPr>
      </w:pPr>
      <w:bookmarkStart w:colFirst="0" w:colLast="0" w:name="_5hh7mm26y4bd" w:id="17"/>
      <w:bookmarkEnd w:id="17"/>
      <w:r w:rsidDel="00000000" w:rsidR="00000000" w:rsidRPr="00000000">
        <w:rPr>
          <w:rFonts w:ascii="Arial" w:cs="Arial" w:eastAsia="Arial" w:hAnsi="Arial"/>
          <w:sz w:val="24"/>
          <w:szCs w:val="24"/>
          <w:rtl w:val="0"/>
        </w:rPr>
        <w:t xml:space="preserve">Comprehensive and holistic view of the organisation</w:t>
      </w:r>
    </w:p>
    <w:p w:rsidR="00000000" w:rsidDel="00000000" w:rsidP="00000000" w:rsidRDefault="00000000" w:rsidRPr="00000000" w14:paraId="000000C3">
      <w:pPr>
        <w:pStyle w:val="Heading2"/>
        <w:rPr>
          <w:rFonts w:ascii="Arial" w:cs="Arial" w:eastAsia="Arial" w:hAnsi="Arial"/>
          <w:u w:val="single"/>
        </w:rPr>
      </w:pPr>
      <w:bookmarkStart w:colFirst="0" w:colLast="0" w:name="_42r350aijxl8" w:id="18"/>
      <w:bookmarkEnd w:id="18"/>
      <w:r w:rsidDel="00000000" w:rsidR="00000000" w:rsidRPr="00000000">
        <w:rPr>
          <w:rFonts w:ascii="Arial" w:cs="Arial" w:eastAsia="Arial" w:hAnsi="Arial"/>
          <w:u w:val="single"/>
          <w:rtl w:val="0"/>
        </w:rPr>
        <w:t xml:space="preserve">Balanced Scorecard: holistic performance view</w:t>
      </w:r>
    </w:p>
    <w:p w:rsidR="00000000" w:rsidDel="00000000" w:rsidP="00000000" w:rsidRDefault="00000000" w:rsidRPr="00000000" w14:paraId="000000C4">
      <w:pPr>
        <w:rPr>
          <w:rFonts w:ascii="Arial" w:cs="Arial" w:eastAsia="Arial" w:hAnsi="Arial"/>
        </w:rPr>
      </w:pPr>
      <w:r w:rsidDel="00000000" w:rsidR="00000000" w:rsidRPr="00000000">
        <w:rPr>
          <w:rFonts w:ascii="Arial" w:cs="Arial" w:eastAsia="Arial" w:hAnsi="Arial"/>
          <w:rtl w:val="0"/>
        </w:rPr>
        <w:t xml:space="preserve">The Balanced Scorecard can also be applied to Volkswagen UK because it involves both financial and non-financial performance analysis, and not just sales figures (Madsen, 2025). It also connects strategy and implementation. The performance of Volkswagen UK in 2025 was strong, registering 178,607 and 8.84% of the UK market share, but the scorecard indicates that the future benefit is based on EV adoption, customer trust, retailer capability and digital learning, rather than sales volume (Marklines, 2025).</w:t>
      </w:r>
    </w:p>
    <w:p w:rsidR="00000000" w:rsidDel="00000000" w:rsidP="00000000" w:rsidRDefault="00000000" w:rsidRPr="00000000" w14:paraId="000000C5">
      <w:pPr>
        <w:rPr>
          <w:rFonts w:ascii="Arial" w:cs="Arial" w:eastAsia="Arial" w:hAnsi="Arial"/>
          <w:b w:val="1"/>
          <w:bCs w:val="1"/>
        </w:rPr>
      </w:pPr>
      <w:r w:rsidDel="00000000" w:rsidR="00000000" w:rsidRPr="00000000">
        <w:rPr>
          <w:rFonts w:ascii="Arial" w:cs="Arial" w:eastAsia="Arial" w:hAnsi="Arial"/>
          <w:b w:val="1"/>
          <w:bCs w:val="1"/>
          <w:rtl w:val="0"/>
        </w:rPr>
        <w:t xml:space="preserve">Balanced Scorecard Table: </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24"/>
        <w:gridCol w:w="1836"/>
        <w:gridCol w:w="1907"/>
        <w:gridCol w:w="2004"/>
        <w:gridCol w:w="1745"/>
        <w:tblGridChange w:id="0">
          <w:tblGrid>
            <w:gridCol w:w="1524"/>
            <w:gridCol w:w="1836"/>
            <w:gridCol w:w="1907"/>
            <w:gridCol w:w="2004"/>
            <w:gridCol w:w="1745"/>
          </w:tblGrid>
        </w:tblGridChange>
      </w:tblGrid>
      <w:tr>
        <w:trPr>
          <w:cantSplit w:val="0"/>
          <w:tblHeader w:val="0"/>
        </w:trPr>
        <w:tc>
          <w:tcPr>
            <w:shd w:fill="e2efd9" w:val="clear"/>
          </w:tcPr>
          <w:p w:rsidR="00000000" w:rsidDel="00000000" w:rsidP="00000000" w:rsidRDefault="00000000" w:rsidRPr="00000000" w14:paraId="000000C6">
            <w:pPr>
              <w:rPr>
                <w:rFonts w:ascii="Arial" w:cs="Arial" w:eastAsia="Arial" w:hAnsi="Arial"/>
              </w:rPr>
            </w:pPr>
            <w:r w:rsidDel="00000000" w:rsidR="00000000" w:rsidRPr="00000000">
              <w:rPr>
                <w:rFonts w:ascii="Arial" w:cs="Arial" w:eastAsia="Arial" w:hAnsi="Arial"/>
                <w:rtl w:val="0"/>
              </w:rPr>
              <w:t xml:space="preserve">Perspective</w:t>
            </w:r>
          </w:p>
        </w:tc>
        <w:tc>
          <w:tcPr>
            <w:shd w:fill="e2efd9" w:val="clear"/>
          </w:tcPr>
          <w:p w:rsidR="00000000" w:rsidDel="00000000" w:rsidP="00000000" w:rsidRDefault="00000000" w:rsidRPr="00000000" w14:paraId="000000C7">
            <w:pPr>
              <w:rPr>
                <w:rFonts w:ascii="Arial" w:cs="Arial" w:eastAsia="Arial" w:hAnsi="Arial"/>
              </w:rPr>
            </w:pPr>
            <w:r w:rsidDel="00000000" w:rsidR="00000000" w:rsidRPr="00000000">
              <w:rPr>
                <w:rFonts w:ascii="Arial" w:cs="Arial" w:eastAsia="Arial" w:hAnsi="Arial"/>
                <w:rtl w:val="0"/>
              </w:rPr>
              <w:t xml:space="preserve">Objective</w:t>
            </w:r>
          </w:p>
        </w:tc>
        <w:tc>
          <w:tcPr>
            <w:shd w:fill="e2efd9" w:val="clear"/>
          </w:tcPr>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Why it matters</w:t>
            </w:r>
          </w:p>
        </w:tc>
        <w:tc>
          <w:tcPr>
            <w:shd w:fill="e2efd9" w:val="clear"/>
          </w:tcPr>
          <w:p w:rsidR="00000000" w:rsidDel="00000000" w:rsidP="00000000" w:rsidRDefault="00000000" w:rsidRPr="00000000" w14:paraId="000000C9">
            <w:pPr>
              <w:rPr>
                <w:rFonts w:ascii="Arial" w:cs="Arial" w:eastAsia="Arial" w:hAnsi="Arial"/>
              </w:rPr>
            </w:pPr>
            <w:r w:rsidDel="00000000" w:rsidR="00000000" w:rsidRPr="00000000">
              <w:rPr>
                <w:rFonts w:ascii="Arial" w:cs="Arial" w:eastAsia="Arial" w:hAnsi="Arial"/>
                <w:rtl w:val="0"/>
              </w:rPr>
              <w:t xml:space="preserve">Measurement</w:t>
            </w:r>
          </w:p>
        </w:tc>
        <w:tc>
          <w:tcPr>
            <w:shd w:fill="e2efd9" w:val="clear"/>
          </w:tcPr>
          <w:p w:rsidR="00000000" w:rsidDel="00000000" w:rsidP="00000000" w:rsidRDefault="00000000" w:rsidRPr="00000000" w14:paraId="000000CA">
            <w:pPr>
              <w:rPr>
                <w:rFonts w:ascii="Arial" w:cs="Arial" w:eastAsia="Arial" w:hAnsi="Arial"/>
              </w:rPr>
            </w:pPr>
            <w:r w:rsidDel="00000000" w:rsidR="00000000" w:rsidRPr="00000000">
              <w:rPr>
                <w:rFonts w:ascii="Arial" w:cs="Arial" w:eastAsia="Arial" w:hAnsi="Arial"/>
                <w:rtl w:val="0"/>
              </w:rPr>
              <w:t xml:space="preserve">Realistic target</w:t>
            </w:r>
          </w:p>
        </w:tc>
      </w:tr>
      <w:tr>
        <w:trPr>
          <w:cantSplit w:val="0"/>
          <w:tblHeader w:val="0"/>
        </w:trPr>
        <w:tc>
          <w:tcPr>
            <w:shd w:fill="fff2cc" w:val="clear"/>
          </w:tcPr>
          <w:p w:rsidR="00000000" w:rsidDel="00000000" w:rsidP="00000000" w:rsidRDefault="00000000" w:rsidRPr="00000000" w14:paraId="000000CB">
            <w:pPr>
              <w:rPr>
                <w:rFonts w:ascii="Arial" w:cs="Arial" w:eastAsia="Arial" w:hAnsi="Arial"/>
              </w:rPr>
            </w:pPr>
            <w:r w:rsidDel="00000000" w:rsidR="00000000" w:rsidRPr="00000000">
              <w:rPr>
                <w:rFonts w:ascii="Arial" w:cs="Arial" w:eastAsia="Arial" w:hAnsi="Arial"/>
                <w:rtl w:val="0"/>
              </w:rPr>
              <w:t xml:space="preserve">Financial</w:t>
            </w:r>
          </w:p>
        </w:tc>
        <w:tc>
          <w:tcPr>
            <w:shd w:fill="ffe7ed" w:val="clear"/>
          </w:tcPr>
          <w:p w:rsidR="00000000" w:rsidDel="00000000" w:rsidP="00000000" w:rsidRDefault="00000000" w:rsidRPr="00000000" w14:paraId="000000CC">
            <w:pPr>
              <w:rPr>
                <w:rFonts w:ascii="Arial" w:cs="Arial" w:eastAsia="Arial" w:hAnsi="Arial"/>
              </w:rPr>
            </w:pPr>
            <w:r w:rsidDel="00000000" w:rsidR="00000000" w:rsidRPr="00000000">
              <w:rPr>
                <w:rFonts w:ascii="Arial" w:cs="Arial" w:eastAsia="Arial" w:hAnsi="Arial"/>
                <w:rtl w:val="0"/>
              </w:rPr>
              <w:t xml:space="preserve">Protect UK leadership while improving EV profitability</w:t>
            </w:r>
          </w:p>
        </w:tc>
        <w:tc>
          <w:tcPr>
            <w:shd w:fill="ffe7ed" w:val="clear"/>
          </w:tcPr>
          <w:p w:rsidR="00000000" w:rsidDel="00000000" w:rsidP="00000000" w:rsidRDefault="00000000" w:rsidRPr="00000000" w14:paraId="000000CD">
            <w:pPr>
              <w:rPr>
                <w:rFonts w:ascii="Arial" w:cs="Arial" w:eastAsia="Arial" w:hAnsi="Arial"/>
              </w:rPr>
            </w:pPr>
            <w:r w:rsidDel="00000000" w:rsidR="00000000" w:rsidRPr="00000000">
              <w:rPr>
                <w:rFonts w:ascii="Arial" w:cs="Arial" w:eastAsia="Arial" w:hAnsi="Arial"/>
                <w:rtl w:val="0"/>
              </w:rPr>
              <w:t xml:space="preserve">Market share is strong, but EV discounting may weaken margins</w:t>
            </w:r>
          </w:p>
        </w:tc>
        <w:tc>
          <w:tcPr>
            <w:shd w:fill="ffe7ed" w:val="clear"/>
          </w:tcPr>
          <w:p w:rsidR="00000000" w:rsidDel="00000000" w:rsidP="00000000" w:rsidRDefault="00000000" w:rsidRPr="00000000" w14:paraId="000000CE">
            <w:pPr>
              <w:rPr>
                <w:rFonts w:ascii="Arial" w:cs="Arial" w:eastAsia="Arial" w:hAnsi="Arial"/>
              </w:rPr>
            </w:pPr>
            <w:r w:rsidDel="00000000" w:rsidR="00000000" w:rsidRPr="00000000">
              <w:rPr>
                <w:rFonts w:ascii="Arial" w:cs="Arial" w:eastAsia="Arial" w:hAnsi="Arial"/>
                <w:rtl w:val="0"/>
              </w:rPr>
              <w:t xml:space="preserve">UK share, registrations, EV mix, finance uptake, discount intensity</w:t>
            </w:r>
          </w:p>
        </w:tc>
        <w:tc>
          <w:tcPr>
            <w:shd w:fill="ffe7ed" w:val="clear"/>
          </w:tcPr>
          <w:p w:rsidR="00000000" w:rsidDel="00000000" w:rsidP="00000000" w:rsidRDefault="00000000" w:rsidRPr="00000000" w14:paraId="000000CF">
            <w:pPr>
              <w:rPr>
                <w:rFonts w:ascii="Arial" w:cs="Arial" w:eastAsia="Arial" w:hAnsi="Arial"/>
              </w:rPr>
            </w:pPr>
            <w:r w:rsidDel="00000000" w:rsidR="00000000" w:rsidRPr="00000000">
              <w:rPr>
                <w:rFonts w:ascii="Arial" w:cs="Arial" w:eastAsia="Arial" w:hAnsi="Arial"/>
                <w:rtl w:val="0"/>
              </w:rPr>
              <w:t xml:space="preserve">Maintain above 8% UK share and grow profitable EV/PHEV sales</w:t>
            </w:r>
          </w:p>
        </w:tc>
      </w:tr>
      <w:tr>
        <w:trPr>
          <w:cantSplit w:val="0"/>
          <w:tblHeader w:val="0"/>
        </w:trPr>
        <w:tc>
          <w:tcPr>
            <w:shd w:fill="fff2cc" w:val="clear"/>
          </w:tcPr>
          <w:p w:rsidR="00000000" w:rsidDel="00000000" w:rsidP="00000000" w:rsidRDefault="00000000" w:rsidRPr="00000000" w14:paraId="000000D0">
            <w:pPr>
              <w:rPr>
                <w:rFonts w:ascii="Arial" w:cs="Arial" w:eastAsia="Arial" w:hAnsi="Arial"/>
              </w:rPr>
            </w:pPr>
            <w:r w:rsidDel="00000000" w:rsidR="00000000" w:rsidRPr="00000000">
              <w:rPr>
                <w:rFonts w:ascii="Arial" w:cs="Arial" w:eastAsia="Arial" w:hAnsi="Arial"/>
                <w:rtl w:val="0"/>
              </w:rPr>
              <w:t xml:space="preserve">Customer</w:t>
            </w:r>
          </w:p>
        </w:tc>
        <w:tc>
          <w:tcPr>
            <w:shd w:fill="ffe7ed" w:val="clear"/>
          </w:tcPr>
          <w:p w:rsidR="00000000" w:rsidDel="00000000" w:rsidP="00000000" w:rsidRDefault="00000000" w:rsidRPr="00000000" w14:paraId="000000D1">
            <w:pPr>
              <w:rPr>
                <w:rFonts w:ascii="Arial" w:cs="Arial" w:eastAsia="Arial" w:hAnsi="Arial"/>
              </w:rPr>
            </w:pPr>
            <w:r w:rsidDel="00000000" w:rsidR="00000000" w:rsidRPr="00000000">
              <w:rPr>
                <w:rFonts w:ascii="Arial" w:cs="Arial" w:eastAsia="Arial" w:hAnsi="Arial"/>
                <w:rtl w:val="0"/>
              </w:rPr>
              <w:t xml:space="preserve">Improve loyalty, trust and EV confidence</w:t>
            </w:r>
          </w:p>
        </w:tc>
        <w:tc>
          <w:tcPr>
            <w:shd w:fill="ffe7ed" w:val="clear"/>
          </w:tcPr>
          <w:p w:rsidR="00000000" w:rsidDel="00000000" w:rsidP="00000000" w:rsidRDefault="00000000" w:rsidRPr="00000000" w14:paraId="000000D2">
            <w:pPr>
              <w:rPr>
                <w:rFonts w:ascii="Arial" w:cs="Arial" w:eastAsia="Arial" w:hAnsi="Arial"/>
              </w:rPr>
            </w:pPr>
            <w:r w:rsidDel="00000000" w:rsidR="00000000" w:rsidRPr="00000000">
              <w:rPr>
                <w:rFonts w:ascii="Arial" w:cs="Arial" w:eastAsia="Arial" w:hAnsi="Arial"/>
                <w:rtl w:val="0"/>
              </w:rPr>
              <w:t xml:space="preserve">Buyers compare price, range, software, charging and brand credibility</w:t>
            </w:r>
          </w:p>
        </w:tc>
        <w:tc>
          <w:tcPr>
            <w:shd w:fill="ffe7ed" w:val="clear"/>
          </w:tcPr>
          <w:p w:rsidR="00000000" w:rsidDel="00000000" w:rsidP="00000000" w:rsidRDefault="00000000" w:rsidRPr="00000000" w14:paraId="000000D3">
            <w:pPr>
              <w:rPr>
                <w:rFonts w:ascii="Arial" w:cs="Arial" w:eastAsia="Arial" w:hAnsi="Arial"/>
              </w:rPr>
            </w:pPr>
            <w:r w:rsidDel="00000000" w:rsidR="00000000" w:rsidRPr="00000000">
              <w:rPr>
                <w:rFonts w:ascii="Arial" w:cs="Arial" w:eastAsia="Arial" w:hAnsi="Arial"/>
                <w:rtl w:val="0"/>
              </w:rPr>
              <w:t xml:space="preserve">NPS, service quality, fleet retention, ID model adoption, complaints</w:t>
            </w:r>
          </w:p>
        </w:tc>
        <w:tc>
          <w:tcPr>
            <w:shd w:fill="ffe7ed" w:val="clear"/>
          </w:tcPr>
          <w:p w:rsidR="00000000" w:rsidDel="00000000" w:rsidP="00000000" w:rsidRDefault="00000000" w:rsidRPr="00000000" w14:paraId="000000D4">
            <w:pPr>
              <w:rPr>
                <w:rFonts w:ascii="Arial" w:cs="Arial" w:eastAsia="Arial" w:hAnsi="Arial"/>
              </w:rPr>
            </w:pPr>
            <w:r w:rsidDel="00000000" w:rsidR="00000000" w:rsidRPr="00000000">
              <w:rPr>
                <w:rFonts w:ascii="Arial" w:cs="Arial" w:eastAsia="Arial" w:hAnsi="Arial"/>
                <w:rtl w:val="0"/>
              </w:rPr>
              <w:t xml:space="preserve">Improve satisfaction and increase private and fleet EV adoption</w:t>
            </w:r>
          </w:p>
        </w:tc>
      </w:tr>
      <w:tr>
        <w:trPr>
          <w:cantSplit w:val="0"/>
          <w:tblHeader w:val="0"/>
        </w:trPr>
        <w:tc>
          <w:tcPr>
            <w:shd w:fill="fff2cc" w:val="clear"/>
          </w:tcPr>
          <w:p w:rsidR="00000000" w:rsidDel="00000000" w:rsidP="00000000" w:rsidRDefault="00000000" w:rsidRPr="00000000" w14:paraId="000000D5">
            <w:pPr>
              <w:rPr>
                <w:rFonts w:ascii="Arial" w:cs="Arial" w:eastAsia="Arial" w:hAnsi="Arial"/>
              </w:rPr>
            </w:pPr>
            <w:r w:rsidDel="00000000" w:rsidR="00000000" w:rsidRPr="00000000">
              <w:rPr>
                <w:rFonts w:ascii="Arial" w:cs="Arial" w:eastAsia="Arial" w:hAnsi="Arial"/>
                <w:rtl w:val="0"/>
              </w:rPr>
              <w:t xml:space="preserve">Internal process</w:t>
            </w:r>
          </w:p>
        </w:tc>
        <w:tc>
          <w:tcPr>
            <w:shd w:fill="ffe7ed" w:val="clear"/>
          </w:tcPr>
          <w:p w:rsidR="00000000" w:rsidDel="00000000" w:rsidP="00000000" w:rsidRDefault="00000000" w:rsidRPr="00000000" w14:paraId="000000D6">
            <w:pPr>
              <w:rPr>
                <w:rFonts w:ascii="Arial" w:cs="Arial" w:eastAsia="Arial" w:hAnsi="Arial"/>
              </w:rPr>
            </w:pPr>
            <w:r w:rsidDel="00000000" w:rsidR="00000000" w:rsidRPr="00000000">
              <w:rPr>
                <w:rFonts w:ascii="Arial" w:cs="Arial" w:eastAsia="Arial" w:hAnsi="Arial"/>
                <w:rtl w:val="0"/>
              </w:rPr>
              <w:t xml:space="preserve">Strengthen EV readiness and ZEV compliance</w:t>
            </w:r>
          </w:p>
        </w:tc>
        <w:tc>
          <w:tcPr>
            <w:shd w:fill="ffe7ed" w:val="clear"/>
          </w:tcPr>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rtl w:val="0"/>
              </w:rPr>
              <w:t xml:space="preserve">Compliance depends on retailer capability, software support and aftersales quality</w:t>
            </w:r>
          </w:p>
        </w:tc>
        <w:tc>
          <w:tcPr>
            <w:shd w:fill="ffe7ed" w:val="clear"/>
          </w:tcPr>
          <w:p w:rsidR="00000000" w:rsidDel="00000000" w:rsidP="00000000" w:rsidRDefault="00000000" w:rsidRPr="00000000" w14:paraId="000000D8">
            <w:pPr>
              <w:rPr>
                <w:rFonts w:ascii="Arial" w:cs="Arial" w:eastAsia="Arial" w:hAnsi="Arial"/>
              </w:rPr>
            </w:pPr>
            <w:r w:rsidDel="00000000" w:rsidR="00000000" w:rsidRPr="00000000">
              <w:rPr>
                <w:rFonts w:ascii="Arial" w:cs="Arial" w:eastAsia="Arial" w:hAnsi="Arial"/>
                <w:rtl w:val="0"/>
              </w:rPr>
              <w:t xml:space="preserve">ZEV progress, EV-trained retailers, repair time, software resolution</w:t>
            </w:r>
          </w:p>
        </w:tc>
        <w:tc>
          <w:tcPr>
            <w:shd w:fill="ffe7ed" w:val="clear"/>
          </w:tcPr>
          <w:p w:rsidR="00000000" w:rsidDel="00000000" w:rsidP="00000000" w:rsidRDefault="00000000" w:rsidRPr="00000000" w14:paraId="000000D9">
            <w:pPr>
              <w:rPr>
                <w:rFonts w:ascii="Arial" w:cs="Arial" w:eastAsia="Arial" w:hAnsi="Arial"/>
              </w:rPr>
            </w:pPr>
            <w:r w:rsidDel="00000000" w:rsidR="00000000" w:rsidRPr="00000000">
              <w:rPr>
                <w:rFonts w:ascii="Arial" w:cs="Arial" w:eastAsia="Arial" w:hAnsi="Arial"/>
                <w:rtl w:val="0"/>
              </w:rPr>
              <w:t xml:space="preserve">Meet ZEV trajectory and improve EV service readiness</w:t>
            </w:r>
          </w:p>
        </w:tc>
      </w:tr>
      <w:tr>
        <w:trPr>
          <w:cantSplit w:val="0"/>
          <w:tblHeader w:val="0"/>
        </w:trPr>
        <w:tc>
          <w:tcPr>
            <w:shd w:fill="fff2cc" w:val="clear"/>
          </w:tcPr>
          <w:p w:rsidR="00000000" w:rsidDel="00000000" w:rsidP="00000000" w:rsidRDefault="00000000" w:rsidRPr="00000000" w14:paraId="000000DA">
            <w:pPr>
              <w:rPr>
                <w:rFonts w:ascii="Arial" w:cs="Arial" w:eastAsia="Arial" w:hAnsi="Arial"/>
              </w:rPr>
            </w:pPr>
            <w:r w:rsidDel="00000000" w:rsidR="00000000" w:rsidRPr="00000000">
              <w:rPr>
                <w:rFonts w:ascii="Arial" w:cs="Arial" w:eastAsia="Arial" w:hAnsi="Arial"/>
                <w:rtl w:val="0"/>
              </w:rPr>
              <w:t xml:space="preserve">Learning and growth</w:t>
            </w:r>
          </w:p>
        </w:tc>
        <w:tc>
          <w:tcPr>
            <w:shd w:fill="ffe7ed" w:val="clear"/>
          </w:tcPr>
          <w:p w:rsidR="00000000" w:rsidDel="00000000" w:rsidP="00000000" w:rsidRDefault="00000000" w:rsidRPr="00000000" w14:paraId="000000DB">
            <w:pPr>
              <w:rPr>
                <w:rFonts w:ascii="Arial" w:cs="Arial" w:eastAsia="Arial" w:hAnsi="Arial"/>
              </w:rPr>
            </w:pPr>
            <w:r w:rsidDel="00000000" w:rsidR="00000000" w:rsidRPr="00000000">
              <w:rPr>
                <w:rFonts w:ascii="Arial" w:cs="Arial" w:eastAsia="Arial" w:hAnsi="Arial"/>
                <w:rtl w:val="0"/>
              </w:rPr>
              <w:t xml:space="preserve">Build EV, digital and sustainability capability</w:t>
            </w:r>
          </w:p>
        </w:tc>
        <w:tc>
          <w:tcPr>
            <w:shd w:fill="ffe7ed" w:val="clear"/>
          </w:tcPr>
          <w:p w:rsidR="00000000" w:rsidDel="00000000" w:rsidP="00000000" w:rsidRDefault="00000000" w:rsidRPr="00000000" w14:paraId="000000DC">
            <w:pPr>
              <w:rPr>
                <w:rFonts w:ascii="Arial" w:cs="Arial" w:eastAsia="Arial" w:hAnsi="Arial"/>
              </w:rPr>
            </w:pPr>
            <w:r w:rsidDel="00000000" w:rsidR="00000000" w:rsidRPr="00000000">
              <w:rPr>
                <w:rFonts w:ascii="Arial" w:cs="Arial" w:eastAsia="Arial" w:hAnsi="Arial"/>
                <w:rtl w:val="0"/>
              </w:rPr>
              <w:t xml:space="preserve">Future advantage depends on skills, data and cultural adaptation</w:t>
            </w:r>
          </w:p>
        </w:tc>
        <w:tc>
          <w:tcPr>
            <w:shd w:fill="ffe7ed" w:val="clear"/>
          </w:tcPr>
          <w:p w:rsidR="00000000" w:rsidDel="00000000" w:rsidP="00000000" w:rsidRDefault="00000000" w:rsidRPr="00000000" w14:paraId="000000DD">
            <w:pPr>
              <w:rPr>
                <w:rFonts w:ascii="Arial" w:cs="Arial" w:eastAsia="Arial" w:hAnsi="Arial"/>
              </w:rPr>
            </w:pPr>
            <w:r w:rsidDel="00000000" w:rsidR="00000000" w:rsidRPr="00000000">
              <w:rPr>
                <w:rFonts w:ascii="Arial" w:cs="Arial" w:eastAsia="Arial" w:hAnsi="Arial"/>
                <w:rtl w:val="0"/>
              </w:rPr>
              <w:t xml:space="preserve">EV training, AI/data capability, engagement, sustainability literacy</w:t>
            </w:r>
          </w:p>
        </w:tc>
        <w:tc>
          <w:tcPr>
            <w:shd w:fill="ffe7ed" w:val="clear"/>
          </w:tcPr>
          <w:p w:rsidR="00000000" w:rsidDel="00000000" w:rsidP="00000000" w:rsidRDefault="00000000" w:rsidRPr="00000000" w14:paraId="000000DE">
            <w:pPr>
              <w:rPr>
                <w:rFonts w:ascii="Arial" w:cs="Arial" w:eastAsia="Arial" w:hAnsi="Arial"/>
              </w:rPr>
            </w:pPr>
            <w:r w:rsidDel="00000000" w:rsidR="00000000" w:rsidRPr="00000000">
              <w:rPr>
                <w:rFonts w:ascii="Arial" w:cs="Arial" w:eastAsia="Arial" w:hAnsi="Arial"/>
                <w:rtl w:val="0"/>
              </w:rPr>
              <w:t xml:space="preserve">Expand technician training and digital capability yearly</w:t>
            </w:r>
          </w:p>
        </w:tc>
      </w:tr>
    </w:tbl>
    <w:p w:rsidR="00000000" w:rsidDel="00000000" w:rsidP="00000000" w:rsidRDefault="00000000" w:rsidRPr="00000000" w14:paraId="000000DF">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E0">
      <w:pPr>
        <w:rPr>
          <w:rFonts w:ascii="Arial" w:cs="Arial" w:eastAsia="Arial" w:hAnsi="Arial"/>
        </w:rPr>
      </w:pPr>
      <w:r w:rsidDel="00000000" w:rsidR="00000000" w:rsidRPr="00000000">
        <w:rPr>
          <w:rFonts w:ascii="Arial" w:cs="Arial" w:eastAsia="Arial" w:hAnsi="Arial"/>
          <w:b w:val="1"/>
          <w:bCs w:val="1"/>
          <w:rtl w:val="0"/>
        </w:rPr>
        <w:t xml:space="preserve">Public data limitation: </w:t>
      </w:r>
      <w:r w:rsidDel="00000000" w:rsidR="00000000" w:rsidRPr="00000000">
        <w:rPr>
          <w:rFonts w:ascii="Arial" w:cs="Arial" w:eastAsia="Arial" w:hAnsi="Arial"/>
          <w:rtl w:val="0"/>
        </w:rPr>
        <w:t xml:space="preserve">Certain KPIs like margins, NPS and staff training might need internal data of Volkswagen.</w:t>
      </w:r>
    </w:p>
    <w:p w:rsidR="00000000" w:rsidDel="00000000" w:rsidP="00000000" w:rsidRDefault="00000000" w:rsidRPr="00000000" w14:paraId="000000E1">
      <w:pPr>
        <w:pStyle w:val="Heading2"/>
        <w:rPr>
          <w:rFonts w:ascii="Arial" w:cs="Arial" w:eastAsia="Arial" w:hAnsi="Arial"/>
          <w:u w:val="single"/>
        </w:rPr>
      </w:pPr>
      <w:bookmarkStart w:colFirst="0" w:colLast="0" w:name="_9mly9ne26gi" w:id="19"/>
      <w:bookmarkEnd w:id="19"/>
      <w:r w:rsidDel="00000000" w:rsidR="00000000" w:rsidRPr="00000000">
        <w:rPr>
          <w:rFonts w:ascii="Arial" w:cs="Arial" w:eastAsia="Arial" w:hAnsi="Arial"/>
          <w:u w:val="single"/>
          <w:rtl w:val="0"/>
        </w:rPr>
        <w:t xml:space="preserve">Financial perspective</w:t>
      </w:r>
    </w:p>
    <w:p w:rsidR="00000000" w:rsidDel="00000000" w:rsidP="00000000" w:rsidRDefault="00000000" w:rsidRPr="00000000" w14:paraId="000000E2">
      <w:pPr>
        <w:rPr>
          <w:rFonts w:ascii="Arial" w:cs="Arial" w:eastAsia="Arial" w:hAnsi="Arial"/>
        </w:rPr>
      </w:pPr>
      <w:r w:rsidDel="00000000" w:rsidR="00000000" w:rsidRPr="00000000">
        <w:rPr>
          <w:rFonts w:ascii="Arial" w:cs="Arial" w:eastAsia="Arial" w:hAnsi="Arial"/>
          <w:rtl w:val="0"/>
        </w:rPr>
        <w:t xml:space="preserve">Financially, Volkswagen UK needs to protect volume and enhance the quality of revenue. Its 2025 leadership provides scale, yet the broader UK market is under pressure due to EV discounting. SMMT registered 2.02 million in the UK in 2025, of which BEVs were 23.4% short of the 28% target of ZEV (SMMT, 2026a). Thus, it is not only the increased EV sales that should be targeted, but the profitable EV sales.</w:t>
      </w:r>
    </w:p>
    <w:p w:rsidR="00000000" w:rsidDel="00000000" w:rsidP="00000000" w:rsidRDefault="00000000" w:rsidRPr="00000000" w14:paraId="000000E3">
      <w:pPr>
        <w:pStyle w:val="Heading2"/>
        <w:rPr>
          <w:rFonts w:ascii="Arial" w:cs="Arial" w:eastAsia="Arial" w:hAnsi="Arial"/>
          <w:u w:val="single"/>
        </w:rPr>
      </w:pPr>
      <w:bookmarkStart w:colFirst="0" w:colLast="0" w:name="_31pxrhua5wff" w:id="20"/>
      <w:bookmarkEnd w:id="20"/>
      <w:r w:rsidDel="00000000" w:rsidR="00000000" w:rsidRPr="00000000">
        <w:rPr>
          <w:rFonts w:ascii="Arial" w:cs="Arial" w:eastAsia="Arial" w:hAnsi="Arial"/>
          <w:u w:val="single"/>
          <w:rtl w:val="0"/>
        </w:rPr>
        <w:t xml:space="preserve">Customer perspective</w:t>
      </w:r>
    </w:p>
    <w:p w:rsidR="00000000" w:rsidDel="00000000" w:rsidP="00000000" w:rsidRDefault="00000000" w:rsidRPr="00000000" w14:paraId="000000E4">
      <w:pPr>
        <w:rPr>
          <w:rFonts w:ascii="Arial" w:cs="Arial" w:eastAsia="Arial" w:hAnsi="Arial"/>
        </w:rPr>
      </w:pPr>
      <w:r w:rsidDel="00000000" w:rsidR="00000000" w:rsidRPr="00000000">
        <w:rPr>
          <w:rFonts w:ascii="Arial" w:cs="Arial" w:eastAsia="Arial" w:hAnsi="Arial"/>
          <w:rtl w:val="0"/>
        </w:rPr>
        <w:t xml:space="preserve">The focus on customer performance is a priority since customers have started comparing range, finance cost, software and charging practicality. Fleet customers are particularly significant since the UK market is dominated by fleet demand (Wronka et al., 2025). The Volkswagen should hence leverage service quality, leasing and EV education as a safeguard against Tesla, BYD, MG, Kia and Hyundai.</w:t>
      </w:r>
    </w:p>
    <w:p w:rsidR="00000000" w:rsidDel="00000000" w:rsidP="00000000" w:rsidRDefault="00000000" w:rsidRPr="00000000" w14:paraId="000000E5">
      <w:pPr>
        <w:pStyle w:val="Heading2"/>
        <w:rPr>
          <w:rFonts w:ascii="Arial" w:cs="Arial" w:eastAsia="Arial" w:hAnsi="Arial"/>
          <w:u w:val="single"/>
        </w:rPr>
      </w:pPr>
      <w:bookmarkStart w:colFirst="0" w:colLast="0" w:name="_8mvpjj61ls3" w:id="21"/>
      <w:bookmarkEnd w:id="21"/>
      <w:r w:rsidDel="00000000" w:rsidR="00000000" w:rsidRPr="00000000">
        <w:rPr>
          <w:rFonts w:ascii="Arial" w:cs="Arial" w:eastAsia="Arial" w:hAnsi="Arial"/>
          <w:u w:val="single"/>
          <w:rtl w:val="0"/>
        </w:rPr>
        <w:t xml:space="preserve">Internal business process perspective</w:t>
      </w:r>
    </w:p>
    <w:p w:rsidR="00000000" w:rsidDel="00000000" w:rsidP="00000000" w:rsidRDefault="00000000" w:rsidRPr="00000000" w14:paraId="000000E6">
      <w:pPr>
        <w:rPr>
          <w:rFonts w:ascii="Arial" w:cs="Arial" w:eastAsia="Arial" w:hAnsi="Arial"/>
        </w:rPr>
      </w:pPr>
      <w:r w:rsidDel="00000000" w:rsidR="00000000" w:rsidRPr="00000000">
        <w:rPr>
          <w:rFonts w:ascii="Arial" w:cs="Arial" w:eastAsia="Arial" w:hAnsi="Arial"/>
          <w:rtl w:val="0"/>
        </w:rPr>
        <w:t xml:space="preserve">The internal processes should be directed at EV readiness, ZEV compliance and software reliability. This is supported by the goTOzero RETAIL programme which focuses on lower CO</w:t>
      </w:r>
      <w:r w:rsidDel="00000000" w:rsidR="00000000" w:rsidRPr="00000000">
        <w:rPr>
          <w:rFonts w:ascii="Cambria Math" w:cs="Cambria Math" w:eastAsia="Cambria Math" w:hAnsi="Cambria Math"/>
          <w:rtl w:val="0"/>
        </w:rPr>
        <w:t xml:space="preserve">₂</w:t>
      </w:r>
      <w:r w:rsidDel="00000000" w:rsidR="00000000" w:rsidRPr="00000000">
        <w:rPr>
          <w:rFonts w:ascii="Arial" w:cs="Arial" w:eastAsia="Arial" w:hAnsi="Arial"/>
          <w:rtl w:val="0"/>
        </w:rPr>
        <w:t xml:space="preserve"> effects in the retail network. Process performance should, however, be quantifiable otherwise sustainability risk turns into a promotion and not a strategy.</w:t>
      </w:r>
    </w:p>
    <w:p w:rsidR="00000000" w:rsidDel="00000000" w:rsidP="00000000" w:rsidRDefault="00000000" w:rsidRPr="00000000" w14:paraId="000000E7">
      <w:pPr>
        <w:pStyle w:val="Heading2"/>
        <w:rPr>
          <w:rFonts w:ascii="Arial" w:cs="Arial" w:eastAsia="Arial" w:hAnsi="Arial"/>
          <w:u w:val="single"/>
        </w:rPr>
      </w:pPr>
      <w:bookmarkStart w:colFirst="0" w:colLast="0" w:name="_7yo4s0mg2u7e" w:id="22"/>
      <w:bookmarkEnd w:id="22"/>
      <w:r w:rsidDel="00000000" w:rsidR="00000000" w:rsidRPr="00000000">
        <w:rPr>
          <w:rFonts w:ascii="Arial" w:cs="Arial" w:eastAsia="Arial" w:hAnsi="Arial"/>
          <w:u w:val="single"/>
          <w:rtl w:val="0"/>
        </w:rPr>
        <w:t xml:space="preserve">Learning and growth perspective</w:t>
      </w:r>
    </w:p>
    <w:p w:rsidR="00000000" w:rsidDel="00000000" w:rsidP="00000000" w:rsidRDefault="00000000" w:rsidRPr="00000000" w14:paraId="000000E8">
      <w:pPr>
        <w:tabs>
          <w:tab w:val="left" w:leader="none" w:pos="284"/>
        </w:tabs>
        <w:rPr>
          <w:rFonts w:ascii="Arial" w:cs="Arial" w:eastAsia="Arial" w:hAnsi="Arial"/>
        </w:rPr>
      </w:pPr>
      <w:r w:rsidDel="00000000" w:rsidR="00000000" w:rsidRPr="00000000">
        <w:rPr>
          <w:rFonts w:ascii="Arial" w:cs="Arial" w:eastAsia="Arial" w:hAnsi="Arial"/>
          <w:rtl w:val="0"/>
        </w:rPr>
        <w:t xml:space="preserve">The future of Volkswagen is based on digital and EV capability. Its envisioned investment of €1.2 billion in AI by 2030 demonstrates that competitiveness is now a matter of software, data and quicker development, rather than scale of manufacturing (Reuters, 2025).</w:t>
      </w:r>
    </w:p>
    <w:p w:rsidR="00000000" w:rsidDel="00000000" w:rsidP="00000000" w:rsidRDefault="00000000" w:rsidRPr="00000000" w14:paraId="000000E9">
      <w:pPr>
        <w:pStyle w:val="Heading1"/>
        <w:rPr>
          <w:rFonts w:ascii="Arial" w:cs="Arial" w:eastAsia="Arial" w:hAnsi="Arial"/>
          <w:sz w:val="24"/>
          <w:szCs w:val="24"/>
        </w:rPr>
      </w:pPr>
      <w:bookmarkStart w:colFirst="0" w:colLast="0" w:name="_rj9bua70lsbc" w:id="23"/>
      <w:bookmarkEnd w:id="23"/>
      <w:r w:rsidDel="00000000" w:rsidR="00000000" w:rsidRPr="00000000">
        <w:rPr>
          <w:rFonts w:ascii="Arial" w:cs="Arial" w:eastAsia="Arial" w:hAnsi="Arial"/>
          <w:sz w:val="24"/>
          <w:szCs w:val="24"/>
          <w:rtl w:val="0"/>
        </w:rPr>
        <w:t xml:space="preserve">Strategic Choices and Implementation</w:t>
      </w:r>
    </w:p>
    <w:p w:rsidR="00000000" w:rsidDel="00000000" w:rsidP="00000000" w:rsidRDefault="00000000" w:rsidRPr="00000000" w14:paraId="000000EA">
      <w:pPr>
        <w:pStyle w:val="Heading2"/>
        <w:rPr>
          <w:rFonts w:ascii="Arial" w:cs="Arial" w:eastAsia="Arial" w:hAnsi="Arial"/>
          <w:u w:val="single"/>
        </w:rPr>
      </w:pPr>
      <w:bookmarkStart w:colFirst="0" w:colLast="0" w:name="_78dyc6vreayx" w:id="24"/>
      <w:bookmarkEnd w:id="24"/>
      <w:r w:rsidDel="00000000" w:rsidR="00000000" w:rsidRPr="00000000">
        <w:rPr>
          <w:rFonts w:ascii="Arial" w:cs="Arial" w:eastAsia="Arial" w:hAnsi="Arial"/>
          <w:u w:val="single"/>
          <w:rtl w:val="0"/>
        </w:rPr>
        <w:t xml:space="preserve">Business-level strategic choices</w:t>
      </w:r>
    </w:p>
    <w:p w:rsidR="00000000" w:rsidDel="00000000" w:rsidP="00000000" w:rsidRDefault="00000000" w:rsidRPr="00000000" w14:paraId="000000EB">
      <w:pPr>
        <w:rPr>
          <w:rFonts w:ascii="Arial" w:cs="Arial" w:eastAsia="Arial" w:hAnsi="Arial"/>
        </w:rPr>
      </w:pPr>
      <w:r w:rsidDel="00000000" w:rsidR="00000000" w:rsidRPr="00000000">
        <w:rPr>
          <w:rFonts w:ascii="Arial" w:cs="Arial" w:eastAsia="Arial" w:hAnsi="Arial"/>
          <w:rtl w:val="0"/>
        </w:rPr>
        <w:t xml:space="preserve">There are two business-level choices of Volkswagen UK</w:t>
      </w:r>
    </w:p>
    <w:p w:rsidR="00000000" w:rsidDel="00000000" w:rsidP="00000000" w:rsidRDefault="00000000" w:rsidRPr="00000000" w14:paraId="000000EC">
      <w:pPr>
        <w:rPr>
          <w:rFonts w:ascii="Arial" w:cs="Arial" w:eastAsia="Arial" w:hAnsi="Arial"/>
        </w:rPr>
      </w:pPr>
      <w:r w:rsidDel="00000000" w:rsidR="00000000" w:rsidRPr="00000000">
        <w:rPr>
          <w:rFonts w:ascii="Arial" w:cs="Arial" w:eastAsia="Arial" w:hAnsi="Arial"/>
          <w:rtl w:val="0"/>
        </w:rPr>
        <w:t xml:space="preserve">The first is pure cost leadership whereby it would compete primarily by low prices, discounts and lower EV prices. This could cushion short-term sales volume, particularly following the UK market which is increasingly price-sensitive. Nevertheless, this is a dangerous alternative as Chinese brands, Tesla and MG can fight on price and EV technology more aggressively, and it is hard to win without hurting margins, Volkswagen.</w:t>
      </w:r>
    </w:p>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rtl w:val="0"/>
        </w:rPr>
        <w:t xml:space="preserve">The second option is cost discipline differentiation. This implies that Volkswagen would never be the most affordable brand, but would make its price worth it with quality, reliability, EV range, software enhancement, aftersales and fleet value. Its UK dominance of 178,607 registrations and 8.84% market share reflects brand strength, which needs to be defended in a more EV-oriented market (Marklines, 2025). </w:t>
      </w:r>
    </w:p>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rtl w:val="0"/>
        </w:rPr>
        <w:t xml:space="preserve">Thus, Volkswagen UK adopt differentiation and cost discipline. It is more sustainable since it leverages the brand, Group platforms, leasing offers and scale efficiencies of Volkswagen and does not engage in a destructive price war.</w:t>
      </w:r>
    </w:p>
    <w:p w:rsidR="00000000" w:rsidDel="00000000" w:rsidP="00000000" w:rsidRDefault="00000000" w:rsidRPr="00000000" w14:paraId="000000EF">
      <w:pPr>
        <w:pStyle w:val="Heading2"/>
        <w:rPr>
          <w:rFonts w:ascii="Arial" w:cs="Arial" w:eastAsia="Arial" w:hAnsi="Arial"/>
          <w:u w:val="single"/>
        </w:rPr>
      </w:pPr>
      <w:bookmarkStart w:colFirst="0" w:colLast="0" w:name="_fx2ycrbz4tii" w:id="25"/>
      <w:bookmarkEnd w:id="25"/>
      <w:r w:rsidDel="00000000" w:rsidR="00000000" w:rsidRPr="00000000">
        <w:rPr>
          <w:rFonts w:ascii="Arial" w:cs="Arial" w:eastAsia="Arial" w:hAnsi="Arial"/>
          <w:u w:val="single"/>
          <w:rtl w:val="0"/>
        </w:rPr>
        <w:t xml:space="preserve">Corporate and development choices</w:t>
      </w:r>
    </w:p>
    <w:p w:rsidR="00000000" w:rsidDel="00000000" w:rsidP="00000000" w:rsidRDefault="00000000" w:rsidRPr="00000000" w14:paraId="000000F0">
      <w:pPr>
        <w:rPr>
          <w:rFonts w:ascii="Arial" w:cs="Arial" w:eastAsia="Arial" w:hAnsi="Arial"/>
        </w:rPr>
      </w:pPr>
      <w:r w:rsidDel="00000000" w:rsidR="00000000" w:rsidRPr="00000000">
        <w:rPr>
          <w:rFonts w:ascii="Arial" w:cs="Arial" w:eastAsia="Arial" w:hAnsi="Arial"/>
          <w:rtl w:val="0"/>
        </w:rPr>
        <w:t xml:space="preserve">Corporate-level should focus on EV and PHEV expansion, fleet building, charging relationships and leasing or subscriptions as ownership. This matters due to the UK registrations of 2.02 million in 2025, where the BEVs have a 23.4% market share, which is almost half of the 28% of the ZEVs target (SMMT, 2026a). The mandate will increase to 28% in 2025, 33% in 2026 and 80% in 2030, which will place legal pressure on the rapid adoption of EVs (GOV.UK, 2025). Nevertheless, growth should be selective as over-discounting of EVs may hurt margins. Local retailer sustainability and charging partnerships would enhance customer confidence and CSR and compliance.</w:t>
      </w:r>
    </w:p>
    <w:p w:rsidR="00000000" w:rsidDel="00000000" w:rsidP="00000000" w:rsidRDefault="00000000" w:rsidRPr="00000000" w14:paraId="000000F1">
      <w:pPr>
        <w:pStyle w:val="Heading2"/>
        <w:rPr>
          <w:rFonts w:ascii="Arial" w:cs="Arial" w:eastAsia="Arial" w:hAnsi="Arial"/>
          <w:u w:val="single"/>
        </w:rPr>
      </w:pPr>
      <w:bookmarkStart w:colFirst="0" w:colLast="0" w:name="_1haxpamu4mpm" w:id="26"/>
      <w:bookmarkEnd w:id="26"/>
      <w:r w:rsidDel="00000000" w:rsidR="00000000" w:rsidRPr="00000000">
        <w:rPr>
          <w:rFonts w:ascii="Arial" w:cs="Arial" w:eastAsia="Arial" w:hAnsi="Arial"/>
          <w:u w:val="single"/>
          <w:rtl w:val="0"/>
        </w:rPr>
        <w:t xml:space="preserve">Change management and implementation risks</w:t>
      </w:r>
    </w:p>
    <w:p w:rsidR="00000000" w:rsidDel="00000000" w:rsidP="00000000" w:rsidRDefault="00000000" w:rsidRPr="00000000" w14:paraId="000000F2">
      <w:pPr>
        <w:rPr>
          <w:rFonts w:ascii="Arial" w:cs="Arial" w:eastAsia="Arial" w:hAnsi="Arial"/>
          <w:b w:val="1"/>
          <w:bCs w:val="1"/>
        </w:rPr>
      </w:pPr>
      <w:r w:rsidDel="00000000" w:rsidR="00000000" w:rsidRPr="00000000">
        <w:rPr>
          <w:rFonts w:ascii="Arial" w:cs="Arial" w:eastAsia="Arial" w:hAnsi="Arial"/>
          <w:b w:val="1"/>
          <w:bCs w:val="1"/>
          <w:rtl w:val="0"/>
        </w:rPr>
        <w:t xml:space="preserve">Kotter-based 5-step implementation path</w:t>
      </w:r>
    </w:p>
    <w:tbl>
      <w:tblPr>
        <w:tblStyle w:val="Table4"/>
        <w:tblW w:w="9016.000000000002"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591"/>
        <w:gridCol w:w="1616"/>
        <w:gridCol w:w="1319"/>
        <w:gridCol w:w="1343"/>
        <w:gridCol w:w="1431"/>
        <w:gridCol w:w="1716"/>
        <w:tblGridChange w:id="0">
          <w:tblGrid>
            <w:gridCol w:w="1591"/>
            <w:gridCol w:w="1616"/>
            <w:gridCol w:w="1319"/>
            <w:gridCol w:w="1343"/>
            <w:gridCol w:w="1431"/>
            <w:gridCol w:w="1716"/>
          </w:tblGrid>
        </w:tblGridChange>
      </w:tblGrid>
      <w:tr>
        <w:trPr>
          <w:cantSplit w:val="0"/>
          <w:tblHeader w:val="0"/>
        </w:trPr>
        <w:tc>
          <w:tcPr/>
          <w:p w:rsidR="00000000" w:rsidDel="00000000" w:rsidP="00000000" w:rsidRDefault="00000000" w:rsidRPr="00000000" w14:paraId="000000F3">
            <w:pPr>
              <w:rPr>
                <w:rFonts w:ascii="Arial" w:cs="Arial" w:eastAsia="Arial" w:hAnsi="Arial"/>
                <w:b w:val="0"/>
                <w:bCs w:val="0"/>
              </w:rPr>
            </w:pPr>
            <w:r w:rsidDel="00000000" w:rsidR="00000000" w:rsidRPr="00000000">
              <w:rPr>
                <w:rFonts w:ascii="Arial" w:cs="Arial" w:eastAsia="Arial" w:hAnsi="Arial"/>
                <w:b w:val="0"/>
                <w:bCs w:val="0"/>
                <w:rtl w:val="0"/>
              </w:rPr>
              <w:t xml:space="preserve">Kotter step</w:t>
            </w:r>
          </w:p>
        </w:tc>
        <w:tc>
          <w:tcPr/>
          <w:p w:rsidR="00000000" w:rsidDel="00000000" w:rsidP="00000000" w:rsidRDefault="00000000" w:rsidRPr="00000000" w14:paraId="000000F4">
            <w:pPr>
              <w:rPr>
                <w:rFonts w:ascii="Arial" w:cs="Arial" w:eastAsia="Arial" w:hAnsi="Arial"/>
                <w:b w:val="0"/>
                <w:bCs w:val="0"/>
              </w:rPr>
            </w:pPr>
            <w:r w:rsidDel="00000000" w:rsidR="00000000" w:rsidRPr="00000000">
              <w:rPr>
                <w:rFonts w:ascii="Arial" w:cs="Arial" w:eastAsia="Arial" w:hAnsi="Arial"/>
                <w:b w:val="0"/>
                <w:bCs w:val="0"/>
                <w:rtl w:val="0"/>
              </w:rPr>
              <w:t xml:space="preserve">Action</w:t>
            </w:r>
          </w:p>
        </w:tc>
        <w:tc>
          <w:tcPr/>
          <w:p w:rsidR="00000000" w:rsidDel="00000000" w:rsidP="00000000" w:rsidRDefault="00000000" w:rsidRPr="00000000" w14:paraId="000000F5">
            <w:pPr>
              <w:rPr>
                <w:rFonts w:ascii="Arial" w:cs="Arial" w:eastAsia="Arial" w:hAnsi="Arial"/>
                <w:b w:val="0"/>
                <w:bCs w:val="0"/>
              </w:rPr>
            </w:pPr>
            <w:r w:rsidDel="00000000" w:rsidR="00000000" w:rsidRPr="00000000">
              <w:rPr>
                <w:rFonts w:ascii="Arial" w:cs="Arial" w:eastAsia="Arial" w:hAnsi="Arial"/>
                <w:b w:val="0"/>
                <w:bCs w:val="0"/>
                <w:rtl w:val="0"/>
              </w:rPr>
              <w:t xml:space="preserve">Owner</w:t>
            </w:r>
          </w:p>
        </w:tc>
        <w:tc>
          <w:tcPr/>
          <w:p w:rsidR="00000000" w:rsidDel="00000000" w:rsidP="00000000" w:rsidRDefault="00000000" w:rsidRPr="00000000" w14:paraId="000000F6">
            <w:pPr>
              <w:rPr>
                <w:rFonts w:ascii="Arial" w:cs="Arial" w:eastAsia="Arial" w:hAnsi="Arial"/>
                <w:b w:val="0"/>
                <w:bCs w:val="0"/>
              </w:rPr>
            </w:pPr>
            <w:r w:rsidDel="00000000" w:rsidR="00000000" w:rsidRPr="00000000">
              <w:rPr>
                <w:rFonts w:ascii="Arial" w:cs="Arial" w:eastAsia="Arial" w:hAnsi="Arial"/>
                <w:b w:val="0"/>
                <w:bCs w:val="0"/>
                <w:rtl w:val="0"/>
              </w:rPr>
              <w:t xml:space="preserve">KPI</w:t>
            </w:r>
          </w:p>
        </w:tc>
        <w:tc>
          <w:tcPr/>
          <w:p w:rsidR="00000000" w:rsidDel="00000000" w:rsidP="00000000" w:rsidRDefault="00000000" w:rsidRPr="00000000" w14:paraId="000000F7">
            <w:pPr>
              <w:rPr>
                <w:rFonts w:ascii="Arial" w:cs="Arial" w:eastAsia="Arial" w:hAnsi="Arial"/>
                <w:b w:val="0"/>
                <w:bCs w:val="0"/>
              </w:rPr>
            </w:pPr>
            <w:r w:rsidDel="00000000" w:rsidR="00000000" w:rsidRPr="00000000">
              <w:rPr>
                <w:rFonts w:ascii="Arial" w:cs="Arial" w:eastAsia="Arial" w:hAnsi="Arial"/>
                <w:b w:val="0"/>
                <w:bCs w:val="0"/>
                <w:rtl w:val="0"/>
              </w:rPr>
              <w:t xml:space="preserve">Risk</w:t>
            </w:r>
          </w:p>
        </w:tc>
        <w:tc>
          <w:tcPr/>
          <w:p w:rsidR="00000000" w:rsidDel="00000000" w:rsidP="00000000" w:rsidRDefault="00000000" w:rsidRPr="00000000" w14:paraId="000000F8">
            <w:pPr>
              <w:rPr>
                <w:rFonts w:ascii="Arial" w:cs="Arial" w:eastAsia="Arial" w:hAnsi="Arial"/>
                <w:b w:val="0"/>
                <w:bCs w:val="0"/>
              </w:rPr>
            </w:pPr>
            <w:r w:rsidDel="00000000" w:rsidR="00000000" w:rsidRPr="00000000">
              <w:rPr>
                <w:rFonts w:ascii="Arial" w:cs="Arial" w:eastAsia="Arial" w:hAnsi="Arial"/>
                <w:b w:val="0"/>
                <w:bCs w:val="0"/>
                <w:rtl w:val="0"/>
              </w:rPr>
              <w:t xml:space="preserve">Mitigation</w:t>
            </w:r>
          </w:p>
        </w:tc>
      </w:tr>
      <w:tr>
        <w:trPr>
          <w:cantSplit w:val="0"/>
          <w:tblHeader w:val="0"/>
        </w:trPr>
        <w:tc>
          <w:tcPr/>
          <w:p w:rsidR="00000000" w:rsidDel="00000000" w:rsidP="00000000" w:rsidRDefault="00000000" w:rsidRPr="00000000" w14:paraId="000000F9">
            <w:pPr>
              <w:rPr>
                <w:rFonts w:ascii="Arial" w:cs="Arial" w:eastAsia="Arial" w:hAnsi="Arial"/>
                <w:b w:val="0"/>
                <w:bCs w:val="0"/>
              </w:rPr>
            </w:pPr>
            <w:r w:rsidDel="00000000" w:rsidR="00000000" w:rsidRPr="00000000">
              <w:rPr>
                <w:rFonts w:ascii="Arial" w:cs="Arial" w:eastAsia="Arial" w:hAnsi="Arial"/>
                <w:b w:val="0"/>
                <w:bCs w:val="0"/>
                <w:rtl w:val="0"/>
              </w:rPr>
              <w:t xml:space="preserve">Create urgency</w:t>
            </w:r>
          </w:p>
        </w:tc>
        <w:tc>
          <w:tcPr/>
          <w:p w:rsidR="00000000" w:rsidDel="00000000" w:rsidP="00000000" w:rsidRDefault="00000000" w:rsidRPr="00000000" w14:paraId="000000FA">
            <w:pPr>
              <w:rPr>
                <w:rFonts w:ascii="Arial" w:cs="Arial" w:eastAsia="Arial" w:hAnsi="Arial"/>
              </w:rPr>
            </w:pPr>
            <w:r w:rsidDel="00000000" w:rsidR="00000000" w:rsidRPr="00000000">
              <w:rPr>
                <w:rFonts w:ascii="Arial" w:cs="Arial" w:eastAsia="Arial" w:hAnsi="Arial"/>
                <w:rtl w:val="0"/>
              </w:rPr>
              <w:t xml:space="preserve">Use ZEV targets to show why EV transition is urgent</w:t>
            </w:r>
          </w:p>
        </w:tc>
        <w:tc>
          <w:tcPr/>
          <w:p w:rsidR="00000000" w:rsidDel="00000000" w:rsidP="00000000" w:rsidRDefault="00000000" w:rsidRPr="00000000" w14:paraId="000000FB">
            <w:pPr>
              <w:rPr>
                <w:rFonts w:ascii="Arial" w:cs="Arial" w:eastAsia="Arial" w:hAnsi="Arial"/>
              </w:rPr>
            </w:pPr>
            <w:r w:rsidDel="00000000" w:rsidR="00000000" w:rsidRPr="00000000">
              <w:rPr>
                <w:rFonts w:ascii="Arial" w:cs="Arial" w:eastAsia="Arial" w:hAnsi="Arial"/>
                <w:rtl w:val="0"/>
              </w:rPr>
              <w:t xml:space="preserve">VW UK senior leadership</w:t>
            </w:r>
          </w:p>
        </w:tc>
        <w:tc>
          <w:tcPr/>
          <w:p w:rsidR="00000000" w:rsidDel="00000000" w:rsidP="00000000" w:rsidRDefault="00000000" w:rsidRPr="00000000" w14:paraId="000000FC">
            <w:pPr>
              <w:rPr>
                <w:rFonts w:ascii="Arial" w:cs="Arial" w:eastAsia="Arial" w:hAnsi="Arial"/>
              </w:rPr>
            </w:pPr>
            <w:r w:rsidDel="00000000" w:rsidR="00000000" w:rsidRPr="00000000">
              <w:rPr>
                <w:rFonts w:ascii="Arial" w:cs="Arial" w:eastAsia="Arial" w:hAnsi="Arial"/>
                <w:rtl w:val="0"/>
              </w:rPr>
              <w:t xml:space="preserve">ZEV progress and EV sales share</w:t>
            </w:r>
          </w:p>
        </w:tc>
        <w:tc>
          <w:tcPr/>
          <w:p w:rsidR="00000000" w:rsidDel="00000000" w:rsidP="00000000" w:rsidRDefault="00000000" w:rsidRPr="00000000" w14:paraId="000000FD">
            <w:pPr>
              <w:rPr>
                <w:rFonts w:ascii="Arial" w:cs="Arial" w:eastAsia="Arial" w:hAnsi="Arial"/>
              </w:rPr>
            </w:pPr>
            <w:r w:rsidDel="00000000" w:rsidR="00000000" w:rsidRPr="00000000">
              <w:rPr>
                <w:rFonts w:ascii="Arial" w:cs="Arial" w:eastAsia="Arial" w:hAnsi="Arial"/>
                <w:rtl w:val="0"/>
              </w:rPr>
              <w:t xml:space="preserve">Low urgency among retailers</w:t>
            </w:r>
          </w:p>
        </w:tc>
        <w:tc>
          <w:tcPr/>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Share monthly compliance and market data</w:t>
            </w:r>
          </w:p>
        </w:tc>
      </w:tr>
      <w:tr>
        <w:trPr>
          <w:cantSplit w:val="0"/>
          <w:tblHeader w:val="0"/>
        </w:trPr>
        <w:tc>
          <w:tcPr/>
          <w:p w:rsidR="00000000" w:rsidDel="00000000" w:rsidP="00000000" w:rsidRDefault="00000000" w:rsidRPr="00000000" w14:paraId="000000FF">
            <w:pPr>
              <w:rPr>
                <w:rFonts w:ascii="Arial" w:cs="Arial" w:eastAsia="Arial" w:hAnsi="Arial"/>
                <w:b w:val="0"/>
                <w:bCs w:val="0"/>
              </w:rPr>
            </w:pPr>
            <w:r w:rsidDel="00000000" w:rsidR="00000000" w:rsidRPr="00000000">
              <w:rPr>
                <w:rFonts w:ascii="Arial" w:cs="Arial" w:eastAsia="Arial" w:hAnsi="Arial"/>
                <w:b w:val="0"/>
                <w:bCs w:val="0"/>
                <w:rtl w:val="0"/>
              </w:rPr>
              <w:t xml:space="preserve">Build coalition</w:t>
            </w:r>
          </w:p>
        </w:tc>
        <w:tc>
          <w:tcPr/>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rtl w:val="0"/>
              </w:rPr>
              <w:t xml:space="preserve">Form EV change team across sales, service and digital</w:t>
            </w:r>
          </w:p>
        </w:tc>
        <w:tc>
          <w:tcPr/>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VW UK Retail Operations</w:t>
            </w:r>
          </w:p>
        </w:tc>
        <w:tc>
          <w:tcPr/>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Number of active change leads</w:t>
            </w:r>
          </w:p>
        </w:tc>
        <w:tc>
          <w:tcPr/>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Weak cross-team coordination</w:t>
            </w:r>
          </w:p>
        </w:tc>
        <w:tc>
          <w:tcPr/>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Assign clear roles and accountability</w:t>
            </w:r>
          </w:p>
        </w:tc>
      </w:tr>
      <w:tr>
        <w:trPr>
          <w:cantSplit w:val="0"/>
          <w:tblHeader w:val="0"/>
        </w:trPr>
        <w:tc>
          <w:tcPr/>
          <w:p w:rsidR="00000000" w:rsidDel="00000000" w:rsidP="00000000" w:rsidRDefault="00000000" w:rsidRPr="00000000" w14:paraId="00000105">
            <w:pPr>
              <w:rPr>
                <w:rFonts w:ascii="Arial" w:cs="Arial" w:eastAsia="Arial" w:hAnsi="Arial"/>
                <w:b w:val="0"/>
                <w:bCs w:val="0"/>
              </w:rPr>
            </w:pPr>
            <w:r w:rsidDel="00000000" w:rsidR="00000000" w:rsidRPr="00000000">
              <w:rPr>
                <w:rFonts w:ascii="Arial" w:cs="Arial" w:eastAsia="Arial" w:hAnsi="Arial"/>
                <w:b w:val="0"/>
                <w:bCs w:val="0"/>
                <w:rtl w:val="0"/>
              </w:rPr>
              <w:t xml:space="preserve">Communicate vision</w:t>
            </w:r>
          </w:p>
        </w:tc>
        <w:tc>
          <w:tcPr/>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Explain EV value, software improvements and customer benefits</w:t>
            </w:r>
          </w:p>
        </w:tc>
        <w:tc>
          <w:tcPr/>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Marketing and Retail Teams</w:t>
            </w:r>
          </w:p>
        </w:tc>
        <w:tc>
          <w:tcPr/>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Staff briefing completion rate</w:t>
            </w:r>
          </w:p>
        </w:tc>
        <w:tc>
          <w:tcPr/>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Mixed messages to customers</w:t>
            </w:r>
          </w:p>
        </w:tc>
        <w:tc>
          <w:tcPr/>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Use standardised dealer communication</w:t>
            </w:r>
          </w:p>
        </w:tc>
      </w:tr>
      <w:tr>
        <w:trPr>
          <w:cantSplit w:val="0"/>
          <w:tblHeader w:val="0"/>
        </w:trPr>
        <w:tc>
          <w:tcPr/>
          <w:p w:rsidR="00000000" w:rsidDel="00000000" w:rsidP="00000000" w:rsidRDefault="00000000" w:rsidRPr="00000000" w14:paraId="0000010B">
            <w:pPr>
              <w:rPr>
                <w:rFonts w:ascii="Arial" w:cs="Arial" w:eastAsia="Arial" w:hAnsi="Arial"/>
                <w:b w:val="0"/>
                <w:bCs w:val="0"/>
              </w:rPr>
            </w:pPr>
            <w:r w:rsidDel="00000000" w:rsidR="00000000" w:rsidRPr="00000000">
              <w:rPr>
                <w:rFonts w:ascii="Arial" w:cs="Arial" w:eastAsia="Arial" w:hAnsi="Arial"/>
                <w:b w:val="0"/>
                <w:bCs w:val="0"/>
                <w:rtl w:val="0"/>
              </w:rPr>
              <w:t xml:space="preserve">Enable action</w:t>
            </w:r>
          </w:p>
        </w:tc>
        <w:tc>
          <w:tcPr/>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Train retailers in EV sales, servicing and charging advice</w:t>
            </w:r>
          </w:p>
        </w:tc>
        <w:tc>
          <w:tcPr/>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Retail Operations</w:t>
            </w:r>
          </w:p>
        </w:tc>
        <w:tc>
          <w:tcPr/>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 EV-certified staff</w:t>
            </w:r>
          </w:p>
        </w:tc>
        <w:tc>
          <w:tcPr/>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Uneven dealer adoption</w:t>
            </w:r>
          </w:p>
        </w:tc>
        <w:tc>
          <w:tcPr/>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Link incentives to EV readiness</w:t>
            </w:r>
          </w:p>
        </w:tc>
      </w:tr>
      <w:tr>
        <w:trPr>
          <w:cantSplit w:val="0"/>
          <w:tblHeader w:val="0"/>
        </w:trPr>
        <w:tc>
          <w:tcPr/>
          <w:p w:rsidR="00000000" w:rsidDel="00000000" w:rsidP="00000000" w:rsidRDefault="00000000" w:rsidRPr="00000000" w14:paraId="00000111">
            <w:pPr>
              <w:rPr>
                <w:rFonts w:ascii="Arial" w:cs="Arial" w:eastAsia="Arial" w:hAnsi="Arial"/>
                <w:b w:val="0"/>
                <w:bCs w:val="0"/>
              </w:rPr>
            </w:pPr>
            <w:r w:rsidDel="00000000" w:rsidR="00000000" w:rsidRPr="00000000">
              <w:rPr>
                <w:rFonts w:ascii="Arial" w:cs="Arial" w:eastAsia="Arial" w:hAnsi="Arial"/>
                <w:b w:val="0"/>
                <w:bCs w:val="0"/>
                <w:rtl w:val="0"/>
              </w:rPr>
              <w:t xml:space="preserve">Anchor change</w:t>
            </w:r>
          </w:p>
        </w:tc>
        <w:tc>
          <w:tcPr/>
          <w:p w:rsidR="00000000" w:rsidDel="00000000" w:rsidP="00000000" w:rsidRDefault="00000000" w:rsidRPr="00000000" w14:paraId="00000112">
            <w:pPr>
              <w:rPr>
                <w:rFonts w:ascii="Arial" w:cs="Arial" w:eastAsia="Arial" w:hAnsi="Arial"/>
              </w:rPr>
            </w:pPr>
            <w:r w:rsidDel="00000000" w:rsidR="00000000" w:rsidRPr="00000000">
              <w:rPr>
                <w:rFonts w:ascii="Arial" w:cs="Arial" w:eastAsia="Arial" w:hAnsi="Arial"/>
                <w:rtl w:val="0"/>
              </w:rPr>
              <w:t xml:space="preserve">Embed EV KPIs into performance reviews and dealer audits</w:t>
            </w:r>
          </w:p>
        </w:tc>
        <w:tc>
          <w:tcPr/>
          <w:p w:rsidR="00000000" w:rsidDel="00000000" w:rsidP="00000000" w:rsidRDefault="00000000" w:rsidRPr="00000000" w14:paraId="00000113">
            <w:pPr>
              <w:rPr>
                <w:rFonts w:ascii="Arial" w:cs="Arial" w:eastAsia="Arial" w:hAnsi="Arial"/>
              </w:rPr>
            </w:pPr>
            <w:r w:rsidDel="00000000" w:rsidR="00000000" w:rsidRPr="00000000">
              <w:rPr>
                <w:rFonts w:ascii="Arial" w:cs="Arial" w:eastAsia="Arial" w:hAnsi="Arial"/>
                <w:rtl w:val="0"/>
              </w:rPr>
              <w:t xml:space="preserve">VW UK Leadership</w:t>
            </w:r>
          </w:p>
        </w:tc>
        <w:tc>
          <w:tcPr/>
          <w:p w:rsidR="00000000" w:rsidDel="00000000" w:rsidP="00000000" w:rsidRDefault="00000000" w:rsidRPr="00000000" w14:paraId="00000114">
            <w:pPr>
              <w:rPr>
                <w:rFonts w:ascii="Arial" w:cs="Arial" w:eastAsia="Arial" w:hAnsi="Arial"/>
              </w:rPr>
            </w:pPr>
            <w:r w:rsidDel="00000000" w:rsidR="00000000" w:rsidRPr="00000000">
              <w:rPr>
                <w:rFonts w:ascii="Arial" w:cs="Arial" w:eastAsia="Arial" w:hAnsi="Arial"/>
                <w:rtl w:val="0"/>
              </w:rPr>
              <w:t xml:space="preserve">EV retention, complaints, service quality</w:t>
            </w:r>
          </w:p>
        </w:tc>
        <w:tc>
          <w:tcPr/>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Change remains temporary</w:t>
            </w:r>
          </w:p>
        </w:tc>
        <w:tc>
          <w:tcPr/>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Tie rewards to long-term EV performance</w:t>
            </w:r>
          </w:p>
        </w:tc>
      </w:tr>
    </w:tbl>
    <w:p w:rsidR="00000000" w:rsidDel="00000000" w:rsidP="00000000" w:rsidRDefault="00000000" w:rsidRPr="00000000" w14:paraId="0000011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18">
      <w:pPr>
        <w:pStyle w:val="Heading1"/>
        <w:rPr>
          <w:rFonts w:ascii="Arial" w:cs="Arial" w:eastAsia="Arial" w:hAnsi="Arial"/>
          <w:sz w:val="24"/>
          <w:szCs w:val="24"/>
        </w:rPr>
      </w:pPr>
      <w:bookmarkStart w:colFirst="0" w:colLast="0" w:name="_2a6crpm2dr0r" w:id="27"/>
      <w:bookmarkEnd w:id="27"/>
      <w:r w:rsidDel="00000000" w:rsidR="00000000" w:rsidRPr="00000000">
        <w:rPr>
          <w:rFonts w:ascii="Arial" w:cs="Arial" w:eastAsia="Arial" w:hAnsi="Arial"/>
          <w:sz w:val="24"/>
          <w:szCs w:val="24"/>
          <w:rtl w:val="0"/>
        </w:rPr>
        <w:t xml:space="preserve">Strategic Evaluation and Recommendations</w:t>
      </w:r>
    </w:p>
    <w:p w:rsidR="00000000" w:rsidDel="00000000" w:rsidP="00000000" w:rsidRDefault="00000000" w:rsidRPr="00000000" w14:paraId="00000119">
      <w:pPr>
        <w:pStyle w:val="Heading2"/>
        <w:rPr>
          <w:rFonts w:ascii="Arial" w:cs="Arial" w:eastAsia="Arial" w:hAnsi="Arial"/>
          <w:u w:val="single"/>
        </w:rPr>
      </w:pPr>
      <w:bookmarkStart w:colFirst="0" w:colLast="0" w:name="_nmvcvwv512q7" w:id="28"/>
      <w:bookmarkEnd w:id="28"/>
      <w:r w:rsidDel="00000000" w:rsidR="00000000" w:rsidRPr="00000000">
        <w:rPr>
          <w:rFonts w:ascii="Arial" w:cs="Arial" w:eastAsia="Arial" w:hAnsi="Arial"/>
          <w:u w:val="single"/>
          <w:rtl w:val="0"/>
        </w:rPr>
        <w:t xml:space="preserve">Strategic evaluation using Ansoff Matrix</w:t>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The reason to use Ansoff Matrix is that the primary strategic challenge that Volkswagen UK faces is not merely the existing competitiveness, but the way in which it is going to develop under the EV regulation, Chinese competition and margin pressure. PESTEL demonstrated that ZEV regulations, interest rates, charging facilities and EV penetration redefine demand, whereas VRIO demonstrated that brand equity, Group size and retailer reach are the strongest strength of Volkswagen. Hence, Ansoff assists in aligning the external pressure and internal capability.</w:t>
      </w:r>
    </w:p>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b w:val="1"/>
          <w:bCs w:val="1"/>
          <w:rtl w:val="0"/>
        </w:rPr>
        <w:t xml:space="preserve">Market penetration</w:t>
      </w:r>
      <w:r w:rsidDel="00000000" w:rsidR="00000000" w:rsidRPr="00000000">
        <w:rPr>
          <w:rFonts w:ascii="Arial" w:cs="Arial" w:eastAsia="Arial" w:hAnsi="Arial"/>
          <w:rtl w:val="0"/>
        </w:rPr>
        <w:t xml:space="preserve">: Market penetration is also significant as in 2025, Volkswagen was the leading car brand in the UK with 178,607 registrations and 8.84% market share (Marklines, 2025). Nonetheless, the risk of defending share by discounting is high since the industry EV incentives are already costly.</w:t>
        <w:br w:type="textWrapping"/>
      </w:r>
      <w:r w:rsidDel="00000000" w:rsidR="00000000" w:rsidRPr="00000000">
        <w:rPr>
          <w:rFonts w:ascii="Arial" w:cs="Arial" w:eastAsia="Arial" w:hAnsi="Arial"/>
          <w:b w:val="1"/>
          <w:bCs w:val="1"/>
          <w:rtl w:val="0"/>
        </w:rPr>
        <w:t xml:space="preserve">Product development: </w:t>
      </w:r>
      <w:r w:rsidDel="00000000" w:rsidR="00000000" w:rsidRPr="00000000">
        <w:rPr>
          <w:rFonts w:ascii="Arial" w:cs="Arial" w:eastAsia="Arial" w:hAnsi="Arial"/>
          <w:rtl w:val="0"/>
        </w:rPr>
        <w:t xml:space="preserve">The strong alternative is product development, particularly with low-priced BEVs, PHEVs, software updates and service packages. The UK BEV share was 23.4% in 2025, compared to 28% ZEV target, indicating both growth potential and compliance pressure (SMMT, 2026a).</w:t>
      </w:r>
    </w:p>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b w:val="1"/>
          <w:bCs w:val="1"/>
          <w:rtl w:val="0"/>
        </w:rPr>
        <w:t xml:space="preserve">Market development</w:t>
      </w:r>
      <w:r w:rsidDel="00000000" w:rsidR="00000000" w:rsidRPr="00000000">
        <w:rPr>
          <w:rFonts w:ascii="Arial" w:cs="Arial" w:eastAsia="Arial" w:hAnsi="Arial"/>
          <w:rtl w:val="0"/>
        </w:rPr>
        <w:t xml:space="preserve">: Fleet, salary-sacrifice and leasing customers should be developed in the market because they can move towards EV adoption more rapidly than individual buyers.</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b w:val="1"/>
          <w:bCs w:val="1"/>
          <w:rtl w:val="0"/>
        </w:rPr>
        <w:t xml:space="preserve">Diversification: </w:t>
      </w:r>
      <w:r w:rsidDel="00000000" w:rsidR="00000000" w:rsidRPr="00000000">
        <w:rPr>
          <w:rFonts w:ascii="Arial" w:cs="Arial" w:eastAsia="Arial" w:hAnsi="Arial"/>
          <w:rtl w:val="0"/>
        </w:rPr>
        <w:t xml:space="preserve">The expansion into charging partnerships and mobility is a helpful method, but it must be selective because excessive expansion might harm the main problem of Volkswagen, the profitable transition to EVs.</w:t>
      </w:r>
    </w:p>
    <w:p w:rsidR="00000000" w:rsidDel="00000000" w:rsidP="00000000" w:rsidRDefault="00000000" w:rsidRPr="00000000" w14:paraId="0000011E">
      <w:pPr>
        <w:pStyle w:val="Heading2"/>
        <w:rPr>
          <w:rFonts w:ascii="Arial" w:cs="Arial" w:eastAsia="Arial" w:hAnsi="Arial"/>
          <w:u w:val="single"/>
        </w:rPr>
      </w:pPr>
      <w:bookmarkStart w:colFirst="0" w:colLast="0" w:name="_1gwb5chf4lpb" w:id="29"/>
      <w:bookmarkEnd w:id="29"/>
      <w:r w:rsidDel="00000000" w:rsidR="00000000" w:rsidRPr="00000000">
        <w:rPr>
          <w:rFonts w:ascii="Arial" w:cs="Arial" w:eastAsia="Arial" w:hAnsi="Arial"/>
          <w:u w:val="single"/>
          <w:rtl w:val="0"/>
        </w:rPr>
        <w:t xml:space="preserve">Recommendations</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37"/>
        <w:gridCol w:w="2182"/>
        <w:gridCol w:w="1401"/>
        <w:gridCol w:w="1493"/>
        <w:gridCol w:w="1506"/>
        <w:gridCol w:w="1397"/>
        <w:tblGridChange w:id="0">
          <w:tblGrid>
            <w:gridCol w:w="1037"/>
            <w:gridCol w:w="2182"/>
            <w:gridCol w:w="1401"/>
            <w:gridCol w:w="1493"/>
            <w:gridCol w:w="1506"/>
            <w:gridCol w:w="1397"/>
          </w:tblGrid>
        </w:tblGridChange>
      </w:tblGrid>
      <w:tr>
        <w:trPr>
          <w:cantSplit w:val="0"/>
          <w:tblHeader w:val="0"/>
        </w:trPr>
        <w:tc>
          <w:tcPr>
            <w:shd w:fill="8ece9d" w:val="clear"/>
          </w:tcPr>
          <w:p w:rsidR="00000000" w:rsidDel="00000000" w:rsidP="00000000" w:rsidRDefault="00000000" w:rsidRPr="00000000" w14:paraId="0000011F">
            <w:pPr>
              <w:rPr>
                <w:rFonts w:ascii="Arial" w:cs="Arial" w:eastAsia="Arial" w:hAnsi="Arial"/>
                <w:b w:val="1"/>
                <w:bCs w:val="1"/>
              </w:rPr>
            </w:pPr>
            <w:r w:rsidDel="00000000" w:rsidR="00000000" w:rsidRPr="00000000">
              <w:rPr>
                <w:rFonts w:ascii="Arial" w:cs="Arial" w:eastAsia="Arial" w:hAnsi="Arial"/>
                <w:b w:val="1"/>
                <w:bCs w:val="1"/>
                <w:rtl w:val="0"/>
              </w:rPr>
              <w:t xml:space="preserve">Priority</w:t>
            </w:r>
          </w:p>
        </w:tc>
        <w:tc>
          <w:tcPr>
            <w:shd w:fill="8ece9d" w:val="clear"/>
          </w:tcPr>
          <w:p w:rsidR="00000000" w:rsidDel="00000000" w:rsidP="00000000" w:rsidRDefault="00000000" w:rsidRPr="00000000" w14:paraId="00000120">
            <w:pPr>
              <w:rPr>
                <w:rFonts w:ascii="Arial" w:cs="Arial" w:eastAsia="Arial" w:hAnsi="Arial"/>
                <w:b w:val="1"/>
                <w:bCs w:val="1"/>
              </w:rPr>
            </w:pPr>
            <w:r w:rsidDel="00000000" w:rsidR="00000000" w:rsidRPr="00000000">
              <w:rPr>
                <w:rFonts w:ascii="Arial" w:cs="Arial" w:eastAsia="Arial" w:hAnsi="Arial"/>
                <w:b w:val="1"/>
                <w:bCs w:val="1"/>
                <w:rtl w:val="0"/>
              </w:rPr>
              <w:t xml:space="preserve">Recommendation</w:t>
            </w:r>
          </w:p>
        </w:tc>
        <w:tc>
          <w:tcPr>
            <w:shd w:fill="8ece9d" w:val="clear"/>
          </w:tcPr>
          <w:p w:rsidR="00000000" w:rsidDel="00000000" w:rsidP="00000000" w:rsidRDefault="00000000" w:rsidRPr="00000000" w14:paraId="00000121">
            <w:pPr>
              <w:rPr>
                <w:rFonts w:ascii="Arial" w:cs="Arial" w:eastAsia="Arial" w:hAnsi="Arial"/>
                <w:b w:val="1"/>
                <w:bCs w:val="1"/>
              </w:rPr>
            </w:pPr>
            <w:r w:rsidDel="00000000" w:rsidR="00000000" w:rsidRPr="00000000">
              <w:rPr>
                <w:rFonts w:ascii="Arial" w:cs="Arial" w:eastAsia="Arial" w:hAnsi="Arial"/>
                <w:b w:val="1"/>
                <w:bCs w:val="1"/>
                <w:rtl w:val="0"/>
              </w:rPr>
              <w:t xml:space="preserve">Rationale</w:t>
            </w:r>
          </w:p>
        </w:tc>
        <w:tc>
          <w:tcPr>
            <w:shd w:fill="8ece9d" w:val="clear"/>
          </w:tcPr>
          <w:p w:rsidR="00000000" w:rsidDel="00000000" w:rsidP="00000000" w:rsidRDefault="00000000" w:rsidRPr="00000000" w14:paraId="00000122">
            <w:pPr>
              <w:rPr>
                <w:rFonts w:ascii="Arial" w:cs="Arial" w:eastAsia="Arial" w:hAnsi="Arial"/>
                <w:b w:val="1"/>
                <w:bCs w:val="1"/>
              </w:rPr>
            </w:pPr>
            <w:r w:rsidDel="00000000" w:rsidR="00000000" w:rsidRPr="00000000">
              <w:rPr>
                <w:rFonts w:ascii="Arial" w:cs="Arial" w:eastAsia="Arial" w:hAnsi="Arial"/>
                <w:b w:val="1"/>
                <w:bCs w:val="1"/>
                <w:rtl w:val="0"/>
              </w:rPr>
              <w:t xml:space="preserve">KPIs</w:t>
            </w:r>
          </w:p>
        </w:tc>
        <w:tc>
          <w:tcPr>
            <w:shd w:fill="8ece9d" w:val="clear"/>
          </w:tcPr>
          <w:p w:rsidR="00000000" w:rsidDel="00000000" w:rsidP="00000000" w:rsidRDefault="00000000" w:rsidRPr="00000000" w14:paraId="00000123">
            <w:pPr>
              <w:rPr>
                <w:rFonts w:ascii="Arial" w:cs="Arial" w:eastAsia="Arial" w:hAnsi="Arial"/>
                <w:b w:val="1"/>
                <w:bCs w:val="1"/>
              </w:rPr>
            </w:pPr>
            <w:r w:rsidDel="00000000" w:rsidR="00000000" w:rsidRPr="00000000">
              <w:rPr>
                <w:rFonts w:ascii="Arial" w:cs="Arial" w:eastAsia="Arial" w:hAnsi="Arial"/>
                <w:b w:val="1"/>
                <w:bCs w:val="1"/>
                <w:rtl w:val="0"/>
              </w:rPr>
              <w:t xml:space="preserve">Risks</w:t>
            </w:r>
          </w:p>
        </w:tc>
        <w:tc>
          <w:tcPr>
            <w:shd w:fill="8ece9d" w:val="clear"/>
          </w:tcPr>
          <w:p w:rsidR="00000000" w:rsidDel="00000000" w:rsidP="00000000" w:rsidRDefault="00000000" w:rsidRPr="00000000" w14:paraId="00000124">
            <w:pPr>
              <w:rPr>
                <w:rFonts w:ascii="Arial" w:cs="Arial" w:eastAsia="Arial" w:hAnsi="Arial"/>
                <w:b w:val="1"/>
                <w:bCs w:val="1"/>
              </w:rPr>
            </w:pPr>
            <w:r w:rsidDel="00000000" w:rsidR="00000000" w:rsidRPr="00000000">
              <w:rPr>
                <w:rFonts w:ascii="Arial" w:cs="Arial" w:eastAsia="Arial" w:hAnsi="Arial"/>
                <w:b w:val="1"/>
                <w:bCs w:val="1"/>
                <w:rtl w:val="0"/>
              </w:rPr>
              <w:t xml:space="preserve">Timeframe</w:t>
            </w:r>
          </w:p>
        </w:tc>
      </w:tr>
      <w:tr>
        <w:trPr>
          <w:cantSplit w:val="0"/>
          <w:tblHeader w:val="0"/>
        </w:trPr>
        <w:tc>
          <w:tcPr>
            <w:shd w:fill="8ece9d" w:val="clear"/>
          </w:tcPr>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1</w:t>
            </w:r>
          </w:p>
        </w:tc>
        <w:tc>
          <w:tcPr>
            <w:shd w:fill="fef0f2" w:val="clear"/>
          </w:tcPr>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Expand affordable EV/PHEV leasing</w:t>
            </w:r>
          </w:p>
        </w:tc>
        <w:tc>
          <w:tcPr>
            <w:shd w:fill="fef0f2" w:val="clear"/>
          </w:tcPr>
          <w:p w:rsidR="00000000" w:rsidDel="00000000" w:rsidP="00000000" w:rsidRDefault="00000000" w:rsidRPr="00000000" w14:paraId="00000127">
            <w:pPr>
              <w:rPr>
                <w:rFonts w:ascii="Arial" w:cs="Arial" w:eastAsia="Arial" w:hAnsi="Arial"/>
              </w:rPr>
            </w:pPr>
            <w:r w:rsidDel="00000000" w:rsidR="00000000" w:rsidRPr="00000000">
              <w:rPr>
                <w:rFonts w:ascii="Arial" w:cs="Arial" w:eastAsia="Arial" w:hAnsi="Arial"/>
                <w:rtl w:val="0"/>
              </w:rPr>
              <w:t xml:space="preserve">Supports ZEV compliance and protects volume</w:t>
            </w:r>
          </w:p>
        </w:tc>
        <w:tc>
          <w:tcPr>
            <w:shd w:fill="fef0f2" w:val="clear"/>
          </w:tcPr>
          <w:p w:rsidR="00000000" w:rsidDel="00000000" w:rsidP="00000000" w:rsidRDefault="00000000" w:rsidRPr="00000000" w14:paraId="00000128">
            <w:pPr>
              <w:rPr>
                <w:rFonts w:ascii="Arial" w:cs="Arial" w:eastAsia="Arial" w:hAnsi="Arial"/>
              </w:rPr>
            </w:pPr>
            <w:r w:rsidDel="00000000" w:rsidR="00000000" w:rsidRPr="00000000">
              <w:rPr>
                <w:rFonts w:ascii="Arial" w:cs="Arial" w:eastAsia="Arial" w:hAnsi="Arial"/>
                <w:rtl w:val="0"/>
              </w:rPr>
              <w:t xml:space="preserve">EV share, lease uptake, registrations</w:t>
            </w:r>
          </w:p>
        </w:tc>
        <w:tc>
          <w:tcPr>
            <w:shd w:fill="fef0f2" w:val="clear"/>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Margin pressure</w:t>
            </w:r>
          </w:p>
        </w:tc>
        <w:tc>
          <w:tcPr>
            <w:shd w:fill="fef0f2" w:val="clear"/>
          </w:tcPr>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12 months</w:t>
            </w:r>
          </w:p>
        </w:tc>
      </w:tr>
      <w:tr>
        <w:trPr>
          <w:cantSplit w:val="0"/>
          <w:tblHeader w:val="0"/>
        </w:trPr>
        <w:tc>
          <w:tcPr>
            <w:shd w:fill="8ece9d" w:val="clear"/>
          </w:tcPr>
          <w:p w:rsidR="00000000" w:rsidDel="00000000" w:rsidP="00000000" w:rsidRDefault="00000000" w:rsidRPr="00000000" w14:paraId="0000012B">
            <w:pPr>
              <w:rPr>
                <w:rFonts w:ascii="Arial" w:cs="Arial" w:eastAsia="Arial" w:hAnsi="Arial"/>
              </w:rPr>
            </w:pPr>
            <w:r w:rsidDel="00000000" w:rsidR="00000000" w:rsidRPr="00000000">
              <w:rPr>
                <w:rFonts w:ascii="Arial" w:cs="Arial" w:eastAsia="Arial" w:hAnsi="Arial"/>
                <w:rtl w:val="0"/>
              </w:rPr>
              <w:t xml:space="preserve">2</w:t>
            </w:r>
          </w:p>
        </w:tc>
        <w:tc>
          <w:tcPr>
            <w:shd w:fill="fef0f2" w:val="clear"/>
          </w:tcPr>
          <w:p w:rsidR="00000000" w:rsidDel="00000000" w:rsidP="00000000" w:rsidRDefault="00000000" w:rsidRPr="00000000" w14:paraId="0000012C">
            <w:pPr>
              <w:rPr>
                <w:rFonts w:ascii="Arial" w:cs="Arial" w:eastAsia="Arial" w:hAnsi="Arial"/>
              </w:rPr>
            </w:pPr>
            <w:r w:rsidDel="00000000" w:rsidR="00000000" w:rsidRPr="00000000">
              <w:rPr>
                <w:rFonts w:ascii="Arial" w:cs="Arial" w:eastAsia="Arial" w:hAnsi="Arial"/>
                <w:rtl w:val="0"/>
              </w:rPr>
              <w:t xml:space="preserve">Strengthen fleet and salary-sacrifice strategy</w:t>
            </w:r>
          </w:p>
        </w:tc>
        <w:tc>
          <w:tcPr>
            <w:shd w:fill="fef0f2" w:val="clear"/>
          </w:tcPr>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Fleet demand is more scalable than private EV demand</w:t>
            </w:r>
          </w:p>
        </w:tc>
        <w:tc>
          <w:tcPr>
            <w:shd w:fill="fef0f2" w:val="clear"/>
          </w:tcPr>
          <w:p w:rsidR="00000000" w:rsidDel="00000000" w:rsidP="00000000" w:rsidRDefault="00000000" w:rsidRPr="00000000" w14:paraId="0000012E">
            <w:pPr>
              <w:rPr>
                <w:rFonts w:ascii="Arial" w:cs="Arial" w:eastAsia="Arial" w:hAnsi="Arial"/>
              </w:rPr>
            </w:pPr>
            <w:r w:rsidDel="00000000" w:rsidR="00000000" w:rsidRPr="00000000">
              <w:rPr>
                <w:rFonts w:ascii="Arial" w:cs="Arial" w:eastAsia="Arial" w:hAnsi="Arial"/>
                <w:rtl w:val="0"/>
              </w:rPr>
              <w:t xml:space="preserve">Fleet retention, TCO ranking, repeat contracts</w:t>
            </w:r>
          </w:p>
        </w:tc>
        <w:tc>
          <w:tcPr>
            <w:shd w:fill="fef0f2" w:val="clear"/>
          </w:tcPr>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rtl w:val="0"/>
              </w:rPr>
              <w:t xml:space="preserve">Discount dependence</w:t>
            </w:r>
          </w:p>
        </w:tc>
        <w:tc>
          <w:tcPr>
            <w:shd w:fill="fef0f2" w:val="clear"/>
          </w:tcPr>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12–18 months</w:t>
            </w:r>
          </w:p>
        </w:tc>
      </w:tr>
      <w:tr>
        <w:trPr>
          <w:cantSplit w:val="0"/>
          <w:tblHeader w:val="0"/>
        </w:trPr>
        <w:tc>
          <w:tcPr>
            <w:shd w:fill="8ece9d" w:val="clear"/>
          </w:tcPr>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3</w:t>
            </w:r>
          </w:p>
        </w:tc>
        <w:tc>
          <w:tcPr>
            <w:shd w:fill="fef0f2" w:val="clear"/>
          </w:tcPr>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Improve software and digital customer experience</w:t>
            </w:r>
          </w:p>
        </w:tc>
        <w:tc>
          <w:tcPr>
            <w:shd w:fill="fef0f2" w:val="clear"/>
          </w:tcPr>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Tesla, BYD and Hyundai compete strongly on digital value</w:t>
            </w:r>
          </w:p>
        </w:tc>
        <w:tc>
          <w:tcPr>
            <w:shd w:fill="fef0f2" w:val="clear"/>
          </w:tcPr>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Software complaints, app ratings, service resolution time</w:t>
            </w:r>
          </w:p>
        </w:tc>
        <w:tc>
          <w:tcPr>
            <w:shd w:fill="fef0f2" w:val="clear"/>
          </w:tcPr>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Slow Group-level delivery</w:t>
            </w:r>
          </w:p>
        </w:tc>
        <w:tc>
          <w:tcPr>
            <w:shd w:fill="fef0f2" w:val="clear"/>
          </w:tcPr>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18–24 months</w:t>
            </w:r>
          </w:p>
        </w:tc>
      </w:tr>
      <w:tr>
        <w:trPr>
          <w:cantSplit w:val="0"/>
          <w:tblHeader w:val="0"/>
        </w:trPr>
        <w:tc>
          <w:tcPr>
            <w:shd w:fill="8ece9d" w:val="clear"/>
          </w:tcPr>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4</w:t>
            </w:r>
          </w:p>
        </w:tc>
        <w:tc>
          <w:tcPr>
            <w:shd w:fill="fef0f2" w:val="clear"/>
          </w:tcPr>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Build retailer EV and charging capability</w:t>
            </w:r>
          </w:p>
        </w:tc>
        <w:tc>
          <w:tcPr>
            <w:shd w:fill="fef0f2" w:val="clear"/>
          </w:tcPr>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Retailers must convert interest into confident purchase decisions</w:t>
            </w:r>
          </w:p>
        </w:tc>
        <w:tc>
          <w:tcPr>
            <w:shd w:fill="fef0f2" w:val="clear"/>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EV-trained staff, test drives, charger-partner referrals</w:t>
            </w:r>
          </w:p>
        </w:tc>
        <w:tc>
          <w:tcPr>
            <w:shd w:fill="fef0f2" w:val="clear"/>
          </w:tcPr>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Uneven dealer execution</w:t>
            </w:r>
          </w:p>
        </w:tc>
        <w:tc>
          <w:tcPr>
            <w:shd w:fill="fef0f2" w:val="clear"/>
          </w:tcPr>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12 months</w:t>
            </w:r>
          </w:p>
        </w:tc>
      </w:tr>
    </w:tbl>
    <w:p w:rsidR="00000000" w:rsidDel="00000000" w:rsidP="00000000" w:rsidRDefault="00000000" w:rsidRPr="00000000" w14:paraId="0000013D">
      <w:pPr>
        <w:rPr>
          <w:rFonts w:ascii="Arial" w:cs="Arial" w:eastAsia="Arial" w:hAnsi="Arial"/>
        </w:rPr>
      </w:pPr>
      <w:r w:rsidDel="00000000" w:rsidR="00000000" w:rsidRPr="00000000">
        <w:rPr>
          <w:rtl w:val="0"/>
        </w:rPr>
      </w:r>
    </w:p>
    <w:p w:rsidR="00000000" w:rsidDel="00000000" w:rsidP="00000000" w:rsidRDefault="00000000" w:rsidRPr="00000000" w14:paraId="0000013E">
      <w:pPr>
        <w:rPr>
          <w:rFonts w:ascii="Arial" w:cs="Arial" w:eastAsia="Arial" w:hAnsi="Arial"/>
          <w:b w:val="1"/>
          <w:bCs w:val="1"/>
        </w:rPr>
      </w:pPr>
      <w:r w:rsidDel="00000000" w:rsidR="00000000" w:rsidRPr="00000000">
        <w:rPr>
          <w:rFonts w:ascii="Arial" w:cs="Arial" w:eastAsia="Arial" w:hAnsi="Arial"/>
          <w:b w:val="1"/>
          <w:bCs w:val="1"/>
          <w:rtl w:val="0"/>
        </w:rPr>
        <w:t xml:space="preserve">SAF evaluation</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67"/>
        <w:gridCol w:w="1244"/>
        <w:gridCol w:w="2044"/>
        <w:gridCol w:w="2298"/>
        <w:gridCol w:w="963"/>
        <w:tblGridChange w:id="0">
          <w:tblGrid>
            <w:gridCol w:w="2467"/>
            <w:gridCol w:w="1244"/>
            <w:gridCol w:w="2044"/>
            <w:gridCol w:w="2298"/>
            <w:gridCol w:w="963"/>
          </w:tblGrid>
        </w:tblGridChange>
      </w:tblGrid>
      <w:tr>
        <w:trPr>
          <w:cantSplit w:val="0"/>
          <w:tblHeader w:val="0"/>
        </w:trPr>
        <w:tc>
          <w:tcPr>
            <w:shd w:fill="d5dce4" w:val="clear"/>
          </w:tcPr>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Recommendation</w:t>
            </w:r>
          </w:p>
        </w:tc>
        <w:tc>
          <w:tcPr>
            <w:shd w:fill="d5dce4" w:val="clear"/>
          </w:tcPr>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Suitability</w:t>
            </w:r>
          </w:p>
        </w:tc>
        <w:tc>
          <w:tcPr>
            <w:shd w:fill="d5dce4" w:val="clear"/>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Acceptability</w:t>
            </w:r>
          </w:p>
        </w:tc>
        <w:tc>
          <w:tcPr>
            <w:shd w:fill="d5dce4" w:val="clear"/>
          </w:tcPr>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Feasibility</w:t>
            </w:r>
          </w:p>
        </w:tc>
        <w:tc>
          <w:tcPr>
            <w:shd w:fill="d5dce4" w:val="clear"/>
          </w:tcPr>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Priority</w:t>
            </w:r>
          </w:p>
        </w:tc>
      </w:tr>
      <w:tr>
        <w:trPr>
          <w:cantSplit w:val="0"/>
          <w:tblHeader w:val="0"/>
        </w:trPr>
        <w:tc>
          <w:tcPr>
            <w:shd w:fill="d5dce4" w:val="clear"/>
          </w:tcPr>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Affordable EV/PHEV leasing</w:t>
            </w:r>
          </w:p>
        </w:tc>
        <w:tc>
          <w:tcPr>
            <w:shd w:fill="fff2cc" w:val="clear"/>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Medium due to margin risk</w:t>
            </w:r>
          </w:p>
        </w:tc>
        <w:tc>
          <w:tcPr>
            <w:shd w:fill="fff2cc" w:val="clear"/>
          </w:tcPr>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1</w:t>
            </w:r>
          </w:p>
        </w:tc>
      </w:tr>
      <w:tr>
        <w:trPr>
          <w:cantSplit w:val="0"/>
          <w:tblHeader w:val="0"/>
        </w:trPr>
        <w:tc>
          <w:tcPr>
            <w:shd w:fill="d5dce4" w:val="clear"/>
          </w:tcPr>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Fleet/salary-sacrifice growth</w:t>
            </w:r>
          </w:p>
        </w:tc>
        <w:tc>
          <w:tcPr>
            <w:shd w:fill="fff2cc" w:val="clear"/>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2</w:t>
            </w:r>
          </w:p>
        </w:tc>
      </w:tr>
      <w:tr>
        <w:trPr>
          <w:cantSplit w:val="0"/>
          <w:tblHeader w:val="0"/>
        </w:trPr>
        <w:tc>
          <w:tcPr>
            <w:shd w:fill="d5dce4" w:val="clear"/>
          </w:tcPr>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Software improvement</w:t>
            </w:r>
          </w:p>
        </w:tc>
        <w:tc>
          <w:tcPr>
            <w:shd w:fill="fff2cc" w:val="clear"/>
          </w:tcPr>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Medium due to Group dependency</w:t>
            </w:r>
          </w:p>
        </w:tc>
        <w:tc>
          <w:tcPr>
            <w:shd w:fill="fff2cc" w:val="clear"/>
          </w:tcPr>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3</w:t>
            </w:r>
          </w:p>
        </w:tc>
      </w:tr>
      <w:tr>
        <w:trPr>
          <w:cantSplit w:val="0"/>
          <w:tblHeader w:val="0"/>
        </w:trPr>
        <w:tc>
          <w:tcPr>
            <w:shd w:fill="d5dce4" w:val="clear"/>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Retailer EV capability</w:t>
            </w:r>
          </w:p>
        </w:tc>
        <w:tc>
          <w:tcPr>
            <w:shd w:fill="fff2cc" w:val="clear"/>
          </w:tcPr>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High</w:t>
            </w:r>
          </w:p>
        </w:tc>
        <w:tc>
          <w:tcPr>
            <w:shd w:fill="fff2cc" w:val="clear"/>
          </w:tcPr>
          <w:p w:rsidR="00000000" w:rsidDel="00000000" w:rsidP="00000000" w:rsidRDefault="00000000" w:rsidRPr="00000000" w14:paraId="00000156">
            <w:pPr>
              <w:rPr>
                <w:rFonts w:ascii="Arial" w:cs="Arial" w:eastAsia="Arial" w:hAnsi="Arial"/>
              </w:rPr>
            </w:pPr>
            <w:r w:rsidDel="00000000" w:rsidR="00000000" w:rsidRPr="00000000">
              <w:rPr>
                <w:rFonts w:ascii="Arial" w:cs="Arial" w:eastAsia="Arial" w:hAnsi="Arial"/>
                <w:rtl w:val="0"/>
              </w:rPr>
              <w:t xml:space="preserve">Medium-high</w:t>
            </w:r>
          </w:p>
        </w:tc>
        <w:tc>
          <w:tcPr>
            <w:shd w:fill="fff2cc" w:val="clear"/>
          </w:tcPr>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4</w:t>
            </w:r>
          </w:p>
        </w:tc>
      </w:tr>
    </w:tbl>
    <w:p w:rsidR="00000000" w:rsidDel="00000000" w:rsidP="00000000" w:rsidRDefault="00000000" w:rsidRPr="00000000" w14:paraId="0000015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59">
      <w:pPr>
        <w:rPr>
          <w:rFonts w:ascii="Arial" w:cs="Arial" w:eastAsia="Arial" w:hAnsi="Arial"/>
          <w:b w:val="1"/>
          <w:bCs w:val="1"/>
        </w:rPr>
      </w:pPr>
      <w:r w:rsidDel="00000000" w:rsidR="00000000" w:rsidRPr="00000000">
        <w:rPr>
          <w:rFonts w:ascii="Arial" w:cs="Arial" w:eastAsia="Arial" w:hAnsi="Arial"/>
          <w:b w:val="1"/>
          <w:bCs w:val="1"/>
          <w:rtl w:val="0"/>
        </w:rPr>
        <w:t xml:space="preserve">SAF evaluation using suitability, acceptability and feasibility</w:t>
      </w:r>
    </w:p>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The recommendations were assessed based on SAF in order to make them fit within the strategic context of Volkswagen UK. EV and PHEV leasing is very suitable because it aids in ZEV compliance and EV adoption, and highly feasible because it has the ability to finance it. But, acceptability is medium since the pressure of the margin is still a problem.</w:t>
      </w:r>
    </w:p>
    <w:p w:rsidR="00000000" w:rsidDel="00000000" w:rsidP="00000000" w:rsidRDefault="00000000" w:rsidRPr="00000000" w14:paraId="0000015B">
      <w:pPr>
        <w:rPr>
          <w:rFonts w:ascii="Arial" w:cs="Arial" w:eastAsia="Arial" w:hAnsi="Arial"/>
          <w:b w:val="1"/>
          <w:bCs w:val="1"/>
        </w:rPr>
      </w:pPr>
      <w:r w:rsidDel="00000000" w:rsidR="00000000" w:rsidRPr="00000000">
        <w:rPr>
          <w:rFonts w:ascii="Arial" w:cs="Arial" w:eastAsia="Arial" w:hAnsi="Arial"/>
          <w:b w:val="1"/>
          <w:bCs w:val="1"/>
          <w:rtl w:val="0"/>
        </w:rPr>
        <w:t xml:space="preserve">Evaluation of key strategic options</w:t>
      </w:r>
    </w:p>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The growth of fleet and salary sacrifice proves to be highly suitable, acceptable and feasible as it corresponds to the market dominated by fleets and promotes scalable EV uptake. The software enhancement is high and acceptable, but the feasibility is medium as it requires the Volkswagen Group delivery. The capability of retailer EV is high and acceptable, whereas the feasibility is medium-high because of the disparity in the readiness of dealers.</w:t>
      </w:r>
    </w:p>
    <w:p w:rsidR="00000000" w:rsidDel="00000000" w:rsidP="00000000" w:rsidRDefault="00000000" w:rsidRPr="00000000" w14:paraId="0000015D">
      <w:pPr>
        <w:rPr>
          <w:rFonts w:ascii="Arial" w:cs="Arial" w:eastAsia="Arial" w:hAnsi="Arial"/>
          <w:b w:val="1"/>
          <w:bCs w:val="1"/>
        </w:rPr>
      </w:pPr>
      <w:r w:rsidDel="00000000" w:rsidR="00000000" w:rsidRPr="00000000">
        <w:rPr>
          <w:rFonts w:ascii="Arial" w:cs="Arial" w:eastAsia="Arial" w:hAnsi="Arial"/>
          <w:b w:val="1"/>
          <w:bCs w:val="1"/>
          <w:rtl w:val="0"/>
        </w:rPr>
        <w:t xml:space="preserve">Rejected strategic options</w:t>
      </w:r>
    </w:p>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Pure cost leadership is weak because of low acceptability because it can lead to loss of margin to the Chinese competitors. Extensive diversification is not the most appropriate option as it makes it less focused on the main issue of profitable EV transition (Zhu et al., 2023).</w:t>
      </w:r>
    </w:p>
    <w:p w:rsidR="00000000" w:rsidDel="00000000" w:rsidP="00000000" w:rsidRDefault="00000000" w:rsidRPr="00000000" w14:paraId="0000015F">
      <w:pPr>
        <w:pStyle w:val="Heading1"/>
        <w:rPr>
          <w:rFonts w:ascii="Arial" w:cs="Arial" w:eastAsia="Arial" w:hAnsi="Arial"/>
          <w:sz w:val="24"/>
          <w:szCs w:val="24"/>
        </w:rPr>
      </w:pPr>
      <w:bookmarkStart w:colFirst="0" w:colLast="0" w:name="_zclorizg24jf" w:id="30"/>
      <w:bookmarkEnd w:id="30"/>
      <w:r w:rsidDel="00000000" w:rsidR="00000000" w:rsidRPr="00000000">
        <w:rPr>
          <w:rFonts w:ascii="Arial" w:cs="Arial" w:eastAsia="Arial" w:hAnsi="Arial"/>
          <w:sz w:val="24"/>
          <w:szCs w:val="24"/>
          <w:rtl w:val="0"/>
        </w:rPr>
        <w:t xml:space="preserve">Section 2: </w:t>
      </w:r>
    </w:p>
    <w:p w:rsidR="00000000" w:rsidDel="00000000" w:rsidP="00000000" w:rsidRDefault="00000000" w:rsidRPr="00000000" w14:paraId="00000160">
      <w:pPr>
        <w:pStyle w:val="Heading1"/>
        <w:rPr>
          <w:rFonts w:ascii="Arial" w:cs="Arial" w:eastAsia="Arial" w:hAnsi="Arial"/>
          <w:sz w:val="24"/>
          <w:szCs w:val="24"/>
        </w:rPr>
      </w:pPr>
      <w:bookmarkStart w:colFirst="0" w:colLast="0" w:name="_qctnxdf3l6pe" w:id="31"/>
      <w:bookmarkEnd w:id="31"/>
      <w:r w:rsidDel="00000000" w:rsidR="00000000" w:rsidRPr="00000000">
        <w:rPr>
          <w:rFonts w:ascii="Arial" w:cs="Arial" w:eastAsia="Arial" w:hAnsi="Arial"/>
          <w:sz w:val="24"/>
          <w:szCs w:val="24"/>
          <w:rtl w:val="0"/>
        </w:rPr>
        <w:t xml:space="preserve">Reflective account</w:t>
      </w:r>
    </w:p>
    <w:p w:rsidR="00000000" w:rsidDel="00000000" w:rsidP="00000000" w:rsidRDefault="00000000" w:rsidRPr="00000000" w14:paraId="00000161">
      <w:pPr>
        <w:pStyle w:val="Heading2"/>
        <w:rPr>
          <w:rFonts w:ascii="Arial" w:cs="Arial" w:eastAsia="Arial" w:hAnsi="Arial"/>
          <w:u w:val="single"/>
        </w:rPr>
      </w:pPr>
      <w:bookmarkStart w:colFirst="0" w:colLast="0" w:name="_b183k97q7bhd" w:id="32"/>
      <w:bookmarkEnd w:id="32"/>
      <w:r w:rsidDel="00000000" w:rsidR="00000000" w:rsidRPr="00000000">
        <w:rPr>
          <w:rFonts w:ascii="Arial" w:cs="Arial" w:eastAsia="Arial" w:hAnsi="Arial"/>
          <w:u w:val="single"/>
          <w:rtl w:val="0"/>
        </w:rPr>
        <w:t xml:space="preserve">Reflective account using Gibbs’ Reflective Cycle</w:t>
      </w:r>
    </w:p>
    <w:p w:rsidR="00000000" w:rsidDel="00000000" w:rsidP="00000000" w:rsidRDefault="00000000" w:rsidRPr="00000000" w14:paraId="00000162">
      <w:pPr>
        <w:rPr>
          <w:rFonts w:ascii="Arial" w:cs="Arial" w:eastAsia="Arial" w:hAnsi="Arial"/>
          <w:b w:val="1"/>
          <w:bCs w:val="1"/>
        </w:rPr>
      </w:pPr>
      <w:r w:rsidDel="00000000" w:rsidR="00000000" w:rsidRPr="00000000">
        <w:rPr>
          <w:rFonts w:ascii="Arial" w:cs="Arial" w:eastAsia="Arial" w:hAnsi="Arial"/>
          <w:b w:val="1"/>
          <w:bCs w:val="1"/>
          <w:rtl w:val="0"/>
        </w:rPr>
        <w:t xml:space="preserve">Description:</w:t>
      </w:r>
    </w:p>
    <w:p w:rsidR="00000000" w:rsidDel="00000000" w:rsidP="00000000" w:rsidRDefault="00000000" w:rsidRPr="00000000" w14:paraId="00000163">
      <w:pPr>
        <w:rPr>
          <w:rFonts w:ascii="Arial" w:cs="Arial" w:eastAsia="Arial" w:hAnsi="Arial"/>
        </w:rPr>
      </w:pPr>
      <w:r w:rsidDel="00000000" w:rsidR="00000000" w:rsidRPr="00000000">
        <w:rPr>
          <w:rFonts w:ascii="Arial" w:cs="Arial" w:eastAsia="Arial" w:hAnsi="Arial"/>
          <w:rtl w:val="0"/>
        </w:rPr>
        <w:t xml:space="preserve">I researched the strategic position of Volkswagen UK through the analysis of its performance in the market, competitive environment, EV transition, CSR strategy and implementation challenges. This was to formulate a clear picture of the interaction between internal advantages like brand equity, retailer network and scale of Volkswagen group and external advantages like Chinese EV competition, ZEV regulation, technological change and changing customer expectations. I reviewed industry statistics, company reports, governmental sources and recent news to back up the analysis with up-to-date evidence. Moreover, I used strategic models like PESTEL, Porter's Five Forces, VRIO, Balanced Scorecard and Ansoff Matrix to organize the assessment and make sure that it corresponds to the module learning outcomes and assessment requirements.</w:t>
      </w:r>
    </w:p>
    <w:p w:rsidR="00000000" w:rsidDel="00000000" w:rsidP="00000000" w:rsidRDefault="00000000" w:rsidRPr="00000000" w14:paraId="00000164">
      <w:pPr>
        <w:rPr>
          <w:rFonts w:ascii="Arial" w:cs="Arial" w:eastAsia="Arial" w:hAnsi="Arial"/>
          <w:b w:val="1"/>
          <w:bCs w:val="1"/>
        </w:rPr>
      </w:pPr>
      <w:r w:rsidDel="00000000" w:rsidR="00000000" w:rsidRPr="00000000">
        <w:rPr>
          <w:rFonts w:ascii="Arial" w:cs="Arial" w:eastAsia="Arial" w:hAnsi="Arial"/>
          <w:b w:val="1"/>
          <w:bCs w:val="1"/>
          <w:rtl w:val="0"/>
        </w:rPr>
        <w:t xml:space="preserve">Feelings:</w:t>
      </w:r>
    </w:p>
    <w:p w:rsidR="00000000" w:rsidDel="00000000" w:rsidP="00000000" w:rsidRDefault="00000000" w:rsidRPr="00000000" w14:paraId="00000165">
      <w:pPr>
        <w:rPr>
          <w:rFonts w:ascii="Arial" w:cs="Arial" w:eastAsia="Arial" w:hAnsi="Arial"/>
        </w:rPr>
      </w:pPr>
      <w:r w:rsidDel="00000000" w:rsidR="00000000" w:rsidRPr="00000000">
        <w:rPr>
          <w:rFonts w:ascii="Arial" w:cs="Arial" w:eastAsia="Arial" w:hAnsi="Arial"/>
          <w:rtl w:val="0"/>
        </w:rPr>
        <w:t xml:space="preserve">I had initially thought that the UK market leadership of Volkswagen meant that it had a stable and secure position in the market with strong brand recognition and stable sales performance. I thought that size and reputation would be enough to sustain a long-term benefit. This assumption was challenged as the research went on. It was proven that, though sales are high, EV affordability, software performance, and margin pressures and growing competition by Chinese entrants are major issues to Volkswagen (Hossain, 2024). This changed my thinking of seeing success as something safe to something that is conditional and constantly changing.</w:t>
      </w:r>
    </w:p>
    <w:p w:rsidR="00000000" w:rsidDel="00000000" w:rsidP="00000000" w:rsidRDefault="00000000" w:rsidRPr="00000000" w14:paraId="00000166">
      <w:pPr>
        <w:rPr>
          <w:rFonts w:ascii="Arial" w:cs="Arial" w:eastAsia="Arial" w:hAnsi="Arial"/>
          <w:b w:val="1"/>
          <w:bCs w:val="1"/>
        </w:rPr>
      </w:pPr>
      <w:r w:rsidDel="00000000" w:rsidR="00000000" w:rsidRPr="00000000">
        <w:rPr>
          <w:rFonts w:ascii="Arial" w:cs="Arial" w:eastAsia="Arial" w:hAnsi="Arial"/>
          <w:b w:val="1"/>
          <w:bCs w:val="1"/>
          <w:rtl w:val="0"/>
        </w:rPr>
        <w:t xml:space="preserve">Evaluation:</w:t>
      </w:r>
    </w:p>
    <w:p w:rsidR="00000000" w:rsidDel="00000000" w:rsidP="00000000" w:rsidRDefault="00000000" w:rsidRPr="00000000" w14:paraId="00000167">
      <w:pPr>
        <w:rPr>
          <w:rFonts w:ascii="Arial" w:cs="Arial" w:eastAsia="Arial" w:hAnsi="Arial"/>
        </w:rPr>
      </w:pPr>
      <w:r w:rsidDel="00000000" w:rsidR="00000000" w:rsidRPr="00000000">
        <w:rPr>
          <w:rFonts w:ascii="Arial" w:cs="Arial" w:eastAsia="Arial" w:hAnsi="Arial"/>
          <w:rtl w:val="0"/>
        </w:rPr>
        <w:t xml:space="preserve">The strongest part of my research process was the utilisation of credible and current sources, such as SMMT industry data, GOV.UK policy documents, Volkswagen reports and recent news articles. These sources helped me to justify the arguments with the help of the relevant statistics instead of using the general assumptions which enhanced the quality and reliability of the analysis. Specifically, the data on car registration in the UK offered a clear understanding of the position of Volkswagen in the market and the increasing pressure of EV adoption and regulation (Rezaei, 2025).</w:t>
      </w:r>
    </w:p>
    <w:p w:rsidR="00000000" w:rsidDel="00000000" w:rsidP="00000000" w:rsidRDefault="00000000" w:rsidRPr="00000000" w14:paraId="00000168">
      <w:pPr>
        <w:rPr>
          <w:rFonts w:ascii="Arial" w:cs="Arial" w:eastAsia="Arial" w:hAnsi="Arial"/>
        </w:rPr>
      </w:pPr>
      <w:r w:rsidDel="00000000" w:rsidR="00000000" w:rsidRPr="00000000">
        <w:rPr>
          <w:rFonts w:ascii="Arial" w:cs="Arial" w:eastAsia="Arial" w:hAnsi="Arial"/>
          <w:rtl w:val="0"/>
        </w:rPr>
        <w:t xml:space="preserve">Nonetheless, there were also challenges in the research process. One of the challenges was to differentiate between Volkswagen UK-specific and Volkswagen Group-level data. Group-level decisions that directly impact on UK performance include many strategic decisions including software development, investing in the EV platform and restructuring globally (Rathod and Tapas, 2025). This posed a danger of misinterpretation or overgeneralisation. To overcome this, I was critical evaluate sources and I did not make unsupported claims so that the conclusion was realistic and contextually accurate.</w:t>
      </w:r>
    </w:p>
    <w:p w:rsidR="00000000" w:rsidDel="00000000" w:rsidP="00000000" w:rsidRDefault="00000000" w:rsidRPr="00000000" w14:paraId="00000169">
      <w:pPr>
        <w:rPr>
          <w:rFonts w:ascii="Arial" w:cs="Arial" w:eastAsia="Arial" w:hAnsi="Arial"/>
          <w:b w:val="1"/>
          <w:bCs w:val="1"/>
        </w:rPr>
      </w:pPr>
      <w:r w:rsidDel="00000000" w:rsidR="00000000" w:rsidRPr="00000000">
        <w:rPr>
          <w:rFonts w:ascii="Arial" w:cs="Arial" w:eastAsia="Arial" w:hAnsi="Arial"/>
          <w:b w:val="1"/>
          <w:bCs w:val="1"/>
          <w:rtl w:val="0"/>
        </w:rPr>
        <w:t xml:space="preserve">Analysis:</w:t>
      </w:r>
    </w:p>
    <w:p w:rsidR="00000000" w:rsidDel="00000000" w:rsidP="00000000" w:rsidRDefault="00000000" w:rsidRPr="00000000" w14:paraId="0000016A">
      <w:pPr>
        <w:tabs>
          <w:tab w:val="left" w:leader="none" w:pos="284"/>
        </w:tabs>
        <w:rPr>
          <w:rFonts w:ascii="Arial" w:cs="Arial" w:eastAsia="Arial" w:hAnsi="Arial"/>
        </w:rPr>
      </w:pPr>
      <w:r w:rsidDel="00000000" w:rsidR="00000000" w:rsidRPr="00000000">
        <w:rPr>
          <w:rFonts w:ascii="Arial" w:cs="Arial" w:eastAsia="Arial" w:hAnsi="Arial"/>
          <w:rtl w:val="0"/>
        </w:rPr>
        <w:t xml:space="preserve">The research procedure revealed that strategic analysis is most effective when models are critically applied and not as descriptive frameworks. First, the risk of using tools like PESTEL or Porter's Five Forces as checklists existed (Liang et al., 2024). But a deeper engagement revealed that the models are only useful when they can explain the reason and the way strategic issues influence performance. As an example, the Five Forces proposed by Porter have pointed out that the market leadership of Volkswagen is weak because of the intense competition, the buyer power and the growing competition of the Chinese EV players. Likewise, VRIO analysis revealed that resources like brand equity and retailer networks are not only valuable but not rare enough to guarantee a long-term competitive advantage.</w:t>
      </w:r>
    </w:p>
    <w:p w:rsidR="00000000" w:rsidDel="00000000" w:rsidP="00000000" w:rsidRDefault="00000000" w:rsidRPr="00000000" w14:paraId="0000016B">
      <w:pPr>
        <w:rPr>
          <w:rFonts w:ascii="Arial" w:cs="Arial" w:eastAsia="Arial" w:hAnsi="Arial"/>
        </w:rPr>
      </w:pPr>
      <w:r w:rsidDel="00000000" w:rsidR="00000000" w:rsidRPr="00000000">
        <w:rPr>
          <w:rFonts w:ascii="Arial" w:cs="Arial" w:eastAsia="Arial" w:hAnsi="Arial"/>
          <w:rtl w:val="0"/>
        </w:rPr>
        <w:t xml:space="preserve">I also found limitations in the evidence available. Industry data (registration volumes and market share) gives a clear picture of the performance but fails to capture profitability, customer satisfaction or internal organisational culture. This poses a risk of overestimating strategic strength. Moreover, the CSR commitments of Volkswagen needed to be critically interpreted because sustainability strategies can seem all-encompassing, yet can be compromised by the problem of battery sourcing, lifecycle emissions, and the continuing effects of the Dieselgate on trust (Rawal, 2026). To overcome these limitations, I paid attention to synthesising various sources and connecting theory to the real-world implications, so that the analysis would be balanced, critical and evidence-based.</w:t>
      </w:r>
    </w:p>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My initial assumption was that a good strong leadership position by Volkswagen meant that the company had a safe and stable competitive position. Yet, the study contradicted this perspective by showing forces of EV transition, Chinese competition and margin constraint, shifting my perception of stability to more contingent and dynamic strategic perspective.</w:t>
      </w:r>
    </w:p>
    <w:p w:rsidR="00000000" w:rsidDel="00000000" w:rsidP="00000000" w:rsidRDefault="00000000" w:rsidRPr="00000000" w14:paraId="0000016D">
      <w:pPr>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16E">
      <w:pPr>
        <w:rPr>
          <w:rFonts w:ascii="Arial" w:cs="Arial" w:eastAsia="Arial" w:hAnsi="Arial"/>
        </w:rPr>
      </w:pPr>
      <w:r w:rsidDel="00000000" w:rsidR="00000000" w:rsidRPr="00000000">
        <w:rPr>
          <w:rFonts w:ascii="Arial" w:cs="Arial" w:eastAsia="Arial" w:hAnsi="Arial"/>
          <w:rtl w:val="0"/>
        </w:rPr>
        <w:t xml:space="preserve">I came to know that the strategic location of Volkswagen UK is good but conditional. Market leadership, brand loyalty and Group size are all visible advantages that must be continually modified to the external pressures such as EV regulations, software requirements and cost issues. The analysis revealed that competitive advantage is no longer founded on engineering or scale alone, but rather, more on digital capability, customer experience and sustainability credibility. I also realized that sustainability and implementation do not exist outside the strategy; they directly affect compliance, operational performance, brand trust and long-term competitiveness in the fast-evolving automotive market (Kallitsis et al., 2022).</w:t>
      </w:r>
    </w:p>
    <w:p w:rsidR="00000000" w:rsidDel="00000000" w:rsidP="00000000" w:rsidRDefault="00000000" w:rsidRPr="00000000" w14:paraId="0000016F">
      <w:pPr>
        <w:rPr>
          <w:rFonts w:ascii="Arial" w:cs="Arial" w:eastAsia="Arial" w:hAnsi="Arial"/>
          <w:b w:val="1"/>
          <w:bCs w:val="1"/>
        </w:rPr>
      </w:pPr>
      <w:r w:rsidDel="00000000" w:rsidR="00000000" w:rsidRPr="00000000">
        <w:rPr>
          <w:rFonts w:ascii="Arial" w:cs="Arial" w:eastAsia="Arial" w:hAnsi="Arial"/>
          <w:b w:val="1"/>
          <w:bCs w:val="1"/>
          <w:rtl w:val="0"/>
        </w:rPr>
        <w:t xml:space="preserve">Action plan:</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67"/>
        <w:gridCol w:w="1742"/>
        <w:gridCol w:w="1680"/>
        <w:gridCol w:w="1617"/>
        <w:gridCol w:w="1456"/>
        <w:gridCol w:w="1054"/>
        <w:tblGridChange w:id="0">
          <w:tblGrid>
            <w:gridCol w:w="1467"/>
            <w:gridCol w:w="1742"/>
            <w:gridCol w:w="1680"/>
            <w:gridCol w:w="1617"/>
            <w:gridCol w:w="1456"/>
            <w:gridCol w:w="1054"/>
          </w:tblGrid>
        </w:tblGridChange>
      </w:tblGrid>
      <w:tr>
        <w:trPr>
          <w:cantSplit w:val="0"/>
          <w:tblHeader w:val="0"/>
        </w:trPr>
        <w:tc>
          <w:tcPr>
            <w:shd w:fill="e2efd9" w:val="clear"/>
          </w:tcPr>
          <w:p w:rsidR="00000000" w:rsidDel="00000000" w:rsidP="00000000" w:rsidRDefault="00000000" w:rsidRPr="00000000" w14:paraId="00000170">
            <w:pPr>
              <w:rPr>
                <w:rFonts w:ascii="Arial" w:cs="Arial" w:eastAsia="Arial" w:hAnsi="Arial"/>
                <w:b w:val="1"/>
                <w:bCs w:val="1"/>
              </w:rPr>
            </w:pPr>
            <w:r w:rsidDel="00000000" w:rsidR="00000000" w:rsidRPr="00000000">
              <w:rPr>
                <w:rFonts w:ascii="Arial" w:cs="Arial" w:eastAsia="Arial" w:hAnsi="Arial"/>
                <w:b w:val="1"/>
                <w:bCs w:val="1"/>
                <w:rtl w:val="0"/>
              </w:rPr>
              <w:t xml:space="preserve">Goal</w:t>
            </w:r>
          </w:p>
        </w:tc>
        <w:tc>
          <w:tcPr>
            <w:shd w:fill="e2efd9" w:val="clear"/>
          </w:tcPr>
          <w:p w:rsidR="00000000" w:rsidDel="00000000" w:rsidP="00000000" w:rsidRDefault="00000000" w:rsidRPr="00000000" w14:paraId="00000171">
            <w:pPr>
              <w:rPr>
                <w:rFonts w:ascii="Arial" w:cs="Arial" w:eastAsia="Arial" w:hAnsi="Arial"/>
                <w:b w:val="1"/>
                <w:bCs w:val="1"/>
              </w:rPr>
            </w:pPr>
            <w:r w:rsidDel="00000000" w:rsidR="00000000" w:rsidRPr="00000000">
              <w:rPr>
                <w:rFonts w:ascii="Arial" w:cs="Arial" w:eastAsia="Arial" w:hAnsi="Arial"/>
                <w:b w:val="1"/>
                <w:bCs w:val="1"/>
                <w:rtl w:val="0"/>
              </w:rPr>
              <w:t xml:space="preserve">Specific</w:t>
            </w:r>
          </w:p>
        </w:tc>
        <w:tc>
          <w:tcPr>
            <w:shd w:fill="e2efd9" w:val="clear"/>
          </w:tcPr>
          <w:p w:rsidR="00000000" w:rsidDel="00000000" w:rsidP="00000000" w:rsidRDefault="00000000" w:rsidRPr="00000000" w14:paraId="00000172">
            <w:pPr>
              <w:rPr>
                <w:rFonts w:ascii="Arial" w:cs="Arial" w:eastAsia="Arial" w:hAnsi="Arial"/>
                <w:b w:val="1"/>
                <w:bCs w:val="1"/>
              </w:rPr>
            </w:pPr>
            <w:r w:rsidDel="00000000" w:rsidR="00000000" w:rsidRPr="00000000">
              <w:rPr>
                <w:rFonts w:ascii="Arial" w:cs="Arial" w:eastAsia="Arial" w:hAnsi="Arial"/>
                <w:b w:val="1"/>
                <w:bCs w:val="1"/>
                <w:rtl w:val="0"/>
              </w:rPr>
              <w:t xml:space="preserve">Measurable</w:t>
            </w:r>
          </w:p>
        </w:tc>
        <w:tc>
          <w:tcPr>
            <w:shd w:fill="e2efd9" w:val="clear"/>
          </w:tcPr>
          <w:p w:rsidR="00000000" w:rsidDel="00000000" w:rsidP="00000000" w:rsidRDefault="00000000" w:rsidRPr="00000000" w14:paraId="00000173">
            <w:pPr>
              <w:rPr>
                <w:rFonts w:ascii="Arial" w:cs="Arial" w:eastAsia="Arial" w:hAnsi="Arial"/>
                <w:b w:val="1"/>
                <w:bCs w:val="1"/>
              </w:rPr>
            </w:pPr>
            <w:r w:rsidDel="00000000" w:rsidR="00000000" w:rsidRPr="00000000">
              <w:rPr>
                <w:rFonts w:ascii="Arial" w:cs="Arial" w:eastAsia="Arial" w:hAnsi="Arial"/>
                <w:b w:val="1"/>
                <w:bCs w:val="1"/>
                <w:rtl w:val="0"/>
              </w:rPr>
              <w:t xml:space="preserve">Achievable</w:t>
            </w:r>
          </w:p>
        </w:tc>
        <w:tc>
          <w:tcPr>
            <w:shd w:fill="e2efd9" w:val="clear"/>
          </w:tcPr>
          <w:p w:rsidR="00000000" w:rsidDel="00000000" w:rsidP="00000000" w:rsidRDefault="00000000" w:rsidRPr="00000000" w14:paraId="00000174">
            <w:pPr>
              <w:rPr>
                <w:rFonts w:ascii="Arial" w:cs="Arial" w:eastAsia="Arial" w:hAnsi="Arial"/>
                <w:b w:val="1"/>
                <w:bCs w:val="1"/>
              </w:rPr>
            </w:pPr>
            <w:r w:rsidDel="00000000" w:rsidR="00000000" w:rsidRPr="00000000">
              <w:rPr>
                <w:rFonts w:ascii="Arial" w:cs="Arial" w:eastAsia="Arial" w:hAnsi="Arial"/>
                <w:b w:val="1"/>
                <w:bCs w:val="1"/>
                <w:rtl w:val="0"/>
              </w:rPr>
              <w:t xml:space="preserve">Relevant</w:t>
            </w:r>
          </w:p>
        </w:tc>
        <w:tc>
          <w:tcPr>
            <w:shd w:fill="e2efd9" w:val="clear"/>
          </w:tcPr>
          <w:p w:rsidR="00000000" w:rsidDel="00000000" w:rsidP="00000000" w:rsidRDefault="00000000" w:rsidRPr="00000000" w14:paraId="00000175">
            <w:pPr>
              <w:rPr>
                <w:rFonts w:ascii="Arial" w:cs="Arial" w:eastAsia="Arial" w:hAnsi="Arial"/>
                <w:b w:val="1"/>
                <w:bCs w:val="1"/>
              </w:rPr>
            </w:pPr>
            <w:r w:rsidDel="00000000" w:rsidR="00000000" w:rsidRPr="00000000">
              <w:rPr>
                <w:rFonts w:ascii="Arial" w:cs="Arial" w:eastAsia="Arial" w:hAnsi="Arial"/>
                <w:b w:val="1"/>
                <w:bCs w:val="1"/>
                <w:rtl w:val="0"/>
              </w:rPr>
              <w:t xml:space="preserve">Time-bound</w:t>
            </w:r>
          </w:p>
        </w:tc>
      </w:tr>
      <w:tr>
        <w:trPr>
          <w:cantSplit w:val="0"/>
          <w:tblHeader w:val="0"/>
        </w:trPr>
        <w:tc>
          <w:tcPr>
            <w:shd w:fill="e2efd9" w:val="clear"/>
          </w:tcPr>
          <w:p w:rsidR="00000000" w:rsidDel="00000000" w:rsidP="00000000" w:rsidRDefault="00000000" w:rsidRPr="00000000" w14:paraId="00000176">
            <w:pPr>
              <w:rPr>
                <w:rFonts w:ascii="Arial" w:cs="Arial" w:eastAsia="Arial" w:hAnsi="Arial"/>
              </w:rPr>
            </w:pPr>
            <w:r w:rsidDel="00000000" w:rsidR="00000000" w:rsidRPr="00000000">
              <w:rPr>
                <w:rFonts w:ascii="Arial" w:cs="Arial" w:eastAsia="Arial" w:hAnsi="Arial"/>
                <w:rtl w:val="0"/>
              </w:rPr>
              <w:t xml:space="preserve">Source evaluation</w:t>
            </w:r>
          </w:p>
        </w:tc>
        <w:tc>
          <w:tcPr>
            <w:shd w:fill="c5e0b3" w:val="clear"/>
          </w:tcPr>
          <w:p w:rsidR="00000000" w:rsidDel="00000000" w:rsidP="00000000" w:rsidRDefault="00000000" w:rsidRPr="00000000" w14:paraId="00000177">
            <w:pPr>
              <w:rPr>
                <w:rFonts w:ascii="Arial" w:cs="Arial" w:eastAsia="Arial" w:hAnsi="Arial"/>
              </w:rPr>
            </w:pPr>
            <w:r w:rsidDel="00000000" w:rsidR="00000000" w:rsidRPr="00000000">
              <w:rPr>
                <w:rFonts w:ascii="Arial" w:cs="Arial" w:eastAsia="Arial" w:hAnsi="Arial"/>
                <w:rtl w:val="0"/>
              </w:rPr>
              <w:t xml:space="preserve">Critically assess source credibility and bias across company, academic and media data</w:t>
            </w:r>
          </w:p>
        </w:tc>
        <w:tc>
          <w:tcPr>
            <w:shd w:fill="c5e0b3" w:val="clear"/>
          </w:tcPr>
          <w:p w:rsidR="00000000" w:rsidDel="00000000" w:rsidP="00000000" w:rsidRDefault="00000000" w:rsidRPr="00000000" w14:paraId="00000178">
            <w:pPr>
              <w:rPr>
                <w:rFonts w:ascii="Arial" w:cs="Arial" w:eastAsia="Arial" w:hAnsi="Arial"/>
              </w:rPr>
            </w:pPr>
            <w:r w:rsidDel="00000000" w:rsidR="00000000" w:rsidRPr="00000000">
              <w:rPr>
                <w:rFonts w:ascii="Arial" w:cs="Arial" w:eastAsia="Arial" w:hAnsi="Arial"/>
                <w:rtl w:val="0"/>
              </w:rPr>
              <w:t xml:space="preserve">Evaluate at least 25 sources using credibility criteria</w:t>
            </w:r>
          </w:p>
        </w:tc>
        <w:tc>
          <w:tcPr>
            <w:shd w:fill="c5e0b3" w:val="clear"/>
          </w:tcPr>
          <w:p w:rsidR="00000000" w:rsidDel="00000000" w:rsidP="00000000" w:rsidRDefault="00000000" w:rsidRPr="00000000" w14:paraId="00000179">
            <w:pPr>
              <w:rPr>
                <w:rFonts w:ascii="Arial" w:cs="Arial" w:eastAsia="Arial" w:hAnsi="Arial"/>
              </w:rPr>
            </w:pPr>
            <w:r w:rsidDel="00000000" w:rsidR="00000000" w:rsidRPr="00000000">
              <w:rPr>
                <w:rFonts w:ascii="Arial" w:cs="Arial" w:eastAsia="Arial" w:hAnsi="Arial"/>
                <w:rtl w:val="0"/>
              </w:rPr>
              <w:t xml:space="preserve">Use university library and evaluation frameworks</w:t>
            </w:r>
          </w:p>
        </w:tc>
        <w:tc>
          <w:tcPr>
            <w:shd w:fill="c5e0b3" w:val="clear"/>
          </w:tcPr>
          <w:p w:rsidR="00000000" w:rsidDel="00000000" w:rsidP="00000000" w:rsidRDefault="00000000" w:rsidRPr="00000000" w14:paraId="0000017A">
            <w:pPr>
              <w:rPr>
                <w:rFonts w:ascii="Arial" w:cs="Arial" w:eastAsia="Arial" w:hAnsi="Arial"/>
              </w:rPr>
            </w:pPr>
            <w:r w:rsidDel="00000000" w:rsidR="00000000" w:rsidRPr="00000000">
              <w:rPr>
                <w:rFonts w:ascii="Arial" w:cs="Arial" w:eastAsia="Arial" w:hAnsi="Arial"/>
                <w:rtl w:val="0"/>
              </w:rPr>
              <w:t xml:space="preserve">Improves academic rigour and reliability</w:t>
            </w:r>
          </w:p>
        </w:tc>
        <w:tc>
          <w:tcPr>
            <w:shd w:fill="c5e0b3" w:val="clear"/>
          </w:tcPr>
          <w:p w:rsidR="00000000" w:rsidDel="00000000" w:rsidP="00000000" w:rsidRDefault="00000000" w:rsidRPr="00000000" w14:paraId="0000017B">
            <w:pPr>
              <w:rPr>
                <w:rFonts w:ascii="Arial" w:cs="Arial" w:eastAsia="Arial" w:hAnsi="Arial"/>
              </w:rPr>
            </w:pPr>
            <w:r w:rsidDel="00000000" w:rsidR="00000000" w:rsidRPr="00000000">
              <w:rPr>
                <w:rFonts w:ascii="Arial" w:cs="Arial" w:eastAsia="Arial" w:hAnsi="Arial"/>
                <w:rtl w:val="0"/>
              </w:rPr>
              <w:t xml:space="preserve">Within first 3 days</w:t>
            </w:r>
          </w:p>
        </w:tc>
      </w:tr>
      <w:tr>
        <w:trPr>
          <w:cantSplit w:val="0"/>
          <w:tblHeader w:val="0"/>
        </w:trPr>
        <w:tc>
          <w:tcPr>
            <w:shd w:fill="e2efd9" w:val="clear"/>
          </w:tcPr>
          <w:p w:rsidR="00000000" w:rsidDel="00000000" w:rsidP="00000000" w:rsidRDefault="00000000" w:rsidRPr="00000000" w14:paraId="0000017C">
            <w:pPr>
              <w:rPr>
                <w:rFonts w:ascii="Arial" w:cs="Arial" w:eastAsia="Arial" w:hAnsi="Arial"/>
              </w:rPr>
            </w:pPr>
            <w:r w:rsidDel="00000000" w:rsidR="00000000" w:rsidRPr="00000000">
              <w:rPr>
                <w:rFonts w:ascii="Arial" w:cs="Arial" w:eastAsia="Arial" w:hAnsi="Arial"/>
                <w:rtl w:val="0"/>
              </w:rPr>
              <w:t xml:space="preserve">Data preparation</w:t>
            </w:r>
          </w:p>
        </w:tc>
        <w:tc>
          <w:tcPr>
            <w:shd w:fill="c5e0b3" w:val="clear"/>
          </w:tcPr>
          <w:p w:rsidR="00000000" w:rsidDel="00000000" w:rsidP="00000000" w:rsidRDefault="00000000" w:rsidRPr="00000000" w14:paraId="0000017D">
            <w:pPr>
              <w:rPr>
                <w:rFonts w:ascii="Arial" w:cs="Arial" w:eastAsia="Arial" w:hAnsi="Arial"/>
              </w:rPr>
            </w:pPr>
            <w:r w:rsidDel="00000000" w:rsidR="00000000" w:rsidRPr="00000000">
              <w:rPr>
                <w:rFonts w:ascii="Arial" w:cs="Arial" w:eastAsia="Arial" w:hAnsi="Arial"/>
                <w:rtl w:val="0"/>
              </w:rPr>
              <w:t xml:space="preserve">Develop structured tables for key metrics and trends</w:t>
            </w:r>
          </w:p>
        </w:tc>
        <w:tc>
          <w:tcPr>
            <w:shd w:fill="c5e0b3" w:val="clear"/>
          </w:tcPr>
          <w:p w:rsidR="00000000" w:rsidDel="00000000" w:rsidP="00000000" w:rsidRDefault="00000000" w:rsidRPr="00000000" w14:paraId="0000017E">
            <w:pPr>
              <w:rPr>
                <w:rFonts w:ascii="Arial" w:cs="Arial" w:eastAsia="Arial" w:hAnsi="Arial"/>
              </w:rPr>
            </w:pPr>
            <w:r w:rsidDel="00000000" w:rsidR="00000000" w:rsidRPr="00000000">
              <w:rPr>
                <w:rFonts w:ascii="Arial" w:cs="Arial" w:eastAsia="Arial" w:hAnsi="Arial"/>
                <w:rtl w:val="0"/>
              </w:rPr>
              <w:t xml:space="preserve">At least 3 analytical tables created</w:t>
            </w:r>
          </w:p>
        </w:tc>
        <w:tc>
          <w:tcPr>
            <w:shd w:fill="c5e0b3" w:val="clear"/>
          </w:tcPr>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Use Excel or Word tools</w:t>
            </w:r>
          </w:p>
        </w:tc>
        <w:tc>
          <w:tcPr>
            <w:shd w:fill="c5e0b3" w:val="clear"/>
          </w:tcPr>
          <w:p w:rsidR="00000000" w:rsidDel="00000000" w:rsidP="00000000" w:rsidRDefault="00000000" w:rsidRPr="00000000" w14:paraId="00000180">
            <w:pPr>
              <w:rPr>
                <w:rFonts w:ascii="Arial" w:cs="Arial" w:eastAsia="Arial" w:hAnsi="Arial"/>
              </w:rPr>
            </w:pPr>
            <w:r w:rsidDel="00000000" w:rsidR="00000000" w:rsidRPr="00000000">
              <w:rPr>
                <w:rFonts w:ascii="Arial" w:cs="Arial" w:eastAsia="Arial" w:hAnsi="Arial"/>
                <w:rtl w:val="0"/>
              </w:rPr>
              <w:t xml:space="preserve">Supports evidence-based arguments</w:t>
            </w:r>
          </w:p>
        </w:tc>
        <w:tc>
          <w:tcPr>
            <w:shd w:fill="c5e0b3" w:val="clear"/>
          </w:tcPr>
          <w:p w:rsidR="00000000" w:rsidDel="00000000" w:rsidP="00000000" w:rsidRDefault="00000000" w:rsidRPr="00000000" w14:paraId="00000181">
            <w:pPr>
              <w:rPr>
                <w:rFonts w:ascii="Arial" w:cs="Arial" w:eastAsia="Arial" w:hAnsi="Arial"/>
              </w:rPr>
            </w:pPr>
            <w:r w:rsidDel="00000000" w:rsidR="00000000" w:rsidRPr="00000000">
              <w:rPr>
                <w:rFonts w:ascii="Arial" w:cs="Arial" w:eastAsia="Arial" w:hAnsi="Arial"/>
                <w:rtl w:val="0"/>
              </w:rPr>
              <w:t xml:space="preserve">Within first week</w:t>
            </w:r>
          </w:p>
        </w:tc>
      </w:tr>
      <w:tr>
        <w:trPr>
          <w:cantSplit w:val="0"/>
          <w:tblHeader w:val="0"/>
        </w:trPr>
        <w:tc>
          <w:tcPr>
            <w:shd w:fill="e2efd9" w:val="clear"/>
          </w:tcPr>
          <w:p w:rsidR="00000000" w:rsidDel="00000000" w:rsidP="00000000" w:rsidRDefault="00000000" w:rsidRPr="00000000" w14:paraId="00000182">
            <w:pPr>
              <w:rPr>
                <w:rFonts w:ascii="Arial" w:cs="Arial" w:eastAsia="Arial" w:hAnsi="Arial"/>
              </w:rPr>
            </w:pPr>
            <w:r w:rsidDel="00000000" w:rsidR="00000000" w:rsidRPr="00000000">
              <w:rPr>
                <w:rFonts w:ascii="Arial" w:cs="Arial" w:eastAsia="Arial" w:hAnsi="Arial"/>
                <w:rtl w:val="0"/>
              </w:rPr>
              <w:t xml:space="preserve">Academic integration</w:t>
            </w:r>
          </w:p>
        </w:tc>
        <w:tc>
          <w:tcPr>
            <w:shd w:fill="c5e0b3" w:val="clear"/>
          </w:tcPr>
          <w:p w:rsidR="00000000" w:rsidDel="00000000" w:rsidP="00000000" w:rsidRDefault="00000000" w:rsidRPr="00000000" w14:paraId="00000183">
            <w:pPr>
              <w:rPr>
                <w:rFonts w:ascii="Arial" w:cs="Arial" w:eastAsia="Arial" w:hAnsi="Arial"/>
              </w:rPr>
            </w:pPr>
            <w:r w:rsidDel="00000000" w:rsidR="00000000" w:rsidRPr="00000000">
              <w:rPr>
                <w:rFonts w:ascii="Arial" w:cs="Arial" w:eastAsia="Arial" w:hAnsi="Arial"/>
                <w:rtl w:val="0"/>
              </w:rPr>
              <w:t xml:space="preserve">Strengthen use of peer-reviewed theory in analysis</w:t>
            </w:r>
          </w:p>
        </w:tc>
        <w:tc>
          <w:tcPr>
            <w:shd w:fill="c5e0b3" w:val="clear"/>
          </w:tcPr>
          <w:p w:rsidR="00000000" w:rsidDel="00000000" w:rsidP="00000000" w:rsidRDefault="00000000" w:rsidRPr="00000000" w14:paraId="00000184">
            <w:pPr>
              <w:rPr>
                <w:rFonts w:ascii="Arial" w:cs="Arial" w:eastAsia="Arial" w:hAnsi="Arial"/>
              </w:rPr>
            </w:pPr>
            <w:r w:rsidDel="00000000" w:rsidR="00000000" w:rsidRPr="00000000">
              <w:rPr>
                <w:rFonts w:ascii="Arial" w:cs="Arial" w:eastAsia="Arial" w:hAnsi="Arial"/>
                <w:rtl w:val="0"/>
              </w:rPr>
              <w:t xml:space="preserve">Minimum 10 journal sources integrated</w:t>
            </w:r>
          </w:p>
        </w:tc>
        <w:tc>
          <w:tcPr>
            <w:shd w:fill="c5e0b3" w:val="clear"/>
          </w:tcPr>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Access academic databases</w:t>
            </w:r>
          </w:p>
        </w:tc>
        <w:tc>
          <w:tcPr>
            <w:shd w:fill="c5e0b3" w:val="clear"/>
          </w:tcPr>
          <w:p w:rsidR="00000000" w:rsidDel="00000000" w:rsidP="00000000" w:rsidRDefault="00000000" w:rsidRPr="00000000" w14:paraId="00000186">
            <w:pPr>
              <w:rPr>
                <w:rFonts w:ascii="Arial" w:cs="Arial" w:eastAsia="Arial" w:hAnsi="Arial"/>
              </w:rPr>
            </w:pPr>
            <w:r w:rsidDel="00000000" w:rsidR="00000000" w:rsidRPr="00000000">
              <w:rPr>
                <w:rFonts w:ascii="Arial" w:cs="Arial" w:eastAsia="Arial" w:hAnsi="Arial"/>
                <w:rtl w:val="0"/>
              </w:rPr>
              <w:t xml:space="preserve">Enhances critical depth</w:t>
            </w:r>
          </w:p>
        </w:tc>
        <w:tc>
          <w:tcPr>
            <w:shd w:fill="c5e0b3" w:val="clear"/>
          </w:tcPr>
          <w:p w:rsidR="00000000" w:rsidDel="00000000" w:rsidP="00000000" w:rsidRDefault="00000000" w:rsidRPr="00000000" w14:paraId="00000187">
            <w:pPr>
              <w:rPr>
                <w:rFonts w:ascii="Arial" w:cs="Arial" w:eastAsia="Arial" w:hAnsi="Arial"/>
              </w:rPr>
            </w:pPr>
            <w:r w:rsidDel="00000000" w:rsidR="00000000" w:rsidRPr="00000000">
              <w:rPr>
                <w:rFonts w:ascii="Arial" w:cs="Arial" w:eastAsia="Arial" w:hAnsi="Arial"/>
                <w:rtl w:val="0"/>
              </w:rPr>
              <w:t xml:space="preserve">Before drafting</w:t>
            </w:r>
          </w:p>
        </w:tc>
      </w:tr>
      <w:tr>
        <w:trPr>
          <w:cantSplit w:val="0"/>
          <w:tblHeader w:val="0"/>
        </w:trPr>
        <w:tc>
          <w:tcPr>
            <w:shd w:fill="e2efd9" w:val="clear"/>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Critical thinking</w:t>
            </w:r>
          </w:p>
        </w:tc>
        <w:tc>
          <w:tcPr>
            <w:shd w:fill="c5e0b3" w:val="clear"/>
          </w:tcPr>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Link models directly to real-world implications</w:t>
            </w:r>
          </w:p>
        </w:tc>
        <w:tc>
          <w:tcPr>
            <w:shd w:fill="c5e0b3" w:val="clear"/>
          </w:tcPr>
          <w:p w:rsidR="00000000" w:rsidDel="00000000" w:rsidP="00000000" w:rsidRDefault="00000000" w:rsidRPr="00000000" w14:paraId="0000018A">
            <w:pPr>
              <w:rPr>
                <w:rFonts w:ascii="Arial" w:cs="Arial" w:eastAsia="Arial" w:hAnsi="Arial"/>
              </w:rPr>
            </w:pPr>
            <w:r w:rsidDel="00000000" w:rsidR="00000000" w:rsidRPr="00000000">
              <w:rPr>
                <w:rFonts w:ascii="Arial" w:cs="Arial" w:eastAsia="Arial" w:hAnsi="Arial"/>
                <w:rtl w:val="0"/>
              </w:rPr>
              <w:t xml:space="preserve">Apply at least 2 theories per section with critique</w:t>
            </w:r>
          </w:p>
        </w:tc>
        <w:tc>
          <w:tcPr>
            <w:shd w:fill="c5e0b3" w:val="clear"/>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rtl w:val="0"/>
              </w:rPr>
              <w:t xml:space="preserve">Use structured analytical approach</w:t>
            </w:r>
          </w:p>
        </w:tc>
        <w:tc>
          <w:tcPr>
            <w:shd w:fill="c5e0b3" w:val="clear"/>
          </w:tcPr>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Improves synthesis and evaluation</w:t>
            </w:r>
          </w:p>
        </w:tc>
        <w:tc>
          <w:tcPr>
            <w:shd w:fill="c5e0b3" w:val="clear"/>
          </w:tcPr>
          <w:p w:rsidR="00000000" w:rsidDel="00000000" w:rsidP="00000000" w:rsidRDefault="00000000" w:rsidRPr="00000000" w14:paraId="0000018D">
            <w:pPr>
              <w:rPr>
                <w:rFonts w:ascii="Arial" w:cs="Arial" w:eastAsia="Arial" w:hAnsi="Arial"/>
              </w:rPr>
            </w:pPr>
            <w:r w:rsidDel="00000000" w:rsidR="00000000" w:rsidRPr="00000000">
              <w:rPr>
                <w:rFonts w:ascii="Arial" w:cs="Arial" w:eastAsia="Arial" w:hAnsi="Arial"/>
                <w:rtl w:val="0"/>
              </w:rPr>
              <w:t xml:space="preserve">During drafting</w:t>
            </w:r>
          </w:p>
        </w:tc>
      </w:tr>
    </w:tbl>
    <w:p w:rsidR="00000000" w:rsidDel="00000000" w:rsidP="00000000" w:rsidRDefault="00000000" w:rsidRPr="00000000" w14:paraId="0000018E">
      <w:pPr>
        <w:rPr>
          <w:rFonts w:ascii="Arial" w:cs="Arial" w:eastAsia="Arial" w:hAnsi="Arial"/>
        </w:rPr>
      </w:pPr>
      <w:r w:rsidDel="00000000" w:rsidR="00000000" w:rsidRPr="00000000">
        <w:rPr>
          <w:rtl w:val="0"/>
        </w:rPr>
      </w:r>
    </w:p>
    <w:p w:rsidR="00000000" w:rsidDel="00000000" w:rsidP="00000000" w:rsidRDefault="00000000" w:rsidRPr="00000000" w14:paraId="0000018F">
      <w:pPr>
        <w:pStyle w:val="Heading1"/>
        <w:rPr>
          <w:rFonts w:ascii="Arial" w:cs="Arial" w:eastAsia="Arial" w:hAnsi="Arial"/>
          <w:sz w:val="24"/>
          <w:szCs w:val="24"/>
        </w:rPr>
      </w:pPr>
      <w:bookmarkStart w:colFirst="0" w:colLast="0" w:name="_eh66y63o8tra" w:id="33"/>
      <w:bookmarkEnd w:id="33"/>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In conclusion, Volkswagen UK has a strong but conditional strategic position. Section 1 defined that brand equity, organisational size and a wide network of retailers are the basis of its competitive advantage but this status is under increasing pressure due to EV regulation, competition, digital demands and margin pressures. Section 2 emphasised the need to analyse critically and base on evidence. The final justification is that long-term competitiveness will be based on whether Volkswagen can convert its conventional competitive advantages into affordable, digitally developed and sustainable EVs. The most pressing need is to provide affordable and reliable EV solutions, as the inability to achieve ZEV targets and remain profitable will pose a direct risk to compliance and domination.</w:t>
      </w:r>
    </w:p>
    <w:p w:rsidR="00000000" w:rsidDel="00000000" w:rsidP="00000000" w:rsidRDefault="00000000" w:rsidRPr="00000000" w14:paraId="00000191">
      <w:pPr>
        <w:rPr>
          <w:rFonts w:ascii="Arial" w:cs="Arial" w:eastAsia="Arial" w:hAnsi="Arial"/>
        </w:rPr>
      </w:pPr>
      <w:r w:rsidDel="00000000" w:rsidR="00000000" w:rsidRPr="00000000">
        <w:rPr>
          <w:rtl w:val="0"/>
        </w:rPr>
      </w:r>
    </w:p>
    <w:p w:rsidR="00000000" w:rsidDel="00000000" w:rsidP="00000000" w:rsidRDefault="00000000" w:rsidRPr="00000000" w14:paraId="00000192">
      <w:pPr>
        <w:rPr>
          <w:rFonts w:ascii="Arial" w:cs="Arial" w:eastAsia="Arial" w:hAnsi="Arial"/>
        </w:rPr>
      </w:pPr>
      <w:r w:rsidDel="00000000" w:rsidR="00000000" w:rsidRPr="00000000">
        <w:rPr>
          <w:rtl w:val="0"/>
        </w:rPr>
      </w:r>
    </w:p>
    <w:p w:rsidR="00000000" w:rsidDel="00000000" w:rsidP="00000000" w:rsidRDefault="00000000" w:rsidRPr="00000000" w14:paraId="00000193">
      <w:pPr>
        <w:rPr>
          <w:rFonts w:ascii="Arial" w:cs="Arial" w:eastAsia="Arial" w:hAnsi="Arial"/>
        </w:rPr>
      </w:pPr>
      <w:r w:rsidDel="00000000" w:rsidR="00000000" w:rsidRPr="00000000">
        <w:rPr>
          <w:rtl w:val="0"/>
        </w:rPr>
      </w:r>
    </w:p>
    <w:p w:rsidR="00000000" w:rsidDel="00000000" w:rsidP="00000000" w:rsidRDefault="00000000" w:rsidRPr="00000000" w14:paraId="00000194">
      <w:pPr>
        <w:pStyle w:val="Heading1"/>
        <w:rPr>
          <w:rFonts w:ascii="Arial" w:cs="Arial" w:eastAsia="Arial" w:hAnsi="Arial"/>
          <w:sz w:val="24"/>
          <w:szCs w:val="24"/>
        </w:rPr>
      </w:pPr>
      <w:bookmarkStart w:colFirst="0" w:colLast="0" w:name="_k9zm7m1kjw78" w:id="34"/>
      <w:bookmarkEnd w:id="34"/>
      <w:r w:rsidDel="00000000" w:rsidR="00000000" w:rsidRPr="00000000">
        <w:rPr>
          <w:rFonts w:ascii="Arial" w:cs="Arial" w:eastAsia="Arial" w:hAnsi="Arial"/>
          <w:sz w:val="24"/>
          <w:szCs w:val="24"/>
          <w:rtl w:val="0"/>
        </w:rPr>
        <w:t xml:space="preserve">Reference </w:t>
      </w:r>
    </w:p>
    <w:p w:rsidR="00000000" w:rsidDel="00000000" w:rsidP="00000000" w:rsidRDefault="00000000" w:rsidRPr="00000000" w14:paraId="00000195">
      <w:pPr>
        <w:rPr>
          <w:rFonts w:ascii="Arial" w:cs="Arial" w:eastAsia="Arial" w:hAnsi="Arial"/>
        </w:rPr>
      </w:pPr>
      <w:r w:rsidDel="00000000" w:rsidR="00000000" w:rsidRPr="00000000">
        <w:rPr>
          <w:rFonts w:ascii="Arial" w:cs="Arial" w:eastAsia="Arial" w:hAnsi="Arial"/>
          <w:rtl w:val="0"/>
        </w:rPr>
        <w:t xml:space="preserve">Aishwarya, V.M., Ekren, B.Y., Singh, T. and Singh, V (2025). Integrating sustainability across the lifecycle of electric vehicle batteries: Circular supply chain challenges, innovations, and global policy impacts. Renewable and Sustainable Energy Reviews, 216, p.115671. </w:t>
      </w:r>
      <w:hyperlink r:id="rId11">
        <w:r w:rsidDel="00000000" w:rsidR="00000000" w:rsidRPr="00000000">
          <w:rPr>
            <w:rFonts w:ascii="Arial" w:cs="Arial" w:eastAsia="Arial" w:hAnsi="Arial"/>
            <w:color w:val="0563c1"/>
            <w:u w:val="single"/>
            <w:rtl w:val="0"/>
          </w:rPr>
          <w:t xml:space="preserve">https://doi.org/10.1016/j.rser.2025.115671</w:t>
        </w:r>
      </w:hyperlink>
      <w:r w:rsidDel="00000000" w:rsidR="00000000" w:rsidRPr="00000000">
        <w:rPr>
          <w:rFonts w:ascii="Arial" w:cs="Arial" w:eastAsia="Arial" w:hAnsi="Arial"/>
          <w:rtl w:val="0"/>
        </w:rPr>
        <w:t xml:space="preserve"> </w:t>
      </w:r>
    </w:p>
    <w:p w:rsidR="00000000" w:rsidDel="00000000" w:rsidP="00000000" w:rsidRDefault="00000000" w:rsidRPr="00000000" w14:paraId="00000196">
      <w:pPr>
        <w:tabs>
          <w:tab w:val="left" w:leader="none" w:pos="284"/>
        </w:tabs>
        <w:rPr>
          <w:rFonts w:ascii="Arial" w:cs="Arial" w:eastAsia="Arial" w:hAnsi="Arial"/>
        </w:rPr>
      </w:pPr>
      <w:r w:rsidDel="00000000" w:rsidR="00000000" w:rsidRPr="00000000">
        <w:rPr>
          <w:rFonts w:ascii="Arial" w:cs="Arial" w:eastAsia="Arial" w:hAnsi="Arial"/>
          <w:rtl w:val="0"/>
        </w:rPr>
        <w:t xml:space="preserve">Bank Of England  (2026). Bank Rate maintained at 3.75% - March 2026 Monetary Policy Summary and Minutes. Available at: </w:t>
      </w:r>
      <w:hyperlink r:id="rId12">
        <w:r w:rsidDel="00000000" w:rsidR="00000000" w:rsidRPr="00000000">
          <w:rPr>
            <w:rFonts w:ascii="Arial" w:cs="Arial" w:eastAsia="Arial" w:hAnsi="Arial"/>
            <w:color w:val="0563c1"/>
            <w:u w:val="single"/>
            <w:rtl w:val="0"/>
          </w:rPr>
          <w:t xml:space="preserve">https://www.bankofengland.co.uk/monetary-policy-summary-and-minutes/2026/march-2026</w:t>
        </w:r>
      </w:hyperlink>
      <w:r w:rsidDel="00000000" w:rsidR="00000000" w:rsidRPr="00000000">
        <w:rPr>
          <w:rFonts w:ascii="Arial" w:cs="Arial" w:eastAsia="Arial" w:hAnsi="Arial"/>
          <w:rtl w:val="0"/>
        </w:rPr>
        <w:t xml:space="preserve">  [Accessed 18 February 2026].</w:t>
      </w:r>
    </w:p>
    <w:p w:rsidR="00000000" w:rsidDel="00000000" w:rsidP="00000000" w:rsidRDefault="00000000" w:rsidRPr="00000000" w14:paraId="00000197">
      <w:pPr>
        <w:rPr>
          <w:rFonts w:ascii="Arial" w:cs="Arial" w:eastAsia="Arial" w:hAnsi="Arial"/>
        </w:rPr>
      </w:pPr>
      <w:r w:rsidDel="00000000" w:rsidR="00000000" w:rsidRPr="00000000">
        <w:rPr>
          <w:rFonts w:ascii="Arial" w:cs="Arial" w:eastAsia="Arial" w:hAnsi="Arial"/>
          <w:rtl w:val="0"/>
        </w:rPr>
        <w:t xml:space="preserve">Bopp, S. and Gallouj, S (2025). The automotive after-sales market: parts sales, repair, and servicing. In Elgar Encyclopedia of Retailing (pp. 95-101). Edward Elgar Publishing.</w:t>
      </w:r>
    </w:p>
    <w:p w:rsidR="00000000" w:rsidDel="00000000" w:rsidP="00000000" w:rsidRDefault="00000000" w:rsidRPr="00000000" w14:paraId="00000198">
      <w:pPr>
        <w:rPr>
          <w:rFonts w:ascii="Arial" w:cs="Arial" w:eastAsia="Arial" w:hAnsi="Arial"/>
        </w:rPr>
      </w:pPr>
      <w:r w:rsidDel="00000000" w:rsidR="00000000" w:rsidRPr="00000000">
        <w:rPr>
          <w:rFonts w:ascii="Arial" w:cs="Arial" w:eastAsia="Arial" w:hAnsi="Arial"/>
          <w:rtl w:val="0"/>
        </w:rPr>
        <w:t xml:space="preserve">Gebler, M., Warsen, J., Meininghaus, R., Baudis, M., Cerdas, F. and Herrmann, C  (2024). Implementing zero impact factories in Volkswagen’s global automotive manufacturing system: a discussion of opportunities and challenges from integrating current science into strategic management. Sustainability, 16(7), p.3011. </w:t>
      </w:r>
      <w:hyperlink r:id="rId13">
        <w:r w:rsidDel="00000000" w:rsidR="00000000" w:rsidRPr="00000000">
          <w:rPr>
            <w:rFonts w:ascii="Arial" w:cs="Arial" w:eastAsia="Arial" w:hAnsi="Arial"/>
            <w:b w:val="1"/>
            <w:bCs w:val="1"/>
            <w:color w:val="0563c1"/>
            <w:u w:val="single"/>
            <w:rtl w:val="0"/>
          </w:rPr>
          <w:t xml:space="preserve">https://doi.org/10.3390/su16073011</w:t>
        </w:r>
      </w:hyperlink>
      <w:r w:rsidDel="00000000" w:rsidR="00000000" w:rsidRPr="00000000">
        <w:rPr>
          <w:rFonts w:ascii="Arial" w:cs="Arial" w:eastAsia="Arial" w:hAnsi="Arial"/>
          <w:rtl w:val="0"/>
        </w:rPr>
        <w:t xml:space="preserve"> </w:t>
      </w:r>
    </w:p>
    <w:p w:rsidR="00000000" w:rsidDel="00000000" w:rsidP="00000000" w:rsidRDefault="00000000" w:rsidRPr="00000000" w14:paraId="00000199">
      <w:pPr>
        <w:tabs>
          <w:tab w:val="left" w:leader="none" w:pos="284"/>
        </w:tabs>
        <w:rPr>
          <w:rFonts w:ascii="Arial" w:cs="Arial" w:eastAsia="Arial" w:hAnsi="Arial"/>
        </w:rPr>
      </w:pPr>
      <w:r w:rsidDel="00000000" w:rsidR="00000000" w:rsidRPr="00000000">
        <w:rPr>
          <w:rFonts w:ascii="Arial" w:cs="Arial" w:eastAsia="Arial" w:hAnsi="Arial"/>
          <w:rtl w:val="0"/>
        </w:rPr>
        <w:t xml:space="preserve">GOV.UK (2025). Updates to the Vehicle Emissions Trading Schemes (VETS) Order 2023. Available at: </w:t>
      </w:r>
      <w:hyperlink r:id="rId14">
        <w:r w:rsidDel="00000000" w:rsidR="00000000" w:rsidRPr="00000000">
          <w:rPr>
            <w:rFonts w:ascii="Arial" w:cs="Arial" w:eastAsia="Arial" w:hAnsi="Arial"/>
            <w:color w:val="0563c1"/>
            <w:u w:val="single"/>
            <w:rtl w:val="0"/>
          </w:rPr>
          <w:t xml:space="preserve">https://www.gov.uk/government/publications/vehicle-emissions-trading-schemes-vets-order-2023-updates/updates-to-the-vehicle-emissions-trading-schemes-vets-order-2023</w:t>
        </w:r>
      </w:hyperlink>
      <w:r w:rsidDel="00000000" w:rsidR="00000000" w:rsidRPr="00000000">
        <w:rPr>
          <w:rFonts w:ascii="Arial" w:cs="Arial" w:eastAsia="Arial" w:hAnsi="Arial"/>
          <w:rtl w:val="0"/>
        </w:rPr>
        <w:t xml:space="preserve">  [Accessed 20 December 2025].</w:t>
      </w:r>
    </w:p>
    <w:p w:rsidR="00000000" w:rsidDel="00000000" w:rsidP="00000000" w:rsidRDefault="00000000" w:rsidRPr="00000000" w14:paraId="0000019A">
      <w:pPr>
        <w:tabs>
          <w:tab w:val="left" w:leader="none" w:pos="284"/>
        </w:tabs>
        <w:rPr>
          <w:rFonts w:ascii="Arial" w:cs="Arial" w:eastAsia="Arial" w:hAnsi="Arial"/>
        </w:rPr>
      </w:pPr>
      <w:r w:rsidDel="00000000" w:rsidR="00000000" w:rsidRPr="00000000">
        <w:rPr>
          <w:rFonts w:ascii="Arial" w:cs="Arial" w:eastAsia="Arial" w:hAnsi="Arial"/>
          <w:rtl w:val="0"/>
        </w:rPr>
        <w:t xml:space="preserve">GOV.UK (2026). Electric vehicle public charging infrastructure statistics: January 2026. Available at: </w:t>
      </w:r>
      <w:hyperlink r:id="rId15">
        <w:r w:rsidDel="00000000" w:rsidR="00000000" w:rsidRPr="00000000">
          <w:rPr>
            <w:rFonts w:ascii="Arial" w:cs="Arial" w:eastAsia="Arial" w:hAnsi="Arial"/>
            <w:color w:val="0563c1"/>
            <w:u w:val="single"/>
            <w:rtl w:val="0"/>
          </w:rPr>
          <w:t xml:space="preserve">https://www.gov.uk/government/statistics/electric-vehicle-public-charging-infrastructure-statistics-january-2026/electric-vehicle-public-charging-infrastructure-statistics-january-2026</w:t>
        </w:r>
      </w:hyperlink>
      <w:r w:rsidDel="00000000" w:rsidR="00000000" w:rsidRPr="00000000">
        <w:rPr>
          <w:rFonts w:ascii="Arial" w:cs="Arial" w:eastAsia="Arial" w:hAnsi="Arial"/>
          <w:rtl w:val="0"/>
        </w:rPr>
        <w:t xml:space="preserve">   [Accessed 19 February 2026].</w:t>
      </w:r>
    </w:p>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rtl w:val="0"/>
        </w:rPr>
        <w:t xml:space="preserve">Guidara, A (2025). LESSONS FROM THE VOLKSWAGEN EMISSIONS SCANDAL: A LITERATURE. Business Review, 1(1), pp.17-22.Guidara, A., 2025. LESSONS FROM THE VOLKSWAGEN EMISSIONS SCANDAL: A LITERATURE. Business Review, 1(1), pp.17-22. </w:t>
      </w:r>
      <w:hyperlink r:id="rId16">
        <w:r w:rsidDel="00000000" w:rsidR="00000000" w:rsidRPr="00000000">
          <w:rPr>
            <w:rFonts w:ascii="Arial" w:cs="Arial" w:eastAsia="Arial" w:hAnsi="Arial"/>
            <w:color w:val="0563c1"/>
            <w:u w:val="single"/>
            <w:rtl w:val="0"/>
          </w:rPr>
          <w:t xml:space="preserve">https://www.researchgate.net/profile/Achraf-Guidara/publication/396016510_LESSONS_FROM_THE_VOLKSWAGEN_EMISSIONS_SCANDAL_A_LITERATURE_REVIEW/links/68dcd2dcd221a404b2a3fb46/Lessons-from-the-Volkswagen-emissions-scandal-A-literature-review.pdf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9C">
      <w:pPr>
        <w:rPr>
          <w:rFonts w:ascii="Arial" w:cs="Arial" w:eastAsia="Arial" w:hAnsi="Arial"/>
        </w:rPr>
      </w:pPr>
      <w:r w:rsidDel="00000000" w:rsidR="00000000" w:rsidRPr="00000000">
        <w:rPr>
          <w:rFonts w:ascii="Arial" w:cs="Arial" w:eastAsia="Arial" w:hAnsi="Arial"/>
          <w:rtl w:val="0"/>
        </w:rPr>
        <w:t xml:space="preserve">Hossain, M (2024). How Chinese companies are dominating electric vehicle market worldwide. California Management Review, 67(2), pp.1741840091-1. </w:t>
      </w:r>
      <w:hyperlink r:id="rId17">
        <w:r w:rsidDel="00000000" w:rsidR="00000000" w:rsidRPr="00000000">
          <w:rPr>
            <w:rFonts w:ascii="Arial" w:cs="Arial" w:eastAsia="Arial" w:hAnsi="Arial"/>
            <w:color w:val="0563c1"/>
            <w:u w:val="single"/>
            <w:rtl w:val="0"/>
          </w:rPr>
          <w:t xml:space="preserve">https://cmr.berkeley.edu/assets/documents/pdf/2024-03-how-chinese-companies-are-dominating-electric-vehicle-market-worldwide.pdf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9D">
      <w:pPr>
        <w:tabs>
          <w:tab w:val="left" w:leader="none" w:pos="284"/>
        </w:tabs>
        <w:rPr>
          <w:rFonts w:ascii="Arial" w:cs="Arial" w:eastAsia="Arial" w:hAnsi="Arial"/>
        </w:rPr>
      </w:pPr>
      <w:r w:rsidDel="00000000" w:rsidR="00000000" w:rsidRPr="00000000">
        <w:rPr>
          <w:rFonts w:ascii="Arial" w:cs="Arial" w:eastAsia="Arial" w:hAnsi="Arial"/>
          <w:rtl w:val="0"/>
        </w:rPr>
        <w:t xml:space="preserve">Kallitsis, E., Korre, A. and Kelsall, G.H (2022). Life cycle assessment of recycling options for automotive Li-ion battery packs. Journal of cleaner production, 371, p.133636. </w:t>
      </w:r>
      <w:hyperlink r:id="rId18">
        <w:r w:rsidDel="00000000" w:rsidR="00000000" w:rsidRPr="00000000">
          <w:rPr>
            <w:rFonts w:ascii="Arial" w:cs="Arial" w:eastAsia="Arial" w:hAnsi="Arial"/>
            <w:color w:val="0563c1"/>
            <w:u w:val="single"/>
            <w:rtl w:val="0"/>
          </w:rPr>
          <w:t xml:space="preserve">https://doi.org/10.1016/j.jclepro.2022.133636</w:t>
        </w:r>
      </w:hyperlink>
      <w:r w:rsidDel="00000000" w:rsidR="00000000" w:rsidRPr="00000000">
        <w:rPr>
          <w:rtl w:val="0"/>
        </w:rPr>
      </w:r>
    </w:p>
    <w:p w:rsidR="00000000" w:rsidDel="00000000" w:rsidP="00000000" w:rsidRDefault="00000000" w:rsidRPr="00000000" w14:paraId="0000019E">
      <w:pPr>
        <w:tabs>
          <w:tab w:val="left" w:leader="none" w:pos="284"/>
        </w:tabs>
        <w:rPr>
          <w:rFonts w:ascii="Arial" w:cs="Arial" w:eastAsia="Arial" w:hAnsi="Arial"/>
        </w:rPr>
      </w:pPr>
      <w:r w:rsidDel="00000000" w:rsidR="00000000" w:rsidRPr="00000000">
        <w:rPr>
          <w:rFonts w:ascii="Arial" w:cs="Arial" w:eastAsia="Arial" w:hAnsi="Arial"/>
          <w:rtl w:val="0"/>
        </w:rPr>
        <w:t xml:space="preserve">Kero, C.A. and Bogale, A.T (2023). A Systematic Review of Resource-Based View and Dynamic Capabilities of Firms and Future Research Avenues. International Journal of Sustainable Development &amp; Planning, 18(10). </w:t>
      </w:r>
      <w:hyperlink r:id="rId19">
        <w:r w:rsidDel="00000000" w:rsidR="00000000" w:rsidRPr="00000000">
          <w:rPr>
            <w:rFonts w:ascii="Arial" w:cs="Arial" w:eastAsia="Arial" w:hAnsi="Arial"/>
            <w:color w:val="0563c1"/>
            <w:u w:val="single"/>
            <w:rtl w:val="0"/>
          </w:rPr>
          <w:t xml:space="preserve">https://www.academia.edu/download/118338664/110933.pdf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Kuang, Y (2022). Brand Scandals and Brand Communities: Insights from the Volkswagen Emission Scandal (Doctoral dissertation, Saint Louis University). </w:t>
      </w:r>
      <w:hyperlink r:id="rId20">
        <w:r w:rsidDel="00000000" w:rsidR="00000000" w:rsidRPr="00000000">
          <w:rPr>
            <w:rFonts w:ascii="Arial" w:cs="Arial" w:eastAsia="Arial" w:hAnsi="Arial"/>
            <w:color w:val="0563c1"/>
            <w:u w:val="single"/>
            <w:rtl w:val="0"/>
          </w:rPr>
          <w:t xml:space="preserve">https://search.proquest.com/openview/7d4d0bd450bd96be3004d43ac869002e/1?pq-origsite=gscholar&amp;cbl=18750&amp;diss=y</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0">
      <w:pPr>
        <w:tabs>
          <w:tab w:val="left" w:leader="none" w:pos="284"/>
        </w:tabs>
        <w:rPr>
          <w:rFonts w:ascii="Arial" w:cs="Arial" w:eastAsia="Arial" w:hAnsi="Arial"/>
        </w:rPr>
      </w:pPr>
      <w:r w:rsidDel="00000000" w:rsidR="00000000" w:rsidRPr="00000000">
        <w:rPr>
          <w:rFonts w:ascii="Arial" w:cs="Arial" w:eastAsia="Arial" w:hAnsi="Arial"/>
          <w:rtl w:val="0"/>
        </w:rPr>
        <w:t xml:space="preserve">Liang, Y., Yang, Z., Tian, H., Liu, J., Li, C. and Dong, W (2024). The" Five Forces Model" and strategies for enhancing the influence of scientific journals. Editing Practice, 2.</w:t>
      </w:r>
      <w:hyperlink r:id="rId21">
        <w:r w:rsidDel="00000000" w:rsidR="00000000" w:rsidRPr="00000000">
          <w:rPr>
            <w:rFonts w:ascii="Arial" w:cs="Arial" w:eastAsia="Arial" w:hAnsi="Arial"/>
            <w:color w:val="0563c1"/>
            <w:u w:val="single"/>
            <w:rtl w:val="0"/>
          </w:rPr>
          <w:t xml:space="preserve">https://doi.org/10.54844/ep.2024.0795</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1">
      <w:pPr>
        <w:tabs>
          <w:tab w:val="left" w:leader="none" w:pos="284"/>
        </w:tabs>
        <w:rPr>
          <w:rFonts w:ascii="Arial" w:cs="Arial" w:eastAsia="Arial" w:hAnsi="Arial"/>
        </w:rPr>
      </w:pPr>
      <w:r w:rsidDel="00000000" w:rsidR="00000000" w:rsidRPr="00000000">
        <w:rPr>
          <w:rFonts w:ascii="Arial" w:cs="Arial" w:eastAsia="Arial" w:hAnsi="Arial"/>
          <w:rtl w:val="0"/>
        </w:rPr>
        <w:t xml:space="preserve">Madsen, D.Ø (2025). Balanced scorecard: History, implementation, and impact. Encyclopedia, 5(1), p.39. </w:t>
      </w:r>
      <w:hyperlink r:id="rId22">
        <w:r w:rsidDel="00000000" w:rsidR="00000000" w:rsidRPr="00000000">
          <w:rPr>
            <w:rFonts w:ascii="Arial" w:cs="Arial" w:eastAsia="Arial" w:hAnsi="Arial"/>
            <w:b w:val="1"/>
            <w:bCs w:val="1"/>
            <w:color w:val="0563c1"/>
            <w:u w:val="single"/>
            <w:rtl w:val="0"/>
          </w:rPr>
          <w:t xml:space="preserve">https://doi.org/10.3390/encyclopedia5010039</w:t>
        </w:r>
      </w:hyperlink>
      <w:r w:rsidDel="00000000" w:rsidR="00000000" w:rsidRPr="00000000">
        <w:rPr>
          <w:rtl w:val="0"/>
        </w:rPr>
      </w:r>
    </w:p>
    <w:p w:rsidR="00000000" w:rsidDel="00000000" w:rsidP="00000000" w:rsidRDefault="00000000" w:rsidRPr="00000000" w14:paraId="000001A2">
      <w:pPr>
        <w:tabs>
          <w:tab w:val="left" w:leader="none" w:pos="284"/>
        </w:tabs>
        <w:rPr>
          <w:rFonts w:ascii="Arial" w:cs="Arial" w:eastAsia="Arial" w:hAnsi="Arial"/>
        </w:rPr>
      </w:pPr>
      <w:r w:rsidDel="00000000" w:rsidR="00000000" w:rsidRPr="00000000">
        <w:rPr>
          <w:rFonts w:ascii="Arial" w:cs="Arial" w:eastAsia="Arial" w:hAnsi="Arial"/>
          <w:rtl w:val="0"/>
        </w:rPr>
        <w:t xml:space="preserve">Marklines  (2025). UK – New car sales in 2025 by OEM, vehicle type. Available at: </w:t>
      </w:r>
      <w:hyperlink r:id="rId23">
        <w:r w:rsidDel="00000000" w:rsidR="00000000" w:rsidRPr="00000000">
          <w:rPr>
            <w:rFonts w:ascii="Arial" w:cs="Arial" w:eastAsia="Arial" w:hAnsi="Arial"/>
            <w:color w:val="0563c1"/>
            <w:u w:val="single"/>
            <w:rtl w:val="0"/>
          </w:rPr>
          <w:t xml:space="preserve">https://www.marklines.com/en/statistics/flash_sales/automotive-sales-in-uk-by-month-2025</w:t>
        </w:r>
      </w:hyperlink>
      <w:r w:rsidDel="00000000" w:rsidR="00000000" w:rsidRPr="00000000">
        <w:rPr>
          <w:rFonts w:ascii="Arial" w:cs="Arial" w:eastAsia="Arial" w:hAnsi="Arial"/>
          <w:rtl w:val="0"/>
        </w:rPr>
        <w:t xml:space="preserve"> [Accessed 10 March 2026].</w:t>
      </w:r>
    </w:p>
    <w:p w:rsidR="00000000" w:rsidDel="00000000" w:rsidP="00000000" w:rsidRDefault="00000000" w:rsidRPr="00000000" w14:paraId="000001A3">
      <w:pPr>
        <w:tabs>
          <w:tab w:val="left" w:leader="none" w:pos="284"/>
        </w:tabs>
        <w:rPr>
          <w:rFonts w:ascii="Arial" w:cs="Arial" w:eastAsia="Arial" w:hAnsi="Arial"/>
        </w:rPr>
      </w:pPr>
      <w:r w:rsidDel="00000000" w:rsidR="00000000" w:rsidRPr="00000000">
        <w:rPr>
          <w:rFonts w:ascii="Arial" w:cs="Arial" w:eastAsia="Arial" w:hAnsi="Arial"/>
          <w:rtl w:val="0"/>
        </w:rPr>
        <w:t xml:space="preserve">Mubarik, M.S., Vilko, J. and Nazir, S. eds (2026). Electric Vehicle Supply Chain Management. Taylor &amp; Francis.</w:t>
      </w:r>
    </w:p>
    <w:p w:rsidR="00000000" w:rsidDel="00000000" w:rsidP="00000000" w:rsidRDefault="00000000" w:rsidRPr="00000000" w14:paraId="000001A4">
      <w:pPr>
        <w:tabs>
          <w:tab w:val="left" w:leader="none" w:pos="284"/>
        </w:tabs>
        <w:rPr>
          <w:rFonts w:ascii="Arial" w:cs="Arial" w:eastAsia="Arial" w:hAnsi="Arial"/>
        </w:rPr>
      </w:pPr>
      <w:r w:rsidDel="00000000" w:rsidR="00000000" w:rsidRPr="00000000">
        <w:rPr>
          <w:rFonts w:ascii="Arial" w:cs="Arial" w:eastAsia="Arial" w:hAnsi="Arial"/>
          <w:rtl w:val="0"/>
        </w:rPr>
        <w:t xml:space="preserve">Pérez-Moure, H., Lampón, J.F., Velando-Rodriguez, M.E. and Rodríguez-Comesaña, L (2023). Revolutionizing the road: How sustainable, autonomous, and connected vehicles are changing digital mobility business models. European Research on Management and Business Economics, 29(3), p.100230. </w:t>
      </w:r>
      <w:hyperlink r:id="rId24">
        <w:r w:rsidDel="00000000" w:rsidR="00000000" w:rsidRPr="00000000">
          <w:rPr>
            <w:rFonts w:ascii="Arial" w:cs="Arial" w:eastAsia="Arial" w:hAnsi="Arial"/>
            <w:color w:val="0563c1"/>
            <w:u w:val="single"/>
            <w:rtl w:val="0"/>
          </w:rPr>
          <w:t xml:space="preserve">https://doi.org/10.1016/j.iedeen.2023.100230</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5">
      <w:pPr>
        <w:rPr>
          <w:rFonts w:ascii="Arial" w:cs="Arial" w:eastAsia="Arial" w:hAnsi="Arial"/>
        </w:rPr>
      </w:pPr>
      <w:r w:rsidDel="00000000" w:rsidR="00000000" w:rsidRPr="00000000">
        <w:rPr>
          <w:rFonts w:ascii="Arial" w:cs="Arial" w:eastAsia="Arial" w:hAnsi="Arial"/>
          <w:rtl w:val="0"/>
        </w:rPr>
        <w:t xml:space="preserve">Rathod, R.K. and Tapas, P (2025). Strategic Leadership for Building a Sustainable EV Business in India’s Dynamic Automotive Sector: A Qualitative Study. Management, 29(2). </w:t>
      </w:r>
      <w:hyperlink r:id="rId25">
        <w:r w:rsidDel="00000000" w:rsidR="00000000" w:rsidRPr="00000000">
          <w:rPr>
            <w:rFonts w:ascii="Arial" w:cs="Arial" w:eastAsia="Arial" w:hAnsi="Arial"/>
            <w:color w:val="0563c1"/>
            <w:u w:val="single"/>
            <w:rtl w:val="0"/>
          </w:rPr>
          <w:t xml:space="preserve">https://www.management-poland.com/pdf-211082-133054?filename=Strategic%20Leadership%20for.pdf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6">
      <w:pPr>
        <w:rPr>
          <w:rFonts w:ascii="Arial" w:cs="Arial" w:eastAsia="Arial" w:hAnsi="Arial"/>
        </w:rPr>
      </w:pPr>
      <w:r w:rsidDel="00000000" w:rsidR="00000000" w:rsidRPr="00000000">
        <w:rPr>
          <w:rFonts w:ascii="Arial" w:cs="Arial" w:eastAsia="Arial" w:hAnsi="Arial"/>
          <w:rtl w:val="0"/>
        </w:rPr>
        <w:t xml:space="preserve">Rawal, N (2026). Green Commitments or Grand Illusions? The Role of CSR in True Sustainability. In Green To Gold: Marketing Strategies for a Sustainable Future (pp. 309-339). Cham: Springer Nature Switzerland. </w:t>
      </w:r>
      <w:hyperlink r:id="rId26">
        <w:r w:rsidDel="00000000" w:rsidR="00000000" w:rsidRPr="00000000">
          <w:rPr>
            <w:rFonts w:ascii="Arial" w:cs="Arial" w:eastAsia="Arial" w:hAnsi="Arial"/>
            <w:color w:val="0563c1"/>
            <w:u w:val="single"/>
            <w:rtl w:val="0"/>
          </w:rPr>
          <w:t xml:space="preserve">https://link.springer.com/chapter/10.1007/978-3-032-10212-6_15</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7">
      <w:pPr>
        <w:tabs>
          <w:tab w:val="left" w:leader="none" w:pos="284"/>
        </w:tabs>
        <w:rPr>
          <w:rFonts w:ascii="Arial" w:cs="Arial" w:eastAsia="Arial" w:hAnsi="Arial"/>
        </w:rPr>
      </w:pPr>
      <w:r w:rsidDel="00000000" w:rsidR="00000000" w:rsidRPr="00000000">
        <w:rPr>
          <w:rFonts w:ascii="Arial" w:cs="Arial" w:eastAsia="Arial" w:hAnsi="Arial"/>
          <w:rtl w:val="0"/>
        </w:rPr>
        <w:t xml:space="preserve">Reuters (2025). Volkswagen to invest up to a billion euros in AI by end of decade. Available at: </w:t>
      </w:r>
      <w:hyperlink r:id="rId27">
        <w:r w:rsidDel="00000000" w:rsidR="00000000" w:rsidRPr="00000000">
          <w:rPr>
            <w:rFonts w:ascii="Arial" w:cs="Arial" w:eastAsia="Arial" w:hAnsi="Arial"/>
            <w:color w:val="0563c1"/>
            <w:u w:val="single"/>
            <w:rtl w:val="0"/>
          </w:rPr>
          <w:t xml:space="preserve">https://www.reuters.com/business/autos-transportation/volkswagen-invest-up-billion-euros-ai-by-end-decade-2025-09-09</w:t>
        </w:r>
      </w:hyperlink>
      <w:r w:rsidDel="00000000" w:rsidR="00000000" w:rsidRPr="00000000">
        <w:rPr>
          <w:rFonts w:ascii="Arial" w:cs="Arial" w:eastAsia="Arial" w:hAnsi="Arial"/>
          <w:rtl w:val="0"/>
        </w:rPr>
        <w:t xml:space="preserve"> [Accessed 14 March 2026].</w:t>
      </w:r>
    </w:p>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Rezaei, R (2025). The Growing Business of Electric Vehicles: A Comprehensive Case Study in Europe. </w:t>
      </w:r>
      <w:hyperlink r:id="rId28">
        <w:r w:rsidDel="00000000" w:rsidR="00000000" w:rsidRPr="00000000">
          <w:rPr>
            <w:rFonts w:ascii="Arial" w:cs="Arial" w:eastAsia="Arial" w:hAnsi="Arial"/>
            <w:color w:val="0563c1"/>
            <w:u w:val="single"/>
            <w:rtl w:val="0"/>
          </w:rPr>
          <w:t xml:space="preserve">https://www.preprints.org/frontend/manuscript/c081e904367e060c39ee7e988b0976b4/download_pub</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9">
      <w:pPr>
        <w:tabs>
          <w:tab w:val="left" w:leader="none" w:pos="284"/>
        </w:tabs>
        <w:rPr>
          <w:rFonts w:ascii="Arial" w:cs="Arial" w:eastAsia="Arial" w:hAnsi="Arial"/>
        </w:rPr>
      </w:pPr>
      <w:r w:rsidDel="00000000" w:rsidR="00000000" w:rsidRPr="00000000">
        <w:rPr>
          <w:rFonts w:ascii="Arial" w:cs="Arial" w:eastAsia="Arial" w:hAnsi="Arial"/>
          <w:rtl w:val="0"/>
        </w:rPr>
        <w:t xml:space="preserve">SMMT  (2026a). UK new car market breaches two million as almost one in four buyers go electric. Available at: </w:t>
      </w:r>
      <w:hyperlink r:id="rId29">
        <w:r w:rsidDel="00000000" w:rsidR="00000000" w:rsidRPr="00000000">
          <w:rPr>
            <w:rFonts w:ascii="Arial" w:cs="Arial" w:eastAsia="Arial" w:hAnsi="Arial"/>
            <w:color w:val="0563c1"/>
            <w:u w:val="single"/>
            <w:rtl w:val="0"/>
          </w:rPr>
          <w:t xml:space="preserve">https://www.smmt.co.uk/uk-new-car-market-breaches-two-million-as-almost-one-in-four-buyers-go-electric Accessed 16 February 2026</w:t>
        </w:r>
      </w:hyperlink>
      <w:r w:rsidDel="00000000" w:rsidR="00000000" w:rsidRPr="00000000">
        <w:rPr>
          <w:rFonts w:ascii="Arial" w:cs="Arial" w:eastAsia="Arial" w:hAnsi="Arial"/>
          <w:rtl w:val="0"/>
        </w:rPr>
        <w:t xml:space="preserve"> [Accessed 16 February 2026].</w:t>
      </w:r>
    </w:p>
    <w:p w:rsidR="00000000" w:rsidDel="00000000" w:rsidP="00000000" w:rsidRDefault="00000000" w:rsidRPr="00000000" w14:paraId="000001AA">
      <w:pPr>
        <w:tabs>
          <w:tab w:val="left" w:leader="none" w:pos="284"/>
        </w:tabs>
        <w:rPr>
          <w:rFonts w:ascii="Arial" w:cs="Arial" w:eastAsia="Arial" w:hAnsi="Arial"/>
        </w:rPr>
      </w:pPr>
      <w:r w:rsidDel="00000000" w:rsidR="00000000" w:rsidRPr="00000000">
        <w:rPr>
          <w:rFonts w:ascii="Arial" w:cs="Arial" w:eastAsia="Arial" w:hAnsi="Arial"/>
          <w:rtl w:val="0"/>
        </w:rPr>
        <w:t xml:space="preserve">SMMT  (2026b). December 2025 new car pre-registration figures. Available at: </w:t>
      </w:r>
      <w:hyperlink r:id="rId30">
        <w:r w:rsidDel="00000000" w:rsidR="00000000" w:rsidRPr="00000000">
          <w:rPr>
            <w:rFonts w:ascii="Arial" w:cs="Arial" w:eastAsia="Arial" w:hAnsi="Arial"/>
            <w:color w:val="0563c1"/>
            <w:u w:val="single"/>
            <w:rtl w:val="0"/>
          </w:rPr>
          <w:t xml:space="preserve">https://www.smmt.co.uk/december-2025-new-car-pre-registration-figures</w:t>
        </w:r>
      </w:hyperlink>
      <w:r w:rsidDel="00000000" w:rsidR="00000000" w:rsidRPr="00000000">
        <w:rPr>
          <w:rFonts w:ascii="Arial" w:cs="Arial" w:eastAsia="Arial" w:hAnsi="Arial"/>
          <w:rtl w:val="0"/>
        </w:rPr>
        <w:t xml:space="preserve"> [Accessed 17 February 2026].</w:t>
      </w:r>
    </w:p>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rtl w:val="0"/>
        </w:rPr>
        <w:t xml:space="preserve">Thompson, C (2023). The Status Revolution: The Improbable Story of how the Lowbrow Became the Highbrow. Simon and Schuster.</w:t>
      </w:r>
    </w:p>
    <w:p w:rsidR="00000000" w:rsidDel="00000000" w:rsidP="00000000" w:rsidRDefault="00000000" w:rsidRPr="00000000" w14:paraId="000001AC">
      <w:pPr>
        <w:tabs>
          <w:tab w:val="left" w:leader="none" w:pos="284"/>
        </w:tabs>
        <w:rPr>
          <w:rFonts w:ascii="Arial" w:cs="Arial" w:eastAsia="Arial" w:hAnsi="Arial"/>
        </w:rPr>
      </w:pPr>
      <w:r w:rsidDel="00000000" w:rsidR="00000000" w:rsidRPr="00000000">
        <w:rPr>
          <w:rFonts w:ascii="Arial" w:cs="Arial" w:eastAsia="Arial" w:hAnsi="Arial"/>
          <w:rtl w:val="0"/>
        </w:rPr>
        <w:t xml:space="preserve">Trinkler, A (2021). Analyzing the case of Volkswagen and the transition to electric vehicles in 2020-mobility as a service (Master's thesis, Universidade NOVA de Lisboa (Portugal)). </w:t>
      </w:r>
      <w:hyperlink r:id="rId31">
        <w:r w:rsidDel="00000000" w:rsidR="00000000" w:rsidRPr="00000000">
          <w:rPr>
            <w:rFonts w:ascii="Arial" w:cs="Arial" w:eastAsia="Arial" w:hAnsi="Arial"/>
            <w:color w:val="0563c1"/>
            <w:u w:val="single"/>
            <w:rtl w:val="0"/>
          </w:rPr>
          <w:t xml:space="preserve">https://search.proquest.com/openview/87c797e49ae66e40d359573e85cdd88d/1?pq-origsite=gscholar&amp;cbl=2026366&amp;diss=y</w:t>
        </w:r>
      </w:hyperlink>
      <w:r w:rsidDel="00000000" w:rsidR="00000000" w:rsidRPr="00000000">
        <w:rPr>
          <w:rFonts w:ascii="Arial" w:cs="Arial" w:eastAsia="Arial" w:hAnsi="Arial"/>
          <w:rtl w:val="0"/>
        </w:rPr>
        <w:t xml:space="preserve"> </w:t>
      </w:r>
    </w:p>
    <w:p w:rsidR="00000000" w:rsidDel="00000000" w:rsidP="00000000" w:rsidRDefault="00000000" w:rsidRPr="00000000" w14:paraId="000001AD">
      <w:pPr>
        <w:tabs>
          <w:tab w:val="left" w:leader="none" w:pos="284"/>
        </w:tabs>
        <w:rPr>
          <w:rFonts w:ascii="Arial" w:cs="Arial" w:eastAsia="Arial" w:hAnsi="Arial"/>
        </w:rPr>
      </w:pPr>
      <w:r w:rsidDel="00000000" w:rsidR="00000000" w:rsidRPr="00000000">
        <w:rPr>
          <w:rFonts w:ascii="Arial" w:cs="Arial" w:eastAsia="Arial" w:hAnsi="Arial"/>
          <w:rtl w:val="0"/>
        </w:rPr>
        <w:t xml:space="preserve">Volkswagen Group (2025a). Volkswagen Group UK ESG strategy ‘regenerate+ UK’. Available at: </w:t>
      </w:r>
      <w:hyperlink r:id="rId32">
        <w:r w:rsidDel="00000000" w:rsidR="00000000" w:rsidRPr="00000000">
          <w:rPr>
            <w:rFonts w:ascii="Arial" w:cs="Arial" w:eastAsia="Arial" w:hAnsi="Arial"/>
            <w:color w:val="0563c1"/>
            <w:u w:val="single"/>
            <w:rtl w:val="0"/>
          </w:rPr>
          <w:t xml:space="preserve">https://www.volkswagengroup.co.uk/assets/applications/original/1081-uk-vwg-regenerate-strategy-april-2025.pdf</w:t>
        </w:r>
      </w:hyperlink>
      <w:r w:rsidDel="00000000" w:rsidR="00000000" w:rsidRPr="00000000">
        <w:rPr>
          <w:rFonts w:ascii="Arial" w:cs="Arial" w:eastAsia="Arial" w:hAnsi="Arial"/>
          <w:rtl w:val="0"/>
        </w:rPr>
        <w:t xml:space="preserve">  [Accessed 12 March 2026].</w:t>
      </w:r>
    </w:p>
    <w:p w:rsidR="00000000" w:rsidDel="00000000" w:rsidP="00000000" w:rsidRDefault="00000000" w:rsidRPr="00000000" w14:paraId="000001AE">
      <w:pPr>
        <w:tabs>
          <w:tab w:val="left" w:leader="none" w:pos="284"/>
        </w:tabs>
        <w:rPr>
          <w:rFonts w:ascii="Arial" w:cs="Arial" w:eastAsia="Arial" w:hAnsi="Arial"/>
        </w:rPr>
      </w:pPr>
      <w:r w:rsidDel="00000000" w:rsidR="00000000" w:rsidRPr="00000000">
        <w:rPr>
          <w:rFonts w:ascii="Arial" w:cs="Arial" w:eastAsia="Arial" w:hAnsi="Arial"/>
          <w:rtl w:val="0"/>
        </w:rPr>
        <w:t xml:space="preserve">Volkswagen Group (2025b). Group Management Report. Available at: </w:t>
      </w:r>
      <w:hyperlink r:id="rId33">
        <w:r w:rsidDel="00000000" w:rsidR="00000000" w:rsidRPr="00000000">
          <w:rPr>
            <w:rFonts w:ascii="Arial" w:cs="Arial" w:eastAsia="Arial" w:hAnsi="Arial"/>
            <w:color w:val="0563c1"/>
            <w:u w:val="single"/>
            <w:rtl w:val="0"/>
          </w:rPr>
          <w:t xml:space="preserve">https://annualreport2025.volkswagen-group.com/group-management-report/shares-and-bonds/esg-ratings.html</w:t>
        </w:r>
      </w:hyperlink>
      <w:r w:rsidDel="00000000" w:rsidR="00000000" w:rsidRPr="00000000">
        <w:rPr>
          <w:rFonts w:ascii="Arial" w:cs="Arial" w:eastAsia="Arial" w:hAnsi="Arial"/>
          <w:rtl w:val="0"/>
        </w:rPr>
        <w:t xml:space="preserve">    [Accessed 17 March 2026].</w:t>
      </w:r>
    </w:p>
    <w:p w:rsidR="00000000" w:rsidDel="00000000" w:rsidP="00000000" w:rsidRDefault="00000000" w:rsidRPr="00000000" w14:paraId="000001AF">
      <w:pPr>
        <w:tabs>
          <w:tab w:val="left" w:leader="none" w:pos="284"/>
        </w:tabs>
        <w:rPr>
          <w:rFonts w:ascii="Arial" w:cs="Arial" w:eastAsia="Arial" w:hAnsi="Arial"/>
        </w:rPr>
      </w:pPr>
      <w:r w:rsidDel="00000000" w:rsidR="00000000" w:rsidRPr="00000000">
        <w:rPr>
          <w:rFonts w:ascii="Arial" w:cs="Arial" w:eastAsia="Arial" w:hAnsi="Arial"/>
          <w:rtl w:val="0"/>
        </w:rPr>
        <w:t xml:space="preserve">Volkswagen Group (2026). goTOzero RETAIL. Available at: </w:t>
      </w:r>
      <w:hyperlink r:id="rId34">
        <w:r w:rsidDel="00000000" w:rsidR="00000000" w:rsidRPr="00000000">
          <w:rPr>
            <w:rFonts w:ascii="Arial" w:cs="Arial" w:eastAsia="Arial" w:hAnsi="Arial"/>
            <w:color w:val="0563c1"/>
            <w:u w:val="single"/>
            <w:rtl w:val="0"/>
          </w:rPr>
          <w:t xml:space="preserve">https://www.volkswagen-group.com/en/gotozero-retail-18015</w:t>
        </w:r>
      </w:hyperlink>
      <w:r w:rsidDel="00000000" w:rsidR="00000000" w:rsidRPr="00000000">
        <w:rPr>
          <w:rFonts w:ascii="Arial" w:cs="Arial" w:eastAsia="Arial" w:hAnsi="Arial"/>
          <w:rtl w:val="0"/>
        </w:rPr>
        <w:t xml:space="preserve">   [Accessed 13 March 2026].</w:t>
      </w:r>
    </w:p>
    <w:p w:rsidR="00000000" w:rsidDel="00000000" w:rsidP="00000000" w:rsidRDefault="00000000" w:rsidRPr="00000000" w14:paraId="000001B0">
      <w:pPr>
        <w:tabs>
          <w:tab w:val="left" w:leader="none" w:pos="284"/>
        </w:tabs>
        <w:rPr>
          <w:rFonts w:ascii="Arial" w:cs="Arial" w:eastAsia="Arial" w:hAnsi="Arial"/>
        </w:rPr>
      </w:pPr>
      <w:r w:rsidDel="00000000" w:rsidR="00000000" w:rsidRPr="00000000">
        <w:rPr>
          <w:rFonts w:ascii="Arial" w:cs="Arial" w:eastAsia="Arial" w:hAnsi="Arial"/>
          <w:rtl w:val="0"/>
        </w:rPr>
        <w:t xml:space="preserve">Volkswagen UK  (2026). About Volkswagen UK. Available at: </w:t>
      </w:r>
      <w:hyperlink r:id="rId35">
        <w:r w:rsidDel="00000000" w:rsidR="00000000" w:rsidRPr="00000000">
          <w:rPr>
            <w:rFonts w:ascii="Arial" w:cs="Arial" w:eastAsia="Arial" w:hAnsi="Arial"/>
            <w:color w:val="0563c1"/>
            <w:u w:val="single"/>
            <w:rtl w:val="0"/>
          </w:rPr>
          <w:t xml:space="preserve">https://www.volkswagen.co.uk/en/need-help/company/volkswagen-uk.html</w:t>
        </w:r>
      </w:hyperlink>
      <w:r w:rsidDel="00000000" w:rsidR="00000000" w:rsidRPr="00000000">
        <w:rPr>
          <w:rFonts w:ascii="Arial" w:cs="Arial" w:eastAsia="Arial" w:hAnsi="Arial"/>
          <w:rtl w:val="0"/>
        </w:rPr>
        <w:t xml:space="preserve">   [Accessed 15 February 2026].</w:t>
      </w:r>
    </w:p>
    <w:p w:rsidR="00000000" w:rsidDel="00000000" w:rsidP="00000000" w:rsidRDefault="00000000" w:rsidRPr="00000000" w14:paraId="000001B1">
      <w:pPr>
        <w:rPr>
          <w:rFonts w:ascii="Arial" w:cs="Arial" w:eastAsia="Arial" w:hAnsi="Arial"/>
          <w:b w:val="1"/>
          <w:bCs w:val="1"/>
        </w:rPr>
      </w:pPr>
      <w:r w:rsidDel="00000000" w:rsidR="00000000" w:rsidRPr="00000000">
        <w:rPr>
          <w:rFonts w:ascii="Arial" w:cs="Arial" w:eastAsia="Arial" w:hAnsi="Arial"/>
          <w:rtl w:val="0"/>
        </w:rPr>
        <w:t xml:space="preserve">Wronka, A., Raźniewska, M., Rudnicka, A. and Kędzia, G (2025). Institutional Stimulants for Low-Carbon Transport: The Case of the Fleet Electrification in the Polish Logistics Industry. Energies, 18(23), p.6339.</w:t>
      </w:r>
      <w:hyperlink r:id="rId36">
        <w:r w:rsidDel="00000000" w:rsidR="00000000" w:rsidRPr="00000000">
          <w:rPr>
            <w:rFonts w:ascii="Arial" w:cs="Arial" w:eastAsia="Arial" w:hAnsi="Arial"/>
            <w:b w:val="1"/>
            <w:bCs w:val="1"/>
            <w:color w:val="0563c1"/>
            <w:u w:val="single"/>
            <w:rtl w:val="0"/>
          </w:rPr>
          <w:t xml:space="preserve">https://doi.org/10.3390/en18236339</w:t>
        </w:r>
      </w:hyperlink>
      <w:r w:rsidDel="00000000" w:rsidR="00000000" w:rsidRPr="00000000">
        <w:rPr>
          <w:rtl w:val="0"/>
        </w:rPr>
      </w:r>
    </w:p>
    <w:p w:rsidR="00000000" w:rsidDel="00000000" w:rsidP="00000000" w:rsidRDefault="00000000" w:rsidRPr="00000000" w14:paraId="000001B2">
      <w:pPr>
        <w:rPr/>
      </w:pPr>
      <w:r w:rsidDel="00000000" w:rsidR="00000000" w:rsidRPr="00000000">
        <w:rPr>
          <w:rFonts w:ascii="Arial" w:cs="Arial" w:eastAsia="Arial" w:hAnsi="Arial"/>
          <w:rtl w:val="0"/>
        </w:rPr>
        <w:t xml:space="preserve">Zhu, H., Li, T., Tang, J. and Huang, W (2023). Corporate social responsibility strategies in competition and their implications. International Journal of Production Economics, 265, p.108955. </w:t>
      </w:r>
      <w:hyperlink r:id="rId37">
        <w:r w:rsidDel="00000000" w:rsidR="00000000" w:rsidRPr="00000000">
          <w:rPr>
            <w:rFonts w:ascii="Arial" w:cs="Arial" w:eastAsia="Arial" w:hAnsi="Arial"/>
            <w:color w:val="0563c1"/>
            <w:u w:val="single"/>
            <w:rtl w:val="0"/>
          </w:rPr>
          <w:t xml:space="preserve">https://doi.org/10.1016/j.ijpe.2023.108955</w:t>
        </w:r>
      </w:hyperlink>
      <w:r w:rsidDel="00000000" w:rsidR="00000000" w:rsidRPr="00000000">
        <w:rPr>
          <w:rtl w:val="0"/>
        </w:rPr>
      </w:r>
    </w:p>
    <w:p w:rsidR="00000000" w:rsidDel="00000000" w:rsidP="00000000" w:rsidRDefault="00000000" w:rsidRPr="00000000" w14:paraId="000001B3">
      <w:pPr>
        <w:rPr/>
      </w:pPr>
      <w:r w:rsidDel="00000000" w:rsidR="00000000" w:rsidRPr="00000000">
        <w:rPr>
          <w:rtl w:val="0"/>
        </w:rPr>
      </w:r>
    </w:p>
    <w:p w:rsidR="00000000" w:rsidDel="00000000" w:rsidP="00000000" w:rsidRDefault="00000000" w:rsidRPr="00000000" w14:paraId="000001B4">
      <w:pPr>
        <w:rPr/>
      </w:pPr>
      <w:r w:rsidDel="00000000" w:rsidR="00000000" w:rsidRPr="00000000">
        <w:rPr>
          <w:rtl w:val="0"/>
        </w:rPr>
      </w:r>
    </w:p>
    <w:p w:rsidR="00000000" w:rsidDel="00000000" w:rsidP="00000000" w:rsidRDefault="00000000" w:rsidRPr="00000000" w14:paraId="000001B5">
      <w:pPr>
        <w:rPr/>
      </w:pPr>
      <w:r w:rsidDel="00000000" w:rsidR="00000000" w:rsidRPr="00000000">
        <w:rPr>
          <w:rtl w:val="0"/>
        </w:rPr>
      </w:r>
    </w:p>
    <w:p w:rsidR="00000000" w:rsidDel="00000000" w:rsidP="00000000" w:rsidRDefault="00000000" w:rsidRPr="00000000" w14:paraId="000001B6">
      <w:pPr>
        <w:rPr/>
      </w:pPr>
      <w:r w:rsidDel="00000000" w:rsidR="00000000" w:rsidRPr="00000000">
        <w:rPr>
          <w:rtl w:val="0"/>
        </w:rPr>
      </w:r>
    </w:p>
    <w:p w:rsidR="00000000" w:rsidDel="00000000" w:rsidP="00000000" w:rsidRDefault="00000000" w:rsidRPr="00000000" w14:paraId="000001B7">
      <w:pPr>
        <w:rPr/>
      </w:pPr>
      <w:r w:rsidDel="00000000" w:rsidR="00000000" w:rsidRPr="00000000">
        <w:rPr>
          <w:rtl w:val="0"/>
        </w:rPr>
      </w:r>
    </w:p>
    <w:p w:rsidR="00000000" w:rsidDel="00000000" w:rsidP="00000000" w:rsidRDefault="00000000" w:rsidRPr="00000000" w14:paraId="000001B8">
      <w:pPr>
        <w:rPr/>
      </w:pPr>
      <w:r w:rsidDel="00000000" w:rsidR="00000000" w:rsidRPr="00000000">
        <w:rPr>
          <w:rtl w:val="0"/>
        </w:rPr>
      </w:r>
    </w:p>
    <w:p w:rsidR="00000000" w:rsidDel="00000000" w:rsidP="00000000" w:rsidRDefault="00000000" w:rsidRPr="00000000" w14:paraId="000001B9">
      <w:pPr>
        <w:rPr/>
      </w:pPr>
      <w:r w:rsidDel="00000000" w:rsidR="00000000" w:rsidRPr="00000000">
        <w:rPr>
          <w:rtl w:val="0"/>
        </w:rPr>
      </w:r>
    </w:p>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rPr/>
      </w:pPr>
      <w:r w:rsidDel="00000000" w:rsidR="00000000" w:rsidRPr="00000000">
        <w:rPr>
          <w:rtl w:val="0"/>
        </w:rPr>
      </w:r>
    </w:p>
    <w:p w:rsidR="00000000" w:rsidDel="00000000" w:rsidP="00000000" w:rsidRDefault="00000000" w:rsidRPr="00000000" w14:paraId="000001BC">
      <w:pPr>
        <w:rPr>
          <w:rFonts w:ascii="Arial" w:cs="Arial" w:eastAsia="Arial" w:hAnsi="Arial"/>
        </w:rPr>
      </w:pPr>
      <w:r w:rsidDel="00000000" w:rsidR="00000000" w:rsidRPr="00000000">
        <w:rPr>
          <w:rtl w:val="0"/>
        </w:rPr>
      </w:r>
    </w:p>
    <w:sectPr>
      <w:headerReference r:id="rId38" w:type="default"/>
      <w:footerReference r:id="rId39" w:type="default"/>
      <w:footerReference r:id="rId40" w:type="firs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20"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40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0" w:before="40" w:lineRule="auto"/>
    </w:pPr>
    <w:rPr>
      <w:b w:val="1"/>
      <w:bCs w:val="1"/>
      <w:i w:val="1"/>
      <w:iCs w:val="1"/>
    </w:rPr>
  </w:style>
  <w:style w:type="paragraph" w:styleId="Heading4">
    <w:name w:val="heading 4"/>
    <w:basedOn w:val="Normal"/>
    <w:next w:val="Normal"/>
    <w:pPr>
      <w:keepNext w:val="1"/>
      <w:keepLines w:val="1"/>
      <w:spacing w:after="0" w:before="40" w:lineRule="auto"/>
    </w:pPr>
    <w:rPr>
      <w:i w:val="1"/>
      <w:iCs w:val="1"/>
      <w:u w:val="single"/>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0" w:before="0" w:lineRule="auto"/>
      <w:jc w:val="center"/>
    </w:pPr>
    <w:rPr>
      <w:b w:val="1"/>
      <w:bCs w:val="1"/>
      <w:sz w:val="40"/>
      <w:szCs w:val="40"/>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footer" Target="footer2.xml"/><Relationship Id="rId20" Type="http://schemas.openxmlformats.org/officeDocument/2006/relationships/hyperlink" Target="https://search.proquest.com/openview/7d4d0bd450bd96be3004d43ac869002e/1?pq-origsite=gscholar&amp;cbl=18750&amp;diss=y" TargetMode="External"/><Relationship Id="rId22" Type="http://schemas.openxmlformats.org/officeDocument/2006/relationships/hyperlink" Target="https://doi.org/10.3390/encyclopedia5010039" TargetMode="External"/><Relationship Id="rId21" Type="http://schemas.openxmlformats.org/officeDocument/2006/relationships/hyperlink" Target="https://doi.org/10.54844/ep.2024.0795" TargetMode="External"/><Relationship Id="rId24" Type="http://schemas.openxmlformats.org/officeDocument/2006/relationships/hyperlink" Target="https://doi.org/10.1016/j.iedeen.2023.100230" TargetMode="External"/><Relationship Id="rId23" Type="http://schemas.openxmlformats.org/officeDocument/2006/relationships/hyperlink" Target="https://www.marklines.com/en/statistics/flash_sales/automotive-sales-in-uk-by-month-20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link.springer.com/chapter/10.1007/978-3-032-10212-6_15" TargetMode="External"/><Relationship Id="rId25" Type="http://schemas.openxmlformats.org/officeDocument/2006/relationships/hyperlink" Target="https://www.management-poland.com/pdf-211082-133054?filename=Strategic%20Leadership%20for.pdf" TargetMode="External"/><Relationship Id="rId28" Type="http://schemas.openxmlformats.org/officeDocument/2006/relationships/hyperlink" Target="https://www.preprints.org/frontend/manuscript/c081e904367e060c39ee7e988b0976b4/download_pub" TargetMode="External"/><Relationship Id="rId27" Type="http://schemas.openxmlformats.org/officeDocument/2006/relationships/hyperlink" Target="https://www.reuters.com/business/autos-transportation/volkswagen-invest-up-billion-euros-ai-by-end-decade-2025-09-09"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mmt.co.uk/uk-new-car-market-breaches-two-million-as-almost-one-in-four-buyers-go-electric%20Accessed%2016%20February%202026"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search.proquest.com/openview/87c797e49ae66e40d359573e85cdd88d/1?pq-origsite=gscholar&amp;cbl=2026366&amp;diss=y" TargetMode="External"/><Relationship Id="rId30" Type="http://schemas.openxmlformats.org/officeDocument/2006/relationships/hyperlink" Target="https://www.smmt.co.uk/december-2025-new-car-pre-registration-figures" TargetMode="External"/><Relationship Id="rId11" Type="http://schemas.openxmlformats.org/officeDocument/2006/relationships/hyperlink" Target="https://doi.org/10.1016/j.rser.2025.115671" TargetMode="External"/><Relationship Id="rId33" Type="http://schemas.openxmlformats.org/officeDocument/2006/relationships/hyperlink" Target="https://annualreport2025.volkswagen-group.com/group-management-report/shares-and-bonds/esg-ratings.html" TargetMode="External"/><Relationship Id="rId10" Type="http://schemas.openxmlformats.org/officeDocument/2006/relationships/image" Target="media/image4.png"/><Relationship Id="rId32" Type="http://schemas.openxmlformats.org/officeDocument/2006/relationships/hyperlink" Target="https://www.volkswagengroup.co.uk/assets/applications/original/1081-uk-vwg-regenerate-strategy-april-2025.pdf" TargetMode="External"/><Relationship Id="rId13" Type="http://schemas.openxmlformats.org/officeDocument/2006/relationships/hyperlink" Target="https://doi.org/10.3390/su16073011" TargetMode="External"/><Relationship Id="rId35" Type="http://schemas.openxmlformats.org/officeDocument/2006/relationships/hyperlink" Target="https://www.volkswagen.co.uk/en/need-help/company/volkswagen-uk.html" TargetMode="External"/><Relationship Id="rId12" Type="http://schemas.openxmlformats.org/officeDocument/2006/relationships/hyperlink" Target="https://www.bankofengland.co.uk/monetary-policy-summary-and-minutes/2026/march-2026" TargetMode="External"/><Relationship Id="rId34" Type="http://schemas.openxmlformats.org/officeDocument/2006/relationships/hyperlink" Target="https://www.volkswagen-group.com/en/gotozero-retail-18015" TargetMode="External"/><Relationship Id="rId15" Type="http://schemas.openxmlformats.org/officeDocument/2006/relationships/hyperlink" Target="https://www.gov.uk/government/statistics/electric-vehicle-public-charging-infrastructure-statistics-january-2026/electric-vehicle-public-charging-infrastructure-statistics-january-2026" TargetMode="External"/><Relationship Id="rId37" Type="http://schemas.openxmlformats.org/officeDocument/2006/relationships/hyperlink" Target="https://doi.org/10.1016/j.ijpe.2023.108955" TargetMode="External"/><Relationship Id="rId14" Type="http://schemas.openxmlformats.org/officeDocument/2006/relationships/hyperlink" Target="https://www.gov.uk/government/publications/vehicle-emissions-trading-schemes-vets-order-2023-updates/updates-to-the-vehicle-emissions-trading-schemes-vets-order-2023" TargetMode="External"/><Relationship Id="rId36" Type="http://schemas.openxmlformats.org/officeDocument/2006/relationships/hyperlink" Target="https://doi.org/10.3390/en18236339" TargetMode="External"/><Relationship Id="rId17" Type="http://schemas.openxmlformats.org/officeDocument/2006/relationships/hyperlink" Target="https://cmr.berkeley.edu/assets/documents/pdf/2024-03-how-chinese-companies-are-dominating-electric-vehicle-market-worldwide.pdf" TargetMode="External"/><Relationship Id="rId39" Type="http://schemas.openxmlformats.org/officeDocument/2006/relationships/footer" Target="footer1.xml"/><Relationship Id="rId16" Type="http://schemas.openxmlformats.org/officeDocument/2006/relationships/hyperlink" Target="https://www.researchgate.net/profile/Achraf-Guidara/publication/396016510_LESSONS_FROM_THE_VOLKSWAGEN_EMISSIONS_SCANDAL_A_LITERATURE_REVIEW/links/68dcd2dcd221a404b2a3fb46/Lessons-from-the-Volkswagen-emissions-scandal-A-literature-review.pdf" TargetMode="External"/><Relationship Id="rId38" Type="http://schemas.openxmlformats.org/officeDocument/2006/relationships/header" Target="header1.xml"/><Relationship Id="rId19" Type="http://schemas.openxmlformats.org/officeDocument/2006/relationships/hyperlink" Target="https://www.academia.edu/download/118338664/110933.pdf" TargetMode="External"/><Relationship Id="rId18" Type="http://schemas.openxmlformats.org/officeDocument/2006/relationships/hyperlink" Target="https://doi.org/10.1016/j.jclepro.2022.1336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