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0CC" w:rsidRPr="004141B2" w:rsidRDefault="00D300CC" w:rsidP="00C65753">
      <w:pPr>
        <w:pStyle w:val="Heading1"/>
        <w:jc w:val="center"/>
      </w:pPr>
      <w:r w:rsidRPr="004141B2">
        <w:t xml:space="preserve">Healthcare on Hand – </w:t>
      </w:r>
      <w:r>
        <w:rPr>
          <w:i/>
        </w:rPr>
        <w:t>Performance Management and Reward</w:t>
      </w:r>
    </w:p>
    <w:p w:rsidR="00D300CC" w:rsidRDefault="00D300CC" w:rsidP="00D300CC">
      <w:pPr>
        <w:pStyle w:val="NoSpacing"/>
        <w:jc w:val="center"/>
      </w:pPr>
      <w:r w:rsidRPr="005715C0">
        <w:t>Briefing paper written by Jolanta Kalnina.</w:t>
      </w:r>
    </w:p>
    <w:p w:rsidR="006F0164" w:rsidRPr="00E008F0" w:rsidRDefault="006F0164" w:rsidP="006F0164">
      <w:pPr>
        <w:rPr>
          <w:rFonts w:eastAsia="Times New Roman" w:cs="Arial"/>
          <w:lang w:eastAsia="en-GB"/>
        </w:rPr>
      </w:pPr>
    </w:p>
    <w:p w:rsidR="00D300CC" w:rsidRDefault="00D300CC" w:rsidP="00D300CC">
      <w:pPr>
        <w:pStyle w:val="Listparag"/>
        <w:numPr>
          <w:ilvl w:val="0"/>
          <w:numId w:val="0"/>
        </w:numPr>
        <w:rPr>
          <w:rFonts w:asciiTheme="majorHAnsi" w:eastAsiaTheme="majorEastAsia" w:hAnsiTheme="majorHAnsi" w:cstheme="majorBidi"/>
          <w:b/>
          <w:color w:val="850C4B" w:themeColor="accent1" w:themeShade="BF"/>
          <w:sz w:val="24"/>
          <w:szCs w:val="28"/>
          <w:u w:val="single"/>
          <w:lang w:eastAsia="en-US"/>
        </w:rPr>
      </w:pPr>
      <w:r>
        <w:rPr>
          <w:rFonts w:asciiTheme="majorHAnsi" w:eastAsiaTheme="majorEastAsia" w:hAnsiTheme="majorHAnsi" w:cstheme="majorBidi"/>
          <w:b/>
          <w:color w:val="850C4B" w:themeColor="accent1" w:themeShade="BF"/>
          <w:sz w:val="24"/>
          <w:szCs w:val="28"/>
          <w:u w:val="single"/>
          <w:lang w:eastAsia="en-US"/>
        </w:rPr>
        <w:t>Introduction:</w:t>
      </w:r>
    </w:p>
    <w:p w:rsidR="00D300CC" w:rsidRDefault="00DE4856" w:rsidP="00D300CC">
      <w:pPr>
        <w:pStyle w:val="Listparag"/>
        <w:numPr>
          <w:ilvl w:val="0"/>
          <w:numId w:val="0"/>
        </w:numPr>
        <w:rPr>
          <w:rFonts w:eastAsiaTheme="minorEastAsia" w:cstheme="minorBidi"/>
          <w:lang w:eastAsia="en-US"/>
        </w:rPr>
      </w:pPr>
      <w:r w:rsidRPr="00DE4856">
        <w:rPr>
          <w:rFonts w:eastAsiaTheme="minorEastAsia" w:cstheme="minorBidi"/>
          <w:lang w:eastAsia="en-US"/>
        </w:rPr>
        <w:t xml:space="preserve">This </w:t>
      </w:r>
      <w:r>
        <w:rPr>
          <w:rFonts w:eastAsiaTheme="minorEastAsia" w:cstheme="minorBidi"/>
          <w:lang w:eastAsia="en-US"/>
        </w:rPr>
        <w:t xml:space="preserve">briefing paper aims to provide the managers at Healthcare on Hand essential knowledge </w:t>
      </w:r>
      <w:bookmarkStart w:id="0" w:name="_GoBack"/>
      <w:bookmarkEnd w:id="0"/>
      <w:r>
        <w:rPr>
          <w:rFonts w:eastAsiaTheme="minorEastAsia" w:cstheme="minorBidi"/>
          <w:lang w:eastAsia="en-US"/>
        </w:rPr>
        <w:t xml:space="preserve">and understanding of both employee performance management and reward systems. The document will cover a variety of important topics such as the purpose of performance management and reward, the key components to consider, the different methods to be used, the links to motivation and it will finish off by providing key reasons for treating employees fairly in relation to pay. </w:t>
      </w:r>
    </w:p>
    <w:p w:rsidR="007D0BE9" w:rsidRPr="007D0BE9" w:rsidRDefault="007D0BE9" w:rsidP="00D300CC">
      <w:pPr>
        <w:pStyle w:val="Listparag"/>
        <w:numPr>
          <w:ilvl w:val="0"/>
          <w:numId w:val="0"/>
        </w:numPr>
        <w:rPr>
          <w:rFonts w:eastAsiaTheme="minorEastAsia" w:cstheme="minorBidi"/>
          <w:lang w:eastAsia="en-US"/>
        </w:rPr>
      </w:pPr>
    </w:p>
    <w:p w:rsidR="00D300CC" w:rsidRDefault="00D300CC" w:rsidP="00D300CC">
      <w:pPr>
        <w:pStyle w:val="Listparag"/>
        <w:numPr>
          <w:ilvl w:val="0"/>
          <w:numId w:val="0"/>
        </w:numPr>
        <w:rPr>
          <w:rFonts w:asciiTheme="majorHAnsi" w:eastAsiaTheme="majorEastAsia" w:hAnsiTheme="majorHAnsi" w:cstheme="majorBidi"/>
          <w:b/>
          <w:color w:val="850C4B" w:themeColor="accent1" w:themeShade="BF"/>
          <w:sz w:val="24"/>
          <w:szCs w:val="28"/>
          <w:u w:val="single"/>
          <w:lang w:eastAsia="en-US"/>
        </w:rPr>
      </w:pPr>
      <w:r>
        <w:rPr>
          <w:rFonts w:asciiTheme="majorHAnsi" w:eastAsiaTheme="majorEastAsia" w:hAnsiTheme="majorHAnsi" w:cstheme="majorBidi"/>
          <w:b/>
          <w:color w:val="850C4B" w:themeColor="accent1" w:themeShade="BF"/>
          <w:sz w:val="24"/>
          <w:szCs w:val="28"/>
          <w:u w:val="single"/>
          <w:lang w:eastAsia="en-US"/>
        </w:rPr>
        <w:t>Main Findings:</w:t>
      </w:r>
    </w:p>
    <w:p w:rsidR="00937709" w:rsidRPr="00D300CC" w:rsidRDefault="00D300CC" w:rsidP="00D300CC">
      <w:pPr>
        <w:pStyle w:val="Listparag"/>
        <w:numPr>
          <w:ilvl w:val="0"/>
          <w:numId w:val="0"/>
        </w:numPr>
        <w:rPr>
          <w:rStyle w:val="Heading2Char"/>
          <w:b/>
          <w:sz w:val="24"/>
          <w:u w:val="single"/>
          <w:lang w:eastAsia="en-US"/>
        </w:rPr>
      </w:pPr>
      <w:r>
        <w:rPr>
          <w:rStyle w:val="Heading2Char"/>
          <w:sz w:val="22"/>
          <w:u w:val="single"/>
          <w:lang w:eastAsia="en-US"/>
        </w:rPr>
        <w:t>T</w:t>
      </w:r>
      <w:r w:rsidR="00937709" w:rsidRPr="00D300CC">
        <w:rPr>
          <w:rStyle w:val="Heading2Char"/>
          <w:sz w:val="22"/>
          <w:u w:val="single"/>
          <w:lang w:eastAsia="en-US"/>
        </w:rPr>
        <w:t xml:space="preserve">he purpose and components of performance management. (AC 4.1) </w:t>
      </w:r>
    </w:p>
    <w:p w:rsidR="00D300CC" w:rsidRDefault="0052435B" w:rsidP="0052435B">
      <w:pPr>
        <w:shd w:val="clear" w:color="auto" w:fill="FFFFFF"/>
        <w:spacing w:before="100" w:beforeAutospacing="1" w:line="240" w:lineRule="auto"/>
      </w:pPr>
      <w:r>
        <w:t>A variety of benefits can be achieved when managers and people professionals place importanc</w:t>
      </w:r>
      <w:r w:rsidR="00A77C97">
        <w:t>e on performance management. T</w:t>
      </w:r>
      <w:r>
        <w:t>he quality and success of an organisation depends notably on the performance of its employees</w:t>
      </w:r>
      <w:r w:rsidR="00BA6FF6">
        <w:t xml:space="preserve">; it will give them the tools to effectively and efficiently perform to the best of their ability and produce a higher quality of work </w:t>
      </w:r>
      <w:r w:rsidR="00577D36">
        <w:t>(Tardi, 2022)</w:t>
      </w:r>
      <w:r w:rsidR="00BA6FF6">
        <w:t xml:space="preserve">. </w:t>
      </w:r>
      <w:r>
        <w:t>According to the CIPD (</w:t>
      </w:r>
      <w:r w:rsidR="008B2CB8">
        <w:t xml:space="preserve">2022) </w:t>
      </w:r>
      <w:r w:rsidRPr="002C1B01">
        <w:t>t</w:t>
      </w:r>
      <w:r>
        <w:t>he definition and purpose of performance management is to ‘establish objectives’ so that employees can see their contribution in meeting the organisations objectives,</w:t>
      </w:r>
      <w:r w:rsidR="00F0433F">
        <w:t xml:space="preserve"> to</w:t>
      </w:r>
      <w:r>
        <w:t xml:space="preserve"> ‘improve performance’ among all those involved and </w:t>
      </w:r>
      <w:r w:rsidR="00F0433F">
        <w:t xml:space="preserve">to </w:t>
      </w:r>
      <w:r>
        <w:t xml:space="preserve">‘hold people to account’ by linking their performance to a variety of rewards or otherwise. </w:t>
      </w:r>
      <w:r w:rsidR="00ED02B6">
        <w:t>The components of performance management include having a set procedure and approach su</w:t>
      </w:r>
      <w:r w:rsidR="00070A51">
        <w:t xml:space="preserve">ch as clear goals on the impact, who will be involved and the frequency and formality of the reviews, also having an effective system for recording the information and outcomes on systems such as online performance management systems. Furthermore, having clear job descriptions that align with organisational goals and having a means of collecting performance data </w:t>
      </w:r>
      <w:r w:rsidR="003A04D2">
        <w:t xml:space="preserve">are also key components of performance management. Finally, managers should also ensure that learning and development options are available </w:t>
      </w:r>
      <w:r w:rsidR="00E07F4A">
        <w:t>to provide</w:t>
      </w:r>
      <w:r w:rsidR="003A04D2">
        <w:t xml:space="preserve"> employees a way to achieve their set goals and maintain them, and related work policies and procedures must be updated regularly to ensure they are in line with the organisations people management framework </w:t>
      </w:r>
      <w:r w:rsidR="00704865">
        <w:t>(Waite et al. 2021, pp. 163-166</w:t>
      </w:r>
      <w:r w:rsidR="00704865" w:rsidRPr="000B6A0D">
        <w:t>)</w:t>
      </w:r>
      <w:r w:rsidR="00D300CC" w:rsidRPr="00704865">
        <w:t>.</w:t>
      </w:r>
    </w:p>
    <w:p w:rsidR="00D300CC" w:rsidRPr="00D300CC" w:rsidRDefault="00D300CC" w:rsidP="0052435B">
      <w:pPr>
        <w:shd w:val="clear" w:color="auto" w:fill="FFFFFF"/>
        <w:spacing w:before="100" w:beforeAutospacing="1" w:line="240" w:lineRule="auto"/>
        <w:rPr>
          <w:rStyle w:val="Heading2Char"/>
          <w:rFonts w:asciiTheme="minorHAnsi" w:eastAsiaTheme="minorEastAsia" w:hAnsiTheme="minorHAnsi" w:cstheme="minorBidi"/>
          <w:color w:val="auto"/>
          <w:sz w:val="21"/>
          <w:szCs w:val="21"/>
        </w:rPr>
      </w:pPr>
    </w:p>
    <w:p w:rsidR="00775408" w:rsidRPr="00D300CC" w:rsidRDefault="00D300CC" w:rsidP="002C1B01">
      <w:pPr>
        <w:pStyle w:val="Listparag"/>
        <w:numPr>
          <w:ilvl w:val="0"/>
          <w:numId w:val="0"/>
        </w:numPr>
        <w:rPr>
          <w:rStyle w:val="Heading2Char"/>
          <w:sz w:val="22"/>
          <w:u w:val="single"/>
          <w:lang w:eastAsia="en-US"/>
        </w:rPr>
      </w:pPr>
      <w:r>
        <w:rPr>
          <w:rStyle w:val="Heading2Char"/>
          <w:sz w:val="22"/>
          <w:u w:val="single"/>
          <w:lang w:eastAsia="en-US"/>
        </w:rPr>
        <w:t>T</w:t>
      </w:r>
      <w:r w:rsidR="00775408" w:rsidRPr="00D300CC">
        <w:rPr>
          <w:rStyle w:val="Heading2Char"/>
          <w:sz w:val="22"/>
          <w:u w:val="single"/>
          <w:lang w:eastAsia="en-US"/>
        </w:rPr>
        <w:t xml:space="preserve">he main factors that need to be considered when </w:t>
      </w:r>
      <w:r w:rsidR="00775408" w:rsidRPr="00D300CC" w:rsidDel="00F527A9">
        <w:rPr>
          <w:rStyle w:val="Heading2Char"/>
          <w:sz w:val="22"/>
          <w:u w:val="single"/>
          <w:lang w:eastAsia="en-US"/>
        </w:rPr>
        <w:t xml:space="preserve">managing </w:t>
      </w:r>
      <w:r w:rsidR="00775408" w:rsidRPr="00D300CC">
        <w:rPr>
          <w:rStyle w:val="Heading2Char"/>
          <w:sz w:val="22"/>
          <w:u w:val="single"/>
          <w:lang w:eastAsia="en-US"/>
        </w:rPr>
        <w:t>performance. (AC 4.2)</w:t>
      </w:r>
    </w:p>
    <w:p w:rsidR="00AA13C4" w:rsidRDefault="00907152" w:rsidP="00AF2A0D">
      <w:r w:rsidRPr="002C1B01">
        <w:t>In order to conduct effective performance management, managers must consider some of the many factor</w:t>
      </w:r>
      <w:r w:rsidR="0067457B" w:rsidRPr="002C1B01">
        <w:t>s that may impact performance; t</w:t>
      </w:r>
      <w:r w:rsidRPr="002C1B01">
        <w:t xml:space="preserve">he Skill-Will Matrix by Max Landsberg suggests that motivation and capability are the two main factors that affect performance </w:t>
      </w:r>
      <w:r w:rsidR="006C786E" w:rsidRPr="002C1B01">
        <w:t xml:space="preserve">(Landsberg, 2015). </w:t>
      </w:r>
      <w:r w:rsidR="007A6D14">
        <w:t>Studies present that motivated employees are more likely to produce a higher-quality output and be more satisfied and committed towards their work</w:t>
      </w:r>
      <w:r w:rsidR="0067457B">
        <w:t xml:space="preserve"> and that this can be achieved through the use of extrinsic and intrinsic motivators</w:t>
      </w:r>
      <w:r w:rsidR="007A6D14">
        <w:t xml:space="preserve"> (</w:t>
      </w:r>
      <w:r w:rsidR="00491035">
        <w:t>CIPD, 2021)</w:t>
      </w:r>
      <w:r w:rsidR="007A6D14">
        <w:t xml:space="preserve">. </w:t>
      </w:r>
      <w:r w:rsidR="00AF2A0D" w:rsidRPr="002C1B01">
        <w:t xml:space="preserve">Both </w:t>
      </w:r>
      <w:r w:rsidR="00366033" w:rsidRPr="00366033">
        <w:t>Diamantidis</w:t>
      </w:r>
      <w:r w:rsidR="00366033">
        <w:t xml:space="preserve">, et al. (2019) </w:t>
      </w:r>
      <w:r w:rsidR="00AF2A0D">
        <w:t xml:space="preserve">and </w:t>
      </w:r>
      <w:r w:rsidR="00C205EB" w:rsidRPr="00C205EB">
        <w:t>Pritchard, et al. (2023)</w:t>
      </w:r>
      <w:r w:rsidR="00C205EB" w:rsidRPr="002C1B01">
        <w:t xml:space="preserve"> </w:t>
      </w:r>
      <w:r w:rsidR="0067457B">
        <w:t xml:space="preserve">also </w:t>
      </w:r>
      <w:r w:rsidR="00AF2A0D">
        <w:t xml:space="preserve">agree that managers can better manage performance if they </w:t>
      </w:r>
      <w:r w:rsidR="00AF2A0D">
        <w:lastRenderedPageBreak/>
        <w:t>use models of motivation</w:t>
      </w:r>
      <w:r w:rsidR="00C205EB">
        <w:t>, this helping them</w:t>
      </w:r>
      <w:r w:rsidR="00AF2A0D">
        <w:t xml:space="preserve"> to </w:t>
      </w:r>
      <w:r w:rsidR="00735B94">
        <w:t xml:space="preserve">better </w:t>
      </w:r>
      <w:r w:rsidR="00AF2A0D">
        <w:t xml:space="preserve">‘understand, diagnose and improve’ </w:t>
      </w:r>
      <w:r w:rsidR="00735B94">
        <w:t xml:space="preserve">employee </w:t>
      </w:r>
      <w:r w:rsidR="00AF2A0D">
        <w:t>motivation.</w:t>
      </w:r>
      <w:r w:rsidR="0041764E">
        <w:t xml:space="preserve"> </w:t>
      </w:r>
      <w:r w:rsidR="00952592">
        <w:t xml:space="preserve">Some models of motivation include Maslows Hierarchy of Needs, Herzbergs Motivation-Hygiene Theory and Vrooms Expectancy Theory </w:t>
      </w:r>
      <w:r w:rsidR="00704865">
        <w:t>(Waite et al. 2021, pp. 168-170</w:t>
      </w:r>
      <w:r w:rsidR="00704865" w:rsidRPr="000B6A0D">
        <w:t>)</w:t>
      </w:r>
      <w:r w:rsidR="00704865">
        <w:t xml:space="preserve">. </w:t>
      </w:r>
      <w:r w:rsidR="006B3C7E">
        <w:t xml:space="preserve">Capability refers to levels </w:t>
      </w:r>
      <w:r w:rsidR="00AA13C4">
        <w:t>of</w:t>
      </w:r>
      <w:r w:rsidR="006B3C7E">
        <w:t xml:space="preserve"> skill and knowledge, this is</w:t>
      </w:r>
      <w:r w:rsidR="00AA13C4">
        <w:t xml:space="preserve"> an</w:t>
      </w:r>
      <w:r w:rsidR="006B3C7E">
        <w:t xml:space="preserve"> important</w:t>
      </w:r>
      <w:r w:rsidR="00AA13C4">
        <w:t xml:space="preserve"> factor</w:t>
      </w:r>
      <w:r w:rsidR="006B3C7E">
        <w:t xml:space="preserve"> as </w:t>
      </w:r>
      <w:r w:rsidR="00AA13C4">
        <w:t>workforce capability has become pivotal in gaining and sustaining the success of an organisation</w:t>
      </w:r>
      <w:r w:rsidR="00CD7C32">
        <w:t xml:space="preserve">, </w:t>
      </w:r>
      <w:r w:rsidR="00F0433F">
        <w:t>and again</w:t>
      </w:r>
      <w:r w:rsidR="0068116A">
        <w:t>,</w:t>
      </w:r>
      <w:r w:rsidR="00783984">
        <w:t xml:space="preserve"> it</w:t>
      </w:r>
      <w:r w:rsidR="00CD7C32">
        <w:t xml:space="preserve"> also increase</w:t>
      </w:r>
      <w:r w:rsidR="00783984">
        <w:t>s</w:t>
      </w:r>
      <w:r w:rsidR="00CD7C32">
        <w:t xml:space="preserve"> quality of work</w:t>
      </w:r>
      <w:r w:rsidR="00AA13C4">
        <w:t xml:space="preserve"> </w:t>
      </w:r>
      <w:r w:rsidR="00E30CF0">
        <w:t>(Waite et al. 2021, pp. 172</w:t>
      </w:r>
      <w:r w:rsidR="00E30CF0" w:rsidRPr="000B6A0D">
        <w:t>)</w:t>
      </w:r>
      <w:r w:rsidR="00AA13C4" w:rsidRPr="00E30CF0">
        <w:t>.</w:t>
      </w:r>
      <w:r w:rsidR="00AA13C4">
        <w:t xml:space="preserve"> To solve capability issues, managers should implement development procedures that encourage employees to improve, these can be external or internal, individual or team-based</w:t>
      </w:r>
      <w:r w:rsidR="00531AE6">
        <w:t xml:space="preserve"> (Acas, 2022)</w:t>
      </w:r>
      <w:r w:rsidR="00AA13C4">
        <w:t xml:space="preserve">. </w:t>
      </w:r>
      <w:r w:rsidR="0068116A">
        <w:t xml:space="preserve">Finally, another factor to be </w:t>
      </w:r>
      <w:r w:rsidR="00E65C96">
        <w:t>considered is work context, for example, leadership and management; surveys show that employees who feel supported and trusted by their line managers are more likely to feel engaged in their work</w:t>
      </w:r>
      <w:r w:rsidR="0097123B">
        <w:t xml:space="preserve"> </w:t>
      </w:r>
      <w:r w:rsidR="00F0433F">
        <w:t xml:space="preserve">(Urquhart, </w:t>
      </w:r>
      <w:r w:rsidR="0097123B" w:rsidRPr="0097123B">
        <w:t>2022</w:t>
      </w:r>
      <w:r w:rsidR="0097123B">
        <w:t xml:space="preserve">). </w:t>
      </w:r>
      <w:r w:rsidR="009C4ABA">
        <w:t xml:space="preserve">This can be achieved by providing clear goals, fair and constructive feedback, having fair and open policies and enhancing job satisfaction </w:t>
      </w:r>
      <w:r w:rsidR="00E30CF0">
        <w:t>(Waite et al. 2021, pp. 174</w:t>
      </w:r>
      <w:r w:rsidR="00E30CF0" w:rsidRPr="000B6A0D">
        <w:t>)</w:t>
      </w:r>
      <w:r w:rsidR="00E30CF0">
        <w:t>.</w:t>
      </w:r>
    </w:p>
    <w:p w:rsidR="001C13FB" w:rsidRPr="00B74D4C" w:rsidRDefault="001C13FB" w:rsidP="00AF2A0D"/>
    <w:p w:rsidR="001C13FB" w:rsidRPr="00D300CC" w:rsidRDefault="00D300CC" w:rsidP="00D300CC">
      <w:pPr>
        <w:pStyle w:val="Listparag"/>
        <w:numPr>
          <w:ilvl w:val="0"/>
          <w:numId w:val="0"/>
        </w:numPr>
        <w:rPr>
          <w:rStyle w:val="Heading2Char"/>
          <w:sz w:val="22"/>
          <w:u w:val="single"/>
          <w:lang w:eastAsia="en-US"/>
        </w:rPr>
      </w:pPr>
      <w:r>
        <w:rPr>
          <w:rStyle w:val="Heading2Char"/>
          <w:sz w:val="22"/>
          <w:u w:val="single"/>
          <w:lang w:eastAsia="en-US"/>
        </w:rPr>
        <w:t>The</w:t>
      </w:r>
      <w:r w:rsidR="001C13FB" w:rsidRPr="00D300CC">
        <w:rPr>
          <w:rStyle w:val="Heading2Char"/>
          <w:sz w:val="22"/>
          <w:u w:val="single"/>
          <w:lang w:eastAsia="en-US"/>
        </w:rPr>
        <w:t xml:space="preserve"> different methods of performance review. (AC 4.3)</w:t>
      </w:r>
    </w:p>
    <w:p w:rsidR="002C1B01" w:rsidRDefault="00261A75" w:rsidP="004C2DCA">
      <w:pPr>
        <w:widowControl w:val="0"/>
        <w:pBdr>
          <w:bar w:val="single" w:sz="4" w:color="auto"/>
        </w:pBdr>
        <w:autoSpaceDE w:val="0"/>
        <w:autoSpaceDN w:val="0"/>
        <w:adjustRightInd w:val="0"/>
        <w:spacing w:after="240"/>
        <w:jc w:val="both"/>
      </w:pPr>
      <w:r w:rsidRPr="002C1B01">
        <w:t xml:space="preserve">There are a range of factors to consider when looking at different methods of performance review. One of these methods could be </w:t>
      </w:r>
      <w:r w:rsidR="009F0D5C" w:rsidRPr="002C1B01">
        <w:t xml:space="preserve">a </w:t>
      </w:r>
      <w:r w:rsidRPr="002C1B01">
        <w:t>360-degree feedback approach</w:t>
      </w:r>
      <w:r w:rsidR="009F0D5C" w:rsidRPr="002C1B01">
        <w:t>, this is when employee performance is evaluated from as many sources as possible, for example colleagues, clients and managers; it can be useful in providing broader an</w:t>
      </w:r>
      <w:r w:rsidR="00C971DF" w:rsidRPr="002C1B01">
        <w:t xml:space="preserve">d more transparent feedback and the employee is </w:t>
      </w:r>
      <w:r w:rsidR="009F0D5C" w:rsidRPr="002C1B01">
        <w:t>more likely to acknowledge this feedback as it comes from multiple sources (</w:t>
      </w:r>
      <w:r w:rsidR="00E64AB9">
        <w:t>Herrity, 2022</w:t>
      </w:r>
      <w:r w:rsidR="00E64AB9" w:rsidRPr="002C1B01">
        <w:t>). On</w:t>
      </w:r>
      <w:r w:rsidR="009F0D5C" w:rsidRPr="002C1B01">
        <w:t xml:space="preserve"> the other hand, it can be a very </w:t>
      </w:r>
      <w:r w:rsidR="0092194D" w:rsidRPr="002C1B01">
        <w:t xml:space="preserve">costly and </w:t>
      </w:r>
      <w:r w:rsidR="009F0D5C" w:rsidRPr="002C1B01">
        <w:t>time-consuming process</w:t>
      </w:r>
      <w:r w:rsidR="0092194D" w:rsidRPr="002C1B01">
        <w:t xml:space="preserve"> and runs the risk of colleagues providing bias feedback </w:t>
      </w:r>
      <w:r w:rsidR="00623705">
        <w:t>(CIPD, 2022)</w:t>
      </w:r>
      <w:r w:rsidR="0092194D">
        <w:t xml:space="preserve">. </w:t>
      </w:r>
      <w:r w:rsidR="00C4565A">
        <w:t xml:space="preserve">Objectivity and bias is an important factor to consider as research shows that to create a high-performance culture, performance reviews must feel fair, useful and positive </w:t>
      </w:r>
      <w:r w:rsidR="000A1435">
        <w:t>(CIPD, 2023)</w:t>
      </w:r>
      <w:r w:rsidR="0073052E">
        <w:t xml:space="preserve">, likewise, ensuring </w:t>
      </w:r>
      <w:r w:rsidR="00C4565A">
        <w:t xml:space="preserve">procedural justice in performance management </w:t>
      </w:r>
      <w:r w:rsidR="0073052E">
        <w:t xml:space="preserve">is so influential that no matter the outcome, the employee will be more favourable to appraisals if they see the process as accurate and unbiased </w:t>
      </w:r>
      <w:r w:rsidR="00E6743E">
        <w:t>(CIPD, 2016)</w:t>
      </w:r>
      <w:r w:rsidR="0073052E">
        <w:t>. To ensure this, appraisals can be supported by valid evidence and moderated by a third party</w:t>
      </w:r>
      <w:r w:rsidR="00E30CF0">
        <w:t xml:space="preserve"> (Waite et al. 2021, pp. 181</w:t>
      </w:r>
      <w:r w:rsidR="00E30CF0" w:rsidRPr="000B6A0D">
        <w:t>)</w:t>
      </w:r>
      <w:r w:rsidR="00E30CF0">
        <w:t xml:space="preserve">. </w:t>
      </w:r>
      <w:r w:rsidR="00C971DF">
        <w:t>Another method</w:t>
      </w:r>
      <w:r w:rsidR="004C2DCA">
        <w:t xml:space="preserve"> is</w:t>
      </w:r>
      <w:r w:rsidR="004C2DCA" w:rsidRPr="002C1B01">
        <w:t xml:space="preserve"> </w:t>
      </w:r>
      <w:r w:rsidRPr="002C1B01">
        <w:t xml:space="preserve">a self-assessment review such as the employee self-rating against specific objectives or activities, or a reflective commentary around this </w:t>
      </w:r>
      <w:r w:rsidR="00E30CF0">
        <w:t>(Waite et al. 2021, pp. 177</w:t>
      </w:r>
      <w:r w:rsidR="00E30CF0" w:rsidRPr="000B6A0D">
        <w:t>)</w:t>
      </w:r>
      <w:r w:rsidR="00E30CF0">
        <w:t xml:space="preserve">. </w:t>
      </w:r>
      <w:r w:rsidR="00C971DF" w:rsidRPr="002C1B01">
        <w:t>There is conflicting research on this method as although it can lead to a more honest and balanced assessment,</w:t>
      </w:r>
      <w:r w:rsidR="00133BE2" w:rsidRPr="002C1B01">
        <w:t xml:space="preserve"> </w:t>
      </w:r>
      <w:r w:rsidR="00C971DF" w:rsidRPr="002C1B01">
        <w:t xml:space="preserve">findings </w:t>
      </w:r>
      <w:r w:rsidR="00133BE2" w:rsidRPr="002C1B01">
        <w:t>again</w:t>
      </w:r>
      <w:r w:rsidR="00C971DF" w:rsidRPr="002C1B01">
        <w:t xml:space="preserve"> suggest that self-set goals are actually less influential than assigned goals from external sources</w:t>
      </w:r>
      <w:r w:rsidR="00B34A0A">
        <w:t xml:space="preserve"> (CIPD, 2016)</w:t>
      </w:r>
      <w:r w:rsidR="00C971DF" w:rsidRPr="002C1B01">
        <w:t>. Furthermore, no matter which method is used, it should</w:t>
      </w:r>
      <w:r w:rsidR="00744C97" w:rsidRPr="002C1B01">
        <w:t xml:space="preserve"> be done on a continuous basis and </w:t>
      </w:r>
      <w:r w:rsidR="00C971DF" w:rsidRPr="002C1B01">
        <w:t xml:space="preserve">not just once a year </w:t>
      </w:r>
      <w:r w:rsidR="00CC176A">
        <w:t>(CIPD, 2017)</w:t>
      </w:r>
      <w:r w:rsidR="00CC176A" w:rsidRPr="002C1B01">
        <w:t xml:space="preserve">. </w:t>
      </w:r>
    </w:p>
    <w:p w:rsidR="00B036CC" w:rsidRPr="002C1B01" w:rsidRDefault="00C971DF" w:rsidP="004C2DCA">
      <w:pPr>
        <w:widowControl w:val="0"/>
        <w:pBdr>
          <w:bar w:val="single" w:sz="4" w:color="auto"/>
        </w:pBdr>
        <w:autoSpaceDE w:val="0"/>
        <w:autoSpaceDN w:val="0"/>
        <w:adjustRightInd w:val="0"/>
        <w:spacing w:after="240"/>
        <w:jc w:val="both"/>
        <w:rPr>
          <w:rStyle w:val="Hyperlink"/>
          <w:color w:val="auto"/>
          <w:u w:val="none"/>
        </w:rPr>
      </w:pPr>
      <w:r w:rsidRPr="002C1B01">
        <w:t xml:space="preserve"> </w:t>
      </w:r>
    </w:p>
    <w:p w:rsidR="00B036CC" w:rsidRPr="00D300CC" w:rsidRDefault="00D300CC" w:rsidP="00D300CC">
      <w:pPr>
        <w:pStyle w:val="Listparag"/>
        <w:numPr>
          <w:ilvl w:val="0"/>
          <w:numId w:val="0"/>
        </w:numPr>
        <w:ind w:left="142"/>
        <w:rPr>
          <w:rStyle w:val="Heading2Char"/>
          <w:sz w:val="22"/>
          <w:u w:val="single"/>
          <w:lang w:eastAsia="en-US"/>
        </w:rPr>
      </w:pPr>
      <w:r>
        <w:rPr>
          <w:rStyle w:val="Heading2Char"/>
          <w:sz w:val="22"/>
          <w:u w:val="single"/>
          <w:lang w:eastAsia="en-US"/>
        </w:rPr>
        <w:t>The</w:t>
      </w:r>
      <w:r w:rsidR="00B036CC" w:rsidRPr="00D300CC">
        <w:rPr>
          <w:rStyle w:val="Heading2Char"/>
          <w:sz w:val="22"/>
          <w:u w:val="single"/>
          <w:lang w:eastAsia="en-US"/>
        </w:rPr>
        <w:t xml:space="preserve"> key components (financial and non-financial) that are required to achieve an effective total reward system. (AC 5.1) </w:t>
      </w:r>
    </w:p>
    <w:p w:rsidR="00E83277" w:rsidRPr="002C1B01" w:rsidRDefault="006F49AF" w:rsidP="009A1981">
      <w:pPr>
        <w:pStyle w:val="Listparag"/>
        <w:numPr>
          <w:ilvl w:val="0"/>
          <w:numId w:val="0"/>
        </w:numPr>
        <w:ind w:left="142"/>
        <w:rPr>
          <w:rFonts w:eastAsiaTheme="minorEastAsia" w:cstheme="minorBidi"/>
          <w:lang w:eastAsia="en-US"/>
        </w:rPr>
      </w:pPr>
      <w:r w:rsidRPr="002C1B01">
        <w:rPr>
          <w:rFonts w:eastAsiaTheme="minorEastAsia" w:cstheme="minorBidi"/>
          <w:lang w:eastAsia="en-US"/>
        </w:rPr>
        <w:t xml:space="preserve">Total reward is made up of relational and transactional rewards; it extends beyond just pay and benefits and covers all areas of work that are valued by employees </w:t>
      </w:r>
      <w:r w:rsidR="00750937" w:rsidRPr="002C1B01">
        <w:rPr>
          <w:rFonts w:eastAsiaTheme="minorEastAsia" w:cstheme="minorBidi"/>
          <w:lang w:eastAsia="en-US"/>
        </w:rPr>
        <w:t xml:space="preserve">(CIPD, 2023). </w:t>
      </w:r>
      <w:r w:rsidR="00AA6164" w:rsidRPr="002C1B01">
        <w:rPr>
          <w:rFonts w:eastAsiaTheme="minorEastAsia" w:cstheme="minorBidi"/>
          <w:lang w:eastAsia="en-US"/>
        </w:rPr>
        <w:t>Re</w:t>
      </w:r>
      <w:r w:rsidR="00E83277" w:rsidRPr="002C1B01">
        <w:rPr>
          <w:rFonts w:eastAsiaTheme="minorEastAsia" w:cstheme="minorBidi"/>
          <w:lang w:eastAsia="en-US"/>
        </w:rPr>
        <w:t>warding your employees with</w:t>
      </w:r>
      <w:r w:rsidR="00AA6164" w:rsidRPr="002C1B01">
        <w:rPr>
          <w:rFonts w:eastAsiaTheme="minorEastAsia" w:cstheme="minorBidi"/>
          <w:lang w:eastAsia="en-US"/>
        </w:rPr>
        <w:t xml:space="preserve"> tangible and intangible rewards will bring an array</w:t>
      </w:r>
      <w:r w:rsidR="00E83277" w:rsidRPr="002C1B01">
        <w:rPr>
          <w:rFonts w:eastAsiaTheme="minorEastAsia" w:cstheme="minorBidi"/>
          <w:lang w:eastAsia="en-US"/>
        </w:rPr>
        <w:t xml:space="preserve"> of benefits</w:t>
      </w:r>
      <w:r w:rsidR="00AA6164" w:rsidRPr="002C1B01">
        <w:rPr>
          <w:rFonts w:eastAsiaTheme="minorEastAsia" w:cstheme="minorBidi"/>
          <w:lang w:eastAsia="en-US"/>
        </w:rPr>
        <w:t xml:space="preserve"> such as increased revenue, reduction of employee turnover and increased employee engagement and customer satisfaction</w:t>
      </w:r>
      <w:r w:rsidR="000761C8" w:rsidRPr="002C1B01">
        <w:rPr>
          <w:rFonts w:eastAsiaTheme="minorEastAsia" w:cstheme="minorBidi"/>
          <w:lang w:eastAsia="en-US"/>
        </w:rPr>
        <w:t xml:space="preserve"> (Herrity, 2023)</w:t>
      </w:r>
      <w:r w:rsidR="00AA6164" w:rsidRPr="002C1B01">
        <w:rPr>
          <w:rFonts w:eastAsiaTheme="minorEastAsia" w:cstheme="minorBidi"/>
          <w:lang w:eastAsia="en-US"/>
        </w:rPr>
        <w:t xml:space="preserve">. </w:t>
      </w:r>
      <w:r w:rsidR="004A694A" w:rsidRPr="002C1B01">
        <w:rPr>
          <w:rFonts w:eastAsiaTheme="minorEastAsia" w:cstheme="minorBidi"/>
          <w:lang w:eastAsia="en-US"/>
        </w:rPr>
        <w:t>T</w:t>
      </w:r>
      <w:r w:rsidR="00F0433F">
        <w:rPr>
          <w:rFonts w:eastAsiaTheme="minorEastAsia" w:cstheme="minorBidi"/>
          <w:lang w:eastAsia="en-US"/>
        </w:rPr>
        <w:t xml:space="preserve">he non-financial rewards are key as they </w:t>
      </w:r>
      <w:r w:rsidR="004A694A" w:rsidRPr="002C1B01">
        <w:rPr>
          <w:rFonts w:eastAsiaTheme="minorEastAsia" w:cstheme="minorBidi"/>
          <w:lang w:eastAsia="en-US"/>
        </w:rPr>
        <w:t xml:space="preserve">focus on providing personal and career growth, recognition and autonomy and </w:t>
      </w:r>
      <w:r w:rsidR="004A694A" w:rsidRPr="002C1B01">
        <w:rPr>
          <w:rFonts w:eastAsiaTheme="minorEastAsia" w:cstheme="minorBidi"/>
          <w:lang w:eastAsia="en-US"/>
        </w:rPr>
        <w:lastRenderedPageBreak/>
        <w:t xml:space="preserve">responsibility, these are beneficial as they are harder to imitate by other organisations and so will help </w:t>
      </w:r>
      <w:r w:rsidR="00E30CF0" w:rsidRPr="002C1B01">
        <w:rPr>
          <w:rFonts w:eastAsiaTheme="minorEastAsia" w:cstheme="minorBidi"/>
          <w:lang w:eastAsia="en-US"/>
        </w:rPr>
        <w:t>to attract and retain employees (Waite et al. 2021, pp. 195</w:t>
      </w:r>
      <w:r w:rsidR="00E30CF0" w:rsidRPr="000B6A0D">
        <w:rPr>
          <w:rFonts w:eastAsiaTheme="minorEastAsia" w:cstheme="minorBidi"/>
          <w:lang w:eastAsia="en-US"/>
        </w:rPr>
        <w:t>)</w:t>
      </w:r>
      <w:r w:rsidR="00E30CF0">
        <w:rPr>
          <w:rFonts w:eastAsiaTheme="minorEastAsia" w:cstheme="minorBidi"/>
          <w:lang w:eastAsia="en-US"/>
        </w:rPr>
        <w:t xml:space="preserve">. </w:t>
      </w:r>
      <w:r w:rsidR="004A694A" w:rsidRPr="002C1B01">
        <w:rPr>
          <w:rFonts w:eastAsiaTheme="minorEastAsia" w:cstheme="minorBidi"/>
          <w:lang w:eastAsia="en-US"/>
        </w:rPr>
        <w:t xml:space="preserve">For example, career growth opportunities such as formal or informal learning will help to develop a talent pipeline, recognition schemes such as awards events, prizes or even thank you letters will boost morale and improve productivity </w:t>
      </w:r>
      <w:r w:rsidR="00FB5017" w:rsidRPr="002C1B01">
        <w:rPr>
          <w:rFonts w:eastAsiaTheme="minorEastAsia" w:cstheme="minorBidi"/>
          <w:lang w:eastAsia="en-US"/>
        </w:rPr>
        <w:t xml:space="preserve">(Indeed, 2022) </w:t>
      </w:r>
      <w:r w:rsidR="004A694A" w:rsidRPr="002C1B01">
        <w:rPr>
          <w:rFonts w:eastAsiaTheme="minorEastAsia" w:cstheme="minorBidi"/>
          <w:lang w:eastAsia="en-US"/>
        </w:rPr>
        <w:t xml:space="preserve">and autonomy and responsibility will motivate employees at work </w:t>
      </w:r>
      <w:r w:rsidR="00E30CF0" w:rsidRPr="002C1B01">
        <w:rPr>
          <w:rFonts w:eastAsiaTheme="minorEastAsia" w:cstheme="minorBidi"/>
          <w:lang w:eastAsia="en-US"/>
        </w:rPr>
        <w:t>(Waite et al. 2021, pp. 196</w:t>
      </w:r>
      <w:r w:rsidR="00E30CF0" w:rsidRPr="000B6A0D">
        <w:rPr>
          <w:rFonts w:eastAsiaTheme="minorEastAsia" w:cstheme="minorBidi"/>
          <w:lang w:eastAsia="en-US"/>
        </w:rPr>
        <w:t>)</w:t>
      </w:r>
      <w:r w:rsidR="00E30CF0">
        <w:rPr>
          <w:rFonts w:eastAsiaTheme="minorEastAsia" w:cstheme="minorBidi"/>
          <w:lang w:eastAsia="en-US"/>
        </w:rPr>
        <w:t>.</w:t>
      </w:r>
      <w:r w:rsidR="00C262C7" w:rsidRPr="002C1B01">
        <w:rPr>
          <w:rFonts w:eastAsiaTheme="minorEastAsia" w:cstheme="minorBidi"/>
          <w:lang w:eastAsia="en-US"/>
        </w:rPr>
        <w:t xml:space="preserve"> </w:t>
      </w:r>
    </w:p>
    <w:p w:rsidR="00C262C7" w:rsidRDefault="00C262C7" w:rsidP="00223CA0">
      <w:pPr>
        <w:pBdr>
          <w:bar w:val="single" w:sz="4" w:color="auto"/>
        </w:pBdr>
      </w:pPr>
      <w:r>
        <w:t xml:space="preserve">Needless to say, pay continues to be a key consideration for employees </w:t>
      </w:r>
      <w:r w:rsidR="00126EF5">
        <w:t xml:space="preserve">within an organisation and remains the ‘foundation on </w:t>
      </w:r>
      <w:r w:rsidR="008B64A8">
        <w:t>which everything else is built (LGE, no date).</w:t>
      </w:r>
      <w:r w:rsidR="00126EF5">
        <w:t xml:space="preserve"> </w:t>
      </w:r>
      <w:r w:rsidR="00E83277">
        <w:t xml:space="preserve">Financial rewards </w:t>
      </w:r>
      <w:r w:rsidR="00F0433F">
        <w:t xml:space="preserve">are also key and </w:t>
      </w:r>
      <w:r w:rsidR="00E83277">
        <w:t xml:space="preserve">can include base pay, which is a guaranteed contracted salary and variable pay which includes bonuses, overtime payments and incentives, these financial rewards are important as employee financial distress can lead to presenteeism and work absence </w:t>
      </w:r>
      <w:r w:rsidR="008B64A8">
        <w:t xml:space="preserve">(CIPD, 2023). </w:t>
      </w:r>
      <w:r w:rsidR="00E83277">
        <w:t>Benefits are also rewards that accompany pay, these include enhanced statutory rights, pensions, life insurance etc. all of which contribute to employee financial security</w:t>
      </w:r>
      <w:r w:rsidR="00E30CF0">
        <w:t xml:space="preserve"> (Waite et al. 2021, pp. 193</w:t>
      </w:r>
      <w:r w:rsidR="00E30CF0" w:rsidRPr="000B6A0D">
        <w:t>)</w:t>
      </w:r>
      <w:r w:rsidR="00E30CF0">
        <w:t xml:space="preserve"> </w:t>
      </w:r>
      <w:r w:rsidR="00223CA0">
        <w:t xml:space="preserve">and also recognise the diverse needs of the workforce </w:t>
      </w:r>
      <w:r w:rsidR="00F24F56">
        <w:t xml:space="preserve">(LGE, no date). </w:t>
      </w:r>
    </w:p>
    <w:p w:rsidR="005F28FE" w:rsidRDefault="005F28FE" w:rsidP="00223CA0">
      <w:pPr>
        <w:pBdr>
          <w:bar w:val="single" w:sz="4" w:color="auto"/>
        </w:pBdr>
      </w:pPr>
    </w:p>
    <w:p w:rsidR="005F28FE" w:rsidRPr="00D300CC" w:rsidRDefault="00D300CC" w:rsidP="00D300CC">
      <w:pPr>
        <w:pStyle w:val="Listparag"/>
        <w:numPr>
          <w:ilvl w:val="0"/>
          <w:numId w:val="0"/>
        </w:numPr>
        <w:rPr>
          <w:rStyle w:val="Heading2Char"/>
          <w:sz w:val="22"/>
          <w:u w:val="single"/>
          <w:lang w:eastAsia="en-US"/>
        </w:rPr>
      </w:pPr>
      <w:r>
        <w:rPr>
          <w:rStyle w:val="Heading2Char"/>
          <w:sz w:val="22"/>
          <w:u w:val="single"/>
          <w:lang w:eastAsia="en-US"/>
        </w:rPr>
        <w:t>T</w:t>
      </w:r>
      <w:r w:rsidR="005F28FE" w:rsidRPr="00D300CC">
        <w:rPr>
          <w:rStyle w:val="Heading2Char"/>
          <w:sz w:val="22"/>
          <w:u w:val="single"/>
          <w:lang w:eastAsia="en-US"/>
        </w:rPr>
        <w:t>he relationship between reward and performance, and the links to motivation.</w:t>
      </w:r>
    </w:p>
    <w:p w:rsidR="00E865DB" w:rsidRDefault="008C186F" w:rsidP="00E865DB">
      <w:r>
        <w:t>Reward systems have a large impact on an organisations ability to gain, retain and motivate employees and the relationship between reward and performance is clear as a meta-analysis’s presented that competitive reward programmes created a 27% gain in employee performance. Furthermore</w:t>
      </w:r>
      <w:r w:rsidR="00F0433F">
        <w:t>,</w:t>
      </w:r>
      <w:r>
        <w:t xml:space="preserve"> </w:t>
      </w:r>
      <w:r w:rsidR="00665397">
        <w:t>Fatima (2021) writes</w:t>
      </w:r>
      <w:r w:rsidR="007A419E">
        <w:t xml:space="preserve"> that </w:t>
      </w:r>
      <w:r>
        <w:t>the ‘Path-goal model</w:t>
      </w:r>
      <w:r w:rsidR="007A419E">
        <w:t xml:space="preserve">’ presents this relationship perfectly; if an employee sees high performance as a path leading to the attainment of a personal goal, they will work on becoming a high performer. Overall, if employees understand the link between their performance and their rewards, they will become motivated to perform higher. </w:t>
      </w:r>
      <w:r w:rsidR="00975B79">
        <w:t xml:space="preserve">As previously mentioned, </w:t>
      </w:r>
      <w:r w:rsidR="0056381F">
        <w:t xml:space="preserve">for the rewards </w:t>
      </w:r>
      <w:r w:rsidR="00160DB6">
        <w:t>system</w:t>
      </w:r>
      <w:r w:rsidR="0056381F">
        <w:t xml:space="preserve"> to influence motivation, it</w:t>
      </w:r>
      <w:r w:rsidR="00160DB6">
        <w:t xml:space="preserve"> requires both extrinsic and intrinsic motivators, extrinsic motivators can be used to engage employees for short-term situations such as pushing towards a goal and intrinsic motivators will allow employees to find meaning in their work, this can also be referred to as the first layer in ‘Maslows Hierarchy’ for employee motivation </w:t>
      </w:r>
      <w:r w:rsidR="00F8792D">
        <w:t>(Bravo, 2019</w:t>
      </w:r>
      <w:r w:rsidR="00F8792D" w:rsidRPr="002C1B01">
        <w:t>). T</w:t>
      </w:r>
      <w:r w:rsidR="0056381F" w:rsidRPr="002C1B01">
        <w:t>he Expectancy Theory principles also explain</w:t>
      </w:r>
      <w:r w:rsidR="0056381F">
        <w:t xml:space="preserve"> how</w:t>
      </w:r>
      <w:r w:rsidR="0056381F" w:rsidRPr="002C1B01">
        <w:t xml:space="preserve"> a reward system can influence motivation</w:t>
      </w:r>
      <w:r w:rsidR="0056381F">
        <w:t xml:space="preserve">; if the expected rewards are valued and attainable, they will be more attractive to employees, </w:t>
      </w:r>
      <w:r w:rsidR="00E865DB">
        <w:t>and likewise</w:t>
      </w:r>
      <w:r w:rsidR="0056381F">
        <w:t xml:space="preserve"> the Equity Theory builds on this </w:t>
      </w:r>
      <w:r w:rsidR="00E865DB">
        <w:t xml:space="preserve">by suggesting that if these rewards are equitable and fair in terms of input and outcome, then employees will be even more motivated to perform better </w:t>
      </w:r>
      <w:r w:rsidR="004C3565">
        <w:t xml:space="preserve">(Eerde, 2015). </w:t>
      </w:r>
      <w:r w:rsidR="00E865DB">
        <w:t xml:space="preserve">Overall, having an understanding of these motivational theories which explain the motives of individuals’ performance and behaviour will allow organisations to better design their reward systems to ensure better performance </w:t>
      </w:r>
      <w:r w:rsidR="00E30CF0">
        <w:t>(Waite et al. 2021, pp. 196</w:t>
      </w:r>
      <w:r w:rsidR="00E30CF0" w:rsidRPr="000B6A0D">
        <w:t>)</w:t>
      </w:r>
      <w:r w:rsidR="00E30CF0">
        <w:t>.</w:t>
      </w:r>
      <w:r w:rsidR="00E865DB">
        <w:t xml:space="preserve"> </w:t>
      </w:r>
    </w:p>
    <w:p w:rsidR="008C186F" w:rsidRDefault="008C186F" w:rsidP="007A419E">
      <w:pPr>
        <w:rPr>
          <w:rFonts w:cs="Arial"/>
          <w:color w:val="333333"/>
          <w:sz w:val="18"/>
          <w:shd w:val="clear" w:color="auto" w:fill="FFFFFF"/>
        </w:rPr>
      </w:pPr>
    </w:p>
    <w:p w:rsidR="00F91A1B" w:rsidRPr="00D300CC" w:rsidRDefault="00D300CC" w:rsidP="00D300CC">
      <w:pPr>
        <w:pStyle w:val="Listparag"/>
        <w:numPr>
          <w:ilvl w:val="0"/>
          <w:numId w:val="0"/>
        </w:numPr>
        <w:rPr>
          <w:rStyle w:val="Heading2Char"/>
          <w:sz w:val="22"/>
          <w:u w:val="single"/>
          <w:lang w:eastAsia="en-US"/>
        </w:rPr>
      </w:pPr>
      <w:r>
        <w:rPr>
          <w:rStyle w:val="Heading2Char"/>
          <w:sz w:val="22"/>
          <w:u w:val="single"/>
          <w:lang w:eastAsia="en-US"/>
        </w:rPr>
        <w:t>R</w:t>
      </w:r>
      <w:r w:rsidR="00F91A1B" w:rsidRPr="00D300CC">
        <w:rPr>
          <w:rStyle w:val="Heading2Char"/>
          <w:sz w:val="22"/>
          <w:u w:val="single"/>
          <w:lang w:eastAsia="en-US"/>
        </w:rPr>
        <w:t>easons for treating employees fairly in relation to pay. (AC 5.3)</w:t>
      </w:r>
    </w:p>
    <w:p w:rsidR="00BD5403" w:rsidRPr="002C1B01" w:rsidRDefault="007A46C9" w:rsidP="00BD5403">
      <w:pPr>
        <w:shd w:val="clear" w:color="auto" w:fill="FFFFFF"/>
        <w:spacing w:before="100" w:beforeAutospacing="1" w:after="100" w:afterAutospacing="1" w:line="240" w:lineRule="auto"/>
      </w:pPr>
      <w:r w:rsidRPr="002C1B01">
        <w:t xml:space="preserve">Employers are required by law to </w:t>
      </w:r>
      <w:r>
        <w:t>treat employees fairly, especially in terms of pay and there are many reasons as to why doing so is important. One of these is that it will provide the organisation protection against equal pay claims. Under the Equality Act 2010, men and women in the same employment who are performing equal work, are entitled to equal pay, unless a pay difference can be justified</w:t>
      </w:r>
      <w:r w:rsidR="003D2F50">
        <w:t xml:space="preserve"> (CIPD, 2022).</w:t>
      </w:r>
      <w:r>
        <w:t xml:space="preserve"> If an employee feels that they aren’t receiving equal pay, they are able to make a claim for equal pay to an employment tribunal, along with this, the employee may also be able to make a claim for sex discrimination if enough </w:t>
      </w:r>
      <w:r>
        <w:lastRenderedPageBreak/>
        <w:t>evidence</w:t>
      </w:r>
      <w:r w:rsidR="004B4D50">
        <w:t xml:space="preserve"> is provide</w:t>
      </w:r>
      <w:r w:rsidR="001A5B3B">
        <w:t>d</w:t>
      </w:r>
      <w:r w:rsidR="004B4D50">
        <w:t>. If the claim is lost, organisations can be forced to conduct an equal pay audit and publish the results</w:t>
      </w:r>
      <w:r w:rsidR="001A5B3B">
        <w:t xml:space="preserve"> (Acas, 2022)</w:t>
      </w:r>
      <w:r w:rsidR="004B4D50">
        <w:t xml:space="preserve">. </w:t>
      </w:r>
      <w:r w:rsidR="003E5BD0">
        <w:t xml:space="preserve">An example includes a past equal </w:t>
      </w:r>
      <w:r w:rsidR="0016391B">
        <w:t xml:space="preserve">pay </w:t>
      </w:r>
      <w:r w:rsidR="003E5BD0">
        <w:t>claim made against Tesco which threatened to cost t</w:t>
      </w:r>
      <w:r w:rsidR="0016391B">
        <w:t>he supermarket up to £4 billion</w:t>
      </w:r>
      <w:r w:rsidR="000658D3">
        <w:t xml:space="preserve"> (Good Morning Britain, 2018)</w:t>
      </w:r>
      <w:r w:rsidR="0016391B">
        <w:t xml:space="preserve">. </w:t>
      </w:r>
      <w:r w:rsidR="00BD5403">
        <w:t>Another reason, as touched upon in this paper, is that treating employee’s fairly in relation to pay will certainly be an aid to e</w:t>
      </w:r>
      <w:r w:rsidR="00334DF7">
        <w:t xml:space="preserve">mployee retention. As stated by Kim-Brunetti (2022) </w:t>
      </w:r>
      <w:r w:rsidR="00BD5403">
        <w:t xml:space="preserve">fair pay is one of the ‘greatest drivers for employee satisfaction’, fair pay will minimize employee turnover and will instead drive engagement. </w:t>
      </w:r>
      <w:r w:rsidR="00E6043F">
        <w:t xml:space="preserve">The </w:t>
      </w:r>
      <w:r w:rsidR="00E6043F" w:rsidRPr="00E6043F">
        <w:t>Equality and Human Rights Commission (2020) </w:t>
      </w:r>
      <w:r w:rsidR="00BD5403">
        <w:t xml:space="preserve">presents the same view as they state that pay systems that are fair and transparent will attract the best employees and again reduce their absence and turnover. </w:t>
      </w:r>
    </w:p>
    <w:p w:rsidR="00D13C07" w:rsidRPr="00D13C07" w:rsidRDefault="002C2C87" w:rsidP="00D13C07">
      <w:pPr>
        <w:rPr>
          <w:rFonts w:asciiTheme="majorHAnsi" w:eastAsiaTheme="majorEastAsia" w:hAnsiTheme="majorHAnsi" w:cstheme="majorBidi"/>
          <w:b/>
          <w:color w:val="850C4B" w:themeColor="accent1" w:themeShade="BF"/>
          <w:sz w:val="24"/>
          <w:szCs w:val="28"/>
          <w:u w:val="single"/>
        </w:rPr>
      </w:pPr>
      <w:r w:rsidRPr="00D13C07">
        <w:rPr>
          <w:rFonts w:asciiTheme="majorHAnsi" w:eastAsiaTheme="majorEastAsia" w:hAnsiTheme="majorHAnsi" w:cstheme="majorBidi"/>
          <w:b/>
          <w:color w:val="850C4B" w:themeColor="accent1" w:themeShade="BF"/>
          <w:sz w:val="24"/>
          <w:szCs w:val="28"/>
          <w:u w:val="single"/>
        </w:rPr>
        <w:t>Conclusion:</w:t>
      </w:r>
    </w:p>
    <w:p w:rsidR="00D13C07" w:rsidRDefault="00D13C07" w:rsidP="00D13C07">
      <w:r w:rsidRPr="00D13C07">
        <w:t>In</w:t>
      </w:r>
      <w:r>
        <w:t xml:space="preserve"> conclusion, it is clear that ensuring the organisation has an effective performance management and total reward system in place will bring an array of benefits to both the individual employees and the whole organisation, these including higher productivity, increased retention and increased customer satisfaction. It is essential that managers are able to understand the key components of both systems, how to use them effectively, be able to understand the relationship between the two and finally also be aware of how models of motivation can be used to understand the employees better. </w:t>
      </w:r>
    </w:p>
    <w:p w:rsidR="00DD7EB3" w:rsidRPr="00DD7EB3" w:rsidRDefault="00DD7EB3" w:rsidP="00D13C07"/>
    <w:p w:rsidR="002C2C87" w:rsidRPr="0087380D" w:rsidRDefault="002C2C87" w:rsidP="002C2C87">
      <w:pPr>
        <w:rPr>
          <w:rFonts w:asciiTheme="majorHAnsi" w:eastAsiaTheme="majorEastAsia" w:hAnsiTheme="majorHAnsi" w:cstheme="majorBidi"/>
          <w:b/>
          <w:color w:val="850C4B" w:themeColor="accent1" w:themeShade="BF"/>
          <w:sz w:val="24"/>
          <w:szCs w:val="28"/>
          <w:u w:val="single"/>
        </w:rPr>
      </w:pPr>
      <w:r>
        <w:rPr>
          <w:rFonts w:asciiTheme="majorHAnsi" w:eastAsiaTheme="majorEastAsia" w:hAnsiTheme="majorHAnsi" w:cstheme="majorBidi"/>
          <w:b/>
          <w:color w:val="850C4B" w:themeColor="accent1" w:themeShade="BF"/>
          <w:sz w:val="24"/>
          <w:szCs w:val="28"/>
          <w:u w:val="single"/>
        </w:rPr>
        <w:t>References</w:t>
      </w:r>
      <w:r w:rsidRPr="0087380D">
        <w:rPr>
          <w:rFonts w:asciiTheme="majorHAnsi" w:eastAsiaTheme="majorEastAsia" w:hAnsiTheme="majorHAnsi" w:cstheme="majorBidi"/>
          <w:b/>
          <w:color w:val="850C4B" w:themeColor="accent1" w:themeShade="BF"/>
          <w:sz w:val="24"/>
          <w:szCs w:val="28"/>
          <w:u w:val="single"/>
        </w:rPr>
        <w:t xml:space="preserve">:  </w:t>
      </w:r>
    </w:p>
    <w:p w:rsidR="00E57588" w:rsidRPr="0097123B" w:rsidRDefault="00E57588" w:rsidP="008B2CB8">
      <w:pPr>
        <w:pStyle w:val="NoSpacing"/>
        <w:numPr>
          <w:ilvl w:val="0"/>
          <w:numId w:val="6"/>
        </w:numPr>
      </w:pPr>
      <w:r>
        <w:rPr>
          <w:rFonts w:ascii="avenir-regular-class" w:hAnsi="avenir-regular-class"/>
          <w:color w:val="333333"/>
          <w:sz w:val="23"/>
          <w:szCs w:val="23"/>
          <w:shd w:val="clear" w:color="auto" w:fill="FBFBFB"/>
        </w:rPr>
        <w:t>Acas (2022) </w:t>
      </w:r>
      <w:r>
        <w:rPr>
          <w:rFonts w:ascii="avenir-regular-class" w:hAnsi="avenir-regular-class"/>
          <w:i/>
          <w:iCs/>
          <w:color w:val="333333"/>
          <w:sz w:val="23"/>
          <w:szCs w:val="23"/>
          <w:shd w:val="clear" w:color="auto" w:fill="FBFBFB"/>
        </w:rPr>
        <w:t>Conduct and Capability procedures when managing performance</w:t>
      </w:r>
      <w:r>
        <w:rPr>
          <w:rFonts w:ascii="avenir-regular-class" w:hAnsi="avenir-regular-class"/>
          <w:color w:val="333333"/>
          <w:sz w:val="23"/>
          <w:szCs w:val="23"/>
          <w:shd w:val="clear" w:color="auto" w:fill="FBFBFB"/>
        </w:rPr>
        <w:t xml:space="preserve">. Available at: </w:t>
      </w:r>
      <w:hyperlink r:id="rId7" w:history="1">
        <w:r w:rsidRPr="006E3B1D">
          <w:rPr>
            <w:rStyle w:val="Hyperlink"/>
            <w:rFonts w:ascii="avenir-regular-class" w:hAnsi="avenir-regular-class"/>
            <w:sz w:val="23"/>
            <w:szCs w:val="23"/>
            <w:shd w:val="clear" w:color="auto" w:fill="FBFBFB"/>
          </w:rPr>
          <w:t>https://www.acas.org.uk/capability-procedures</w:t>
        </w:r>
      </w:hyperlink>
      <w:r>
        <w:rPr>
          <w:rFonts w:ascii="avenir-regular-class" w:hAnsi="avenir-regular-class"/>
          <w:color w:val="333333"/>
          <w:sz w:val="23"/>
          <w:szCs w:val="23"/>
          <w:shd w:val="clear" w:color="auto" w:fill="FBFBFB"/>
        </w:rPr>
        <w:t xml:space="preserve"> (Accessed: 9 July 2023).</w:t>
      </w:r>
    </w:p>
    <w:p w:rsidR="00E57588" w:rsidRPr="00A66364" w:rsidRDefault="00E57588" w:rsidP="008B2CB8">
      <w:pPr>
        <w:pStyle w:val="NoSpacing"/>
        <w:numPr>
          <w:ilvl w:val="0"/>
          <w:numId w:val="6"/>
        </w:numPr>
      </w:pPr>
      <w:r>
        <w:rPr>
          <w:rFonts w:ascii="avenir-regular-class" w:hAnsi="avenir-regular-class"/>
          <w:color w:val="333333"/>
          <w:sz w:val="23"/>
          <w:szCs w:val="23"/>
          <w:shd w:val="clear" w:color="auto" w:fill="FBFBFB"/>
        </w:rPr>
        <w:t>Acas (2022) </w:t>
      </w:r>
      <w:r>
        <w:rPr>
          <w:rFonts w:ascii="avenir-regular-class" w:hAnsi="avenir-regular-class"/>
          <w:i/>
          <w:iCs/>
          <w:color w:val="333333"/>
          <w:sz w:val="23"/>
          <w:szCs w:val="23"/>
          <w:shd w:val="clear" w:color="auto" w:fill="FBFBFB"/>
        </w:rPr>
        <w:t>Equal pay-employer responsibilities</w:t>
      </w:r>
      <w:r>
        <w:rPr>
          <w:rFonts w:ascii="avenir-regular-class" w:hAnsi="avenir-regular-class"/>
          <w:color w:val="333333"/>
          <w:sz w:val="23"/>
          <w:szCs w:val="23"/>
          <w:shd w:val="clear" w:color="auto" w:fill="FBFBFB"/>
        </w:rPr>
        <w:t xml:space="preserve">. Available at: </w:t>
      </w:r>
      <w:hyperlink r:id="rId8" w:history="1">
        <w:r w:rsidRPr="00B0200D">
          <w:rPr>
            <w:rStyle w:val="Hyperlink"/>
            <w:rFonts w:ascii="avenir-regular-class" w:hAnsi="avenir-regular-class"/>
            <w:sz w:val="23"/>
            <w:szCs w:val="23"/>
            <w:shd w:val="clear" w:color="auto" w:fill="FBFBFB"/>
          </w:rPr>
          <w:t>https://www.acas.org.uk/equal-pay/employer-responsibilities</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15 July 2023).</w:t>
      </w:r>
    </w:p>
    <w:p w:rsidR="00E57588" w:rsidRPr="004C3565" w:rsidRDefault="00E57588" w:rsidP="008B2CB8">
      <w:pPr>
        <w:pStyle w:val="NoSpacing"/>
        <w:numPr>
          <w:ilvl w:val="0"/>
          <w:numId w:val="6"/>
        </w:numPr>
      </w:pPr>
      <w:r>
        <w:rPr>
          <w:rFonts w:ascii="avenir-regular-class" w:hAnsi="avenir-regular-class"/>
          <w:color w:val="333333"/>
          <w:sz w:val="23"/>
          <w:szCs w:val="23"/>
          <w:shd w:val="clear" w:color="auto" w:fill="FBFBFB"/>
        </w:rPr>
        <w:t>Bravo (2019) </w:t>
      </w:r>
      <w:r>
        <w:rPr>
          <w:rFonts w:ascii="avenir-regular-class" w:hAnsi="avenir-regular-class"/>
          <w:i/>
          <w:iCs/>
          <w:color w:val="333333"/>
          <w:sz w:val="23"/>
          <w:szCs w:val="23"/>
          <w:shd w:val="clear" w:color="auto" w:fill="FBFBFB"/>
        </w:rPr>
        <w:t>Intrinsic vs Extrinsic rewards to improve employee engagement.</w:t>
      </w:r>
      <w:r>
        <w:rPr>
          <w:rFonts w:ascii="avenir-regular-class" w:hAnsi="avenir-regular-class"/>
          <w:color w:val="333333"/>
          <w:sz w:val="23"/>
          <w:szCs w:val="23"/>
          <w:shd w:val="clear" w:color="auto" w:fill="FBFBFB"/>
        </w:rPr>
        <w:t xml:space="preserve"> Available at: </w:t>
      </w:r>
      <w:hyperlink r:id="rId9" w:history="1">
        <w:r w:rsidRPr="00B0200D">
          <w:rPr>
            <w:rStyle w:val="Hyperlink"/>
            <w:rFonts w:ascii="avenir-regular-class" w:hAnsi="avenir-regular-class"/>
            <w:sz w:val="23"/>
            <w:szCs w:val="23"/>
            <w:shd w:val="clear" w:color="auto" w:fill="FBFBFB"/>
          </w:rPr>
          <w:t>https://www.bravowell.com/resources/instrinsic-vs-extrinsic-rewards-to-improve-employee-engagement</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13 July 2023).</w:t>
      </w:r>
    </w:p>
    <w:p w:rsidR="00E57588" w:rsidRPr="00CC176A" w:rsidRDefault="00E57588" w:rsidP="008B2CB8">
      <w:pPr>
        <w:pStyle w:val="NoSpacing"/>
        <w:numPr>
          <w:ilvl w:val="0"/>
          <w:numId w:val="6"/>
        </w:numPr>
      </w:pPr>
      <w:r>
        <w:rPr>
          <w:rFonts w:ascii="avenir-regular-class" w:hAnsi="avenir-regular-class"/>
          <w:color w:val="333333"/>
          <w:sz w:val="23"/>
          <w:szCs w:val="23"/>
          <w:shd w:val="clear" w:color="auto" w:fill="FBFBFB"/>
        </w:rPr>
        <w:t>CIPD (2016) </w:t>
      </w:r>
      <w:r>
        <w:rPr>
          <w:rFonts w:ascii="avenir-regular-class" w:hAnsi="avenir-regular-class"/>
          <w:i/>
          <w:iCs/>
          <w:color w:val="333333"/>
          <w:sz w:val="23"/>
          <w:szCs w:val="23"/>
          <w:shd w:val="clear" w:color="auto" w:fill="FBFBFB"/>
        </w:rPr>
        <w:t>Could do better? Assessing what works in performance management</w:t>
      </w:r>
      <w:r>
        <w:rPr>
          <w:rFonts w:ascii="avenir-regular-class" w:hAnsi="avenir-regular-class"/>
          <w:color w:val="333333"/>
          <w:sz w:val="23"/>
          <w:szCs w:val="23"/>
          <w:shd w:val="clear" w:color="auto" w:fill="FBFBFB"/>
        </w:rPr>
        <w:t xml:space="preserve">. 7357.  Available at: </w:t>
      </w:r>
      <w:hyperlink r:id="rId10" w:history="1">
        <w:r w:rsidRPr="006E3B1D">
          <w:rPr>
            <w:rStyle w:val="Hyperlink"/>
            <w:rFonts w:ascii="avenir-regular-class" w:hAnsi="avenir-regular-class"/>
            <w:sz w:val="23"/>
            <w:szCs w:val="23"/>
            <w:shd w:val="clear" w:color="auto" w:fill="FBFBFB"/>
          </w:rPr>
          <w:t>https://www.cipd.org/globalassets/media/knowledge/knowledge-hub/</w:t>
        </w:r>
      </w:hyperlink>
      <w:r>
        <w:rPr>
          <w:rFonts w:ascii="avenir-regular-class" w:hAnsi="avenir-regular-class"/>
          <w:color w:val="333333"/>
          <w:sz w:val="23"/>
          <w:szCs w:val="23"/>
          <w:shd w:val="clear" w:color="auto" w:fill="FBFBFB"/>
        </w:rPr>
        <w:t xml:space="preserve"> (Accessed: 10 July 2023).</w:t>
      </w:r>
    </w:p>
    <w:p w:rsidR="00E57588" w:rsidRPr="00750937" w:rsidRDefault="00E57588" w:rsidP="008B2CB8">
      <w:pPr>
        <w:pStyle w:val="NoSpacing"/>
        <w:numPr>
          <w:ilvl w:val="0"/>
          <w:numId w:val="6"/>
        </w:numPr>
      </w:pPr>
      <w:r>
        <w:rPr>
          <w:rFonts w:ascii="avenir-regular-class" w:hAnsi="avenir-regular-class"/>
          <w:color w:val="333333"/>
          <w:sz w:val="23"/>
          <w:szCs w:val="23"/>
          <w:shd w:val="clear" w:color="auto" w:fill="FBFBFB"/>
        </w:rPr>
        <w:t>CIPD (2017) </w:t>
      </w:r>
      <w:r>
        <w:rPr>
          <w:rFonts w:ascii="avenir-regular-class" w:hAnsi="avenir-regular-class"/>
          <w:i/>
          <w:iCs/>
          <w:color w:val="333333"/>
          <w:sz w:val="23"/>
          <w:szCs w:val="23"/>
          <w:shd w:val="clear" w:color="auto" w:fill="FBFBFB"/>
        </w:rPr>
        <w:t>Changing trends in performance management</w:t>
      </w:r>
      <w:r>
        <w:rPr>
          <w:rFonts w:ascii="avenir-regular-class" w:hAnsi="avenir-regular-class"/>
          <w:color w:val="333333"/>
          <w:sz w:val="23"/>
          <w:szCs w:val="23"/>
          <w:shd w:val="clear" w:color="auto" w:fill="FBFBFB"/>
        </w:rPr>
        <w:t xml:space="preserve">. 19 July. Available at: </w:t>
      </w:r>
      <w:hyperlink r:id="rId11" w:history="1">
        <w:r w:rsidRPr="006E3B1D">
          <w:rPr>
            <w:rStyle w:val="Hyperlink"/>
            <w:rFonts w:ascii="avenir-regular-class" w:hAnsi="avenir-regular-class"/>
            <w:sz w:val="23"/>
            <w:szCs w:val="23"/>
            <w:shd w:val="clear" w:color="auto" w:fill="FBFBFB"/>
          </w:rPr>
          <w:t>https://www.youtube.com/watch?v=PfXEceZzNC0</w:t>
        </w:r>
      </w:hyperlink>
      <w:r>
        <w:rPr>
          <w:rFonts w:ascii="avenir-regular-class" w:hAnsi="avenir-regular-class"/>
          <w:color w:val="333333"/>
          <w:sz w:val="23"/>
          <w:szCs w:val="23"/>
          <w:shd w:val="clear" w:color="auto" w:fill="FBFBFB"/>
        </w:rPr>
        <w:t xml:space="preserve"> (Accessed: 11 July 2023).</w:t>
      </w:r>
    </w:p>
    <w:p w:rsidR="00E57588" w:rsidRPr="00D125CC" w:rsidRDefault="00E57588" w:rsidP="008B2CB8">
      <w:pPr>
        <w:pStyle w:val="NoSpacing"/>
        <w:numPr>
          <w:ilvl w:val="0"/>
          <w:numId w:val="6"/>
        </w:numPr>
      </w:pPr>
      <w:r>
        <w:rPr>
          <w:rFonts w:ascii="avenir-regular-class" w:hAnsi="avenir-regular-class"/>
          <w:color w:val="333333"/>
          <w:sz w:val="23"/>
          <w:szCs w:val="23"/>
          <w:shd w:val="clear" w:color="auto" w:fill="FBFBFB"/>
        </w:rPr>
        <w:t>CIPD (2021) </w:t>
      </w:r>
      <w:r>
        <w:rPr>
          <w:rFonts w:ascii="avenir-regular-class" w:hAnsi="avenir-regular-class"/>
          <w:i/>
          <w:iCs/>
          <w:color w:val="333333"/>
          <w:sz w:val="23"/>
          <w:szCs w:val="23"/>
          <w:shd w:val="clear" w:color="auto" w:fill="FBFBFB"/>
        </w:rPr>
        <w:t>Understanding what really drives your workforce</w:t>
      </w:r>
      <w:r>
        <w:rPr>
          <w:rFonts w:ascii="avenir-regular-class" w:hAnsi="avenir-regular-class"/>
          <w:color w:val="333333"/>
          <w:sz w:val="23"/>
          <w:szCs w:val="23"/>
          <w:shd w:val="clear" w:color="auto" w:fill="FBFBFB"/>
        </w:rPr>
        <w:t xml:space="preserve">. Available at: </w:t>
      </w:r>
      <w:hyperlink r:id="rId12" w:history="1">
        <w:r w:rsidRPr="006E3B1D">
          <w:rPr>
            <w:rStyle w:val="Hyperlink"/>
            <w:rFonts w:ascii="avenir-regular-class" w:hAnsi="avenir-regular-class"/>
            <w:sz w:val="23"/>
            <w:szCs w:val="23"/>
            <w:shd w:val="clear" w:color="auto" w:fill="FBFBFB"/>
          </w:rPr>
          <w:t>https://www.cipd.org/uk/about/news/understanding-what-really-drives-your-workforce/</w:t>
        </w:r>
      </w:hyperlink>
      <w:r>
        <w:rPr>
          <w:rFonts w:ascii="avenir-regular-class" w:hAnsi="avenir-regular-class"/>
          <w:color w:val="333333"/>
          <w:sz w:val="23"/>
          <w:szCs w:val="23"/>
          <w:shd w:val="clear" w:color="auto" w:fill="FBFBFB"/>
        </w:rPr>
        <w:t xml:space="preserve"> (Accessed: 8 July 2023).</w:t>
      </w:r>
    </w:p>
    <w:p w:rsidR="00E57588" w:rsidRPr="001A5B3B" w:rsidRDefault="00E57588" w:rsidP="008B2CB8">
      <w:pPr>
        <w:pStyle w:val="NoSpacing"/>
        <w:numPr>
          <w:ilvl w:val="0"/>
          <w:numId w:val="6"/>
        </w:numPr>
      </w:pPr>
      <w:r>
        <w:rPr>
          <w:rFonts w:ascii="avenir-regular-class" w:hAnsi="avenir-regular-class"/>
          <w:color w:val="333333"/>
          <w:sz w:val="23"/>
          <w:szCs w:val="23"/>
          <w:shd w:val="clear" w:color="auto" w:fill="FBFBFB"/>
        </w:rPr>
        <w:t>CIPD (2022) </w:t>
      </w:r>
      <w:r>
        <w:rPr>
          <w:rFonts w:ascii="avenir-regular-class" w:hAnsi="avenir-regular-class"/>
          <w:i/>
          <w:iCs/>
          <w:color w:val="333333"/>
          <w:sz w:val="23"/>
          <w:szCs w:val="23"/>
          <w:shd w:val="clear" w:color="auto" w:fill="FBFBFB"/>
        </w:rPr>
        <w:t>Equal Pay: UK Employment Law</w:t>
      </w:r>
      <w:r>
        <w:rPr>
          <w:rFonts w:ascii="avenir-regular-class" w:hAnsi="avenir-regular-class"/>
          <w:color w:val="333333"/>
          <w:sz w:val="23"/>
          <w:szCs w:val="23"/>
          <w:shd w:val="clear" w:color="auto" w:fill="FBFBFB"/>
        </w:rPr>
        <w:t xml:space="preserve">. Available at: </w:t>
      </w:r>
      <w:hyperlink r:id="rId13" w:history="1">
        <w:r w:rsidRPr="00B0200D">
          <w:rPr>
            <w:rStyle w:val="Hyperlink"/>
            <w:rFonts w:ascii="avenir-regular-class" w:hAnsi="avenir-regular-class"/>
            <w:sz w:val="23"/>
            <w:szCs w:val="23"/>
            <w:shd w:val="clear" w:color="auto" w:fill="FBFBFB"/>
          </w:rPr>
          <w:t>https://www.cipd.org/uk/knowledge/employent-law/equal-pay/</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(15 July 2023).</w:t>
      </w:r>
    </w:p>
    <w:p w:rsidR="00E57588" w:rsidRPr="00EC4942" w:rsidRDefault="00E57588" w:rsidP="008B2CB8">
      <w:pPr>
        <w:pStyle w:val="NoSpacing"/>
        <w:numPr>
          <w:ilvl w:val="0"/>
          <w:numId w:val="6"/>
        </w:numPr>
      </w:pPr>
      <w:r>
        <w:rPr>
          <w:shd w:val="clear" w:color="auto" w:fill="FBFBFB"/>
        </w:rPr>
        <w:t>CIPD (2022) </w:t>
      </w:r>
      <w:r>
        <w:rPr>
          <w:i/>
          <w:iCs/>
          <w:shd w:val="clear" w:color="auto" w:fill="FBFBFB"/>
        </w:rPr>
        <w:t>Performance Management: An Introduction</w:t>
      </w:r>
      <w:r>
        <w:rPr>
          <w:shd w:val="clear" w:color="auto" w:fill="FBFBFB"/>
        </w:rPr>
        <w:t xml:space="preserve">. Available at: </w:t>
      </w:r>
      <w:hyperlink r:id="rId14" w:history="1">
        <w:r w:rsidRPr="006E3B1D">
          <w:rPr>
            <w:rStyle w:val="Hyperlink"/>
            <w:shd w:val="clear" w:color="auto" w:fill="FBFBFB"/>
          </w:rPr>
          <w:t>https://www.cipd.org/uk/knowledge/factsheets/performance-factsheet/</w:t>
        </w:r>
      </w:hyperlink>
      <w:r>
        <w:rPr>
          <w:shd w:val="clear" w:color="auto" w:fill="FBFBFB"/>
        </w:rPr>
        <w:t xml:space="preserve"> (Accessed: 7 July 2023).</w:t>
      </w:r>
    </w:p>
    <w:p w:rsidR="00E57588" w:rsidRPr="000A1435" w:rsidRDefault="00E57588" w:rsidP="008B2CB8">
      <w:pPr>
        <w:pStyle w:val="NoSpacing"/>
        <w:numPr>
          <w:ilvl w:val="0"/>
          <w:numId w:val="6"/>
        </w:numPr>
      </w:pPr>
      <w:r>
        <w:rPr>
          <w:rFonts w:ascii="avenir-regular-class" w:hAnsi="avenir-regular-class"/>
          <w:color w:val="333333"/>
          <w:sz w:val="23"/>
          <w:szCs w:val="23"/>
          <w:shd w:val="clear" w:color="auto" w:fill="FBFBFB"/>
        </w:rPr>
        <w:t>CIPD (2022) </w:t>
      </w:r>
      <w:r>
        <w:rPr>
          <w:rFonts w:ascii="avenir-regular-class" w:hAnsi="avenir-regular-class"/>
          <w:i/>
          <w:iCs/>
          <w:color w:val="333333"/>
          <w:sz w:val="23"/>
          <w:szCs w:val="23"/>
          <w:shd w:val="clear" w:color="auto" w:fill="FBFBFB"/>
        </w:rPr>
        <w:t>Performance Reviews.</w:t>
      </w:r>
      <w:r>
        <w:rPr>
          <w:rFonts w:ascii="avenir-regular-class" w:hAnsi="avenir-regular-class"/>
          <w:color w:val="333333"/>
          <w:sz w:val="23"/>
          <w:szCs w:val="23"/>
          <w:shd w:val="clear" w:color="auto" w:fill="FBFBFB"/>
        </w:rPr>
        <w:t xml:space="preserve"> Available at: </w:t>
      </w:r>
      <w:hyperlink r:id="rId15" w:history="1">
        <w:r w:rsidRPr="006E3B1D">
          <w:rPr>
            <w:rStyle w:val="Hyperlink"/>
            <w:rFonts w:ascii="avenir-regular-class" w:hAnsi="avenir-regular-class"/>
            <w:sz w:val="23"/>
            <w:szCs w:val="23"/>
            <w:shd w:val="clear" w:color="auto" w:fill="FBFBFB"/>
          </w:rPr>
          <w:t>https://www.cipd.org/en/knowledge/factsheets/appraisal-factsheet</w:t>
        </w:r>
      </w:hyperlink>
      <w:r>
        <w:rPr>
          <w:rFonts w:ascii="avenir-regular-class" w:hAnsi="avenir-regular-class"/>
          <w:color w:val="333333"/>
          <w:sz w:val="23"/>
          <w:szCs w:val="23"/>
          <w:shd w:val="clear" w:color="auto" w:fill="FBFBFB"/>
        </w:rPr>
        <w:t xml:space="preserve"> (Accessed: 10 July 2023).</w:t>
      </w:r>
    </w:p>
    <w:p w:rsidR="00E57588" w:rsidRPr="00E6743E" w:rsidRDefault="00E57588" w:rsidP="008B2CB8">
      <w:pPr>
        <w:pStyle w:val="NoSpacing"/>
        <w:numPr>
          <w:ilvl w:val="0"/>
          <w:numId w:val="6"/>
        </w:numPr>
      </w:pPr>
      <w:r>
        <w:rPr>
          <w:rFonts w:ascii="avenir-regular-class" w:hAnsi="avenir-regular-class"/>
          <w:color w:val="333333"/>
          <w:sz w:val="23"/>
          <w:szCs w:val="23"/>
          <w:shd w:val="clear" w:color="auto" w:fill="FBFBFB"/>
        </w:rPr>
        <w:t>CIPD (2023) </w:t>
      </w:r>
      <w:r>
        <w:rPr>
          <w:rFonts w:ascii="avenir-regular-class" w:hAnsi="avenir-regular-class"/>
          <w:i/>
          <w:iCs/>
          <w:color w:val="333333"/>
          <w:sz w:val="23"/>
          <w:szCs w:val="23"/>
          <w:shd w:val="clear" w:color="auto" w:fill="FBFBFB"/>
        </w:rPr>
        <w:t>Performance Management: BBC</w:t>
      </w:r>
      <w:r>
        <w:rPr>
          <w:rFonts w:ascii="avenir-regular-class" w:hAnsi="avenir-regular-class"/>
          <w:color w:val="333333"/>
          <w:sz w:val="23"/>
          <w:szCs w:val="23"/>
          <w:shd w:val="clear" w:color="auto" w:fill="FBFBFB"/>
        </w:rPr>
        <w:t xml:space="preserve">. Available at: </w:t>
      </w:r>
      <w:hyperlink r:id="rId16" w:history="1">
        <w:r w:rsidRPr="006E3B1D">
          <w:rPr>
            <w:rStyle w:val="Hyperlink"/>
            <w:rFonts w:ascii="avenir-regular-class" w:hAnsi="avenir-regular-class"/>
            <w:sz w:val="23"/>
            <w:szCs w:val="23"/>
            <w:shd w:val="clear" w:color="auto" w:fill="FBFBFB"/>
          </w:rPr>
          <w:t>https://www.cipd.org/uk/knowledge/caste-studies/bbc/</w:t>
        </w:r>
      </w:hyperlink>
      <w:r>
        <w:rPr>
          <w:rFonts w:ascii="avenir-regular-class" w:hAnsi="avenir-regular-class"/>
          <w:color w:val="333333"/>
          <w:sz w:val="23"/>
          <w:szCs w:val="23"/>
          <w:shd w:val="clear" w:color="auto" w:fill="FBFBFB"/>
        </w:rPr>
        <w:t xml:space="preserve"> (Accessed: 10 July 2023). </w:t>
      </w:r>
    </w:p>
    <w:p w:rsidR="00E57588" w:rsidRPr="00363CC2" w:rsidRDefault="00E57588" w:rsidP="008B2CB8">
      <w:pPr>
        <w:pStyle w:val="NoSpacing"/>
        <w:numPr>
          <w:ilvl w:val="0"/>
          <w:numId w:val="6"/>
        </w:numPr>
      </w:pPr>
      <w:r>
        <w:rPr>
          <w:rFonts w:ascii="avenir-regular-class" w:hAnsi="avenir-regular-class"/>
          <w:color w:val="333333"/>
          <w:sz w:val="23"/>
          <w:szCs w:val="23"/>
          <w:shd w:val="clear" w:color="auto" w:fill="FBFBFB"/>
        </w:rPr>
        <w:t>CIPD (2023) </w:t>
      </w:r>
      <w:r>
        <w:rPr>
          <w:rFonts w:ascii="avenir-regular-class" w:hAnsi="avenir-regular-class"/>
          <w:i/>
          <w:iCs/>
          <w:color w:val="333333"/>
          <w:sz w:val="23"/>
          <w:szCs w:val="23"/>
          <w:shd w:val="clear" w:color="auto" w:fill="FBFBFB"/>
        </w:rPr>
        <w:t>Reward: an introduction</w:t>
      </w:r>
      <w:r>
        <w:rPr>
          <w:rFonts w:ascii="avenir-regular-class" w:hAnsi="avenir-regular-class"/>
          <w:color w:val="333333"/>
          <w:sz w:val="23"/>
          <w:szCs w:val="23"/>
          <w:shd w:val="clear" w:color="auto" w:fill="FBFBFB"/>
        </w:rPr>
        <w:t xml:space="preserve">. Available at: </w:t>
      </w:r>
      <w:hyperlink r:id="rId17" w:history="1">
        <w:r w:rsidRPr="00B0200D">
          <w:rPr>
            <w:rStyle w:val="Hyperlink"/>
            <w:rFonts w:ascii="avenir-regular-class" w:hAnsi="avenir-regular-class"/>
            <w:sz w:val="23"/>
            <w:szCs w:val="23"/>
            <w:shd w:val="clear" w:color="auto" w:fill="FBFBFB"/>
          </w:rPr>
          <w:t>https://www.cipd.org/uk/knowledge/factsheets/reward-factsheet/</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12 July 2023).</w:t>
      </w:r>
    </w:p>
    <w:p w:rsidR="00E57588" w:rsidRPr="00A378C4" w:rsidRDefault="00E57588" w:rsidP="008B2CB8">
      <w:pPr>
        <w:pStyle w:val="NoSpacing"/>
        <w:numPr>
          <w:ilvl w:val="0"/>
          <w:numId w:val="6"/>
        </w:numPr>
      </w:pPr>
      <w:r>
        <w:rPr>
          <w:rFonts w:ascii="avenir-regular-class" w:hAnsi="avenir-regular-class"/>
          <w:color w:val="333333"/>
          <w:sz w:val="23"/>
          <w:szCs w:val="23"/>
          <w:shd w:val="clear" w:color="auto" w:fill="FBFBFB"/>
        </w:rPr>
        <w:lastRenderedPageBreak/>
        <w:t>CIPD (2023) </w:t>
      </w:r>
      <w:r>
        <w:rPr>
          <w:rFonts w:ascii="avenir-regular-class" w:hAnsi="avenir-regular-class"/>
          <w:i/>
          <w:iCs/>
          <w:color w:val="333333"/>
          <w:sz w:val="23"/>
          <w:szCs w:val="23"/>
          <w:shd w:val="clear" w:color="auto" w:fill="FBFBFB"/>
        </w:rPr>
        <w:t>Strategic reward and Total reward</w:t>
      </w:r>
      <w:r>
        <w:rPr>
          <w:rFonts w:ascii="avenir-regular-class" w:hAnsi="avenir-regular-class"/>
          <w:color w:val="333333"/>
          <w:sz w:val="23"/>
          <w:szCs w:val="23"/>
          <w:shd w:val="clear" w:color="auto" w:fill="FBFBFB"/>
        </w:rPr>
        <w:t xml:space="preserve">. Available at: </w:t>
      </w:r>
      <w:hyperlink r:id="rId18" w:history="1">
        <w:r w:rsidRPr="006E3B1D">
          <w:rPr>
            <w:rStyle w:val="Hyperlink"/>
            <w:rFonts w:ascii="avenir-regular-class" w:hAnsi="avenir-regular-class"/>
            <w:sz w:val="23"/>
            <w:szCs w:val="23"/>
            <w:shd w:val="clear" w:color="auto" w:fill="FBFBFB"/>
          </w:rPr>
          <w:t>https://www.cipd.org/uk/knowledge/factsheets/strategic-total-factsheet/</w:t>
        </w:r>
      </w:hyperlink>
      <w:r>
        <w:rPr>
          <w:rFonts w:ascii="avenir-regular-class" w:hAnsi="avenir-regular-class"/>
          <w:color w:val="333333"/>
          <w:sz w:val="23"/>
          <w:szCs w:val="23"/>
          <w:shd w:val="clear" w:color="auto" w:fill="FBFBFB"/>
        </w:rPr>
        <w:t xml:space="preserve"> (Accessed: 10 July 2023). </w:t>
      </w:r>
    </w:p>
    <w:p w:rsidR="00E57588" w:rsidRPr="00366033" w:rsidRDefault="00E57588" w:rsidP="008B2CB8">
      <w:pPr>
        <w:pStyle w:val="NoSpacing"/>
        <w:numPr>
          <w:ilvl w:val="0"/>
          <w:numId w:val="6"/>
        </w:numPr>
      </w:pPr>
      <w:r>
        <w:rPr>
          <w:rFonts w:ascii="avenir-regular-class" w:hAnsi="avenir-regular-class"/>
          <w:color w:val="333333"/>
          <w:sz w:val="23"/>
          <w:szCs w:val="23"/>
          <w:shd w:val="clear" w:color="auto" w:fill="FBFBFB"/>
        </w:rPr>
        <w:t>Diamantidis, A.D. and Chatzoglou, P. (ed.) (2019) 'Factors affecting employee performance', </w:t>
      </w:r>
      <w:r>
        <w:rPr>
          <w:rFonts w:ascii="avenir-regular-class" w:hAnsi="avenir-regular-class"/>
          <w:i/>
          <w:iCs/>
          <w:color w:val="333333"/>
          <w:sz w:val="23"/>
          <w:szCs w:val="23"/>
          <w:shd w:val="clear" w:color="auto" w:fill="FBFBFB"/>
        </w:rPr>
        <w:t>International Journal of Productivity and Performance Management</w:t>
      </w:r>
      <w:r>
        <w:rPr>
          <w:rFonts w:ascii="avenir-regular-class" w:hAnsi="avenir-regular-class"/>
          <w:color w:val="333333"/>
          <w:sz w:val="23"/>
          <w:szCs w:val="23"/>
          <w:shd w:val="clear" w:color="auto" w:fill="FBFBFB"/>
        </w:rPr>
        <w:t>, 68(1). Available at:</w:t>
      </w:r>
      <w:r>
        <w:rPr>
          <w:rStyle w:val="jnlarticle"/>
          <w:rFonts w:ascii="Helvetica" w:hAnsi="Helvetica"/>
          <w:color w:val="555555"/>
          <w:shd w:val="clear" w:color="auto" w:fill="FFFFFF"/>
        </w:rPr>
        <w:t> </w:t>
      </w:r>
      <w:r>
        <w:rPr>
          <w:rFonts w:ascii="Helvetica" w:hAnsi="Helvetica"/>
          <w:color w:val="555555"/>
          <w:shd w:val="clear" w:color="auto" w:fill="FFFFFF"/>
        </w:rPr>
        <w:t>DOI:10.1108/IJPPM-01-2018-0012  </w:t>
      </w:r>
      <w:r>
        <w:rPr>
          <w:rFonts w:ascii="avenir-regular-class" w:hAnsi="avenir-regular-class"/>
          <w:color w:val="333333"/>
          <w:sz w:val="23"/>
          <w:szCs w:val="23"/>
          <w:shd w:val="clear" w:color="auto" w:fill="FBFBFB"/>
        </w:rPr>
        <w:t>(Accessed: 8 July 2023).</w:t>
      </w:r>
    </w:p>
    <w:p w:rsidR="00E57588" w:rsidRPr="003D2F50" w:rsidRDefault="00E57588" w:rsidP="008B2CB8">
      <w:pPr>
        <w:pStyle w:val="NoSpacing"/>
        <w:numPr>
          <w:ilvl w:val="0"/>
          <w:numId w:val="6"/>
        </w:numPr>
      </w:pPr>
      <w:r>
        <w:rPr>
          <w:rFonts w:ascii="avenir-regular-class" w:hAnsi="avenir-regular-class"/>
          <w:color w:val="333333"/>
          <w:sz w:val="23"/>
          <w:szCs w:val="23"/>
          <w:shd w:val="clear" w:color="auto" w:fill="FBFBFB"/>
        </w:rPr>
        <w:t>Eerde, W. (2015) </w:t>
      </w:r>
      <w:r>
        <w:rPr>
          <w:rFonts w:ascii="avenir-regular-class" w:hAnsi="avenir-regular-class"/>
          <w:i/>
          <w:iCs/>
          <w:color w:val="333333"/>
          <w:sz w:val="23"/>
          <w:szCs w:val="23"/>
          <w:shd w:val="clear" w:color="auto" w:fill="FBFBFB"/>
        </w:rPr>
        <w:t>Wiley Encyclopedia of Management</w:t>
      </w:r>
      <w:r>
        <w:rPr>
          <w:rFonts w:ascii="avenir-regular-class" w:hAnsi="avenir-regular-class"/>
          <w:color w:val="333333"/>
          <w:sz w:val="23"/>
          <w:szCs w:val="23"/>
          <w:shd w:val="clear" w:color="auto" w:fill="FBFBFB"/>
        </w:rPr>
        <w:t>. Available at: </w:t>
      </w:r>
      <w:r>
        <w:rPr>
          <w:rFonts w:ascii="Arial" w:hAnsi="Arial" w:cs="Arial"/>
          <w:color w:val="1C1D1E"/>
          <w:sz w:val="18"/>
          <w:szCs w:val="18"/>
          <w:shd w:val="clear" w:color="auto" w:fill="FFFFFF"/>
        </w:rPr>
        <w:t>10.1002/9781118785317</w:t>
      </w:r>
      <w:r>
        <w:rPr>
          <w:rFonts w:ascii="avenir-regular-class" w:hAnsi="avenir-regular-class"/>
          <w:color w:val="333333"/>
          <w:sz w:val="23"/>
          <w:szCs w:val="23"/>
          <w:shd w:val="clear" w:color="auto" w:fill="FBFBFB"/>
        </w:rPr>
        <w:t> (13 July 2023).</w:t>
      </w:r>
      <w:r>
        <w:rPr>
          <w:rFonts w:ascii="avenir-regular-class" w:hAnsi="avenir-regular-class"/>
          <w:color w:val="333333"/>
          <w:sz w:val="23"/>
          <w:szCs w:val="23"/>
          <w:shd w:val="clear" w:color="auto" w:fill="FBFBFB"/>
        </w:rPr>
        <w:t xml:space="preserve"> </w:t>
      </w:r>
    </w:p>
    <w:p w:rsidR="00E57588" w:rsidRPr="006E58B0" w:rsidRDefault="00E57588" w:rsidP="008B2CB8">
      <w:pPr>
        <w:pStyle w:val="NoSpacing"/>
        <w:numPr>
          <w:ilvl w:val="0"/>
          <w:numId w:val="6"/>
        </w:numPr>
      </w:pPr>
      <w:r>
        <w:rPr>
          <w:rFonts w:ascii="avenir-regular-class" w:hAnsi="avenir-regular-class"/>
          <w:color w:val="333333"/>
          <w:sz w:val="23"/>
          <w:szCs w:val="23"/>
          <w:shd w:val="clear" w:color="auto" w:fill="FBFBFB"/>
        </w:rPr>
        <w:t>Equality and Human Rights Commission (2020) </w:t>
      </w:r>
      <w:r>
        <w:rPr>
          <w:rFonts w:ascii="avenir-regular-class" w:hAnsi="avenir-regular-class"/>
          <w:i/>
          <w:iCs/>
          <w:color w:val="333333"/>
          <w:sz w:val="23"/>
          <w:szCs w:val="23"/>
          <w:shd w:val="clear" w:color="auto" w:fill="FBFBFB"/>
        </w:rPr>
        <w:t>Why equal pay matters</w:t>
      </w:r>
      <w:r>
        <w:rPr>
          <w:rFonts w:ascii="avenir-regular-class" w:hAnsi="avenir-regular-class"/>
          <w:color w:val="333333"/>
          <w:sz w:val="23"/>
          <w:szCs w:val="23"/>
          <w:shd w:val="clear" w:color="auto" w:fill="FBFBFB"/>
        </w:rPr>
        <w:t xml:space="preserve">. Available at: </w:t>
      </w:r>
      <w:hyperlink r:id="rId19" w:history="1">
        <w:r w:rsidRPr="00B0200D">
          <w:rPr>
            <w:rStyle w:val="Hyperlink"/>
            <w:rFonts w:ascii="avenir-regular-class" w:hAnsi="avenir-regular-class"/>
            <w:sz w:val="23"/>
            <w:szCs w:val="23"/>
            <w:shd w:val="clear" w:color="auto" w:fill="FBFBFB"/>
          </w:rPr>
          <w:t>https://www.equalityhumanrights.com/en/advice-and-guidance/why-equal-pay-matters</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16 July 2023).</w:t>
      </w:r>
    </w:p>
    <w:p w:rsidR="00E57588" w:rsidRPr="00C47669" w:rsidRDefault="00E57588" w:rsidP="008B2CB8">
      <w:pPr>
        <w:pStyle w:val="NoSpacing"/>
        <w:numPr>
          <w:ilvl w:val="0"/>
          <w:numId w:val="6"/>
        </w:numPr>
      </w:pPr>
      <w:r>
        <w:rPr>
          <w:rFonts w:ascii="avenir-regular-class" w:hAnsi="avenir-regular-class"/>
          <w:color w:val="333333"/>
          <w:sz w:val="23"/>
          <w:szCs w:val="23"/>
          <w:shd w:val="clear" w:color="auto" w:fill="FBFBFB"/>
        </w:rPr>
        <w:t>Fatima, S. (2021) 'Competitive reward system and employee performance', </w:t>
      </w:r>
      <w:r>
        <w:rPr>
          <w:rFonts w:ascii="avenir-regular-class" w:hAnsi="avenir-regular-class"/>
          <w:i/>
          <w:iCs/>
          <w:color w:val="333333"/>
          <w:sz w:val="23"/>
          <w:szCs w:val="23"/>
          <w:shd w:val="clear" w:color="auto" w:fill="FBFBFB"/>
        </w:rPr>
        <w:t>LinkedIn</w:t>
      </w:r>
      <w:r>
        <w:rPr>
          <w:rFonts w:ascii="avenir-regular-class" w:hAnsi="avenir-regular-class"/>
          <w:color w:val="333333"/>
          <w:sz w:val="23"/>
          <w:szCs w:val="23"/>
          <w:shd w:val="clear" w:color="auto" w:fill="FBFBFB"/>
        </w:rPr>
        <w:t xml:space="preserve">, 28 February. Available at: </w:t>
      </w:r>
      <w:hyperlink r:id="rId20" w:history="1">
        <w:r w:rsidRPr="00B0200D">
          <w:rPr>
            <w:rStyle w:val="Hyperlink"/>
            <w:rFonts w:ascii="avenir-regular-class" w:hAnsi="avenir-regular-class"/>
            <w:sz w:val="23"/>
            <w:szCs w:val="23"/>
            <w:shd w:val="clear" w:color="auto" w:fill="FBFBFB"/>
          </w:rPr>
          <w:t>https://www.linkedin.com/pulse/competitive-reward-system-employee-performance-syeda-arooj-fatima</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13 July 2023).</w:t>
      </w:r>
    </w:p>
    <w:p w:rsidR="00E57588" w:rsidRPr="002F1A74" w:rsidRDefault="00E57588" w:rsidP="008B2CB8">
      <w:pPr>
        <w:pStyle w:val="NoSpacing"/>
        <w:numPr>
          <w:ilvl w:val="0"/>
          <w:numId w:val="6"/>
        </w:numPr>
      </w:pPr>
      <w:r>
        <w:rPr>
          <w:rFonts w:ascii="avenir-regular-class" w:hAnsi="avenir-regular-class"/>
          <w:color w:val="333333"/>
          <w:sz w:val="23"/>
          <w:szCs w:val="23"/>
          <w:shd w:val="clear" w:color="auto" w:fill="FBFBFB"/>
        </w:rPr>
        <w:t>Good Morning Britain (2018) </w:t>
      </w:r>
      <w:r>
        <w:rPr>
          <w:rFonts w:ascii="avenir-regular-class" w:hAnsi="avenir-regular-class"/>
          <w:i/>
          <w:iCs/>
          <w:color w:val="333333"/>
          <w:sz w:val="23"/>
          <w:szCs w:val="23"/>
          <w:shd w:val="clear" w:color="auto" w:fill="FBFBFB"/>
        </w:rPr>
        <w:t>Tesco equal pay debate</w:t>
      </w:r>
      <w:r>
        <w:rPr>
          <w:rFonts w:ascii="avenir-regular-class" w:hAnsi="avenir-regular-class"/>
          <w:color w:val="333333"/>
          <w:sz w:val="23"/>
          <w:szCs w:val="23"/>
          <w:shd w:val="clear" w:color="auto" w:fill="FBFBFB"/>
        </w:rPr>
        <w:t xml:space="preserve">. 22 June. Available at: </w:t>
      </w:r>
      <w:hyperlink r:id="rId21" w:history="1">
        <w:r w:rsidRPr="00B0200D">
          <w:rPr>
            <w:rStyle w:val="Hyperlink"/>
            <w:rFonts w:ascii="avenir-regular-class" w:hAnsi="avenir-regular-class"/>
            <w:sz w:val="23"/>
            <w:szCs w:val="23"/>
            <w:shd w:val="clear" w:color="auto" w:fill="FBFBFB"/>
          </w:rPr>
          <w:t>https://www.youtube.com/watch?v=dJ2yu-_5M78</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15 July 2023).</w:t>
      </w:r>
    </w:p>
    <w:p w:rsidR="00E57588" w:rsidRPr="001A428E" w:rsidRDefault="00E57588" w:rsidP="008B2CB8">
      <w:pPr>
        <w:pStyle w:val="NoSpacing"/>
        <w:numPr>
          <w:ilvl w:val="0"/>
          <w:numId w:val="6"/>
        </w:numPr>
      </w:pPr>
      <w:r>
        <w:rPr>
          <w:rFonts w:ascii="avenir-regular-class" w:hAnsi="avenir-regular-class"/>
          <w:color w:val="333333"/>
          <w:sz w:val="23"/>
          <w:szCs w:val="23"/>
          <w:shd w:val="clear" w:color="auto" w:fill="FBFBFB"/>
        </w:rPr>
        <w:t>Herrity, J. (2022) '360 degree appraisal: Pro's and Con's of multi-rater feedback', </w:t>
      </w:r>
      <w:r>
        <w:rPr>
          <w:rFonts w:ascii="avenir-regular-class" w:hAnsi="avenir-regular-class"/>
          <w:i/>
          <w:iCs/>
          <w:color w:val="333333"/>
          <w:sz w:val="23"/>
          <w:szCs w:val="23"/>
          <w:shd w:val="clear" w:color="auto" w:fill="FBFBFB"/>
        </w:rPr>
        <w:t>Indeed</w:t>
      </w:r>
      <w:r>
        <w:rPr>
          <w:rFonts w:ascii="avenir-regular-class" w:hAnsi="avenir-regular-class"/>
          <w:color w:val="333333"/>
          <w:sz w:val="23"/>
          <w:szCs w:val="23"/>
          <w:shd w:val="clear" w:color="auto" w:fill="FBFBFB"/>
        </w:rPr>
        <w:t xml:space="preserve">, 1 October. Available at: </w:t>
      </w:r>
      <w:hyperlink r:id="rId22" w:history="1">
        <w:r w:rsidRPr="006E3B1D">
          <w:rPr>
            <w:rStyle w:val="Hyperlink"/>
            <w:rFonts w:ascii="avenir-regular-class" w:hAnsi="avenir-regular-class"/>
            <w:sz w:val="23"/>
            <w:szCs w:val="23"/>
            <w:shd w:val="clear" w:color="auto" w:fill="FBFBFB"/>
          </w:rPr>
          <w:t>https://www.indeed.com/career-advice/career-development/360-degree-appraisal</w:t>
        </w:r>
      </w:hyperlink>
      <w:r>
        <w:rPr>
          <w:rFonts w:ascii="avenir-regular-class" w:hAnsi="avenir-regular-class"/>
          <w:color w:val="333333"/>
          <w:sz w:val="23"/>
          <w:szCs w:val="23"/>
          <w:shd w:val="clear" w:color="auto" w:fill="FBFBFB"/>
        </w:rPr>
        <w:t xml:space="preserve"> (Accessed: 10 July 2023).</w:t>
      </w:r>
    </w:p>
    <w:p w:rsidR="00E57588" w:rsidRPr="006817FB" w:rsidRDefault="00E57588" w:rsidP="008B2CB8">
      <w:pPr>
        <w:pStyle w:val="NoSpacing"/>
        <w:numPr>
          <w:ilvl w:val="0"/>
          <w:numId w:val="6"/>
        </w:numPr>
      </w:pPr>
      <w:r>
        <w:rPr>
          <w:rFonts w:ascii="avenir-regular-class" w:hAnsi="avenir-regular-class"/>
          <w:color w:val="333333"/>
          <w:sz w:val="23"/>
          <w:szCs w:val="23"/>
          <w:shd w:val="clear" w:color="auto" w:fill="FBFBFB"/>
        </w:rPr>
        <w:t>Herrity, J. (2023) '70 Creative Ways to reward employees (plus why it matters)', </w:t>
      </w:r>
      <w:r>
        <w:rPr>
          <w:rFonts w:ascii="avenir-regular-class" w:hAnsi="avenir-regular-class"/>
          <w:i/>
          <w:iCs/>
          <w:color w:val="333333"/>
          <w:sz w:val="23"/>
          <w:szCs w:val="23"/>
          <w:shd w:val="clear" w:color="auto" w:fill="FBFBFB"/>
        </w:rPr>
        <w:t>Indeed</w:t>
      </w:r>
      <w:r>
        <w:rPr>
          <w:rFonts w:ascii="avenir-regular-class" w:hAnsi="avenir-regular-class"/>
          <w:color w:val="333333"/>
          <w:sz w:val="23"/>
          <w:szCs w:val="23"/>
          <w:shd w:val="clear" w:color="auto" w:fill="FBFBFB"/>
        </w:rPr>
        <w:t xml:space="preserve">, 11 March. Available at: </w:t>
      </w:r>
      <w:hyperlink r:id="rId23" w:history="1">
        <w:r w:rsidRPr="006E3B1D">
          <w:rPr>
            <w:rStyle w:val="Hyperlink"/>
            <w:rFonts w:ascii="avenir-regular-class" w:hAnsi="avenir-regular-class"/>
            <w:sz w:val="23"/>
            <w:szCs w:val="23"/>
            <w:shd w:val="clear" w:color="auto" w:fill="FBFBFB"/>
          </w:rPr>
          <w:t>https://www.indeed.com/career-advice/career-development/reard-employees</w:t>
        </w:r>
      </w:hyperlink>
      <w:r>
        <w:rPr>
          <w:rFonts w:ascii="avenir-regular-class" w:hAnsi="avenir-regular-class"/>
          <w:color w:val="333333"/>
          <w:sz w:val="23"/>
          <w:szCs w:val="23"/>
          <w:shd w:val="clear" w:color="auto" w:fill="FBFBFB"/>
        </w:rPr>
        <w:t xml:space="preserve">  (Accessed: 11 July 2023).</w:t>
      </w:r>
    </w:p>
    <w:p w:rsidR="00E57588" w:rsidRPr="00797AFD" w:rsidRDefault="00E57588" w:rsidP="008B2CB8">
      <w:pPr>
        <w:pStyle w:val="NoSpacing"/>
        <w:numPr>
          <w:ilvl w:val="0"/>
          <w:numId w:val="6"/>
        </w:numPr>
      </w:pPr>
      <w:r>
        <w:rPr>
          <w:rFonts w:ascii="avenir-regular-class" w:hAnsi="avenir-regular-class"/>
          <w:color w:val="333333"/>
          <w:sz w:val="23"/>
          <w:szCs w:val="23"/>
          <w:shd w:val="clear" w:color="auto" w:fill="FBFBFB"/>
        </w:rPr>
        <w:t>Indeed (2022) </w:t>
      </w:r>
      <w:r>
        <w:rPr>
          <w:rFonts w:ascii="avenir-regular-class" w:hAnsi="avenir-regular-class"/>
          <w:i/>
          <w:iCs/>
          <w:color w:val="333333"/>
          <w:sz w:val="23"/>
          <w:szCs w:val="23"/>
          <w:shd w:val="clear" w:color="auto" w:fill="FBFBFB"/>
        </w:rPr>
        <w:t>What is Total Reward (Definition, elements, pros and cons)</w:t>
      </w:r>
      <w:r>
        <w:rPr>
          <w:rFonts w:ascii="avenir-regular-class" w:hAnsi="avenir-regular-class"/>
          <w:color w:val="333333"/>
          <w:sz w:val="23"/>
          <w:szCs w:val="23"/>
          <w:shd w:val="clear" w:color="auto" w:fill="FBFBFB"/>
        </w:rPr>
        <w:t>. Available at: https://www.indeed.com/career-advice/career-development/what-is-total-reward (Accessed: 11 July 2023).</w:t>
      </w:r>
    </w:p>
    <w:p w:rsidR="00E57588" w:rsidRPr="0028148D" w:rsidRDefault="00E57588" w:rsidP="008B2CB8">
      <w:pPr>
        <w:pStyle w:val="NoSpacing"/>
        <w:numPr>
          <w:ilvl w:val="0"/>
          <w:numId w:val="6"/>
        </w:numPr>
      </w:pPr>
      <w:r>
        <w:rPr>
          <w:rFonts w:ascii="avenir-regular-class" w:hAnsi="avenir-regular-class"/>
          <w:color w:val="333333"/>
          <w:sz w:val="23"/>
          <w:szCs w:val="23"/>
          <w:shd w:val="clear" w:color="auto" w:fill="FBFBFB"/>
        </w:rPr>
        <w:t>Kim-Brunetti, J. (2022) 'What it takes to be a fair-pay workplace', </w:t>
      </w:r>
      <w:r>
        <w:rPr>
          <w:rFonts w:ascii="avenir-regular-class" w:hAnsi="avenir-regular-class"/>
          <w:i/>
          <w:iCs/>
          <w:color w:val="333333"/>
          <w:sz w:val="23"/>
          <w:szCs w:val="23"/>
          <w:shd w:val="clear" w:color="auto" w:fill="FBFBFB"/>
        </w:rPr>
        <w:t>Harvard Business Review</w:t>
      </w:r>
      <w:r>
        <w:rPr>
          <w:rFonts w:ascii="avenir-regular-class" w:hAnsi="avenir-regular-class"/>
          <w:color w:val="333333"/>
          <w:sz w:val="23"/>
          <w:szCs w:val="23"/>
          <w:shd w:val="clear" w:color="auto" w:fill="FBFBFB"/>
        </w:rPr>
        <w:t xml:space="preserve">, 12 December. Available at: </w:t>
      </w:r>
      <w:hyperlink r:id="rId24" w:history="1">
        <w:r w:rsidRPr="00B0200D">
          <w:rPr>
            <w:rStyle w:val="Hyperlink"/>
            <w:rFonts w:ascii="avenir-regular-class" w:hAnsi="avenir-regular-class"/>
            <w:sz w:val="23"/>
            <w:szCs w:val="23"/>
            <w:shd w:val="clear" w:color="auto" w:fill="FBFBFB"/>
          </w:rPr>
          <w:t>https://www.hbr.org/2022/12/what-it-takes-to-be-a-fair-pay-workplace</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 (Accessed: 16 July 2023).</w:t>
      </w:r>
    </w:p>
    <w:p w:rsidR="00E57588" w:rsidRPr="006E58B0" w:rsidRDefault="00E57588" w:rsidP="006E58B0">
      <w:pPr>
        <w:pStyle w:val="ListParagraph"/>
        <w:numPr>
          <w:ilvl w:val="0"/>
          <w:numId w:val="6"/>
        </w:numPr>
        <w:spacing w:after="0"/>
        <w:rPr>
          <w:b/>
        </w:rPr>
      </w:pPr>
      <w:r>
        <w:rPr>
          <w:rFonts w:ascii="avenir-regular-class" w:hAnsi="avenir-regular-class"/>
          <w:color w:val="333333"/>
          <w:sz w:val="23"/>
          <w:szCs w:val="23"/>
          <w:shd w:val="clear" w:color="auto" w:fill="FBFBFB"/>
        </w:rPr>
        <w:t xml:space="preserve">Landsberg, M. (2015) </w:t>
      </w:r>
      <w:r>
        <w:rPr>
          <w:rFonts w:ascii="avenir-regular-class" w:hAnsi="avenir-regular-class"/>
          <w:i/>
          <w:color w:val="333333"/>
          <w:sz w:val="23"/>
          <w:szCs w:val="23"/>
          <w:shd w:val="clear" w:color="auto" w:fill="FBFBFB"/>
        </w:rPr>
        <w:t xml:space="preserve">The Tao of Coaching. </w:t>
      </w:r>
      <w:r>
        <w:rPr>
          <w:rFonts w:ascii="avenir-regular-class" w:hAnsi="avenir-regular-class"/>
          <w:color w:val="333333"/>
          <w:sz w:val="23"/>
          <w:szCs w:val="23"/>
          <w:shd w:val="clear" w:color="auto" w:fill="FBFBFB"/>
        </w:rPr>
        <w:t xml:space="preserve">Available at: </w:t>
      </w:r>
      <w:hyperlink r:id="rId25" w:history="1">
        <w:r w:rsidRPr="00B0200D">
          <w:rPr>
            <w:rStyle w:val="Hyperlink"/>
            <w:rFonts w:ascii="avenir-regular-class" w:hAnsi="avenir-regular-class"/>
            <w:sz w:val="23"/>
            <w:szCs w:val="23"/>
            <w:shd w:val="clear" w:color="auto" w:fill="FBFBFB"/>
          </w:rPr>
          <w:t>https://r1.vlereader.com</w:t>
        </w:r>
      </w:hyperlink>
      <w:r>
        <w:rPr>
          <w:rFonts w:ascii="avenir-regular-class" w:hAnsi="avenir-regular-class"/>
          <w:color w:val="333333"/>
          <w:sz w:val="23"/>
          <w:szCs w:val="23"/>
          <w:shd w:val="clear" w:color="auto" w:fill="FBFBFB"/>
        </w:rPr>
        <w:t xml:space="preserve"> (Accessed: 12 July 2023). </w:t>
      </w:r>
    </w:p>
    <w:p w:rsidR="00E57588" w:rsidRPr="008B64A8" w:rsidRDefault="00E57588" w:rsidP="008B2CB8">
      <w:pPr>
        <w:pStyle w:val="NoSpacing"/>
        <w:numPr>
          <w:ilvl w:val="0"/>
          <w:numId w:val="6"/>
        </w:numPr>
      </w:pPr>
      <w:r>
        <w:rPr>
          <w:rFonts w:ascii="avenir-regular-class" w:hAnsi="avenir-regular-class"/>
          <w:color w:val="333333"/>
          <w:sz w:val="23"/>
          <w:szCs w:val="23"/>
          <w:shd w:val="clear" w:color="auto" w:fill="FBFBFB"/>
        </w:rPr>
        <w:t>LGE (no date) </w:t>
      </w:r>
      <w:r>
        <w:rPr>
          <w:rFonts w:ascii="avenir-regular-class" w:hAnsi="avenir-regular-class"/>
          <w:i/>
          <w:iCs/>
          <w:color w:val="333333"/>
          <w:sz w:val="23"/>
          <w:szCs w:val="23"/>
          <w:shd w:val="clear" w:color="auto" w:fill="FBFBFB"/>
        </w:rPr>
        <w:t>What are the benefits of a total reward approach.</w:t>
      </w:r>
      <w:r>
        <w:rPr>
          <w:rFonts w:ascii="avenir-regular-class" w:hAnsi="avenir-regular-class"/>
          <w:color w:val="333333"/>
          <w:sz w:val="23"/>
          <w:szCs w:val="23"/>
          <w:shd w:val="clear" w:color="auto" w:fill="FBFBFB"/>
        </w:rPr>
        <w:t xml:space="preserve"> Available at: </w:t>
      </w:r>
      <w:hyperlink r:id="rId26" w:history="1">
        <w:r w:rsidRPr="00B0200D">
          <w:rPr>
            <w:rStyle w:val="Hyperlink"/>
            <w:rFonts w:ascii="avenir-regular-class" w:hAnsi="avenir-regular-class"/>
            <w:sz w:val="23"/>
            <w:szCs w:val="23"/>
            <w:shd w:val="clear" w:color="auto" w:fill="FBFBFB"/>
          </w:rPr>
          <w:t>https://www.local.gov.uk/sites/default/files/documents/total-reward-9bf.pdf</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12 July 2023).</w:t>
      </w:r>
    </w:p>
    <w:p w:rsidR="00E57588" w:rsidRPr="005F1E27" w:rsidRDefault="00E57588" w:rsidP="008B2CB8">
      <w:pPr>
        <w:pStyle w:val="NoSpacing"/>
        <w:numPr>
          <w:ilvl w:val="0"/>
          <w:numId w:val="6"/>
        </w:numPr>
      </w:pPr>
      <w:r>
        <w:rPr>
          <w:rFonts w:ascii="avenir-regular-class" w:hAnsi="avenir-regular-class"/>
          <w:color w:val="333333"/>
          <w:sz w:val="23"/>
          <w:szCs w:val="23"/>
          <w:shd w:val="clear" w:color="auto" w:fill="FBFBFB"/>
        </w:rPr>
        <w:t>Pritchard, R. and Diazgranados, D. (2023) </w:t>
      </w:r>
      <w:r>
        <w:rPr>
          <w:rFonts w:ascii="avenir-regular-class" w:hAnsi="avenir-regular-class"/>
          <w:i/>
          <w:iCs/>
          <w:color w:val="333333"/>
          <w:sz w:val="23"/>
          <w:szCs w:val="23"/>
          <w:shd w:val="clear" w:color="auto" w:fill="FBFBFB"/>
        </w:rPr>
        <w:t>Performance Management Systems: A Global Perspective</w:t>
      </w:r>
      <w:r>
        <w:rPr>
          <w:rFonts w:ascii="avenir-regular-class" w:hAnsi="avenir-regular-class"/>
          <w:color w:val="333333"/>
          <w:sz w:val="23"/>
          <w:szCs w:val="23"/>
          <w:shd w:val="clear" w:color="auto" w:fill="FBFBFB"/>
        </w:rPr>
        <w:t xml:space="preserve">. Available at: </w:t>
      </w:r>
      <w:hyperlink r:id="rId27" w:history="1">
        <w:r w:rsidRPr="006E3B1D">
          <w:rPr>
            <w:rStyle w:val="Hyperlink"/>
            <w:rFonts w:ascii="avenir-regular-class" w:hAnsi="avenir-regular-class"/>
            <w:sz w:val="23"/>
            <w:szCs w:val="23"/>
            <w:shd w:val="clear" w:color="auto" w:fill="FBFBFB"/>
          </w:rPr>
          <w:t>https://books.google.co.uk/books?hl=en&amp;lr</w:t>
        </w:r>
      </w:hyperlink>
      <w:r>
        <w:rPr>
          <w:rFonts w:ascii="avenir-regular-class" w:hAnsi="avenir-regular-class"/>
          <w:color w:val="333333"/>
          <w:sz w:val="23"/>
          <w:szCs w:val="23"/>
          <w:shd w:val="clear" w:color="auto" w:fill="FBFBFB"/>
        </w:rPr>
        <w:t xml:space="preserve"> (Accessed 8 July 2023)</w:t>
      </w:r>
    </w:p>
    <w:p w:rsidR="00E57588" w:rsidRPr="008B2CB8" w:rsidRDefault="00E57588" w:rsidP="008B2CB8">
      <w:pPr>
        <w:pStyle w:val="NoSpacing"/>
        <w:numPr>
          <w:ilvl w:val="0"/>
          <w:numId w:val="6"/>
        </w:numPr>
        <w:rPr>
          <w:rFonts w:ascii="Times New Roman" w:hAnsi="Times New Roman"/>
          <w:sz w:val="24"/>
        </w:rPr>
      </w:pPr>
      <w:r>
        <w:rPr>
          <w:shd w:val="clear" w:color="auto" w:fill="FBFBFB"/>
        </w:rPr>
        <w:t>Tardi, C. (2022) 'Performance management: Definition, How it works and Examples of programs', </w:t>
      </w:r>
      <w:r>
        <w:rPr>
          <w:i/>
          <w:iCs/>
          <w:shd w:val="clear" w:color="auto" w:fill="FBFBFB"/>
        </w:rPr>
        <w:t>Investopedia</w:t>
      </w:r>
      <w:r>
        <w:rPr>
          <w:shd w:val="clear" w:color="auto" w:fill="FBFBFB"/>
        </w:rPr>
        <w:t xml:space="preserve">, 26 April. Available at: </w:t>
      </w:r>
      <w:hyperlink r:id="rId28" w:history="1">
        <w:r w:rsidRPr="006E3B1D">
          <w:rPr>
            <w:rStyle w:val="Hyperlink"/>
            <w:rFonts w:ascii="avenir-regular-class" w:hAnsi="avenir-regular-class"/>
            <w:sz w:val="23"/>
            <w:szCs w:val="23"/>
            <w:shd w:val="clear" w:color="auto" w:fill="FBFBFB"/>
          </w:rPr>
          <w:t>https://www.investopiedia.com/terms/p/performance-management.asp</w:t>
        </w:r>
      </w:hyperlink>
      <w:r>
        <w:rPr>
          <w:shd w:val="clear" w:color="auto" w:fill="FBFBFB"/>
        </w:rPr>
        <w:t xml:space="preserve"> (Accessed: 7 July 2023).</w:t>
      </w:r>
    </w:p>
    <w:p w:rsidR="00E57588" w:rsidRPr="000524E7" w:rsidRDefault="00E57588" w:rsidP="008B2CB8">
      <w:pPr>
        <w:pStyle w:val="NoSpacing"/>
        <w:numPr>
          <w:ilvl w:val="0"/>
          <w:numId w:val="6"/>
        </w:numPr>
      </w:pPr>
      <w:r>
        <w:rPr>
          <w:rFonts w:ascii="avenir-regular-class" w:hAnsi="avenir-regular-class"/>
          <w:color w:val="333333"/>
          <w:sz w:val="23"/>
          <w:szCs w:val="23"/>
          <w:shd w:val="clear" w:color="auto" w:fill="FBFBFB"/>
        </w:rPr>
        <w:t>Urquhart, J. (2022) 'Employees are three times more engaged when they feel supported by managers, study shows', </w:t>
      </w:r>
      <w:r>
        <w:rPr>
          <w:rFonts w:ascii="avenir-regular-class" w:hAnsi="avenir-regular-class"/>
          <w:i/>
          <w:iCs/>
          <w:color w:val="333333"/>
          <w:sz w:val="23"/>
          <w:szCs w:val="23"/>
          <w:shd w:val="clear" w:color="auto" w:fill="FBFBFB"/>
        </w:rPr>
        <w:t>People Management</w:t>
      </w:r>
      <w:r>
        <w:rPr>
          <w:rFonts w:ascii="avenir-regular-class" w:hAnsi="avenir-regular-class"/>
          <w:color w:val="333333"/>
          <w:sz w:val="23"/>
          <w:szCs w:val="23"/>
          <w:shd w:val="clear" w:color="auto" w:fill="FBFBFB"/>
        </w:rPr>
        <w:t xml:space="preserve">, 23 November. Available at: </w:t>
      </w:r>
      <w:hyperlink r:id="rId29" w:history="1">
        <w:r w:rsidRPr="006E3B1D">
          <w:rPr>
            <w:rStyle w:val="Hyperlink"/>
            <w:rFonts w:ascii="avenir-regular-class" w:hAnsi="avenir-regular-class"/>
            <w:sz w:val="23"/>
            <w:szCs w:val="23"/>
            <w:shd w:val="clear" w:color="auto" w:fill="FBFBFB"/>
          </w:rPr>
          <w:t>https://www.peoplemanagement.co.uk/article/1806097/</w:t>
        </w:r>
      </w:hyperlink>
      <w:r>
        <w:rPr>
          <w:rFonts w:ascii="avenir-regular-class" w:hAnsi="avenir-regular-class"/>
          <w:color w:val="333333"/>
          <w:sz w:val="23"/>
          <w:szCs w:val="23"/>
          <w:shd w:val="clear" w:color="auto" w:fill="FBFBFB"/>
        </w:rPr>
        <w:t xml:space="preserve"> (Accessed: 9 July 2023).</w:t>
      </w:r>
    </w:p>
    <w:p w:rsidR="00E57588" w:rsidRPr="006C786E" w:rsidRDefault="00E57588" w:rsidP="006E58B0">
      <w:pPr>
        <w:pStyle w:val="ListParagraph"/>
        <w:numPr>
          <w:ilvl w:val="0"/>
          <w:numId w:val="6"/>
        </w:numPr>
        <w:spacing w:after="0"/>
        <w:rPr>
          <w:b/>
        </w:rPr>
      </w:pPr>
      <w:r>
        <w:rPr>
          <w:rFonts w:ascii="avenir-regular-class" w:hAnsi="avenir-regular-class"/>
          <w:color w:val="333333"/>
          <w:sz w:val="23"/>
          <w:szCs w:val="23"/>
          <w:shd w:val="clear" w:color="auto" w:fill="FBFBFB"/>
        </w:rPr>
        <w:t>Waite, K. et al. (2021) </w:t>
      </w:r>
      <w:r>
        <w:rPr>
          <w:rFonts w:ascii="avenir-regular-class" w:hAnsi="avenir-regular-class"/>
          <w:i/>
          <w:iCs/>
          <w:color w:val="333333"/>
          <w:sz w:val="23"/>
          <w:szCs w:val="23"/>
          <w:shd w:val="clear" w:color="auto" w:fill="FBFBFB"/>
        </w:rPr>
        <w:t>People Practice: A Complete Guide</w:t>
      </w:r>
      <w:r>
        <w:rPr>
          <w:rFonts w:ascii="avenir-regular-class" w:hAnsi="avenir-regular-class"/>
          <w:color w:val="333333"/>
          <w:sz w:val="23"/>
          <w:szCs w:val="23"/>
          <w:shd w:val="clear" w:color="auto" w:fill="FBFBFB"/>
        </w:rPr>
        <w:t>. Great Britain and United States: Kogan Page Limited. </w:t>
      </w:r>
    </w:p>
    <w:p w:rsidR="003E5BD0" w:rsidRDefault="003E5BD0" w:rsidP="004B4D50">
      <w:pPr>
        <w:pStyle w:val="NormalWeb"/>
        <w:spacing w:before="0" w:beforeAutospacing="0" w:after="375" w:afterAutospacing="0"/>
        <w:textAlignment w:val="baseline"/>
      </w:pPr>
    </w:p>
    <w:p w:rsidR="00F91A1B" w:rsidRPr="007A46C9" w:rsidRDefault="00F91A1B" w:rsidP="007A419E">
      <w:pPr>
        <w:rPr>
          <w:rFonts w:eastAsiaTheme="minorHAnsi"/>
          <w:sz w:val="22"/>
          <w:szCs w:val="24"/>
        </w:rPr>
      </w:pPr>
    </w:p>
    <w:sectPr w:rsidR="00F91A1B" w:rsidRPr="007A46C9" w:rsidSect="00D300CC">
      <w:headerReference w:type="default" r:id="rId30"/>
      <w:footerReference w:type="default" r:id="rId3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8B3" w:rsidRDefault="00FE58B3" w:rsidP="00D300CC">
      <w:pPr>
        <w:spacing w:after="0" w:line="240" w:lineRule="auto"/>
      </w:pPr>
      <w:r>
        <w:separator/>
      </w:r>
    </w:p>
  </w:endnote>
  <w:endnote w:type="continuationSeparator" w:id="0">
    <w:p w:rsidR="00FE58B3" w:rsidRDefault="00FE58B3" w:rsidP="00D30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venir-regular-class">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Engravers MT">
    <w:panose1 w:val="0209070708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79"/>
      <w:gridCol w:w="4867"/>
    </w:tblGrid>
    <w:tr w:rsidR="00D300CC">
      <w:trPr>
        <w:trHeight w:hRule="exact" w:val="115"/>
        <w:jc w:val="center"/>
      </w:trPr>
      <w:tc>
        <w:tcPr>
          <w:tcW w:w="4686" w:type="dxa"/>
          <w:shd w:val="clear" w:color="auto" w:fill="B31166" w:themeFill="accent1"/>
          <w:tcMar>
            <w:top w:w="0" w:type="dxa"/>
            <w:bottom w:w="0" w:type="dxa"/>
          </w:tcMar>
        </w:tcPr>
        <w:p w:rsidR="00D300CC" w:rsidRDefault="00D300CC">
          <w:pPr>
            <w:pStyle w:val="Header"/>
            <w:rPr>
              <w:caps/>
              <w:sz w:val="18"/>
            </w:rPr>
          </w:pPr>
        </w:p>
      </w:tc>
      <w:tc>
        <w:tcPr>
          <w:tcW w:w="4674" w:type="dxa"/>
          <w:shd w:val="clear" w:color="auto" w:fill="B31166" w:themeFill="accent1"/>
          <w:tcMar>
            <w:top w:w="0" w:type="dxa"/>
            <w:bottom w:w="0" w:type="dxa"/>
          </w:tcMar>
        </w:tcPr>
        <w:p w:rsidR="00D300CC" w:rsidRDefault="00D300CC">
          <w:pPr>
            <w:pStyle w:val="Header"/>
            <w:jc w:val="right"/>
            <w:rPr>
              <w:caps/>
              <w:sz w:val="18"/>
            </w:rPr>
          </w:pPr>
        </w:p>
      </w:tc>
    </w:tr>
    <w:tr w:rsidR="00D300CC">
      <w:trPr>
        <w:jc w:val="center"/>
      </w:trPr>
      <w:sdt>
        <w:sdtPr>
          <w:rPr>
            <w:rFonts w:ascii="Arial" w:eastAsiaTheme="minorHAnsi" w:hAnsi="Arial"/>
            <w:sz w:val="22"/>
            <w:szCs w:val="24"/>
          </w:rPr>
          <w:alias w:val="Author"/>
          <w:tag w:val=""/>
          <w:id w:val="1534151868"/>
          <w:placeholder>
            <w:docPart w:val="DF97C251963144EA999244F79DD2B282"/>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D300CC" w:rsidRDefault="00331BFF">
              <w:pPr>
                <w:pStyle w:val="Footer"/>
                <w:rPr>
                  <w:caps/>
                  <w:color w:val="808080" w:themeColor="background1" w:themeShade="80"/>
                  <w:sz w:val="18"/>
                  <w:szCs w:val="18"/>
                </w:rPr>
              </w:pPr>
              <w:r w:rsidRPr="00331BFF">
                <w:rPr>
                  <w:rFonts w:ascii="Arial" w:eastAsiaTheme="minorHAnsi" w:hAnsi="Arial"/>
                  <w:sz w:val="22"/>
                  <w:szCs w:val="24"/>
                </w:rPr>
                <w:t>Jolanta Kaln</w:t>
              </w:r>
              <w:r>
                <w:rPr>
                  <w:rFonts w:ascii="Arial" w:eastAsiaTheme="minorHAnsi" w:hAnsi="Arial"/>
                  <w:sz w:val="22"/>
                  <w:szCs w:val="24"/>
                </w:rPr>
                <w:t xml:space="preserve">ina 1801540     Word Count: </w:t>
              </w:r>
              <w:r w:rsidR="00A064A2">
                <w:rPr>
                  <w:rFonts w:ascii="Arial" w:eastAsiaTheme="minorHAnsi" w:hAnsi="Arial"/>
                  <w:sz w:val="22"/>
                  <w:szCs w:val="24"/>
                </w:rPr>
                <w:t>1,55</w:t>
              </w:r>
              <w:r w:rsidR="002C1B01">
                <w:rPr>
                  <w:rFonts w:ascii="Arial" w:eastAsiaTheme="minorHAnsi" w:hAnsi="Arial"/>
                  <w:sz w:val="22"/>
                  <w:szCs w:val="24"/>
                </w:rPr>
                <w:t>8</w:t>
              </w:r>
            </w:p>
          </w:tc>
        </w:sdtContent>
      </w:sdt>
      <w:tc>
        <w:tcPr>
          <w:tcW w:w="4674" w:type="dxa"/>
          <w:shd w:val="clear" w:color="auto" w:fill="auto"/>
          <w:vAlign w:val="center"/>
        </w:tcPr>
        <w:p w:rsidR="00D300CC" w:rsidRDefault="00D300CC">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5C5BA0">
            <w:rPr>
              <w:caps/>
              <w:noProof/>
              <w:color w:val="808080" w:themeColor="background1" w:themeShade="80"/>
              <w:sz w:val="18"/>
              <w:szCs w:val="18"/>
            </w:rPr>
            <w:t>1</w:t>
          </w:r>
          <w:r>
            <w:rPr>
              <w:caps/>
              <w:noProof/>
              <w:color w:val="808080" w:themeColor="background1" w:themeShade="80"/>
              <w:sz w:val="18"/>
              <w:szCs w:val="18"/>
            </w:rPr>
            <w:fldChar w:fldCharType="end"/>
          </w:r>
        </w:p>
      </w:tc>
    </w:tr>
  </w:tbl>
  <w:p w:rsidR="00D300CC" w:rsidRDefault="00D30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8B3" w:rsidRDefault="00FE58B3" w:rsidP="00D300CC">
      <w:pPr>
        <w:spacing w:after="0" w:line="240" w:lineRule="auto"/>
      </w:pPr>
      <w:r>
        <w:separator/>
      </w:r>
    </w:p>
  </w:footnote>
  <w:footnote w:type="continuationSeparator" w:id="0">
    <w:p w:rsidR="00FE58B3" w:rsidRDefault="00FE58B3" w:rsidP="00D300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0CC" w:rsidRPr="002A4699" w:rsidRDefault="00D300CC" w:rsidP="00D300CC">
    <w:pPr>
      <w:pStyle w:val="Header"/>
      <w:rPr>
        <w:noProof/>
        <w:color w:val="EE52A4" w:themeColor="accent1" w:themeTint="99"/>
        <w:sz w:val="24"/>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caps/>
        <w:noProof/>
        <w:color w:val="808080" w:themeColor="background1" w:themeShade="80"/>
        <w:sz w:val="20"/>
        <w:szCs w:val="20"/>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0CC" w:rsidRDefault="00D300C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5C5BA0" w:rsidRPr="005C5BA0">
                              <w:rPr>
                                <w:noProof/>
                                <w:color w:val="FFFFFF" w:themeColor="background1"/>
                                <w:sz w:val="24"/>
                              </w:rPr>
                              <w:t>1</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72RxQAAANwAAAAPAAAAZHJzL2Rvd25yZXYueG1sRI9BawIx&#10;EIXvhf6HMAVvNWuLsmyNIoVCeymoPbS3YTPuLm4mIcnq2l/vHARvM7w3732zXI+uVyeKqfNsYDYt&#10;QBHX3nbcGPjZfzyXoFJGtth7JgMXSrBePT4ssbL+zFs67XKjJIRThQbanEOldapbcpimPhCLdvDR&#10;YZY1NtpGPEu46/VLUSy0w46locVA7y3Vx93gDPx/d1RuhtfZVxiKvowY5n+/wZjJ07h5A5VpzHfz&#10;7frTCv5C8OUZmUCvrgAAAP//AwBQSwECLQAUAAYACAAAACEA2+H2y+4AAACFAQAAEwAAAAAAAAAA&#10;AAAAAAAAAAAAW0NvbnRlbnRfVHlwZXNdLnhtbFBLAQItABQABgAIAAAAIQBa9CxbvwAAABUBAAAL&#10;AAAAAAAAAAAAAAAAAB8BAABfcmVscy8ucmVsc1BLAQItABQABgAIAAAAIQD7672RxQAAANwAAAAP&#10;AAAAAAAAAAAAAAAAAAcCAABkcnMvZG93bnJldi54bWxQSwUGAAAAAAMAAwC3AAAA+QIAAAAA&#10;" fillcolor="white [3212]" stroked="f" strokeweight="1.5pt">
                  <v:fill opacity="0"/>
                  <v:stroke endcap="round"/>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RXfwgAAANwAAAAPAAAAZHJzL2Rvd25yZXYueG1sRE/fa8Iw&#10;EH4f+D+EE/YyZmoYMqpR3GSwPY1WfT+asyk2l9JEW//7RRD2dh/fz1ttRteKK/Wh8axhPstAEFfe&#10;NFxrOOy/Xt9BhIhssPVMGm4UYLOePK0wN37ggq5lrEUK4ZCjBhtjl0sZKksOw8x3xIk7+d5hTLCv&#10;pelxSOGulSrLFtJhw6nBYkeflqpzeXEajorfbkqVH7/F8Ue9FHZ7PuwGrZ+n43YJItIY/8UP97dJ&#10;8xdzuD+TLpDrPwAAAP//AwBQSwECLQAUAAYACAAAACEA2+H2y+4AAACFAQAAEwAAAAAAAAAAAAAA&#10;AAAAAAAAW0NvbnRlbnRfVHlwZXNdLnhtbFBLAQItABQABgAIAAAAIQBa9CxbvwAAABUBAAALAAAA&#10;AAAAAAAAAAAAAB8BAABfcmVscy8ucmVsc1BLAQItABQABgAIAAAAIQArIRXfwgAAANwAAAAPAAAA&#10;AAAAAAAAAAAAAAcCAABkcnMvZG93bnJldi54bWxQSwUGAAAAAAMAAwC3AAAA9gIAAAAA&#10;" path="m,l1462822,,910372,376306,,1014481,,xe" fillcolor="#b31166 [3204]" stroked="f" strokeweight="1.5pt">
                  <v:stroke endcap="round"/>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b/gwwAAANwAAAAPAAAAZHJzL2Rvd25yZXYueG1sRE9Na8JA&#10;EL0L/Q/LFHopujEUkegqJSgt6aXG4HnIjkma7GzIbk3677uFgrd5vM/Z7ifTiRsNrrGsYLmIQBCX&#10;VjdcKSjOx/kahPPIGjvLpOCHHOx3D7MtJtqOfKJb7isRQtglqKD2vk+kdGVNBt3C9sSBu9rBoA9w&#10;qKQecAzhppNxFK2kwYZDQ409pTWVbf5tFGTUfGTxy7N7y7/ssv3sikufHpR6epxeNyA8Tf4u/ne/&#10;6zB/FcPfM+ECufsFAAD//wMAUEsBAi0AFAAGAAgAAAAhANvh9svuAAAAhQEAABMAAAAAAAAAAAAA&#10;AAAAAAAAAFtDb250ZW50X1R5cGVzXS54bWxQSwECLQAUAAYACAAAACEAWvQsW78AAAAVAQAACwAA&#10;AAAAAAAAAAAAAAAfAQAAX3JlbHMvLnJlbHNQSwECLQAUAAYACAAAACEAT92/4MMAAADcAAAADwAA&#10;AAAAAAAAAAAAAAAHAgAAZHJzL2Rvd25yZXYueG1sUEsFBgAAAAADAAMAtwAAAPcCAAAAAA==&#10;" stroked="f" strokeweight="1.5pt">
                  <v:fill r:id="rId2" o:title="" recolor="t" rotate="t" type="frame"/>
                  <v:stroke endcap="round"/>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D300CC" w:rsidRDefault="00D300C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5C5BA0" w:rsidRPr="005C5BA0">
                        <w:rPr>
                          <w:noProof/>
                          <w:color w:val="FFFFFF" w:themeColor="background1"/>
                          <w:sz w:val="24"/>
                        </w:rPr>
                        <w:t>1</w:t>
                      </w:r>
                      <w:r>
                        <w:rPr>
                          <w:noProof/>
                          <w:color w:val="FFFFFF" w:themeColor="background1"/>
                          <w:sz w:val="24"/>
                          <w:szCs w:val="24"/>
                        </w:rPr>
                        <w:fldChar w:fldCharType="end"/>
                      </w:r>
                    </w:p>
                  </w:txbxContent>
                </v:textbox>
              </v:shape>
              <w10:wrap anchorx="page" anchory="page"/>
            </v:group>
          </w:pict>
        </mc:Fallback>
      </mc:AlternateContent>
    </w:r>
    <w:r>
      <w:t xml:space="preserve">                           </w:t>
    </w:r>
    <w:r w:rsidRPr="002A4699">
      <w:rPr>
        <w:rFonts w:ascii="Engravers MT" w:hAnsi="Engravers MT"/>
        <w:color w:val="EE52A4" w:themeColor="accent1" w:themeTint="99"/>
        <w:sz w:val="3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HEALTHCARE on Hand</w:t>
    </w:r>
  </w:p>
  <w:p w:rsidR="00D300CC" w:rsidRDefault="00D30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B31166"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322404"/>
    <w:multiLevelType w:val="multilevel"/>
    <w:tmpl w:val="B06C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8D0BD5"/>
    <w:multiLevelType w:val="hybridMultilevel"/>
    <w:tmpl w:val="1B96A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A02A5"/>
    <w:multiLevelType w:val="hybridMultilevel"/>
    <w:tmpl w:val="66EE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134034"/>
    <w:multiLevelType w:val="multilevel"/>
    <w:tmpl w:val="B5E2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F568F5"/>
    <w:multiLevelType w:val="hybridMultilevel"/>
    <w:tmpl w:val="8BF6F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7F2533"/>
    <w:multiLevelType w:val="hybridMultilevel"/>
    <w:tmpl w:val="D04C85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164"/>
    <w:rsid w:val="00032E82"/>
    <w:rsid w:val="000524E7"/>
    <w:rsid w:val="000658D3"/>
    <w:rsid w:val="00070A51"/>
    <w:rsid w:val="000761C8"/>
    <w:rsid w:val="000A1435"/>
    <w:rsid w:val="00126EF5"/>
    <w:rsid w:val="00133BE2"/>
    <w:rsid w:val="00160DB6"/>
    <w:rsid w:val="0016391B"/>
    <w:rsid w:val="00183758"/>
    <w:rsid w:val="001A428E"/>
    <w:rsid w:val="001A5B3B"/>
    <w:rsid w:val="001C13FB"/>
    <w:rsid w:val="00223CA0"/>
    <w:rsid w:val="00261A75"/>
    <w:rsid w:val="0028148D"/>
    <w:rsid w:val="002C1B01"/>
    <w:rsid w:val="002C2C87"/>
    <w:rsid w:val="002D3630"/>
    <w:rsid w:val="002E0EA7"/>
    <w:rsid w:val="002F1A74"/>
    <w:rsid w:val="00331BFF"/>
    <w:rsid w:val="00334DF7"/>
    <w:rsid w:val="00363CC2"/>
    <w:rsid w:val="00366033"/>
    <w:rsid w:val="003A04D2"/>
    <w:rsid w:val="003D2F50"/>
    <w:rsid w:val="003E4324"/>
    <w:rsid w:val="003E5BD0"/>
    <w:rsid w:val="0041764E"/>
    <w:rsid w:val="00431963"/>
    <w:rsid w:val="00491035"/>
    <w:rsid w:val="00494169"/>
    <w:rsid w:val="004A694A"/>
    <w:rsid w:val="004B4D50"/>
    <w:rsid w:val="004C2DCA"/>
    <w:rsid w:val="004C3565"/>
    <w:rsid w:val="0052435B"/>
    <w:rsid w:val="00531AE6"/>
    <w:rsid w:val="0056381F"/>
    <w:rsid w:val="00577D36"/>
    <w:rsid w:val="005A60C8"/>
    <w:rsid w:val="005C5BA0"/>
    <w:rsid w:val="005F1E27"/>
    <w:rsid w:val="005F28FE"/>
    <w:rsid w:val="0061741D"/>
    <w:rsid w:val="00623705"/>
    <w:rsid w:val="00665397"/>
    <w:rsid w:val="0067457B"/>
    <w:rsid w:val="0068116A"/>
    <w:rsid w:val="006817FB"/>
    <w:rsid w:val="00696AA4"/>
    <w:rsid w:val="006A40DF"/>
    <w:rsid w:val="006B3C7E"/>
    <w:rsid w:val="006C786E"/>
    <w:rsid w:val="006E58B0"/>
    <w:rsid w:val="006F0164"/>
    <w:rsid w:val="006F49AF"/>
    <w:rsid w:val="00704865"/>
    <w:rsid w:val="0073052E"/>
    <w:rsid w:val="00735B94"/>
    <w:rsid w:val="00744C97"/>
    <w:rsid w:val="00746051"/>
    <w:rsid w:val="00750937"/>
    <w:rsid w:val="00775408"/>
    <w:rsid w:val="00783984"/>
    <w:rsid w:val="00797AFD"/>
    <w:rsid w:val="007A419E"/>
    <w:rsid w:val="007A46C9"/>
    <w:rsid w:val="007A6D14"/>
    <w:rsid w:val="007D0BE9"/>
    <w:rsid w:val="008B2CB8"/>
    <w:rsid w:val="008B64A8"/>
    <w:rsid w:val="008C186F"/>
    <w:rsid w:val="00907152"/>
    <w:rsid w:val="00915769"/>
    <w:rsid w:val="0092194D"/>
    <w:rsid w:val="0093529B"/>
    <w:rsid w:val="00937709"/>
    <w:rsid w:val="00952592"/>
    <w:rsid w:val="009544E7"/>
    <w:rsid w:val="0097123B"/>
    <w:rsid w:val="00975B79"/>
    <w:rsid w:val="009A1981"/>
    <w:rsid w:val="009C4ABA"/>
    <w:rsid w:val="009D1B47"/>
    <w:rsid w:val="009F0D5C"/>
    <w:rsid w:val="00A064A2"/>
    <w:rsid w:val="00A30646"/>
    <w:rsid w:val="00A378C4"/>
    <w:rsid w:val="00A66364"/>
    <w:rsid w:val="00A77C97"/>
    <w:rsid w:val="00AA13C4"/>
    <w:rsid w:val="00AA6164"/>
    <w:rsid w:val="00AD5678"/>
    <w:rsid w:val="00AF2A0D"/>
    <w:rsid w:val="00B036CC"/>
    <w:rsid w:val="00B34A0A"/>
    <w:rsid w:val="00B61DDA"/>
    <w:rsid w:val="00BA6FF6"/>
    <w:rsid w:val="00BD5403"/>
    <w:rsid w:val="00C11CD3"/>
    <w:rsid w:val="00C205EB"/>
    <w:rsid w:val="00C262C7"/>
    <w:rsid w:val="00C277B1"/>
    <w:rsid w:val="00C4565A"/>
    <w:rsid w:val="00C47669"/>
    <w:rsid w:val="00C61AE5"/>
    <w:rsid w:val="00C65753"/>
    <w:rsid w:val="00C971DF"/>
    <w:rsid w:val="00CC176A"/>
    <w:rsid w:val="00CD7C32"/>
    <w:rsid w:val="00D125CC"/>
    <w:rsid w:val="00D13C07"/>
    <w:rsid w:val="00D300CC"/>
    <w:rsid w:val="00DA2536"/>
    <w:rsid w:val="00DD7EB3"/>
    <w:rsid w:val="00DE4856"/>
    <w:rsid w:val="00E05A70"/>
    <w:rsid w:val="00E07F4A"/>
    <w:rsid w:val="00E30CF0"/>
    <w:rsid w:val="00E46356"/>
    <w:rsid w:val="00E57588"/>
    <w:rsid w:val="00E6043F"/>
    <w:rsid w:val="00E64AB9"/>
    <w:rsid w:val="00E65C96"/>
    <w:rsid w:val="00E6743E"/>
    <w:rsid w:val="00E83277"/>
    <w:rsid w:val="00E865DB"/>
    <w:rsid w:val="00EC4942"/>
    <w:rsid w:val="00ED02B6"/>
    <w:rsid w:val="00F0433F"/>
    <w:rsid w:val="00F24F56"/>
    <w:rsid w:val="00F8792D"/>
    <w:rsid w:val="00F91A1B"/>
    <w:rsid w:val="00FB5017"/>
    <w:rsid w:val="00FE5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5824C"/>
  <w15:chartTrackingRefBased/>
  <w15:docId w15:val="{D0E891A5-6F02-40E2-9562-DF5767B5A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0CC"/>
  </w:style>
  <w:style w:type="paragraph" w:styleId="Heading1">
    <w:name w:val="heading 1"/>
    <w:basedOn w:val="Normal"/>
    <w:next w:val="Normal"/>
    <w:link w:val="Heading1Char"/>
    <w:uiPriority w:val="9"/>
    <w:qFormat/>
    <w:rsid w:val="00D300CC"/>
    <w:pPr>
      <w:keepNext/>
      <w:keepLines/>
      <w:pBdr>
        <w:bottom w:val="single" w:sz="4" w:space="1" w:color="B31166" w:themeColor="accent1"/>
      </w:pBdr>
      <w:spacing w:before="400" w:after="40" w:line="240" w:lineRule="auto"/>
      <w:outlineLvl w:val="0"/>
    </w:pPr>
    <w:rPr>
      <w:rFonts w:asciiTheme="majorHAnsi" w:eastAsiaTheme="majorEastAsia" w:hAnsiTheme="majorHAnsi" w:cstheme="majorBidi"/>
      <w:color w:val="850C4B" w:themeColor="accent1" w:themeShade="BF"/>
      <w:sz w:val="36"/>
      <w:szCs w:val="36"/>
    </w:rPr>
  </w:style>
  <w:style w:type="paragraph" w:styleId="Heading2">
    <w:name w:val="heading 2"/>
    <w:basedOn w:val="Normal"/>
    <w:next w:val="Normal"/>
    <w:link w:val="Heading2Char"/>
    <w:uiPriority w:val="9"/>
    <w:unhideWhenUsed/>
    <w:qFormat/>
    <w:rsid w:val="00D300CC"/>
    <w:pPr>
      <w:keepNext/>
      <w:keepLines/>
      <w:spacing w:before="160" w:after="0" w:line="240" w:lineRule="auto"/>
      <w:outlineLvl w:val="1"/>
    </w:pPr>
    <w:rPr>
      <w:rFonts w:asciiTheme="majorHAnsi" w:eastAsiaTheme="majorEastAsia" w:hAnsiTheme="majorHAnsi" w:cstheme="majorBidi"/>
      <w:color w:val="850C4B" w:themeColor="accent1" w:themeShade="BF"/>
      <w:sz w:val="28"/>
      <w:szCs w:val="28"/>
    </w:rPr>
  </w:style>
  <w:style w:type="paragraph" w:styleId="Heading3">
    <w:name w:val="heading 3"/>
    <w:basedOn w:val="Normal"/>
    <w:next w:val="Normal"/>
    <w:link w:val="Heading3Char"/>
    <w:uiPriority w:val="9"/>
    <w:semiHidden/>
    <w:unhideWhenUsed/>
    <w:qFormat/>
    <w:rsid w:val="00D300C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D300C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D300C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D300C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D300C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D300C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D300C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0CC"/>
    <w:rPr>
      <w:rFonts w:asciiTheme="majorHAnsi" w:eastAsiaTheme="majorEastAsia" w:hAnsiTheme="majorHAnsi" w:cstheme="majorBidi"/>
      <w:color w:val="850C4B" w:themeColor="accent1" w:themeShade="BF"/>
      <w:sz w:val="36"/>
      <w:szCs w:val="36"/>
    </w:rPr>
  </w:style>
  <w:style w:type="character" w:customStyle="1" w:styleId="Heading2Char">
    <w:name w:val="Heading 2 Char"/>
    <w:basedOn w:val="DefaultParagraphFont"/>
    <w:link w:val="Heading2"/>
    <w:uiPriority w:val="9"/>
    <w:rsid w:val="00D300CC"/>
    <w:rPr>
      <w:rFonts w:asciiTheme="majorHAnsi" w:eastAsiaTheme="majorEastAsia" w:hAnsiTheme="majorHAnsi" w:cstheme="majorBidi"/>
      <w:color w:val="850C4B" w:themeColor="accent1" w:themeShade="BF"/>
      <w:sz w:val="28"/>
      <w:szCs w:val="28"/>
    </w:rPr>
  </w:style>
  <w:style w:type="paragraph" w:customStyle="1" w:styleId="Nornal">
    <w:name w:val="Nornal"/>
    <w:basedOn w:val="Normal"/>
    <w:link w:val="NornalChar"/>
    <w:rsid w:val="006F0164"/>
    <w:pPr>
      <w:spacing w:after="160"/>
    </w:pPr>
    <w:rPr>
      <w:rFonts w:cs="Arial"/>
      <w:szCs w:val="22"/>
    </w:rPr>
  </w:style>
  <w:style w:type="character" w:customStyle="1" w:styleId="NornalChar">
    <w:name w:val="Nornal Char"/>
    <w:basedOn w:val="DefaultParagraphFont"/>
    <w:link w:val="Nornal"/>
    <w:rsid w:val="006F0164"/>
    <w:rPr>
      <w:rFonts w:ascii="Arial" w:hAnsi="Arial" w:cs="Arial"/>
    </w:rPr>
  </w:style>
  <w:style w:type="paragraph" w:customStyle="1" w:styleId="Listparag">
    <w:name w:val="List parag"/>
    <w:basedOn w:val="ListParagraph"/>
    <w:link w:val="ListparagChar"/>
    <w:rsid w:val="006F0164"/>
    <w:pPr>
      <w:numPr>
        <w:numId w:val="1"/>
      </w:numPr>
      <w:contextualSpacing w:val="0"/>
    </w:pPr>
    <w:rPr>
      <w:rFonts w:eastAsia="Times New Roman" w:cs="Arial"/>
      <w:lang w:eastAsia="en-GB"/>
    </w:rPr>
  </w:style>
  <w:style w:type="character" w:customStyle="1" w:styleId="ListparagChar">
    <w:name w:val="List parag Char"/>
    <w:basedOn w:val="DefaultParagraphFont"/>
    <w:link w:val="Listparag"/>
    <w:rsid w:val="006F0164"/>
    <w:rPr>
      <w:rFonts w:ascii="Arial" w:eastAsia="Times New Roman" w:hAnsi="Arial" w:cs="Arial"/>
      <w:szCs w:val="24"/>
      <w:lang w:eastAsia="en-GB"/>
    </w:rPr>
  </w:style>
  <w:style w:type="paragraph" w:styleId="ListParagraph">
    <w:name w:val="List Paragraph"/>
    <w:basedOn w:val="Normal"/>
    <w:uiPriority w:val="34"/>
    <w:qFormat/>
    <w:rsid w:val="006F0164"/>
    <w:pPr>
      <w:ind w:left="720"/>
      <w:contextualSpacing/>
    </w:pPr>
  </w:style>
  <w:style w:type="character" w:styleId="Hyperlink">
    <w:name w:val="Hyperlink"/>
    <w:basedOn w:val="DefaultParagraphFont"/>
    <w:uiPriority w:val="99"/>
    <w:unhideWhenUsed/>
    <w:rsid w:val="0052435B"/>
    <w:rPr>
      <w:color w:val="0000FF"/>
      <w:u w:val="single"/>
    </w:rPr>
  </w:style>
  <w:style w:type="character" w:styleId="FollowedHyperlink">
    <w:name w:val="FollowedHyperlink"/>
    <w:basedOn w:val="DefaultParagraphFont"/>
    <w:uiPriority w:val="99"/>
    <w:semiHidden/>
    <w:unhideWhenUsed/>
    <w:rsid w:val="00223CA0"/>
    <w:rPr>
      <w:color w:val="A5A5A5" w:themeColor="followedHyperlink"/>
      <w:u w:val="single"/>
    </w:rPr>
  </w:style>
  <w:style w:type="paragraph" w:styleId="NormalWeb">
    <w:name w:val="Normal (Web)"/>
    <w:basedOn w:val="Normal"/>
    <w:uiPriority w:val="99"/>
    <w:unhideWhenUsed/>
    <w:rsid w:val="004B4D50"/>
    <w:pPr>
      <w:spacing w:before="100" w:beforeAutospacing="1" w:after="100" w:afterAutospacing="1" w:line="240" w:lineRule="auto"/>
    </w:pPr>
    <w:rPr>
      <w:rFonts w:ascii="Times New Roman" w:eastAsia="Times New Roman" w:hAnsi="Times New Roman" w:cs="Times New Roman"/>
      <w:sz w:val="24"/>
      <w:lang w:eastAsia="en-GB"/>
    </w:rPr>
  </w:style>
  <w:style w:type="paragraph" w:styleId="NoSpacing">
    <w:name w:val="No Spacing"/>
    <w:uiPriority w:val="1"/>
    <w:qFormat/>
    <w:rsid w:val="00D300CC"/>
    <w:pPr>
      <w:spacing w:after="0" w:line="240" w:lineRule="auto"/>
    </w:pPr>
  </w:style>
  <w:style w:type="paragraph" w:styleId="Header">
    <w:name w:val="header"/>
    <w:basedOn w:val="Normal"/>
    <w:link w:val="HeaderChar"/>
    <w:uiPriority w:val="99"/>
    <w:unhideWhenUsed/>
    <w:rsid w:val="00D300CC"/>
    <w:pPr>
      <w:tabs>
        <w:tab w:val="center" w:pos="4513"/>
        <w:tab w:val="right" w:pos="9026"/>
      </w:tabs>
      <w:spacing w:line="240" w:lineRule="auto"/>
    </w:pPr>
  </w:style>
  <w:style w:type="character" w:customStyle="1" w:styleId="HeaderChar">
    <w:name w:val="Header Char"/>
    <w:basedOn w:val="DefaultParagraphFont"/>
    <w:link w:val="Header"/>
    <w:uiPriority w:val="99"/>
    <w:rsid w:val="00D300CC"/>
    <w:rPr>
      <w:rFonts w:ascii="Arial" w:hAnsi="Arial"/>
      <w:szCs w:val="24"/>
    </w:rPr>
  </w:style>
  <w:style w:type="paragraph" w:styleId="Footer">
    <w:name w:val="footer"/>
    <w:basedOn w:val="Normal"/>
    <w:link w:val="FooterChar"/>
    <w:uiPriority w:val="99"/>
    <w:unhideWhenUsed/>
    <w:rsid w:val="00D300CC"/>
    <w:pPr>
      <w:tabs>
        <w:tab w:val="center" w:pos="4513"/>
        <w:tab w:val="right" w:pos="9026"/>
      </w:tabs>
      <w:spacing w:line="240" w:lineRule="auto"/>
    </w:pPr>
  </w:style>
  <w:style w:type="character" w:customStyle="1" w:styleId="FooterChar">
    <w:name w:val="Footer Char"/>
    <w:basedOn w:val="DefaultParagraphFont"/>
    <w:link w:val="Footer"/>
    <w:uiPriority w:val="99"/>
    <w:rsid w:val="00D300CC"/>
    <w:rPr>
      <w:rFonts w:ascii="Arial" w:hAnsi="Arial"/>
      <w:szCs w:val="24"/>
    </w:rPr>
  </w:style>
  <w:style w:type="character" w:customStyle="1" w:styleId="Heading3Char">
    <w:name w:val="Heading 3 Char"/>
    <w:basedOn w:val="DefaultParagraphFont"/>
    <w:link w:val="Heading3"/>
    <w:uiPriority w:val="9"/>
    <w:semiHidden/>
    <w:rsid w:val="00D300C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D300C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D300C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D300C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D300C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D300C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D300C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D300C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D300CC"/>
    <w:pPr>
      <w:spacing w:after="0" w:line="240" w:lineRule="auto"/>
      <w:contextualSpacing/>
    </w:pPr>
    <w:rPr>
      <w:rFonts w:asciiTheme="majorHAnsi" w:eastAsiaTheme="majorEastAsia" w:hAnsiTheme="majorHAnsi" w:cstheme="majorBidi"/>
      <w:color w:val="850C4B" w:themeColor="accent1" w:themeShade="BF"/>
      <w:spacing w:val="-7"/>
      <w:sz w:val="80"/>
      <w:szCs w:val="80"/>
    </w:rPr>
  </w:style>
  <w:style w:type="character" w:customStyle="1" w:styleId="TitleChar">
    <w:name w:val="Title Char"/>
    <w:basedOn w:val="DefaultParagraphFont"/>
    <w:link w:val="Title"/>
    <w:uiPriority w:val="10"/>
    <w:rsid w:val="00D300CC"/>
    <w:rPr>
      <w:rFonts w:asciiTheme="majorHAnsi" w:eastAsiaTheme="majorEastAsia" w:hAnsiTheme="majorHAnsi" w:cstheme="majorBidi"/>
      <w:color w:val="850C4B" w:themeColor="accent1" w:themeShade="BF"/>
      <w:spacing w:val="-7"/>
      <w:sz w:val="80"/>
      <w:szCs w:val="80"/>
    </w:rPr>
  </w:style>
  <w:style w:type="paragraph" w:styleId="Subtitle">
    <w:name w:val="Subtitle"/>
    <w:basedOn w:val="Normal"/>
    <w:next w:val="Normal"/>
    <w:link w:val="SubtitleChar"/>
    <w:uiPriority w:val="11"/>
    <w:qFormat/>
    <w:rsid w:val="00D300C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D300CC"/>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D300CC"/>
    <w:rPr>
      <w:b/>
      <w:bCs/>
    </w:rPr>
  </w:style>
  <w:style w:type="character" w:styleId="Emphasis">
    <w:name w:val="Emphasis"/>
    <w:basedOn w:val="DefaultParagraphFont"/>
    <w:uiPriority w:val="20"/>
    <w:qFormat/>
    <w:rsid w:val="00D300CC"/>
    <w:rPr>
      <w:i/>
      <w:iCs/>
    </w:rPr>
  </w:style>
  <w:style w:type="paragraph" w:styleId="Quote">
    <w:name w:val="Quote"/>
    <w:basedOn w:val="Normal"/>
    <w:next w:val="Normal"/>
    <w:link w:val="QuoteChar"/>
    <w:uiPriority w:val="29"/>
    <w:qFormat/>
    <w:rsid w:val="00D300C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D300CC"/>
    <w:rPr>
      <w:i/>
      <w:iCs/>
    </w:rPr>
  </w:style>
  <w:style w:type="paragraph" w:styleId="IntenseQuote">
    <w:name w:val="Intense Quote"/>
    <w:basedOn w:val="Normal"/>
    <w:next w:val="Normal"/>
    <w:link w:val="IntenseQuoteChar"/>
    <w:uiPriority w:val="30"/>
    <w:qFormat/>
    <w:rsid w:val="00D300CC"/>
    <w:pPr>
      <w:spacing w:before="100" w:beforeAutospacing="1" w:after="240"/>
      <w:ind w:left="864" w:right="864"/>
      <w:jc w:val="center"/>
    </w:pPr>
    <w:rPr>
      <w:rFonts w:asciiTheme="majorHAnsi" w:eastAsiaTheme="majorEastAsia" w:hAnsiTheme="majorHAnsi" w:cstheme="majorBidi"/>
      <w:color w:val="B31166" w:themeColor="accent1"/>
      <w:sz w:val="28"/>
      <w:szCs w:val="28"/>
    </w:rPr>
  </w:style>
  <w:style w:type="character" w:customStyle="1" w:styleId="IntenseQuoteChar">
    <w:name w:val="Intense Quote Char"/>
    <w:basedOn w:val="DefaultParagraphFont"/>
    <w:link w:val="IntenseQuote"/>
    <w:uiPriority w:val="30"/>
    <w:rsid w:val="00D300CC"/>
    <w:rPr>
      <w:rFonts w:asciiTheme="majorHAnsi" w:eastAsiaTheme="majorEastAsia" w:hAnsiTheme="majorHAnsi" w:cstheme="majorBidi"/>
      <w:color w:val="B31166" w:themeColor="accent1"/>
      <w:sz w:val="28"/>
      <w:szCs w:val="28"/>
    </w:rPr>
  </w:style>
  <w:style w:type="character" w:styleId="SubtleEmphasis">
    <w:name w:val="Subtle Emphasis"/>
    <w:basedOn w:val="DefaultParagraphFont"/>
    <w:uiPriority w:val="19"/>
    <w:qFormat/>
    <w:rsid w:val="00D300CC"/>
    <w:rPr>
      <w:i/>
      <w:iCs/>
      <w:color w:val="595959" w:themeColor="text1" w:themeTint="A6"/>
    </w:rPr>
  </w:style>
  <w:style w:type="character" w:styleId="IntenseEmphasis">
    <w:name w:val="Intense Emphasis"/>
    <w:basedOn w:val="DefaultParagraphFont"/>
    <w:uiPriority w:val="21"/>
    <w:qFormat/>
    <w:rsid w:val="00D300CC"/>
    <w:rPr>
      <w:b/>
      <w:bCs/>
      <w:i/>
      <w:iCs/>
    </w:rPr>
  </w:style>
  <w:style w:type="character" w:styleId="SubtleReference">
    <w:name w:val="Subtle Reference"/>
    <w:basedOn w:val="DefaultParagraphFont"/>
    <w:uiPriority w:val="31"/>
    <w:qFormat/>
    <w:rsid w:val="00D300CC"/>
    <w:rPr>
      <w:smallCaps/>
      <w:color w:val="404040" w:themeColor="text1" w:themeTint="BF"/>
    </w:rPr>
  </w:style>
  <w:style w:type="character" w:styleId="IntenseReference">
    <w:name w:val="Intense Reference"/>
    <w:basedOn w:val="DefaultParagraphFont"/>
    <w:uiPriority w:val="32"/>
    <w:qFormat/>
    <w:rsid w:val="00D300CC"/>
    <w:rPr>
      <w:b/>
      <w:bCs/>
      <w:smallCaps/>
      <w:u w:val="single"/>
    </w:rPr>
  </w:style>
  <w:style w:type="character" w:styleId="BookTitle">
    <w:name w:val="Book Title"/>
    <w:basedOn w:val="DefaultParagraphFont"/>
    <w:uiPriority w:val="33"/>
    <w:qFormat/>
    <w:rsid w:val="00D300CC"/>
    <w:rPr>
      <w:b/>
      <w:bCs/>
      <w:smallCaps/>
    </w:rPr>
  </w:style>
  <w:style w:type="paragraph" w:styleId="TOCHeading">
    <w:name w:val="TOC Heading"/>
    <w:basedOn w:val="Heading1"/>
    <w:next w:val="Normal"/>
    <w:uiPriority w:val="39"/>
    <w:semiHidden/>
    <w:unhideWhenUsed/>
    <w:qFormat/>
    <w:rsid w:val="00D300CC"/>
    <w:pPr>
      <w:outlineLvl w:val="9"/>
    </w:pPr>
  </w:style>
  <w:style w:type="character" w:customStyle="1" w:styleId="jnlarticle">
    <w:name w:val="jnlarticle"/>
    <w:basedOn w:val="DefaultParagraphFont"/>
    <w:rsid w:val="00D125CC"/>
  </w:style>
  <w:style w:type="character" w:styleId="PlaceholderText">
    <w:name w:val="Placeholder Text"/>
    <w:basedOn w:val="DefaultParagraphFon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employent-law/equal-pay/" TargetMode="External"/><Relationship Id="rId18" Type="http://schemas.openxmlformats.org/officeDocument/2006/relationships/hyperlink" Target="https://www.cipd.org/uk/knowledge/factsheets/strategic-total-factsheet/" TargetMode="External"/><Relationship Id="rId26" Type="http://schemas.openxmlformats.org/officeDocument/2006/relationships/hyperlink" Target="https://www.local.gov.uk/sites/default/files/documents/total-reward-9bf.pdf" TargetMode="External"/><Relationship Id="rId3" Type="http://schemas.openxmlformats.org/officeDocument/2006/relationships/settings" Target="settings.xml"/><Relationship Id="rId21" Type="http://schemas.openxmlformats.org/officeDocument/2006/relationships/hyperlink" Target="https://www.youtube.com/watch?v=dJ2yu-_5M78" TargetMode="External"/><Relationship Id="rId34" Type="http://schemas.openxmlformats.org/officeDocument/2006/relationships/theme" Target="theme/theme1.xml"/><Relationship Id="rId7" Type="http://schemas.openxmlformats.org/officeDocument/2006/relationships/hyperlink" Target="https://www.acas.org.uk/capability-procedures" TargetMode="External"/><Relationship Id="rId12" Type="http://schemas.openxmlformats.org/officeDocument/2006/relationships/hyperlink" Target="https://www.cipd.org/uk/about/news/understanding-what-really-drives-your-workforce/" TargetMode="External"/><Relationship Id="rId17" Type="http://schemas.openxmlformats.org/officeDocument/2006/relationships/hyperlink" Target="https://www.cipd.org/uk/knowledge/factsheets/reward-factsheet/" TargetMode="External"/><Relationship Id="rId25" Type="http://schemas.openxmlformats.org/officeDocument/2006/relationships/hyperlink" Target="https://r1.vlereader.com"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ww.cipd.org/uk/knowledge/caste-studies/bbc/" TargetMode="External"/><Relationship Id="rId20" Type="http://schemas.openxmlformats.org/officeDocument/2006/relationships/hyperlink" Target="https://www.linkedin.com/pulse/competitive-reward-system-employee-performance-syeda-arooj-fatima" TargetMode="External"/><Relationship Id="rId29" Type="http://schemas.openxmlformats.org/officeDocument/2006/relationships/hyperlink" Target="https://www.peoplemanagement.co.uk/article/18060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PfXEceZzNC0" TargetMode="External"/><Relationship Id="rId24" Type="http://schemas.openxmlformats.org/officeDocument/2006/relationships/hyperlink" Target="https://www.hbr.org/2022/12/what-it-takes-to-be-a-fair-pay-workplac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en/knowledge/factsheets/appraisal-factsheet" TargetMode="External"/><Relationship Id="rId23" Type="http://schemas.openxmlformats.org/officeDocument/2006/relationships/hyperlink" Target="https://www.indeed.com/career-advice/career-development/reard-employees" TargetMode="External"/><Relationship Id="rId28" Type="http://schemas.openxmlformats.org/officeDocument/2006/relationships/hyperlink" Target="https://www.investopiedia.com/terms/p/performance-management.asp" TargetMode="External"/><Relationship Id="rId10" Type="http://schemas.openxmlformats.org/officeDocument/2006/relationships/hyperlink" Target="https://www.cipd.org/globalassets/media/knowledge/knowledge-hub/" TargetMode="External"/><Relationship Id="rId19" Type="http://schemas.openxmlformats.org/officeDocument/2006/relationships/hyperlink" Target="https://www.equalityhumanrights.com/en/advice-and-guidance/why-equal-pay-matter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ravowell.com/resources/instrinsic-vs-extrinsic-rewards-to-improve-employee-engagement" TargetMode="External"/><Relationship Id="rId14" Type="http://schemas.openxmlformats.org/officeDocument/2006/relationships/hyperlink" Target="https://www.cipd.org/uk/knowledge/factsheets/performance-factsheet/" TargetMode="External"/><Relationship Id="rId22" Type="http://schemas.openxmlformats.org/officeDocument/2006/relationships/hyperlink" Target="https://www.indeed.com/career-advice/career-development/360-degree-appraisal" TargetMode="External"/><Relationship Id="rId27" Type="http://schemas.openxmlformats.org/officeDocument/2006/relationships/hyperlink" Target="https://books.google.co.uk/books?hl=en&amp;lr" TargetMode="External"/><Relationship Id="rId30" Type="http://schemas.openxmlformats.org/officeDocument/2006/relationships/header" Target="header1.xml"/><Relationship Id="rId8" Type="http://schemas.openxmlformats.org/officeDocument/2006/relationships/hyperlink" Target="https://www.acas.org.uk/equal-pay/employer-responsibiliti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F97C251963144EA999244F79DD2B282"/>
        <w:category>
          <w:name w:val="General"/>
          <w:gallery w:val="placeholder"/>
        </w:category>
        <w:types>
          <w:type w:val="bbPlcHdr"/>
        </w:types>
        <w:behaviors>
          <w:behavior w:val="content"/>
        </w:behaviors>
        <w:guid w:val="{63C9F453-FF99-4C48-97DA-68BB6D417C26}"/>
      </w:docPartPr>
      <w:docPartBody>
        <w:p w:rsidR="005B20AA" w:rsidRDefault="00247CAA" w:rsidP="00247CAA">
          <w:pPr>
            <w:pStyle w:val="DF97C251963144EA999244F79DD2B282"/>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venir-regular-class">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Engravers MT">
    <w:panose1 w:val="0209070708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CAA"/>
    <w:rsid w:val="00247CAA"/>
    <w:rsid w:val="00297307"/>
    <w:rsid w:val="005B20AA"/>
    <w:rsid w:val="00795A04"/>
    <w:rsid w:val="00FD4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7CAA"/>
    <w:rPr>
      <w:color w:val="808080"/>
    </w:rPr>
  </w:style>
  <w:style w:type="paragraph" w:customStyle="1" w:styleId="DF97C251963144EA999244F79DD2B282">
    <w:name w:val="DF97C251963144EA999244F79DD2B282"/>
    <w:rsid w:val="00247C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2718</Words>
  <Characters>15496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Kalnina 1801540     Word Count: 1,558</dc:creator>
  <cp:keywords/>
  <dc:description/>
  <cp:lastModifiedBy>Kalnina, Jolanta</cp:lastModifiedBy>
  <cp:revision>2</cp:revision>
  <dcterms:created xsi:type="dcterms:W3CDTF">2023-07-18T19:36:00Z</dcterms:created>
  <dcterms:modified xsi:type="dcterms:W3CDTF">2023-07-18T19:36:00Z</dcterms:modified>
</cp:coreProperties>
</file>